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DDE61">
      <w:pPr>
        <w:spacing w:line="480" w:lineRule="auto"/>
        <w:jc w:val="center"/>
        <w:rPr>
          <w:rFonts w:hint="eastAsia" w:ascii="宋体" w:hAnsi="宋体" w:cs="宋体"/>
          <w:b/>
          <w:sz w:val="28"/>
          <w:szCs w:val="100"/>
          <w:highlight w:val="none"/>
        </w:rPr>
      </w:pPr>
    </w:p>
    <w:p w14:paraId="771912E4">
      <w:pPr>
        <w:jc w:val="center"/>
        <w:rPr>
          <w:sz w:val="72"/>
          <w:szCs w:val="144"/>
          <w:highlight w:val="none"/>
        </w:rPr>
      </w:pPr>
    </w:p>
    <w:p w14:paraId="17F6A500">
      <w:pPr>
        <w:jc w:val="center"/>
        <w:rPr>
          <w:rFonts w:hint="eastAsia" w:ascii="宋体" w:hAnsi="宋体"/>
          <w:b/>
          <w:spacing w:val="18"/>
          <w:sz w:val="60"/>
          <w:szCs w:val="32"/>
          <w:highlight w:val="none"/>
        </w:rPr>
      </w:pPr>
      <w:r>
        <w:rPr>
          <w:rFonts w:hint="eastAsia"/>
          <w:b/>
          <w:sz w:val="72"/>
          <w:szCs w:val="72"/>
          <w:highlight w:val="none"/>
        </w:rPr>
        <w:t>2026年仿生假肢材料（二次）</w:t>
      </w:r>
    </w:p>
    <w:p w14:paraId="6C24A154">
      <w:pPr>
        <w:pStyle w:val="5"/>
        <w:rPr>
          <w:highlight w:val="none"/>
        </w:rPr>
      </w:pPr>
    </w:p>
    <w:p w14:paraId="544DF36C">
      <w:pPr>
        <w:rPr>
          <w:highlight w:val="none"/>
        </w:rPr>
      </w:pPr>
    </w:p>
    <w:p w14:paraId="4D806341">
      <w:pPr>
        <w:rPr>
          <w:highlight w:val="none"/>
        </w:rPr>
      </w:pPr>
    </w:p>
    <w:p w14:paraId="516C9977">
      <w:pPr>
        <w:rPr>
          <w:highlight w:val="none"/>
        </w:rPr>
      </w:pPr>
    </w:p>
    <w:p w14:paraId="4E4856CD">
      <w:pPr>
        <w:pStyle w:val="59"/>
        <w:rPr>
          <w:highlight w:val="none"/>
        </w:rPr>
      </w:pPr>
    </w:p>
    <w:p w14:paraId="4836D7E1">
      <w:pPr>
        <w:spacing w:line="360" w:lineRule="auto"/>
        <w:jc w:val="center"/>
        <w:rPr>
          <w:rFonts w:ascii="宋体"/>
          <w:b/>
          <w:sz w:val="72"/>
          <w:szCs w:val="72"/>
          <w:highlight w:val="none"/>
        </w:rPr>
      </w:pPr>
      <w:r>
        <w:rPr>
          <w:rFonts w:hint="eastAsia" w:ascii="宋体"/>
          <w:b/>
          <w:sz w:val="72"/>
          <w:szCs w:val="72"/>
          <w:highlight w:val="none"/>
        </w:rPr>
        <w:t>竞争性谈判文件</w:t>
      </w:r>
    </w:p>
    <w:p w14:paraId="7B04B1AB">
      <w:pPr>
        <w:jc w:val="center"/>
        <w:rPr>
          <w:rFonts w:hint="eastAsia" w:ascii="宋体" w:hAnsi="宋体"/>
          <w:sz w:val="28"/>
          <w:szCs w:val="22"/>
          <w:highlight w:val="none"/>
        </w:rPr>
      </w:pPr>
      <w:r>
        <w:rPr>
          <w:rFonts w:hint="eastAsia" w:ascii="宋体" w:hAnsi="宋体"/>
          <w:b/>
          <w:sz w:val="28"/>
          <w:szCs w:val="28"/>
          <w:highlight w:val="none"/>
        </w:rPr>
        <w:t>项目编号：采购计划-[2026]-04996号-1</w:t>
      </w:r>
    </w:p>
    <w:p w14:paraId="7E20F2A4">
      <w:pPr>
        <w:snapToGrid w:val="0"/>
        <w:spacing w:line="400" w:lineRule="exact"/>
        <w:ind w:left="1036" w:hanging="1036" w:hangingChars="645"/>
        <w:rPr>
          <w:rFonts w:hint="eastAsia" w:ascii="宋体" w:hAnsi="宋体"/>
          <w:b/>
          <w:sz w:val="16"/>
          <w:szCs w:val="16"/>
          <w:highlight w:val="none"/>
          <w:u w:val="single"/>
        </w:rPr>
      </w:pPr>
    </w:p>
    <w:p w14:paraId="510971CB">
      <w:pPr>
        <w:snapToGrid w:val="0"/>
        <w:spacing w:line="400" w:lineRule="exact"/>
        <w:ind w:left="1036" w:hanging="1036" w:hangingChars="645"/>
        <w:rPr>
          <w:rFonts w:hint="eastAsia" w:ascii="宋体" w:hAnsi="宋体"/>
          <w:b/>
          <w:sz w:val="16"/>
          <w:szCs w:val="16"/>
          <w:highlight w:val="none"/>
          <w:u w:val="single"/>
        </w:rPr>
      </w:pPr>
    </w:p>
    <w:p w14:paraId="725F4818">
      <w:pPr>
        <w:snapToGrid w:val="0"/>
        <w:spacing w:line="400" w:lineRule="exact"/>
        <w:ind w:left="1036" w:hanging="1036" w:hangingChars="645"/>
        <w:rPr>
          <w:rFonts w:hint="eastAsia" w:ascii="宋体" w:hAnsi="宋体"/>
          <w:b/>
          <w:sz w:val="16"/>
          <w:szCs w:val="16"/>
          <w:highlight w:val="none"/>
          <w:u w:val="single"/>
        </w:rPr>
      </w:pPr>
    </w:p>
    <w:p w14:paraId="4C5DA845">
      <w:pPr>
        <w:snapToGrid w:val="0"/>
        <w:spacing w:line="400" w:lineRule="exact"/>
        <w:ind w:left="1036" w:hanging="1036" w:hangingChars="645"/>
        <w:rPr>
          <w:rFonts w:hint="eastAsia" w:ascii="宋体" w:hAnsi="宋体"/>
          <w:b/>
          <w:sz w:val="16"/>
          <w:szCs w:val="16"/>
          <w:highlight w:val="none"/>
          <w:u w:val="single"/>
        </w:rPr>
      </w:pPr>
    </w:p>
    <w:p w14:paraId="400D3A1B">
      <w:pPr>
        <w:snapToGrid w:val="0"/>
        <w:spacing w:line="400" w:lineRule="exact"/>
        <w:ind w:left="1036" w:hanging="1036" w:hangingChars="645"/>
        <w:rPr>
          <w:rFonts w:hint="eastAsia" w:ascii="宋体" w:hAnsi="宋体"/>
          <w:b/>
          <w:sz w:val="16"/>
          <w:szCs w:val="16"/>
          <w:highlight w:val="none"/>
          <w:u w:val="single"/>
        </w:rPr>
      </w:pPr>
    </w:p>
    <w:p w14:paraId="567AEBE2">
      <w:pPr>
        <w:snapToGrid w:val="0"/>
        <w:spacing w:line="400" w:lineRule="exact"/>
        <w:ind w:left="1036" w:hanging="1036" w:hangingChars="645"/>
        <w:rPr>
          <w:rFonts w:hint="eastAsia" w:ascii="宋体" w:hAnsi="宋体"/>
          <w:b/>
          <w:sz w:val="16"/>
          <w:szCs w:val="16"/>
          <w:highlight w:val="none"/>
          <w:u w:val="single"/>
        </w:rPr>
      </w:pPr>
    </w:p>
    <w:p w14:paraId="44B82148">
      <w:pPr>
        <w:snapToGrid w:val="0"/>
        <w:spacing w:line="400" w:lineRule="exact"/>
        <w:ind w:left="1036" w:hanging="1036" w:hangingChars="645"/>
        <w:rPr>
          <w:rFonts w:hint="eastAsia" w:ascii="宋体" w:hAnsi="宋体"/>
          <w:b/>
          <w:sz w:val="16"/>
          <w:szCs w:val="16"/>
          <w:highlight w:val="none"/>
          <w:u w:val="single"/>
        </w:rPr>
      </w:pPr>
    </w:p>
    <w:p w14:paraId="66E19B60">
      <w:pPr>
        <w:snapToGrid w:val="0"/>
        <w:spacing w:line="400" w:lineRule="exact"/>
        <w:ind w:left="1036" w:hanging="1036" w:hangingChars="645"/>
        <w:rPr>
          <w:rFonts w:hint="eastAsia" w:ascii="宋体" w:hAnsi="宋体"/>
          <w:b/>
          <w:sz w:val="16"/>
          <w:szCs w:val="16"/>
          <w:highlight w:val="none"/>
          <w:u w:val="single"/>
        </w:rPr>
      </w:pPr>
    </w:p>
    <w:p w14:paraId="78129201">
      <w:pPr>
        <w:spacing w:line="276" w:lineRule="auto"/>
        <w:ind w:left="3301" w:leftChars="568" w:hanging="2108" w:hangingChars="700"/>
        <w:rPr>
          <w:rFonts w:hint="eastAsia" w:ascii="宋体" w:hAnsi="宋体" w:cs="宋体"/>
          <w:b/>
          <w:bCs/>
          <w:sz w:val="30"/>
          <w:szCs w:val="36"/>
          <w:highlight w:val="none"/>
        </w:rPr>
      </w:pPr>
      <w:r>
        <w:rPr>
          <w:rFonts w:hint="eastAsia" w:ascii="宋体" w:hAnsi="宋体" w:cs="宋体"/>
          <w:b/>
          <w:bCs/>
          <w:sz w:val="30"/>
          <w:szCs w:val="36"/>
          <w:highlight w:val="none"/>
        </w:rPr>
        <w:t>采   购   人：吉林省残疾人康复中心（吉林省残疾人辅助器具中心）（吉林省残联康复医院）</w:t>
      </w:r>
    </w:p>
    <w:p w14:paraId="7B783249">
      <w:pPr>
        <w:spacing w:line="276" w:lineRule="auto"/>
        <w:ind w:firstLine="1205" w:firstLineChars="400"/>
        <w:rPr>
          <w:rFonts w:hint="eastAsia" w:ascii="宋体" w:hAnsi="宋体" w:cs="宋体"/>
          <w:b/>
          <w:bCs/>
          <w:sz w:val="30"/>
          <w:szCs w:val="36"/>
          <w:highlight w:val="none"/>
        </w:rPr>
      </w:pPr>
    </w:p>
    <w:p w14:paraId="4D2E1986">
      <w:pPr>
        <w:spacing w:line="276" w:lineRule="auto"/>
        <w:ind w:firstLine="1205" w:firstLineChars="400"/>
        <w:rPr>
          <w:rFonts w:hint="eastAsia" w:ascii="宋体" w:hAnsi="宋体" w:cs="宋体"/>
          <w:b/>
          <w:bCs/>
          <w:sz w:val="30"/>
          <w:szCs w:val="36"/>
          <w:highlight w:val="none"/>
        </w:rPr>
      </w:pPr>
      <w:r>
        <w:rPr>
          <w:rFonts w:hint="eastAsia" w:ascii="宋体" w:hAnsi="宋体" w:cs="宋体"/>
          <w:b/>
          <w:bCs/>
          <w:sz w:val="30"/>
          <w:szCs w:val="36"/>
          <w:highlight w:val="none"/>
        </w:rPr>
        <w:t>采购代理公司：吉林融鼎工程项目管理有限公司</w:t>
      </w:r>
    </w:p>
    <w:p w14:paraId="7C95FF05">
      <w:pPr>
        <w:spacing w:line="276" w:lineRule="auto"/>
        <w:ind w:firstLine="1205" w:firstLineChars="400"/>
        <w:rPr>
          <w:rFonts w:hint="eastAsia" w:ascii="宋体" w:hAnsi="宋体" w:cs="宋体"/>
          <w:b/>
          <w:bCs/>
          <w:sz w:val="30"/>
          <w:szCs w:val="36"/>
          <w:highlight w:val="none"/>
        </w:rPr>
      </w:pPr>
    </w:p>
    <w:p w14:paraId="21655EC0">
      <w:pPr>
        <w:spacing w:line="276" w:lineRule="auto"/>
        <w:jc w:val="center"/>
        <w:rPr>
          <w:rFonts w:hint="eastAsia" w:ascii="宋体" w:hAnsi="宋体" w:cs="宋体"/>
          <w:b/>
          <w:bCs/>
          <w:sz w:val="30"/>
          <w:szCs w:val="36"/>
          <w:highlight w:val="none"/>
        </w:rPr>
        <w:sectPr>
          <w:headerReference r:id="rId4" w:type="first"/>
          <w:footerReference r:id="rId5" w:type="default"/>
          <w:headerReference r:id="rId3" w:type="even"/>
          <w:footerReference r:id="rId6" w:type="even"/>
          <w:pgSz w:w="11907" w:h="16840"/>
          <w:pgMar w:top="1417" w:right="1191" w:bottom="1134" w:left="1219" w:header="680" w:footer="1191" w:gutter="0"/>
          <w:cols w:space="720" w:num="1"/>
          <w:titlePg/>
          <w:docGrid w:linePitch="286" w:charSpace="0"/>
        </w:sectPr>
      </w:pPr>
      <w:r>
        <w:rPr>
          <w:rFonts w:hint="eastAsia" w:ascii="宋体" w:hAnsi="宋体" w:cs="宋体"/>
          <w:b/>
          <w:bCs/>
          <w:sz w:val="32"/>
          <w:szCs w:val="32"/>
          <w:highlight w:val="none"/>
        </w:rPr>
        <w:t>2026年5月</w:t>
      </w:r>
    </w:p>
    <w:p w14:paraId="48F0B002">
      <w:pPr>
        <w:spacing w:line="276" w:lineRule="auto"/>
        <w:rPr>
          <w:rFonts w:hint="eastAsia" w:ascii="宋体" w:hAnsi="宋体" w:cs="宋体"/>
          <w:b/>
          <w:bCs/>
          <w:sz w:val="32"/>
          <w:szCs w:val="32"/>
          <w:highlight w:val="none"/>
        </w:rPr>
      </w:pPr>
    </w:p>
    <w:p w14:paraId="549D28C6">
      <w:pPr>
        <w:pStyle w:val="16"/>
        <w:ind w:left="0"/>
        <w:jc w:val="center"/>
        <w:rPr>
          <w:rFonts w:hint="eastAsia" w:ascii="宋体" w:hAnsi="宋体" w:cs="宋体"/>
          <w:sz w:val="40"/>
          <w:highlight w:val="none"/>
        </w:rPr>
      </w:pPr>
      <w:r>
        <w:rPr>
          <w:rFonts w:hint="eastAsia" w:ascii="宋体" w:hAnsi="宋体" w:cs="宋体"/>
          <w:sz w:val="40"/>
          <w:highlight w:val="none"/>
        </w:rPr>
        <w:t>目   录</w:t>
      </w:r>
    </w:p>
    <w:p w14:paraId="2C320AEC">
      <w:pPr>
        <w:rPr>
          <w:rFonts w:hint="eastAsia" w:ascii="宋体" w:hAnsi="宋体" w:cs="宋体"/>
          <w:highlight w:val="none"/>
        </w:rPr>
      </w:pPr>
    </w:p>
    <w:p w14:paraId="16D9D528">
      <w:pPr>
        <w:jc w:val="distribute"/>
        <w:rPr>
          <w:rFonts w:hint="eastAsia" w:ascii="宋体" w:hAnsi="宋体" w:cs="宋体"/>
          <w:highlight w:val="none"/>
        </w:rPr>
      </w:pPr>
    </w:p>
    <w:p w14:paraId="3DD315B4">
      <w:pPr>
        <w:pStyle w:val="16"/>
        <w:tabs>
          <w:tab w:val="right" w:leader="dot" w:pos="9723"/>
          <w:tab w:val="clear" w:pos="9345"/>
        </w:tabs>
        <w:spacing w:line="360" w:lineRule="auto"/>
        <w:rPr>
          <w:highlight w:val="none"/>
        </w:rPr>
      </w:pPr>
      <w:r>
        <w:rPr>
          <w:rFonts w:hint="eastAsia" w:ascii="宋体" w:hAnsi="宋体" w:cs="宋体"/>
          <w:highlight w:val="none"/>
        </w:rPr>
        <w:fldChar w:fldCharType="begin"/>
      </w:r>
      <w:r>
        <w:rPr>
          <w:rFonts w:hint="eastAsia"/>
          <w:highlight w:val="none"/>
        </w:rPr>
        <w:instrText xml:space="preserve"> TOC \o "1-4" \h \z \u </w:instrText>
      </w:r>
      <w:r>
        <w:rPr>
          <w:rFonts w:hint="eastAsia" w:ascii="宋体" w:hAnsi="宋体" w:cs="宋体"/>
          <w:highlight w:val="none"/>
        </w:rPr>
        <w:fldChar w:fldCharType="separate"/>
      </w:r>
      <w:r>
        <w:rPr>
          <w:highlight w:val="none"/>
        </w:rPr>
        <w:fldChar w:fldCharType="begin"/>
      </w:r>
      <w:r>
        <w:rPr>
          <w:highlight w:val="none"/>
        </w:rPr>
        <w:instrText xml:space="preserve"> HYPERLINK \l "_Toc4437" </w:instrText>
      </w:r>
      <w:r>
        <w:rPr>
          <w:highlight w:val="none"/>
        </w:rPr>
        <w:fldChar w:fldCharType="separate"/>
      </w:r>
      <w:r>
        <w:rPr>
          <w:rFonts w:hint="eastAsia" w:cs="宋体"/>
          <w:highlight w:val="none"/>
        </w:rPr>
        <w:t>第一章 竞争性谈判公告</w:t>
      </w:r>
      <w:r>
        <w:rPr>
          <w:highlight w:val="none"/>
        </w:rPr>
        <w:tab/>
      </w:r>
      <w:r>
        <w:rPr>
          <w:highlight w:val="none"/>
        </w:rPr>
        <w:fldChar w:fldCharType="begin"/>
      </w:r>
      <w:r>
        <w:rPr>
          <w:highlight w:val="none"/>
        </w:rPr>
        <w:instrText xml:space="preserve"> PAGEREF _Toc4437 \h </w:instrText>
      </w:r>
      <w:r>
        <w:rPr>
          <w:highlight w:val="none"/>
        </w:rPr>
        <w:fldChar w:fldCharType="separate"/>
      </w:r>
      <w:r>
        <w:rPr>
          <w:highlight w:val="none"/>
        </w:rPr>
        <w:t>1</w:t>
      </w:r>
      <w:r>
        <w:rPr>
          <w:highlight w:val="none"/>
        </w:rPr>
        <w:fldChar w:fldCharType="end"/>
      </w:r>
      <w:r>
        <w:rPr>
          <w:highlight w:val="none"/>
        </w:rPr>
        <w:fldChar w:fldCharType="end"/>
      </w:r>
    </w:p>
    <w:p w14:paraId="65F480BE">
      <w:pPr>
        <w:pStyle w:val="16"/>
        <w:tabs>
          <w:tab w:val="right" w:leader="dot" w:pos="9723"/>
          <w:tab w:val="clear" w:pos="9345"/>
        </w:tabs>
        <w:spacing w:line="360" w:lineRule="auto"/>
        <w:rPr>
          <w:highlight w:val="none"/>
        </w:rPr>
      </w:pPr>
      <w:r>
        <w:rPr>
          <w:highlight w:val="none"/>
        </w:rPr>
        <w:fldChar w:fldCharType="begin"/>
      </w:r>
      <w:r>
        <w:rPr>
          <w:highlight w:val="none"/>
        </w:rPr>
        <w:instrText xml:space="preserve"> HYPERLINK \l "_Toc706" </w:instrText>
      </w:r>
      <w:r>
        <w:rPr>
          <w:highlight w:val="none"/>
        </w:rPr>
        <w:fldChar w:fldCharType="separate"/>
      </w:r>
      <w:r>
        <w:rPr>
          <w:rFonts w:hint="eastAsia" w:cs="宋体"/>
          <w:bCs/>
          <w:highlight w:val="none"/>
        </w:rPr>
        <w:t>第二章 竞争性谈判文件</w:t>
      </w:r>
      <w:r>
        <w:rPr>
          <w:highlight w:val="none"/>
        </w:rPr>
        <w:tab/>
      </w:r>
      <w:r>
        <w:rPr>
          <w:highlight w:val="none"/>
        </w:rPr>
        <w:fldChar w:fldCharType="begin"/>
      </w:r>
      <w:r>
        <w:rPr>
          <w:highlight w:val="none"/>
        </w:rPr>
        <w:instrText xml:space="preserve"> PAGEREF _Toc706 \h </w:instrText>
      </w:r>
      <w:r>
        <w:rPr>
          <w:highlight w:val="none"/>
        </w:rPr>
        <w:fldChar w:fldCharType="separate"/>
      </w:r>
      <w:r>
        <w:rPr>
          <w:highlight w:val="none"/>
        </w:rPr>
        <w:t>5</w:t>
      </w:r>
      <w:r>
        <w:rPr>
          <w:highlight w:val="none"/>
        </w:rPr>
        <w:fldChar w:fldCharType="end"/>
      </w:r>
      <w:r>
        <w:rPr>
          <w:highlight w:val="none"/>
        </w:rPr>
        <w:fldChar w:fldCharType="end"/>
      </w:r>
    </w:p>
    <w:p w14:paraId="6FFBD781">
      <w:pPr>
        <w:pStyle w:val="16"/>
        <w:tabs>
          <w:tab w:val="right" w:leader="dot" w:pos="9723"/>
          <w:tab w:val="clear" w:pos="9345"/>
        </w:tabs>
        <w:spacing w:line="360" w:lineRule="auto"/>
        <w:rPr>
          <w:highlight w:val="none"/>
        </w:rPr>
      </w:pPr>
      <w:r>
        <w:rPr>
          <w:highlight w:val="none"/>
        </w:rPr>
        <w:fldChar w:fldCharType="begin"/>
      </w:r>
      <w:r>
        <w:rPr>
          <w:highlight w:val="none"/>
        </w:rPr>
        <w:instrText xml:space="preserve"> HYPERLINK \l "_Toc667" </w:instrText>
      </w:r>
      <w:r>
        <w:rPr>
          <w:highlight w:val="none"/>
        </w:rPr>
        <w:fldChar w:fldCharType="separate"/>
      </w:r>
      <w:r>
        <w:rPr>
          <w:rFonts w:hint="eastAsia" w:ascii="宋体" w:hAnsi="宋体" w:cs="宋体"/>
          <w:bCs/>
          <w:szCs w:val="36"/>
          <w:highlight w:val="none"/>
          <w:lang w:val="zh-CN"/>
        </w:rPr>
        <w:t>第三章 谈判评审办法</w:t>
      </w:r>
      <w:r>
        <w:rPr>
          <w:highlight w:val="none"/>
        </w:rPr>
        <w:tab/>
      </w:r>
      <w:r>
        <w:rPr>
          <w:highlight w:val="none"/>
        </w:rPr>
        <w:fldChar w:fldCharType="begin"/>
      </w:r>
      <w:r>
        <w:rPr>
          <w:highlight w:val="none"/>
        </w:rPr>
        <w:instrText xml:space="preserve"> PAGEREF _Toc667 \h </w:instrText>
      </w:r>
      <w:r>
        <w:rPr>
          <w:highlight w:val="none"/>
        </w:rPr>
        <w:fldChar w:fldCharType="separate"/>
      </w:r>
      <w:r>
        <w:rPr>
          <w:highlight w:val="none"/>
        </w:rPr>
        <w:t>15</w:t>
      </w:r>
      <w:r>
        <w:rPr>
          <w:highlight w:val="none"/>
        </w:rPr>
        <w:fldChar w:fldCharType="end"/>
      </w:r>
      <w:r>
        <w:rPr>
          <w:highlight w:val="none"/>
        </w:rPr>
        <w:fldChar w:fldCharType="end"/>
      </w:r>
    </w:p>
    <w:p w14:paraId="2B8771F1">
      <w:pPr>
        <w:pStyle w:val="16"/>
        <w:tabs>
          <w:tab w:val="right" w:leader="dot" w:pos="9723"/>
          <w:tab w:val="clear" w:pos="9345"/>
        </w:tabs>
        <w:spacing w:line="360" w:lineRule="auto"/>
        <w:rPr>
          <w:highlight w:val="none"/>
        </w:rPr>
      </w:pPr>
      <w:r>
        <w:rPr>
          <w:highlight w:val="none"/>
        </w:rPr>
        <w:fldChar w:fldCharType="begin"/>
      </w:r>
      <w:r>
        <w:rPr>
          <w:highlight w:val="none"/>
        </w:rPr>
        <w:instrText xml:space="preserve"> HYPERLINK \l "_Toc30676" </w:instrText>
      </w:r>
      <w:r>
        <w:rPr>
          <w:highlight w:val="none"/>
        </w:rPr>
        <w:fldChar w:fldCharType="separate"/>
      </w:r>
      <w:r>
        <w:rPr>
          <w:rFonts w:hint="eastAsia" w:ascii="宋体" w:hAnsi="宋体" w:cs="宋体"/>
          <w:kern w:val="44"/>
          <w:szCs w:val="36"/>
          <w:highlight w:val="none"/>
          <w:lang w:val="zh-CN"/>
        </w:rPr>
        <w:t>第四章 合同条款及格式</w:t>
      </w:r>
      <w:r>
        <w:rPr>
          <w:highlight w:val="none"/>
        </w:rPr>
        <w:tab/>
      </w:r>
      <w:r>
        <w:rPr>
          <w:highlight w:val="none"/>
        </w:rPr>
        <w:fldChar w:fldCharType="begin"/>
      </w:r>
      <w:r>
        <w:rPr>
          <w:highlight w:val="none"/>
        </w:rPr>
        <w:instrText xml:space="preserve"> PAGEREF _Toc30676 \h </w:instrText>
      </w:r>
      <w:r>
        <w:rPr>
          <w:highlight w:val="none"/>
        </w:rPr>
        <w:fldChar w:fldCharType="separate"/>
      </w:r>
      <w:r>
        <w:rPr>
          <w:highlight w:val="none"/>
        </w:rPr>
        <w:t>32</w:t>
      </w:r>
      <w:r>
        <w:rPr>
          <w:highlight w:val="none"/>
        </w:rPr>
        <w:fldChar w:fldCharType="end"/>
      </w:r>
      <w:r>
        <w:rPr>
          <w:highlight w:val="none"/>
        </w:rPr>
        <w:fldChar w:fldCharType="end"/>
      </w:r>
    </w:p>
    <w:p w14:paraId="062AEA9E">
      <w:pPr>
        <w:pStyle w:val="16"/>
        <w:tabs>
          <w:tab w:val="right" w:leader="dot" w:pos="9723"/>
          <w:tab w:val="clear" w:pos="9345"/>
        </w:tabs>
        <w:spacing w:line="360" w:lineRule="auto"/>
        <w:rPr>
          <w:highlight w:val="none"/>
        </w:rPr>
      </w:pPr>
      <w:r>
        <w:rPr>
          <w:highlight w:val="none"/>
        </w:rPr>
        <w:fldChar w:fldCharType="begin"/>
      </w:r>
      <w:r>
        <w:rPr>
          <w:highlight w:val="none"/>
        </w:rPr>
        <w:instrText xml:space="preserve"> HYPERLINK \l "_Toc28309" </w:instrText>
      </w:r>
      <w:r>
        <w:rPr>
          <w:highlight w:val="none"/>
        </w:rPr>
        <w:fldChar w:fldCharType="separate"/>
      </w:r>
      <w:r>
        <w:rPr>
          <w:rFonts w:hint="eastAsia" w:ascii="宋体" w:hAnsi="宋体" w:cs="宋体"/>
          <w:kern w:val="44"/>
          <w:szCs w:val="36"/>
          <w:highlight w:val="none"/>
          <w:lang w:val="zh-CN"/>
        </w:rPr>
        <w:t xml:space="preserve">第五章 </w:t>
      </w:r>
      <w:r>
        <w:rPr>
          <w:rFonts w:hint="eastAsia" w:ascii="宋体" w:hAnsi="宋体" w:cs="宋体"/>
          <w:kern w:val="44"/>
          <w:szCs w:val="36"/>
          <w:highlight w:val="none"/>
        </w:rPr>
        <w:t>技术要</w:t>
      </w:r>
      <w:r>
        <w:rPr>
          <w:rFonts w:hint="eastAsia" w:ascii="宋体" w:hAnsi="宋体" w:cs="宋体"/>
          <w:kern w:val="44"/>
          <w:szCs w:val="36"/>
          <w:highlight w:val="none"/>
          <w:lang w:val="zh-CN"/>
        </w:rPr>
        <w:t>求</w:t>
      </w:r>
      <w:r>
        <w:rPr>
          <w:highlight w:val="none"/>
        </w:rPr>
        <w:tab/>
      </w:r>
      <w:r>
        <w:rPr>
          <w:highlight w:val="none"/>
        </w:rPr>
        <w:fldChar w:fldCharType="begin"/>
      </w:r>
      <w:r>
        <w:rPr>
          <w:highlight w:val="none"/>
        </w:rPr>
        <w:instrText xml:space="preserve"> PAGEREF _Toc28309 \h </w:instrText>
      </w:r>
      <w:r>
        <w:rPr>
          <w:highlight w:val="none"/>
        </w:rPr>
        <w:fldChar w:fldCharType="separate"/>
      </w:r>
      <w:r>
        <w:rPr>
          <w:highlight w:val="none"/>
        </w:rPr>
        <w:t>49</w:t>
      </w:r>
      <w:r>
        <w:rPr>
          <w:highlight w:val="none"/>
        </w:rPr>
        <w:fldChar w:fldCharType="end"/>
      </w:r>
      <w:r>
        <w:rPr>
          <w:highlight w:val="none"/>
        </w:rPr>
        <w:fldChar w:fldCharType="end"/>
      </w:r>
    </w:p>
    <w:p w14:paraId="37776E7D">
      <w:pPr>
        <w:pStyle w:val="16"/>
        <w:tabs>
          <w:tab w:val="right" w:leader="dot" w:pos="9723"/>
          <w:tab w:val="clear" w:pos="9345"/>
        </w:tabs>
        <w:spacing w:line="360" w:lineRule="auto"/>
        <w:rPr>
          <w:highlight w:val="none"/>
        </w:rPr>
      </w:pPr>
      <w:r>
        <w:rPr>
          <w:highlight w:val="none"/>
        </w:rPr>
        <w:fldChar w:fldCharType="begin"/>
      </w:r>
      <w:r>
        <w:rPr>
          <w:highlight w:val="none"/>
        </w:rPr>
        <w:instrText xml:space="preserve"> HYPERLINK \l "_Toc24154" </w:instrText>
      </w:r>
      <w:r>
        <w:rPr>
          <w:highlight w:val="none"/>
        </w:rPr>
        <w:fldChar w:fldCharType="separate"/>
      </w:r>
      <w:r>
        <w:rPr>
          <w:rFonts w:hint="eastAsia" w:ascii="宋体" w:hAnsi="宋体" w:cs="宋体"/>
          <w:bCs/>
          <w:kern w:val="44"/>
          <w:szCs w:val="36"/>
          <w:highlight w:val="none"/>
          <w:lang w:val="zh-CN"/>
        </w:rPr>
        <w:t>第六章 谈判响应文件格式</w:t>
      </w:r>
      <w:r>
        <w:rPr>
          <w:highlight w:val="none"/>
        </w:rPr>
        <w:tab/>
      </w:r>
      <w:r>
        <w:rPr>
          <w:highlight w:val="none"/>
        </w:rPr>
        <w:fldChar w:fldCharType="begin"/>
      </w:r>
      <w:r>
        <w:rPr>
          <w:highlight w:val="none"/>
        </w:rPr>
        <w:instrText xml:space="preserve"> PAGEREF _Toc24154 \h </w:instrText>
      </w:r>
      <w:r>
        <w:rPr>
          <w:highlight w:val="none"/>
        </w:rPr>
        <w:fldChar w:fldCharType="separate"/>
      </w:r>
      <w:r>
        <w:rPr>
          <w:highlight w:val="none"/>
        </w:rPr>
        <w:t>51</w:t>
      </w:r>
      <w:r>
        <w:rPr>
          <w:highlight w:val="none"/>
        </w:rPr>
        <w:fldChar w:fldCharType="end"/>
      </w:r>
      <w:r>
        <w:rPr>
          <w:highlight w:val="none"/>
        </w:rPr>
        <w:fldChar w:fldCharType="end"/>
      </w:r>
    </w:p>
    <w:p w14:paraId="7BD688FF">
      <w:pPr>
        <w:pStyle w:val="16"/>
        <w:spacing w:line="360" w:lineRule="auto"/>
        <w:ind w:left="0"/>
        <w:jc w:val="distribute"/>
        <w:rPr>
          <w:rFonts w:hint="eastAsia" w:ascii="宋体" w:hAnsi="宋体" w:cs="宋体"/>
          <w:highlight w:val="none"/>
        </w:rPr>
      </w:pPr>
      <w:r>
        <w:rPr>
          <w:rFonts w:hint="eastAsia" w:ascii="宋体" w:hAnsi="宋体" w:cs="宋体"/>
          <w:highlight w:val="none"/>
        </w:rPr>
        <w:fldChar w:fldCharType="end"/>
      </w:r>
    </w:p>
    <w:p w14:paraId="7052ABCD">
      <w:pPr>
        <w:jc w:val="distribute"/>
        <w:rPr>
          <w:rFonts w:hint="eastAsia" w:ascii="宋体" w:hAnsi="宋体" w:cs="宋体"/>
          <w:highlight w:val="none"/>
        </w:rPr>
      </w:pPr>
    </w:p>
    <w:p w14:paraId="2E95B968">
      <w:pPr>
        <w:jc w:val="distribute"/>
        <w:rPr>
          <w:rFonts w:hint="eastAsia" w:ascii="宋体" w:hAnsi="宋体" w:cs="宋体"/>
          <w:highlight w:val="none"/>
        </w:rPr>
      </w:pPr>
    </w:p>
    <w:p w14:paraId="40F68DD8">
      <w:pPr>
        <w:jc w:val="distribute"/>
        <w:rPr>
          <w:rFonts w:hint="eastAsia" w:ascii="宋体" w:hAnsi="宋体" w:cs="宋体"/>
          <w:highlight w:val="none"/>
        </w:rPr>
      </w:pPr>
    </w:p>
    <w:p w14:paraId="4DAC60C0">
      <w:pPr>
        <w:jc w:val="distribute"/>
        <w:rPr>
          <w:rFonts w:hint="eastAsia" w:ascii="宋体" w:hAnsi="宋体" w:cs="宋体"/>
          <w:highlight w:val="none"/>
        </w:rPr>
      </w:pPr>
    </w:p>
    <w:p w14:paraId="690871F3">
      <w:pPr>
        <w:jc w:val="distribute"/>
        <w:rPr>
          <w:rFonts w:hint="eastAsia" w:ascii="宋体" w:hAnsi="宋体" w:cs="宋体"/>
          <w:highlight w:val="none"/>
        </w:rPr>
      </w:pPr>
    </w:p>
    <w:p w14:paraId="04086D12">
      <w:pPr>
        <w:autoSpaceDE w:val="0"/>
        <w:autoSpaceDN w:val="0"/>
        <w:adjustRightInd w:val="0"/>
        <w:snapToGrid w:val="0"/>
        <w:spacing w:before="120" w:beforeLines="50" w:after="120" w:afterLines="50" w:line="312" w:lineRule="auto"/>
        <w:jc w:val="distribute"/>
        <w:rPr>
          <w:rFonts w:hint="eastAsia" w:ascii="宋体" w:hAnsi="宋体" w:cs="宋体"/>
          <w:sz w:val="24"/>
          <w:highlight w:val="none"/>
          <w:u w:val="single"/>
        </w:rPr>
      </w:pPr>
    </w:p>
    <w:p w14:paraId="524CED55">
      <w:pPr>
        <w:autoSpaceDE w:val="0"/>
        <w:autoSpaceDN w:val="0"/>
        <w:adjustRightInd w:val="0"/>
        <w:snapToGrid w:val="0"/>
        <w:spacing w:before="120" w:beforeLines="50" w:after="120" w:afterLines="50" w:line="312" w:lineRule="auto"/>
        <w:jc w:val="distribute"/>
        <w:rPr>
          <w:rFonts w:hint="eastAsia" w:ascii="宋体" w:hAnsi="宋体" w:cs="宋体"/>
          <w:sz w:val="24"/>
          <w:highlight w:val="none"/>
          <w:u w:val="single"/>
        </w:rPr>
      </w:pPr>
    </w:p>
    <w:p w14:paraId="6C39ACA5">
      <w:pPr>
        <w:autoSpaceDE w:val="0"/>
        <w:autoSpaceDN w:val="0"/>
        <w:adjustRightInd w:val="0"/>
        <w:snapToGrid w:val="0"/>
        <w:spacing w:before="120" w:beforeLines="50" w:after="120" w:afterLines="50" w:line="312" w:lineRule="auto"/>
        <w:jc w:val="distribute"/>
        <w:rPr>
          <w:rFonts w:hint="eastAsia" w:ascii="宋体" w:hAnsi="宋体" w:cs="宋体"/>
          <w:sz w:val="24"/>
          <w:highlight w:val="none"/>
          <w:u w:val="single"/>
        </w:rPr>
      </w:pPr>
    </w:p>
    <w:p w14:paraId="7BA11CD1">
      <w:pPr>
        <w:autoSpaceDE w:val="0"/>
        <w:autoSpaceDN w:val="0"/>
        <w:adjustRightInd w:val="0"/>
        <w:snapToGrid w:val="0"/>
        <w:spacing w:before="120" w:beforeLines="50" w:after="120" w:afterLines="50" w:line="312" w:lineRule="auto"/>
        <w:jc w:val="distribute"/>
        <w:rPr>
          <w:rFonts w:hint="eastAsia" w:ascii="宋体" w:hAnsi="宋体" w:cs="宋体"/>
          <w:sz w:val="24"/>
          <w:highlight w:val="none"/>
          <w:u w:val="single"/>
        </w:rPr>
      </w:pPr>
    </w:p>
    <w:p w14:paraId="6EDB66E6">
      <w:pPr>
        <w:autoSpaceDE w:val="0"/>
        <w:autoSpaceDN w:val="0"/>
        <w:adjustRightInd w:val="0"/>
        <w:snapToGrid w:val="0"/>
        <w:spacing w:before="120" w:beforeLines="50" w:after="120" w:afterLines="50" w:line="312" w:lineRule="auto"/>
        <w:jc w:val="distribute"/>
        <w:rPr>
          <w:rFonts w:hint="eastAsia" w:ascii="宋体" w:hAnsi="宋体" w:cs="宋体"/>
          <w:sz w:val="24"/>
          <w:highlight w:val="none"/>
          <w:u w:val="single"/>
        </w:rPr>
      </w:pPr>
    </w:p>
    <w:p w14:paraId="720771D3">
      <w:pPr>
        <w:autoSpaceDE w:val="0"/>
        <w:autoSpaceDN w:val="0"/>
        <w:adjustRightInd w:val="0"/>
        <w:snapToGrid w:val="0"/>
        <w:spacing w:before="120" w:beforeLines="50" w:after="120" w:afterLines="50" w:line="312" w:lineRule="auto"/>
        <w:jc w:val="left"/>
        <w:rPr>
          <w:rFonts w:hint="eastAsia" w:ascii="宋体" w:hAnsi="宋体" w:cs="宋体"/>
          <w:sz w:val="24"/>
          <w:highlight w:val="none"/>
          <w:u w:val="single"/>
        </w:rPr>
      </w:pPr>
    </w:p>
    <w:p w14:paraId="22A697A0">
      <w:pPr>
        <w:adjustRightInd w:val="0"/>
        <w:snapToGrid w:val="0"/>
        <w:spacing w:line="360" w:lineRule="auto"/>
        <w:rPr>
          <w:rFonts w:hint="eastAsia" w:ascii="宋体" w:hAnsi="宋体" w:cs="宋体"/>
          <w:b/>
          <w:bCs/>
          <w:sz w:val="48"/>
          <w:szCs w:val="48"/>
          <w:highlight w:val="none"/>
        </w:rPr>
        <w:sectPr>
          <w:footerReference r:id="rId8" w:type="first"/>
          <w:footerReference r:id="rId7" w:type="default"/>
          <w:pgSz w:w="11907" w:h="16840"/>
          <w:pgMar w:top="1417" w:right="1134" w:bottom="1134" w:left="1050" w:header="680" w:footer="1191" w:gutter="0"/>
          <w:pgNumType w:start="1"/>
          <w:cols w:space="720" w:num="1"/>
          <w:docGrid w:linePitch="286" w:charSpace="0"/>
        </w:sectPr>
      </w:pPr>
    </w:p>
    <w:p w14:paraId="6C13A539">
      <w:pPr>
        <w:pStyle w:val="3"/>
        <w:spacing w:line="276" w:lineRule="auto"/>
        <w:rPr>
          <w:rFonts w:hint="eastAsia" w:cs="宋体"/>
          <w:color w:val="auto"/>
          <w:sz w:val="40"/>
          <w:highlight w:val="none"/>
        </w:rPr>
      </w:pPr>
      <w:bookmarkStart w:id="0" w:name="_Toc4437"/>
      <w:bookmarkStart w:id="1" w:name="_Toc10757"/>
      <w:r>
        <w:rPr>
          <w:rFonts w:hint="eastAsia" w:cs="宋体"/>
          <w:color w:val="auto"/>
          <w:sz w:val="40"/>
          <w:highlight w:val="none"/>
        </w:rPr>
        <w:t>第一章 竞争性谈判公告</w:t>
      </w:r>
      <w:bookmarkEnd w:id="0"/>
    </w:p>
    <w:bookmarkEnd w:id="1"/>
    <w:p w14:paraId="48B65C37">
      <w:pPr>
        <w:spacing w:before="100" w:beforeAutospacing="1" w:after="100" w:afterAutospacing="1"/>
        <w:jc w:val="center"/>
        <w:rPr>
          <w:rFonts w:hint="eastAsia" w:ascii="宋体" w:hAnsi="宋体" w:cs="宋体"/>
          <w:b/>
          <w:bCs/>
          <w:szCs w:val="21"/>
          <w:highlight w:val="none"/>
        </w:rPr>
      </w:pPr>
      <w:bookmarkStart w:id="2" w:name="_Toc73"/>
      <w:r>
        <w:rPr>
          <w:rFonts w:hint="eastAsia" w:ascii="宋体" w:hAnsi="宋体" w:cs="宋体"/>
          <w:b/>
          <w:bCs/>
          <w:szCs w:val="21"/>
          <w:highlight w:val="none"/>
        </w:rPr>
        <w:t>2026年仿生假肢材料（二次）</w:t>
      </w:r>
    </w:p>
    <w:p w14:paraId="16FC8206">
      <w:pPr>
        <w:spacing w:before="100" w:beforeAutospacing="1" w:after="100" w:afterAutospacing="1"/>
        <w:jc w:val="center"/>
        <w:rPr>
          <w:rFonts w:hint="eastAsia" w:ascii="宋体" w:hAnsi="宋体" w:cs="宋体"/>
          <w:b/>
          <w:bCs/>
          <w:szCs w:val="21"/>
          <w:highlight w:val="none"/>
        </w:rPr>
      </w:pPr>
      <w:r>
        <w:rPr>
          <w:rFonts w:hint="eastAsia" w:ascii="宋体" w:hAnsi="宋体" w:cs="宋体"/>
          <w:b/>
          <w:bCs/>
          <w:szCs w:val="21"/>
          <w:highlight w:val="none"/>
        </w:rPr>
        <w:t>竞争性谈判公告</w:t>
      </w:r>
    </w:p>
    <w:p w14:paraId="7014E410">
      <w:pPr>
        <w:widowControl/>
        <w:pBdr>
          <w:top w:val="single" w:color="auto" w:sz="8" w:space="1"/>
          <w:left w:val="single" w:color="auto" w:sz="8" w:space="4"/>
          <w:bottom w:val="single" w:color="auto" w:sz="8" w:space="1"/>
          <w:right w:val="single" w:color="auto" w:sz="8" w:space="4"/>
        </w:pBdr>
        <w:spacing w:line="360" w:lineRule="auto"/>
        <w:rPr>
          <w:rFonts w:hint="eastAsia" w:ascii="宋体" w:hAnsi="宋体" w:cs="宋体"/>
          <w:b/>
          <w:bCs/>
          <w:kern w:val="0"/>
          <w:szCs w:val="21"/>
          <w:highlight w:val="none"/>
        </w:rPr>
      </w:pPr>
      <w:r>
        <w:rPr>
          <w:rFonts w:hint="eastAsia" w:ascii="宋体" w:hAnsi="宋体" w:cs="宋体"/>
          <w:b/>
          <w:bCs/>
          <w:kern w:val="0"/>
          <w:szCs w:val="21"/>
          <w:highlight w:val="none"/>
        </w:rPr>
        <w:t>项目概况</w:t>
      </w:r>
    </w:p>
    <w:p w14:paraId="6C7E2961">
      <w:pPr>
        <w:widowControl/>
        <w:pBdr>
          <w:top w:val="single" w:color="auto" w:sz="8" w:space="1"/>
          <w:left w:val="single" w:color="auto" w:sz="8" w:space="4"/>
          <w:bottom w:val="single" w:color="auto" w:sz="8" w:space="1"/>
          <w:right w:val="single" w:color="auto" w:sz="8" w:space="4"/>
        </w:pBdr>
        <w:spacing w:line="360" w:lineRule="auto"/>
        <w:ind w:firstLine="420" w:firstLineChars="200"/>
        <w:rPr>
          <w:rFonts w:hint="eastAsia" w:ascii="宋体" w:hAnsi="宋体" w:cs="宋体"/>
          <w:b/>
          <w:bCs/>
          <w:kern w:val="0"/>
          <w:szCs w:val="21"/>
          <w:highlight w:val="none"/>
        </w:rPr>
      </w:pPr>
      <w:r>
        <w:rPr>
          <w:rFonts w:hint="eastAsia" w:ascii="宋体" w:hAnsi="宋体" w:cs="宋体"/>
          <w:kern w:val="0"/>
          <w:szCs w:val="21"/>
          <w:highlight w:val="none"/>
        </w:rPr>
        <w:t>2026年仿生假肢材料（二次）的潜在投标人应在</w:t>
      </w:r>
      <w:r>
        <w:rPr>
          <w:rFonts w:hint="eastAsia" w:ascii="宋体" w:hAnsi="宋体"/>
          <w:szCs w:val="21"/>
          <w:highlight w:val="none"/>
        </w:rPr>
        <w:t>政采云平台（网址：http://</w:t>
      </w:r>
      <w:r>
        <w:rPr>
          <w:rFonts w:hint="eastAsia"/>
          <w:highlight w:val="none"/>
        </w:rPr>
        <w:t>www.zcygov.cn）</w:t>
      </w:r>
      <w:r>
        <w:rPr>
          <w:rFonts w:hint="eastAsia" w:ascii="宋体" w:hAnsi="宋体" w:cs="宋体"/>
          <w:kern w:val="0"/>
          <w:szCs w:val="21"/>
          <w:highlight w:val="none"/>
        </w:rPr>
        <w:t>获取谈判文件，并于</w:t>
      </w:r>
      <w:r>
        <w:rPr>
          <w:rFonts w:hint="eastAsia" w:ascii="宋体" w:hAnsi="宋体"/>
          <w:highlight w:val="none"/>
          <w:lang w:eastAsia="zh-CN"/>
        </w:rPr>
        <w:t>2026年05月26日13时00分</w:t>
      </w:r>
      <w:r>
        <w:rPr>
          <w:rFonts w:hint="eastAsia" w:ascii="宋体" w:hAnsi="宋体" w:cs="宋体"/>
          <w:szCs w:val="21"/>
          <w:highlight w:val="none"/>
        </w:rPr>
        <w:t>（</w:t>
      </w:r>
      <w:r>
        <w:rPr>
          <w:rFonts w:hint="eastAsia" w:ascii="宋体" w:hAnsi="宋体" w:cs="宋体"/>
          <w:kern w:val="0"/>
          <w:szCs w:val="21"/>
          <w:highlight w:val="none"/>
        </w:rPr>
        <w:t>北京时间）前提交响应文件。</w:t>
      </w:r>
    </w:p>
    <w:p w14:paraId="3F0659E9">
      <w:pPr>
        <w:widowControl/>
        <w:spacing w:line="360" w:lineRule="auto"/>
        <w:rPr>
          <w:rFonts w:hint="eastAsia" w:ascii="宋体" w:hAnsi="宋体" w:cs="宋体"/>
          <w:b/>
          <w:bCs/>
          <w:kern w:val="0"/>
          <w:szCs w:val="21"/>
          <w:highlight w:val="none"/>
        </w:rPr>
      </w:pPr>
      <w:r>
        <w:rPr>
          <w:rFonts w:hint="eastAsia" w:ascii="宋体" w:hAnsi="宋体" w:cs="宋体"/>
          <w:b/>
          <w:bCs/>
          <w:szCs w:val="21"/>
          <w:highlight w:val="none"/>
        </w:rPr>
        <w:t>一、项目基本情况</w:t>
      </w:r>
    </w:p>
    <w:p w14:paraId="71B41A3B">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采购计划编号：采购计划-[2026]-04996号-1</w:t>
      </w:r>
    </w:p>
    <w:p w14:paraId="255F3A6D">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项目编号：采购计划-[2026]-04996号-1</w:t>
      </w:r>
    </w:p>
    <w:p w14:paraId="51513E24">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项目名称：2026年仿生假肢材料（二次）</w:t>
      </w:r>
    </w:p>
    <w:p w14:paraId="34C9BD0D">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采购方式：竞争性谈判</w:t>
      </w:r>
    </w:p>
    <w:p w14:paraId="3A666A9F">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采购内容：2026年仿生假肢材料（二次）采购，具体要求详见谈判文件</w:t>
      </w:r>
    </w:p>
    <w:p w14:paraId="061539DF">
      <w:pPr>
        <w:widowControl/>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采购预算： 460,000.00元</w:t>
      </w:r>
    </w:p>
    <w:p w14:paraId="7759C6E5">
      <w:pPr>
        <w:widowControl/>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合同履行期限：合同订立后30天</w:t>
      </w:r>
    </w:p>
    <w:p w14:paraId="4A3049CF">
      <w:pPr>
        <w:widowControl/>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质量标准：合格</w:t>
      </w:r>
    </w:p>
    <w:p w14:paraId="398C658A">
      <w:pPr>
        <w:widowControl/>
        <w:spacing w:line="360" w:lineRule="auto"/>
        <w:ind w:firstLine="420" w:firstLineChars="200"/>
        <w:rPr>
          <w:rFonts w:hint="eastAsia" w:ascii="宋体" w:hAnsi="宋体" w:cs="宋体"/>
          <w:b/>
          <w:bCs/>
          <w:kern w:val="0"/>
          <w:szCs w:val="21"/>
          <w:highlight w:val="none"/>
        </w:rPr>
      </w:pPr>
      <w:r>
        <w:rPr>
          <w:rFonts w:hint="eastAsia" w:ascii="宋体" w:hAnsi="宋体" w:cs="宋体"/>
          <w:kern w:val="0"/>
          <w:szCs w:val="21"/>
          <w:highlight w:val="none"/>
        </w:rPr>
        <w:t>本项目不接受联合体投标</w:t>
      </w:r>
    </w:p>
    <w:p w14:paraId="5A2022B8">
      <w:pPr>
        <w:widowControl/>
        <w:spacing w:line="360" w:lineRule="auto"/>
        <w:ind w:left="495" w:hanging="495"/>
        <w:jc w:val="left"/>
        <w:outlineLvl w:val="1"/>
        <w:rPr>
          <w:rFonts w:hint="eastAsia" w:ascii="宋体" w:hAnsi="宋体" w:cs="宋体"/>
          <w:b/>
          <w:bCs/>
          <w:kern w:val="0"/>
          <w:szCs w:val="21"/>
          <w:highlight w:val="none"/>
        </w:rPr>
      </w:pPr>
      <w:bookmarkStart w:id="3" w:name="_Toc15635"/>
      <w:r>
        <w:rPr>
          <w:rFonts w:hint="eastAsia" w:ascii="宋体" w:hAnsi="宋体" w:cs="宋体"/>
          <w:b/>
          <w:bCs/>
          <w:szCs w:val="21"/>
          <w:highlight w:val="none"/>
        </w:rPr>
        <w:t>二、申请人的资格要求</w:t>
      </w:r>
      <w:bookmarkEnd w:id="3"/>
    </w:p>
    <w:p w14:paraId="1DE0C08B">
      <w:pPr>
        <w:widowControl/>
        <w:spacing w:line="360" w:lineRule="auto"/>
        <w:ind w:left="105" w:leftChars="50" w:firstLine="420" w:firstLineChars="200"/>
        <w:jc w:val="left"/>
        <w:outlineLvl w:val="1"/>
        <w:rPr>
          <w:rFonts w:hint="eastAsia" w:ascii="宋体" w:hAnsi="宋体" w:cs="宋体"/>
          <w:bCs/>
          <w:szCs w:val="21"/>
          <w:highlight w:val="none"/>
        </w:rPr>
      </w:pPr>
      <w:bookmarkStart w:id="4" w:name="_Toc21620"/>
      <w:r>
        <w:rPr>
          <w:rFonts w:hint="eastAsia" w:ascii="宋体" w:hAnsi="宋体" w:cs="宋体"/>
          <w:bCs/>
          <w:szCs w:val="21"/>
          <w:highlight w:val="none"/>
        </w:rPr>
        <w:t>1.满足《中华人民共和国政府采购法》第二十二条规定的条件。</w:t>
      </w:r>
      <w:bookmarkEnd w:id="4"/>
    </w:p>
    <w:p w14:paraId="524743DA">
      <w:pPr>
        <w:widowControl/>
        <w:spacing w:line="360" w:lineRule="auto"/>
        <w:ind w:left="105" w:leftChars="50" w:firstLine="420" w:firstLineChars="200"/>
        <w:jc w:val="left"/>
        <w:outlineLvl w:val="1"/>
        <w:rPr>
          <w:rFonts w:hint="eastAsia" w:ascii="宋体" w:hAnsi="宋体" w:cs="宋体"/>
          <w:bCs/>
          <w:szCs w:val="21"/>
          <w:highlight w:val="none"/>
        </w:rPr>
      </w:pPr>
      <w:bookmarkStart w:id="5" w:name="_Toc10546"/>
      <w:r>
        <w:rPr>
          <w:rFonts w:hint="eastAsia" w:ascii="宋体" w:hAnsi="宋体" w:cs="宋体"/>
          <w:bCs/>
          <w:szCs w:val="21"/>
          <w:highlight w:val="none"/>
        </w:rPr>
        <w:t>2.落实政府采购政策需满足的资格要求</w:t>
      </w:r>
      <w:r>
        <w:rPr>
          <w:rFonts w:hint="eastAsia" w:ascii="宋体" w:hAnsi="宋体" w:cs="宋体"/>
          <w:kern w:val="0"/>
          <w:szCs w:val="21"/>
          <w:highlight w:val="none"/>
        </w:rPr>
        <w:t>：本项目为专门面向中小企业的采购项目。</w:t>
      </w:r>
      <w:bookmarkEnd w:id="5"/>
    </w:p>
    <w:p w14:paraId="1302D43F">
      <w:pPr>
        <w:widowControl/>
        <w:spacing w:line="360" w:lineRule="auto"/>
        <w:ind w:left="105" w:leftChars="50" w:firstLine="420" w:firstLineChars="200"/>
        <w:jc w:val="left"/>
        <w:outlineLvl w:val="1"/>
        <w:rPr>
          <w:rFonts w:hint="eastAsia" w:ascii="宋体" w:hAnsi="宋体" w:cs="宋体"/>
          <w:bCs/>
          <w:szCs w:val="21"/>
          <w:highlight w:val="none"/>
        </w:rPr>
      </w:pPr>
      <w:bookmarkStart w:id="6" w:name="_Toc23114"/>
      <w:r>
        <w:rPr>
          <w:rFonts w:hint="eastAsia" w:ascii="宋体" w:hAnsi="宋体" w:cs="宋体"/>
          <w:bCs/>
          <w:szCs w:val="21"/>
          <w:highlight w:val="none"/>
        </w:rPr>
        <w:t>依据《中华人民共和国政府采购法》及《中华人民共和国政府采购法实施条例》的有关规定，落实政府采购政策，详见谈判文件：</w:t>
      </w:r>
      <w:bookmarkEnd w:id="6"/>
    </w:p>
    <w:p w14:paraId="6E952464">
      <w:pPr>
        <w:widowControl/>
        <w:spacing w:line="360" w:lineRule="auto"/>
        <w:ind w:left="105" w:leftChars="50" w:firstLine="420" w:firstLineChars="200"/>
        <w:jc w:val="left"/>
        <w:outlineLvl w:val="1"/>
        <w:rPr>
          <w:rFonts w:hint="eastAsia" w:ascii="宋体" w:hAnsi="宋体" w:cs="宋体"/>
          <w:bCs/>
          <w:szCs w:val="21"/>
          <w:highlight w:val="none"/>
        </w:rPr>
      </w:pPr>
      <w:bookmarkStart w:id="7" w:name="_Toc31036"/>
      <w:r>
        <w:rPr>
          <w:rFonts w:hint="eastAsia" w:ascii="宋体" w:hAnsi="宋体" w:cs="宋体"/>
          <w:bCs/>
          <w:szCs w:val="21"/>
          <w:highlight w:val="none"/>
        </w:rPr>
        <w:t>①《政府采购促进中小企业发展管理办法》（财库〔2020〕46号）；</w:t>
      </w:r>
      <w:bookmarkEnd w:id="7"/>
    </w:p>
    <w:p w14:paraId="6AA1F04F">
      <w:pPr>
        <w:widowControl/>
        <w:spacing w:line="360" w:lineRule="auto"/>
        <w:ind w:left="105" w:leftChars="50" w:firstLine="420" w:firstLineChars="200"/>
        <w:jc w:val="left"/>
        <w:outlineLvl w:val="1"/>
        <w:rPr>
          <w:rFonts w:hint="eastAsia" w:ascii="宋体" w:hAnsi="宋体" w:cs="宋体"/>
          <w:bCs/>
          <w:szCs w:val="21"/>
          <w:highlight w:val="none"/>
        </w:rPr>
      </w:pPr>
      <w:bookmarkStart w:id="8" w:name="_Toc1322"/>
      <w:r>
        <w:rPr>
          <w:rFonts w:hint="eastAsia" w:ascii="宋体" w:hAnsi="宋体" w:cs="宋体"/>
          <w:bCs/>
          <w:szCs w:val="21"/>
          <w:highlight w:val="none"/>
        </w:rPr>
        <w:t>②《财政部关于进一步加大政府采购支持中小企业力度的通知》财库〔2022〕19号；</w:t>
      </w:r>
      <w:bookmarkEnd w:id="8"/>
    </w:p>
    <w:p w14:paraId="618CFAC3">
      <w:pPr>
        <w:widowControl/>
        <w:spacing w:line="360" w:lineRule="auto"/>
        <w:ind w:left="105" w:leftChars="50" w:firstLine="420" w:firstLineChars="200"/>
        <w:jc w:val="left"/>
        <w:outlineLvl w:val="1"/>
        <w:rPr>
          <w:rFonts w:hint="eastAsia" w:ascii="宋体" w:hAnsi="宋体" w:cs="宋体"/>
          <w:bCs/>
          <w:szCs w:val="21"/>
          <w:highlight w:val="none"/>
        </w:rPr>
      </w:pPr>
      <w:bookmarkStart w:id="9" w:name="_Toc26818"/>
      <w:r>
        <w:rPr>
          <w:rFonts w:hint="eastAsia" w:ascii="宋体" w:hAnsi="宋体" w:cs="宋体"/>
          <w:bCs/>
          <w:szCs w:val="21"/>
          <w:highlight w:val="none"/>
        </w:rPr>
        <w:t>③《财政部司法部关于政府采购支持监狱企业发展有关问题的通知》（财库〔2014〕68号）；</w:t>
      </w:r>
      <w:bookmarkEnd w:id="9"/>
    </w:p>
    <w:p w14:paraId="787CF28A">
      <w:pPr>
        <w:widowControl/>
        <w:spacing w:line="360" w:lineRule="auto"/>
        <w:ind w:left="105" w:leftChars="50" w:firstLine="420" w:firstLineChars="200"/>
        <w:jc w:val="left"/>
        <w:outlineLvl w:val="1"/>
        <w:rPr>
          <w:rFonts w:hint="eastAsia" w:ascii="宋体" w:hAnsi="宋体" w:cs="宋体"/>
          <w:bCs/>
          <w:szCs w:val="21"/>
          <w:highlight w:val="none"/>
        </w:rPr>
      </w:pPr>
      <w:bookmarkStart w:id="10" w:name="_Toc8901"/>
      <w:r>
        <w:rPr>
          <w:rFonts w:hint="eastAsia" w:ascii="宋体" w:hAnsi="宋体" w:cs="宋体"/>
          <w:bCs/>
          <w:szCs w:val="21"/>
          <w:highlight w:val="none"/>
        </w:rPr>
        <w:t>④《关于促进残疾人就业政府采购政策的通知》（财库〔2017〕141号）；</w:t>
      </w:r>
      <w:bookmarkEnd w:id="10"/>
    </w:p>
    <w:p w14:paraId="6C7180F5">
      <w:pPr>
        <w:widowControl/>
        <w:spacing w:line="360" w:lineRule="auto"/>
        <w:ind w:left="105" w:leftChars="50" w:firstLine="420" w:firstLineChars="200"/>
        <w:jc w:val="left"/>
        <w:outlineLvl w:val="1"/>
        <w:rPr>
          <w:rFonts w:hint="eastAsia" w:ascii="宋体" w:hAnsi="宋体" w:cs="宋体"/>
          <w:bCs/>
          <w:szCs w:val="21"/>
          <w:highlight w:val="none"/>
        </w:rPr>
      </w:pPr>
      <w:bookmarkStart w:id="11" w:name="_Toc5518"/>
      <w:r>
        <w:rPr>
          <w:rFonts w:hint="eastAsia" w:ascii="宋体" w:hAnsi="宋体" w:cs="宋体"/>
          <w:bCs/>
          <w:szCs w:val="21"/>
          <w:highlight w:val="none"/>
        </w:rPr>
        <w:t>⑤《关于调整优化节能产品、环境标志产品政府采购执行机制的通知》（财库〔2019〕9号）；</w:t>
      </w:r>
      <w:bookmarkEnd w:id="11"/>
    </w:p>
    <w:p w14:paraId="596D1556">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⑥《国务院办公厅关于在政府采购中实施本国产品标准及相关政策的通知》（国办发〔2025〕34号）等国家最新政策。</w:t>
      </w:r>
    </w:p>
    <w:p w14:paraId="48D87875">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3.本项目的特定资格要求：</w:t>
      </w:r>
    </w:p>
    <w:p w14:paraId="3391EFC7">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（1）供应商须是在中国境内注册具有独立承担民事责任能力的独立法人或其他组织形式，具备有效的营业执照，具有履行合同所必需的设备和专业技术能力；</w:t>
      </w:r>
    </w:p>
    <w:p w14:paraId="00A885E1">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 若所投产品为进口产品的，供应商必须具有下列授权文件之一:供应商须提供产品生产制造商针对本项目出具的授权书或长期代理协议。若所投产品不属于进口产品，不作此项要求。</w:t>
      </w:r>
    </w:p>
    <w:p w14:paraId="5C24C162">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（3）具有良好的商业信誉和健全的财务会计制度，近一年（2024年）财务状况良好，具有经会计师事务所或审计机构出具的财务审计报告（2024年12月31日以后成立的企业，须提供成立之日起</w:t>
      </w:r>
      <w:r>
        <w:rPr>
          <w:rFonts w:hint="eastAsia" w:ascii="宋体" w:hAnsi="宋体" w:cs="宋体"/>
          <w:bCs/>
          <w:szCs w:val="21"/>
          <w:highlight w:val="none"/>
        </w:rPr>
        <w:t>至今的财务状况良好承诺书</w:t>
      </w:r>
      <w:r>
        <w:rPr>
          <w:rFonts w:hint="eastAsia" w:ascii="宋体" w:hAnsi="宋体" w:cs="宋体"/>
          <w:szCs w:val="21"/>
          <w:highlight w:val="none"/>
        </w:rPr>
        <w:t>）；</w:t>
      </w:r>
    </w:p>
    <w:p w14:paraId="091BB2BC">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（4）具有近三个月任意一个月依法缴纳税收的相关材料（提供纳税证明材料）；</w:t>
      </w:r>
    </w:p>
    <w:p w14:paraId="06A484FB">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（5）具有近三个月任意一个月缴纳社会保障资金的相关材料（提供社会保障资金缴纳证明材料）；</w:t>
      </w:r>
    </w:p>
    <w:p w14:paraId="708E4AE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（6）参加政府采购活动前三年内在经营活动中没有重大违法记录；</w:t>
      </w:r>
    </w:p>
    <w:p w14:paraId="1DDB6E5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（7）供应商近三年（2023年1月1日－至今）内供应商、法定代表人未在“中国裁判文书网”（www.wenshu.court.gov.cn）有行贿犯罪记录；</w:t>
      </w:r>
    </w:p>
    <w:p w14:paraId="06248F9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（8）拒绝列入政府取消投标资格记录期间的企业或个人投标；</w:t>
      </w:r>
    </w:p>
    <w:p w14:paraId="43A47B9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（9）供应商不能列入失信被执行人、重大税收违法案件当事人名单、政府采购严重违法失信行为记录名单（详见财库〔2016〕125号）；</w:t>
      </w:r>
    </w:p>
    <w:p w14:paraId="1826993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（10）拒绝在国家企业信用信息公示系统中列入严重违法失信企业名单的参与投标；</w:t>
      </w:r>
    </w:p>
    <w:p w14:paraId="1BCFA2E7">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与采购人存在利害关系可能影响谈判公正性的法人、其他组织或者个人，不得参加投标。单位负责人为同一人或者存在控股、管理关系的不同单位，不得参加同一标段投标或者未划分标段的同一招标项目投标。违反这两款规定的，相关投标均无效。</w:t>
      </w:r>
    </w:p>
    <w:p w14:paraId="07A930F1">
      <w:pPr>
        <w:widowControl/>
        <w:autoSpaceDE w:val="0"/>
        <w:spacing w:line="360" w:lineRule="auto"/>
        <w:jc w:val="left"/>
        <w:outlineLvl w:val="1"/>
        <w:rPr>
          <w:rFonts w:hint="eastAsia" w:ascii="宋体" w:hAnsi="宋体" w:cs="宋体"/>
          <w:b/>
          <w:bCs/>
          <w:kern w:val="0"/>
          <w:szCs w:val="21"/>
          <w:highlight w:val="none"/>
        </w:rPr>
      </w:pPr>
      <w:bookmarkStart w:id="12" w:name="_Toc11565"/>
      <w:r>
        <w:rPr>
          <w:rFonts w:hint="eastAsia" w:ascii="宋体" w:hAnsi="宋体" w:cs="宋体"/>
          <w:b/>
          <w:bCs/>
          <w:szCs w:val="21"/>
          <w:highlight w:val="none"/>
        </w:rPr>
        <w:t>三、获取采购文件</w:t>
      </w:r>
      <w:bookmarkEnd w:id="12"/>
    </w:p>
    <w:p w14:paraId="00C749CC">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时间：</w:t>
      </w:r>
      <w:r>
        <w:rPr>
          <w:rFonts w:hint="eastAsia" w:ascii="宋体" w:hAnsi="宋体"/>
          <w:highlight w:val="none"/>
        </w:rPr>
        <w:t>2026年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19</w:t>
      </w:r>
      <w:r>
        <w:rPr>
          <w:rFonts w:hint="eastAsia" w:ascii="宋体" w:hAnsi="宋体"/>
          <w:highlight w:val="none"/>
        </w:rPr>
        <w:t>日至2026年</w:t>
      </w:r>
      <w:r>
        <w:rPr>
          <w:rFonts w:hint="eastAsia" w:ascii="宋体" w:hAnsi="宋体"/>
          <w:highlight w:val="none"/>
          <w:lang w:val="en-US" w:eastAsia="zh-CN"/>
        </w:rPr>
        <w:t>5</w:t>
      </w:r>
      <w:r>
        <w:rPr>
          <w:rFonts w:hint="eastAsia" w:ascii="宋体" w:hAnsi="宋体"/>
          <w:highlight w:val="none"/>
        </w:rPr>
        <w:t>月2</w:t>
      </w:r>
      <w:r>
        <w:rPr>
          <w:rFonts w:hint="eastAsia" w:ascii="宋体" w:hAnsi="宋体"/>
          <w:highlight w:val="none"/>
          <w:lang w:val="en-US" w:eastAsia="zh-CN"/>
        </w:rPr>
        <w:t>2</w:t>
      </w:r>
      <w:r>
        <w:rPr>
          <w:rFonts w:hint="eastAsia" w:ascii="宋体" w:hAnsi="宋体"/>
          <w:highlight w:val="none"/>
        </w:rPr>
        <w:t>日</w:t>
      </w:r>
      <w:r>
        <w:rPr>
          <w:rFonts w:hint="eastAsia" w:ascii="宋体" w:hAnsi="宋体" w:cs="宋体"/>
          <w:szCs w:val="21"/>
          <w:highlight w:val="none"/>
        </w:rPr>
        <w:t>。</w:t>
      </w:r>
    </w:p>
    <w:p w14:paraId="7866CC1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地点：政府采购云平台（网址：http:// www.zcygov.cn）。</w:t>
      </w:r>
    </w:p>
    <w:p w14:paraId="1AB02B9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方式：网上免费获取。潜在供应商可自行在“政采云”平台（网址：http：//www.zcygov.cn）下载磋商文件（操作路径：登录“政采云”平台-项目采购-获取采购文件-找到本项目-点击“申请获取采购文件”），其他途径获取的采购文件开标时一律按无效投标处理。</w:t>
      </w:r>
    </w:p>
    <w:p w14:paraId="7384ABFF">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售价：0元</w:t>
      </w:r>
      <w:r>
        <w:rPr>
          <w:rFonts w:hint="eastAsia"/>
          <w:highlight w:val="none"/>
        </w:rPr>
        <w:t>。</w:t>
      </w:r>
    </w:p>
    <w:p w14:paraId="43C750AB">
      <w:pPr>
        <w:widowControl/>
        <w:spacing w:line="360" w:lineRule="auto"/>
        <w:ind w:left="495" w:hanging="495"/>
        <w:jc w:val="left"/>
        <w:outlineLvl w:val="1"/>
        <w:rPr>
          <w:rFonts w:hint="eastAsia" w:ascii="宋体" w:hAnsi="宋体" w:cs="宋体"/>
          <w:b/>
          <w:bCs/>
          <w:kern w:val="0"/>
          <w:szCs w:val="21"/>
          <w:highlight w:val="none"/>
        </w:rPr>
      </w:pPr>
      <w:bookmarkStart w:id="13" w:name="_Toc24336"/>
      <w:r>
        <w:rPr>
          <w:rFonts w:hint="eastAsia" w:ascii="宋体" w:hAnsi="宋体" w:cs="宋体"/>
          <w:b/>
          <w:bCs/>
          <w:szCs w:val="21"/>
          <w:highlight w:val="none"/>
        </w:rPr>
        <w:t>四、响应文件提交</w:t>
      </w:r>
      <w:bookmarkEnd w:id="13"/>
    </w:p>
    <w:p w14:paraId="506E93DA">
      <w:pPr>
        <w:widowControl/>
        <w:autoSpaceDE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截止时间：</w:t>
      </w:r>
      <w:r>
        <w:rPr>
          <w:rFonts w:hint="eastAsia" w:ascii="宋体" w:hAnsi="宋体"/>
          <w:highlight w:val="none"/>
          <w:lang w:eastAsia="zh-CN"/>
        </w:rPr>
        <w:t>2026年05月26日13时00分</w:t>
      </w:r>
      <w:r>
        <w:rPr>
          <w:rFonts w:hint="eastAsia" w:ascii="宋体" w:hAnsi="宋体" w:cs="宋体"/>
          <w:kern w:val="0"/>
          <w:szCs w:val="21"/>
          <w:highlight w:val="none"/>
        </w:rPr>
        <w:t>（北京时间）</w:t>
      </w:r>
    </w:p>
    <w:p w14:paraId="3D2AE2F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地点：</w:t>
      </w:r>
      <w:r>
        <w:rPr>
          <w:rFonts w:hint="eastAsia" w:ascii="宋体" w:hAnsi="宋体" w:cs="宋体"/>
          <w:kern w:val="0"/>
          <w:szCs w:val="21"/>
          <w:highlight w:val="none"/>
        </w:rPr>
        <w:t>长春市高新区鸿达街248号吉林日报副楼4楼第三开标室</w:t>
      </w:r>
    </w:p>
    <w:p w14:paraId="31521697">
      <w:pPr>
        <w:wordWrap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响应文件提交方式：本项目为全流程电子化项目，通过“政采云”平台（http：//www.zcygov.cn）实行在线电子投标，供应商应先安装“政采云投标客户端”（请自行前往“政采云”平台进行下载），并按照本项目磋商文件和“政采云”平台的要求编制、加密后在响应文件截止时间前通过网络上传至“政采云”平台，供应商在“政采云”平台提交电子版响应文件时，请填写参加采购活动经办人联系方式。开启时间后30分钟内完成解密。</w:t>
      </w:r>
    </w:p>
    <w:p w14:paraId="3539782C">
      <w:pPr>
        <w:widowControl/>
        <w:spacing w:line="360" w:lineRule="auto"/>
        <w:ind w:left="495" w:hanging="495"/>
        <w:jc w:val="left"/>
        <w:outlineLvl w:val="1"/>
        <w:rPr>
          <w:rFonts w:hint="eastAsia" w:ascii="宋体" w:hAnsi="宋体" w:cs="宋体"/>
          <w:b/>
          <w:bCs/>
          <w:kern w:val="0"/>
          <w:szCs w:val="21"/>
          <w:highlight w:val="none"/>
        </w:rPr>
      </w:pPr>
      <w:bookmarkStart w:id="14" w:name="_Toc17686"/>
      <w:r>
        <w:rPr>
          <w:rFonts w:hint="eastAsia" w:ascii="宋体" w:hAnsi="宋体" w:cs="宋体"/>
          <w:b/>
          <w:bCs/>
          <w:szCs w:val="21"/>
          <w:highlight w:val="none"/>
        </w:rPr>
        <w:t>五、开启</w:t>
      </w:r>
      <w:bookmarkEnd w:id="14"/>
    </w:p>
    <w:p w14:paraId="78C3F73D">
      <w:pPr>
        <w:widowControl/>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时间：</w:t>
      </w:r>
      <w:r>
        <w:rPr>
          <w:rFonts w:hint="eastAsia" w:ascii="宋体" w:hAnsi="宋体"/>
          <w:highlight w:val="none"/>
          <w:lang w:eastAsia="zh-CN"/>
        </w:rPr>
        <w:t>2026年05月26日13时00分</w:t>
      </w:r>
      <w:r>
        <w:rPr>
          <w:rFonts w:hint="eastAsia" w:ascii="宋体" w:hAnsi="宋体" w:cs="宋体"/>
          <w:kern w:val="0"/>
          <w:szCs w:val="21"/>
          <w:highlight w:val="none"/>
        </w:rPr>
        <w:t>（北京时间）</w:t>
      </w:r>
    </w:p>
    <w:p w14:paraId="10F0D566">
      <w:pPr>
        <w:spacing w:line="360" w:lineRule="auto"/>
        <w:ind w:firstLine="420" w:firstLineChars="200"/>
        <w:jc w:val="left"/>
        <w:rPr>
          <w:rFonts w:hint="eastAsia" w:ascii="宋体" w:hAnsi="宋体" w:cs="宋体"/>
          <w:b/>
          <w:bCs/>
          <w:kern w:val="0"/>
          <w:szCs w:val="21"/>
          <w:highlight w:val="none"/>
        </w:rPr>
      </w:pPr>
      <w:r>
        <w:rPr>
          <w:rFonts w:hint="eastAsia" w:ascii="宋体" w:hAnsi="宋体" w:cs="宋体"/>
          <w:kern w:val="0"/>
          <w:szCs w:val="21"/>
          <w:highlight w:val="none"/>
        </w:rPr>
        <w:t>地点：长春市高新区鸿达街248号吉林日报副楼4楼第三开标室</w:t>
      </w:r>
    </w:p>
    <w:p w14:paraId="023775D0">
      <w:pPr>
        <w:widowControl/>
        <w:spacing w:line="360" w:lineRule="auto"/>
        <w:ind w:left="495" w:hanging="495"/>
        <w:jc w:val="left"/>
        <w:outlineLvl w:val="1"/>
        <w:rPr>
          <w:rFonts w:hint="eastAsia" w:ascii="宋体" w:hAnsi="宋体" w:cs="宋体"/>
          <w:b/>
          <w:bCs/>
          <w:kern w:val="0"/>
          <w:szCs w:val="21"/>
          <w:highlight w:val="none"/>
        </w:rPr>
      </w:pPr>
      <w:bookmarkStart w:id="15" w:name="_Toc11818"/>
      <w:r>
        <w:rPr>
          <w:rFonts w:hint="eastAsia" w:ascii="宋体" w:hAnsi="宋体" w:cs="宋体"/>
          <w:b/>
          <w:bCs/>
          <w:szCs w:val="21"/>
          <w:highlight w:val="none"/>
        </w:rPr>
        <w:t>六、公告期限</w:t>
      </w:r>
      <w:bookmarkEnd w:id="15"/>
    </w:p>
    <w:p w14:paraId="24AF522E">
      <w:pPr>
        <w:widowControl/>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自本公告发布之日起3个工作日，</w:t>
      </w:r>
      <w:r>
        <w:rPr>
          <w:rFonts w:hint="eastAsia" w:ascii="宋体" w:hAnsi="宋体" w:cs="宋体"/>
          <w:szCs w:val="21"/>
          <w:highlight w:val="none"/>
        </w:rPr>
        <w:t>本公告在“政采云”平台（http:// www.zcygov.cn）发布，同步推送到吉林省政府采购网（http://www.ccgp-jilin.gov.cn/）、中国政府采购网</w:t>
      </w:r>
      <w:r>
        <w:rPr>
          <w:rFonts w:hint="eastAsia" w:ascii="宋体" w:hAnsi="宋体" w:cs="宋体"/>
          <w:kern w:val="0"/>
          <w:szCs w:val="21"/>
          <w:highlight w:val="none"/>
        </w:rPr>
        <w:t>。</w:t>
      </w:r>
    </w:p>
    <w:p w14:paraId="74F0693B">
      <w:pPr>
        <w:widowControl/>
        <w:spacing w:line="360" w:lineRule="auto"/>
        <w:ind w:left="495" w:hanging="495"/>
        <w:jc w:val="left"/>
        <w:outlineLvl w:val="1"/>
        <w:rPr>
          <w:rFonts w:hint="eastAsia" w:ascii="宋体" w:hAnsi="宋体" w:cs="宋体"/>
          <w:b/>
          <w:bCs/>
          <w:szCs w:val="21"/>
          <w:highlight w:val="none"/>
        </w:rPr>
      </w:pPr>
      <w:bookmarkStart w:id="16" w:name="_Toc14057"/>
      <w:r>
        <w:rPr>
          <w:rFonts w:hint="eastAsia" w:ascii="宋体" w:hAnsi="宋体" w:cs="宋体"/>
          <w:b/>
          <w:bCs/>
          <w:szCs w:val="21"/>
          <w:highlight w:val="none"/>
        </w:rPr>
        <w:t>七、凡对本次采购提出询问，请按以下方式联系</w:t>
      </w:r>
      <w:bookmarkEnd w:id="16"/>
    </w:p>
    <w:p w14:paraId="4601E7F5">
      <w:pPr>
        <w:widowControl/>
        <w:spacing w:line="360" w:lineRule="auto"/>
        <w:ind w:left="495" w:hanging="495"/>
        <w:jc w:val="left"/>
        <w:outlineLvl w:val="1"/>
        <w:rPr>
          <w:rFonts w:hint="eastAsia" w:ascii="宋体" w:hAnsi="宋体" w:cs="宋体"/>
          <w:szCs w:val="21"/>
          <w:highlight w:val="none"/>
          <w:lang w:val="zh-CN"/>
        </w:rPr>
      </w:pPr>
      <w:bookmarkStart w:id="17" w:name="_Toc20585"/>
      <w:r>
        <w:rPr>
          <w:rFonts w:hint="eastAsia" w:ascii="宋体" w:hAnsi="宋体" w:cs="宋体"/>
          <w:szCs w:val="21"/>
          <w:highlight w:val="none"/>
          <w:lang w:val="zh-CN"/>
        </w:rPr>
        <w:t>1.采购人信息</w:t>
      </w:r>
      <w:bookmarkEnd w:id="17"/>
    </w:p>
    <w:p w14:paraId="522C6EA8">
      <w:pPr>
        <w:widowControl/>
        <w:spacing w:line="360" w:lineRule="auto"/>
        <w:ind w:left="495" w:hanging="495"/>
        <w:jc w:val="left"/>
        <w:outlineLvl w:val="1"/>
        <w:rPr>
          <w:rFonts w:hint="eastAsia" w:ascii="宋体" w:hAnsi="宋体" w:cs="宋体"/>
          <w:szCs w:val="21"/>
          <w:highlight w:val="none"/>
          <w:lang w:val="zh-CN"/>
        </w:rPr>
      </w:pPr>
      <w:bookmarkStart w:id="18" w:name="_Toc10661"/>
      <w:r>
        <w:rPr>
          <w:rFonts w:hint="eastAsia" w:ascii="宋体" w:hAnsi="宋体" w:cs="宋体"/>
          <w:szCs w:val="21"/>
          <w:highlight w:val="none"/>
          <w:lang w:val="zh-CN"/>
        </w:rPr>
        <w:t>名称：吉林省残疾人康复中心（吉林省残疾人辅助器具中心）（吉林省残联康复医院）</w:t>
      </w:r>
      <w:bookmarkEnd w:id="18"/>
    </w:p>
    <w:p w14:paraId="0D9DF5E8">
      <w:pPr>
        <w:widowControl/>
        <w:spacing w:line="360" w:lineRule="auto"/>
        <w:ind w:left="495" w:hanging="495"/>
        <w:jc w:val="left"/>
        <w:outlineLvl w:val="1"/>
        <w:rPr>
          <w:rFonts w:hint="eastAsia" w:ascii="宋体" w:hAnsi="宋体" w:cs="宋体"/>
          <w:szCs w:val="21"/>
          <w:highlight w:val="none"/>
          <w:lang w:val="zh-CN"/>
        </w:rPr>
      </w:pPr>
      <w:bookmarkStart w:id="19" w:name="_Toc10727"/>
      <w:r>
        <w:rPr>
          <w:rFonts w:hint="eastAsia" w:ascii="宋体" w:hAnsi="宋体" w:cs="宋体"/>
          <w:szCs w:val="21"/>
          <w:highlight w:val="none"/>
          <w:lang w:val="zh-CN"/>
        </w:rPr>
        <w:t>地 址：长春市高新区光谷大街1555号</w:t>
      </w:r>
      <w:bookmarkEnd w:id="19"/>
    </w:p>
    <w:p w14:paraId="7FEF74B5">
      <w:pPr>
        <w:widowControl/>
        <w:spacing w:line="360" w:lineRule="auto"/>
        <w:ind w:left="495" w:hanging="495"/>
        <w:jc w:val="left"/>
        <w:outlineLvl w:val="1"/>
        <w:rPr>
          <w:rFonts w:hint="eastAsia" w:ascii="宋体" w:hAnsi="宋体" w:cs="宋体"/>
          <w:szCs w:val="21"/>
          <w:highlight w:val="none"/>
          <w:lang w:val="zh-CN"/>
        </w:rPr>
      </w:pPr>
      <w:bookmarkStart w:id="20" w:name="_Toc19884"/>
      <w:r>
        <w:rPr>
          <w:rFonts w:hint="eastAsia" w:ascii="宋体" w:hAnsi="宋体" w:cs="宋体"/>
          <w:szCs w:val="21"/>
          <w:highlight w:val="none"/>
          <w:lang w:val="zh-CN"/>
        </w:rPr>
        <w:t>联系方式：姜树山  0431-81797288</w:t>
      </w:r>
      <w:bookmarkEnd w:id="20"/>
    </w:p>
    <w:p w14:paraId="205D4322">
      <w:pPr>
        <w:widowControl/>
        <w:spacing w:line="360" w:lineRule="auto"/>
        <w:ind w:left="495" w:hanging="495"/>
        <w:jc w:val="left"/>
        <w:outlineLvl w:val="1"/>
        <w:rPr>
          <w:rFonts w:hint="eastAsia" w:ascii="宋体" w:hAnsi="宋体" w:cs="宋体"/>
          <w:szCs w:val="21"/>
          <w:highlight w:val="none"/>
          <w:lang w:val="zh-CN"/>
        </w:rPr>
      </w:pPr>
      <w:bookmarkStart w:id="21" w:name="_Toc23409"/>
      <w:r>
        <w:rPr>
          <w:rFonts w:hint="eastAsia" w:ascii="宋体" w:hAnsi="宋体" w:cs="宋体"/>
          <w:szCs w:val="21"/>
          <w:highlight w:val="none"/>
          <w:lang w:val="zh-CN"/>
        </w:rPr>
        <w:t>2.采购代理机构信息</w:t>
      </w:r>
      <w:bookmarkEnd w:id="21"/>
    </w:p>
    <w:p w14:paraId="34E54119">
      <w:pPr>
        <w:widowControl/>
        <w:spacing w:line="360" w:lineRule="auto"/>
        <w:ind w:left="495" w:hanging="495"/>
        <w:jc w:val="left"/>
        <w:outlineLvl w:val="1"/>
        <w:rPr>
          <w:rFonts w:hint="eastAsia" w:ascii="宋体" w:hAnsi="宋体" w:cs="宋体"/>
          <w:szCs w:val="21"/>
          <w:highlight w:val="none"/>
          <w:lang w:val="zh-CN"/>
        </w:rPr>
      </w:pPr>
      <w:bookmarkStart w:id="22" w:name="_Toc21210"/>
      <w:r>
        <w:rPr>
          <w:rFonts w:hint="eastAsia" w:ascii="宋体" w:hAnsi="宋体" w:cs="宋体"/>
          <w:szCs w:val="21"/>
          <w:highlight w:val="none"/>
          <w:lang w:val="zh-CN"/>
        </w:rPr>
        <w:t>名称：吉林融鼎工程项目管理有限公司</w:t>
      </w:r>
      <w:bookmarkEnd w:id="22"/>
    </w:p>
    <w:p w14:paraId="59FF3C70">
      <w:pPr>
        <w:widowControl/>
        <w:spacing w:line="360" w:lineRule="auto"/>
        <w:ind w:left="495" w:hanging="495"/>
        <w:jc w:val="left"/>
        <w:outlineLvl w:val="1"/>
        <w:rPr>
          <w:rFonts w:hint="eastAsia" w:ascii="宋体" w:hAnsi="宋体" w:cs="宋体"/>
          <w:szCs w:val="21"/>
          <w:highlight w:val="none"/>
          <w:lang w:val="zh-CN"/>
        </w:rPr>
      </w:pPr>
      <w:bookmarkStart w:id="23" w:name="_Toc9891"/>
      <w:r>
        <w:rPr>
          <w:rFonts w:hint="eastAsia" w:ascii="宋体" w:hAnsi="宋体" w:cs="宋体"/>
          <w:szCs w:val="21"/>
          <w:highlight w:val="none"/>
          <w:lang w:val="zh-CN"/>
        </w:rPr>
        <w:t>地址：长春市高新区硅谷大街7111号13楼</w:t>
      </w:r>
      <w:bookmarkEnd w:id="23"/>
    </w:p>
    <w:p w14:paraId="2FBE8528">
      <w:pPr>
        <w:widowControl/>
        <w:spacing w:line="360" w:lineRule="auto"/>
        <w:ind w:left="495" w:hanging="495"/>
        <w:jc w:val="left"/>
        <w:outlineLvl w:val="1"/>
        <w:rPr>
          <w:rFonts w:hint="eastAsia" w:ascii="宋体" w:hAnsi="宋体" w:cs="宋体"/>
          <w:szCs w:val="21"/>
          <w:highlight w:val="none"/>
          <w:lang w:val="zh-CN"/>
        </w:rPr>
      </w:pPr>
      <w:bookmarkStart w:id="24" w:name="_Toc26796"/>
      <w:r>
        <w:rPr>
          <w:rFonts w:hint="eastAsia" w:ascii="宋体" w:hAnsi="宋体" w:cs="宋体"/>
          <w:szCs w:val="21"/>
          <w:highlight w:val="none"/>
          <w:lang w:val="zh-CN"/>
        </w:rPr>
        <w:t>联系方式：万金雪 19917226969</w:t>
      </w:r>
      <w:bookmarkEnd w:id="24"/>
    </w:p>
    <w:p w14:paraId="3B071BA9">
      <w:pPr>
        <w:widowControl/>
        <w:spacing w:line="360" w:lineRule="auto"/>
        <w:ind w:left="495" w:hanging="495"/>
        <w:jc w:val="left"/>
        <w:outlineLvl w:val="1"/>
        <w:rPr>
          <w:rFonts w:hint="eastAsia" w:ascii="宋体" w:hAnsi="宋体" w:cs="宋体"/>
          <w:szCs w:val="21"/>
          <w:highlight w:val="none"/>
          <w:lang w:val="zh-CN"/>
        </w:rPr>
      </w:pPr>
      <w:bookmarkStart w:id="25" w:name="_Toc26645"/>
      <w:r>
        <w:rPr>
          <w:rFonts w:hint="eastAsia" w:ascii="宋体" w:hAnsi="宋体" w:cs="宋体"/>
          <w:szCs w:val="21"/>
          <w:highlight w:val="none"/>
          <w:lang w:val="zh-CN"/>
        </w:rPr>
        <w:t>3.项目联系方式</w:t>
      </w:r>
      <w:bookmarkEnd w:id="25"/>
    </w:p>
    <w:p w14:paraId="1ABCEADA">
      <w:pPr>
        <w:widowControl/>
        <w:spacing w:line="360" w:lineRule="auto"/>
        <w:ind w:left="495" w:hanging="495"/>
        <w:jc w:val="left"/>
        <w:outlineLvl w:val="1"/>
        <w:rPr>
          <w:rFonts w:hint="eastAsia" w:ascii="宋体" w:hAnsi="宋体" w:cs="宋体"/>
          <w:szCs w:val="21"/>
          <w:highlight w:val="none"/>
          <w:lang w:val="zh-CN"/>
        </w:rPr>
      </w:pPr>
      <w:bookmarkStart w:id="26" w:name="_Toc24635"/>
      <w:r>
        <w:rPr>
          <w:rFonts w:hint="eastAsia" w:ascii="宋体" w:hAnsi="宋体" w:cs="宋体"/>
          <w:szCs w:val="21"/>
          <w:highlight w:val="none"/>
          <w:lang w:val="zh-CN"/>
        </w:rPr>
        <w:t>项目联系人：万金雪</w:t>
      </w:r>
      <w:bookmarkEnd w:id="26"/>
    </w:p>
    <w:p w14:paraId="5C8A7979">
      <w:pPr>
        <w:widowControl/>
        <w:spacing w:line="360" w:lineRule="auto"/>
        <w:ind w:left="495" w:hanging="495"/>
        <w:jc w:val="left"/>
        <w:outlineLvl w:val="1"/>
        <w:rPr>
          <w:rFonts w:hint="eastAsia" w:ascii="宋体" w:hAnsi="宋体" w:cs="宋体"/>
          <w:szCs w:val="21"/>
          <w:highlight w:val="none"/>
          <w:lang w:val="zh-CN"/>
        </w:rPr>
      </w:pPr>
      <w:bookmarkStart w:id="27" w:name="_Toc32727"/>
      <w:r>
        <w:rPr>
          <w:rFonts w:hint="eastAsia" w:ascii="宋体" w:hAnsi="宋体" w:cs="宋体"/>
          <w:szCs w:val="21"/>
          <w:highlight w:val="none"/>
          <w:lang w:val="zh-CN"/>
        </w:rPr>
        <w:t>电 话：19917226969</w:t>
      </w:r>
      <w:bookmarkEnd w:id="27"/>
    </w:p>
    <w:p w14:paraId="4762ED59">
      <w:pPr>
        <w:widowControl/>
        <w:spacing w:line="360" w:lineRule="auto"/>
        <w:ind w:left="495" w:hanging="495"/>
        <w:jc w:val="left"/>
        <w:outlineLvl w:val="1"/>
        <w:rPr>
          <w:rFonts w:hint="eastAsia" w:ascii="宋体" w:hAnsi="宋体" w:cs="宋体"/>
          <w:szCs w:val="21"/>
          <w:highlight w:val="none"/>
          <w:lang w:val="zh-CN"/>
        </w:rPr>
      </w:pPr>
      <w:bookmarkStart w:id="28" w:name="_Toc1868"/>
      <w:r>
        <w:rPr>
          <w:rFonts w:hint="eastAsia" w:ascii="宋体" w:hAnsi="宋体" w:cs="宋体"/>
          <w:szCs w:val="21"/>
          <w:highlight w:val="none"/>
          <w:lang w:val="zh-CN"/>
        </w:rPr>
        <w:t>4.监督机构：吉林省财政厅政府采购管理处</w:t>
      </w:r>
      <w:bookmarkEnd w:id="28"/>
    </w:p>
    <w:p w14:paraId="7AB653B6">
      <w:pPr>
        <w:rPr>
          <w:rFonts w:hint="eastAsia" w:cs="宋体"/>
          <w:b/>
          <w:bCs/>
          <w:sz w:val="36"/>
          <w:highlight w:val="none"/>
        </w:rPr>
      </w:pPr>
      <w:bookmarkStart w:id="29" w:name="_Toc706"/>
      <w:r>
        <w:rPr>
          <w:rFonts w:hint="eastAsia" w:cs="宋体"/>
          <w:b/>
          <w:bCs/>
          <w:sz w:val="36"/>
          <w:highlight w:val="none"/>
        </w:rPr>
        <w:br w:type="page"/>
      </w:r>
    </w:p>
    <w:p w14:paraId="393859BB">
      <w:pPr>
        <w:widowControl/>
        <w:jc w:val="center"/>
        <w:outlineLvl w:val="1"/>
        <w:rPr>
          <w:rFonts w:cs="宋体"/>
          <w:b/>
          <w:bCs/>
          <w:sz w:val="36"/>
          <w:highlight w:val="none"/>
        </w:rPr>
      </w:pPr>
      <w:bookmarkStart w:id="101" w:name="_GoBack"/>
      <w:bookmarkEnd w:id="101"/>
      <w:r>
        <w:rPr>
          <w:rFonts w:hint="eastAsia" w:cs="宋体"/>
          <w:b/>
          <w:bCs/>
          <w:sz w:val="36"/>
          <w:highlight w:val="none"/>
        </w:rPr>
        <w:t>第二章 竞争性谈判文件</w:t>
      </w:r>
      <w:bookmarkEnd w:id="2"/>
      <w:bookmarkEnd w:id="29"/>
    </w:p>
    <w:p w14:paraId="41D73213">
      <w:pPr>
        <w:pStyle w:val="4"/>
        <w:numPr>
          <w:ilvl w:val="2"/>
          <w:numId w:val="0"/>
        </w:numPr>
        <w:spacing w:line="240" w:lineRule="auto"/>
        <w:rPr>
          <w:rFonts w:hint="eastAsia" w:ascii="宋体" w:hAnsi="宋体" w:cs="宋体"/>
          <w:highlight w:val="none"/>
        </w:rPr>
      </w:pPr>
      <w:bookmarkStart w:id="30" w:name="_Toc465069552"/>
      <w:bookmarkStart w:id="31" w:name="_Toc18770"/>
      <w:bookmarkStart w:id="32" w:name="_Toc19668"/>
      <w:r>
        <w:rPr>
          <w:rFonts w:hint="eastAsia" w:ascii="宋体" w:hAnsi="宋体" w:cs="宋体"/>
          <w:highlight w:val="none"/>
        </w:rPr>
        <w:t>（一）竞争性谈判须知前附表</w:t>
      </w:r>
      <w:bookmarkEnd w:id="30"/>
      <w:bookmarkEnd w:id="31"/>
      <w:bookmarkEnd w:id="32"/>
    </w:p>
    <w:tbl>
      <w:tblPr>
        <w:tblStyle w:val="60"/>
        <w:tblW w:w="10046" w:type="dxa"/>
        <w:tblInd w:w="-39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101"/>
      </w:tblGrid>
      <w:tr w14:paraId="1112A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45" w:type="dxa"/>
            <w:tcBorders>
              <w:top w:val="single" w:color="000000" w:sz="4" w:space="0"/>
              <w:bottom w:val="single" w:color="000000" w:sz="4" w:space="0"/>
              <w:right w:val="single" w:color="auto" w:sz="4" w:space="0"/>
            </w:tcBorders>
            <w:vAlign w:val="center"/>
          </w:tcPr>
          <w:p w14:paraId="77A8E641">
            <w:pPr>
              <w:spacing w:line="360" w:lineRule="auto"/>
              <w:jc w:val="center"/>
              <w:rPr>
                <w:szCs w:val="21"/>
                <w:highlight w:val="none"/>
              </w:rPr>
            </w:pPr>
            <w:r>
              <w:rPr>
                <w:rFonts w:hint="eastAsia"/>
                <w:szCs w:val="21"/>
                <w:highlight w:val="none"/>
              </w:rPr>
              <w:t>序号</w:t>
            </w:r>
          </w:p>
        </w:tc>
        <w:tc>
          <w:tcPr>
            <w:tcW w:w="9101" w:type="dxa"/>
            <w:tcBorders>
              <w:top w:val="single" w:color="000000" w:sz="4" w:space="0"/>
              <w:left w:val="single" w:color="auto" w:sz="4" w:space="0"/>
              <w:bottom w:val="single" w:color="000000" w:sz="4" w:space="0"/>
            </w:tcBorders>
            <w:vAlign w:val="center"/>
          </w:tcPr>
          <w:p w14:paraId="25964646">
            <w:pPr>
              <w:spacing w:line="360" w:lineRule="auto"/>
              <w:jc w:val="center"/>
              <w:rPr>
                <w:szCs w:val="21"/>
                <w:highlight w:val="none"/>
              </w:rPr>
            </w:pPr>
            <w:r>
              <w:rPr>
                <w:rFonts w:hint="eastAsia"/>
                <w:szCs w:val="21"/>
                <w:highlight w:val="none"/>
              </w:rPr>
              <w:t>内      容</w:t>
            </w:r>
          </w:p>
        </w:tc>
      </w:tr>
      <w:tr w14:paraId="1915F7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945" w:type="dxa"/>
            <w:tcBorders>
              <w:top w:val="single" w:color="000000" w:sz="4" w:space="0"/>
              <w:bottom w:val="single" w:color="000000" w:sz="4" w:space="0"/>
              <w:right w:val="single" w:color="auto" w:sz="4" w:space="0"/>
            </w:tcBorders>
            <w:vAlign w:val="center"/>
          </w:tcPr>
          <w:p w14:paraId="1466A4F0">
            <w:pPr>
              <w:spacing w:line="360" w:lineRule="auto"/>
              <w:jc w:val="center"/>
              <w:rPr>
                <w:szCs w:val="21"/>
                <w:highlight w:val="none"/>
              </w:rPr>
            </w:pPr>
            <w:r>
              <w:rPr>
                <w:rFonts w:hint="eastAsia"/>
                <w:szCs w:val="21"/>
                <w:highlight w:val="none"/>
              </w:rPr>
              <w:t>1</w:t>
            </w:r>
          </w:p>
        </w:tc>
        <w:tc>
          <w:tcPr>
            <w:tcW w:w="9101" w:type="dxa"/>
            <w:tcBorders>
              <w:top w:val="single" w:color="000000" w:sz="4" w:space="0"/>
              <w:left w:val="single" w:color="auto" w:sz="4" w:space="0"/>
              <w:bottom w:val="single" w:color="000000" w:sz="4" w:space="0"/>
            </w:tcBorders>
            <w:vAlign w:val="center"/>
          </w:tcPr>
          <w:p w14:paraId="40D23992">
            <w:pPr>
              <w:spacing w:line="360" w:lineRule="auto"/>
              <w:jc w:val="left"/>
              <w:rPr>
                <w:rFonts w:ascii="宋体"/>
                <w:szCs w:val="21"/>
                <w:highlight w:val="none"/>
              </w:rPr>
            </w:pPr>
            <w:r>
              <w:rPr>
                <w:rFonts w:hint="eastAsia" w:ascii="宋体"/>
                <w:szCs w:val="21"/>
                <w:highlight w:val="none"/>
              </w:rPr>
              <w:t>采购人名称：吉林省残疾人康复中心（吉林省残疾人辅助器具中心）（吉林省残联康复医院）</w:t>
            </w:r>
          </w:p>
          <w:p w14:paraId="5BF75A39">
            <w:pPr>
              <w:spacing w:line="360" w:lineRule="auto"/>
              <w:jc w:val="left"/>
              <w:rPr>
                <w:rFonts w:ascii="宋体"/>
                <w:szCs w:val="21"/>
                <w:highlight w:val="none"/>
              </w:rPr>
            </w:pPr>
            <w:r>
              <w:rPr>
                <w:rFonts w:hint="eastAsia" w:ascii="宋体"/>
                <w:szCs w:val="21"/>
                <w:highlight w:val="none"/>
              </w:rPr>
              <w:t>地 址：长春市高新区光谷大街1555号</w:t>
            </w:r>
          </w:p>
          <w:p w14:paraId="3B4D21C9">
            <w:pPr>
              <w:spacing w:line="360" w:lineRule="auto"/>
              <w:jc w:val="left"/>
              <w:rPr>
                <w:rFonts w:ascii="宋体"/>
                <w:szCs w:val="21"/>
                <w:highlight w:val="none"/>
              </w:rPr>
            </w:pPr>
            <w:r>
              <w:rPr>
                <w:rFonts w:hint="eastAsia" w:ascii="宋体"/>
                <w:szCs w:val="21"/>
                <w:highlight w:val="none"/>
              </w:rPr>
              <w:t>联系方式：姜树山  0431-81797288</w:t>
            </w:r>
          </w:p>
        </w:tc>
      </w:tr>
      <w:tr w14:paraId="5A1D6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1" w:hRule="atLeast"/>
        </w:trPr>
        <w:tc>
          <w:tcPr>
            <w:tcW w:w="945" w:type="dxa"/>
            <w:tcBorders>
              <w:top w:val="single" w:color="000000" w:sz="4" w:space="0"/>
              <w:bottom w:val="single" w:color="auto" w:sz="4" w:space="0"/>
              <w:right w:val="single" w:color="000000" w:sz="4" w:space="0"/>
            </w:tcBorders>
            <w:vAlign w:val="center"/>
          </w:tcPr>
          <w:p w14:paraId="7AB6A864">
            <w:pPr>
              <w:spacing w:line="360" w:lineRule="auto"/>
              <w:jc w:val="center"/>
              <w:rPr>
                <w:rFonts w:ascii="Calibri" w:hAnsi="Calibri"/>
                <w:szCs w:val="21"/>
                <w:highlight w:val="none"/>
              </w:rPr>
            </w:pPr>
            <w:r>
              <w:rPr>
                <w:rFonts w:hint="eastAsia" w:ascii="Calibri" w:hAnsi="Calibri"/>
                <w:szCs w:val="21"/>
                <w:highlight w:val="none"/>
              </w:rPr>
              <w:t>2</w:t>
            </w:r>
          </w:p>
        </w:tc>
        <w:tc>
          <w:tcPr>
            <w:tcW w:w="9101" w:type="dxa"/>
            <w:tcBorders>
              <w:top w:val="single" w:color="000000" w:sz="4" w:space="0"/>
              <w:left w:val="single" w:color="000000" w:sz="4" w:space="0"/>
              <w:bottom w:val="single" w:color="auto" w:sz="4" w:space="0"/>
              <w:right w:val="single" w:color="000000" w:sz="4" w:space="0"/>
            </w:tcBorders>
            <w:vAlign w:val="center"/>
          </w:tcPr>
          <w:p w14:paraId="4C670AC0">
            <w:pPr>
              <w:spacing w:line="360" w:lineRule="auto"/>
              <w:jc w:val="left"/>
              <w:rPr>
                <w:rFonts w:ascii="宋体"/>
                <w:szCs w:val="21"/>
                <w:highlight w:val="none"/>
              </w:rPr>
            </w:pPr>
            <w:r>
              <w:rPr>
                <w:rFonts w:hint="eastAsia" w:ascii="宋体"/>
                <w:szCs w:val="21"/>
                <w:highlight w:val="none"/>
              </w:rPr>
              <w:t>采购代理机构名称：吉林融鼎工程项目管理有限公司</w:t>
            </w:r>
          </w:p>
          <w:p w14:paraId="28143C7F">
            <w:pPr>
              <w:spacing w:line="360" w:lineRule="auto"/>
              <w:jc w:val="left"/>
              <w:rPr>
                <w:rFonts w:ascii="宋体"/>
                <w:szCs w:val="21"/>
                <w:highlight w:val="none"/>
              </w:rPr>
            </w:pPr>
            <w:r>
              <w:rPr>
                <w:rFonts w:hint="eastAsia" w:ascii="宋体"/>
                <w:szCs w:val="21"/>
                <w:highlight w:val="none"/>
              </w:rPr>
              <w:t>地址：长春市高新区硅谷大街7111号13楼</w:t>
            </w:r>
          </w:p>
          <w:p w14:paraId="2B619853">
            <w:pPr>
              <w:spacing w:line="360" w:lineRule="auto"/>
              <w:jc w:val="left"/>
              <w:rPr>
                <w:rFonts w:ascii="Calibri" w:hAnsi="Calibri"/>
                <w:szCs w:val="21"/>
                <w:highlight w:val="none"/>
              </w:rPr>
            </w:pPr>
            <w:r>
              <w:rPr>
                <w:rFonts w:hint="eastAsia" w:ascii="宋体"/>
                <w:szCs w:val="21"/>
                <w:highlight w:val="none"/>
              </w:rPr>
              <w:t>联系方式：万金雪 19917226969</w:t>
            </w:r>
          </w:p>
        </w:tc>
      </w:tr>
      <w:tr w14:paraId="410815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45" w:type="dxa"/>
            <w:tcBorders>
              <w:top w:val="single" w:color="auto" w:sz="4" w:space="0"/>
              <w:bottom w:val="single" w:color="000000" w:sz="4" w:space="0"/>
              <w:right w:val="single" w:color="000000" w:sz="4" w:space="0"/>
            </w:tcBorders>
            <w:vAlign w:val="center"/>
          </w:tcPr>
          <w:p w14:paraId="35002DC3">
            <w:pPr>
              <w:spacing w:line="360" w:lineRule="auto"/>
              <w:jc w:val="center"/>
              <w:rPr>
                <w:szCs w:val="21"/>
                <w:highlight w:val="none"/>
              </w:rPr>
            </w:pPr>
            <w:r>
              <w:rPr>
                <w:rFonts w:hint="eastAsia"/>
                <w:szCs w:val="21"/>
                <w:highlight w:val="none"/>
              </w:rPr>
              <w:t>3</w:t>
            </w:r>
          </w:p>
        </w:tc>
        <w:tc>
          <w:tcPr>
            <w:tcW w:w="9101" w:type="dxa"/>
            <w:tcBorders>
              <w:top w:val="single" w:color="auto" w:sz="4" w:space="0"/>
              <w:left w:val="single" w:color="000000" w:sz="4" w:space="0"/>
              <w:bottom w:val="single" w:color="000000" w:sz="4" w:space="0"/>
              <w:right w:val="single" w:color="000000" w:sz="4" w:space="0"/>
            </w:tcBorders>
          </w:tcPr>
          <w:p w14:paraId="62E866E2">
            <w:pPr>
              <w:spacing w:line="360" w:lineRule="auto"/>
              <w:rPr>
                <w:rFonts w:ascii="Calibri" w:hAnsi="Calibri"/>
                <w:szCs w:val="21"/>
                <w:highlight w:val="none"/>
              </w:rPr>
            </w:pPr>
            <w:r>
              <w:rPr>
                <w:rFonts w:hint="eastAsia"/>
                <w:szCs w:val="21"/>
                <w:highlight w:val="none"/>
              </w:rPr>
              <w:t>项目</w:t>
            </w:r>
            <w:r>
              <w:rPr>
                <w:rFonts w:hint="eastAsia" w:ascii="Calibri" w:hAnsi="Calibri"/>
                <w:szCs w:val="21"/>
                <w:highlight w:val="none"/>
              </w:rPr>
              <w:t>名称：2026年仿生假肢材料（二次）</w:t>
            </w:r>
          </w:p>
          <w:p w14:paraId="08BFCC2A">
            <w:pPr>
              <w:spacing w:line="360" w:lineRule="auto"/>
              <w:rPr>
                <w:szCs w:val="21"/>
                <w:highlight w:val="none"/>
              </w:rPr>
            </w:pPr>
            <w:r>
              <w:rPr>
                <w:rFonts w:hint="eastAsia" w:ascii="宋体" w:hAnsi="宋体" w:cs="宋体"/>
                <w:kern w:val="0"/>
                <w:szCs w:val="21"/>
                <w:highlight w:val="none"/>
              </w:rPr>
              <w:t>招标项目编号</w:t>
            </w:r>
            <w:r>
              <w:rPr>
                <w:rFonts w:hint="eastAsia" w:ascii="Calibri" w:hAnsi="Calibri"/>
                <w:szCs w:val="21"/>
                <w:highlight w:val="none"/>
              </w:rPr>
              <w:t>：采购计划-[2026]-04996号-1</w:t>
            </w:r>
          </w:p>
        </w:tc>
      </w:tr>
      <w:tr w14:paraId="0F96E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000000" w:sz="4" w:space="0"/>
              <w:right w:val="single" w:color="000000" w:sz="4" w:space="0"/>
            </w:tcBorders>
            <w:vAlign w:val="center"/>
          </w:tcPr>
          <w:p w14:paraId="6E2D3905">
            <w:pPr>
              <w:spacing w:line="360" w:lineRule="auto"/>
              <w:jc w:val="center"/>
              <w:rPr>
                <w:szCs w:val="21"/>
                <w:highlight w:val="none"/>
              </w:rPr>
            </w:pPr>
            <w:r>
              <w:rPr>
                <w:rFonts w:hint="eastAsia"/>
                <w:szCs w:val="21"/>
                <w:highlight w:val="none"/>
              </w:rPr>
              <w:t>4</w:t>
            </w:r>
          </w:p>
        </w:tc>
        <w:tc>
          <w:tcPr>
            <w:tcW w:w="9101" w:type="dxa"/>
            <w:tcBorders>
              <w:top w:val="single" w:color="000000" w:sz="4" w:space="0"/>
              <w:left w:val="single" w:color="000000" w:sz="4" w:space="0"/>
              <w:bottom w:val="single" w:color="000000" w:sz="4" w:space="0"/>
            </w:tcBorders>
            <w:vAlign w:val="center"/>
          </w:tcPr>
          <w:p w14:paraId="57F16223">
            <w:pPr>
              <w:spacing w:line="360" w:lineRule="auto"/>
              <w:rPr>
                <w:szCs w:val="21"/>
                <w:highlight w:val="none"/>
              </w:rPr>
            </w:pPr>
            <w:r>
              <w:rPr>
                <w:rFonts w:hint="eastAsia"/>
                <w:szCs w:val="21"/>
                <w:highlight w:val="none"/>
              </w:rPr>
              <w:t>采购方式：竞争性谈判</w:t>
            </w:r>
          </w:p>
          <w:p w14:paraId="624EB327">
            <w:pPr>
              <w:spacing w:line="360" w:lineRule="auto"/>
              <w:rPr>
                <w:szCs w:val="21"/>
                <w:highlight w:val="none"/>
              </w:rPr>
            </w:pPr>
            <w:r>
              <w:rPr>
                <w:rFonts w:hint="eastAsia"/>
                <w:szCs w:val="21"/>
                <w:highlight w:val="none"/>
              </w:rPr>
              <w:t>资格审查：资格后审</w:t>
            </w:r>
          </w:p>
          <w:p w14:paraId="003BC23A">
            <w:pPr>
              <w:spacing w:line="360" w:lineRule="auto"/>
              <w:rPr>
                <w:szCs w:val="21"/>
                <w:highlight w:val="none"/>
              </w:rPr>
            </w:pPr>
            <w:r>
              <w:rPr>
                <w:rFonts w:hint="eastAsia"/>
                <w:szCs w:val="21"/>
                <w:highlight w:val="none"/>
              </w:rPr>
              <w:t>评审方法：最低评标价法</w:t>
            </w:r>
          </w:p>
        </w:tc>
      </w:tr>
      <w:tr w14:paraId="14406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000000" w:sz="4" w:space="0"/>
              <w:right w:val="single" w:color="000000" w:sz="4" w:space="0"/>
            </w:tcBorders>
            <w:vAlign w:val="center"/>
          </w:tcPr>
          <w:p w14:paraId="2AA22A00">
            <w:pPr>
              <w:spacing w:line="360" w:lineRule="auto"/>
              <w:jc w:val="center"/>
              <w:rPr>
                <w:szCs w:val="21"/>
                <w:highlight w:val="none"/>
              </w:rPr>
            </w:pPr>
            <w:r>
              <w:rPr>
                <w:rFonts w:hint="eastAsia"/>
                <w:szCs w:val="21"/>
                <w:highlight w:val="none"/>
              </w:rPr>
              <w:t>5</w:t>
            </w:r>
          </w:p>
        </w:tc>
        <w:tc>
          <w:tcPr>
            <w:tcW w:w="9101" w:type="dxa"/>
            <w:tcBorders>
              <w:top w:val="single" w:color="000000" w:sz="4" w:space="0"/>
              <w:left w:val="single" w:color="000000" w:sz="4" w:space="0"/>
              <w:bottom w:val="single" w:color="000000" w:sz="4" w:space="0"/>
            </w:tcBorders>
            <w:vAlign w:val="center"/>
          </w:tcPr>
          <w:p w14:paraId="2A31FFF3">
            <w:pPr>
              <w:spacing w:line="360" w:lineRule="auto"/>
              <w:rPr>
                <w:szCs w:val="21"/>
                <w:highlight w:val="none"/>
              </w:rPr>
            </w:pPr>
            <w:r>
              <w:rPr>
                <w:rFonts w:hint="eastAsia"/>
                <w:szCs w:val="21"/>
                <w:highlight w:val="none"/>
              </w:rPr>
              <w:t>资金来源：自筹</w:t>
            </w:r>
            <w:r>
              <w:rPr>
                <w:rFonts w:hint="eastAsia" w:ascii="宋体" w:hAnsi="宋体" w:cs="宋体"/>
                <w:kern w:val="0"/>
                <w:szCs w:val="21"/>
                <w:highlight w:val="none"/>
              </w:rPr>
              <w:t>资金</w:t>
            </w:r>
          </w:p>
          <w:p w14:paraId="5B34D0F0">
            <w:pPr>
              <w:spacing w:line="360" w:lineRule="auto"/>
              <w:rPr>
                <w:szCs w:val="21"/>
                <w:highlight w:val="none"/>
              </w:rPr>
            </w:pPr>
            <w:r>
              <w:rPr>
                <w:rFonts w:hint="eastAsia"/>
                <w:szCs w:val="21"/>
                <w:highlight w:val="none"/>
              </w:rPr>
              <w:t xml:space="preserve">落实情况：已落实 </w:t>
            </w:r>
          </w:p>
        </w:tc>
      </w:tr>
      <w:tr w14:paraId="78490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000000" w:sz="4" w:space="0"/>
              <w:right w:val="single" w:color="000000" w:sz="4" w:space="0"/>
            </w:tcBorders>
            <w:vAlign w:val="center"/>
          </w:tcPr>
          <w:p w14:paraId="04F6B9CC">
            <w:pPr>
              <w:spacing w:line="360" w:lineRule="auto"/>
              <w:jc w:val="center"/>
              <w:rPr>
                <w:szCs w:val="21"/>
                <w:highlight w:val="none"/>
              </w:rPr>
            </w:pPr>
            <w:r>
              <w:rPr>
                <w:rFonts w:hint="eastAsia"/>
                <w:szCs w:val="21"/>
                <w:highlight w:val="none"/>
              </w:rPr>
              <w:t>6</w:t>
            </w:r>
          </w:p>
        </w:tc>
        <w:tc>
          <w:tcPr>
            <w:tcW w:w="9101" w:type="dxa"/>
            <w:tcBorders>
              <w:top w:val="single" w:color="000000" w:sz="4" w:space="0"/>
              <w:left w:val="single" w:color="000000" w:sz="4" w:space="0"/>
              <w:bottom w:val="single" w:color="000000" w:sz="4" w:space="0"/>
            </w:tcBorders>
            <w:vAlign w:val="center"/>
          </w:tcPr>
          <w:p w14:paraId="0842732C">
            <w:pPr>
              <w:spacing w:line="360" w:lineRule="auto"/>
              <w:rPr>
                <w:rFonts w:hint="eastAsia" w:ascii="宋体" w:hAnsi="宋体" w:cs="宋体"/>
                <w:kern w:val="0"/>
                <w:szCs w:val="21"/>
                <w:highlight w:val="none"/>
              </w:rPr>
            </w:pPr>
            <w:r>
              <w:rPr>
                <w:rFonts w:hint="eastAsia" w:ascii="宋体" w:hAnsi="宋体" w:cs="宋体"/>
                <w:kern w:val="0"/>
                <w:szCs w:val="21"/>
                <w:highlight w:val="none"/>
              </w:rPr>
              <w:t>采购内容：2026年仿生假肢材料（二次）采购，具体要求详见谈判文件</w:t>
            </w:r>
          </w:p>
        </w:tc>
      </w:tr>
      <w:tr w14:paraId="3B7F3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000000" w:sz="4" w:space="0"/>
              <w:right w:val="single" w:color="000000" w:sz="4" w:space="0"/>
            </w:tcBorders>
            <w:vAlign w:val="center"/>
          </w:tcPr>
          <w:p w14:paraId="25369779">
            <w:pPr>
              <w:spacing w:line="360" w:lineRule="auto"/>
              <w:jc w:val="center"/>
              <w:rPr>
                <w:szCs w:val="21"/>
                <w:highlight w:val="none"/>
              </w:rPr>
            </w:pPr>
            <w:r>
              <w:rPr>
                <w:rFonts w:hint="eastAsia"/>
                <w:szCs w:val="21"/>
                <w:highlight w:val="none"/>
              </w:rPr>
              <w:t>7</w:t>
            </w:r>
          </w:p>
        </w:tc>
        <w:tc>
          <w:tcPr>
            <w:tcW w:w="9101" w:type="dxa"/>
            <w:tcBorders>
              <w:top w:val="single" w:color="000000" w:sz="4" w:space="0"/>
              <w:left w:val="single" w:color="000000" w:sz="4" w:space="0"/>
              <w:bottom w:val="single" w:color="000000" w:sz="4" w:space="0"/>
            </w:tcBorders>
            <w:vAlign w:val="center"/>
          </w:tcPr>
          <w:p w14:paraId="3A5DCC9B">
            <w:pPr>
              <w:spacing w:line="360" w:lineRule="auto"/>
              <w:rPr>
                <w:rFonts w:hint="eastAsia" w:ascii="宋体" w:hAnsi="宋体" w:cs="宋体"/>
                <w:kern w:val="0"/>
                <w:szCs w:val="21"/>
                <w:highlight w:val="none"/>
              </w:rPr>
            </w:pPr>
            <w:r>
              <w:rPr>
                <w:rFonts w:hint="eastAsia" w:ascii="宋体" w:hAnsi="宋体" w:cs="宋体"/>
                <w:kern w:val="0"/>
                <w:szCs w:val="21"/>
                <w:highlight w:val="none"/>
              </w:rPr>
              <w:t>合同履行期限：合同订立后30天</w:t>
            </w:r>
          </w:p>
        </w:tc>
      </w:tr>
      <w:tr w14:paraId="626A5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000000" w:sz="4" w:space="0"/>
              <w:right w:val="single" w:color="000000" w:sz="4" w:space="0"/>
            </w:tcBorders>
            <w:vAlign w:val="center"/>
          </w:tcPr>
          <w:p w14:paraId="19E28DEB">
            <w:pPr>
              <w:spacing w:line="360" w:lineRule="auto"/>
              <w:jc w:val="center"/>
              <w:rPr>
                <w:szCs w:val="21"/>
                <w:highlight w:val="none"/>
              </w:rPr>
            </w:pPr>
            <w:r>
              <w:rPr>
                <w:rFonts w:hint="eastAsia"/>
                <w:szCs w:val="21"/>
                <w:highlight w:val="none"/>
              </w:rPr>
              <w:t>8</w:t>
            </w:r>
          </w:p>
        </w:tc>
        <w:tc>
          <w:tcPr>
            <w:tcW w:w="9101" w:type="dxa"/>
            <w:tcBorders>
              <w:top w:val="single" w:color="000000" w:sz="4" w:space="0"/>
              <w:left w:val="single" w:color="000000" w:sz="4" w:space="0"/>
              <w:bottom w:val="single" w:color="000000" w:sz="4" w:space="0"/>
            </w:tcBorders>
            <w:vAlign w:val="center"/>
          </w:tcPr>
          <w:p w14:paraId="236B3203">
            <w:pPr>
              <w:spacing w:line="360" w:lineRule="auto"/>
              <w:rPr>
                <w:szCs w:val="21"/>
                <w:highlight w:val="none"/>
              </w:rPr>
            </w:pPr>
            <w:r>
              <w:rPr>
                <w:rFonts w:hint="eastAsia"/>
                <w:szCs w:val="21"/>
                <w:highlight w:val="none"/>
              </w:rPr>
              <w:t>质量标准：</w:t>
            </w:r>
            <w:r>
              <w:rPr>
                <w:rFonts w:hint="eastAsia" w:ascii="宋体" w:hAnsi="宋体" w:cs="宋体"/>
                <w:kern w:val="0"/>
                <w:szCs w:val="21"/>
                <w:highlight w:val="none"/>
              </w:rPr>
              <w:t>合格</w:t>
            </w:r>
          </w:p>
        </w:tc>
      </w:tr>
      <w:tr w14:paraId="4A97E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000000" w:sz="4" w:space="0"/>
              <w:right w:val="single" w:color="000000" w:sz="4" w:space="0"/>
            </w:tcBorders>
            <w:vAlign w:val="center"/>
          </w:tcPr>
          <w:p w14:paraId="244E1497">
            <w:pPr>
              <w:spacing w:line="360" w:lineRule="auto"/>
              <w:jc w:val="center"/>
              <w:rPr>
                <w:szCs w:val="21"/>
                <w:highlight w:val="none"/>
              </w:rPr>
            </w:pPr>
            <w:r>
              <w:rPr>
                <w:rFonts w:hint="eastAsia"/>
                <w:szCs w:val="21"/>
                <w:highlight w:val="none"/>
              </w:rPr>
              <w:t>9</w:t>
            </w:r>
          </w:p>
        </w:tc>
        <w:tc>
          <w:tcPr>
            <w:tcW w:w="9101" w:type="dxa"/>
            <w:tcBorders>
              <w:top w:val="single" w:color="000000" w:sz="4" w:space="0"/>
              <w:left w:val="single" w:color="000000" w:sz="4" w:space="0"/>
              <w:bottom w:val="single" w:color="000000" w:sz="4" w:space="0"/>
            </w:tcBorders>
            <w:vAlign w:val="center"/>
          </w:tcPr>
          <w:p w14:paraId="6278AD29">
            <w:pPr>
              <w:spacing w:line="360" w:lineRule="auto"/>
              <w:rPr>
                <w:rFonts w:ascii="宋体"/>
                <w:szCs w:val="21"/>
                <w:highlight w:val="none"/>
              </w:rPr>
            </w:pPr>
            <w:r>
              <w:rPr>
                <w:rFonts w:hint="eastAsia" w:ascii="宋体"/>
                <w:szCs w:val="21"/>
                <w:highlight w:val="none"/>
              </w:rPr>
              <w:t>供货</w:t>
            </w:r>
            <w:r>
              <w:rPr>
                <w:rFonts w:hint="eastAsia" w:ascii="宋体"/>
                <w:szCs w:val="21"/>
                <w:highlight w:val="none"/>
                <w:lang w:val="zh-CN"/>
              </w:rPr>
              <w:t>地点：</w:t>
            </w:r>
            <w:r>
              <w:rPr>
                <w:rFonts w:hint="eastAsia" w:ascii="Calibri" w:hAnsi="Calibri"/>
                <w:highlight w:val="none"/>
              </w:rPr>
              <w:t>采购人指定地点</w:t>
            </w:r>
          </w:p>
        </w:tc>
      </w:tr>
      <w:tr w14:paraId="44734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45" w:type="dxa"/>
            <w:tcBorders>
              <w:top w:val="single" w:color="000000" w:sz="4" w:space="0"/>
              <w:bottom w:val="single" w:color="auto" w:sz="4" w:space="0"/>
              <w:right w:val="single" w:color="000000" w:sz="4" w:space="0"/>
            </w:tcBorders>
            <w:vAlign w:val="center"/>
          </w:tcPr>
          <w:p w14:paraId="3FDCE638">
            <w:pPr>
              <w:spacing w:line="360" w:lineRule="auto"/>
              <w:jc w:val="center"/>
              <w:rPr>
                <w:szCs w:val="21"/>
                <w:highlight w:val="none"/>
              </w:rPr>
            </w:pPr>
            <w:r>
              <w:rPr>
                <w:rFonts w:hint="eastAsia"/>
                <w:szCs w:val="21"/>
                <w:highlight w:val="none"/>
              </w:rPr>
              <w:t>10</w:t>
            </w:r>
          </w:p>
        </w:tc>
        <w:tc>
          <w:tcPr>
            <w:tcW w:w="9101" w:type="dxa"/>
            <w:tcBorders>
              <w:top w:val="single" w:color="000000" w:sz="4" w:space="0"/>
              <w:left w:val="single" w:color="000000" w:sz="4" w:space="0"/>
              <w:bottom w:val="single" w:color="auto" w:sz="4" w:space="0"/>
            </w:tcBorders>
            <w:vAlign w:val="center"/>
          </w:tcPr>
          <w:p w14:paraId="1878B5A2">
            <w:pPr>
              <w:spacing w:line="360" w:lineRule="auto"/>
              <w:rPr>
                <w:szCs w:val="21"/>
                <w:highlight w:val="none"/>
              </w:rPr>
            </w:pPr>
            <w:r>
              <w:rPr>
                <w:rFonts w:hint="eastAsia"/>
                <w:szCs w:val="21"/>
                <w:highlight w:val="none"/>
              </w:rPr>
              <w:t>合格的谈判供应商：</w:t>
            </w:r>
          </w:p>
          <w:p w14:paraId="69DCBFAC">
            <w:pPr>
              <w:spacing w:line="360" w:lineRule="auto"/>
              <w:rPr>
                <w:szCs w:val="21"/>
                <w:highlight w:val="none"/>
              </w:rPr>
            </w:pPr>
            <w:r>
              <w:rPr>
                <w:rFonts w:hint="eastAsia"/>
                <w:szCs w:val="21"/>
                <w:highlight w:val="none"/>
              </w:rPr>
              <w:t>1.满足《中华人民共和国政府采购法》第二十二条规定的条件。</w:t>
            </w:r>
          </w:p>
          <w:p w14:paraId="54B20FB0">
            <w:pPr>
              <w:spacing w:line="360" w:lineRule="auto"/>
              <w:rPr>
                <w:szCs w:val="21"/>
                <w:highlight w:val="none"/>
              </w:rPr>
            </w:pPr>
            <w:r>
              <w:rPr>
                <w:rFonts w:hint="eastAsia"/>
                <w:szCs w:val="21"/>
                <w:highlight w:val="none"/>
              </w:rPr>
              <w:t>2.落实政府采购政策需满足的资格要求：本项目为专门面向中小企业的采购项目。</w:t>
            </w:r>
          </w:p>
          <w:p w14:paraId="4E10A37C">
            <w:pPr>
              <w:spacing w:line="360" w:lineRule="auto"/>
              <w:rPr>
                <w:szCs w:val="21"/>
                <w:highlight w:val="none"/>
              </w:rPr>
            </w:pPr>
            <w:r>
              <w:rPr>
                <w:rFonts w:hint="eastAsia"/>
                <w:szCs w:val="21"/>
                <w:highlight w:val="none"/>
              </w:rPr>
              <w:t>依据《中华人民共和国政府采购法》及《中华人民共和国政府采购法实施条例》的有关规定，落实政府采购政策，详见谈判文件：</w:t>
            </w:r>
          </w:p>
          <w:p w14:paraId="6F5CB000">
            <w:pPr>
              <w:spacing w:line="360" w:lineRule="auto"/>
              <w:rPr>
                <w:szCs w:val="21"/>
                <w:highlight w:val="none"/>
              </w:rPr>
            </w:pPr>
            <w:r>
              <w:rPr>
                <w:rFonts w:hint="eastAsia"/>
                <w:szCs w:val="21"/>
                <w:highlight w:val="none"/>
              </w:rPr>
              <w:t>①《政府采购促进中小企业发展管理办法》（财库〔2020〕46号）；</w:t>
            </w:r>
          </w:p>
          <w:p w14:paraId="51D8D5AD">
            <w:pPr>
              <w:spacing w:line="360" w:lineRule="auto"/>
              <w:rPr>
                <w:szCs w:val="21"/>
                <w:highlight w:val="none"/>
              </w:rPr>
            </w:pPr>
            <w:r>
              <w:rPr>
                <w:rFonts w:hint="eastAsia"/>
                <w:szCs w:val="21"/>
                <w:highlight w:val="none"/>
              </w:rPr>
              <w:t>②《财政部关于进一步加大政府采购支持中小企业力度的通知》财库〔2022〕19号；</w:t>
            </w:r>
          </w:p>
          <w:p w14:paraId="068A3A6C">
            <w:pPr>
              <w:spacing w:line="360" w:lineRule="auto"/>
              <w:rPr>
                <w:szCs w:val="21"/>
                <w:highlight w:val="none"/>
              </w:rPr>
            </w:pPr>
            <w:r>
              <w:rPr>
                <w:rFonts w:hint="eastAsia"/>
                <w:szCs w:val="21"/>
                <w:highlight w:val="none"/>
              </w:rPr>
              <w:t>③《财政部司法部关于政府采购支持监狱企业发展有关问题的通知》（财库〔2014〕68号）；</w:t>
            </w:r>
          </w:p>
          <w:p w14:paraId="7FEFFC46">
            <w:pPr>
              <w:spacing w:line="360" w:lineRule="auto"/>
              <w:rPr>
                <w:szCs w:val="21"/>
                <w:highlight w:val="none"/>
              </w:rPr>
            </w:pPr>
            <w:r>
              <w:rPr>
                <w:rFonts w:hint="eastAsia"/>
                <w:szCs w:val="21"/>
                <w:highlight w:val="none"/>
              </w:rPr>
              <w:t>④《关于促进残疾人就业政府采购政策的通知》（财库〔2017〕141号）；</w:t>
            </w:r>
          </w:p>
          <w:p w14:paraId="34AE0EBA">
            <w:pPr>
              <w:spacing w:line="360" w:lineRule="auto"/>
              <w:rPr>
                <w:szCs w:val="21"/>
                <w:highlight w:val="none"/>
              </w:rPr>
            </w:pPr>
            <w:r>
              <w:rPr>
                <w:rFonts w:hint="eastAsia"/>
                <w:szCs w:val="21"/>
                <w:highlight w:val="none"/>
              </w:rPr>
              <w:t>⑤《关于调整优化节能产品、环境标志产品政府采购执行机制的通知》（财库〔2019〕9号）；</w:t>
            </w:r>
          </w:p>
          <w:p w14:paraId="1477D4CF">
            <w:pPr>
              <w:spacing w:line="360" w:lineRule="auto"/>
              <w:rPr>
                <w:szCs w:val="21"/>
                <w:highlight w:val="none"/>
              </w:rPr>
            </w:pPr>
            <w:r>
              <w:rPr>
                <w:rFonts w:hint="eastAsia"/>
                <w:szCs w:val="21"/>
                <w:highlight w:val="none"/>
              </w:rPr>
              <w:t>⑥《国务院办公厅关于在政府采购中实施本国产品标准及相关政策的通知》（国办发〔2025〕34号）等国家最新政策。</w:t>
            </w:r>
          </w:p>
          <w:p w14:paraId="542BB781">
            <w:pPr>
              <w:spacing w:line="360" w:lineRule="auto"/>
              <w:rPr>
                <w:szCs w:val="21"/>
                <w:highlight w:val="none"/>
              </w:rPr>
            </w:pPr>
            <w:r>
              <w:rPr>
                <w:rFonts w:hint="eastAsia"/>
                <w:szCs w:val="21"/>
                <w:highlight w:val="none"/>
              </w:rPr>
              <w:t>3.本项目的特定资格要求：</w:t>
            </w:r>
          </w:p>
          <w:p w14:paraId="2C2BB372">
            <w:pPr>
              <w:spacing w:line="360" w:lineRule="auto"/>
              <w:rPr>
                <w:szCs w:val="21"/>
                <w:highlight w:val="none"/>
              </w:rPr>
            </w:pPr>
            <w:r>
              <w:rPr>
                <w:rFonts w:hint="eastAsia"/>
                <w:szCs w:val="21"/>
                <w:highlight w:val="none"/>
              </w:rPr>
              <w:t>（1）供应商须是在中国境内注册具有独立承担民事责任能力的独立法人或其他组织形式，具备有效的营业执照，具有履行合同所必需的设备和专业技术能力；</w:t>
            </w:r>
          </w:p>
          <w:p w14:paraId="238FDF41">
            <w:pPr>
              <w:spacing w:line="360" w:lineRule="auto"/>
              <w:rPr>
                <w:szCs w:val="21"/>
                <w:highlight w:val="none"/>
              </w:rPr>
            </w:pPr>
            <w:r>
              <w:rPr>
                <w:rFonts w:hint="eastAsia"/>
                <w:szCs w:val="21"/>
                <w:highlight w:val="none"/>
              </w:rPr>
              <w:t>（2） 若所投产品为进口产品的，供应商必须具有下列授权文件之一:供应商须提供产品生产制造商针对本项目出具的授权书或长期代理协议。若所投产品不属于进口产品，不作此项要求。</w:t>
            </w:r>
          </w:p>
          <w:p w14:paraId="617474FD">
            <w:pPr>
              <w:spacing w:line="360" w:lineRule="auto"/>
              <w:rPr>
                <w:szCs w:val="21"/>
                <w:highlight w:val="none"/>
              </w:rPr>
            </w:pPr>
            <w:r>
              <w:rPr>
                <w:rFonts w:hint="eastAsia"/>
                <w:szCs w:val="21"/>
                <w:highlight w:val="none"/>
              </w:rPr>
              <w:t>（3）具有良好的商业信誉和健全的财务会计制度，近一年（2024年）财务状况良好，具有经会计师事务所或审计机构出具的财务审计报告（2024年12月31日以后成立的企业，须提供成立之日起至今的财务状况良好承诺书）；</w:t>
            </w:r>
          </w:p>
          <w:p w14:paraId="4BB8E67A">
            <w:pPr>
              <w:spacing w:line="360" w:lineRule="auto"/>
              <w:rPr>
                <w:szCs w:val="21"/>
                <w:highlight w:val="none"/>
              </w:rPr>
            </w:pPr>
            <w:r>
              <w:rPr>
                <w:rFonts w:hint="eastAsia"/>
                <w:szCs w:val="21"/>
                <w:highlight w:val="none"/>
              </w:rPr>
              <w:t>（4）具有近三个月任意一个月依法缴纳税收的相关材料（提供纳税证明材料）；</w:t>
            </w:r>
          </w:p>
          <w:p w14:paraId="0F6EA4A0">
            <w:pPr>
              <w:spacing w:line="360" w:lineRule="auto"/>
              <w:rPr>
                <w:szCs w:val="21"/>
                <w:highlight w:val="none"/>
              </w:rPr>
            </w:pPr>
            <w:r>
              <w:rPr>
                <w:rFonts w:hint="eastAsia"/>
                <w:szCs w:val="21"/>
                <w:highlight w:val="none"/>
              </w:rPr>
              <w:t>（5）具有近三个月任意一个月缴纳社会保障资金的相关材料（提供社会保障资金缴纳证明材料）；</w:t>
            </w:r>
          </w:p>
          <w:p w14:paraId="22AE3A7C">
            <w:pPr>
              <w:spacing w:line="360" w:lineRule="auto"/>
              <w:rPr>
                <w:szCs w:val="21"/>
                <w:highlight w:val="none"/>
              </w:rPr>
            </w:pPr>
            <w:r>
              <w:rPr>
                <w:rFonts w:hint="eastAsia"/>
                <w:szCs w:val="21"/>
                <w:highlight w:val="none"/>
              </w:rPr>
              <w:t>（6）参加政府采购活动前三年内在经营活动中没有重大违法记录；</w:t>
            </w:r>
          </w:p>
          <w:p w14:paraId="11066EE8">
            <w:pPr>
              <w:spacing w:line="360" w:lineRule="auto"/>
              <w:rPr>
                <w:szCs w:val="21"/>
                <w:highlight w:val="none"/>
              </w:rPr>
            </w:pPr>
            <w:r>
              <w:rPr>
                <w:rFonts w:hint="eastAsia"/>
                <w:szCs w:val="21"/>
                <w:highlight w:val="none"/>
              </w:rPr>
              <w:t>（7）供应商近三年（2023年1月1日－至今）内供应商、法定代表人未在“中国裁判文书网”（www.wenshu.court.gov.cn）有行贿犯罪记录；</w:t>
            </w:r>
          </w:p>
          <w:p w14:paraId="3ED9752D">
            <w:pPr>
              <w:spacing w:line="360" w:lineRule="auto"/>
              <w:rPr>
                <w:szCs w:val="21"/>
                <w:highlight w:val="none"/>
              </w:rPr>
            </w:pPr>
            <w:r>
              <w:rPr>
                <w:rFonts w:hint="eastAsia"/>
                <w:szCs w:val="21"/>
                <w:highlight w:val="none"/>
              </w:rPr>
              <w:t>（8）拒绝列入政府取消投标资格记录期间的企业或个人投标；</w:t>
            </w:r>
          </w:p>
          <w:p w14:paraId="37711059">
            <w:pPr>
              <w:spacing w:line="360" w:lineRule="auto"/>
              <w:rPr>
                <w:szCs w:val="21"/>
                <w:highlight w:val="none"/>
              </w:rPr>
            </w:pPr>
            <w:r>
              <w:rPr>
                <w:rFonts w:hint="eastAsia"/>
                <w:szCs w:val="21"/>
                <w:highlight w:val="none"/>
              </w:rPr>
              <w:t>（9）供应商不能列入失信被执行人、重大税收违法案件当事人名单、政府采购严重违法失信行为记录名单（详见财库〔2016〕125号）；</w:t>
            </w:r>
          </w:p>
          <w:p w14:paraId="078CE760">
            <w:pPr>
              <w:spacing w:line="360" w:lineRule="auto"/>
              <w:rPr>
                <w:szCs w:val="21"/>
                <w:highlight w:val="none"/>
              </w:rPr>
            </w:pPr>
            <w:r>
              <w:rPr>
                <w:rFonts w:hint="eastAsia"/>
                <w:szCs w:val="21"/>
                <w:highlight w:val="none"/>
              </w:rPr>
              <w:t>（10）拒绝在国家企业信用信息公示系统中列入严重违法失信企业名单的参与投标；</w:t>
            </w:r>
          </w:p>
          <w:p w14:paraId="4394F477">
            <w:pPr>
              <w:spacing w:line="360" w:lineRule="auto"/>
              <w:rPr>
                <w:szCs w:val="21"/>
                <w:highlight w:val="none"/>
              </w:rPr>
            </w:pPr>
            <w:r>
              <w:rPr>
                <w:rFonts w:hint="eastAsia"/>
                <w:szCs w:val="21"/>
                <w:highlight w:val="none"/>
              </w:rPr>
              <w:t>（11）与采购人存在利害关系可能影响谈判公正性的法人、其他组织或者个人，不得参加投标。单位负责人为同一人或者存在控股、管理关系的不同单位，不得参加同一标段投标或者未划分标段的同一招标项目投标。违反这两款规定的，相关投标均无效。</w:t>
            </w:r>
          </w:p>
        </w:tc>
      </w:tr>
      <w:tr w14:paraId="7BC35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45" w:type="dxa"/>
            <w:tcBorders>
              <w:top w:val="single" w:color="000000" w:sz="4" w:space="0"/>
              <w:bottom w:val="single" w:color="auto" w:sz="4" w:space="0"/>
              <w:right w:val="single" w:color="000000" w:sz="4" w:space="0"/>
            </w:tcBorders>
            <w:vAlign w:val="center"/>
          </w:tcPr>
          <w:p w14:paraId="14A8E959">
            <w:pPr>
              <w:spacing w:line="360" w:lineRule="auto"/>
              <w:jc w:val="center"/>
              <w:rPr>
                <w:szCs w:val="21"/>
                <w:highlight w:val="none"/>
              </w:rPr>
            </w:pPr>
            <w:r>
              <w:rPr>
                <w:rFonts w:hint="eastAsia"/>
                <w:szCs w:val="21"/>
                <w:highlight w:val="none"/>
              </w:rPr>
              <w:t>11</w:t>
            </w:r>
          </w:p>
        </w:tc>
        <w:tc>
          <w:tcPr>
            <w:tcW w:w="9101" w:type="dxa"/>
            <w:tcBorders>
              <w:top w:val="single" w:color="000000" w:sz="4" w:space="0"/>
              <w:left w:val="single" w:color="000000" w:sz="4" w:space="0"/>
              <w:bottom w:val="single" w:color="auto" w:sz="4" w:space="0"/>
            </w:tcBorders>
            <w:vAlign w:val="center"/>
          </w:tcPr>
          <w:p w14:paraId="2F0CAF7C">
            <w:pPr>
              <w:spacing w:line="360" w:lineRule="auto"/>
              <w:rPr>
                <w:szCs w:val="21"/>
                <w:highlight w:val="none"/>
              </w:rPr>
            </w:pPr>
            <w:r>
              <w:rPr>
                <w:rFonts w:hint="eastAsia"/>
                <w:szCs w:val="21"/>
                <w:highlight w:val="none"/>
              </w:rPr>
              <w:t xml:space="preserve">踏勘现场：不组织   </w:t>
            </w:r>
          </w:p>
          <w:p w14:paraId="14B4EBB6">
            <w:pPr>
              <w:spacing w:line="360" w:lineRule="auto"/>
              <w:rPr>
                <w:szCs w:val="21"/>
                <w:highlight w:val="none"/>
              </w:rPr>
            </w:pPr>
            <w:r>
              <w:rPr>
                <w:rFonts w:hint="eastAsia"/>
                <w:szCs w:val="21"/>
                <w:highlight w:val="none"/>
              </w:rPr>
              <w:t>预备会：不召开</w:t>
            </w:r>
          </w:p>
        </w:tc>
      </w:tr>
      <w:tr w14:paraId="19A47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45" w:type="dxa"/>
            <w:tcBorders>
              <w:top w:val="single" w:color="000000" w:sz="4" w:space="0"/>
              <w:bottom w:val="single" w:color="auto" w:sz="4" w:space="0"/>
              <w:right w:val="single" w:color="000000" w:sz="4" w:space="0"/>
            </w:tcBorders>
            <w:vAlign w:val="center"/>
          </w:tcPr>
          <w:p w14:paraId="104A2F79">
            <w:pPr>
              <w:spacing w:line="360" w:lineRule="auto"/>
              <w:jc w:val="center"/>
              <w:rPr>
                <w:szCs w:val="21"/>
                <w:highlight w:val="none"/>
              </w:rPr>
            </w:pPr>
            <w:r>
              <w:rPr>
                <w:rFonts w:hint="eastAsia"/>
                <w:szCs w:val="21"/>
                <w:highlight w:val="none"/>
              </w:rPr>
              <w:t>12</w:t>
            </w:r>
          </w:p>
        </w:tc>
        <w:tc>
          <w:tcPr>
            <w:tcW w:w="9101" w:type="dxa"/>
            <w:tcBorders>
              <w:top w:val="single" w:color="000000" w:sz="4" w:space="0"/>
              <w:left w:val="single" w:color="000000" w:sz="4" w:space="0"/>
              <w:bottom w:val="single" w:color="auto" w:sz="4" w:space="0"/>
            </w:tcBorders>
            <w:vAlign w:val="center"/>
          </w:tcPr>
          <w:p w14:paraId="090BE118">
            <w:pPr>
              <w:spacing w:line="360" w:lineRule="auto"/>
              <w:rPr>
                <w:szCs w:val="21"/>
                <w:highlight w:val="none"/>
              </w:rPr>
            </w:pPr>
            <w:r>
              <w:rPr>
                <w:rFonts w:hint="eastAsia"/>
                <w:szCs w:val="21"/>
                <w:highlight w:val="none"/>
              </w:rPr>
              <w:t>供应商提出问题的截止时间：谈判截止时间3日前将质疑问题以加盖供应商单位公章的书面材料递交至采购代理机构，否则不予解答；</w:t>
            </w:r>
          </w:p>
          <w:p w14:paraId="27C708AC">
            <w:pPr>
              <w:spacing w:line="360" w:lineRule="auto"/>
              <w:rPr>
                <w:szCs w:val="21"/>
                <w:highlight w:val="none"/>
              </w:rPr>
            </w:pPr>
            <w:r>
              <w:rPr>
                <w:rFonts w:hint="eastAsia"/>
                <w:szCs w:val="21"/>
                <w:highlight w:val="none"/>
              </w:rPr>
              <w:t>采购人书面澄清的时间：谈判截止时间3日前。</w:t>
            </w:r>
          </w:p>
        </w:tc>
      </w:tr>
      <w:tr w14:paraId="6F600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45" w:type="dxa"/>
            <w:tcBorders>
              <w:top w:val="single" w:color="000000" w:sz="4" w:space="0"/>
              <w:bottom w:val="single" w:color="auto" w:sz="4" w:space="0"/>
              <w:right w:val="single" w:color="000000" w:sz="4" w:space="0"/>
            </w:tcBorders>
            <w:vAlign w:val="center"/>
          </w:tcPr>
          <w:p w14:paraId="5545C9E5">
            <w:pPr>
              <w:spacing w:line="360" w:lineRule="auto"/>
              <w:jc w:val="center"/>
              <w:rPr>
                <w:szCs w:val="21"/>
                <w:highlight w:val="none"/>
              </w:rPr>
            </w:pPr>
            <w:r>
              <w:rPr>
                <w:rFonts w:hint="eastAsia"/>
                <w:szCs w:val="21"/>
                <w:highlight w:val="none"/>
              </w:rPr>
              <w:t>13</w:t>
            </w:r>
          </w:p>
        </w:tc>
        <w:tc>
          <w:tcPr>
            <w:tcW w:w="9101" w:type="dxa"/>
            <w:tcBorders>
              <w:top w:val="single" w:color="000000" w:sz="4" w:space="0"/>
              <w:left w:val="single" w:color="000000" w:sz="4" w:space="0"/>
              <w:bottom w:val="single" w:color="auto" w:sz="4" w:space="0"/>
            </w:tcBorders>
            <w:vAlign w:val="center"/>
          </w:tcPr>
          <w:p w14:paraId="715F4828">
            <w:pPr>
              <w:spacing w:line="360" w:lineRule="auto"/>
              <w:rPr>
                <w:szCs w:val="21"/>
                <w:highlight w:val="none"/>
              </w:rPr>
            </w:pPr>
            <w:r>
              <w:rPr>
                <w:rFonts w:hint="eastAsia"/>
                <w:szCs w:val="21"/>
                <w:highlight w:val="none"/>
              </w:rPr>
              <w:t>谈判有效期：90天</w:t>
            </w:r>
          </w:p>
        </w:tc>
      </w:tr>
      <w:tr w14:paraId="42E9E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auto" w:sz="4" w:space="0"/>
              <w:right w:val="single" w:color="000000" w:sz="4" w:space="0"/>
            </w:tcBorders>
            <w:vAlign w:val="center"/>
          </w:tcPr>
          <w:p w14:paraId="52905BF3">
            <w:pPr>
              <w:spacing w:line="360" w:lineRule="auto"/>
              <w:jc w:val="center"/>
              <w:rPr>
                <w:szCs w:val="21"/>
                <w:highlight w:val="none"/>
              </w:rPr>
            </w:pPr>
            <w:r>
              <w:rPr>
                <w:rFonts w:hint="eastAsia"/>
                <w:szCs w:val="21"/>
                <w:highlight w:val="none"/>
              </w:rPr>
              <w:t>14</w:t>
            </w:r>
          </w:p>
        </w:tc>
        <w:tc>
          <w:tcPr>
            <w:tcW w:w="9101" w:type="dxa"/>
            <w:tcBorders>
              <w:top w:val="single" w:color="000000" w:sz="4" w:space="0"/>
              <w:left w:val="single" w:color="000000" w:sz="4" w:space="0"/>
              <w:bottom w:val="single" w:color="auto" w:sz="4" w:space="0"/>
            </w:tcBorders>
            <w:vAlign w:val="center"/>
          </w:tcPr>
          <w:p w14:paraId="07244D20">
            <w:pPr>
              <w:spacing w:line="360" w:lineRule="auto"/>
              <w:rPr>
                <w:szCs w:val="21"/>
                <w:highlight w:val="none"/>
              </w:rPr>
            </w:pPr>
            <w:r>
              <w:rPr>
                <w:rFonts w:hint="eastAsia"/>
                <w:szCs w:val="21"/>
                <w:highlight w:val="none"/>
              </w:rPr>
              <w:t>签字或盖章要求：</w:t>
            </w:r>
          </w:p>
          <w:p w14:paraId="16AF81EB">
            <w:pPr>
              <w:spacing w:line="360" w:lineRule="auto"/>
              <w:rPr>
                <w:szCs w:val="21"/>
                <w:highlight w:val="none"/>
              </w:rPr>
            </w:pPr>
            <w:r>
              <w:rPr>
                <w:rFonts w:hint="eastAsia"/>
                <w:szCs w:val="21"/>
                <w:highlight w:val="none"/>
              </w:rPr>
              <w:t>（1）所有要求签字的地方都应用不褪色的墨水或签字笔由本人亲笔手写签字（包括姓和名）；</w:t>
            </w:r>
          </w:p>
          <w:p w14:paraId="6617DE2C">
            <w:pPr>
              <w:spacing w:line="360" w:lineRule="auto"/>
              <w:rPr>
                <w:szCs w:val="21"/>
                <w:highlight w:val="none"/>
              </w:rPr>
            </w:pPr>
            <w:r>
              <w:rPr>
                <w:rFonts w:hint="eastAsia"/>
                <w:szCs w:val="21"/>
                <w:highlight w:val="none"/>
              </w:rPr>
              <w:t>（2）所有要求盖章的地方都应加盖投标单位（法定名称）章（鲜章），不得使用专用章（如经济合同章、投标专用章等）或下属单位印章代替；</w:t>
            </w:r>
          </w:p>
          <w:p w14:paraId="3CB33AF7">
            <w:pPr>
              <w:spacing w:line="360" w:lineRule="auto"/>
              <w:rPr>
                <w:szCs w:val="21"/>
                <w:highlight w:val="none"/>
              </w:rPr>
            </w:pPr>
            <w:r>
              <w:rPr>
                <w:rFonts w:hint="eastAsia"/>
                <w:szCs w:val="21"/>
                <w:highlight w:val="none"/>
              </w:rPr>
              <w:t>（3）竞争性谈判文件格式中要求供应商“法定代表人或其委托代理人”签字的，如法定代表人亲自谈判而不委托代理人谈判，由法定代表人签字；如法定代表人授权委托代理人谈判，由委托代理人签字，也可由法定代表人签字。</w:t>
            </w:r>
          </w:p>
        </w:tc>
      </w:tr>
      <w:tr w14:paraId="1E4EE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auto" w:sz="4" w:space="0"/>
              <w:right w:val="single" w:color="000000" w:sz="4" w:space="0"/>
            </w:tcBorders>
            <w:vAlign w:val="center"/>
          </w:tcPr>
          <w:p w14:paraId="23760744">
            <w:pPr>
              <w:spacing w:line="360" w:lineRule="auto"/>
              <w:jc w:val="center"/>
              <w:rPr>
                <w:szCs w:val="21"/>
                <w:highlight w:val="none"/>
              </w:rPr>
            </w:pPr>
            <w:r>
              <w:rPr>
                <w:rFonts w:hint="eastAsia"/>
                <w:szCs w:val="21"/>
                <w:highlight w:val="none"/>
              </w:rPr>
              <w:t>15</w:t>
            </w:r>
          </w:p>
        </w:tc>
        <w:tc>
          <w:tcPr>
            <w:tcW w:w="9101" w:type="dxa"/>
            <w:tcBorders>
              <w:top w:val="single" w:color="000000" w:sz="4" w:space="0"/>
              <w:left w:val="single" w:color="000000" w:sz="4" w:space="0"/>
              <w:bottom w:val="single" w:color="auto" w:sz="4" w:space="0"/>
            </w:tcBorders>
            <w:vAlign w:val="center"/>
          </w:tcPr>
          <w:p w14:paraId="020179D3">
            <w:pPr>
              <w:spacing w:line="360" w:lineRule="auto"/>
              <w:rPr>
                <w:szCs w:val="21"/>
                <w:highlight w:val="none"/>
              </w:rPr>
            </w:pPr>
            <w:r>
              <w:rPr>
                <w:rFonts w:hint="eastAsia"/>
                <w:szCs w:val="21"/>
                <w:highlight w:val="none"/>
              </w:rPr>
              <w:t>递交谈判响应文件：</w:t>
            </w:r>
          </w:p>
          <w:p w14:paraId="0DAB3706">
            <w:pPr>
              <w:spacing w:line="360" w:lineRule="auto"/>
              <w:rPr>
                <w:rFonts w:hint="eastAsia" w:ascii="宋体" w:hAnsi="宋体" w:cs="宋体"/>
                <w:szCs w:val="21"/>
                <w:highlight w:val="none"/>
              </w:rPr>
            </w:pPr>
            <w:r>
              <w:rPr>
                <w:rFonts w:hint="eastAsia" w:ascii="宋体" w:hAnsi="宋体" w:cs="宋体"/>
                <w:szCs w:val="21"/>
                <w:highlight w:val="none"/>
              </w:rPr>
              <w:t>地点：</w:t>
            </w:r>
            <w:r>
              <w:rPr>
                <w:rFonts w:hint="eastAsia" w:ascii="宋体" w:hAnsi="宋体" w:cs="宋体"/>
                <w:kern w:val="0"/>
                <w:szCs w:val="21"/>
                <w:highlight w:val="none"/>
              </w:rPr>
              <w:t>长春市高新区鸿达街248号吉林日报副楼4楼第三开标室</w:t>
            </w:r>
          </w:p>
          <w:p w14:paraId="7C6A8A77">
            <w:pPr>
              <w:spacing w:line="360" w:lineRule="auto"/>
              <w:rPr>
                <w:rFonts w:hint="eastAsia" w:eastAsia="宋体"/>
                <w:szCs w:val="21"/>
                <w:highlight w:val="none"/>
                <w:lang w:eastAsia="zh-CN"/>
              </w:rPr>
            </w:pPr>
            <w:r>
              <w:rPr>
                <w:rFonts w:hint="eastAsia"/>
                <w:szCs w:val="21"/>
                <w:highlight w:val="none"/>
              </w:rPr>
              <w:t>提交截止时间：</w:t>
            </w:r>
            <w:r>
              <w:rPr>
                <w:rFonts w:hint="eastAsia" w:ascii="宋体" w:hAnsi="宋体"/>
                <w:highlight w:val="none"/>
                <w:lang w:eastAsia="zh-CN"/>
              </w:rPr>
              <w:t>2026年05月26日13时00分</w:t>
            </w:r>
          </w:p>
        </w:tc>
      </w:tr>
      <w:tr w14:paraId="1B7F7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auto" w:sz="4" w:space="0"/>
              <w:right w:val="single" w:color="000000" w:sz="4" w:space="0"/>
            </w:tcBorders>
            <w:vAlign w:val="center"/>
          </w:tcPr>
          <w:p w14:paraId="54A58405">
            <w:pPr>
              <w:spacing w:line="360" w:lineRule="auto"/>
              <w:jc w:val="center"/>
              <w:rPr>
                <w:szCs w:val="21"/>
                <w:highlight w:val="none"/>
              </w:rPr>
            </w:pPr>
            <w:r>
              <w:rPr>
                <w:rFonts w:hint="eastAsia"/>
                <w:szCs w:val="21"/>
                <w:highlight w:val="none"/>
              </w:rPr>
              <w:t>16</w:t>
            </w:r>
          </w:p>
        </w:tc>
        <w:tc>
          <w:tcPr>
            <w:tcW w:w="9101" w:type="dxa"/>
            <w:tcBorders>
              <w:top w:val="single" w:color="000000" w:sz="4" w:space="0"/>
              <w:left w:val="single" w:color="000000" w:sz="4" w:space="0"/>
              <w:bottom w:val="single" w:color="auto" w:sz="4" w:space="0"/>
            </w:tcBorders>
            <w:vAlign w:val="center"/>
          </w:tcPr>
          <w:p w14:paraId="6CC6A39B">
            <w:pPr>
              <w:spacing w:line="360" w:lineRule="auto"/>
              <w:rPr>
                <w:szCs w:val="21"/>
                <w:highlight w:val="none"/>
              </w:rPr>
            </w:pPr>
            <w:r>
              <w:rPr>
                <w:rFonts w:hint="eastAsia"/>
                <w:szCs w:val="21"/>
                <w:highlight w:val="none"/>
              </w:rPr>
              <w:t>是否退还谈判响应文件：否</w:t>
            </w:r>
          </w:p>
        </w:tc>
      </w:tr>
      <w:tr w14:paraId="7F6A9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auto" w:sz="4" w:space="0"/>
              <w:right w:val="single" w:color="000000" w:sz="4" w:space="0"/>
            </w:tcBorders>
            <w:vAlign w:val="center"/>
          </w:tcPr>
          <w:p w14:paraId="033DFFD3">
            <w:pPr>
              <w:spacing w:line="360" w:lineRule="auto"/>
              <w:jc w:val="center"/>
              <w:rPr>
                <w:szCs w:val="21"/>
                <w:highlight w:val="none"/>
              </w:rPr>
            </w:pPr>
            <w:r>
              <w:rPr>
                <w:rFonts w:hint="eastAsia"/>
                <w:szCs w:val="21"/>
                <w:highlight w:val="none"/>
              </w:rPr>
              <w:t>17</w:t>
            </w:r>
          </w:p>
        </w:tc>
        <w:tc>
          <w:tcPr>
            <w:tcW w:w="9101" w:type="dxa"/>
            <w:tcBorders>
              <w:top w:val="single" w:color="000000" w:sz="4" w:space="0"/>
              <w:left w:val="single" w:color="000000" w:sz="4" w:space="0"/>
              <w:bottom w:val="single" w:color="auto" w:sz="4" w:space="0"/>
            </w:tcBorders>
            <w:vAlign w:val="center"/>
          </w:tcPr>
          <w:p w14:paraId="7C8BEB29">
            <w:pPr>
              <w:spacing w:line="360" w:lineRule="auto"/>
              <w:rPr>
                <w:szCs w:val="21"/>
                <w:highlight w:val="none"/>
              </w:rPr>
            </w:pPr>
            <w:r>
              <w:rPr>
                <w:rFonts w:hint="eastAsia"/>
                <w:szCs w:val="21"/>
                <w:highlight w:val="none"/>
              </w:rPr>
              <w:t>谈判时间和地点：</w:t>
            </w:r>
          </w:p>
          <w:p w14:paraId="1EC975DD">
            <w:pPr>
              <w:spacing w:line="360" w:lineRule="auto"/>
              <w:rPr>
                <w:szCs w:val="21"/>
                <w:highlight w:val="none"/>
              </w:rPr>
            </w:pPr>
            <w:r>
              <w:rPr>
                <w:rFonts w:hint="eastAsia"/>
                <w:szCs w:val="21"/>
                <w:highlight w:val="none"/>
              </w:rPr>
              <w:t>谈判时间：同投标截止时间；</w:t>
            </w:r>
          </w:p>
          <w:p w14:paraId="31BB7454">
            <w:pPr>
              <w:spacing w:line="360" w:lineRule="auto"/>
              <w:rPr>
                <w:szCs w:val="21"/>
                <w:highlight w:val="none"/>
              </w:rPr>
            </w:pPr>
            <w:r>
              <w:rPr>
                <w:rFonts w:hint="eastAsia"/>
                <w:szCs w:val="21"/>
                <w:highlight w:val="none"/>
              </w:rPr>
              <w:t>谈判地点：</w:t>
            </w:r>
            <w:r>
              <w:rPr>
                <w:rFonts w:hint="eastAsia" w:ascii="宋体" w:hAnsi="宋体" w:cs="宋体"/>
                <w:kern w:val="0"/>
                <w:szCs w:val="21"/>
                <w:highlight w:val="none"/>
              </w:rPr>
              <w:t>长春市高新区鸿达街248号吉林日报副楼4楼第三开标室</w:t>
            </w:r>
          </w:p>
        </w:tc>
      </w:tr>
      <w:tr w14:paraId="05482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auto" w:sz="4" w:space="0"/>
              <w:right w:val="single" w:color="000000" w:sz="4" w:space="0"/>
            </w:tcBorders>
            <w:vAlign w:val="center"/>
          </w:tcPr>
          <w:p w14:paraId="37B8CDFF">
            <w:pPr>
              <w:spacing w:line="360" w:lineRule="auto"/>
              <w:jc w:val="center"/>
              <w:rPr>
                <w:szCs w:val="21"/>
                <w:highlight w:val="none"/>
              </w:rPr>
            </w:pPr>
            <w:r>
              <w:rPr>
                <w:rFonts w:hint="eastAsia"/>
                <w:szCs w:val="21"/>
                <w:highlight w:val="none"/>
              </w:rPr>
              <w:t>18</w:t>
            </w:r>
          </w:p>
        </w:tc>
        <w:tc>
          <w:tcPr>
            <w:tcW w:w="9101" w:type="dxa"/>
            <w:tcBorders>
              <w:top w:val="single" w:color="000000" w:sz="4" w:space="0"/>
              <w:left w:val="single" w:color="000000" w:sz="4" w:space="0"/>
              <w:bottom w:val="single" w:color="auto" w:sz="4" w:space="0"/>
            </w:tcBorders>
            <w:vAlign w:val="center"/>
          </w:tcPr>
          <w:p w14:paraId="47C38C53">
            <w:pPr>
              <w:spacing w:line="360" w:lineRule="auto"/>
              <w:rPr>
                <w:szCs w:val="21"/>
                <w:highlight w:val="none"/>
              </w:rPr>
            </w:pPr>
            <w:r>
              <w:rPr>
                <w:rFonts w:hint="eastAsia"/>
                <w:szCs w:val="21"/>
                <w:highlight w:val="none"/>
              </w:rPr>
              <w:t>谈判程序：</w:t>
            </w:r>
          </w:p>
          <w:p w14:paraId="33EB1A14">
            <w:pPr>
              <w:spacing w:line="360" w:lineRule="auto"/>
              <w:rPr>
                <w:szCs w:val="21"/>
                <w:highlight w:val="none"/>
              </w:rPr>
            </w:pPr>
            <w:r>
              <w:rPr>
                <w:rFonts w:hint="eastAsia"/>
                <w:szCs w:val="21"/>
                <w:highlight w:val="none"/>
              </w:rPr>
              <w:t>密封情况检查：由供应商代表及监督人检查；</w:t>
            </w:r>
          </w:p>
          <w:p w14:paraId="5D544782">
            <w:pPr>
              <w:spacing w:line="360" w:lineRule="auto"/>
              <w:rPr>
                <w:szCs w:val="21"/>
                <w:highlight w:val="none"/>
              </w:rPr>
            </w:pPr>
            <w:r>
              <w:rPr>
                <w:rFonts w:hint="eastAsia"/>
                <w:szCs w:val="21"/>
                <w:highlight w:val="none"/>
              </w:rPr>
              <w:t>谈判顺序：以响应文件递交的顺序为先后。</w:t>
            </w:r>
          </w:p>
        </w:tc>
      </w:tr>
      <w:tr w14:paraId="3B374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auto" w:sz="4" w:space="0"/>
              <w:right w:val="single" w:color="000000" w:sz="4" w:space="0"/>
            </w:tcBorders>
            <w:vAlign w:val="center"/>
          </w:tcPr>
          <w:p w14:paraId="3B679952">
            <w:pPr>
              <w:spacing w:line="360" w:lineRule="auto"/>
              <w:jc w:val="center"/>
              <w:rPr>
                <w:szCs w:val="21"/>
                <w:highlight w:val="none"/>
              </w:rPr>
            </w:pPr>
            <w:r>
              <w:rPr>
                <w:rFonts w:hint="eastAsia"/>
                <w:szCs w:val="21"/>
                <w:highlight w:val="none"/>
              </w:rPr>
              <w:t>19</w:t>
            </w:r>
          </w:p>
        </w:tc>
        <w:tc>
          <w:tcPr>
            <w:tcW w:w="9101" w:type="dxa"/>
            <w:tcBorders>
              <w:top w:val="single" w:color="000000" w:sz="4" w:space="0"/>
              <w:left w:val="single" w:color="000000" w:sz="4" w:space="0"/>
              <w:bottom w:val="single" w:color="auto" w:sz="4" w:space="0"/>
            </w:tcBorders>
            <w:vAlign w:val="center"/>
          </w:tcPr>
          <w:p w14:paraId="1071C166">
            <w:pPr>
              <w:spacing w:line="360" w:lineRule="auto"/>
              <w:rPr>
                <w:szCs w:val="21"/>
                <w:highlight w:val="none"/>
              </w:rPr>
            </w:pPr>
            <w:r>
              <w:rPr>
                <w:rFonts w:hint="eastAsia"/>
                <w:szCs w:val="21"/>
                <w:highlight w:val="none"/>
              </w:rPr>
              <w:t>竞争性谈判小组的组建：</w:t>
            </w:r>
          </w:p>
          <w:p w14:paraId="77151B07">
            <w:pPr>
              <w:spacing w:line="360" w:lineRule="auto"/>
              <w:rPr>
                <w:szCs w:val="21"/>
                <w:highlight w:val="none"/>
              </w:rPr>
            </w:pPr>
            <w:r>
              <w:rPr>
                <w:rFonts w:hint="eastAsia"/>
                <w:szCs w:val="21"/>
                <w:highlight w:val="none"/>
              </w:rPr>
              <w:t>竞争性谈判小组构成：共3人经济、技术类专家</w:t>
            </w:r>
          </w:p>
          <w:p w14:paraId="7FBAC57D">
            <w:pPr>
              <w:spacing w:line="360" w:lineRule="auto"/>
              <w:rPr>
                <w:szCs w:val="21"/>
                <w:highlight w:val="none"/>
              </w:rPr>
            </w:pPr>
            <w:r>
              <w:rPr>
                <w:rFonts w:hint="eastAsia"/>
                <w:szCs w:val="21"/>
                <w:highlight w:val="none"/>
              </w:rPr>
              <w:t>谈判专家确定方式：外聘专家从依法设立的专家库中随机抽取。</w:t>
            </w:r>
          </w:p>
        </w:tc>
      </w:tr>
      <w:tr w14:paraId="19F0B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945" w:type="dxa"/>
            <w:tcBorders>
              <w:top w:val="single" w:color="000000" w:sz="4" w:space="0"/>
              <w:bottom w:val="single" w:color="auto" w:sz="4" w:space="0"/>
              <w:right w:val="single" w:color="000000" w:sz="4" w:space="0"/>
            </w:tcBorders>
            <w:vAlign w:val="center"/>
          </w:tcPr>
          <w:p w14:paraId="529CFF21">
            <w:pPr>
              <w:spacing w:line="360" w:lineRule="auto"/>
              <w:jc w:val="center"/>
              <w:rPr>
                <w:szCs w:val="21"/>
                <w:highlight w:val="none"/>
              </w:rPr>
            </w:pPr>
            <w:r>
              <w:rPr>
                <w:rFonts w:hint="eastAsia"/>
                <w:szCs w:val="21"/>
                <w:highlight w:val="none"/>
              </w:rPr>
              <w:t>20</w:t>
            </w:r>
          </w:p>
        </w:tc>
        <w:tc>
          <w:tcPr>
            <w:tcW w:w="9101" w:type="dxa"/>
            <w:tcBorders>
              <w:top w:val="single" w:color="000000" w:sz="4" w:space="0"/>
              <w:left w:val="single" w:color="000000" w:sz="4" w:space="0"/>
              <w:bottom w:val="single" w:color="auto" w:sz="4" w:space="0"/>
            </w:tcBorders>
            <w:vAlign w:val="center"/>
          </w:tcPr>
          <w:p w14:paraId="6BF465C2">
            <w:pPr>
              <w:spacing w:line="360" w:lineRule="auto"/>
              <w:rPr>
                <w:szCs w:val="21"/>
                <w:highlight w:val="none"/>
              </w:rPr>
            </w:pPr>
            <w:r>
              <w:rPr>
                <w:rFonts w:hint="eastAsia"/>
                <w:szCs w:val="21"/>
                <w:highlight w:val="none"/>
              </w:rPr>
              <w:t>是否授权竞争性谈判小组确定成交单位：是，按照最终报价由低到高的顺序排序，并确定排名第一的为成交单位。</w:t>
            </w:r>
          </w:p>
        </w:tc>
      </w:tr>
      <w:tr w14:paraId="0C3AB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auto" w:sz="4" w:space="0"/>
              <w:right w:val="single" w:color="000000" w:sz="4" w:space="0"/>
            </w:tcBorders>
            <w:vAlign w:val="center"/>
          </w:tcPr>
          <w:p w14:paraId="437608A2">
            <w:pPr>
              <w:spacing w:line="360" w:lineRule="auto"/>
              <w:jc w:val="center"/>
              <w:rPr>
                <w:szCs w:val="21"/>
                <w:highlight w:val="none"/>
              </w:rPr>
            </w:pPr>
            <w:r>
              <w:rPr>
                <w:rFonts w:hint="eastAsia"/>
                <w:szCs w:val="21"/>
                <w:highlight w:val="none"/>
              </w:rPr>
              <w:t>21</w:t>
            </w:r>
          </w:p>
        </w:tc>
        <w:tc>
          <w:tcPr>
            <w:tcW w:w="9101" w:type="dxa"/>
            <w:tcBorders>
              <w:top w:val="single" w:color="000000" w:sz="4" w:space="0"/>
              <w:left w:val="single" w:color="000000" w:sz="4" w:space="0"/>
              <w:bottom w:val="single" w:color="auto" w:sz="4" w:space="0"/>
            </w:tcBorders>
            <w:vAlign w:val="center"/>
          </w:tcPr>
          <w:p w14:paraId="2235FD14">
            <w:pPr>
              <w:spacing w:line="360" w:lineRule="auto"/>
              <w:rPr>
                <w:szCs w:val="21"/>
                <w:highlight w:val="none"/>
              </w:rPr>
            </w:pPr>
            <w:r>
              <w:rPr>
                <w:rFonts w:hint="eastAsia"/>
                <w:szCs w:val="21"/>
                <w:highlight w:val="none"/>
              </w:rPr>
              <w:t>中标供应商候选人公示媒介：发布谈判公告的相关媒介。</w:t>
            </w:r>
          </w:p>
        </w:tc>
      </w:tr>
      <w:tr w14:paraId="4F2E3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auto" w:sz="4" w:space="0"/>
              <w:right w:val="single" w:color="000000" w:sz="4" w:space="0"/>
            </w:tcBorders>
            <w:vAlign w:val="center"/>
          </w:tcPr>
          <w:p w14:paraId="4318EFCB">
            <w:pPr>
              <w:spacing w:line="360" w:lineRule="auto"/>
              <w:jc w:val="center"/>
              <w:rPr>
                <w:szCs w:val="21"/>
                <w:highlight w:val="none"/>
              </w:rPr>
            </w:pPr>
            <w:r>
              <w:rPr>
                <w:rFonts w:hint="eastAsia"/>
                <w:szCs w:val="21"/>
                <w:highlight w:val="none"/>
              </w:rPr>
              <w:t>22</w:t>
            </w:r>
          </w:p>
        </w:tc>
        <w:tc>
          <w:tcPr>
            <w:tcW w:w="9101" w:type="dxa"/>
            <w:tcBorders>
              <w:top w:val="single" w:color="000000" w:sz="4" w:space="0"/>
              <w:left w:val="single" w:color="000000" w:sz="4" w:space="0"/>
              <w:bottom w:val="single" w:color="auto" w:sz="4" w:space="0"/>
            </w:tcBorders>
            <w:vAlign w:val="center"/>
          </w:tcPr>
          <w:p w14:paraId="2EB41FA1">
            <w:pPr>
              <w:spacing w:line="360" w:lineRule="auto"/>
              <w:rPr>
                <w:szCs w:val="21"/>
                <w:highlight w:val="none"/>
              </w:rPr>
            </w:pPr>
            <w:r>
              <w:rPr>
                <w:rFonts w:hint="eastAsia"/>
                <w:szCs w:val="21"/>
                <w:highlight w:val="none"/>
              </w:rPr>
              <w:t>采购预算：</w:t>
            </w:r>
            <w:r>
              <w:rPr>
                <w:rFonts w:hint="eastAsia" w:ascii="宋体" w:hAnsi="宋体" w:cs="宋体"/>
                <w:kern w:val="0"/>
                <w:szCs w:val="21"/>
                <w:highlight w:val="none"/>
              </w:rPr>
              <w:t>460,000.00元，超过采购预算的投标将被否决。</w:t>
            </w:r>
          </w:p>
        </w:tc>
      </w:tr>
      <w:tr w14:paraId="140FC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945" w:type="dxa"/>
            <w:tcBorders>
              <w:top w:val="single" w:color="000000" w:sz="4" w:space="0"/>
              <w:bottom w:val="single" w:color="auto" w:sz="4" w:space="0"/>
              <w:right w:val="single" w:color="000000" w:sz="4" w:space="0"/>
            </w:tcBorders>
            <w:vAlign w:val="center"/>
          </w:tcPr>
          <w:p w14:paraId="3B277A5F">
            <w:pPr>
              <w:spacing w:line="360" w:lineRule="auto"/>
              <w:jc w:val="center"/>
              <w:rPr>
                <w:szCs w:val="21"/>
                <w:highlight w:val="none"/>
              </w:rPr>
            </w:pPr>
            <w:r>
              <w:rPr>
                <w:rFonts w:hint="eastAsia"/>
                <w:szCs w:val="21"/>
                <w:highlight w:val="none"/>
              </w:rPr>
              <w:t>23</w:t>
            </w:r>
          </w:p>
        </w:tc>
        <w:tc>
          <w:tcPr>
            <w:tcW w:w="9101" w:type="dxa"/>
            <w:tcBorders>
              <w:top w:val="single" w:color="000000" w:sz="4" w:space="0"/>
              <w:left w:val="single" w:color="000000" w:sz="4" w:space="0"/>
              <w:bottom w:val="single" w:color="auto" w:sz="4" w:space="0"/>
            </w:tcBorders>
            <w:vAlign w:val="center"/>
          </w:tcPr>
          <w:p w14:paraId="748E5996">
            <w:pPr>
              <w:spacing w:line="360" w:lineRule="auto"/>
              <w:rPr>
                <w:szCs w:val="21"/>
                <w:highlight w:val="none"/>
              </w:rPr>
            </w:pPr>
            <w:r>
              <w:rPr>
                <w:rFonts w:hint="eastAsia"/>
                <w:szCs w:val="21"/>
                <w:highlight w:val="none"/>
              </w:rPr>
              <w:t>付款方式：以双方实际签订合同为准</w:t>
            </w:r>
          </w:p>
        </w:tc>
      </w:tr>
      <w:tr w14:paraId="6D9B7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auto" w:sz="4" w:space="0"/>
              <w:right w:val="single" w:color="000000" w:sz="4" w:space="0"/>
            </w:tcBorders>
            <w:vAlign w:val="center"/>
          </w:tcPr>
          <w:p w14:paraId="3DA57127">
            <w:pPr>
              <w:spacing w:line="360" w:lineRule="auto"/>
              <w:jc w:val="center"/>
              <w:rPr>
                <w:szCs w:val="21"/>
                <w:highlight w:val="none"/>
              </w:rPr>
            </w:pPr>
            <w:r>
              <w:rPr>
                <w:rFonts w:hint="eastAsia"/>
                <w:szCs w:val="21"/>
                <w:highlight w:val="none"/>
              </w:rPr>
              <w:t>24</w:t>
            </w:r>
          </w:p>
        </w:tc>
        <w:tc>
          <w:tcPr>
            <w:tcW w:w="9101" w:type="dxa"/>
            <w:tcBorders>
              <w:top w:val="single" w:color="000000" w:sz="4" w:space="0"/>
              <w:left w:val="single" w:color="000000" w:sz="4" w:space="0"/>
              <w:bottom w:val="single" w:color="auto" w:sz="4" w:space="0"/>
            </w:tcBorders>
            <w:vAlign w:val="center"/>
          </w:tcPr>
          <w:p w14:paraId="0EF2BD49">
            <w:pPr>
              <w:spacing w:line="360" w:lineRule="auto"/>
              <w:rPr>
                <w:highlight w:val="none"/>
                <w:lang w:val="zh-CN"/>
              </w:rPr>
            </w:pPr>
            <w:r>
              <w:rPr>
                <w:rFonts w:hint="eastAsia"/>
                <w:highlight w:val="none"/>
                <w:lang w:val="zh-CN"/>
              </w:rPr>
              <w:t>履约保证金：合同签订前，成交供应商向采购人缴纳或提交合同额的5%作为履约保证金，履约完成后无息返还。</w:t>
            </w:r>
          </w:p>
          <w:p w14:paraId="11546460">
            <w:pPr>
              <w:spacing w:line="360" w:lineRule="auto"/>
              <w:rPr>
                <w:highlight w:val="none"/>
                <w:lang w:val="zh-CN"/>
              </w:rPr>
            </w:pPr>
            <w:r>
              <w:rPr>
                <w:rFonts w:hint="eastAsia"/>
                <w:highlight w:val="none"/>
                <w:lang w:val="zh-CN"/>
              </w:rPr>
              <w:t>形式：成交供应商应当以支票、汇票、本票或者金融机构、担保机构出具的保函等非现金形式缴纳或提交，具体以双方协商为准。</w:t>
            </w:r>
          </w:p>
        </w:tc>
      </w:tr>
      <w:tr w14:paraId="4C8B1E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auto" w:sz="4" w:space="0"/>
              <w:right w:val="single" w:color="000000" w:sz="4" w:space="0"/>
            </w:tcBorders>
            <w:vAlign w:val="center"/>
          </w:tcPr>
          <w:p w14:paraId="00EF51FB">
            <w:pPr>
              <w:spacing w:line="360" w:lineRule="auto"/>
              <w:jc w:val="center"/>
              <w:rPr>
                <w:szCs w:val="21"/>
                <w:highlight w:val="none"/>
              </w:rPr>
            </w:pPr>
            <w:r>
              <w:rPr>
                <w:rFonts w:hint="eastAsia"/>
                <w:szCs w:val="21"/>
                <w:highlight w:val="none"/>
              </w:rPr>
              <w:t>25</w:t>
            </w:r>
          </w:p>
        </w:tc>
        <w:tc>
          <w:tcPr>
            <w:tcW w:w="9101" w:type="dxa"/>
            <w:tcBorders>
              <w:top w:val="single" w:color="000000" w:sz="4" w:space="0"/>
              <w:left w:val="single" w:color="000000" w:sz="4" w:space="0"/>
              <w:bottom w:val="single" w:color="auto" w:sz="4" w:space="0"/>
            </w:tcBorders>
            <w:vAlign w:val="center"/>
          </w:tcPr>
          <w:p w14:paraId="7828B3EA">
            <w:pPr>
              <w:spacing w:line="360" w:lineRule="auto"/>
              <w:rPr>
                <w:szCs w:val="21"/>
                <w:highlight w:val="none"/>
              </w:rPr>
            </w:pPr>
            <w:r>
              <w:rPr>
                <w:rFonts w:hint="eastAsia"/>
                <w:szCs w:val="21"/>
                <w:highlight w:val="none"/>
              </w:rPr>
              <w:t xml:space="preserve">知识产权：构成本谈判文件各个组成部分的文件，未经采购人书面同意，投标人不得擅自复印和用于非本招标项目所需的其他目的。采购人全部或者部分使用未中标人响应文件中的技术成果或技术方案时，需征得其书面同意，并不得擅自复印或提供给第三人。 </w:t>
            </w:r>
          </w:p>
        </w:tc>
      </w:tr>
      <w:tr w14:paraId="1033E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945" w:type="dxa"/>
            <w:tcBorders>
              <w:top w:val="single" w:color="000000" w:sz="4" w:space="0"/>
              <w:bottom w:val="single" w:color="auto" w:sz="4" w:space="0"/>
              <w:right w:val="single" w:color="000000" w:sz="4" w:space="0"/>
            </w:tcBorders>
            <w:vAlign w:val="center"/>
          </w:tcPr>
          <w:p w14:paraId="102C8152">
            <w:pPr>
              <w:spacing w:line="360" w:lineRule="auto"/>
              <w:jc w:val="center"/>
              <w:rPr>
                <w:szCs w:val="21"/>
                <w:highlight w:val="none"/>
              </w:rPr>
            </w:pPr>
            <w:r>
              <w:rPr>
                <w:rFonts w:hint="eastAsia"/>
                <w:szCs w:val="21"/>
                <w:highlight w:val="none"/>
              </w:rPr>
              <w:t>26</w:t>
            </w:r>
          </w:p>
        </w:tc>
        <w:tc>
          <w:tcPr>
            <w:tcW w:w="9101" w:type="dxa"/>
            <w:tcBorders>
              <w:top w:val="single" w:color="000000" w:sz="4" w:space="0"/>
              <w:left w:val="single" w:color="000000" w:sz="4" w:space="0"/>
              <w:bottom w:val="single" w:color="auto" w:sz="4" w:space="0"/>
            </w:tcBorders>
            <w:vAlign w:val="center"/>
          </w:tcPr>
          <w:p w14:paraId="1669E9A1">
            <w:pPr>
              <w:spacing w:line="360" w:lineRule="auto"/>
              <w:rPr>
                <w:szCs w:val="21"/>
                <w:highlight w:val="none"/>
              </w:rPr>
            </w:pPr>
            <w:r>
              <w:rPr>
                <w:rFonts w:hint="eastAsia"/>
                <w:szCs w:val="21"/>
                <w:highlight w:val="none"/>
              </w:rPr>
              <w:t>投标人代表出席开标会：</w:t>
            </w:r>
          </w:p>
          <w:p w14:paraId="783479DC">
            <w:pPr>
              <w:spacing w:line="360" w:lineRule="auto"/>
              <w:rPr>
                <w:szCs w:val="21"/>
                <w:highlight w:val="none"/>
              </w:rPr>
            </w:pPr>
            <w:r>
              <w:rPr>
                <w:rFonts w:hint="eastAsia"/>
                <w:szCs w:val="21"/>
                <w:highlight w:val="none"/>
              </w:rPr>
              <w:t>采购人邀请所有投标人的法定代表人或其委托代理人参加开标会。投标人的法定代表人或其委托代理人应当按时参加开标会。</w:t>
            </w:r>
          </w:p>
        </w:tc>
      </w:tr>
      <w:tr w14:paraId="090B1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945" w:type="dxa"/>
            <w:tcBorders>
              <w:top w:val="single" w:color="000000" w:sz="4" w:space="0"/>
              <w:bottom w:val="single" w:color="auto" w:sz="4" w:space="0"/>
              <w:right w:val="single" w:color="000000" w:sz="4" w:space="0"/>
            </w:tcBorders>
            <w:vAlign w:val="center"/>
          </w:tcPr>
          <w:p w14:paraId="32EBD8A5">
            <w:pPr>
              <w:spacing w:line="360" w:lineRule="auto"/>
              <w:jc w:val="center"/>
              <w:rPr>
                <w:szCs w:val="21"/>
                <w:highlight w:val="none"/>
              </w:rPr>
            </w:pPr>
            <w:r>
              <w:rPr>
                <w:rFonts w:hint="eastAsia"/>
                <w:szCs w:val="21"/>
                <w:highlight w:val="none"/>
              </w:rPr>
              <w:t>27</w:t>
            </w:r>
          </w:p>
        </w:tc>
        <w:tc>
          <w:tcPr>
            <w:tcW w:w="9101" w:type="dxa"/>
            <w:tcBorders>
              <w:top w:val="single" w:color="000000" w:sz="4" w:space="0"/>
              <w:left w:val="single" w:color="000000" w:sz="4" w:space="0"/>
              <w:bottom w:val="single" w:color="auto" w:sz="4" w:space="0"/>
            </w:tcBorders>
            <w:vAlign w:val="center"/>
          </w:tcPr>
          <w:p w14:paraId="1CE3129A">
            <w:pPr>
              <w:spacing w:line="360" w:lineRule="auto"/>
              <w:rPr>
                <w:szCs w:val="21"/>
                <w:highlight w:val="none"/>
              </w:rPr>
            </w:pPr>
            <w:r>
              <w:rPr>
                <w:rFonts w:hint="eastAsia"/>
                <w:szCs w:val="21"/>
                <w:highlight w:val="none"/>
              </w:rPr>
              <w:t>构成响应文件的其他材料</w:t>
            </w:r>
          </w:p>
          <w:p w14:paraId="4E4D5D8F">
            <w:pPr>
              <w:spacing w:line="360" w:lineRule="auto"/>
              <w:rPr>
                <w:szCs w:val="21"/>
                <w:highlight w:val="none"/>
                <w:lang w:val="zh-CN"/>
              </w:rPr>
            </w:pPr>
            <w:r>
              <w:rPr>
                <w:rFonts w:hint="eastAsia"/>
                <w:szCs w:val="21"/>
                <w:highlight w:val="none"/>
              </w:rPr>
              <w:t>竞争性谈判文件要求的其他材料</w:t>
            </w:r>
          </w:p>
        </w:tc>
      </w:tr>
      <w:tr w14:paraId="21E9D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auto" w:sz="4" w:space="0"/>
              <w:right w:val="single" w:color="000000" w:sz="4" w:space="0"/>
            </w:tcBorders>
            <w:vAlign w:val="center"/>
          </w:tcPr>
          <w:p w14:paraId="09C938F6">
            <w:pPr>
              <w:spacing w:line="360" w:lineRule="auto"/>
              <w:jc w:val="center"/>
              <w:rPr>
                <w:highlight w:val="none"/>
              </w:rPr>
            </w:pPr>
            <w:r>
              <w:rPr>
                <w:rFonts w:hint="eastAsia"/>
                <w:highlight w:val="none"/>
              </w:rPr>
              <w:t>28</w:t>
            </w:r>
          </w:p>
        </w:tc>
        <w:tc>
          <w:tcPr>
            <w:tcW w:w="9101" w:type="dxa"/>
            <w:tcBorders>
              <w:top w:val="single" w:color="000000" w:sz="4" w:space="0"/>
              <w:left w:val="single" w:color="000000" w:sz="4" w:space="0"/>
              <w:bottom w:val="single" w:color="auto" w:sz="4" w:space="0"/>
            </w:tcBorders>
            <w:vAlign w:val="center"/>
          </w:tcPr>
          <w:p w14:paraId="079AF390">
            <w:pPr>
              <w:spacing w:line="360" w:lineRule="auto"/>
              <w:rPr>
                <w:highlight w:val="none"/>
              </w:rPr>
            </w:pPr>
            <w:r>
              <w:rPr>
                <w:rFonts w:hint="eastAsia"/>
                <w:highlight w:val="none"/>
              </w:rPr>
              <w:t>政府采购支持中小企业、监狱企业、残疾人福利性单位发展：</w:t>
            </w:r>
          </w:p>
          <w:p w14:paraId="5E7E85A5">
            <w:pPr>
              <w:spacing w:line="360" w:lineRule="auto"/>
              <w:rPr>
                <w:highlight w:val="none"/>
              </w:rPr>
            </w:pPr>
            <w:r>
              <w:rPr>
                <w:rFonts w:hint="eastAsia"/>
                <w:highlight w:val="none"/>
              </w:rPr>
              <w:t>☑专门面向中小企业采购。</w:t>
            </w:r>
          </w:p>
          <w:p w14:paraId="36D9FCD5">
            <w:pPr>
              <w:spacing w:line="360" w:lineRule="auto"/>
              <w:rPr>
                <w:highlight w:val="none"/>
              </w:rPr>
            </w:pPr>
            <w:r>
              <w:rPr>
                <w:rFonts w:hint="eastAsia"/>
                <w:highlight w:val="none"/>
              </w:rPr>
              <w:t>供应商应提供中小企业声明函原件，评审时不再执行价格评审优惠的扶持政策。依据《财政部司法部关于政府采购支持监狱企业发展有关问题的通知》文件规定，在政府采购活动中，监狱企业视同小型、微型企业。</w:t>
            </w:r>
          </w:p>
          <w:p w14:paraId="63C554D0">
            <w:pPr>
              <w:spacing w:line="360" w:lineRule="auto"/>
              <w:rPr>
                <w:highlight w:val="none"/>
              </w:rPr>
            </w:pPr>
            <w:r>
              <w:rPr>
                <w:rFonts w:hint="eastAsia"/>
                <w:highlight w:val="none"/>
              </w:rPr>
              <w:sym w:font="Wingdings" w:char="00A8"/>
            </w:r>
            <w:r>
              <w:rPr>
                <w:rFonts w:hint="eastAsia"/>
                <w:highlight w:val="none"/>
              </w:rPr>
              <w:t xml:space="preserve"> 非专门面向中小企业、监狱企业、残疾人福利性单位采购：</w:t>
            </w:r>
          </w:p>
          <w:p w14:paraId="24539CCF">
            <w:pPr>
              <w:spacing w:line="360" w:lineRule="auto"/>
              <w:rPr>
                <w:highlight w:val="none"/>
              </w:rPr>
            </w:pPr>
            <w:r>
              <w:rPr>
                <w:rFonts w:hint="eastAsia"/>
                <w:highlight w:val="none"/>
              </w:rPr>
              <w:t>对于小型或微型企业、监狱企业、残疾人福利性单位参与本项目投标的，给予10%的价格扣除。</w:t>
            </w:r>
          </w:p>
          <w:p w14:paraId="36B38498">
            <w:pPr>
              <w:spacing w:line="360" w:lineRule="auto"/>
              <w:rPr>
                <w:highlight w:val="none"/>
              </w:rPr>
            </w:pPr>
            <w:r>
              <w:rPr>
                <w:rFonts w:hint="eastAsia"/>
                <w:highlight w:val="none"/>
              </w:rPr>
              <w:t>注：小微企业提供《小微企业声明函》；</w:t>
            </w:r>
          </w:p>
          <w:p w14:paraId="1FF29B6E">
            <w:pPr>
              <w:spacing w:line="360" w:lineRule="auto"/>
              <w:rPr>
                <w:highlight w:val="none"/>
              </w:rPr>
            </w:pPr>
            <w:r>
              <w:rPr>
                <w:rFonts w:hint="eastAsia"/>
                <w:highlight w:val="none"/>
              </w:rPr>
              <w:t>本项目所属行业为工业</w:t>
            </w:r>
          </w:p>
          <w:p w14:paraId="39418721">
            <w:pPr>
              <w:spacing w:line="360" w:lineRule="auto"/>
              <w:rPr>
                <w:highlight w:val="none"/>
              </w:rPr>
            </w:pPr>
            <w:r>
              <w:rPr>
                <w:rFonts w:hint="eastAsia"/>
                <w:highlight w:val="none"/>
              </w:rPr>
              <w:t>本项目采购本国货物，不享受价格评审优惠</w:t>
            </w:r>
          </w:p>
        </w:tc>
      </w:tr>
      <w:tr w14:paraId="3F8D2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auto" w:sz="4" w:space="0"/>
              <w:right w:val="single" w:color="000000" w:sz="4" w:space="0"/>
            </w:tcBorders>
            <w:vAlign w:val="center"/>
          </w:tcPr>
          <w:p w14:paraId="22117E21">
            <w:pPr>
              <w:spacing w:line="360" w:lineRule="auto"/>
              <w:jc w:val="center"/>
              <w:rPr>
                <w:szCs w:val="21"/>
                <w:highlight w:val="none"/>
              </w:rPr>
            </w:pPr>
            <w:r>
              <w:rPr>
                <w:rFonts w:hint="eastAsia"/>
                <w:szCs w:val="21"/>
                <w:highlight w:val="none"/>
              </w:rPr>
              <w:t>29</w:t>
            </w:r>
          </w:p>
        </w:tc>
        <w:tc>
          <w:tcPr>
            <w:tcW w:w="9101" w:type="dxa"/>
            <w:tcBorders>
              <w:top w:val="single" w:color="000000" w:sz="4" w:space="0"/>
              <w:left w:val="single" w:color="000000" w:sz="4" w:space="0"/>
              <w:bottom w:val="single" w:color="auto" w:sz="4" w:space="0"/>
            </w:tcBorders>
            <w:vAlign w:val="center"/>
          </w:tcPr>
          <w:p w14:paraId="14208B50">
            <w:pPr>
              <w:spacing w:line="360" w:lineRule="auto"/>
              <w:rPr>
                <w:szCs w:val="21"/>
                <w:highlight w:val="none"/>
              </w:rPr>
            </w:pPr>
            <w:r>
              <w:rPr>
                <w:rFonts w:hint="eastAsia"/>
                <w:szCs w:val="21"/>
                <w:highlight w:val="none"/>
              </w:rPr>
              <w:t>本项目招标代理服务费由招标代理机构向中标单位收取。招标代理服务费执行国家发改委《关于进一步放开建设项目专业服务价格的通知》（发改价格〔2015〕299号）文件规定，不高于《招标代理服务收费管理暂行办法》（计价格〔2002〕1980号）规定的标准。</w:t>
            </w:r>
          </w:p>
        </w:tc>
      </w:tr>
      <w:tr w14:paraId="6D6E7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5" w:type="dxa"/>
            <w:tcBorders>
              <w:top w:val="single" w:color="000000" w:sz="4" w:space="0"/>
              <w:bottom w:val="single" w:color="auto" w:sz="4" w:space="0"/>
              <w:right w:val="single" w:color="000000" w:sz="4" w:space="0"/>
            </w:tcBorders>
            <w:vAlign w:val="center"/>
          </w:tcPr>
          <w:p w14:paraId="264E93D7">
            <w:pPr>
              <w:spacing w:line="360" w:lineRule="auto"/>
              <w:jc w:val="center"/>
              <w:rPr>
                <w:szCs w:val="21"/>
                <w:highlight w:val="none"/>
              </w:rPr>
            </w:pPr>
            <w:r>
              <w:rPr>
                <w:rFonts w:hint="eastAsia"/>
                <w:szCs w:val="21"/>
                <w:highlight w:val="none"/>
              </w:rPr>
              <w:t>30</w:t>
            </w:r>
          </w:p>
        </w:tc>
        <w:tc>
          <w:tcPr>
            <w:tcW w:w="9101" w:type="dxa"/>
            <w:tcBorders>
              <w:top w:val="single" w:color="000000" w:sz="4" w:space="0"/>
              <w:left w:val="single" w:color="000000" w:sz="4" w:space="0"/>
              <w:bottom w:val="single" w:color="auto" w:sz="4" w:space="0"/>
            </w:tcBorders>
            <w:vAlign w:val="center"/>
          </w:tcPr>
          <w:p w14:paraId="2F8A731A">
            <w:pPr>
              <w:spacing w:line="360" w:lineRule="auto"/>
              <w:rPr>
                <w:szCs w:val="21"/>
                <w:highlight w:val="none"/>
              </w:rPr>
            </w:pPr>
            <w:r>
              <w:rPr>
                <w:rFonts w:hint="eastAsia"/>
                <w:szCs w:val="21"/>
                <w:highlight w:val="none"/>
              </w:rPr>
              <w:t>注：若谈判公告内容（指网上发布的谈判公告和谈判文件第一章中所附的公告）与谈判文件内容有不一致之处，以谈判文件投标人须知内容为准。谈判文件的最终解释权归采购代理机构所有。</w:t>
            </w:r>
          </w:p>
        </w:tc>
      </w:tr>
    </w:tbl>
    <w:p w14:paraId="41F1E969">
      <w:pPr>
        <w:rPr>
          <w:rFonts w:cs="宋体"/>
          <w:sz w:val="36"/>
          <w:highlight w:val="none"/>
        </w:rPr>
      </w:pPr>
      <w:bookmarkStart w:id="33" w:name="_Toc465069553"/>
      <w:bookmarkStart w:id="34" w:name="_Toc7208"/>
      <w:r>
        <w:rPr>
          <w:rFonts w:hint="eastAsia" w:cs="宋体"/>
          <w:sz w:val="36"/>
          <w:highlight w:val="none"/>
        </w:rPr>
        <w:br w:type="page"/>
      </w:r>
    </w:p>
    <w:p w14:paraId="78943895">
      <w:pPr>
        <w:pStyle w:val="3"/>
        <w:rPr>
          <w:rFonts w:hint="eastAsia" w:cs="宋体"/>
          <w:color w:val="auto"/>
          <w:sz w:val="36"/>
          <w:highlight w:val="none"/>
        </w:rPr>
      </w:pPr>
      <w:bookmarkStart w:id="35" w:name="_Toc9070"/>
      <w:r>
        <w:rPr>
          <w:rFonts w:hint="eastAsia" w:cs="宋体"/>
          <w:color w:val="auto"/>
          <w:sz w:val="36"/>
          <w:highlight w:val="none"/>
        </w:rPr>
        <w:t>（二）供应商须知</w:t>
      </w:r>
      <w:bookmarkEnd w:id="33"/>
      <w:bookmarkEnd w:id="35"/>
    </w:p>
    <w:p w14:paraId="694BAB5B">
      <w:pPr>
        <w:spacing w:line="315" w:lineRule="auto"/>
        <w:ind w:firstLine="422" w:firstLineChars="200"/>
        <w:jc w:val="center"/>
        <w:rPr>
          <w:rFonts w:hint="eastAsia" w:ascii="宋体" w:hAnsi="宋体" w:cs="宋体"/>
          <w:b/>
          <w:szCs w:val="21"/>
          <w:highlight w:val="none"/>
        </w:rPr>
      </w:pPr>
      <w:r>
        <w:rPr>
          <w:rFonts w:hint="eastAsia" w:ascii="宋体" w:hAnsi="宋体" w:cs="宋体"/>
          <w:b/>
          <w:szCs w:val="21"/>
          <w:highlight w:val="none"/>
        </w:rPr>
        <w:t>第一部分  谈判程序</w:t>
      </w:r>
    </w:p>
    <w:p w14:paraId="16F9AC62">
      <w:pPr>
        <w:spacing w:line="360" w:lineRule="auto"/>
        <w:ind w:firstLine="420" w:firstLineChars="200"/>
        <w:rPr>
          <w:rFonts w:hint="eastAsia"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采购方式</w:t>
      </w:r>
    </w:p>
    <w:p w14:paraId="0356FBC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本次采购采用竞争性谈判的方式，采购人及其委托代理机构采用以国家法律规定的发布谈判公告的方式确定参加谈判的供应商。</w:t>
      </w:r>
    </w:p>
    <w:p w14:paraId="3B05C268">
      <w:pPr>
        <w:spacing w:line="360" w:lineRule="auto"/>
        <w:ind w:firstLine="420" w:firstLineChars="200"/>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谈判程序</w:t>
      </w:r>
    </w:p>
    <w:p w14:paraId="66FFE3B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2.1 在规定的时间内由供应商将谈判响应文件提交给采购代理机构，由谈判小组对谈判响应文件进行评审。</w:t>
      </w:r>
    </w:p>
    <w:p w14:paraId="01CF34A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2.2 就商务、技术及价格进行谈判，经过谈判小组的评审确定最终成交供应商。</w:t>
      </w:r>
    </w:p>
    <w:p w14:paraId="0523B05B">
      <w:pPr>
        <w:spacing w:line="360" w:lineRule="auto"/>
        <w:ind w:firstLine="420" w:firstLineChars="200"/>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合格供应商的条件</w:t>
      </w:r>
    </w:p>
    <w:p w14:paraId="453143B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3.1 具有本项目实施能力，符合、承认并承诺履行本谈判文件各项规定的国内供应商均可参加投标。</w:t>
      </w:r>
    </w:p>
    <w:p w14:paraId="0DFEA35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3.2合格的供应商资格条件详见供应商须知前附表。</w:t>
      </w:r>
    </w:p>
    <w:p w14:paraId="7CCD77E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3.3合格的供应商应遵守有关的国家法律、法规和条例，同时具备《中华人民共和国政府采购法》和本文件中规定的条件。</w:t>
      </w:r>
    </w:p>
    <w:p w14:paraId="717CD7D0">
      <w:pPr>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3.4与采购人存在利害关系可能影响谈判公正性的法人、其他组织或者个人，不得参加投标。单位负责人为同一人或者存在控股、管理关系的不同单位，不得参加同一标段/标包投标或者未划分标段/标包的同一招标项目投标。违反这两款规定的，相关投标均无效。</w:t>
      </w:r>
    </w:p>
    <w:p w14:paraId="5D70481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3.5如供应商代表不是法定代表人，须持有《法定代表人授权委托书》（按谈判文件格式填写）。</w:t>
      </w:r>
    </w:p>
    <w:p w14:paraId="378B5C9F">
      <w:pPr>
        <w:spacing w:line="360" w:lineRule="auto"/>
        <w:ind w:firstLine="420" w:firstLineChars="200"/>
        <w:rPr>
          <w:rFonts w:hint="eastAsia" w:ascii="宋体" w:hAnsi="宋体" w:cs="宋体"/>
          <w:szCs w:val="21"/>
          <w:highlight w:val="none"/>
        </w:rPr>
      </w:pPr>
      <w:bookmarkStart w:id="36" w:name="_Toc459187166"/>
      <w:bookmarkStart w:id="37" w:name="_Toc465069554"/>
      <w:r>
        <w:rPr>
          <w:rFonts w:hint="eastAsia" w:ascii="宋体" w:hAnsi="宋体" w:cs="宋体"/>
          <w:szCs w:val="21"/>
          <w:highlight w:val="none"/>
        </w:rPr>
        <w:t>3.6供应商不得存在下列情形之一：</w:t>
      </w:r>
      <w:bookmarkEnd w:id="36"/>
      <w:bookmarkEnd w:id="37"/>
    </w:p>
    <w:p w14:paraId="786D22A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w:t>
      </w:r>
      <w:bookmarkStart w:id="38" w:name="_Toc465069566"/>
      <w:bookmarkStart w:id="39" w:name="_Toc443651278"/>
      <w:bookmarkStart w:id="40" w:name="_Toc8201"/>
      <w:bookmarkStart w:id="41" w:name="_Toc459187178"/>
      <w:bookmarkStart w:id="42" w:name="_Toc3494"/>
      <w:bookmarkStart w:id="43" w:name="_Toc17761"/>
      <w:r>
        <w:rPr>
          <w:rFonts w:hint="eastAsia" w:ascii="宋体" w:hAnsi="宋体" w:cs="宋体"/>
          <w:szCs w:val="21"/>
          <w:highlight w:val="none"/>
        </w:rPr>
        <w:t>（l）为招标人不具有独立法人资格的附属机构（单位）；</w:t>
      </w:r>
    </w:p>
    <w:p w14:paraId="0DD7CAF9">
      <w:pPr>
        <w:spacing w:line="360" w:lineRule="auto"/>
        <w:ind w:firstLine="840" w:firstLineChars="400"/>
        <w:rPr>
          <w:rFonts w:hint="eastAsia" w:ascii="宋体" w:hAnsi="宋体" w:cs="宋体"/>
          <w:szCs w:val="21"/>
          <w:highlight w:val="none"/>
        </w:rPr>
      </w:pPr>
      <w:r>
        <w:rPr>
          <w:rFonts w:hint="eastAsia" w:ascii="宋体" w:hAnsi="宋体" w:cs="宋体"/>
          <w:szCs w:val="21"/>
          <w:highlight w:val="none"/>
        </w:rPr>
        <w:t>（2）为本标段提供招标代理服务的；</w:t>
      </w:r>
    </w:p>
    <w:p w14:paraId="2A9265A2">
      <w:pPr>
        <w:spacing w:line="360" w:lineRule="auto"/>
        <w:ind w:firstLine="840" w:firstLineChars="400"/>
        <w:rPr>
          <w:rFonts w:hint="eastAsia" w:ascii="宋体" w:hAnsi="宋体" w:cs="宋体"/>
          <w:szCs w:val="21"/>
          <w:highlight w:val="none"/>
        </w:rPr>
      </w:pPr>
      <w:r>
        <w:rPr>
          <w:rFonts w:hint="eastAsia" w:ascii="宋体" w:hAnsi="宋体" w:cs="宋体"/>
          <w:szCs w:val="21"/>
          <w:highlight w:val="none"/>
        </w:rPr>
        <w:t>（3）被责令停业的；</w:t>
      </w:r>
    </w:p>
    <w:p w14:paraId="4D51D403">
      <w:pPr>
        <w:spacing w:line="360" w:lineRule="auto"/>
        <w:ind w:firstLine="840" w:firstLineChars="400"/>
        <w:rPr>
          <w:rFonts w:hint="eastAsia" w:ascii="宋体" w:hAnsi="宋体" w:cs="宋体"/>
          <w:szCs w:val="21"/>
          <w:highlight w:val="none"/>
        </w:rPr>
      </w:pPr>
      <w:r>
        <w:rPr>
          <w:rFonts w:hint="eastAsia" w:ascii="宋体" w:hAnsi="宋体" w:cs="宋体"/>
          <w:szCs w:val="21"/>
          <w:highlight w:val="none"/>
        </w:rPr>
        <w:t>（4）被暂停或取消投标资格的；</w:t>
      </w:r>
    </w:p>
    <w:p w14:paraId="573F60F6">
      <w:pPr>
        <w:spacing w:line="360" w:lineRule="auto"/>
        <w:ind w:firstLine="840" w:firstLineChars="400"/>
        <w:rPr>
          <w:rFonts w:hint="eastAsia" w:ascii="宋体" w:hAnsi="宋体" w:cs="宋体"/>
          <w:szCs w:val="21"/>
          <w:highlight w:val="none"/>
        </w:rPr>
      </w:pPr>
      <w:r>
        <w:rPr>
          <w:rFonts w:hint="eastAsia" w:ascii="宋体" w:hAnsi="宋体" w:cs="宋体"/>
          <w:szCs w:val="21"/>
          <w:highlight w:val="none"/>
        </w:rPr>
        <w:t>（5）财产被接管或冻结的；</w:t>
      </w:r>
    </w:p>
    <w:p w14:paraId="3577B075">
      <w:pPr>
        <w:spacing w:line="360" w:lineRule="auto"/>
        <w:ind w:firstLine="840" w:firstLineChars="400"/>
        <w:rPr>
          <w:rFonts w:hint="eastAsia" w:ascii="宋体" w:hAnsi="宋体" w:cs="宋体"/>
          <w:szCs w:val="21"/>
          <w:highlight w:val="none"/>
        </w:rPr>
      </w:pPr>
      <w:r>
        <w:rPr>
          <w:rFonts w:hint="eastAsia" w:ascii="宋体" w:hAnsi="宋体" w:cs="宋体"/>
          <w:szCs w:val="21"/>
          <w:highlight w:val="none"/>
        </w:rPr>
        <w:t>（6）在最近三年内有骗取中标或严重违约或重大质量问题的；</w:t>
      </w:r>
    </w:p>
    <w:p w14:paraId="4BB95258">
      <w:pPr>
        <w:spacing w:line="360" w:lineRule="auto"/>
        <w:ind w:firstLine="840" w:firstLineChars="400"/>
        <w:rPr>
          <w:rFonts w:hint="eastAsia" w:ascii="宋体" w:hAnsi="宋体" w:cs="宋体"/>
          <w:szCs w:val="21"/>
          <w:highlight w:val="none"/>
        </w:rPr>
      </w:pPr>
      <w:r>
        <w:rPr>
          <w:rFonts w:hint="eastAsia" w:ascii="宋体" w:hAnsi="宋体" w:cs="宋体"/>
          <w:szCs w:val="21"/>
          <w:highlight w:val="none"/>
        </w:rPr>
        <w:t>（7）拒绝列入政府取消投标资格期间的企业或个人投标。</w:t>
      </w:r>
    </w:p>
    <w:bookmarkEnd w:id="38"/>
    <w:bookmarkEnd w:id="39"/>
    <w:bookmarkEnd w:id="40"/>
    <w:bookmarkEnd w:id="41"/>
    <w:bookmarkEnd w:id="42"/>
    <w:bookmarkEnd w:id="43"/>
    <w:p w14:paraId="1F98CBA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3.7谈判费用</w:t>
      </w:r>
    </w:p>
    <w:p w14:paraId="43C92B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供应商应承担所有与准备和参加谈判有关的费用，采购代理机构和采购人在任何情况下均无义务和责任承担这些费用。</w:t>
      </w:r>
    </w:p>
    <w:p w14:paraId="17A89752">
      <w:pPr>
        <w:spacing w:line="360" w:lineRule="auto"/>
        <w:ind w:firstLine="422" w:firstLineChars="200"/>
        <w:jc w:val="center"/>
        <w:rPr>
          <w:rFonts w:hint="eastAsia" w:ascii="宋体" w:hAnsi="宋体" w:cs="宋体"/>
          <w:b/>
          <w:bCs/>
          <w:szCs w:val="21"/>
          <w:highlight w:val="none"/>
        </w:rPr>
      </w:pPr>
      <w:r>
        <w:rPr>
          <w:rFonts w:hint="eastAsia" w:ascii="宋体" w:hAnsi="宋体" w:cs="宋体"/>
          <w:b/>
          <w:bCs/>
          <w:szCs w:val="21"/>
          <w:highlight w:val="none"/>
        </w:rPr>
        <w:t>第二部分   谈判文件</w:t>
      </w:r>
    </w:p>
    <w:p w14:paraId="39C1F08B">
      <w:pPr>
        <w:spacing w:line="360" w:lineRule="auto"/>
        <w:ind w:firstLine="422" w:firstLineChars="200"/>
        <w:jc w:val="center"/>
        <w:rPr>
          <w:rFonts w:hint="eastAsia" w:ascii="宋体" w:hAnsi="宋体" w:cs="宋体"/>
          <w:b/>
          <w:bCs/>
          <w:szCs w:val="21"/>
          <w:highlight w:val="none"/>
        </w:rPr>
      </w:pPr>
    </w:p>
    <w:p w14:paraId="6035D079">
      <w:pPr>
        <w:spacing w:line="360" w:lineRule="auto"/>
        <w:ind w:firstLine="420" w:firstLineChars="200"/>
        <w:rPr>
          <w:rFonts w:hint="eastAsia"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供应商应认真阅读竞争性谈判文件所有的事项、格式、条款和技术规格等。如供应商没有按照谈判文件要求提交全部资料，或者谈判响应文件没有对谈判文件在各方面都作出实质性响应是供应商的风险，并可能导致其报价被拒绝。</w:t>
      </w:r>
    </w:p>
    <w:p w14:paraId="0B8B92D8">
      <w:pPr>
        <w:spacing w:line="360" w:lineRule="auto"/>
        <w:ind w:firstLine="420" w:firstLineChars="200"/>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谈判文件的澄清及修改</w:t>
      </w:r>
    </w:p>
    <w:p w14:paraId="048D16A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2.1任何要求对谈判文件进行澄清的供应商，谈判截止时间前均应以书面形式通知采购代理机构。采购代理机构应以书面形式予以答复，并将书面答复发给每个购买谈判文件的供应商（答复中不包括问题的来源）。</w:t>
      </w:r>
    </w:p>
    <w:p w14:paraId="33A9CDC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 采购单位可主动地或在解答供应商提出的澄清问题时对谈判文件进行修改，谈判文件的修改应以书面形式通知采购代理机构，由采购代理机构通知所有购买谈判文件的供应商，并对其具有约束力。供应商在收到上述通知后，应立即向采购代理机构以书面形式回函确认。</w:t>
      </w:r>
    </w:p>
    <w:p w14:paraId="1447C9A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2.3为使供应商有足够的时间对谈判响应文件的修改部分进行研究，采购单位有权决定是否延长谈判截止期。</w:t>
      </w:r>
    </w:p>
    <w:p w14:paraId="210F98EF">
      <w:pPr>
        <w:spacing w:line="360" w:lineRule="auto"/>
        <w:ind w:firstLine="422" w:firstLineChars="200"/>
        <w:jc w:val="center"/>
        <w:rPr>
          <w:rFonts w:hint="eastAsia" w:ascii="宋体" w:hAnsi="宋体" w:cs="宋体"/>
          <w:b/>
          <w:bCs/>
          <w:szCs w:val="21"/>
          <w:highlight w:val="none"/>
        </w:rPr>
      </w:pPr>
      <w:r>
        <w:rPr>
          <w:rFonts w:hint="eastAsia" w:ascii="宋体" w:hAnsi="宋体" w:cs="宋体"/>
          <w:b/>
          <w:bCs/>
          <w:szCs w:val="21"/>
          <w:highlight w:val="none"/>
        </w:rPr>
        <w:t>第三部分 谈判响应文件的编制</w:t>
      </w:r>
    </w:p>
    <w:p w14:paraId="6E6AC211">
      <w:pPr>
        <w:spacing w:line="360" w:lineRule="auto"/>
        <w:ind w:firstLine="422" w:firstLineChars="200"/>
        <w:jc w:val="center"/>
        <w:rPr>
          <w:rFonts w:hint="eastAsia" w:ascii="宋体" w:hAnsi="宋体" w:cs="宋体"/>
          <w:b/>
          <w:bCs/>
          <w:szCs w:val="21"/>
          <w:highlight w:val="none"/>
        </w:rPr>
      </w:pPr>
    </w:p>
    <w:p w14:paraId="10A3FDB1">
      <w:pPr>
        <w:spacing w:line="360" w:lineRule="auto"/>
        <w:ind w:firstLine="420" w:firstLineChars="200"/>
        <w:rPr>
          <w:rFonts w:hint="eastAsia"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谈判范围及谈判响应文件中计量单位的使用</w:t>
      </w:r>
    </w:p>
    <w:p w14:paraId="7E4817F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1.1投标供应商应按谈判文件的采购清单进行报价，不能将整个的内容拆开就其中一项或一部分进行报价。</w:t>
      </w:r>
    </w:p>
    <w:p w14:paraId="2ECD109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 谈判响应文件中所使用的计量单位，除谈判文件中有特殊要求外，应采用中华人民共和国法定计量单位。</w:t>
      </w:r>
    </w:p>
    <w:p w14:paraId="0C02360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2.谈判响应文件构成</w:t>
      </w:r>
    </w:p>
    <w:p w14:paraId="4BDF040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供应商应完整的按谈判文件提供的谈判响应文件格式填写谈判响应文件，并编制响应文件目录及页码，谈判响应文件应包括以下内容：</w:t>
      </w:r>
    </w:p>
    <w:p w14:paraId="45AA72C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highlight w:val="none"/>
        </w:rPr>
        <w:t>报价一览表</w:t>
      </w:r>
    </w:p>
    <w:p w14:paraId="3703491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2、投标函</w:t>
      </w:r>
    </w:p>
    <w:p w14:paraId="1418B62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3、投标报价一览表</w:t>
      </w:r>
    </w:p>
    <w:p w14:paraId="1311B19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4、技术要求偏离表</w:t>
      </w:r>
    </w:p>
    <w:p w14:paraId="28D7C90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5、商务条款偏离表</w:t>
      </w:r>
    </w:p>
    <w:p w14:paraId="7946CD3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6、售后服务承诺书</w:t>
      </w:r>
    </w:p>
    <w:p w14:paraId="2C3C2E2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7、法定代表人资格证明</w:t>
      </w:r>
    </w:p>
    <w:p w14:paraId="1BC40A7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8、法定代表人授权书</w:t>
      </w:r>
    </w:p>
    <w:p w14:paraId="4AD1CE0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9、中标服务费承诺书</w:t>
      </w:r>
    </w:p>
    <w:p w14:paraId="6DD9736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10、投标人资格证明文件</w:t>
      </w:r>
    </w:p>
    <w:p w14:paraId="4A2D0B3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11、谈判文件要求提供的其他文件资料</w:t>
      </w:r>
    </w:p>
    <w:p w14:paraId="3D14EE5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12、中小企业声明函。</w:t>
      </w:r>
    </w:p>
    <w:p w14:paraId="6707540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3.投标人编写投标文件的要求：报价</w:t>
      </w:r>
    </w:p>
    <w:p w14:paraId="1F2F1F4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3.1.1采购预算：</w:t>
      </w:r>
      <w:r>
        <w:rPr>
          <w:rFonts w:hint="eastAsia" w:ascii="宋体" w:hAnsi="宋体" w:cs="宋体"/>
          <w:kern w:val="0"/>
          <w:szCs w:val="21"/>
          <w:highlight w:val="none"/>
        </w:rPr>
        <w:t>460,000.00元</w:t>
      </w:r>
      <w:r>
        <w:rPr>
          <w:rFonts w:hint="eastAsia" w:ascii="宋体" w:hAnsi="宋体" w:cs="宋体"/>
          <w:szCs w:val="21"/>
          <w:highlight w:val="none"/>
        </w:rPr>
        <w:t>。</w:t>
      </w:r>
    </w:p>
    <w:p w14:paraId="6DD0C4D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3.1.2在合同履行期内报价不变。</w:t>
      </w:r>
    </w:p>
    <w:p w14:paraId="7D1CF75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3.1.3报价超过采购预算的投标为废标，不进入评标程序。</w:t>
      </w:r>
    </w:p>
    <w:p w14:paraId="5B4AF46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4.保证金</w:t>
      </w:r>
    </w:p>
    <w:p w14:paraId="658F7EE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无。</w:t>
      </w:r>
    </w:p>
    <w:p w14:paraId="4D04D33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5.有效期</w:t>
      </w:r>
    </w:p>
    <w:p w14:paraId="4D28AB2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5.1供应商的谈判响应文件应在规定的递交谈判响应文件截止日后</w:t>
      </w:r>
      <w:r>
        <w:rPr>
          <w:rFonts w:hint="eastAsia" w:ascii="宋体" w:hAnsi="宋体" w:cs="宋体"/>
          <w:szCs w:val="21"/>
          <w:highlight w:val="none"/>
          <w:u w:val="single"/>
        </w:rPr>
        <w:t>90</w:t>
      </w:r>
      <w:r>
        <w:rPr>
          <w:rFonts w:hint="eastAsia" w:ascii="宋体" w:hAnsi="宋体" w:cs="宋体"/>
          <w:szCs w:val="21"/>
          <w:highlight w:val="none"/>
        </w:rPr>
        <w:t>天内保持有效，有效期不满足要求的谈判响应文件将被视为非实质性响应而予以拒绝。</w:t>
      </w:r>
    </w:p>
    <w:p w14:paraId="2C3A781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 采购单位可根据实际情况，在原有效期截止之前，要求供应商同意延长有效期。接受该要求的供应商将不得要求修正其报价，且本须知中有关保证金的要求将在延长的有效期内继续有效。供应商也可以拒绝采购单位的这种要求，其保证金将不会被没收。上述要求和答复都应以书面形式提交。</w:t>
      </w:r>
    </w:p>
    <w:p w14:paraId="5A1D04E8">
      <w:pPr>
        <w:spacing w:line="360" w:lineRule="auto"/>
        <w:ind w:left="420"/>
        <w:rPr>
          <w:rFonts w:hint="eastAsia" w:ascii="宋体" w:hAnsi="宋体" w:cs="宋体"/>
          <w:szCs w:val="21"/>
          <w:highlight w:val="none"/>
        </w:rPr>
      </w:pPr>
      <w:r>
        <w:rPr>
          <w:rFonts w:hint="eastAsia" w:ascii="宋体" w:hAnsi="宋体" w:cs="宋体"/>
          <w:szCs w:val="21"/>
          <w:highlight w:val="none"/>
        </w:rPr>
        <w:t>6.谈判响应文件的签署及规定</w:t>
      </w:r>
    </w:p>
    <w:p w14:paraId="2652253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供应商在“政采云”平台（http：//www.zcygov.cn）上制作响应文件一份，由投标人的法定代表人或其被授权人签字并加盖公章。投标文件由单位负责人签署的，须提交以书面形式出具的“法定代表人资格证明”；由被授权人签署的，须提交以书面形式出具的“法定代表人资格证明”和“法定代表人授权书”。如投标文件需进行修改，则应由供应商的法定代表人或经其授权的代表在修改的每一页上签字,未经有效签署的投标文件将被作为非响应性投标而被拒绝。</w:t>
      </w:r>
    </w:p>
    <w:p w14:paraId="386AFFF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6.2任何行间插字、涂改和增删，必须由谈判响应按文件签字人签字或盖章后才有效。</w:t>
      </w:r>
    </w:p>
    <w:p w14:paraId="7BEA245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6.3谈判响应文件因字迹潦草或表达不清所引起的后果由供应商负责。</w:t>
      </w:r>
    </w:p>
    <w:p w14:paraId="6080B1E9">
      <w:pPr>
        <w:spacing w:line="360" w:lineRule="auto"/>
        <w:ind w:firstLine="422" w:firstLineChars="200"/>
        <w:jc w:val="center"/>
        <w:rPr>
          <w:rFonts w:hint="eastAsia" w:ascii="宋体" w:hAnsi="宋体" w:cs="宋体"/>
          <w:b/>
          <w:bCs/>
          <w:szCs w:val="21"/>
          <w:highlight w:val="none"/>
        </w:rPr>
      </w:pPr>
      <w:r>
        <w:rPr>
          <w:rFonts w:hint="eastAsia" w:ascii="宋体" w:hAnsi="宋体" w:cs="宋体"/>
          <w:b/>
          <w:bCs/>
          <w:szCs w:val="21"/>
          <w:highlight w:val="none"/>
        </w:rPr>
        <w:t>第四部分   谈判响应文件的递交</w:t>
      </w:r>
    </w:p>
    <w:p w14:paraId="44361A2D">
      <w:pPr>
        <w:spacing w:line="360" w:lineRule="auto"/>
        <w:ind w:firstLine="420" w:firstLineChars="200"/>
        <w:rPr>
          <w:rFonts w:hint="eastAsia"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谈判响应文件的递交</w:t>
      </w:r>
    </w:p>
    <w:p w14:paraId="6A9704B7">
      <w:pPr>
        <w:spacing w:line="360" w:lineRule="auto"/>
        <w:ind w:firstLine="420" w:firstLineChars="200"/>
        <w:rPr>
          <w:rFonts w:hint="eastAsia" w:ascii="宋体" w:hAnsi="宋体" w:cs="宋体"/>
          <w:szCs w:val="21"/>
          <w:highlight w:val="none"/>
        </w:rPr>
      </w:pPr>
      <w:r>
        <w:rPr>
          <w:rFonts w:hint="eastAsia"/>
          <w:bCs/>
          <w:szCs w:val="21"/>
          <w:highlight w:val="none"/>
        </w:rPr>
        <w:t>供应商在“政采云”平台（http：//www.zcygov.cn）上制作响应文件一份（此响应文件须上传至“政采云”平台）</w:t>
      </w:r>
      <w:r>
        <w:rPr>
          <w:rFonts w:hint="eastAsia" w:ascii="宋体" w:hAnsi="宋体" w:cs="宋体"/>
          <w:szCs w:val="21"/>
          <w:highlight w:val="none"/>
        </w:rPr>
        <w:t>。逾期递交的投标文件，采购人、采购代理机构应当拒收。</w:t>
      </w:r>
    </w:p>
    <w:p w14:paraId="3E9CCE8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2.截止期</w:t>
      </w:r>
    </w:p>
    <w:p w14:paraId="20ACCA8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2.1供应商应在竞争性谈判采购信息公告中规定的截止日期和时间内，将谈判响应文件提交至“政采云”平台（http：//www.zcygov.cn）。</w:t>
      </w:r>
    </w:p>
    <w:p w14:paraId="1FE30FB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2.2采购单位有权按本须知的规定，通过修改谈判文件延长谈判响应文件递交的截止日期。在此情况下，采购单位和供应商受截止期制约的所有权利和义务均应延长至新的截止期。</w:t>
      </w:r>
    </w:p>
    <w:p w14:paraId="64DF85F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2.3采购代理机构将拒绝并原封退回在本须知规定的截止期后收到的任何谈判响应文件。</w:t>
      </w:r>
    </w:p>
    <w:p w14:paraId="6E228F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3.谈判响应文件的修改与撤回</w:t>
      </w:r>
    </w:p>
    <w:p w14:paraId="3EDF3BA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3.1谈判响应文件递交以后，如果供应商提出书面修改或撤标要求，在谈判响应文件递交截止时间前送达竞争性谈判邀请书中规定的地点的，采购代理机构将予以接受。</w:t>
      </w:r>
    </w:p>
    <w:p w14:paraId="150083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3.2供应商对谈判响应文件的修改或撤回通知应按本须知规定编制、密封、标记和发送。</w:t>
      </w:r>
    </w:p>
    <w:p w14:paraId="4FD3255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3.3在截止期之后，供应商不得对其谈判响应文件做任何修改。</w:t>
      </w:r>
    </w:p>
    <w:p w14:paraId="724D7F6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3.4从截止期至供应商在谈判响应文件格式中确定的报价有效期之间，供应商不得撤回其谈判响应文件，否则其保证金将按照本须知的规定不予退回。</w:t>
      </w:r>
    </w:p>
    <w:p w14:paraId="221DA714">
      <w:pPr>
        <w:spacing w:line="360" w:lineRule="auto"/>
        <w:ind w:firstLine="422" w:firstLineChars="200"/>
        <w:jc w:val="center"/>
        <w:rPr>
          <w:rFonts w:hint="eastAsia" w:ascii="宋体" w:hAnsi="宋体" w:cs="宋体"/>
          <w:b/>
          <w:bCs/>
          <w:szCs w:val="21"/>
          <w:highlight w:val="none"/>
        </w:rPr>
      </w:pPr>
      <w:r>
        <w:rPr>
          <w:rFonts w:hint="eastAsia" w:ascii="宋体" w:hAnsi="宋体" w:cs="宋体"/>
          <w:b/>
          <w:bCs/>
          <w:szCs w:val="21"/>
          <w:highlight w:val="none"/>
        </w:rPr>
        <w:t>第五部分   谈判开标程序</w:t>
      </w:r>
    </w:p>
    <w:p w14:paraId="669F6C2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 开标时间和地点</w:t>
      </w:r>
    </w:p>
    <w:p w14:paraId="0D03FA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采购人在谈判文件规定的谈判响应文件递交截止时间（谈判时间）和供应商须知前附表规定的地点进行谈判。</w:t>
      </w:r>
    </w:p>
    <w:p w14:paraId="6CBBD80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 谈判程序</w:t>
      </w:r>
    </w:p>
    <w:p w14:paraId="7D5CA73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开标会由采购人或采购代理机构组织并主持。以“政采云平台”开标顺序为准。</w:t>
      </w:r>
    </w:p>
    <w:p w14:paraId="6688CFA9">
      <w:pPr>
        <w:spacing w:line="360" w:lineRule="auto"/>
        <w:ind w:firstLine="422" w:firstLineChars="200"/>
        <w:jc w:val="center"/>
        <w:rPr>
          <w:rFonts w:hint="eastAsia" w:ascii="宋体" w:hAnsi="宋体" w:cs="宋体"/>
          <w:b/>
          <w:bCs/>
          <w:szCs w:val="21"/>
          <w:highlight w:val="none"/>
        </w:rPr>
      </w:pPr>
      <w:r>
        <w:rPr>
          <w:rFonts w:hint="eastAsia" w:ascii="宋体" w:hAnsi="宋体" w:cs="宋体"/>
          <w:b/>
          <w:bCs/>
          <w:szCs w:val="21"/>
          <w:highlight w:val="none"/>
        </w:rPr>
        <w:t>第六部分  谈判响应文件的评审</w:t>
      </w:r>
    </w:p>
    <w:p w14:paraId="29937404">
      <w:pPr>
        <w:spacing w:line="360" w:lineRule="auto"/>
        <w:ind w:firstLine="420" w:firstLineChars="200"/>
        <w:rPr>
          <w:rFonts w:hint="eastAsia"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组建谈判小组</w:t>
      </w:r>
    </w:p>
    <w:p w14:paraId="18D68D5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谈判小组根据采购内容的特点进行组建，并负责评审谈判工作。谈判小组的构成及抽取方式详见供应商须知前附表。</w:t>
      </w:r>
    </w:p>
    <w:p w14:paraId="79F89B1D">
      <w:pPr>
        <w:spacing w:line="360" w:lineRule="auto"/>
        <w:ind w:firstLine="420" w:firstLineChars="200"/>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谈判响应文件的初审与澄清</w:t>
      </w:r>
    </w:p>
    <w:p w14:paraId="5163B24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谈判响应文件的初审分为资格性检查和符合性评审。资格、符合性评审依据法律、法规和谈判文件的规定，对谈判响应文件中的资格证明等进行审查，以确定供应商是否具备谈判资格。</w:t>
      </w:r>
    </w:p>
    <w:p w14:paraId="78BC1D1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3.谈判响应文件的澄清</w:t>
      </w:r>
    </w:p>
    <w:p w14:paraId="63B51BD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在评审期间，谈判小组有权以书面方式要求供应商对其谈判响应文件中含义不明确、对同类问题表述不一致或者有明显文字和计算错误的内容做必要的澄清。供应商澄清应在谈判小组规定的时间内以书面方式进行，并不得超出谈判响应文件范围或者改变谈判响应文件的实质性内容。</w:t>
      </w:r>
    </w:p>
    <w:p w14:paraId="35FA570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3.2澄清文件将作为谈判响应文件内容的一部分。</w:t>
      </w:r>
    </w:p>
    <w:p w14:paraId="5FE9A9C4">
      <w:pPr>
        <w:spacing w:line="360" w:lineRule="auto"/>
        <w:rPr>
          <w:rFonts w:hint="eastAsia" w:ascii="宋体" w:hAnsi="宋体" w:cs="宋体"/>
          <w:szCs w:val="21"/>
          <w:highlight w:val="none"/>
        </w:rPr>
      </w:pPr>
      <w:r>
        <w:rPr>
          <w:rFonts w:hint="eastAsia" w:ascii="宋体" w:hAnsi="宋体" w:cs="宋体"/>
          <w:szCs w:val="21"/>
          <w:highlight w:val="none"/>
        </w:rPr>
        <w:t>4.比较与评价</w:t>
      </w:r>
    </w:p>
    <w:p w14:paraId="2222B892">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4.1经审查合格的谈判响应文件。</w:t>
      </w:r>
    </w:p>
    <w:p w14:paraId="290F6FE3">
      <w:pPr>
        <w:widowControl/>
        <w:spacing w:line="360" w:lineRule="auto"/>
        <w:ind w:firstLine="480"/>
        <w:rPr>
          <w:rFonts w:hint="eastAsia" w:ascii="宋体" w:hAnsi="宋体" w:cs="宋体"/>
          <w:szCs w:val="21"/>
          <w:highlight w:val="none"/>
        </w:rPr>
      </w:pPr>
      <w:r>
        <w:rPr>
          <w:rFonts w:hint="eastAsia" w:ascii="宋体" w:hAnsi="宋体" w:cs="宋体"/>
          <w:szCs w:val="21"/>
          <w:highlight w:val="none"/>
        </w:rPr>
        <w:t>4.1.</w:t>
      </w:r>
      <w:r>
        <w:rPr>
          <w:rFonts w:ascii="宋体" w:hAnsi="宋体" w:cs="宋体"/>
          <w:szCs w:val="21"/>
          <w:highlight w:val="none"/>
        </w:rPr>
        <w:t>1</w:t>
      </w:r>
      <w:r>
        <w:rPr>
          <w:rFonts w:hint="eastAsia" w:ascii="宋体" w:hAnsi="宋体" w:cs="宋体"/>
          <w:szCs w:val="21"/>
          <w:highlight w:val="none"/>
        </w:rPr>
        <w:t>谈判过程中，谈判文件不允许实质性变动。谈判结束后，供应商应当按照谈判小组的要求重新提交书面文件，并由其法定代表人或授权代表签字或者加盖公章。由授权代表签字的，应当附法定代表人授权书。供应商为自然人的，应当由本人签字并附身份证明。</w:t>
      </w:r>
    </w:p>
    <w:p w14:paraId="50442FCE">
      <w:pPr>
        <w:widowControl/>
        <w:spacing w:line="360" w:lineRule="auto"/>
        <w:ind w:firstLine="480"/>
        <w:rPr>
          <w:rFonts w:hint="eastAsia" w:ascii="宋体" w:hAnsi="宋体" w:cs="宋体"/>
          <w:szCs w:val="21"/>
          <w:highlight w:val="none"/>
        </w:rPr>
      </w:pPr>
      <w:r>
        <w:rPr>
          <w:rFonts w:hint="eastAsia" w:ascii="宋体" w:hAnsi="宋体" w:cs="宋体"/>
          <w:szCs w:val="21"/>
          <w:highlight w:val="none"/>
        </w:rPr>
        <w:t>4.1.</w:t>
      </w:r>
      <w:r>
        <w:rPr>
          <w:rFonts w:ascii="宋体" w:hAnsi="宋体" w:cs="宋体"/>
          <w:szCs w:val="21"/>
          <w:highlight w:val="none"/>
        </w:rPr>
        <w:t>2</w:t>
      </w:r>
      <w:r>
        <w:rPr>
          <w:rFonts w:hint="eastAsia" w:ascii="宋体" w:hAnsi="宋体" w:cs="宋体"/>
          <w:szCs w:val="21"/>
          <w:highlight w:val="none"/>
        </w:rPr>
        <w:t>谈判结束后，谈判小组将要求所有实质性响应的供应商在规定时间内提交最后报价，提交最后报价的供应商不得少于3家。最后报价是供应商响应文件的有效组成部分。</w:t>
      </w:r>
    </w:p>
    <w:p w14:paraId="62EAD198">
      <w:pPr>
        <w:widowControl/>
        <w:spacing w:line="360" w:lineRule="auto"/>
        <w:ind w:firstLine="480"/>
        <w:rPr>
          <w:rFonts w:hint="eastAsia" w:ascii="宋体" w:hAnsi="宋体" w:cs="宋体"/>
          <w:szCs w:val="21"/>
          <w:highlight w:val="none"/>
        </w:rPr>
      </w:pPr>
      <w:r>
        <w:rPr>
          <w:rFonts w:hint="eastAsia" w:ascii="宋体" w:hAnsi="宋体" w:cs="宋体"/>
          <w:szCs w:val="21"/>
          <w:highlight w:val="none"/>
        </w:rPr>
        <w:t>4.1.</w:t>
      </w:r>
      <w:r>
        <w:rPr>
          <w:rFonts w:ascii="宋体" w:hAnsi="宋体" w:cs="宋体"/>
          <w:szCs w:val="21"/>
          <w:highlight w:val="none"/>
        </w:rPr>
        <w:t>3</w:t>
      </w:r>
      <w:r>
        <w:rPr>
          <w:rFonts w:hint="eastAsia" w:ascii="宋体" w:hAnsi="宋体" w:cs="宋体"/>
          <w:szCs w:val="21"/>
          <w:highlight w:val="none"/>
        </w:rPr>
        <w:t>已提交响应文件的供应商，在提交最后报价之前，可以根据谈判情况退出谈判。采购人、采购代理机构将退还退出谈判的供应商的谈判保证金。</w:t>
      </w:r>
    </w:p>
    <w:p w14:paraId="6577934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4.1.</w:t>
      </w:r>
      <w:r>
        <w:rPr>
          <w:rFonts w:ascii="宋体" w:hAnsi="宋体" w:cs="宋体"/>
          <w:szCs w:val="21"/>
          <w:highlight w:val="none"/>
        </w:rPr>
        <w:t>4</w:t>
      </w:r>
      <w:r>
        <w:rPr>
          <w:rFonts w:hint="eastAsia" w:ascii="宋体" w:hAnsi="宋体" w:cs="宋体"/>
          <w:szCs w:val="21"/>
          <w:highlight w:val="none"/>
        </w:rPr>
        <w:t>经谈判确定最终采购需求和提交最后报价的供应商后，由谈判小组根据最后报价由低到高进行排序。</w:t>
      </w:r>
    </w:p>
    <w:p w14:paraId="375ADE1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4.2评审严格按照谈判文件的要求和条件进行。评审时将考虑以下因素：</w:t>
      </w:r>
    </w:p>
    <w:p w14:paraId="34061E00">
      <w:pPr>
        <w:spacing w:line="360" w:lineRule="auto"/>
        <w:ind w:firstLine="420" w:firstLineChars="200"/>
        <w:rPr>
          <w:rFonts w:hint="eastAsia"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报价的合理性；</w:t>
      </w:r>
    </w:p>
    <w:p w14:paraId="69B9A816">
      <w:pPr>
        <w:spacing w:line="360" w:lineRule="auto"/>
        <w:ind w:firstLine="420" w:firstLineChars="200"/>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商务因素响应；</w:t>
      </w:r>
    </w:p>
    <w:p w14:paraId="127235C7">
      <w:pPr>
        <w:spacing w:line="360" w:lineRule="auto"/>
        <w:ind w:firstLine="420" w:firstLineChars="200"/>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技术因素评审；</w:t>
      </w:r>
    </w:p>
    <w:p w14:paraId="4285C85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4.3本次评审将采用下列方法：</w:t>
      </w:r>
    </w:p>
    <w:p w14:paraId="2163A286">
      <w:pPr>
        <w:spacing w:line="360" w:lineRule="auto"/>
        <w:ind w:left="480" w:firstLine="315" w:firstLineChars="150"/>
        <w:rPr>
          <w:rFonts w:hint="eastAsia" w:ascii="宋体" w:hAnsi="宋体" w:cs="宋体"/>
          <w:szCs w:val="21"/>
          <w:highlight w:val="none"/>
        </w:rPr>
      </w:pPr>
      <w:r>
        <w:rPr>
          <w:rFonts w:hint="eastAsia" w:ascii="宋体" w:hAnsi="宋体" w:cs="宋体"/>
          <w:szCs w:val="21"/>
          <w:highlight w:val="none"/>
        </w:rPr>
        <w:t>最低评标价法。</w:t>
      </w:r>
    </w:p>
    <w:p w14:paraId="065EBE42">
      <w:pPr>
        <w:spacing w:line="360" w:lineRule="auto"/>
        <w:ind w:firstLine="420" w:firstLineChars="200"/>
        <w:rPr>
          <w:rFonts w:hint="eastAsia"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评审过程及保密原则</w:t>
      </w:r>
    </w:p>
    <w:p w14:paraId="7BB599B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5.1谈判响应文件递交后，直接授予成交供应商合同止，凡与本次采购有关人员对属于审查、澄清、评价和比较报价的有关资料以及授标意向等，均不得向供应商或其他无关的人员透露。</w:t>
      </w:r>
    </w:p>
    <w:p w14:paraId="00D683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5.2在谈判评审期间，供应商试图影响采购单位和谈判小组的任何活动，将导致其报价被拒绝，并承担相应的法律责任。</w:t>
      </w:r>
    </w:p>
    <w:p w14:paraId="4077226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6.本项目采用最低评标价法</w:t>
      </w:r>
    </w:p>
    <w:p w14:paraId="357044B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评审标准详见附表《谈判评审办法》，评审时谈判小组将严格按照评审办法中的设置与评审因素进行审查。谈判文件中没有规定的评审标准不得作为评审依据。</w:t>
      </w:r>
    </w:p>
    <w:p w14:paraId="2F09816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评审时，谈判小组各成员独立对每个有效响应的文件进行审查。</w:t>
      </w:r>
    </w:p>
    <w:p w14:paraId="1AB6A44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7.谈判小组根据最后报价情况，按照由谈判小组根据最后报价由低到高进行排序。</w:t>
      </w:r>
    </w:p>
    <w:p w14:paraId="6BC96A1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原则上确定排名位于第一名的成交候选供应商为中标供应商。若排名第一名的成交候选供应商放弃中标、因不可抗力提出不能履行合同或谈判文件规定应当提交履约保证金而在规定的期限内未能提交的，采购人有权选择重新招标，或者采购人确定第二名的成交候选供应商为中标供应商，以此类推。</w:t>
      </w:r>
    </w:p>
    <w:p w14:paraId="28F90CC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 谈判小组完成评标后，应当向采购人提交书面评标报告。</w:t>
      </w:r>
      <w:bookmarkStart w:id="44" w:name="_Toc465069567"/>
      <w:bookmarkStart w:id="45" w:name="_Toc458690403"/>
    </w:p>
    <w:p w14:paraId="756C8004">
      <w:pPr>
        <w:autoSpaceDE w:val="0"/>
        <w:autoSpaceDN w:val="0"/>
        <w:adjustRightInd w:val="0"/>
        <w:spacing w:line="360" w:lineRule="auto"/>
        <w:jc w:val="center"/>
        <w:outlineLvl w:val="1"/>
        <w:rPr>
          <w:rFonts w:hint="eastAsia" w:ascii="宋体" w:hAnsi="宋体" w:cs="宋体"/>
          <w:sz w:val="36"/>
          <w:szCs w:val="36"/>
          <w:highlight w:val="none"/>
          <w:lang w:val="zh-CN"/>
        </w:rPr>
      </w:pPr>
      <w:r>
        <w:rPr>
          <w:rFonts w:hint="eastAsia" w:ascii="宋体" w:hAnsi="宋体" w:cs="宋体"/>
          <w:sz w:val="36"/>
          <w:szCs w:val="36"/>
          <w:highlight w:val="none"/>
          <w:lang w:val="zh-CN"/>
        </w:rPr>
        <w:br w:type="page"/>
      </w:r>
      <w:bookmarkStart w:id="46" w:name="_Toc667"/>
      <w:r>
        <w:rPr>
          <w:rFonts w:hint="eastAsia" w:ascii="宋体" w:hAnsi="宋体" w:cs="宋体"/>
          <w:b/>
          <w:bCs/>
          <w:sz w:val="36"/>
          <w:szCs w:val="36"/>
          <w:highlight w:val="none"/>
          <w:lang w:val="zh-CN"/>
        </w:rPr>
        <w:t>第三章 谈判评审</w:t>
      </w:r>
      <w:bookmarkEnd w:id="44"/>
      <w:bookmarkEnd w:id="45"/>
      <w:r>
        <w:rPr>
          <w:rFonts w:hint="eastAsia" w:ascii="宋体" w:hAnsi="宋体" w:cs="宋体"/>
          <w:b/>
          <w:bCs/>
          <w:sz w:val="36"/>
          <w:szCs w:val="36"/>
          <w:highlight w:val="none"/>
          <w:lang w:val="zh-CN"/>
        </w:rPr>
        <w:t>办法</w:t>
      </w:r>
      <w:bookmarkEnd w:id="46"/>
    </w:p>
    <w:p w14:paraId="5E78031A">
      <w:pPr>
        <w:autoSpaceDE w:val="0"/>
        <w:autoSpaceDN w:val="0"/>
        <w:adjustRightInd w:val="0"/>
        <w:spacing w:line="400" w:lineRule="exact"/>
        <w:rPr>
          <w:rFonts w:hint="eastAsia" w:ascii="宋体" w:hAnsi="宋体" w:cs="宋体"/>
          <w:b/>
          <w:bCs/>
          <w:szCs w:val="21"/>
          <w:highlight w:val="none"/>
        </w:rPr>
      </w:pPr>
      <w:r>
        <w:rPr>
          <w:rFonts w:hint="eastAsia" w:ascii="宋体" w:hAnsi="宋体" w:cs="宋体"/>
          <w:b/>
          <w:bCs/>
          <w:szCs w:val="21"/>
          <w:highlight w:val="none"/>
        </w:rPr>
        <w:t>谈判评审前附表（一）</w:t>
      </w:r>
    </w:p>
    <w:p w14:paraId="3D1BDAC8">
      <w:pPr>
        <w:autoSpaceDE w:val="0"/>
        <w:autoSpaceDN w:val="0"/>
        <w:adjustRightInd w:val="0"/>
        <w:spacing w:line="400" w:lineRule="exact"/>
        <w:rPr>
          <w:rFonts w:hint="eastAsia" w:ascii="宋体" w:hAnsi="宋体" w:cs="宋体"/>
          <w:b/>
          <w:bCs/>
          <w:szCs w:val="21"/>
          <w:highlight w:val="none"/>
        </w:rPr>
      </w:pPr>
      <w:r>
        <w:rPr>
          <w:rFonts w:hint="eastAsia" w:ascii="宋体" w:hAnsi="宋体" w:cs="宋体"/>
          <w:b/>
          <w:bCs/>
          <w:szCs w:val="21"/>
          <w:highlight w:val="none"/>
        </w:rPr>
        <w:t>响应文件初审：分为资格性检查和符合性检查。</w:t>
      </w:r>
    </w:p>
    <w:p w14:paraId="70A4F86E">
      <w:pPr>
        <w:spacing w:line="400" w:lineRule="exact"/>
        <w:jc w:val="center"/>
        <w:rPr>
          <w:rFonts w:hint="eastAsia" w:ascii="宋体" w:hAnsi="宋体" w:cs="宋体"/>
          <w:szCs w:val="21"/>
          <w:highlight w:val="none"/>
        </w:rPr>
      </w:pPr>
      <w:r>
        <w:rPr>
          <w:rFonts w:hint="eastAsia" w:ascii="宋体" w:hAnsi="宋体" w:cs="宋体"/>
          <w:szCs w:val="21"/>
          <w:highlight w:val="none"/>
        </w:rPr>
        <w:t>资格性审查表</w:t>
      </w:r>
    </w:p>
    <w:tbl>
      <w:tblPr>
        <w:tblStyle w:val="60"/>
        <w:tblW w:w="9340" w:type="dxa"/>
        <w:jc w:val="center"/>
        <w:tblLayout w:type="fixed"/>
        <w:tblCellMar>
          <w:top w:w="0" w:type="dxa"/>
          <w:left w:w="108" w:type="dxa"/>
          <w:bottom w:w="0" w:type="dxa"/>
          <w:right w:w="108" w:type="dxa"/>
        </w:tblCellMar>
      </w:tblPr>
      <w:tblGrid>
        <w:gridCol w:w="851"/>
        <w:gridCol w:w="7326"/>
        <w:gridCol w:w="1163"/>
      </w:tblGrid>
      <w:tr w14:paraId="0A9AF94F">
        <w:tblPrEx>
          <w:tblCellMar>
            <w:top w:w="0" w:type="dxa"/>
            <w:left w:w="108" w:type="dxa"/>
            <w:bottom w:w="0" w:type="dxa"/>
            <w:right w:w="108" w:type="dxa"/>
          </w:tblCellMar>
        </w:tblPrEx>
        <w:trPr>
          <w:trHeight w:val="397" w:hRule="atLeast"/>
          <w:jc w:val="center"/>
        </w:trPr>
        <w:tc>
          <w:tcPr>
            <w:tcW w:w="8177" w:type="dxa"/>
            <w:gridSpan w:val="2"/>
            <w:vMerge w:val="restart"/>
            <w:tcBorders>
              <w:top w:val="single" w:color="auto" w:sz="6" w:space="0"/>
              <w:left w:val="single" w:color="auto" w:sz="6" w:space="0"/>
              <w:bottom w:val="single" w:color="auto" w:sz="6" w:space="0"/>
              <w:right w:val="single" w:color="auto" w:sz="6" w:space="0"/>
            </w:tcBorders>
            <w:vAlign w:val="center"/>
          </w:tcPr>
          <w:p w14:paraId="03DB82A2">
            <w:pPr>
              <w:widowControl/>
              <w:autoSpaceDE w:val="0"/>
              <w:autoSpaceDN w:val="0"/>
              <w:spacing w:line="400" w:lineRule="exact"/>
              <w:ind w:right="-34"/>
              <w:jc w:val="center"/>
              <w:textAlignment w:val="bottom"/>
              <w:rPr>
                <w:rFonts w:hint="eastAsia" w:ascii="宋体" w:hAnsi="宋体" w:cs="宋体"/>
                <w:szCs w:val="21"/>
                <w:highlight w:val="none"/>
              </w:rPr>
            </w:pPr>
            <w:r>
              <w:rPr>
                <w:rFonts w:hint="eastAsia" w:ascii="宋体" w:hAnsi="宋体" w:cs="宋体"/>
                <w:szCs w:val="21"/>
                <w:highlight w:val="none"/>
              </w:rPr>
              <w:t>检查内容</w:t>
            </w:r>
          </w:p>
        </w:tc>
        <w:tc>
          <w:tcPr>
            <w:tcW w:w="1163" w:type="dxa"/>
            <w:tcBorders>
              <w:top w:val="single" w:color="auto" w:sz="6" w:space="0"/>
              <w:left w:val="single" w:color="auto" w:sz="6" w:space="0"/>
              <w:bottom w:val="single" w:color="auto" w:sz="6" w:space="0"/>
              <w:right w:val="single" w:color="auto" w:sz="4" w:space="0"/>
            </w:tcBorders>
            <w:vAlign w:val="center"/>
          </w:tcPr>
          <w:p w14:paraId="172F3F45">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r>
              <w:rPr>
                <w:rFonts w:hint="eastAsia" w:ascii="宋体" w:hAnsi="宋体" w:cs="宋体"/>
                <w:szCs w:val="21"/>
                <w:highlight w:val="none"/>
              </w:rPr>
              <w:t>投标人</w:t>
            </w:r>
          </w:p>
        </w:tc>
      </w:tr>
      <w:tr w14:paraId="6826A74C">
        <w:tblPrEx>
          <w:tblCellMar>
            <w:top w:w="0" w:type="dxa"/>
            <w:left w:w="108" w:type="dxa"/>
            <w:bottom w:w="0" w:type="dxa"/>
            <w:right w:w="108" w:type="dxa"/>
          </w:tblCellMar>
        </w:tblPrEx>
        <w:trPr>
          <w:trHeight w:val="397" w:hRule="atLeast"/>
          <w:jc w:val="center"/>
        </w:trPr>
        <w:tc>
          <w:tcPr>
            <w:tcW w:w="8177" w:type="dxa"/>
            <w:gridSpan w:val="2"/>
            <w:vMerge w:val="continue"/>
            <w:tcBorders>
              <w:top w:val="single" w:color="auto" w:sz="6" w:space="0"/>
              <w:left w:val="single" w:color="auto" w:sz="6" w:space="0"/>
              <w:bottom w:val="single" w:color="auto" w:sz="6" w:space="0"/>
              <w:right w:val="single" w:color="auto" w:sz="6" w:space="0"/>
            </w:tcBorders>
            <w:vAlign w:val="center"/>
          </w:tcPr>
          <w:p w14:paraId="765B0ADC">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c>
          <w:tcPr>
            <w:tcW w:w="1163" w:type="dxa"/>
            <w:tcBorders>
              <w:top w:val="single" w:color="auto" w:sz="6" w:space="0"/>
              <w:left w:val="single" w:color="auto" w:sz="6" w:space="0"/>
              <w:bottom w:val="single" w:color="auto" w:sz="6" w:space="0"/>
              <w:right w:val="single" w:color="auto" w:sz="4" w:space="0"/>
            </w:tcBorders>
          </w:tcPr>
          <w:p w14:paraId="1DBC9ED9">
            <w:pPr>
              <w:widowControl/>
              <w:autoSpaceDE w:val="0"/>
              <w:autoSpaceDN w:val="0"/>
              <w:spacing w:line="400" w:lineRule="exact"/>
              <w:ind w:right="-34"/>
              <w:jc w:val="center"/>
              <w:textAlignment w:val="bottom"/>
              <w:rPr>
                <w:rFonts w:hint="eastAsia" w:ascii="宋体" w:hAnsi="宋体" w:cs="宋体"/>
                <w:szCs w:val="21"/>
                <w:highlight w:val="none"/>
              </w:rPr>
            </w:pPr>
          </w:p>
        </w:tc>
      </w:tr>
      <w:tr w14:paraId="26524A7A">
        <w:tblPrEx>
          <w:tblCellMar>
            <w:top w:w="0" w:type="dxa"/>
            <w:left w:w="108" w:type="dxa"/>
            <w:bottom w:w="0" w:type="dxa"/>
            <w:right w:w="108" w:type="dxa"/>
          </w:tblCellMar>
        </w:tblPrEx>
        <w:trPr>
          <w:trHeight w:val="397" w:hRule="atLeast"/>
          <w:jc w:val="center"/>
        </w:trPr>
        <w:tc>
          <w:tcPr>
            <w:tcW w:w="851" w:type="dxa"/>
            <w:vMerge w:val="restart"/>
            <w:tcBorders>
              <w:top w:val="single" w:color="auto" w:sz="6" w:space="0"/>
              <w:left w:val="single" w:color="auto" w:sz="6" w:space="0"/>
              <w:right w:val="single" w:color="auto" w:sz="4" w:space="0"/>
            </w:tcBorders>
            <w:vAlign w:val="center"/>
          </w:tcPr>
          <w:p w14:paraId="2DECFEDA">
            <w:pPr>
              <w:spacing w:line="400" w:lineRule="exact"/>
              <w:jc w:val="center"/>
              <w:rPr>
                <w:rFonts w:hint="eastAsia" w:ascii="宋体" w:hAnsi="宋体" w:cs="宋体"/>
                <w:szCs w:val="21"/>
                <w:highlight w:val="none"/>
              </w:rPr>
            </w:pPr>
            <w:r>
              <w:rPr>
                <w:rFonts w:hint="eastAsia" w:ascii="宋体" w:hAnsi="宋体" w:cs="宋体"/>
                <w:szCs w:val="21"/>
                <w:highlight w:val="none"/>
              </w:rPr>
              <w:t>资格性审查</w:t>
            </w:r>
          </w:p>
        </w:tc>
        <w:tc>
          <w:tcPr>
            <w:tcW w:w="7326" w:type="dxa"/>
            <w:tcBorders>
              <w:top w:val="single" w:color="auto" w:sz="6" w:space="0"/>
              <w:left w:val="single" w:color="auto" w:sz="4" w:space="0"/>
              <w:bottom w:val="single" w:color="auto" w:sz="6" w:space="0"/>
              <w:right w:val="single" w:color="auto" w:sz="6" w:space="0"/>
            </w:tcBorders>
            <w:vAlign w:val="center"/>
          </w:tcPr>
          <w:p w14:paraId="77F9CEC7">
            <w:pPr>
              <w:spacing w:line="400" w:lineRule="exact"/>
              <w:jc w:val="left"/>
              <w:rPr>
                <w:rFonts w:hint="eastAsia" w:ascii="宋体" w:hAnsi="宋体" w:cs="宋体"/>
                <w:szCs w:val="21"/>
                <w:highlight w:val="none"/>
              </w:rPr>
            </w:pPr>
            <w:r>
              <w:rPr>
                <w:rFonts w:hint="eastAsia" w:ascii="宋体" w:hAnsi="宋体" w:cs="宋体"/>
                <w:szCs w:val="21"/>
                <w:highlight w:val="none"/>
              </w:rPr>
              <w:t>供应商须是在中国境内注册具有独立承担民事责任能力的独立法人或其他组织形式，具备有效的营业执照，具有履行合同所必需的设备和专业技术能力，标书内附加盖投标单位公章的营业执照复印件</w:t>
            </w:r>
          </w:p>
        </w:tc>
        <w:tc>
          <w:tcPr>
            <w:tcW w:w="1163" w:type="dxa"/>
            <w:tcBorders>
              <w:top w:val="single" w:color="auto" w:sz="6" w:space="0"/>
              <w:left w:val="single" w:color="auto" w:sz="6" w:space="0"/>
              <w:bottom w:val="single" w:color="auto" w:sz="6" w:space="0"/>
              <w:right w:val="single" w:color="auto" w:sz="4" w:space="0"/>
            </w:tcBorders>
            <w:vAlign w:val="center"/>
          </w:tcPr>
          <w:p w14:paraId="457EA37A">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09E9B3DA">
        <w:tblPrEx>
          <w:tblCellMar>
            <w:top w:w="0" w:type="dxa"/>
            <w:left w:w="108" w:type="dxa"/>
            <w:bottom w:w="0" w:type="dxa"/>
            <w:right w:w="108" w:type="dxa"/>
          </w:tblCellMar>
        </w:tblPrEx>
        <w:trPr>
          <w:trHeight w:val="397" w:hRule="atLeast"/>
          <w:jc w:val="center"/>
        </w:trPr>
        <w:tc>
          <w:tcPr>
            <w:tcW w:w="851" w:type="dxa"/>
            <w:vMerge w:val="continue"/>
            <w:tcBorders>
              <w:left w:val="single" w:color="auto" w:sz="6" w:space="0"/>
              <w:right w:val="single" w:color="auto" w:sz="4" w:space="0"/>
            </w:tcBorders>
            <w:vAlign w:val="center"/>
          </w:tcPr>
          <w:p w14:paraId="3DFFE4EA">
            <w:pPr>
              <w:spacing w:line="400" w:lineRule="exact"/>
              <w:jc w:val="center"/>
              <w:rPr>
                <w:rFonts w:hint="eastAsia" w:ascii="宋体" w:hAnsi="宋体" w:cs="宋体"/>
                <w:szCs w:val="21"/>
                <w:highlight w:val="none"/>
              </w:rPr>
            </w:pPr>
          </w:p>
        </w:tc>
        <w:tc>
          <w:tcPr>
            <w:tcW w:w="7326" w:type="dxa"/>
            <w:tcBorders>
              <w:top w:val="single" w:color="auto" w:sz="6" w:space="0"/>
              <w:left w:val="single" w:color="auto" w:sz="4" w:space="0"/>
              <w:bottom w:val="single" w:color="auto" w:sz="6" w:space="0"/>
              <w:right w:val="single" w:color="auto" w:sz="6" w:space="0"/>
            </w:tcBorders>
            <w:vAlign w:val="center"/>
          </w:tcPr>
          <w:p w14:paraId="1CFDC07F">
            <w:pPr>
              <w:spacing w:line="400" w:lineRule="exact"/>
              <w:jc w:val="left"/>
              <w:rPr>
                <w:rFonts w:hint="eastAsia" w:ascii="宋体" w:hAnsi="宋体" w:cs="宋体"/>
                <w:szCs w:val="21"/>
                <w:highlight w:val="none"/>
              </w:rPr>
            </w:pPr>
            <w:r>
              <w:rPr>
                <w:rFonts w:hint="eastAsia" w:ascii="宋体" w:hAnsi="宋体" w:cs="宋体"/>
                <w:szCs w:val="21"/>
                <w:highlight w:val="none"/>
              </w:rPr>
              <w:t>本项目为专门面向中小企业采购项目，供应商需提供中小企业声明函原件（声明函原件附在响应文件正本中，格式参照《政府采购促进中小企业发展管理办法》（财库[2020]46号）中小企业声明函格式出具）</w:t>
            </w:r>
          </w:p>
        </w:tc>
        <w:tc>
          <w:tcPr>
            <w:tcW w:w="1163" w:type="dxa"/>
            <w:tcBorders>
              <w:top w:val="single" w:color="auto" w:sz="6" w:space="0"/>
              <w:left w:val="single" w:color="auto" w:sz="6" w:space="0"/>
              <w:bottom w:val="single" w:color="auto" w:sz="6" w:space="0"/>
              <w:right w:val="single" w:color="auto" w:sz="4" w:space="0"/>
            </w:tcBorders>
            <w:vAlign w:val="center"/>
          </w:tcPr>
          <w:p w14:paraId="4DCE99A8">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52307ED6">
        <w:tblPrEx>
          <w:tblCellMar>
            <w:top w:w="0" w:type="dxa"/>
            <w:left w:w="108" w:type="dxa"/>
            <w:bottom w:w="0" w:type="dxa"/>
            <w:right w:w="108" w:type="dxa"/>
          </w:tblCellMar>
        </w:tblPrEx>
        <w:trPr>
          <w:trHeight w:val="397" w:hRule="atLeast"/>
          <w:jc w:val="center"/>
        </w:trPr>
        <w:tc>
          <w:tcPr>
            <w:tcW w:w="851" w:type="dxa"/>
            <w:vMerge w:val="continue"/>
            <w:tcBorders>
              <w:left w:val="single" w:color="auto" w:sz="6" w:space="0"/>
              <w:right w:val="single" w:color="auto" w:sz="4" w:space="0"/>
            </w:tcBorders>
            <w:vAlign w:val="center"/>
          </w:tcPr>
          <w:p w14:paraId="65A5624C">
            <w:pPr>
              <w:spacing w:line="400" w:lineRule="exact"/>
              <w:jc w:val="center"/>
              <w:rPr>
                <w:rFonts w:hint="eastAsia" w:ascii="宋体" w:hAnsi="宋体" w:cs="宋体"/>
                <w:szCs w:val="21"/>
                <w:highlight w:val="none"/>
              </w:rPr>
            </w:pPr>
          </w:p>
        </w:tc>
        <w:tc>
          <w:tcPr>
            <w:tcW w:w="7326" w:type="dxa"/>
            <w:tcBorders>
              <w:top w:val="single" w:color="auto" w:sz="6" w:space="0"/>
              <w:left w:val="single" w:color="auto" w:sz="4" w:space="0"/>
              <w:bottom w:val="single" w:color="auto" w:sz="6" w:space="0"/>
              <w:right w:val="single" w:color="auto" w:sz="6" w:space="0"/>
            </w:tcBorders>
            <w:vAlign w:val="center"/>
          </w:tcPr>
          <w:p w14:paraId="14B8EEFB">
            <w:pPr>
              <w:spacing w:line="400" w:lineRule="exact"/>
              <w:jc w:val="left"/>
              <w:rPr>
                <w:rFonts w:hint="eastAsia" w:ascii="宋体" w:hAnsi="宋体" w:cs="宋体"/>
                <w:szCs w:val="21"/>
                <w:highlight w:val="none"/>
              </w:rPr>
            </w:pPr>
            <w:r>
              <w:rPr>
                <w:rFonts w:hint="eastAsia" w:ascii="宋体" w:hAnsi="宋体" w:cs="宋体"/>
                <w:szCs w:val="21"/>
                <w:highlight w:val="none"/>
              </w:rPr>
              <w:t>若所投产品为进口产品的，供应商必须具有下列授权文件之一:供应商须提供产品生产制造商针对本项目出具的授权书或长期代理协议。若所投产品不属于进口产品，不作此项要求。</w:t>
            </w:r>
          </w:p>
        </w:tc>
        <w:tc>
          <w:tcPr>
            <w:tcW w:w="1163" w:type="dxa"/>
            <w:tcBorders>
              <w:top w:val="single" w:color="auto" w:sz="6" w:space="0"/>
              <w:left w:val="single" w:color="auto" w:sz="6" w:space="0"/>
              <w:bottom w:val="single" w:color="auto" w:sz="6" w:space="0"/>
              <w:right w:val="single" w:color="auto" w:sz="4" w:space="0"/>
            </w:tcBorders>
            <w:vAlign w:val="center"/>
          </w:tcPr>
          <w:p w14:paraId="15B4BFD8">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6B2032F9">
        <w:tblPrEx>
          <w:tblCellMar>
            <w:top w:w="0" w:type="dxa"/>
            <w:left w:w="108" w:type="dxa"/>
            <w:bottom w:w="0" w:type="dxa"/>
            <w:right w:w="108" w:type="dxa"/>
          </w:tblCellMar>
        </w:tblPrEx>
        <w:trPr>
          <w:trHeight w:val="397" w:hRule="atLeast"/>
          <w:jc w:val="center"/>
        </w:trPr>
        <w:tc>
          <w:tcPr>
            <w:tcW w:w="851" w:type="dxa"/>
            <w:vMerge w:val="continue"/>
            <w:tcBorders>
              <w:left w:val="single" w:color="auto" w:sz="6" w:space="0"/>
              <w:right w:val="single" w:color="auto" w:sz="4" w:space="0"/>
            </w:tcBorders>
            <w:vAlign w:val="center"/>
          </w:tcPr>
          <w:p w14:paraId="297EA884">
            <w:pPr>
              <w:spacing w:line="400" w:lineRule="exact"/>
              <w:jc w:val="center"/>
              <w:rPr>
                <w:rFonts w:hint="eastAsia" w:ascii="宋体" w:hAnsi="宋体" w:cs="宋体"/>
                <w:szCs w:val="21"/>
                <w:highlight w:val="none"/>
              </w:rPr>
            </w:pPr>
          </w:p>
        </w:tc>
        <w:tc>
          <w:tcPr>
            <w:tcW w:w="7326" w:type="dxa"/>
            <w:tcBorders>
              <w:top w:val="single" w:color="auto" w:sz="6" w:space="0"/>
              <w:left w:val="single" w:color="auto" w:sz="4" w:space="0"/>
              <w:bottom w:val="single" w:color="auto" w:sz="6" w:space="0"/>
              <w:right w:val="single" w:color="auto" w:sz="6" w:space="0"/>
            </w:tcBorders>
            <w:vAlign w:val="center"/>
          </w:tcPr>
          <w:p w14:paraId="7B13A272">
            <w:pPr>
              <w:spacing w:line="400" w:lineRule="exact"/>
              <w:jc w:val="left"/>
              <w:rPr>
                <w:rFonts w:hint="eastAsia" w:ascii="宋体" w:hAnsi="宋体" w:cs="宋体"/>
                <w:szCs w:val="21"/>
                <w:highlight w:val="none"/>
              </w:rPr>
            </w:pPr>
            <w:r>
              <w:rPr>
                <w:rFonts w:hint="eastAsia" w:ascii="宋体" w:hAnsi="宋体" w:cs="宋体"/>
                <w:szCs w:val="21"/>
                <w:highlight w:val="none"/>
              </w:rPr>
              <w:t>具有良好的商业信誉和健全的财务会计制度，近一年（2024年）财务状况良好，具有经会计师事务所或审计机构出具的财务审计报告（2024年12月31日以后成立的企业，须提供成立之日起</w:t>
            </w:r>
            <w:r>
              <w:rPr>
                <w:rFonts w:hint="eastAsia" w:ascii="宋体" w:hAnsi="宋体" w:cs="宋体"/>
                <w:bCs/>
                <w:szCs w:val="21"/>
                <w:highlight w:val="none"/>
              </w:rPr>
              <w:t>至今的财务状况良好承诺书</w:t>
            </w:r>
            <w:r>
              <w:rPr>
                <w:rFonts w:hint="eastAsia" w:ascii="宋体" w:hAnsi="宋体" w:cs="宋体"/>
                <w:szCs w:val="21"/>
                <w:highlight w:val="none"/>
              </w:rPr>
              <w:t>），标书内附加盖投标单位公章的财务审计报告（</w:t>
            </w:r>
            <w:r>
              <w:rPr>
                <w:rFonts w:hint="eastAsia" w:ascii="宋体" w:hAnsi="宋体" w:cs="宋体"/>
                <w:bCs/>
                <w:szCs w:val="21"/>
                <w:highlight w:val="none"/>
              </w:rPr>
              <w:t>2024年12月31日以后成立的企业，须提供成立之日起至今的财务状况良好承诺书</w:t>
            </w:r>
            <w:r>
              <w:rPr>
                <w:rFonts w:hint="eastAsia" w:ascii="宋体" w:hAnsi="宋体" w:cs="宋体"/>
                <w:szCs w:val="21"/>
                <w:highlight w:val="none"/>
              </w:rPr>
              <w:t>）复印件</w:t>
            </w:r>
          </w:p>
        </w:tc>
        <w:tc>
          <w:tcPr>
            <w:tcW w:w="1163" w:type="dxa"/>
            <w:tcBorders>
              <w:top w:val="single" w:color="auto" w:sz="6" w:space="0"/>
              <w:left w:val="single" w:color="auto" w:sz="6" w:space="0"/>
              <w:bottom w:val="single" w:color="auto" w:sz="6" w:space="0"/>
              <w:right w:val="single" w:color="auto" w:sz="4" w:space="0"/>
            </w:tcBorders>
            <w:vAlign w:val="center"/>
          </w:tcPr>
          <w:p w14:paraId="3B4BEF18">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63C5D1B6">
        <w:tblPrEx>
          <w:tblCellMar>
            <w:top w:w="0" w:type="dxa"/>
            <w:left w:w="108" w:type="dxa"/>
            <w:bottom w:w="0" w:type="dxa"/>
            <w:right w:w="108" w:type="dxa"/>
          </w:tblCellMar>
        </w:tblPrEx>
        <w:trPr>
          <w:trHeight w:val="397" w:hRule="atLeast"/>
          <w:jc w:val="center"/>
        </w:trPr>
        <w:tc>
          <w:tcPr>
            <w:tcW w:w="851" w:type="dxa"/>
            <w:vMerge w:val="continue"/>
            <w:tcBorders>
              <w:top w:val="single" w:color="auto" w:sz="6" w:space="0"/>
              <w:left w:val="single" w:color="auto" w:sz="6" w:space="0"/>
              <w:right w:val="single" w:color="auto" w:sz="4" w:space="0"/>
            </w:tcBorders>
            <w:vAlign w:val="center"/>
          </w:tcPr>
          <w:p w14:paraId="4D5070B2">
            <w:pPr>
              <w:spacing w:line="400" w:lineRule="exact"/>
              <w:jc w:val="center"/>
              <w:rPr>
                <w:rFonts w:hint="eastAsia" w:ascii="宋体" w:hAnsi="宋体" w:cs="宋体"/>
                <w:szCs w:val="21"/>
                <w:highlight w:val="none"/>
              </w:rPr>
            </w:pPr>
          </w:p>
        </w:tc>
        <w:tc>
          <w:tcPr>
            <w:tcW w:w="7326" w:type="dxa"/>
            <w:tcBorders>
              <w:top w:val="single" w:color="auto" w:sz="6" w:space="0"/>
              <w:left w:val="single" w:color="auto" w:sz="4" w:space="0"/>
              <w:bottom w:val="single" w:color="auto" w:sz="6" w:space="0"/>
              <w:right w:val="single" w:color="auto" w:sz="6" w:space="0"/>
            </w:tcBorders>
            <w:vAlign w:val="center"/>
          </w:tcPr>
          <w:p w14:paraId="2200286B">
            <w:pPr>
              <w:spacing w:line="400" w:lineRule="exact"/>
              <w:jc w:val="left"/>
              <w:rPr>
                <w:rFonts w:hint="eastAsia" w:ascii="宋体" w:hAnsi="宋体" w:cs="宋体"/>
                <w:szCs w:val="21"/>
                <w:highlight w:val="none"/>
              </w:rPr>
            </w:pPr>
            <w:r>
              <w:rPr>
                <w:rFonts w:hint="eastAsia" w:ascii="宋体" w:hAnsi="宋体" w:cs="宋体"/>
                <w:szCs w:val="21"/>
                <w:highlight w:val="none"/>
              </w:rPr>
              <w:t>具有近三个月任意一个月依法缴纳税收的相关材料（提供纳税证明材料），标书内附加盖投标单位公章的复印件</w:t>
            </w:r>
          </w:p>
        </w:tc>
        <w:tc>
          <w:tcPr>
            <w:tcW w:w="1163" w:type="dxa"/>
            <w:tcBorders>
              <w:top w:val="single" w:color="auto" w:sz="6" w:space="0"/>
              <w:left w:val="single" w:color="auto" w:sz="6" w:space="0"/>
              <w:bottom w:val="single" w:color="auto" w:sz="6" w:space="0"/>
              <w:right w:val="single" w:color="auto" w:sz="4" w:space="0"/>
            </w:tcBorders>
            <w:vAlign w:val="center"/>
          </w:tcPr>
          <w:p w14:paraId="7B1B5CD8">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67355E02">
        <w:tblPrEx>
          <w:tblCellMar>
            <w:top w:w="0" w:type="dxa"/>
            <w:left w:w="108" w:type="dxa"/>
            <w:bottom w:w="0" w:type="dxa"/>
            <w:right w:w="108" w:type="dxa"/>
          </w:tblCellMar>
        </w:tblPrEx>
        <w:trPr>
          <w:trHeight w:val="397" w:hRule="atLeast"/>
          <w:jc w:val="center"/>
        </w:trPr>
        <w:tc>
          <w:tcPr>
            <w:tcW w:w="851" w:type="dxa"/>
            <w:vMerge w:val="continue"/>
            <w:tcBorders>
              <w:top w:val="single" w:color="auto" w:sz="6" w:space="0"/>
              <w:left w:val="single" w:color="auto" w:sz="6" w:space="0"/>
              <w:right w:val="single" w:color="auto" w:sz="4" w:space="0"/>
            </w:tcBorders>
            <w:vAlign w:val="center"/>
          </w:tcPr>
          <w:p w14:paraId="370B2E13">
            <w:pPr>
              <w:spacing w:line="400" w:lineRule="exact"/>
              <w:jc w:val="center"/>
              <w:rPr>
                <w:rFonts w:hint="eastAsia" w:ascii="宋体" w:hAnsi="宋体" w:cs="宋体"/>
                <w:szCs w:val="21"/>
                <w:highlight w:val="none"/>
              </w:rPr>
            </w:pPr>
          </w:p>
        </w:tc>
        <w:tc>
          <w:tcPr>
            <w:tcW w:w="7326" w:type="dxa"/>
            <w:tcBorders>
              <w:top w:val="single" w:color="auto" w:sz="6" w:space="0"/>
              <w:left w:val="single" w:color="auto" w:sz="4" w:space="0"/>
              <w:bottom w:val="single" w:color="auto" w:sz="6" w:space="0"/>
              <w:right w:val="single" w:color="auto" w:sz="6" w:space="0"/>
            </w:tcBorders>
            <w:vAlign w:val="center"/>
          </w:tcPr>
          <w:p w14:paraId="42F36B84">
            <w:pPr>
              <w:spacing w:line="400" w:lineRule="exact"/>
              <w:jc w:val="left"/>
              <w:rPr>
                <w:rFonts w:hint="eastAsia" w:ascii="宋体" w:hAnsi="宋体" w:cs="宋体"/>
                <w:szCs w:val="21"/>
                <w:highlight w:val="none"/>
              </w:rPr>
            </w:pPr>
            <w:r>
              <w:rPr>
                <w:rFonts w:hint="eastAsia" w:ascii="宋体" w:hAnsi="宋体" w:cs="宋体"/>
                <w:szCs w:val="21"/>
                <w:highlight w:val="none"/>
              </w:rPr>
              <w:t>具有近三个月任意一个月缴纳社会保障资金的相关材料（提供社会保障资金缴纳证明材料），标书内附加盖投标单位公章的复印件</w:t>
            </w:r>
          </w:p>
        </w:tc>
        <w:tc>
          <w:tcPr>
            <w:tcW w:w="1163" w:type="dxa"/>
            <w:tcBorders>
              <w:top w:val="single" w:color="auto" w:sz="6" w:space="0"/>
              <w:left w:val="single" w:color="auto" w:sz="6" w:space="0"/>
              <w:bottom w:val="single" w:color="auto" w:sz="6" w:space="0"/>
              <w:right w:val="single" w:color="auto" w:sz="4" w:space="0"/>
            </w:tcBorders>
            <w:vAlign w:val="center"/>
          </w:tcPr>
          <w:p w14:paraId="0F706DEA">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17686898">
        <w:tblPrEx>
          <w:tblCellMar>
            <w:top w:w="0" w:type="dxa"/>
            <w:left w:w="108" w:type="dxa"/>
            <w:bottom w:w="0" w:type="dxa"/>
            <w:right w:w="108" w:type="dxa"/>
          </w:tblCellMar>
        </w:tblPrEx>
        <w:trPr>
          <w:trHeight w:val="397" w:hRule="atLeast"/>
          <w:jc w:val="center"/>
        </w:trPr>
        <w:tc>
          <w:tcPr>
            <w:tcW w:w="851" w:type="dxa"/>
            <w:vMerge w:val="continue"/>
            <w:tcBorders>
              <w:top w:val="single" w:color="auto" w:sz="6" w:space="0"/>
              <w:left w:val="single" w:color="auto" w:sz="6" w:space="0"/>
              <w:right w:val="single" w:color="auto" w:sz="4" w:space="0"/>
            </w:tcBorders>
            <w:vAlign w:val="center"/>
          </w:tcPr>
          <w:p w14:paraId="05644ED1">
            <w:pPr>
              <w:spacing w:line="400" w:lineRule="exact"/>
              <w:jc w:val="center"/>
              <w:rPr>
                <w:rFonts w:hint="eastAsia" w:ascii="宋体" w:hAnsi="宋体" w:cs="宋体"/>
                <w:szCs w:val="21"/>
                <w:highlight w:val="none"/>
              </w:rPr>
            </w:pPr>
          </w:p>
        </w:tc>
        <w:tc>
          <w:tcPr>
            <w:tcW w:w="7326" w:type="dxa"/>
            <w:tcBorders>
              <w:top w:val="single" w:color="auto" w:sz="6" w:space="0"/>
              <w:left w:val="single" w:color="auto" w:sz="4" w:space="0"/>
              <w:bottom w:val="single" w:color="auto" w:sz="6" w:space="0"/>
              <w:right w:val="single" w:color="auto" w:sz="6" w:space="0"/>
            </w:tcBorders>
            <w:vAlign w:val="center"/>
          </w:tcPr>
          <w:p w14:paraId="74306477">
            <w:pPr>
              <w:spacing w:line="400" w:lineRule="exact"/>
              <w:jc w:val="left"/>
              <w:rPr>
                <w:rFonts w:hint="eastAsia" w:ascii="宋体" w:hAnsi="宋体" w:cs="宋体"/>
                <w:szCs w:val="21"/>
                <w:highlight w:val="none"/>
              </w:rPr>
            </w:pPr>
            <w:r>
              <w:rPr>
                <w:rFonts w:hint="eastAsia" w:ascii="宋体" w:hAnsi="宋体" w:cs="宋体"/>
                <w:szCs w:val="21"/>
                <w:highlight w:val="none"/>
              </w:rPr>
              <w:t>参加政府采购活动前三年内在经营活动中没有重大违法记录，响应文件中附加盖公章及法定代表人或被授权委托人</w:t>
            </w:r>
            <w:r>
              <w:rPr>
                <w:rFonts w:hint="eastAsia"/>
                <w:highlight w:val="none"/>
              </w:rPr>
              <w:t>签字或盖章</w:t>
            </w:r>
            <w:r>
              <w:rPr>
                <w:rFonts w:hint="eastAsia" w:ascii="宋体" w:hAnsi="宋体" w:cs="宋体"/>
                <w:szCs w:val="21"/>
                <w:highlight w:val="none"/>
              </w:rPr>
              <w:t>的前三年（2023年1月1日－至今）声明函原件</w:t>
            </w:r>
          </w:p>
        </w:tc>
        <w:tc>
          <w:tcPr>
            <w:tcW w:w="1163" w:type="dxa"/>
            <w:tcBorders>
              <w:top w:val="single" w:color="auto" w:sz="6" w:space="0"/>
              <w:left w:val="single" w:color="auto" w:sz="6" w:space="0"/>
              <w:bottom w:val="single" w:color="auto" w:sz="6" w:space="0"/>
              <w:right w:val="single" w:color="auto" w:sz="4" w:space="0"/>
            </w:tcBorders>
            <w:vAlign w:val="center"/>
          </w:tcPr>
          <w:p w14:paraId="7F8B2070">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160E9F91">
        <w:tblPrEx>
          <w:tblCellMar>
            <w:top w:w="0" w:type="dxa"/>
            <w:left w:w="108" w:type="dxa"/>
            <w:bottom w:w="0" w:type="dxa"/>
            <w:right w:w="108" w:type="dxa"/>
          </w:tblCellMar>
        </w:tblPrEx>
        <w:trPr>
          <w:trHeight w:val="397" w:hRule="atLeast"/>
          <w:jc w:val="center"/>
        </w:trPr>
        <w:tc>
          <w:tcPr>
            <w:tcW w:w="851" w:type="dxa"/>
            <w:vMerge w:val="continue"/>
            <w:tcBorders>
              <w:top w:val="single" w:color="auto" w:sz="6" w:space="0"/>
              <w:left w:val="single" w:color="auto" w:sz="6" w:space="0"/>
              <w:right w:val="single" w:color="auto" w:sz="4" w:space="0"/>
            </w:tcBorders>
            <w:vAlign w:val="center"/>
          </w:tcPr>
          <w:p w14:paraId="1B814518">
            <w:pPr>
              <w:spacing w:line="400" w:lineRule="exact"/>
              <w:jc w:val="center"/>
              <w:rPr>
                <w:rFonts w:hint="eastAsia" w:ascii="宋体" w:hAnsi="宋体" w:cs="宋体"/>
                <w:szCs w:val="21"/>
                <w:highlight w:val="none"/>
              </w:rPr>
            </w:pPr>
          </w:p>
        </w:tc>
        <w:tc>
          <w:tcPr>
            <w:tcW w:w="7326" w:type="dxa"/>
            <w:tcBorders>
              <w:top w:val="single" w:color="auto" w:sz="6" w:space="0"/>
              <w:left w:val="single" w:color="auto" w:sz="4" w:space="0"/>
              <w:bottom w:val="single" w:color="auto" w:sz="6" w:space="0"/>
              <w:right w:val="single" w:color="auto" w:sz="6" w:space="0"/>
            </w:tcBorders>
            <w:vAlign w:val="center"/>
          </w:tcPr>
          <w:p w14:paraId="49447432">
            <w:pPr>
              <w:spacing w:line="400" w:lineRule="exact"/>
              <w:jc w:val="left"/>
              <w:rPr>
                <w:rFonts w:hint="eastAsia" w:ascii="宋体" w:hAnsi="宋体" w:cs="宋体"/>
                <w:szCs w:val="21"/>
                <w:highlight w:val="none"/>
              </w:rPr>
            </w:pPr>
            <w:r>
              <w:rPr>
                <w:rFonts w:hint="eastAsia" w:ascii="宋体" w:hAnsi="宋体" w:cs="宋体"/>
                <w:szCs w:val="21"/>
                <w:highlight w:val="none"/>
              </w:rPr>
              <w:t>投标人近三年（2023年1月1日－至今）内投标人、法定代表人未在“中国裁判文书网”（www.wenshu.court.gov.cn）有行贿犯罪记录，标书内附相关证明材料加盖投标单位公章的复印件</w:t>
            </w:r>
          </w:p>
        </w:tc>
        <w:tc>
          <w:tcPr>
            <w:tcW w:w="1163" w:type="dxa"/>
            <w:tcBorders>
              <w:top w:val="single" w:color="auto" w:sz="6" w:space="0"/>
              <w:left w:val="single" w:color="auto" w:sz="6" w:space="0"/>
              <w:bottom w:val="single" w:color="auto" w:sz="6" w:space="0"/>
              <w:right w:val="single" w:color="auto" w:sz="4" w:space="0"/>
            </w:tcBorders>
            <w:vAlign w:val="center"/>
          </w:tcPr>
          <w:p w14:paraId="622A9122">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3C15318C">
        <w:tblPrEx>
          <w:tblCellMar>
            <w:top w:w="0" w:type="dxa"/>
            <w:left w:w="108" w:type="dxa"/>
            <w:bottom w:w="0" w:type="dxa"/>
            <w:right w:w="108" w:type="dxa"/>
          </w:tblCellMar>
        </w:tblPrEx>
        <w:trPr>
          <w:trHeight w:val="397" w:hRule="atLeast"/>
          <w:jc w:val="center"/>
        </w:trPr>
        <w:tc>
          <w:tcPr>
            <w:tcW w:w="851" w:type="dxa"/>
            <w:vMerge w:val="continue"/>
            <w:tcBorders>
              <w:top w:val="single" w:color="auto" w:sz="6" w:space="0"/>
              <w:left w:val="single" w:color="auto" w:sz="6" w:space="0"/>
              <w:right w:val="single" w:color="auto" w:sz="4" w:space="0"/>
            </w:tcBorders>
            <w:vAlign w:val="center"/>
          </w:tcPr>
          <w:p w14:paraId="4A0C4BD3">
            <w:pPr>
              <w:spacing w:line="400" w:lineRule="exact"/>
              <w:jc w:val="center"/>
              <w:rPr>
                <w:rFonts w:hint="eastAsia" w:ascii="宋体" w:hAnsi="宋体" w:cs="宋体"/>
                <w:szCs w:val="21"/>
                <w:highlight w:val="none"/>
              </w:rPr>
            </w:pPr>
          </w:p>
        </w:tc>
        <w:tc>
          <w:tcPr>
            <w:tcW w:w="7326" w:type="dxa"/>
            <w:tcBorders>
              <w:top w:val="single" w:color="auto" w:sz="6" w:space="0"/>
              <w:left w:val="single" w:color="auto" w:sz="4" w:space="0"/>
              <w:bottom w:val="single" w:color="auto" w:sz="6" w:space="0"/>
              <w:right w:val="single" w:color="auto" w:sz="6" w:space="0"/>
            </w:tcBorders>
            <w:vAlign w:val="center"/>
          </w:tcPr>
          <w:p w14:paraId="54C5C8CD">
            <w:pPr>
              <w:spacing w:line="400" w:lineRule="exact"/>
              <w:jc w:val="left"/>
              <w:rPr>
                <w:rFonts w:hint="eastAsia" w:ascii="宋体" w:hAnsi="宋体" w:cs="宋体"/>
                <w:szCs w:val="21"/>
                <w:highlight w:val="none"/>
              </w:rPr>
            </w:pPr>
            <w:r>
              <w:rPr>
                <w:rFonts w:hint="eastAsia" w:ascii="宋体" w:hAnsi="宋体" w:cs="宋体"/>
                <w:szCs w:val="21"/>
                <w:highlight w:val="none"/>
              </w:rPr>
              <w:t>投标人不能列入失信被执行人、重大税收违法案件当事人名单、政府采购严重违法失信行为记录名单（详见财库</w:t>
            </w:r>
            <w:r>
              <w:rPr>
                <w:rFonts w:hint="eastAsia" w:ascii="宋体" w:hAnsi="宋体" w:cs="宋体"/>
                <w:bCs/>
                <w:szCs w:val="21"/>
                <w:highlight w:val="none"/>
              </w:rPr>
              <w:t>〔</w:t>
            </w:r>
            <w:r>
              <w:rPr>
                <w:rFonts w:hint="eastAsia" w:ascii="宋体" w:hAnsi="宋体" w:cs="宋体"/>
                <w:szCs w:val="21"/>
                <w:highlight w:val="none"/>
              </w:rPr>
              <w:t>2016</w:t>
            </w:r>
            <w:r>
              <w:rPr>
                <w:rFonts w:hint="eastAsia" w:ascii="宋体" w:hAnsi="宋体" w:cs="宋体"/>
                <w:bCs/>
                <w:szCs w:val="21"/>
                <w:highlight w:val="none"/>
              </w:rPr>
              <w:t>〕</w:t>
            </w:r>
            <w:r>
              <w:rPr>
                <w:rFonts w:hint="eastAsia" w:ascii="宋体" w:hAnsi="宋体" w:cs="宋体"/>
                <w:szCs w:val="21"/>
                <w:highlight w:val="none"/>
              </w:rPr>
              <w:t>125号），标书内附相关证明材料加盖投标单位公章的复印件</w:t>
            </w:r>
          </w:p>
        </w:tc>
        <w:tc>
          <w:tcPr>
            <w:tcW w:w="1163" w:type="dxa"/>
            <w:tcBorders>
              <w:top w:val="single" w:color="auto" w:sz="6" w:space="0"/>
              <w:left w:val="single" w:color="auto" w:sz="6" w:space="0"/>
              <w:bottom w:val="single" w:color="auto" w:sz="6" w:space="0"/>
              <w:right w:val="single" w:color="auto" w:sz="4" w:space="0"/>
            </w:tcBorders>
            <w:vAlign w:val="center"/>
          </w:tcPr>
          <w:p w14:paraId="42B53092">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6467B73A">
        <w:tblPrEx>
          <w:tblCellMar>
            <w:top w:w="0" w:type="dxa"/>
            <w:left w:w="108" w:type="dxa"/>
            <w:bottom w:w="0" w:type="dxa"/>
            <w:right w:w="108" w:type="dxa"/>
          </w:tblCellMar>
        </w:tblPrEx>
        <w:trPr>
          <w:trHeight w:val="397" w:hRule="atLeast"/>
          <w:jc w:val="center"/>
        </w:trPr>
        <w:tc>
          <w:tcPr>
            <w:tcW w:w="851" w:type="dxa"/>
            <w:vMerge w:val="continue"/>
            <w:tcBorders>
              <w:top w:val="single" w:color="auto" w:sz="6" w:space="0"/>
              <w:left w:val="single" w:color="auto" w:sz="6" w:space="0"/>
              <w:right w:val="single" w:color="auto" w:sz="4" w:space="0"/>
            </w:tcBorders>
            <w:vAlign w:val="center"/>
          </w:tcPr>
          <w:p w14:paraId="141A9FE7">
            <w:pPr>
              <w:spacing w:line="400" w:lineRule="exact"/>
              <w:jc w:val="center"/>
              <w:rPr>
                <w:rFonts w:hint="eastAsia" w:ascii="宋体" w:hAnsi="宋体" w:cs="宋体"/>
                <w:szCs w:val="21"/>
                <w:highlight w:val="none"/>
              </w:rPr>
            </w:pPr>
          </w:p>
        </w:tc>
        <w:tc>
          <w:tcPr>
            <w:tcW w:w="7326" w:type="dxa"/>
            <w:tcBorders>
              <w:top w:val="single" w:color="auto" w:sz="6" w:space="0"/>
              <w:left w:val="single" w:color="auto" w:sz="4" w:space="0"/>
              <w:bottom w:val="single" w:color="auto" w:sz="6" w:space="0"/>
              <w:right w:val="single" w:color="auto" w:sz="6" w:space="0"/>
            </w:tcBorders>
            <w:vAlign w:val="center"/>
          </w:tcPr>
          <w:p w14:paraId="5C7524CD">
            <w:pPr>
              <w:spacing w:line="400" w:lineRule="exact"/>
              <w:jc w:val="left"/>
              <w:rPr>
                <w:rFonts w:hint="eastAsia" w:ascii="宋体" w:hAnsi="宋体" w:cs="宋体"/>
                <w:szCs w:val="21"/>
                <w:highlight w:val="none"/>
              </w:rPr>
            </w:pPr>
            <w:r>
              <w:rPr>
                <w:rFonts w:hint="eastAsia" w:ascii="宋体" w:hAnsi="宋体" w:cs="宋体"/>
                <w:szCs w:val="21"/>
                <w:highlight w:val="none"/>
              </w:rPr>
              <w:t>拒绝在国家企业信用信息公示系统中列入严重违法失信企业名单的参与投标，标书内附相关证明材料加盖投标单位公章的复印件</w:t>
            </w:r>
          </w:p>
        </w:tc>
        <w:tc>
          <w:tcPr>
            <w:tcW w:w="1163" w:type="dxa"/>
            <w:tcBorders>
              <w:top w:val="single" w:color="auto" w:sz="6" w:space="0"/>
              <w:left w:val="single" w:color="auto" w:sz="6" w:space="0"/>
              <w:bottom w:val="single" w:color="auto" w:sz="6" w:space="0"/>
              <w:right w:val="single" w:color="auto" w:sz="4" w:space="0"/>
            </w:tcBorders>
            <w:vAlign w:val="center"/>
          </w:tcPr>
          <w:p w14:paraId="1511BC0B">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331337AD">
        <w:tblPrEx>
          <w:tblCellMar>
            <w:top w:w="0" w:type="dxa"/>
            <w:left w:w="108" w:type="dxa"/>
            <w:bottom w:w="0" w:type="dxa"/>
            <w:right w:w="108" w:type="dxa"/>
          </w:tblCellMar>
        </w:tblPrEx>
        <w:trPr>
          <w:trHeight w:val="397" w:hRule="atLeast"/>
          <w:jc w:val="center"/>
        </w:trPr>
        <w:tc>
          <w:tcPr>
            <w:tcW w:w="851" w:type="dxa"/>
            <w:vMerge w:val="continue"/>
            <w:tcBorders>
              <w:top w:val="single" w:color="auto" w:sz="6" w:space="0"/>
              <w:left w:val="single" w:color="auto" w:sz="6" w:space="0"/>
              <w:right w:val="single" w:color="auto" w:sz="4" w:space="0"/>
            </w:tcBorders>
            <w:vAlign w:val="center"/>
          </w:tcPr>
          <w:p w14:paraId="79ED25FA">
            <w:pPr>
              <w:spacing w:line="400" w:lineRule="exact"/>
              <w:jc w:val="center"/>
              <w:rPr>
                <w:rFonts w:hint="eastAsia" w:ascii="宋体" w:hAnsi="宋体" w:cs="宋体"/>
                <w:szCs w:val="21"/>
                <w:highlight w:val="none"/>
              </w:rPr>
            </w:pPr>
          </w:p>
        </w:tc>
        <w:tc>
          <w:tcPr>
            <w:tcW w:w="7326" w:type="dxa"/>
            <w:tcBorders>
              <w:top w:val="single" w:color="auto" w:sz="6" w:space="0"/>
              <w:left w:val="single" w:color="auto" w:sz="4" w:space="0"/>
              <w:bottom w:val="single" w:color="auto" w:sz="6" w:space="0"/>
              <w:right w:val="single" w:color="auto" w:sz="6" w:space="0"/>
            </w:tcBorders>
            <w:vAlign w:val="center"/>
          </w:tcPr>
          <w:p w14:paraId="19D6D5F8">
            <w:pPr>
              <w:spacing w:line="400" w:lineRule="exact"/>
              <w:jc w:val="left"/>
              <w:rPr>
                <w:rFonts w:hint="eastAsia" w:ascii="宋体" w:hAnsi="宋体" w:cs="宋体"/>
                <w:szCs w:val="21"/>
                <w:highlight w:val="none"/>
              </w:rPr>
            </w:pPr>
            <w:r>
              <w:rPr>
                <w:rFonts w:hint="eastAsia" w:ascii="宋体" w:hAnsi="宋体" w:cs="宋体"/>
                <w:szCs w:val="21"/>
                <w:highlight w:val="none"/>
              </w:rPr>
              <w:t>按照竞争性谈判文件规定要求签署、盖章</w:t>
            </w:r>
          </w:p>
        </w:tc>
        <w:tc>
          <w:tcPr>
            <w:tcW w:w="1163" w:type="dxa"/>
            <w:tcBorders>
              <w:top w:val="single" w:color="auto" w:sz="6" w:space="0"/>
              <w:left w:val="single" w:color="auto" w:sz="6" w:space="0"/>
              <w:bottom w:val="single" w:color="auto" w:sz="6" w:space="0"/>
              <w:right w:val="single" w:color="auto" w:sz="4" w:space="0"/>
            </w:tcBorders>
            <w:vAlign w:val="center"/>
          </w:tcPr>
          <w:p w14:paraId="61DB3F2B">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53B6486A">
        <w:tblPrEx>
          <w:tblCellMar>
            <w:top w:w="0" w:type="dxa"/>
            <w:left w:w="108" w:type="dxa"/>
            <w:bottom w:w="0" w:type="dxa"/>
            <w:right w:w="108" w:type="dxa"/>
          </w:tblCellMar>
        </w:tblPrEx>
        <w:trPr>
          <w:trHeight w:val="370" w:hRule="atLeast"/>
          <w:jc w:val="center"/>
        </w:trPr>
        <w:tc>
          <w:tcPr>
            <w:tcW w:w="851" w:type="dxa"/>
            <w:vMerge w:val="continue"/>
            <w:tcBorders>
              <w:left w:val="single" w:color="auto" w:sz="6" w:space="0"/>
              <w:right w:val="single" w:color="auto" w:sz="4" w:space="0"/>
            </w:tcBorders>
            <w:vAlign w:val="center"/>
          </w:tcPr>
          <w:p w14:paraId="034BC6A3">
            <w:pPr>
              <w:spacing w:line="400" w:lineRule="exact"/>
              <w:jc w:val="center"/>
              <w:rPr>
                <w:rFonts w:hint="eastAsia" w:ascii="宋体" w:hAnsi="宋体" w:cs="宋体"/>
                <w:szCs w:val="21"/>
                <w:highlight w:val="none"/>
              </w:rPr>
            </w:pPr>
          </w:p>
        </w:tc>
        <w:tc>
          <w:tcPr>
            <w:tcW w:w="7326" w:type="dxa"/>
            <w:tcBorders>
              <w:top w:val="single" w:color="auto" w:sz="6" w:space="0"/>
              <w:left w:val="single" w:color="auto" w:sz="4" w:space="0"/>
              <w:bottom w:val="single" w:color="auto" w:sz="6" w:space="0"/>
              <w:right w:val="single" w:color="auto" w:sz="6" w:space="0"/>
            </w:tcBorders>
            <w:vAlign w:val="center"/>
          </w:tcPr>
          <w:p w14:paraId="0D100614">
            <w:pPr>
              <w:spacing w:line="400" w:lineRule="exact"/>
              <w:jc w:val="left"/>
              <w:rPr>
                <w:rFonts w:hint="eastAsia" w:ascii="宋体" w:hAnsi="宋体" w:cs="宋体"/>
                <w:szCs w:val="21"/>
                <w:highlight w:val="none"/>
              </w:rPr>
            </w:pPr>
            <w:r>
              <w:rPr>
                <w:rFonts w:hint="eastAsia" w:ascii="宋体" w:hAnsi="宋体" w:cs="宋体"/>
                <w:szCs w:val="21"/>
                <w:highlight w:val="none"/>
              </w:rPr>
              <w:t>投标人不存在串通投标行为</w:t>
            </w:r>
          </w:p>
        </w:tc>
        <w:tc>
          <w:tcPr>
            <w:tcW w:w="1163" w:type="dxa"/>
            <w:tcBorders>
              <w:top w:val="single" w:color="auto" w:sz="6" w:space="0"/>
              <w:left w:val="single" w:color="auto" w:sz="6" w:space="0"/>
              <w:bottom w:val="single" w:color="auto" w:sz="6" w:space="0"/>
              <w:right w:val="single" w:color="auto" w:sz="4" w:space="0"/>
            </w:tcBorders>
            <w:vAlign w:val="center"/>
          </w:tcPr>
          <w:p w14:paraId="3AC5DCD9">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2221B925">
        <w:tblPrEx>
          <w:tblCellMar>
            <w:top w:w="0" w:type="dxa"/>
            <w:left w:w="108" w:type="dxa"/>
            <w:bottom w:w="0" w:type="dxa"/>
            <w:right w:w="108" w:type="dxa"/>
          </w:tblCellMar>
        </w:tblPrEx>
        <w:trPr>
          <w:trHeight w:val="397" w:hRule="atLeast"/>
          <w:jc w:val="center"/>
        </w:trPr>
        <w:tc>
          <w:tcPr>
            <w:tcW w:w="8177" w:type="dxa"/>
            <w:gridSpan w:val="2"/>
            <w:tcBorders>
              <w:top w:val="single" w:color="auto" w:sz="6" w:space="0"/>
              <w:left w:val="single" w:color="auto" w:sz="6" w:space="0"/>
              <w:bottom w:val="single" w:color="auto" w:sz="6" w:space="0"/>
              <w:right w:val="single" w:color="auto" w:sz="6" w:space="0"/>
            </w:tcBorders>
            <w:vAlign w:val="center"/>
          </w:tcPr>
          <w:p w14:paraId="1304E207">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r>
              <w:rPr>
                <w:rFonts w:hint="eastAsia" w:ascii="宋体" w:hAnsi="宋体" w:cs="宋体"/>
                <w:szCs w:val="21"/>
                <w:highlight w:val="none"/>
              </w:rPr>
              <w:t>结论</w:t>
            </w:r>
          </w:p>
        </w:tc>
        <w:tc>
          <w:tcPr>
            <w:tcW w:w="1163" w:type="dxa"/>
            <w:tcBorders>
              <w:top w:val="single" w:color="auto" w:sz="6" w:space="0"/>
              <w:left w:val="single" w:color="auto" w:sz="6" w:space="0"/>
              <w:bottom w:val="single" w:color="auto" w:sz="6" w:space="0"/>
              <w:right w:val="single" w:color="auto" w:sz="4" w:space="0"/>
            </w:tcBorders>
            <w:vAlign w:val="center"/>
          </w:tcPr>
          <w:p w14:paraId="3D5FE003">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615875EB">
        <w:tblPrEx>
          <w:tblCellMar>
            <w:top w:w="0" w:type="dxa"/>
            <w:left w:w="108" w:type="dxa"/>
            <w:bottom w:w="0" w:type="dxa"/>
            <w:right w:w="108" w:type="dxa"/>
          </w:tblCellMar>
        </w:tblPrEx>
        <w:trPr>
          <w:trHeight w:val="397" w:hRule="atLeast"/>
          <w:jc w:val="center"/>
        </w:trPr>
        <w:tc>
          <w:tcPr>
            <w:tcW w:w="9340" w:type="dxa"/>
            <w:gridSpan w:val="3"/>
            <w:tcBorders>
              <w:top w:val="single" w:color="auto" w:sz="6" w:space="0"/>
              <w:left w:val="single" w:color="auto" w:sz="6" w:space="0"/>
              <w:bottom w:val="single" w:color="auto" w:sz="6" w:space="0"/>
              <w:right w:val="single" w:color="auto" w:sz="4" w:space="0"/>
            </w:tcBorders>
            <w:vAlign w:val="center"/>
          </w:tcPr>
          <w:p w14:paraId="02C8830F">
            <w:pPr>
              <w:widowControl/>
              <w:autoSpaceDE w:val="0"/>
              <w:autoSpaceDN w:val="0"/>
              <w:spacing w:line="400" w:lineRule="exact"/>
              <w:ind w:left="525" w:right="-34" w:hanging="525" w:hangingChars="250"/>
              <w:jc w:val="left"/>
              <w:textAlignment w:val="bottom"/>
              <w:rPr>
                <w:rFonts w:hint="eastAsia" w:ascii="宋体" w:hAnsi="宋体" w:cs="宋体"/>
                <w:szCs w:val="21"/>
                <w:highlight w:val="none"/>
              </w:rPr>
            </w:pPr>
            <w:r>
              <w:rPr>
                <w:rFonts w:hint="eastAsia" w:ascii="宋体" w:hAnsi="宋体" w:cs="宋体"/>
                <w:szCs w:val="21"/>
                <w:highlight w:val="none"/>
              </w:rPr>
              <w:t>审查人签字：</w:t>
            </w:r>
          </w:p>
        </w:tc>
      </w:tr>
    </w:tbl>
    <w:p w14:paraId="19B09D4E">
      <w:pPr>
        <w:spacing w:line="400" w:lineRule="exact"/>
        <w:rPr>
          <w:rFonts w:hint="eastAsia" w:ascii="宋体" w:hAnsi="宋体" w:cs="宋体"/>
          <w:szCs w:val="21"/>
          <w:highlight w:val="none"/>
        </w:rPr>
      </w:pPr>
      <w:r>
        <w:rPr>
          <w:rFonts w:hint="eastAsia" w:ascii="宋体" w:hAnsi="宋体" w:cs="宋体"/>
          <w:szCs w:val="21"/>
          <w:highlight w:val="none"/>
        </w:rPr>
        <w:t>注：本表中符合评审内容要求的写“√”，不符合评审内容要求的写“×”。结论为“合格”或“不合格。结论不合格的不进入符合性审查阶段。</w:t>
      </w:r>
    </w:p>
    <w:p w14:paraId="278F7727">
      <w:pPr>
        <w:pStyle w:val="54"/>
        <w:spacing w:before="0" w:beforeAutospacing="0" w:after="0" w:afterAutospacing="0" w:line="400" w:lineRule="exact"/>
        <w:jc w:val="center"/>
        <w:rPr>
          <w:rFonts w:cs="宋体"/>
          <w:sz w:val="21"/>
          <w:szCs w:val="21"/>
          <w:highlight w:val="none"/>
        </w:rPr>
      </w:pPr>
      <w:r>
        <w:rPr>
          <w:rFonts w:cs="宋体"/>
          <w:kern w:val="2"/>
          <w:sz w:val="21"/>
          <w:szCs w:val="21"/>
          <w:highlight w:val="none"/>
        </w:rPr>
        <w:t>符合性审查表</w:t>
      </w:r>
    </w:p>
    <w:tbl>
      <w:tblPr>
        <w:tblStyle w:val="60"/>
        <w:tblW w:w="9085" w:type="dxa"/>
        <w:jc w:val="center"/>
        <w:tblLayout w:type="fixed"/>
        <w:tblCellMar>
          <w:top w:w="0" w:type="dxa"/>
          <w:left w:w="108" w:type="dxa"/>
          <w:bottom w:w="0" w:type="dxa"/>
          <w:right w:w="108" w:type="dxa"/>
        </w:tblCellMar>
      </w:tblPr>
      <w:tblGrid>
        <w:gridCol w:w="1072"/>
        <w:gridCol w:w="6806"/>
        <w:gridCol w:w="1207"/>
      </w:tblGrid>
      <w:tr w14:paraId="5F9017A5">
        <w:tblPrEx>
          <w:tblCellMar>
            <w:top w:w="0" w:type="dxa"/>
            <w:left w:w="108" w:type="dxa"/>
            <w:bottom w:w="0" w:type="dxa"/>
            <w:right w:w="108" w:type="dxa"/>
          </w:tblCellMar>
        </w:tblPrEx>
        <w:trPr>
          <w:trHeight w:val="397" w:hRule="atLeast"/>
          <w:jc w:val="center"/>
        </w:trPr>
        <w:tc>
          <w:tcPr>
            <w:tcW w:w="7878" w:type="dxa"/>
            <w:gridSpan w:val="2"/>
            <w:vMerge w:val="restart"/>
            <w:tcBorders>
              <w:top w:val="single" w:color="auto" w:sz="6" w:space="0"/>
              <w:left w:val="single" w:color="auto" w:sz="6" w:space="0"/>
              <w:bottom w:val="single" w:color="auto" w:sz="6" w:space="0"/>
              <w:right w:val="single" w:color="auto" w:sz="6" w:space="0"/>
            </w:tcBorders>
            <w:vAlign w:val="center"/>
          </w:tcPr>
          <w:p w14:paraId="45DAE763">
            <w:pPr>
              <w:widowControl/>
              <w:autoSpaceDE w:val="0"/>
              <w:autoSpaceDN w:val="0"/>
              <w:spacing w:line="400" w:lineRule="exact"/>
              <w:ind w:right="-34"/>
              <w:jc w:val="center"/>
              <w:textAlignment w:val="bottom"/>
              <w:rPr>
                <w:rFonts w:hint="eastAsia" w:ascii="宋体" w:hAnsi="宋体" w:cs="宋体"/>
                <w:szCs w:val="21"/>
                <w:highlight w:val="none"/>
              </w:rPr>
            </w:pPr>
            <w:r>
              <w:rPr>
                <w:rFonts w:hint="eastAsia" w:ascii="宋体" w:hAnsi="宋体" w:cs="宋体"/>
                <w:szCs w:val="21"/>
                <w:highlight w:val="none"/>
              </w:rPr>
              <w:t>检查内容</w:t>
            </w:r>
          </w:p>
        </w:tc>
        <w:tc>
          <w:tcPr>
            <w:tcW w:w="1207" w:type="dxa"/>
            <w:tcBorders>
              <w:top w:val="single" w:color="auto" w:sz="6" w:space="0"/>
              <w:left w:val="single" w:color="auto" w:sz="6" w:space="0"/>
              <w:bottom w:val="single" w:color="auto" w:sz="6" w:space="0"/>
              <w:right w:val="single" w:color="auto" w:sz="4" w:space="0"/>
            </w:tcBorders>
            <w:vAlign w:val="center"/>
          </w:tcPr>
          <w:p w14:paraId="79EBA118">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r>
              <w:rPr>
                <w:rFonts w:hint="eastAsia" w:ascii="宋体" w:hAnsi="宋体" w:cs="宋体"/>
                <w:szCs w:val="21"/>
                <w:highlight w:val="none"/>
              </w:rPr>
              <w:t>投标人</w:t>
            </w:r>
          </w:p>
        </w:tc>
      </w:tr>
      <w:tr w14:paraId="0F0A11A8">
        <w:tblPrEx>
          <w:tblCellMar>
            <w:top w:w="0" w:type="dxa"/>
            <w:left w:w="108" w:type="dxa"/>
            <w:bottom w:w="0" w:type="dxa"/>
            <w:right w:w="108" w:type="dxa"/>
          </w:tblCellMar>
        </w:tblPrEx>
        <w:trPr>
          <w:trHeight w:val="397" w:hRule="atLeast"/>
          <w:jc w:val="center"/>
        </w:trPr>
        <w:tc>
          <w:tcPr>
            <w:tcW w:w="7878" w:type="dxa"/>
            <w:gridSpan w:val="2"/>
            <w:vMerge w:val="continue"/>
            <w:tcBorders>
              <w:top w:val="single" w:color="auto" w:sz="6" w:space="0"/>
              <w:left w:val="single" w:color="auto" w:sz="6" w:space="0"/>
              <w:bottom w:val="single" w:color="auto" w:sz="6" w:space="0"/>
              <w:right w:val="single" w:color="auto" w:sz="6" w:space="0"/>
            </w:tcBorders>
            <w:vAlign w:val="center"/>
          </w:tcPr>
          <w:p w14:paraId="35E7ED95">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c>
          <w:tcPr>
            <w:tcW w:w="1207" w:type="dxa"/>
            <w:tcBorders>
              <w:top w:val="single" w:color="auto" w:sz="6" w:space="0"/>
              <w:left w:val="single" w:color="auto" w:sz="6" w:space="0"/>
              <w:bottom w:val="single" w:color="auto" w:sz="6" w:space="0"/>
              <w:right w:val="single" w:color="auto" w:sz="4" w:space="0"/>
            </w:tcBorders>
          </w:tcPr>
          <w:p w14:paraId="1D924266">
            <w:pPr>
              <w:widowControl/>
              <w:autoSpaceDE w:val="0"/>
              <w:autoSpaceDN w:val="0"/>
              <w:spacing w:line="400" w:lineRule="exact"/>
              <w:ind w:right="-34"/>
              <w:jc w:val="center"/>
              <w:textAlignment w:val="bottom"/>
              <w:rPr>
                <w:rFonts w:hint="eastAsia" w:ascii="宋体" w:hAnsi="宋体" w:cs="宋体"/>
                <w:szCs w:val="21"/>
                <w:highlight w:val="none"/>
              </w:rPr>
            </w:pPr>
          </w:p>
        </w:tc>
      </w:tr>
      <w:tr w14:paraId="1E17D74F">
        <w:tblPrEx>
          <w:tblCellMar>
            <w:top w:w="0" w:type="dxa"/>
            <w:left w:w="108" w:type="dxa"/>
            <w:bottom w:w="0" w:type="dxa"/>
            <w:right w:w="108" w:type="dxa"/>
          </w:tblCellMar>
        </w:tblPrEx>
        <w:trPr>
          <w:trHeight w:val="397" w:hRule="atLeast"/>
          <w:jc w:val="center"/>
        </w:trPr>
        <w:tc>
          <w:tcPr>
            <w:tcW w:w="1072" w:type="dxa"/>
            <w:vMerge w:val="restart"/>
            <w:tcBorders>
              <w:top w:val="single" w:color="auto" w:sz="6" w:space="0"/>
              <w:left w:val="single" w:color="auto" w:sz="6" w:space="0"/>
              <w:right w:val="single" w:color="auto" w:sz="4" w:space="0"/>
            </w:tcBorders>
            <w:vAlign w:val="center"/>
          </w:tcPr>
          <w:p w14:paraId="10542244">
            <w:pPr>
              <w:spacing w:line="400" w:lineRule="exact"/>
              <w:jc w:val="center"/>
              <w:rPr>
                <w:rFonts w:hint="eastAsia" w:ascii="宋体" w:hAnsi="宋体" w:cs="宋体"/>
                <w:szCs w:val="21"/>
                <w:highlight w:val="none"/>
              </w:rPr>
            </w:pPr>
            <w:r>
              <w:rPr>
                <w:rFonts w:hint="eastAsia" w:ascii="宋体" w:hAnsi="宋体" w:cs="宋体"/>
                <w:szCs w:val="21"/>
                <w:highlight w:val="none"/>
              </w:rPr>
              <w:t>符合性审查</w:t>
            </w:r>
          </w:p>
        </w:tc>
        <w:tc>
          <w:tcPr>
            <w:tcW w:w="6806" w:type="dxa"/>
            <w:tcBorders>
              <w:top w:val="single" w:color="auto" w:sz="6" w:space="0"/>
              <w:left w:val="single" w:color="auto" w:sz="4" w:space="0"/>
              <w:right w:val="single" w:color="auto" w:sz="6" w:space="0"/>
            </w:tcBorders>
            <w:vAlign w:val="center"/>
          </w:tcPr>
          <w:p w14:paraId="06B34214">
            <w:pPr>
              <w:spacing w:line="400" w:lineRule="exact"/>
              <w:jc w:val="left"/>
              <w:rPr>
                <w:rFonts w:hint="eastAsia" w:ascii="宋体" w:hAnsi="宋体" w:cs="宋体"/>
                <w:szCs w:val="21"/>
                <w:highlight w:val="none"/>
              </w:rPr>
            </w:pPr>
            <w:r>
              <w:rPr>
                <w:rFonts w:hint="eastAsia" w:ascii="宋体" w:hAnsi="宋体" w:cs="宋体"/>
                <w:szCs w:val="21"/>
                <w:highlight w:val="none"/>
              </w:rPr>
              <w:t>投标报价未超出采购预算</w:t>
            </w:r>
          </w:p>
        </w:tc>
        <w:tc>
          <w:tcPr>
            <w:tcW w:w="1207" w:type="dxa"/>
            <w:tcBorders>
              <w:top w:val="single" w:color="auto" w:sz="6" w:space="0"/>
              <w:left w:val="single" w:color="auto" w:sz="6" w:space="0"/>
              <w:right w:val="single" w:color="auto" w:sz="4" w:space="0"/>
            </w:tcBorders>
            <w:vAlign w:val="center"/>
          </w:tcPr>
          <w:p w14:paraId="25FAB5A9">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6BF682C4">
        <w:tblPrEx>
          <w:tblCellMar>
            <w:top w:w="0" w:type="dxa"/>
            <w:left w:w="108" w:type="dxa"/>
            <w:bottom w:w="0" w:type="dxa"/>
            <w:right w:w="108" w:type="dxa"/>
          </w:tblCellMar>
        </w:tblPrEx>
        <w:trPr>
          <w:trHeight w:val="397" w:hRule="atLeast"/>
          <w:jc w:val="center"/>
        </w:trPr>
        <w:tc>
          <w:tcPr>
            <w:tcW w:w="1072" w:type="dxa"/>
            <w:vMerge w:val="continue"/>
            <w:tcBorders>
              <w:left w:val="single" w:color="auto" w:sz="6" w:space="0"/>
              <w:right w:val="single" w:color="auto" w:sz="4" w:space="0"/>
            </w:tcBorders>
            <w:vAlign w:val="center"/>
          </w:tcPr>
          <w:p w14:paraId="13ABAD0C">
            <w:pPr>
              <w:spacing w:line="400" w:lineRule="exact"/>
              <w:jc w:val="center"/>
              <w:rPr>
                <w:rFonts w:hint="eastAsia" w:ascii="宋体" w:hAnsi="宋体" w:cs="宋体"/>
                <w:szCs w:val="21"/>
                <w:highlight w:val="none"/>
              </w:rPr>
            </w:pPr>
          </w:p>
        </w:tc>
        <w:tc>
          <w:tcPr>
            <w:tcW w:w="6806" w:type="dxa"/>
            <w:tcBorders>
              <w:top w:val="single" w:color="auto" w:sz="6" w:space="0"/>
              <w:left w:val="single" w:color="auto" w:sz="4" w:space="0"/>
              <w:right w:val="single" w:color="auto" w:sz="6" w:space="0"/>
            </w:tcBorders>
            <w:vAlign w:val="center"/>
          </w:tcPr>
          <w:p w14:paraId="3C1A5371">
            <w:pPr>
              <w:spacing w:line="400" w:lineRule="exact"/>
              <w:jc w:val="left"/>
              <w:rPr>
                <w:rFonts w:hint="eastAsia" w:ascii="宋体" w:hAnsi="宋体" w:cs="宋体"/>
                <w:szCs w:val="21"/>
                <w:highlight w:val="none"/>
              </w:rPr>
            </w:pPr>
            <w:r>
              <w:rPr>
                <w:rFonts w:hint="eastAsia" w:ascii="宋体" w:hAnsi="宋体" w:cs="宋体"/>
                <w:szCs w:val="21"/>
                <w:highlight w:val="none"/>
              </w:rPr>
              <w:t>投标文件的有效性、完整性满足竞争性谈判文件要求</w:t>
            </w:r>
          </w:p>
        </w:tc>
        <w:tc>
          <w:tcPr>
            <w:tcW w:w="1207" w:type="dxa"/>
            <w:tcBorders>
              <w:top w:val="single" w:color="auto" w:sz="6" w:space="0"/>
              <w:left w:val="single" w:color="auto" w:sz="6" w:space="0"/>
              <w:right w:val="single" w:color="auto" w:sz="4" w:space="0"/>
            </w:tcBorders>
            <w:vAlign w:val="center"/>
          </w:tcPr>
          <w:p w14:paraId="58FFE4B9">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3F8A24F0">
        <w:tblPrEx>
          <w:tblCellMar>
            <w:top w:w="0" w:type="dxa"/>
            <w:left w:w="108" w:type="dxa"/>
            <w:bottom w:w="0" w:type="dxa"/>
            <w:right w:w="108" w:type="dxa"/>
          </w:tblCellMar>
        </w:tblPrEx>
        <w:trPr>
          <w:trHeight w:val="397" w:hRule="atLeast"/>
          <w:jc w:val="center"/>
        </w:trPr>
        <w:tc>
          <w:tcPr>
            <w:tcW w:w="1072" w:type="dxa"/>
            <w:vMerge w:val="continue"/>
            <w:tcBorders>
              <w:left w:val="single" w:color="auto" w:sz="6" w:space="0"/>
              <w:right w:val="single" w:color="auto" w:sz="4" w:space="0"/>
            </w:tcBorders>
            <w:vAlign w:val="center"/>
          </w:tcPr>
          <w:p w14:paraId="6B03992E">
            <w:pPr>
              <w:spacing w:line="400" w:lineRule="exact"/>
              <w:jc w:val="center"/>
              <w:rPr>
                <w:rFonts w:hint="eastAsia" w:ascii="宋体" w:hAnsi="宋体" w:cs="宋体"/>
                <w:szCs w:val="21"/>
                <w:highlight w:val="none"/>
              </w:rPr>
            </w:pPr>
          </w:p>
        </w:tc>
        <w:tc>
          <w:tcPr>
            <w:tcW w:w="6806" w:type="dxa"/>
            <w:tcBorders>
              <w:top w:val="single" w:color="auto" w:sz="6" w:space="0"/>
              <w:left w:val="single" w:color="auto" w:sz="4" w:space="0"/>
              <w:right w:val="single" w:color="auto" w:sz="6" w:space="0"/>
            </w:tcBorders>
            <w:vAlign w:val="center"/>
          </w:tcPr>
          <w:p w14:paraId="04185CD8">
            <w:pPr>
              <w:spacing w:line="400" w:lineRule="exact"/>
              <w:jc w:val="left"/>
              <w:rPr>
                <w:rFonts w:hint="eastAsia" w:ascii="宋体" w:hAnsi="宋体" w:cs="宋体"/>
                <w:szCs w:val="21"/>
                <w:highlight w:val="none"/>
              </w:rPr>
            </w:pPr>
            <w:r>
              <w:rPr>
                <w:rFonts w:hint="eastAsia" w:ascii="宋体" w:hAnsi="宋体" w:cs="宋体"/>
                <w:szCs w:val="21"/>
                <w:highlight w:val="none"/>
              </w:rPr>
              <w:t>提交的投标价格不存在异常低价</w:t>
            </w:r>
          </w:p>
          <w:p w14:paraId="35AE89EF">
            <w:pPr>
              <w:spacing w:line="400" w:lineRule="exact"/>
              <w:jc w:val="left"/>
              <w:rPr>
                <w:rFonts w:hint="eastAsia" w:ascii="宋体" w:hAnsi="宋体" w:cs="宋体"/>
                <w:szCs w:val="21"/>
                <w:highlight w:val="none"/>
              </w:rPr>
            </w:pPr>
            <w:r>
              <w:rPr>
                <w:rFonts w:hint="eastAsia" w:ascii="宋体" w:hAnsi="宋体" w:cs="宋体"/>
                <w:szCs w:val="21"/>
                <w:highlight w:val="none"/>
              </w:rPr>
              <w:t>《关于推动解决政府采购异常低价问题的通知》财库〔2026〕2号</w:t>
            </w:r>
          </w:p>
          <w:p w14:paraId="03EE69E6">
            <w:pPr>
              <w:spacing w:line="400" w:lineRule="exact"/>
              <w:jc w:val="left"/>
              <w:rPr>
                <w:rFonts w:hint="eastAsia" w:ascii="宋体" w:hAnsi="宋体" w:cs="宋体"/>
                <w:szCs w:val="21"/>
                <w:highlight w:val="none"/>
              </w:rPr>
            </w:pPr>
            <w:r>
              <w:rPr>
                <w:rFonts w:hint="eastAsia" w:ascii="宋体" w:hAnsi="宋体" w:cs="宋体"/>
                <w:szCs w:val="21"/>
                <w:highlight w:val="none"/>
              </w:rPr>
              <w:t xml:space="preserve">政府采购评审中出现下列情形之一的，评审委员会应当启动异常低价响应审查程序： </w:t>
            </w:r>
          </w:p>
          <w:p w14:paraId="6C614863">
            <w:pPr>
              <w:spacing w:line="400" w:lineRule="exact"/>
              <w:jc w:val="left"/>
              <w:rPr>
                <w:rFonts w:hint="eastAsia" w:ascii="宋体" w:hAnsi="宋体" w:cs="宋体"/>
                <w:szCs w:val="21"/>
                <w:highlight w:val="none"/>
              </w:rPr>
            </w:pPr>
            <w:r>
              <w:rPr>
                <w:rFonts w:hint="eastAsia" w:ascii="宋体" w:hAnsi="宋体" w:cs="宋体"/>
                <w:szCs w:val="21"/>
                <w:highlight w:val="none"/>
              </w:rPr>
              <w:t xml:space="preserve">①响应报价低于全部通过符合性审查供应商响应报价平均值50%的，即响应报价&lt;全部通过符合性审查供应商响应报价平均值×50%； </w:t>
            </w:r>
          </w:p>
          <w:p w14:paraId="6B22E1C4">
            <w:pPr>
              <w:spacing w:line="400" w:lineRule="exact"/>
              <w:jc w:val="left"/>
              <w:rPr>
                <w:rFonts w:hint="eastAsia" w:ascii="宋体" w:hAnsi="宋体" w:cs="宋体"/>
                <w:szCs w:val="21"/>
                <w:highlight w:val="none"/>
              </w:rPr>
            </w:pPr>
            <w:r>
              <w:rPr>
                <w:rFonts w:hint="eastAsia" w:ascii="宋体" w:hAnsi="宋体" w:cs="宋体"/>
                <w:szCs w:val="21"/>
                <w:highlight w:val="none"/>
              </w:rPr>
              <w:t xml:space="preserve">②响应报价低于通过符合性审查的次低报价供应商响应报价50%的，即响应报价&lt;通过符合性审查的次低报价供应商响应报价×50%； </w:t>
            </w:r>
          </w:p>
          <w:p w14:paraId="343C1A4F">
            <w:pPr>
              <w:spacing w:line="400" w:lineRule="exact"/>
              <w:jc w:val="left"/>
              <w:rPr>
                <w:rFonts w:hint="eastAsia" w:ascii="宋体" w:hAnsi="宋体" w:cs="宋体"/>
                <w:szCs w:val="21"/>
                <w:highlight w:val="none"/>
              </w:rPr>
            </w:pPr>
            <w:r>
              <w:rPr>
                <w:rFonts w:hint="eastAsia" w:ascii="宋体" w:hAnsi="宋体" w:cs="宋体"/>
                <w:szCs w:val="21"/>
                <w:highlight w:val="none"/>
              </w:rPr>
              <w:t xml:space="preserve">③响应报价低于采购项目最高限价45%的，即响应报价&lt;采购项目最高限价×45%； </w:t>
            </w:r>
          </w:p>
          <w:p w14:paraId="00CA1727">
            <w:pPr>
              <w:spacing w:line="400" w:lineRule="exact"/>
              <w:jc w:val="left"/>
              <w:rPr>
                <w:rFonts w:hint="eastAsia" w:ascii="宋体" w:hAnsi="宋体" w:cs="宋体"/>
                <w:szCs w:val="21"/>
                <w:highlight w:val="none"/>
              </w:rPr>
            </w:pPr>
            <w:r>
              <w:rPr>
                <w:rFonts w:hint="eastAsia" w:ascii="宋体" w:hAnsi="宋体" w:cs="宋体"/>
                <w:szCs w:val="21"/>
                <w:highlight w:val="none"/>
              </w:rPr>
              <w:t xml:space="preserve">④评审委员会基于专业判断，认为供应商报价过低，有可能影响产品质量或者不能诚信履约的其他情形。 </w:t>
            </w:r>
          </w:p>
          <w:p w14:paraId="63E6ED76">
            <w:pPr>
              <w:spacing w:line="400" w:lineRule="exact"/>
              <w:jc w:val="left"/>
              <w:rPr>
                <w:rFonts w:hint="eastAsia" w:ascii="宋体" w:hAnsi="宋体" w:cs="宋体"/>
                <w:szCs w:val="21"/>
                <w:highlight w:val="none"/>
              </w:rPr>
            </w:pPr>
            <w:r>
              <w:rPr>
                <w:rFonts w:hint="eastAsia" w:ascii="宋体" w:hAnsi="宋体" w:cs="宋体"/>
                <w:szCs w:val="21"/>
                <w:highlight w:val="none"/>
              </w:rPr>
              <w:t xml:space="preserve">   评审委员会启动异常低价响应审查后，要求相关供应商在30分钟内对响应价格作出解释，提供项目具体成本测算等与报价合理性相关的书面说明及必要的证明材料，包括但不限于原材料成本、人工成本、制造费用等。投标人不能证明其报价合理性的，未提供或内容不全面无法支持报价构成的，由评标委员会认定该投标人是否以恶意低价竞标。供应商不能证明其报价合理性的，评标委员会应当将其作为无效处理。</w:t>
            </w:r>
          </w:p>
        </w:tc>
        <w:tc>
          <w:tcPr>
            <w:tcW w:w="1207" w:type="dxa"/>
            <w:tcBorders>
              <w:top w:val="single" w:color="auto" w:sz="6" w:space="0"/>
              <w:left w:val="single" w:color="auto" w:sz="6" w:space="0"/>
              <w:right w:val="single" w:color="auto" w:sz="4" w:space="0"/>
            </w:tcBorders>
            <w:vAlign w:val="center"/>
          </w:tcPr>
          <w:p w14:paraId="2D30ADD9">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0EFFA406">
        <w:tblPrEx>
          <w:tblCellMar>
            <w:top w:w="0" w:type="dxa"/>
            <w:left w:w="108" w:type="dxa"/>
            <w:bottom w:w="0" w:type="dxa"/>
            <w:right w:w="108" w:type="dxa"/>
          </w:tblCellMar>
        </w:tblPrEx>
        <w:trPr>
          <w:trHeight w:val="397" w:hRule="atLeast"/>
          <w:jc w:val="center"/>
        </w:trPr>
        <w:tc>
          <w:tcPr>
            <w:tcW w:w="1072" w:type="dxa"/>
            <w:vMerge w:val="continue"/>
            <w:tcBorders>
              <w:left w:val="single" w:color="auto" w:sz="6" w:space="0"/>
              <w:right w:val="single" w:color="auto" w:sz="4" w:space="0"/>
            </w:tcBorders>
            <w:vAlign w:val="center"/>
          </w:tcPr>
          <w:p w14:paraId="31B7F37D">
            <w:pPr>
              <w:spacing w:line="400" w:lineRule="exact"/>
              <w:ind w:firstLine="482"/>
              <w:jc w:val="center"/>
              <w:rPr>
                <w:rFonts w:hint="eastAsia" w:ascii="宋体" w:hAnsi="宋体" w:cs="宋体"/>
                <w:szCs w:val="21"/>
                <w:highlight w:val="none"/>
              </w:rPr>
            </w:pPr>
          </w:p>
        </w:tc>
        <w:tc>
          <w:tcPr>
            <w:tcW w:w="6806" w:type="dxa"/>
            <w:tcBorders>
              <w:top w:val="single" w:color="auto" w:sz="6" w:space="0"/>
              <w:left w:val="single" w:color="auto" w:sz="4" w:space="0"/>
              <w:bottom w:val="single" w:color="auto" w:sz="6" w:space="0"/>
              <w:right w:val="single" w:color="auto" w:sz="6" w:space="0"/>
            </w:tcBorders>
            <w:vAlign w:val="center"/>
          </w:tcPr>
          <w:p w14:paraId="7904D640">
            <w:pPr>
              <w:spacing w:line="400" w:lineRule="exact"/>
              <w:jc w:val="left"/>
              <w:rPr>
                <w:rFonts w:hint="eastAsia" w:ascii="宋体" w:hAnsi="宋体" w:cs="宋体"/>
                <w:szCs w:val="21"/>
                <w:highlight w:val="none"/>
              </w:rPr>
            </w:pPr>
            <w:r>
              <w:rPr>
                <w:rFonts w:hint="eastAsia" w:ascii="宋体" w:hAnsi="宋体" w:cs="宋体"/>
                <w:szCs w:val="21"/>
                <w:highlight w:val="none"/>
              </w:rPr>
              <w:t>逐条对竞争性谈判文件要求的商务和采购需求进行应答，详细填写“技术要求偏离表、商务条款偏离表”。采购需求不允许负偏离。</w:t>
            </w:r>
          </w:p>
        </w:tc>
        <w:tc>
          <w:tcPr>
            <w:tcW w:w="1207" w:type="dxa"/>
            <w:tcBorders>
              <w:top w:val="single" w:color="auto" w:sz="6" w:space="0"/>
              <w:left w:val="single" w:color="auto" w:sz="6" w:space="0"/>
              <w:bottom w:val="single" w:color="auto" w:sz="6" w:space="0"/>
              <w:right w:val="single" w:color="auto" w:sz="4" w:space="0"/>
            </w:tcBorders>
            <w:vAlign w:val="center"/>
          </w:tcPr>
          <w:p w14:paraId="499C5F45">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74463B43">
        <w:tblPrEx>
          <w:tblCellMar>
            <w:top w:w="0" w:type="dxa"/>
            <w:left w:w="108" w:type="dxa"/>
            <w:bottom w:w="0" w:type="dxa"/>
            <w:right w:w="108" w:type="dxa"/>
          </w:tblCellMar>
        </w:tblPrEx>
        <w:trPr>
          <w:trHeight w:val="397" w:hRule="atLeast"/>
          <w:jc w:val="center"/>
        </w:trPr>
        <w:tc>
          <w:tcPr>
            <w:tcW w:w="1072" w:type="dxa"/>
            <w:vMerge w:val="continue"/>
            <w:tcBorders>
              <w:left w:val="single" w:color="auto" w:sz="6" w:space="0"/>
              <w:right w:val="single" w:color="auto" w:sz="4" w:space="0"/>
            </w:tcBorders>
            <w:vAlign w:val="center"/>
          </w:tcPr>
          <w:p w14:paraId="00443860">
            <w:pPr>
              <w:spacing w:line="400" w:lineRule="exact"/>
              <w:ind w:firstLine="482"/>
              <w:jc w:val="center"/>
              <w:rPr>
                <w:rFonts w:hint="eastAsia" w:ascii="宋体" w:hAnsi="宋体" w:cs="宋体"/>
                <w:szCs w:val="21"/>
                <w:highlight w:val="none"/>
              </w:rPr>
            </w:pPr>
          </w:p>
        </w:tc>
        <w:tc>
          <w:tcPr>
            <w:tcW w:w="6806" w:type="dxa"/>
            <w:tcBorders>
              <w:top w:val="single" w:color="auto" w:sz="6" w:space="0"/>
              <w:left w:val="single" w:color="auto" w:sz="4" w:space="0"/>
              <w:bottom w:val="single" w:color="auto" w:sz="6" w:space="0"/>
              <w:right w:val="single" w:color="auto" w:sz="6" w:space="0"/>
            </w:tcBorders>
            <w:vAlign w:val="center"/>
          </w:tcPr>
          <w:p w14:paraId="54336535">
            <w:pPr>
              <w:spacing w:line="400" w:lineRule="exact"/>
              <w:jc w:val="left"/>
              <w:rPr>
                <w:rFonts w:hint="eastAsia" w:ascii="宋体" w:hAnsi="宋体" w:cs="宋体"/>
                <w:szCs w:val="21"/>
                <w:highlight w:val="none"/>
              </w:rPr>
            </w:pPr>
            <w:r>
              <w:rPr>
                <w:rFonts w:hint="eastAsia" w:ascii="宋体" w:hAnsi="宋体" w:cs="宋体"/>
                <w:szCs w:val="21"/>
                <w:highlight w:val="none"/>
              </w:rPr>
              <w:t>提交的投标价格为非可调整的价格</w:t>
            </w:r>
          </w:p>
        </w:tc>
        <w:tc>
          <w:tcPr>
            <w:tcW w:w="1207" w:type="dxa"/>
            <w:tcBorders>
              <w:top w:val="single" w:color="auto" w:sz="6" w:space="0"/>
              <w:left w:val="single" w:color="auto" w:sz="6" w:space="0"/>
              <w:bottom w:val="single" w:color="auto" w:sz="6" w:space="0"/>
              <w:right w:val="single" w:color="auto" w:sz="4" w:space="0"/>
            </w:tcBorders>
            <w:vAlign w:val="center"/>
          </w:tcPr>
          <w:p w14:paraId="52BE9425">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688EB6D1">
        <w:tblPrEx>
          <w:tblCellMar>
            <w:top w:w="0" w:type="dxa"/>
            <w:left w:w="108" w:type="dxa"/>
            <w:bottom w:w="0" w:type="dxa"/>
            <w:right w:w="108" w:type="dxa"/>
          </w:tblCellMar>
        </w:tblPrEx>
        <w:trPr>
          <w:trHeight w:val="397" w:hRule="atLeast"/>
          <w:jc w:val="center"/>
        </w:trPr>
        <w:tc>
          <w:tcPr>
            <w:tcW w:w="1072" w:type="dxa"/>
            <w:vMerge w:val="continue"/>
            <w:tcBorders>
              <w:left w:val="single" w:color="auto" w:sz="6" w:space="0"/>
              <w:right w:val="single" w:color="auto" w:sz="4" w:space="0"/>
            </w:tcBorders>
            <w:vAlign w:val="center"/>
          </w:tcPr>
          <w:p w14:paraId="455C61CA">
            <w:pPr>
              <w:spacing w:line="400" w:lineRule="exact"/>
              <w:ind w:firstLine="482"/>
              <w:jc w:val="center"/>
              <w:rPr>
                <w:rFonts w:hint="eastAsia" w:ascii="宋体" w:hAnsi="宋体" w:cs="宋体"/>
                <w:szCs w:val="21"/>
                <w:highlight w:val="none"/>
              </w:rPr>
            </w:pPr>
          </w:p>
        </w:tc>
        <w:tc>
          <w:tcPr>
            <w:tcW w:w="6806" w:type="dxa"/>
            <w:tcBorders>
              <w:top w:val="single" w:color="auto" w:sz="6" w:space="0"/>
              <w:left w:val="single" w:color="auto" w:sz="4" w:space="0"/>
              <w:bottom w:val="single" w:color="auto" w:sz="6" w:space="0"/>
              <w:right w:val="single" w:color="auto" w:sz="6" w:space="0"/>
            </w:tcBorders>
            <w:vAlign w:val="center"/>
          </w:tcPr>
          <w:p w14:paraId="04206451">
            <w:pPr>
              <w:spacing w:line="400" w:lineRule="exact"/>
              <w:jc w:val="left"/>
              <w:rPr>
                <w:rFonts w:hint="eastAsia" w:ascii="宋体" w:hAnsi="宋体" w:cs="宋体"/>
                <w:szCs w:val="21"/>
                <w:highlight w:val="none"/>
              </w:rPr>
            </w:pPr>
            <w:r>
              <w:rPr>
                <w:rFonts w:hint="eastAsia" w:ascii="宋体" w:hAnsi="宋体" w:cs="宋体"/>
                <w:szCs w:val="21"/>
                <w:highlight w:val="none"/>
              </w:rPr>
              <w:t>符合竞争性谈判文件合同履行期限的要求</w:t>
            </w:r>
          </w:p>
        </w:tc>
        <w:tc>
          <w:tcPr>
            <w:tcW w:w="1207" w:type="dxa"/>
            <w:tcBorders>
              <w:top w:val="single" w:color="auto" w:sz="6" w:space="0"/>
              <w:left w:val="single" w:color="auto" w:sz="6" w:space="0"/>
              <w:bottom w:val="single" w:color="auto" w:sz="6" w:space="0"/>
              <w:right w:val="single" w:color="auto" w:sz="4" w:space="0"/>
            </w:tcBorders>
            <w:vAlign w:val="center"/>
          </w:tcPr>
          <w:p w14:paraId="69B53A69">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20486A7F">
        <w:tblPrEx>
          <w:tblCellMar>
            <w:top w:w="0" w:type="dxa"/>
            <w:left w:w="108" w:type="dxa"/>
            <w:bottom w:w="0" w:type="dxa"/>
            <w:right w:w="108" w:type="dxa"/>
          </w:tblCellMar>
        </w:tblPrEx>
        <w:trPr>
          <w:trHeight w:val="397" w:hRule="atLeast"/>
          <w:jc w:val="center"/>
        </w:trPr>
        <w:tc>
          <w:tcPr>
            <w:tcW w:w="1072" w:type="dxa"/>
            <w:vMerge w:val="continue"/>
            <w:tcBorders>
              <w:left w:val="single" w:color="auto" w:sz="6" w:space="0"/>
              <w:right w:val="single" w:color="auto" w:sz="4" w:space="0"/>
            </w:tcBorders>
            <w:vAlign w:val="center"/>
          </w:tcPr>
          <w:p w14:paraId="4608669D">
            <w:pPr>
              <w:spacing w:line="400" w:lineRule="exact"/>
              <w:ind w:firstLine="482"/>
              <w:jc w:val="center"/>
              <w:rPr>
                <w:rFonts w:hint="eastAsia" w:ascii="宋体" w:hAnsi="宋体" w:cs="宋体"/>
                <w:szCs w:val="21"/>
                <w:highlight w:val="none"/>
              </w:rPr>
            </w:pPr>
          </w:p>
        </w:tc>
        <w:tc>
          <w:tcPr>
            <w:tcW w:w="6806" w:type="dxa"/>
            <w:tcBorders>
              <w:top w:val="single" w:color="auto" w:sz="6" w:space="0"/>
              <w:left w:val="single" w:color="auto" w:sz="4" w:space="0"/>
              <w:bottom w:val="single" w:color="auto" w:sz="6" w:space="0"/>
              <w:right w:val="single" w:color="auto" w:sz="6" w:space="0"/>
            </w:tcBorders>
            <w:vAlign w:val="center"/>
          </w:tcPr>
          <w:p w14:paraId="4B556416">
            <w:pPr>
              <w:spacing w:line="400" w:lineRule="exact"/>
              <w:jc w:val="left"/>
              <w:rPr>
                <w:rFonts w:hint="eastAsia" w:ascii="宋体" w:hAnsi="宋体" w:cs="宋体"/>
                <w:szCs w:val="21"/>
                <w:highlight w:val="none"/>
              </w:rPr>
            </w:pPr>
            <w:r>
              <w:rPr>
                <w:rFonts w:hint="eastAsia" w:ascii="宋体" w:hAnsi="宋体" w:cs="宋体"/>
                <w:szCs w:val="21"/>
                <w:highlight w:val="none"/>
              </w:rPr>
              <w:t>对竞争性谈判文件的实质性要求作出响应</w:t>
            </w:r>
          </w:p>
        </w:tc>
        <w:tc>
          <w:tcPr>
            <w:tcW w:w="1207" w:type="dxa"/>
            <w:tcBorders>
              <w:top w:val="single" w:color="auto" w:sz="6" w:space="0"/>
              <w:left w:val="single" w:color="auto" w:sz="6" w:space="0"/>
              <w:bottom w:val="single" w:color="auto" w:sz="6" w:space="0"/>
              <w:right w:val="single" w:color="auto" w:sz="4" w:space="0"/>
            </w:tcBorders>
            <w:vAlign w:val="center"/>
          </w:tcPr>
          <w:p w14:paraId="25ED6BAC">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5B9A77DA">
        <w:tblPrEx>
          <w:tblCellMar>
            <w:top w:w="0" w:type="dxa"/>
            <w:left w:w="108" w:type="dxa"/>
            <w:bottom w:w="0" w:type="dxa"/>
            <w:right w:w="108" w:type="dxa"/>
          </w:tblCellMar>
        </w:tblPrEx>
        <w:trPr>
          <w:trHeight w:val="397" w:hRule="atLeast"/>
          <w:jc w:val="center"/>
        </w:trPr>
        <w:tc>
          <w:tcPr>
            <w:tcW w:w="7878" w:type="dxa"/>
            <w:gridSpan w:val="2"/>
            <w:tcBorders>
              <w:top w:val="single" w:color="auto" w:sz="6" w:space="0"/>
              <w:left w:val="single" w:color="auto" w:sz="6" w:space="0"/>
              <w:bottom w:val="single" w:color="auto" w:sz="6" w:space="0"/>
              <w:right w:val="single" w:color="auto" w:sz="6" w:space="0"/>
            </w:tcBorders>
            <w:vAlign w:val="center"/>
          </w:tcPr>
          <w:p w14:paraId="152A48C8">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r>
              <w:rPr>
                <w:rFonts w:hint="eastAsia" w:ascii="宋体" w:hAnsi="宋体" w:cs="宋体"/>
                <w:szCs w:val="21"/>
                <w:highlight w:val="none"/>
              </w:rPr>
              <w:t>结论</w:t>
            </w:r>
          </w:p>
        </w:tc>
        <w:tc>
          <w:tcPr>
            <w:tcW w:w="1207" w:type="dxa"/>
            <w:tcBorders>
              <w:top w:val="single" w:color="auto" w:sz="6" w:space="0"/>
              <w:left w:val="single" w:color="auto" w:sz="6" w:space="0"/>
              <w:bottom w:val="single" w:color="auto" w:sz="6" w:space="0"/>
              <w:right w:val="single" w:color="auto" w:sz="4" w:space="0"/>
            </w:tcBorders>
            <w:vAlign w:val="center"/>
          </w:tcPr>
          <w:p w14:paraId="1236CE71">
            <w:pPr>
              <w:widowControl/>
              <w:autoSpaceDE w:val="0"/>
              <w:autoSpaceDN w:val="0"/>
              <w:spacing w:line="400" w:lineRule="exact"/>
              <w:ind w:left="525" w:right="-34" w:hanging="525" w:hangingChars="250"/>
              <w:jc w:val="center"/>
              <w:textAlignment w:val="bottom"/>
              <w:rPr>
                <w:rFonts w:hint="eastAsia" w:ascii="宋体" w:hAnsi="宋体" w:cs="宋体"/>
                <w:szCs w:val="21"/>
                <w:highlight w:val="none"/>
              </w:rPr>
            </w:pPr>
          </w:p>
        </w:tc>
      </w:tr>
      <w:tr w14:paraId="5BF13C69">
        <w:tblPrEx>
          <w:tblCellMar>
            <w:top w:w="0" w:type="dxa"/>
            <w:left w:w="108" w:type="dxa"/>
            <w:bottom w:w="0" w:type="dxa"/>
            <w:right w:w="108" w:type="dxa"/>
          </w:tblCellMar>
        </w:tblPrEx>
        <w:trPr>
          <w:trHeight w:val="397" w:hRule="atLeast"/>
          <w:jc w:val="center"/>
        </w:trPr>
        <w:tc>
          <w:tcPr>
            <w:tcW w:w="9085" w:type="dxa"/>
            <w:gridSpan w:val="3"/>
            <w:tcBorders>
              <w:top w:val="single" w:color="auto" w:sz="6" w:space="0"/>
              <w:left w:val="single" w:color="auto" w:sz="6" w:space="0"/>
              <w:bottom w:val="single" w:color="auto" w:sz="6" w:space="0"/>
              <w:right w:val="single" w:color="auto" w:sz="4" w:space="0"/>
            </w:tcBorders>
            <w:vAlign w:val="center"/>
          </w:tcPr>
          <w:p w14:paraId="4FF4C5E1">
            <w:pPr>
              <w:widowControl/>
              <w:autoSpaceDE w:val="0"/>
              <w:autoSpaceDN w:val="0"/>
              <w:spacing w:line="400" w:lineRule="exact"/>
              <w:ind w:left="525" w:right="-34" w:hanging="525" w:hangingChars="250"/>
              <w:jc w:val="left"/>
              <w:textAlignment w:val="bottom"/>
              <w:rPr>
                <w:rFonts w:hint="eastAsia" w:ascii="宋体" w:hAnsi="宋体" w:cs="宋体"/>
                <w:szCs w:val="21"/>
                <w:highlight w:val="none"/>
              </w:rPr>
            </w:pPr>
            <w:r>
              <w:rPr>
                <w:rFonts w:hint="eastAsia" w:ascii="宋体" w:hAnsi="宋体" w:cs="宋体"/>
                <w:szCs w:val="21"/>
                <w:highlight w:val="none"/>
              </w:rPr>
              <w:t>主任评委：</w:t>
            </w:r>
          </w:p>
          <w:p w14:paraId="7C5820DA">
            <w:pPr>
              <w:widowControl/>
              <w:autoSpaceDE w:val="0"/>
              <w:autoSpaceDN w:val="0"/>
              <w:spacing w:line="400" w:lineRule="exact"/>
              <w:ind w:left="525" w:right="-34" w:hanging="525" w:hangingChars="250"/>
              <w:jc w:val="left"/>
              <w:textAlignment w:val="bottom"/>
              <w:rPr>
                <w:rFonts w:hint="eastAsia" w:ascii="宋体" w:hAnsi="宋体" w:cs="宋体"/>
                <w:szCs w:val="21"/>
                <w:highlight w:val="none"/>
              </w:rPr>
            </w:pPr>
            <w:r>
              <w:rPr>
                <w:rFonts w:hint="eastAsia" w:ascii="宋体" w:hAnsi="宋体" w:cs="宋体"/>
                <w:szCs w:val="21"/>
                <w:highlight w:val="none"/>
              </w:rPr>
              <w:t>其他评委：</w:t>
            </w:r>
          </w:p>
        </w:tc>
      </w:tr>
    </w:tbl>
    <w:p w14:paraId="50A773AA">
      <w:pPr>
        <w:spacing w:line="400" w:lineRule="exact"/>
        <w:rPr>
          <w:rFonts w:hint="eastAsia" w:ascii="宋体" w:hAnsi="宋体" w:cs="宋体"/>
          <w:szCs w:val="21"/>
          <w:highlight w:val="none"/>
        </w:rPr>
      </w:pPr>
      <w:r>
        <w:rPr>
          <w:rFonts w:hint="eastAsia" w:ascii="宋体" w:hAnsi="宋体" w:cs="宋体"/>
          <w:szCs w:val="21"/>
          <w:highlight w:val="none"/>
        </w:rPr>
        <w:t>注：本表中符合评审内容要求的写“√”，不符合评审内容要求的写“×”。结论为“合格”或“不合格”。结论不合格的不进入到最后报价阶段。</w:t>
      </w:r>
    </w:p>
    <w:p w14:paraId="430D33B3">
      <w:pPr>
        <w:spacing w:line="400" w:lineRule="exact"/>
        <w:rPr>
          <w:rFonts w:hint="eastAsia" w:ascii="宋体" w:hAnsi="宋体" w:cs="宋体"/>
          <w:b/>
          <w:szCs w:val="21"/>
          <w:highlight w:val="none"/>
        </w:rPr>
      </w:pPr>
      <w:r>
        <w:rPr>
          <w:rFonts w:hint="eastAsia" w:ascii="宋体" w:hAnsi="宋体" w:cs="宋体"/>
          <w:b/>
          <w:szCs w:val="21"/>
          <w:highlight w:val="none"/>
        </w:rPr>
        <w:t>以上资格及符合性谈判中内容只要有一条不满足，则响应文件无效。</w:t>
      </w:r>
    </w:p>
    <w:p w14:paraId="6C8525ED">
      <w:pPr>
        <w:spacing w:line="400" w:lineRule="exact"/>
        <w:ind w:firstLine="426" w:firstLineChars="202"/>
        <w:rPr>
          <w:rFonts w:hint="eastAsia" w:ascii="宋体" w:hAnsi="宋体" w:cs="宋体"/>
          <w:b/>
          <w:szCs w:val="21"/>
          <w:highlight w:val="none"/>
        </w:rPr>
      </w:pPr>
      <w:r>
        <w:rPr>
          <w:rFonts w:hint="eastAsia" w:ascii="宋体" w:hAnsi="宋体" w:cs="宋体"/>
          <w:b/>
          <w:szCs w:val="21"/>
          <w:highlight w:val="none"/>
        </w:rPr>
        <w:t>1. 谈判委员会在初审中，对算术错误的修正原则如下：</w:t>
      </w:r>
    </w:p>
    <w:p w14:paraId="4B0CF560">
      <w:pPr>
        <w:spacing w:line="400" w:lineRule="exact"/>
        <w:ind w:firstLine="424" w:firstLineChars="202"/>
        <w:rPr>
          <w:rFonts w:hint="eastAsia" w:ascii="宋体" w:hAnsi="宋体" w:cs="宋体"/>
          <w:szCs w:val="21"/>
          <w:highlight w:val="none"/>
        </w:rPr>
      </w:pPr>
      <w:r>
        <w:rPr>
          <w:rFonts w:hint="eastAsia" w:ascii="宋体" w:hAnsi="宋体" w:cs="宋体"/>
          <w:szCs w:val="21"/>
          <w:highlight w:val="none"/>
        </w:rPr>
        <w:t>响应文件的大写金额和小写金额不一致的，以大写金额为准；总价金额与按单价汇总不一致的，以单价金额计算结果为准；单价金额小数点有明显错位的，应以总价为准，并修改单价；对不同文字文本的解释发生异议的，以中文文本为准。</w:t>
      </w:r>
    </w:p>
    <w:p w14:paraId="4B2E3C84">
      <w:pPr>
        <w:spacing w:line="400" w:lineRule="exact"/>
        <w:ind w:firstLine="426" w:firstLineChars="202"/>
        <w:rPr>
          <w:rFonts w:hint="eastAsia" w:ascii="宋体" w:hAnsi="宋体" w:cs="宋体"/>
          <w:szCs w:val="21"/>
          <w:highlight w:val="none"/>
        </w:rPr>
      </w:pPr>
      <w:r>
        <w:rPr>
          <w:rFonts w:hint="eastAsia" w:ascii="宋体" w:hAnsi="宋体" w:cs="宋体"/>
          <w:b/>
          <w:szCs w:val="21"/>
          <w:highlight w:val="none"/>
        </w:rPr>
        <w:t>2.对通过资格及符合性审查的供应商进行谈判</w:t>
      </w:r>
    </w:p>
    <w:p w14:paraId="47D46939">
      <w:pPr>
        <w:spacing w:line="400" w:lineRule="exact"/>
        <w:ind w:firstLine="424" w:firstLineChars="202"/>
        <w:rPr>
          <w:rFonts w:hint="eastAsia" w:ascii="宋体" w:hAnsi="宋体" w:cs="宋体"/>
          <w:szCs w:val="21"/>
          <w:highlight w:val="none"/>
        </w:rPr>
      </w:pPr>
      <w:r>
        <w:rPr>
          <w:rFonts w:hint="eastAsia" w:ascii="宋体" w:hAnsi="宋体" w:cs="宋体"/>
          <w:szCs w:val="21"/>
          <w:highlight w:val="none"/>
        </w:rPr>
        <w:t>1. 谈判委员会将按照公开、公平、公正的原则对待所有参与谈判单位。具体工作流程：</w:t>
      </w:r>
    </w:p>
    <w:p w14:paraId="3AD57E4F">
      <w:pPr>
        <w:spacing w:line="400" w:lineRule="exact"/>
        <w:ind w:firstLine="424" w:firstLineChars="202"/>
        <w:rPr>
          <w:rFonts w:hint="eastAsia" w:ascii="宋体" w:hAnsi="宋体" w:cs="宋体"/>
          <w:szCs w:val="21"/>
          <w:highlight w:val="none"/>
        </w:rPr>
      </w:pPr>
      <w:r>
        <w:rPr>
          <w:rFonts w:hint="eastAsia" w:ascii="宋体" w:hAnsi="宋体" w:cs="宋体"/>
          <w:szCs w:val="21"/>
          <w:highlight w:val="none"/>
        </w:rPr>
        <w:t>谈判小组讨论、通过谈判工作流程和要点。</w:t>
      </w:r>
    </w:p>
    <w:p w14:paraId="2B5B64EF">
      <w:pPr>
        <w:spacing w:line="400" w:lineRule="exact"/>
        <w:ind w:firstLine="424" w:firstLineChars="202"/>
        <w:rPr>
          <w:rFonts w:hint="eastAsia" w:ascii="宋体" w:hAnsi="宋体" w:cs="宋体"/>
          <w:szCs w:val="21"/>
          <w:highlight w:val="none"/>
        </w:rPr>
      </w:pPr>
      <w:r>
        <w:rPr>
          <w:rFonts w:hint="eastAsia" w:ascii="宋体" w:hAnsi="宋体" w:cs="宋体"/>
          <w:szCs w:val="21"/>
          <w:highlight w:val="none"/>
        </w:rPr>
        <w:t>谈判小组审阅参与谈判的供应商的响应文件。</w:t>
      </w:r>
    </w:p>
    <w:p w14:paraId="6C3BDC32">
      <w:pPr>
        <w:spacing w:line="400" w:lineRule="exact"/>
        <w:ind w:firstLine="424" w:firstLineChars="202"/>
        <w:rPr>
          <w:rFonts w:hint="eastAsia" w:ascii="宋体" w:hAnsi="宋体" w:cs="宋体"/>
          <w:szCs w:val="21"/>
          <w:highlight w:val="none"/>
        </w:rPr>
      </w:pPr>
      <w:r>
        <w:rPr>
          <w:rFonts w:hint="eastAsia" w:ascii="宋体" w:hAnsi="宋体" w:cs="宋体"/>
          <w:szCs w:val="21"/>
          <w:highlight w:val="none"/>
        </w:rPr>
        <w:t>围绕谈判要点，谈判小组全体成员集中与各有效谈判单位分别进行谈判。谈判文件有实质性变动的，谈判小组将以书面形式通知所有参加的谈判单位。</w:t>
      </w:r>
    </w:p>
    <w:p w14:paraId="4F7B4CEB">
      <w:pPr>
        <w:spacing w:line="400" w:lineRule="exact"/>
        <w:ind w:firstLine="426" w:firstLineChars="202"/>
        <w:rPr>
          <w:rFonts w:hint="eastAsia" w:ascii="宋体" w:hAnsi="宋体" w:cs="宋体"/>
          <w:b/>
          <w:szCs w:val="21"/>
          <w:highlight w:val="none"/>
          <w:u w:val="single"/>
        </w:rPr>
      </w:pPr>
      <w:r>
        <w:rPr>
          <w:rFonts w:hint="eastAsia" w:ascii="宋体" w:hAnsi="宋体" w:cs="宋体"/>
          <w:b/>
          <w:szCs w:val="21"/>
          <w:highlight w:val="none"/>
          <w:u w:val="single"/>
        </w:rPr>
        <w:t>谈判结束后，谈判小组将要求所有供应商在规定时间内确定并提交</w:t>
      </w:r>
      <w:r>
        <w:rPr>
          <w:rFonts w:hint="eastAsia" w:ascii="宋体" w:hAnsi="宋体" w:cs="宋体"/>
          <w:b/>
          <w:bCs/>
          <w:szCs w:val="21"/>
          <w:highlight w:val="none"/>
          <w:u w:val="single"/>
        </w:rPr>
        <w:t>最终报价</w:t>
      </w:r>
      <w:r>
        <w:rPr>
          <w:rFonts w:hint="eastAsia" w:ascii="宋体" w:hAnsi="宋体" w:cs="宋体"/>
          <w:b/>
          <w:szCs w:val="21"/>
          <w:highlight w:val="none"/>
          <w:u w:val="single"/>
        </w:rPr>
        <w:t>。</w:t>
      </w:r>
    </w:p>
    <w:p w14:paraId="4842BCCC">
      <w:pPr>
        <w:spacing w:line="400" w:lineRule="exact"/>
        <w:jc w:val="left"/>
        <w:rPr>
          <w:rFonts w:hint="eastAsia" w:ascii="宋体" w:hAnsi="宋体" w:cs="宋体"/>
          <w:szCs w:val="21"/>
          <w:highlight w:val="none"/>
        </w:rPr>
      </w:pPr>
      <w:r>
        <w:rPr>
          <w:rFonts w:hint="eastAsia" w:ascii="宋体" w:hAnsi="宋体" w:cs="宋体"/>
          <w:szCs w:val="21"/>
          <w:highlight w:val="none"/>
        </w:rPr>
        <w:t>在谈判过程中，采购需求不变，供应商响应服务不调整的情况下，供应商的最终报价不得超过首次报价及采购预算。</w:t>
      </w:r>
    </w:p>
    <w:p w14:paraId="4351A764">
      <w:pPr>
        <w:spacing w:line="400" w:lineRule="exact"/>
        <w:ind w:firstLine="426" w:firstLineChars="202"/>
        <w:rPr>
          <w:rFonts w:hint="eastAsia" w:ascii="宋体" w:hAnsi="宋体" w:cs="宋体"/>
          <w:b/>
          <w:szCs w:val="21"/>
          <w:highlight w:val="none"/>
        </w:rPr>
      </w:pPr>
      <w:r>
        <w:rPr>
          <w:rFonts w:hint="eastAsia" w:ascii="宋体" w:hAnsi="宋体" w:cs="宋体"/>
          <w:b/>
          <w:szCs w:val="21"/>
          <w:highlight w:val="none"/>
        </w:rPr>
        <w:t>3. 根据各单位按照最终报价由低到高的顺序排序，并确定排名第一名的为成交单位。谈判小组完成评标后，应当向采购人提交书面谈判报告。</w:t>
      </w:r>
    </w:p>
    <w:p w14:paraId="2E8F7388">
      <w:pPr>
        <w:rPr>
          <w:rFonts w:hint="eastAsia" w:ascii="宋体" w:hAnsi="宋体" w:cs="宋体"/>
          <w:szCs w:val="21"/>
          <w:highlight w:val="none"/>
        </w:rPr>
      </w:pPr>
      <w:r>
        <w:rPr>
          <w:rFonts w:hint="eastAsia" w:ascii="宋体" w:hAnsi="宋体" w:cs="宋体"/>
          <w:szCs w:val="21"/>
          <w:highlight w:val="none"/>
        </w:rPr>
        <w:br w:type="page"/>
      </w:r>
    </w:p>
    <w:p w14:paraId="504FF7D4">
      <w:pPr>
        <w:widowControl/>
        <w:spacing w:after="150"/>
        <w:jc w:val="center"/>
        <w:rPr>
          <w:rFonts w:hint="eastAsia" w:ascii="宋体" w:hAnsi="宋体" w:cs="宋体"/>
          <w:b/>
          <w:bCs/>
          <w:szCs w:val="21"/>
          <w:highlight w:val="none"/>
        </w:rPr>
      </w:pPr>
      <w:r>
        <w:rPr>
          <w:rFonts w:hint="eastAsia" w:ascii="宋体" w:hAnsi="宋体" w:cs="宋体"/>
          <w:b/>
          <w:bCs/>
          <w:szCs w:val="21"/>
          <w:highlight w:val="none"/>
        </w:rPr>
        <w:t>附件：关于印发《政府采购促进中小企业发展管理办法》的通知</w:t>
      </w:r>
    </w:p>
    <w:p w14:paraId="26E36E89">
      <w:pPr>
        <w:widowControl/>
        <w:spacing w:after="150"/>
        <w:jc w:val="center"/>
        <w:rPr>
          <w:rFonts w:hint="eastAsia" w:ascii="宋体" w:hAnsi="宋体" w:cs="宋体"/>
          <w:b/>
          <w:bCs/>
          <w:szCs w:val="21"/>
          <w:highlight w:val="none"/>
        </w:rPr>
      </w:pPr>
      <w:r>
        <w:rPr>
          <w:rFonts w:hint="eastAsia" w:ascii="宋体" w:hAnsi="宋体" w:cs="宋体"/>
          <w:b/>
          <w:bCs/>
          <w:szCs w:val="21"/>
          <w:highlight w:val="none"/>
        </w:rPr>
        <w:t>财库〔2020〕46号</w:t>
      </w:r>
    </w:p>
    <w:p w14:paraId="7E145488">
      <w:pPr>
        <w:widowControl/>
        <w:spacing w:after="150"/>
        <w:jc w:val="left"/>
        <w:rPr>
          <w:rFonts w:hint="eastAsia" w:ascii="宋体" w:hAnsi="宋体" w:cs="宋体"/>
          <w:szCs w:val="21"/>
          <w:highlight w:val="none"/>
        </w:rPr>
      </w:pPr>
      <w:r>
        <w:rPr>
          <w:rFonts w:hint="eastAsia" w:ascii="宋体" w:hAnsi="宋体" w:cs="宋体"/>
          <w:szCs w:val="21"/>
          <w:highlight w:val="none"/>
        </w:rPr>
        <w:t>各中央预算单位办公厅（室），各省、自治区、直辖市、计划单列市财政厅（局）、工业和信息化主管部门，新疆生产建设兵团财政局、工业和信息化主管部门：</w:t>
      </w:r>
    </w:p>
    <w:p w14:paraId="6CFBF2A5">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18988CEB">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附件：政府采购促进中小企业发展管理办法</w:t>
      </w:r>
    </w:p>
    <w:p w14:paraId="2F62D948">
      <w:pPr>
        <w:widowControl/>
        <w:spacing w:after="150"/>
        <w:ind w:firstLine="560"/>
        <w:jc w:val="right"/>
        <w:rPr>
          <w:rFonts w:hint="eastAsia" w:ascii="宋体" w:hAnsi="宋体" w:cs="宋体"/>
          <w:szCs w:val="21"/>
          <w:highlight w:val="none"/>
        </w:rPr>
      </w:pPr>
      <w:r>
        <w:rPr>
          <w:rFonts w:hint="eastAsia" w:ascii="宋体" w:hAnsi="宋体" w:cs="宋体"/>
          <w:szCs w:val="21"/>
          <w:highlight w:val="none"/>
        </w:rPr>
        <w:t>财 政  部</w:t>
      </w:r>
    </w:p>
    <w:p w14:paraId="7E3664B0">
      <w:pPr>
        <w:widowControl/>
        <w:spacing w:after="150"/>
        <w:ind w:firstLine="560"/>
        <w:jc w:val="right"/>
        <w:rPr>
          <w:rFonts w:hint="eastAsia" w:ascii="宋体" w:hAnsi="宋体" w:cs="宋体"/>
          <w:szCs w:val="21"/>
          <w:highlight w:val="none"/>
        </w:rPr>
      </w:pPr>
      <w:r>
        <w:rPr>
          <w:rFonts w:hint="eastAsia" w:ascii="宋体" w:hAnsi="宋体" w:cs="宋体"/>
          <w:szCs w:val="21"/>
          <w:highlight w:val="none"/>
        </w:rPr>
        <w:t>工业和信息化部</w:t>
      </w:r>
    </w:p>
    <w:p w14:paraId="07C1A35C">
      <w:pPr>
        <w:widowControl/>
        <w:spacing w:after="150"/>
        <w:ind w:firstLine="560"/>
        <w:jc w:val="right"/>
        <w:rPr>
          <w:rFonts w:hint="eastAsia" w:ascii="宋体" w:hAnsi="宋体" w:cs="宋体"/>
          <w:szCs w:val="21"/>
          <w:highlight w:val="none"/>
        </w:rPr>
      </w:pPr>
      <w:r>
        <w:rPr>
          <w:rFonts w:hint="eastAsia" w:ascii="宋体" w:hAnsi="宋体" w:cs="宋体"/>
          <w:szCs w:val="21"/>
          <w:highlight w:val="none"/>
        </w:rPr>
        <w:t>2020年12月18日</w:t>
      </w:r>
    </w:p>
    <w:p w14:paraId="2AA4B7CC">
      <w:pPr>
        <w:widowControl/>
        <w:spacing w:after="150"/>
        <w:ind w:firstLine="560"/>
        <w:jc w:val="center"/>
        <w:rPr>
          <w:rFonts w:hint="eastAsia" w:ascii="宋体" w:hAnsi="宋体" w:cs="宋体"/>
          <w:szCs w:val="21"/>
          <w:highlight w:val="none"/>
        </w:rPr>
      </w:pPr>
      <w:r>
        <w:rPr>
          <w:rFonts w:hint="eastAsia" w:ascii="宋体" w:hAnsi="宋体" w:cs="宋体"/>
          <w:szCs w:val="21"/>
          <w:highlight w:val="none"/>
        </w:rPr>
        <w:t>政府采购促进中小企业发展管理办法</w:t>
      </w:r>
    </w:p>
    <w:p w14:paraId="0C2BC981">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第一条 为了发挥政府采购的政策功能，促进中小企业健康发展，根据《中华人民共和国政府采购法》、《中华人民共和国中小企业促进法》等有关法律法规，制定本办法。</w:t>
      </w:r>
    </w:p>
    <w:p w14:paraId="06DE1CC7">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1202B9A4">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符合中小企业划分标准的个体工商户，在政府采购活动中视同中小企业。</w:t>
      </w:r>
    </w:p>
    <w:p w14:paraId="0D9876AA">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第三条 采购人在政府采购活动中应当通过加强采购需求管理，落实预留采购份额、价格评审优惠、优先采购等措施，提高中小企业在政府采购中的份额，支持中小企业发展。</w:t>
      </w:r>
    </w:p>
    <w:p w14:paraId="2D0D0012">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第四条 在政府采购活动中，供应商提供的货物、工程或者服务符合下列情形的，享受本办法规定的中小企业扶持政策：</w:t>
      </w:r>
    </w:p>
    <w:p w14:paraId="66C881BC">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（一）在货物采购项目中，货物由中小企业制造，即货物由中小企业生产且使用该中小企业商号或者注册商标；</w:t>
      </w:r>
    </w:p>
    <w:p w14:paraId="35260946">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（二）在工程采购项目中，工程由中小企业承建，即工程施工单位为中小企业；</w:t>
      </w:r>
    </w:p>
    <w:p w14:paraId="0F3EA590">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（三）在服务采购项目中，服务由中小企业承接，即提供服务的人员为中小企业依照《中华人民共和国劳动合同法》订立劳动合同的从业人员。</w:t>
      </w:r>
    </w:p>
    <w:p w14:paraId="716244B3">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在货物采购项目中，供应商提供的货物既有中小企业制造货物，也有大型企业制造货物的，不享受本办法规定的中小企业扶持政策。</w:t>
      </w:r>
    </w:p>
    <w:p w14:paraId="61F27A7D">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以联合体形式参加政府采购活动，联合体各方均为中小企业的，联合体视同中小企业。其中，联合体各方均为小微企业的，联合体视同小微企业。</w:t>
      </w:r>
    </w:p>
    <w:p w14:paraId="2E520A2B">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1C5CD7A9">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0CA1F2D">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符合下列情形之一的，可不专门面向中小企业预留采购份额：</w:t>
      </w:r>
    </w:p>
    <w:p w14:paraId="551ABE57">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（一）法律法规和国家有关政策明确规定优先或者应当面向事业单位、社会组织等非企业主体采购的；</w:t>
      </w:r>
    </w:p>
    <w:p w14:paraId="7E04E3E5">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（二）因确需使用不可替代的专利、专有技术，基础设施限制，或者提供特定公共服务等原因，只能从中小企业之外的供应商处采购的；</w:t>
      </w:r>
    </w:p>
    <w:p w14:paraId="1CA7D5A9">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（三）按照本办法规定预留采购份额无法确保充分供应、充分竞争，或者存在可能影响政府采购目标实现的情形；</w:t>
      </w:r>
    </w:p>
    <w:p w14:paraId="6DBC6578">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（四）框架协议采购项目；</w:t>
      </w:r>
    </w:p>
    <w:p w14:paraId="6F8DABD2">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（五）省级以上人民政府财政部门规定的其他情形。</w:t>
      </w:r>
    </w:p>
    <w:p w14:paraId="2905819D">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除上述情形外，其他均为适宜由中小企业提供的情形。</w:t>
      </w:r>
    </w:p>
    <w:p w14:paraId="534A3448">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第七条 采购限额标准以上，200万元以下的货物和服务采购项目、400万元以下的工程采购项目，适宜由中小企业提供的，采购人应当专门面向中小企业采购。</w:t>
      </w:r>
    </w:p>
    <w:p w14:paraId="60C49C99">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1B88FBE">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（一）将采购项目整体或者设置采购包专门面向中小企业采购；</w:t>
      </w:r>
    </w:p>
    <w:p w14:paraId="506F5705">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（二）要求供应商以联合体形式参加采购活动，且联合体中中小企业承担的部分达到一定比例；</w:t>
      </w:r>
    </w:p>
    <w:p w14:paraId="5A6A4357">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（三）要求获得采购合同的供应商将采购项目中的一定比例分包给一家或者多家中小企业。</w:t>
      </w:r>
    </w:p>
    <w:p w14:paraId="39A6495B">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组成联合体或者接受分包合同的中小企业与联合体内其他企业、分包企业之间不得存在直接控股、管理关系。</w:t>
      </w:r>
    </w:p>
    <w:p w14:paraId="3B58FF5A">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第九条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048EA9F">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685DC82D">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0D54E32">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4225CAED">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3EE6BC31">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第十二条 采购项目涉及中小企业采购的，采购文件应当明确以下内容：</w:t>
      </w:r>
    </w:p>
    <w:p w14:paraId="34CE7254">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（一）预留份额的采购项目或者采购包，明确该项目或相关采购包专门面向中小企业采购，以及相关标的及预算金额；</w:t>
      </w:r>
    </w:p>
    <w:p w14:paraId="6F04C1C7">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（二）要求以联合体形式参加或者合同分包的，明确联合协议或者分包意向协议中中小企业合同金额应当达到的比例，并作为供应商资格条件；</w:t>
      </w:r>
    </w:p>
    <w:p w14:paraId="248AD127">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（三）非预留份额的采购项目或者采购包，明确有关价格扣除比例或者价格分加分比例；</w:t>
      </w:r>
    </w:p>
    <w:p w14:paraId="7C868155">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（四）规定依据本办法规定享受扶持政策获得政府采购合同的，小微企业不得将合同分包给大中型企业，中型企业不得将合同分包给大型企业；</w:t>
      </w:r>
    </w:p>
    <w:p w14:paraId="4F1C949C">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（五）采购人认为具备相关条件的，明确对中小企业在资金支付期限、预付款比例等方面的优惠措施；</w:t>
      </w:r>
    </w:p>
    <w:p w14:paraId="167E12E5">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（六）明确采购标的对应的中小企业划分标准所属行业；</w:t>
      </w:r>
    </w:p>
    <w:p w14:paraId="7DA79615">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（七）法律法规和省级以上人民政府财政部门规定的其他事项。</w:t>
      </w:r>
    </w:p>
    <w:p w14:paraId="21359AFE">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第十三条 中标、成交供应商享受本办法规定的中小企业扶持政策的，采购人、采购代理机构应当随中标、成交结果公开中标、成交供应商的《中小企业声明函》。</w:t>
      </w:r>
    </w:p>
    <w:p w14:paraId="2087C363">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适用招标投标法的政府采购工程建设项目，应当在公示中标候选人时公开中标候选人的《中小企业声明函》。</w:t>
      </w:r>
    </w:p>
    <w:p w14:paraId="135F80E3">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1E048B9">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第十五条 鼓励各地区、各部门在采购活动中允许中小企业引入信用担保手段，为中小企业在投标（响应）保证、履约保证等方面提供专业化服务。鼓励中小企业依法合规通过政府采购合同融资。</w:t>
      </w:r>
    </w:p>
    <w:p w14:paraId="2452CD41">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第十六条 政府采购监督检查、投诉处理及政府采购行政处罚中对中小企业的认定，由货物制造商或者工程、服务供应商注册登记所在地的县级以上人民政府中小企业主管部门负责。</w:t>
      </w:r>
    </w:p>
    <w:p w14:paraId="17990D9C">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中小企业主管部门应当在收到财政部门或者有关招标投标行政监督部门关于协助开展中小企业认定函后10个工作日内做出书面答复。</w:t>
      </w:r>
    </w:p>
    <w:p w14:paraId="65ABC8BA">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第十七条 各地区、各部门应当对涉及中小企业采购的预算项目实施全过程绩效管理，合理设置绩效目标和指标，落实扶持中小企业有关政策要求，定期开展绩效监控和评价，强化绩效评价结果应用。</w:t>
      </w:r>
    </w:p>
    <w:p w14:paraId="0A40641C">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634D4629">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6897162">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第二十条 供应商按照本办法规定提供声明函内容不实的，属于提供虚假材料谋取中标、成交，依照《中华人民共和国政府采购法》等国家有关规定追究相应责任。</w:t>
      </w:r>
    </w:p>
    <w:p w14:paraId="01CF71F4">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适用招标投标法的政府采购工程建设项目，投标人按照本办法规定提供声明函内容不实的，属于弄虚作假骗取中标，依照《中华人民共和国招标投标法》等国家有关规定追究相应责任。</w:t>
      </w:r>
    </w:p>
    <w:p w14:paraId="0E535DB5">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2F3EA7D9">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第二十二条 对外援助项目、国家相关资格或者资质管理制度另有规定的项目，不适用本办法。</w:t>
      </w:r>
    </w:p>
    <w:p w14:paraId="11B9F811">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第二十三条 关于视同中小企业的其他主体的政府采购扶持政策，由财政部会同有关部门另行规定。</w:t>
      </w:r>
    </w:p>
    <w:p w14:paraId="266E5B8D">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第二十四条 省级财政部门可以会同中小企业主管部门根据本办法的规定制定具体实施办法。</w:t>
      </w:r>
    </w:p>
    <w:p w14:paraId="72BAEC9D">
      <w:pPr>
        <w:widowControl/>
        <w:spacing w:after="150"/>
        <w:ind w:firstLine="560"/>
        <w:jc w:val="left"/>
        <w:rPr>
          <w:rFonts w:hint="eastAsia" w:ascii="宋体" w:hAnsi="宋体" w:cs="宋体"/>
          <w:szCs w:val="21"/>
          <w:highlight w:val="none"/>
        </w:rPr>
      </w:pPr>
      <w:r>
        <w:rPr>
          <w:rFonts w:hint="eastAsia" w:ascii="宋体" w:hAnsi="宋体" w:cs="宋体"/>
          <w:szCs w:val="21"/>
          <w:highlight w:val="none"/>
        </w:rPr>
        <w:t>第二十五条 本办法自2021年1月1日起施行。《财政部 工业和信息化部关于印发〈政府采购促进中小企业发展暂行办法〉的通知》（财库﹝2011﹞181号）同时废止。</w:t>
      </w:r>
    </w:p>
    <w:p w14:paraId="08142C50">
      <w:pPr>
        <w:widowControl/>
        <w:spacing w:line="340" w:lineRule="exact"/>
        <w:ind w:firstLine="420" w:firstLineChars="200"/>
        <w:jc w:val="left"/>
        <w:rPr>
          <w:rFonts w:hint="eastAsia" w:ascii="宋体" w:hAnsi="宋体" w:cs="宋体"/>
          <w:bCs/>
          <w:szCs w:val="21"/>
          <w:highlight w:val="none"/>
          <w:lang w:val="zh-CN"/>
        </w:rPr>
      </w:pPr>
    </w:p>
    <w:p w14:paraId="08F4B47C">
      <w:pPr>
        <w:widowControl/>
        <w:spacing w:line="340" w:lineRule="exact"/>
        <w:ind w:firstLine="420" w:firstLineChars="200"/>
        <w:jc w:val="left"/>
        <w:rPr>
          <w:rFonts w:hint="eastAsia" w:ascii="宋体" w:hAnsi="宋体" w:cs="宋体"/>
          <w:bCs/>
          <w:szCs w:val="21"/>
          <w:highlight w:val="none"/>
          <w:lang w:val="zh-CN"/>
        </w:rPr>
      </w:pPr>
    </w:p>
    <w:p w14:paraId="2EBCAE19">
      <w:pPr>
        <w:pStyle w:val="54"/>
        <w:spacing w:before="0" w:beforeAutospacing="0" w:after="0" w:afterAutospacing="0" w:line="480" w:lineRule="atLeast"/>
        <w:jc w:val="center"/>
        <w:rPr>
          <w:sz w:val="21"/>
          <w:szCs w:val="21"/>
          <w:highlight w:val="none"/>
        </w:rPr>
      </w:pPr>
      <w:r>
        <w:rPr>
          <w:rFonts w:ascii="Arial" w:hAnsi="Arial" w:eastAsia="黑体"/>
          <w:bCs/>
          <w:sz w:val="28"/>
          <w:szCs w:val="28"/>
          <w:highlight w:val="none"/>
        </w:rPr>
        <w:br w:type="page"/>
      </w:r>
      <w:r>
        <w:rPr>
          <w:rStyle w:val="63"/>
          <w:rFonts w:hint="default"/>
          <w:sz w:val="21"/>
          <w:szCs w:val="21"/>
          <w:highlight w:val="none"/>
          <w:shd w:val="clear" w:color="auto" w:fill="FFFFFF"/>
        </w:rPr>
        <w:t>财政部关于进一步加大政府采购支持中小企业力度的通知</w:t>
      </w:r>
      <w:r>
        <w:rPr>
          <w:rStyle w:val="63"/>
          <w:rFonts w:hint="default"/>
          <w:sz w:val="21"/>
          <w:szCs w:val="21"/>
          <w:highlight w:val="none"/>
          <w:shd w:val="clear" w:color="auto" w:fill="FFFFFF"/>
        </w:rPr>
        <w:br w:type="textWrapping"/>
      </w:r>
      <w:r>
        <w:rPr>
          <w:rStyle w:val="63"/>
          <w:rFonts w:hint="default"/>
          <w:sz w:val="21"/>
          <w:szCs w:val="21"/>
          <w:highlight w:val="none"/>
          <w:shd w:val="clear" w:color="auto" w:fill="FFFFFF"/>
        </w:rPr>
        <w:t>财库〔2022〕19号</w:t>
      </w:r>
    </w:p>
    <w:p w14:paraId="176FBFA3">
      <w:pPr>
        <w:spacing w:line="360" w:lineRule="auto"/>
        <w:rPr>
          <w:rFonts w:hint="eastAsia" w:ascii="宋体" w:hAnsi="宋体" w:cs="宋体"/>
          <w:szCs w:val="21"/>
          <w:highlight w:val="none"/>
        </w:rPr>
      </w:pPr>
      <w:r>
        <w:rPr>
          <w:rFonts w:hint="eastAsia" w:ascii="宋体" w:hAnsi="宋体" w:cs="宋体"/>
          <w:bCs/>
          <w:szCs w:val="21"/>
          <w:highlight w:val="none"/>
        </w:rPr>
        <w:t>各中央预算单位，各省、自治区、直辖市、计划单列市财政厅（局），新疆生产建设兵团财政局：</w:t>
      </w:r>
      <w:r>
        <w:rPr>
          <w:rFonts w:hint="eastAsia" w:ascii="宋体" w:hAnsi="宋体" w:cs="宋体"/>
          <w:bCs/>
          <w:szCs w:val="21"/>
          <w:highlight w:val="none"/>
        </w:rPr>
        <w:br w:type="textWrapping"/>
      </w:r>
      <w:r>
        <w:rPr>
          <w:rFonts w:hint="eastAsia" w:ascii="宋体" w:hAnsi="宋体" w:cs="宋体"/>
          <w:bCs/>
          <w:szCs w:val="21"/>
          <w:highlight w:val="none"/>
        </w:rPr>
        <w:t xml:space="preserve">    为贯彻落实《</w:t>
      </w:r>
      <w:r>
        <w:rPr>
          <w:highlight w:val="none"/>
        </w:rPr>
        <w:fldChar w:fldCharType="begin"/>
      </w:r>
      <w:r>
        <w:rPr>
          <w:highlight w:val="none"/>
        </w:rPr>
        <w:instrText xml:space="preserve"> HYPERLINK "https://www.waizi.org.cn/doc/132590.html" \t "https://www.waizi.org.cn/doc/_blank" \o "国发〔2022〕12号《国务院关于印发扎实稳住经济一揽子政策措施的通知》" </w:instrText>
      </w:r>
      <w:r>
        <w:rPr>
          <w:highlight w:val="none"/>
        </w:rPr>
        <w:fldChar w:fldCharType="separate"/>
      </w:r>
      <w:r>
        <w:rPr>
          <w:rFonts w:hint="eastAsia" w:ascii="宋体" w:hAnsi="宋体" w:cs="宋体"/>
          <w:bCs/>
          <w:szCs w:val="21"/>
          <w:highlight w:val="none"/>
        </w:rPr>
        <w:t>国务院关于印发扎实稳住经济一揽子政策措施的通知</w:t>
      </w:r>
      <w:r>
        <w:rPr>
          <w:rFonts w:hint="eastAsia" w:ascii="宋体" w:hAnsi="宋体" w:cs="宋体"/>
          <w:bCs/>
          <w:szCs w:val="21"/>
          <w:highlight w:val="none"/>
        </w:rPr>
        <w:fldChar w:fldCharType="end"/>
      </w:r>
      <w:r>
        <w:rPr>
          <w:rFonts w:hint="eastAsia" w:ascii="宋体" w:hAnsi="宋体" w:cs="宋体"/>
          <w:bCs/>
          <w:szCs w:val="21"/>
          <w:highlight w:val="none"/>
        </w:rPr>
        <w:t>》（</w:t>
      </w:r>
      <w:r>
        <w:rPr>
          <w:highlight w:val="none"/>
        </w:rPr>
        <w:fldChar w:fldCharType="begin"/>
      </w:r>
      <w:r>
        <w:rPr>
          <w:highlight w:val="none"/>
        </w:rPr>
        <w:instrText xml:space="preserve"> HYPERLINK "https://www.waizi.org.cn/doc/132590.html" \t "https://www.waizi.org.cn/doc/_blank" \o "国发〔2022〕12号《国务院关于印发扎实稳住经济一揽子政策措施的通知》" </w:instrText>
      </w:r>
      <w:r>
        <w:rPr>
          <w:highlight w:val="none"/>
        </w:rPr>
        <w:fldChar w:fldCharType="separate"/>
      </w:r>
      <w:r>
        <w:rPr>
          <w:rFonts w:hint="eastAsia" w:ascii="宋体" w:hAnsi="宋体" w:cs="宋体"/>
          <w:bCs/>
          <w:szCs w:val="21"/>
          <w:highlight w:val="none"/>
        </w:rPr>
        <w:t>国发〔2022〕12号</w:t>
      </w:r>
      <w:r>
        <w:rPr>
          <w:rFonts w:hint="eastAsia" w:ascii="宋体" w:hAnsi="宋体" w:cs="宋体"/>
          <w:bCs/>
          <w:szCs w:val="21"/>
          <w:highlight w:val="none"/>
        </w:rPr>
        <w:fldChar w:fldCharType="end"/>
      </w:r>
      <w:r>
        <w:rPr>
          <w:rFonts w:hint="eastAsia" w:ascii="宋体" w:hAnsi="宋体" w:cs="宋体"/>
          <w:bCs/>
          <w:szCs w:val="21"/>
          <w:highlight w:val="none"/>
        </w:rPr>
        <w:t>）有关要求，做好财政政策支持中小企业纾困解难工作，助力经济平稳健康发展，现就加大政府采购支持中小企业力度有关事项通知如下：</w:t>
      </w:r>
      <w:r>
        <w:rPr>
          <w:rFonts w:hint="eastAsia" w:ascii="宋体" w:hAnsi="宋体" w:cs="宋体"/>
          <w:bCs/>
          <w:szCs w:val="21"/>
          <w:highlight w:val="none"/>
        </w:rPr>
        <w:br w:type="textWrapping"/>
      </w:r>
      <w:r>
        <w:rPr>
          <w:rFonts w:hint="eastAsia" w:ascii="宋体" w:hAnsi="宋体" w:cs="宋体"/>
          <w:bCs/>
          <w:szCs w:val="21"/>
          <w:highlight w:val="none"/>
        </w:rPr>
        <w:t>一、严格落实支持中小企业政府采购政策。各地区、各部门要按照国务院的统一部署，认真落实《</w:t>
      </w:r>
      <w:r>
        <w:rPr>
          <w:highlight w:val="none"/>
        </w:rPr>
        <w:fldChar w:fldCharType="begin"/>
      </w:r>
      <w:r>
        <w:rPr>
          <w:highlight w:val="none"/>
        </w:rPr>
        <w:instrText xml:space="preserve"> HYPERLINK "https://www.waizi.org.cn/doc/97301.html" \t "https://www.waizi.org.cn/doc/_blank" \o "财库〔2020〕46号《财政部工业和信息化部关于印发〈政府采购促进中小企业发展管理办法〉的通知》" </w:instrText>
      </w:r>
      <w:r>
        <w:rPr>
          <w:highlight w:val="none"/>
        </w:rPr>
        <w:fldChar w:fldCharType="separate"/>
      </w:r>
      <w:r>
        <w:rPr>
          <w:rFonts w:hint="eastAsia" w:ascii="宋体" w:hAnsi="宋体" w:cs="宋体"/>
          <w:bCs/>
          <w:szCs w:val="21"/>
          <w:highlight w:val="none"/>
        </w:rPr>
        <w:t>政府采购促进中小企业发展管理办法</w:t>
      </w:r>
      <w:r>
        <w:rPr>
          <w:rFonts w:hint="eastAsia" w:ascii="宋体" w:hAnsi="宋体" w:cs="宋体"/>
          <w:bCs/>
          <w:szCs w:val="21"/>
          <w:highlight w:val="none"/>
        </w:rPr>
        <w:fldChar w:fldCharType="end"/>
      </w:r>
      <w:r>
        <w:rPr>
          <w:rFonts w:hint="eastAsia" w:ascii="宋体" w:hAnsi="宋体" w:cs="宋体"/>
          <w:bCs/>
          <w:szCs w:val="21"/>
          <w:highlight w:val="none"/>
        </w:rPr>
        <w:t>》（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r>
        <w:rPr>
          <w:rFonts w:hint="eastAsia" w:ascii="宋体" w:hAnsi="宋体" w:cs="宋体"/>
          <w:bCs/>
          <w:szCs w:val="21"/>
          <w:highlight w:val="none"/>
        </w:rPr>
        <w:br w:type="textWrapping"/>
      </w:r>
      <w:r>
        <w:rPr>
          <w:rFonts w:hint="eastAsia" w:ascii="宋体" w:hAnsi="宋体" w:cs="宋体"/>
          <w:bCs/>
          <w:szCs w:val="21"/>
          <w:highlight w:val="none"/>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r>
        <w:rPr>
          <w:rFonts w:hint="eastAsia" w:ascii="宋体" w:hAnsi="宋体" w:cs="宋体"/>
          <w:bCs/>
          <w:szCs w:val="21"/>
          <w:highlight w:val="none"/>
        </w:rPr>
        <w:br w:type="textWrapping"/>
      </w:r>
      <w:r>
        <w:rPr>
          <w:rFonts w:hint="eastAsia" w:ascii="宋体" w:hAnsi="宋体" w:cs="宋体"/>
          <w:bCs/>
          <w:szCs w:val="21"/>
          <w:highlight w:val="none"/>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r>
        <w:rPr>
          <w:rFonts w:hint="eastAsia" w:ascii="宋体" w:hAnsi="宋体" w:cs="宋体"/>
          <w:bCs/>
          <w:szCs w:val="21"/>
          <w:highlight w:val="none"/>
        </w:rPr>
        <w:br w:type="textWrapping"/>
      </w:r>
      <w:r>
        <w:rPr>
          <w:rFonts w:hint="eastAsia" w:ascii="宋体" w:hAnsi="宋体" w:cs="宋体"/>
          <w:bCs/>
          <w:szCs w:val="21"/>
          <w:highlight w:val="none"/>
        </w:rPr>
        <w:t>四、认真做好组织实施。各地区、各部门应当加强组织领导，明确工作责任，细化执行要求，强化监督检查，确保国务院部署落实到位，对通知执行中出现的问题要及时向财政部报告。</w:t>
      </w:r>
      <w:r>
        <w:rPr>
          <w:rFonts w:hint="eastAsia" w:ascii="宋体" w:hAnsi="宋体" w:cs="宋体"/>
          <w:bCs/>
          <w:szCs w:val="21"/>
          <w:highlight w:val="none"/>
        </w:rPr>
        <w:br w:type="textWrapping"/>
      </w:r>
      <w:r>
        <w:rPr>
          <w:rFonts w:hint="eastAsia" w:ascii="宋体" w:hAnsi="宋体" w:cs="宋体"/>
          <w:bCs/>
          <w:szCs w:val="21"/>
          <w:highlight w:val="none"/>
        </w:rPr>
        <w:t>本通知自2022年7月1日起执行。</w:t>
      </w:r>
      <w:r>
        <w:rPr>
          <w:rFonts w:hint="eastAsia" w:ascii="宋体" w:hAnsi="宋体" w:cs="宋体"/>
          <w:bCs/>
          <w:szCs w:val="21"/>
          <w:highlight w:val="none"/>
        </w:rPr>
        <w:br w:type="textWrapping"/>
      </w:r>
      <w:r>
        <w:rPr>
          <w:rFonts w:hint="eastAsia" w:ascii="宋体" w:hAnsi="宋体" w:cs="宋体"/>
          <w:bCs/>
          <w:szCs w:val="21"/>
          <w:highlight w:val="none"/>
        </w:rPr>
        <w:t> </w:t>
      </w:r>
      <w:r>
        <w:rPr>
          <w:rFonts w:hint="eastAsia" w:ascii="宋体" w:hAnsi="宋体" w:cs="宋体"/>
          <w:szCs w:val="21"/>
          <w:highlight w:val="none"/>
          <w:shd w:val="clear" w:color="auto" w:fill="FFFFFF"/>
        </w:rPr>
        <w:t>财政部                                                       2022年5月30日</w:t>
      </w:r>
    </w:p>
    <w:p w14:paraId="35179FCA">
      <w:pPr>
        <w:widowControl/>
        <w:spacing w:line="480" w:lineRule="atLeast"/>
        <w:jc w:val="center"/>
        <w:rPr>
          <w:rFonts w:ascii="sans-serif" w:hAnsi="sans-serif" w:eastAsia="sans-serif" w:cs="sans-serif"/>
          <w:sz w:val="24"/>
          <w:highlight w:val="none"/>
        </w:rPr>
      </w:pPr>
      <w:r>
        <w:rPr>
          <w:rFonts w:hint="eastAsia" w:ascii="宋体" w:hAnsi="宋体" w:cs="宋体"/>
          <w:szCs w:val="21"/>
          <w:highlight w:val="none"/>
        </w:rPr>
        <w:br w:type="page"/>
      </w:r>
      <w:r>
        <w:rPr>
          <w:rFonts w:hint="eastAsia" w:ascii="宋体" w:hAnsi="宋体" w:cs="宋体"/>
          <w:b/>
          <w:bCs/>
          <w:kern w:val="0"/>
          <w:sz w:val="24"/>
          <w:highlight w:val="none"/>
          <w:shd w:val="clear" w:color="auto" w:fill="FFFFFF"/>
          <w:lang w:bidi="ar"/>
        </w:rPr>
        <w:t>国家统计局关于印发《统计上</w:t>
      </w:r>
    </w:p>
    <w:p w14:paraId="6659DE79">
      <w:pPr>
        <w:widowControl/>
        <w:spacing w:line="480" w:lineRule="atLeast"/>
        <w:jc w:val="center"/>
        <w:rPr>
          <w:rFonts w:ascii="sans-serif" w:hAnsi="sans-serif" w:eastAsia="sans-serif" w:cs="sans-serif"/>
          <w:sz w:val="24"/>
          <w:highlight w:val="none"/>
        </w:rPr>
      </w:pPr>
      <w:r>
        <w:rPr>
          <w:rFonts w:hint="eastAsia" w:ascii="宋体" w:hAnsi="宋体" w:cs="宋体"/>
          <w:b/>
          <w:bCs/>
          <w:kern w:val="0"/>
          <w:sz w:val="24"/>
          <w:highlight w:val="none"/>
          <w:shd w:val="clear" w:color="auto" w:fill="FFFFFF"/>
          <w:lang w:bidi="ar"/>
        </w:rPr>
        <w:t>大中小微型企业划分办法（</w:t>
      </w:r>
      <w:r>
        <w:rPr>
          <w:rFonts w:eastAsia="sans-serif"/>
          <w:b/>
          <w:bCs/>
          <w:kern w:val="0"/>
          <w:sz w:val="24"/>
          <w:highlight w:val="none"/>
          <w:shd w:val="clear" w:color="auto" w:fill="FFFFFF"/>
          <w:lang w:bidi="ar"/>
        </w:rPr>
        <w:t>2017</w:t>
      </w:r>
      <w:r>
        <w:rPr>
          <w:rFonts w:hint="eastAsia" w:ascii="宋体" w:hAnsi="宋体" w:cs="宋体"/>
          <w:b/>
          <w:bCs/>
          <w:kern w:val="0"/>
          <w:sz w:val="24"/>
          <w:highlight w:val="none"/>
          <w:shd w:val="clear" w:color="auto" w:fill="FFFFFF"/>
          <w:lang w:bidi="ar"/>
        </w:rPr>
        <w:t>）》的通知</w:t>
      </w:r>
    </w:p>
    <w:p w14:paraId="20B8BCD9">
      <w:pPr>
        <w:widowControl/>
        <w:spacing w:line="480" w:lineRule="atLeast"/>
        <w:jc w:val="left"/>
        <w:rPr>
          <w:rFonts w:ascii="sans-serif" w:hAnsi="sans-serif" w:eastAsia="sans-serif" w:cs="sans-serif"/>
          <w:sz w:val="24"/>
          <w:highlight w:val="none"/>
        </w:rPr>
      </w:pPr>
      <w:r>
        <w:rPr>
          <w:rFonts w:eastAsia="sans-serif"/>
          <w:kern w:val="0"/>
          <w:sz w:val="24"/>
          <w:highlight w:val="none"/>
          <w:shd w:val="clear" w:color="auto" w:fill="FFFFFF"/>
          <w:lang w:bidi="ar"/>
        </w:rPr>
        <w:t> </w:t>
      </w:r>
    </w:p>
    <w:p w14:paraId="6A319218">
      <w:pPr>
        <w:spacing w:line="360" w:lineRule="auto"/>
        <w:rPr>
          <w:rFonts w:hint="eastAsia" w:ascii="宋体" w:hAnsi="宋体" w:cs="宋体"/>
          <w:bCs/>
          <w:szCs w:val="21"/>
          <w:highlight w:val="none"/>
        </w:rPr>
      </w:pPr>
      <w:r>
        <w:rPr>
          <w:rFonts w:hint="eastAsia" w:ascii="宋体" w:hAnsi="宋体" w:cs="宋体"/>
          <w:bCs/>
          <w:szCs w:val="21"/>
          <w:highlight w:val="none"/>
        </w:rPr>
        <w:t>各省、自治区、直辖市统计局，新疆生产建设兵团统计局，国务院各有关部门，国家统计局各调查总队：</w:t>
      </w:r>
    </w:p>
    <w:p w14:paraId="0ABE8494">
      <w:pPr>
        <w:spacing w:line="360" w:lineRule="auto"/>
        <w:rPr>
          <w:rFonts w:hint="eastAsia" w:ascii="宋体" w:hAnsi="宋体" w:cs="宋体"/>
          <w:bCs/>
          <w:szCs w:val="21"/>
          <w:highlight w:val="none"/>
        </w:rPr>
      </w:pPr>
      <w:r>
        <w:rPr>
          <w:rFonts w:hint="eastAsia" w:ascii="宋体" w:hAnsi="宋体" w:cs="宋体"/>
          <w:bCs/>
          <w:szCs w:val="21"/>
          <w:highlight w:val="none"/>
        </w:rPr>
        <w:t> 　　《国民经济行业分类》（GB/T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49F0DDC8">
      <w:pPr>
        <w:spacing w:line="360" w:lineRule="auto"/>
        <w:rPr>
          <w:rFonts w:hint="eastAsia" w:ascii="宋体" w:hAnsi="宋体" w:cs="宋体"/>
          <w:bCs/>
          <w:szCs w:val="21"/>
          <w:highlight w:val="none"/>
        </w:rPr>
      </w:pPr>
      <w:r>
        <w:rPr>
          <w:rFonts w:hint="eastAsia" w:ascii="宋体" w:hAnsi="宋体" w:cs="宋体"/>
          <w:bCs/>
          <w:szCs w:val="21"/>
          <w:highlight w:val="none"/>
        </w:rPr>
        <w:t> 　　附件：《统计上大中小微型企业划分办法（2017）》修订说明</w:t>
      </w:r>
    </w:p>
    <w:p w14:paraId="38792E74">
      <w:pPr>
        <w:widowControl/>
        <w:spacing w:line="480" w:lineRule="atLeast"/>
        <w:jc w:val="left"/>
        <w:rPr>
          <w:rFonts w:hint="eastAsia" w:ascii="宋体" w:hAnsi="宋体" w:cs="宋体"/>
          <w:szCs w:val="21"/>
          <w:highlight w:val="none"/>
        </w:rPr>
      </w:pPr>
      <w:r>
        <w:rPr>
          <w:rFonts w:hint="eastAsia" w:ascii="宋体" w:hAnsi="宋体" w:cs="宋体"/>
          <w:kern w:val="0"/>
          <w:szCs w:val="21"/>
          <w:highlight w:val="none"/>
          <w:shd w:val="clear" w:color="auto" w:fill="FFFFFF"/>
          <w:lang w:bidi="ar"/>
        </w:rPr>
        <w:t> </w:t>
      </w:r>
    </w:p>
    <w:p w14:paraId="1BF7E817">
      <w:pPr>
        <w:widowControl/>
        <w:spacing w:line="480" w:lineRule="atLeast"/>
        <w:jc w:val="right"/>
        <w:rPr>
          <w:rFonts w:hint="eastAsia" w:ascii="宋体" w:hAnsi="宋体" w:cs="宋体"/>
          <w:szCs w:val="21"/>
          <w:highlight w:val="none"/>
        </w:rPr>
      </w:pPr>
      <w:r>
        <w:rPr>
          <w:rFonts w:hint="eastAsia" w:ascii="宋体" w:hAnsi="宋体" w:cs="宋体"/>
          <w:kern w:val="0"/>
          <w:szCs w:val="21"/>
          <w:highlight w:val="none"/>
          <w:shd w:val="clear" w:color="auto" w:fill="FFFFFF"/>
          <w:lang w:bidi="ar"/>
        </w:rPr>
        <w:t>国家统计局  </w:t>
      </w:r>
    </w:p>
    <w:p w14:paraId="108F8CEE">
      <w:pPr>
        <w:widowControl/>
        <w:spacing w:line="480" w:lineRule="atLeast"/>
        <w:jc w:val="right"/>
        <w:rPr>
          <w:rFonts w:hint="eastAsia" w:ascii="宋体" w:hAnsi="宋体" w:cs="宋体"/>
          <w:szCs w:val="21"/>
          <w:highlight w:val="none"/>
        </w:rPr>
      </w:pPr>
      <w:r>
        <w:rPr>
          <w:rFonts w:hint="eastAsia" w:ascii="宋体" w:hAnsi="宋体" w:cs="宋体"/>
          <w:kern w:val="0"/>
          <w:szCs w:val="21"/>
          <w:highlight w:val="none"/>
          <w:shd w:val="clear" w:color="auto" w:fill="FFFFFF"/>
          <w:lang w:bidi="ar"/>
        </w:rPr>
        <w:t>2017年12月28日</w:t>
      </w:r>
    </w:p>
    <w:p w14:paraId="6E1E4061">
      <w:pPr>
        <w:widowControl/>
        <w:spacing w:line="480" w:lineRule="atLeast"/>
        <w:jc w:val="left"/>
        <w:rPr>
          <w:rFonts w:hint="eastAsia" w:ascii="宋体" w:hAnsi="宋体" w:cs="宋体"/>
          <w:szCs w:val="21"/>
          <w:highlight w:val="none"/>
        </w:rPr>
      </w:pPr>
      <w:r>
        <w:rPr>
          <w:rFonts w:hint="eastAsia" w:ascii="宋体" w:hAnsi="宋体" w:cs="宋体"/>
          <w:kern w:val="0"/>
          <w:szCs w:val="21"/>
          <w:highlight w:val="none"/>
          <w:shd w:val="clear" w:color="auto" w:fill="FFFFFF"/>
          <w:lang w:bidi="ar"/>
        </w:rPr>
        <w:t> </w:t>
      </w:r>
    </w:p>
    <w:p w14:paraId="1998B2BD">
      <w:pPr>
        <w:widowControl/>
        <w:spacing w:line="480" w:lineRule="atLeast"/>
        <w:jc w:val="center"/>
        <w:rPr>
          <w:rFonts w:hint="eastAsia" w:ascii="宋体" w:hAnsi="宋体" w:cs="宋体"/>
          <w:szCs w:val="21"/>
          <w:highlight w:val="none"/>
        </w:rPr>
      </w:pPr>
      <w:r>
        <w:rPr>
          <w:rFonts w:hint="eastAsia" w:ascii="宋体" w:hAnsi="宋体" w:cs="宋体"/>
          <w:b/>
          <w:bCs/>
          <w:kern w:val="0"/>
          <w:szCs w:val="21"/>
          <w:highlight w:val="none"/>
          <w:shd w:val="clear" w:color="auto" w:fill="FFFFFF"/>
          <w:lang w:bidi="ar"/>
        </w:rPr>
        <w:t>统计上大中小微型企业划分办法（2017）</w:t>
      </w:r>
    </w:p>
    <w:p w14:paraId="120DCCE9">
      <w:pPr>
        <w:spacing w:line="360" w:lineRule="auto"/>
        <w:rPr>
          <w:rFonts w:hint="eastAsia" w:ascii="宋体" w:hAnsi="宋体" w:cs="宋体"/>
          <w:bCs/>
          <w:szCs w:val="21"/>
          <w:highlight w:val="none"/>
        </w:rPr>
      </w:pPr>
      <w:r>
        <w:rPr>
          <w:rFonts w:hint="eastAsia" w:ascii="宋体" w:hAnsi="宋体" w:cs="宋体"/>
          <w:kern w:val="0"/>
          <w:szCs w:val="21"/>
          <w:highlight w:val="none"/>
          <w:shd w:val="clear" w:color="auto" w:fill="FFFFFF"/>
          <w:lang w:bidi="ar"/>
        </w:rPr>
        <w:t> </w:t>
      </w:r>
      <w:r>
        <w:rPr>
          <w:rFonts w:hint="eastAsia" w:ascii="宋体" w:hAnsi="宋体" w:cs="宋体"/>
          <w:b/>
          <w:bCs/>
          <w:kern w:val="0"/>
          <w:szCs w:val="21"/>
          <w:highlight w:val="none"/>
          <w:shd w:val="clear" w:color="auto" w:fill="FFFFFF"/>
          <w:lang w:bidi="ar"/>
        </w:rPr>
        <w:t>　</w:t>
      </w:r>
      <w:r>
        <w:rPr>
          <w:rFonts w:hint="eastAsia" w:ascii="宋体" w:hAnsi="宋体" w:cs="宋体"/>
          <w:bCs/>
          <w:szCs w:val="21"/>
          <w:highlight w:val="none"/>
        </w:rPr>
        <w:t>　一、根据工业和信息化部、国家统计局、国家发展改革委、财政部《关于印发中小企业划型标准规定的通知》（工信部联企业〔2011〕300号），以《国民经济行业分类》（GB/T4754-2017）为基础，结合统计工作的实际情况，制定本办法。</w:t>
      </w:r>
    </w:p>
    <w:p w14:paraId="367ACEBA">
      <w:pPr>
        <w:spacing w:line="360" w:lineRule="auto"/>
        <w:rPr>
          <w:rFonts w:hint="eastAsia" w:ascii="宋体" w:hAnsi="宋体" w:cs="宋体"/>
          <w:bCs/>
          <w:szCs w:val="21"/>
          <w:highlight w:val="none"/>
        </w:rPr>
      </w:pPr>
      <w:r>
        <w:rPr>
          <w:rFonts w:hint="eastAsia" w:ascii="宋体" w:hAnsi="宋体" w:cs="宋体"/>
          <w:bCs/>
          <w:szCs w:val="21"/>
          <w:highlight w:val="none"/>
        </w:rPr>
        <w:t> 　　二、本办法适用对象为在中华人民共和国境内依法设立的各种组织形式的法人企业或单位。个体工商户参照本办法进行划分。</w:t>
      </w:r>
    </w:p>
    <w:p w14:paraId="2059855F">
      <w:pPr>
        <w:spacing w:line="360" w:lineRule="auto"/>
        <w:rPr>
          <w:rFonts w:hint="eastAsia" w:ascii="宋体" w:hAnsi="宋体" w:cs="宋体"/>
          <w:bCs/>
          <w:szCs w:val="21"/>
          <w:highlight w:val="none"/>
        </w:rPr>
      </w:pPr>
      <w:r>
        <w:rPr>
          <w:rFonts w:hint="eastAsia" w:ascii="宋体" w:hAnsi="宋体" w:cs="宋体"/>
          <w:bCs/>
          <w:szCs w:val="21"/>
          <w:highlight w:val="none"/>
        </w:rPr>
        <w:t>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255E5226">
      <w:pPr>
        <w:spacing w:line="360" w:lineRule="auto"/>
        <w:rPr>
          <w:rFonts w:hint="eastAsia" w:ascii="宋体" w:hAnsi="宋体" w:cs="宋体"/>
          <w:bCs/>
          <w:szCs w:val="21"/>
          <w:highlight w:val="none"/>
        </w:rPr>
      </w:pPr>
      <w:r>
        <w:rPr>
          <w:rFonts w:hint="eastAsia" w:ascii="宋体" w:hAnsi="宋体" w:cs="宋体"/>
          <w:bCs/>
          <w:szCs w:val="21"/>
          <w:highlight w:val="none"/>
        </w:rPr>
        <w:t> 　　四、本办法按照行业门类、大类、中类和组合类别，依据从业人员、营业收入、资产总额等指标或替代指标，将我国的企业划分为大型、中型、小型、微型等四种类型。具体划分标准见附表。</w:t>
      </w:r>
    </w:p>
    <w:p w14:paraId="2E823DF8">
      <w:pPr>
        <w:spacing w:line="360" w:lineRule="auto"/>
        <w:rPr>
          <w:rFonts w:hint="eastAsia" w:ascii="宋体" w:hAnsi="宋体" w:cs="宋体"/>
          <w:bCs/>
          <w:szCs w:val="21"/>
          <w:highlight w:val="none"/>
        </w:rPr>
      </w:pPr>
      <w:r>
        <w:rPr>
          <w:rFonts w:hint="eastAsia" w:ascii="宋体" w:hAnsi="宋体" w:cs="宋体"/>
          <w:bCs/>
          <w:szCs w:val="21"/>
          <w:highlight w:val="none"/>
        </w:rPr>
        <w:t> 　　五、企业划分由政府综合统计部门根据统计年报每年确定一次，定报统计原则上不进行调整。</w:t>
      </w:r>
    </w:p>
    <w:p w14:paraId="5590157B">
      <w:pPr>
        <w:spacing w:line="360" w:lineRule="auto"/>
        <w:rPr>
          <w:rFonts w:hint="eastAsia" w:ascii="宋体" w:hAnsi="宋体" w:cs="宋体"/>
          <w:bCs/>
          <w:szCs w:val="21"/>
          <w:highlight w:val="none"/>
        </w:rPr>
      </w:pPr>
      <w:r>
        <w:rPr>
          <w:rFonts w:hint="eastAsia" w:ascii="宋体" w:hAnsi="宋体" w:cs="宋体"/>
          <w:bCs/>
          <w:szCs w:val="21"/>
          <w:highlight w:val="none"/>
        </w:rPr>
        <w:t> 　　六、本办法自印发之日起执行，国家统计局2011年印发的《统计上大中小微型企业划分办法》（国统字〔2011〕75号）同时废止。</w:t>
      </w:r>
    </w:p>
    <w:p w14:paraId="1394E6FA">
      <w:pPr>
        <w:spacing w:line="360" w:lineRule="auto"/>
        <w:rPr>
          <w:rFonts w:hint="eastAsia" w:ascii="宋体" w:hAnsi="宋体" w:cs="宋体"/>
          <w:bCs/>
          <w:szCs w:val="21"/>
          <w:highlight w:val="none"/>
        </w:rPr>
      </w:pPr>
      <w:r>
        <w:rPr>
          <w:rFonts w:hint="eastAsia" w:ascii="宋体" w:hAnsi="宋体" w:cs="宋体"/>
          <w:bCs/>
          <w:szCs w:val="21"/>
          <w:highlight w:val="none"/>
        </w:rPr>
        <w:t> 　　附表：统计上大中小微型企业划分标准</w:t>
      </w:r>
    </w:p>
    <w:p w14:paraId="526DCFBF">
      <w:pPr>
        <w:widowControl/>
        <w:spacing w:line="600" w:lineRule="exact"/>
        <w:jc w:val="left"/>
        <w:rPr>
          <w:rFonts w:hint="eastAsia" w:ascii="宋体" w:hAnsi="宋体" w:cs="宋体"/>
          <w:kern w:val="0"/>
          <w:szCs w:val="21"/>
          <w:highlight w:val="none"/>
        </w:rPr>
      </w:pPr>
      <w:r>
        <w:rPr>
          <w:rFonts w:hint="eastAsia" w:ascii="宋体" w:hAnsi="宋体" w:cs="宋体"/>
          <w:kern w:val="0"/>
          <w:szCs w:val="21"/>
          <w:highlight w:val="none"/>
        </w:rPr>
        <w:t>附表</w:t>
      </w:r>
    </w:p>
    <w:p w14:paraId="59C7C4CD">
      <w:pPr>
        <w:widowControl/>
        <w:spacing w:line="330" w:lineRule="atLeast"/>
        <w:jc w:val="center"/>
        <w:rPr>
          <w:rFonts w:hint="eastAsia" w:ascii="宋体" w:hAnsi="宋体" w:cs="宋体"/>
          <w:kern w:val="0"/>
          <w:szCs w:val="21"/>
          <w:highlight w:val="none"/>
        </w:rPr>
      </w:pPr>
      <w:r>
        <w:rPr>
          <w:rFonts w:hint="eastAsia" w:ascii="宋体" w:hAnsi="宋体" w:cs="宋体"/>
          <w:kern w:val="0"/>
          <w:szCs w:val="21"/>
          <w:highlight w:val="none"/>
        </w:rPr>
        <w:t>统计上大中小微型企业划分标准</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486"/>
        <w:gridCol w:w="821"/>
        <w:gridCol w:w="1262"/>
        <w:gridCol w:w="1849"/>
        <w:gridCol w:w="1649"/>
        <w:gridCol w:w="990"/>
      </w:tblGrid>
      <w:tr w14:paraId="7E6B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jc w:val="center"/>
        </w:trPr>
        <w:tc>
          <w:tcPr>
            <w:tcW w:w="1358" w:type="dxa"/>
            <w:tcBorders>
              <w:tl2br w:val="nil"/>
              <w:tr2bl w:val="nil"/>
            </w:tcBorders>
            <w:vAlign w:val="center"/>
          </w:tcPr>
          <w:p w14:paraId="5FD5D452">
            <w:pPr>
              <w:widowControl/>
              <w:spacing w:line="2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行业名称</w:t>
            </w:r>
          </w:p>
        </w:tc>
        <w:tc>
          <w:tcPr>
            <w:tcW w:w="1486" w:type="dxa"/>
            <w:tcBorders>
              <w:tl2br w:val="nil"/>
              <w:tr2bl w:val="nil"/>
            </w:tcBorders>
            <w:vAlign w:val="center"/>
          </w:tcPr>
          <w:p w14:paraId="293F448D">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指标名称</w:t>
            </w:r>
          </w:p>
        </w:tc>
        <w:tc>
          <w:tcPr>
            <w:tcW w:w="821" w:type="dxa"/>
            <w:tcBorders>
              <w:tl2br w:val="nil"/>
              <w:tr2bl w:val="nil"/>
            </w:tcBorders>
            <w:vAlign w:val="center"/>
          </w:tcPr>
          <w:p w14:paraId="7B35AB3D">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计量</w:t>
            </w:r>
            <w:r>
              <w:rPr>
                <w:rFonts w:hint="eastAsia" w:ascii="宋体" w:hAnsi="宋体" w:cs="宋体"/>
                <w:b/>
                <w:bCs/>
                <w:kern w:val="0"/>
                <w:szCs w:val="21"/>
                <w:highlight w:val="none"/>
              </w:rPr>
              <w:br w:type="textWrapping"/>
            </w:r>
            <w:r>
              <w:rPr>
                <w:rFonts w:hint="eastAsia" w:ascii="宋体" w:hAnsi="宋体" w:cs="宋体"/>
                <w:b/>
                <w:bCs/>
                <w:kern w:val="0"/>
                <w:szCs w:val="21"/>
                <w:highlight w:val="none"/>
              </w:rPr>
              <w:t>单位</w:t>
            </w:r>
          </w:p>
        </w:tc>
        <w:tc>
          <w:tcPr>
            <w:tcW w:w="1262" w:type="dxa"/>
            <w:tcBorders>
              <w:tl2br w:val="nil"/>
              <w:tr2bl w:val="nil"/>
            </w:tcBorders>
            <w:vAlign w:val="center"/>
          </w:tcPr>
          <w:p w14:paraId="54F73114">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大型</w:t>
            </w:r>
          </w:p>
        </w:tc>
        <w:tc>
          <w:tcPr>
            <w:tcW w:w="1849" w:type="dxa"/>
            <w:tcBorders>
              <w:tl2br w:val="nil"/>
              <w:tr2bl w:val="nil"/>
            </w:tcBorders>
            <w:vAlign w:val="center"/>
          </w:tcPr>
          <w:p w14:paraId="2A22B817">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中型</w:t>
            </w:r>
          </w:p>
        </w:tc>
        <w:tc>
          <w:tcPr>
            <w:tcW w:w="1649" w:type="dxa"/>
            <w:tcBorders>
              <w:tl2br w:val="nil"/>
              <w:tr2bl w:val="nil"/>
            </w:tcBorders>
            <w:vAlign w:val="center"/>
          </w:tcPr>
          <w:p w14:paraId="10FD0C72">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小型</w:t>
            </w:r>
          </w:p>
        </w:tc>
        <w:tc>
          <w:tcPr>
            <w:tcW w:w="990" w:type="dxa"/>
            <w:tcBorders>
              <w:tl2br w:val="nil"/>
              <w:tr2bl w:val="nil"/>
            </w:tcBorders>
            <w:vAlign w:val="center"/>
          </w:tcPr>
          <w:p w14:paraId="56D32CD5">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微型</w:t>
            </w:r>
          </w:p>
        </w:tc>
      </w:tr>
      <w:tr w14:paraId="5743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358" w:type="dxa"/>
            <w:tcBorders>
              <w:tl2br w:val="nil"/>
              <w:tr2bl w:val="nil"/>
            </w:tcBorders>
            <w:vAlign w:val="center"/>
          </w:tcPr>
          <w:p w14:paraId="071CB04E">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农、林、牧、渔业</w:t>
            </w:r>
          </w:p>
        </w:tc>
        <w:tc>
          <w:tcPr>
            <w:tcW w:w="1486" w:type="dxa"/>
            <w:tcBorders>
              <w:tl2br w:val="nil"/>
              <w:tr2bl w:val="nil"/>
            </w:tcBorders>
            <w:vAlign w:val="center"/>
          </w:tcPr>
          <w:p w14:paraId="72A4499E">
            <w:pPr>
              <w:widowControl/>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1" w:type="dxa"/>
            <w:tcBorders>
              <w:tl2br w:val="nil"/>
              <w:tr2bl w:val="nil"/>
            </w:tcBorders>
            <w:vAlign w:val="center"/>
          </w:tcPr>
          <w:p w14:paraId="23A935D3">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262" w:type="dxa"/>
            <w:tcBorders>
              <w:tl2br w:val="nil"/>
              <w:tr2bl w:val="nil"/>
            </w:tcBorders>
            <w:vAlign w:val="center"/>
          </w:tcPr>
          <w:p w14:paraId="2D82AA35">
            <w:pPr>
              <w:widowControl/>
              <w:jc w:val="center"/>
              <w:rPr>
                <w:rFonts w:hint="eastAsia" w:ascii="宋体" w:hAnsi="宋体" w:cs="宋体"/>
                <w:kern w:val="0"/>
                <w:szCs w:val="21"/>
                <w:highlight w:val="none"/>
              </w:rPr>
            </w:pPr>
            <w:r>
              <w:rPr>
                <w:rFonts w:hint="eastAsia" w:ascii="宋体" w:hAnsi="宋体" w:cs="宋体"/>
                <w:kern w:val="0"/>
                <w:szCs w:val="21"/>
                <w:highlight w:val="none"/>
              </w:rPr>
              <w:t>Y≥20000</w:t>
            </w:r>
          </w:p>
        </w:tc>
        <w:tc>
          <w:tcPr>
            <w:tcW w:w="1849" w:type="dxa"/>
            <w:tcBorders>
              <w:tl2br w:val="nil"/>
              <w:tr2bl w:val="nil"/>
            </w:tcBorders>
            <w:vAlign w:val="center"/>
          </w:tcPr>
          <w:p w14:paraId="08C882D5">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500≤Y＜20000</w:t>
            </w:r>
          </w:p>
        </w:tc>
        <w:tc>
          <w:tcPr>
            <w:tcW w:w="1649" w:type="dxa"/>
            <w:tcBorders>
              <w:tl2br w:val="nil"/>
              <w:tr2bl w:val="nil"/>
            </w:tcBorders>
            <w:vAlign w:val="center"/>
          </w:tcPr>
          <w:p w14:paraId="0F4FD51D">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50≤Y＜500</w:t>
            </w:r>
          </w:p>
        </w:tc>
        <w:tc>
          <w:tcPr>
            <w:tcW w:w="990" w:type="dxa"/>
            <w:tcBorders>
              <w:tl2br w:val="nil"/>
              <w:tr2bl w:val="nil"/>
            </w:tcBorders>
            <w:vAlign w:val="center"/>
          </w:tcPr>
          <w:p w14:paraId="04AF61B3">
            <w:pPr>
              <w:widowControl/>
              <w:jc w:val="center"/>
              <w:rPr>
                <w:rFonts w:hint="eastAsia" w:ascii="宋体" w:hAnsi="宋体" w:cs="宋体"/>
                <w:kern w:val="0"/>
                <w:szCs w:val="21"/>
                <w:highlight w:val="none"/>
              </w:rPr>
            </w:pPr>
            <w:r>
              <w:rPr>
                <w:rFonts w:hint="eastAsia" w:ascii="宋体" w:hAnsi="宋体" w:cs="宋体"/>
                <w:kern w:val="0"/>
                <w:szCs w:val="21"/>
                <w:highlight w:val="none"/>
              </w:rPr>
              <w:t>Y＜50</w:t>
            </w:r>
          </w:p>
        </w:tc>
      </w:tr>
      <w:tr w14:paraId="163B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358" w:type="dxa"/>
            <w:vMerge w:val="restart"/>
            <w:tcBorders>
              <w:tl2br w:val="nil"/>
              <w:tr2bl w:val="nil"/>
            </w:tcBorders>
            <w:vAlign w:val="center"/>
          </w:tcPr>
          <w:p w14:paraId="5FC0E5BD">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工业*</w:t>
            </w:r>
          </w:p>
        </w:tc>
        <w:tc>
          <w:tcPr>
            <w:tcW w:w="1486" w:type="dxa"/>
            <w:tcBorders>
              <w:tl2br w:val="nil"/>
              <w:tr2bl w:val="nil"/>
            </w:tcBorders>
            <w:vAlign w:val="center"/>
          </w:tcPr>
          <w:p w14:paraId="063A660B">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1" w:type="dxa"/>
            <w:tcBorders>
              <w:tl2br w:val="nil"/>
              <w:tr2bl w:val="nil"/>
            </w:tcBorders>
            <w:vAlign w:val="center"/>
          </w:tcPr>
          <w:p w14:paraId="09697A6F">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262" w:type="dxa"/>
            <w:tcBorders>
              <w:tl2br w:val="nil"/>
              <w:tr2bl w:val="nil"/>
            </w:tcBorders>
            <w:vAlign w:val="center"/>
          </w:tcPr>
          <w:p w14:paraId="2E8A9DE9">
            <w:pPr>
              <w:widowControl/>
              <w:jc w:val="center"/>
              <w:rPr>
                <w:rFonts w:hint="eastAsia" w:ascii="宋体" w:hAnsi="宋体" w:cs="宋体"/>
                <w:kern w:val="0"/>
                <w:szCs w:val="21"/>
                <w:highlight w:val="none"/>
              </w:rPr>
            </w:pPr>
            <w:r>
              <w:rPr>
                <w:rFonts w:hint="eastAsia" w:ascii="宋体" w:hAnsi="宋体" w:cs="宋体"/>
                <w:kern w:val="0"/>
                <w:szCs w:val="21"/>
                <w:highlight w:val="none"/>
              </w:rPr>
              <w:t>X≥1000</w:t>
            </w:r>
          </w:p>
        </w:tc>
        <w:tc>
          <w:tcPr>
            <w:tcW w:w="1849" w:type="dxa"/>
            <w:tcBorders>
              <w:tl2br w:val="nil"/>
              <w:tr2bl w:val="nil"/>
            </w:tcBorders>
            <w:vAlign w:val="center"/>
          </w:tcPr>
          <w:p w14:paraId="16D8C638">
            <w:pPr>
              <w:widowControl/>
              <w:jc w:val="center"/>
              <w:rPr>
                <w:rFonts w:hint="eastAsia" w:ascii="宋体" w:hAnsi="宋体" w:cs="宋体"/>
                <w:kern w:val="0"/>
                <w:szCs w:val="21"/>
                <w:highlight w:val="none"/>
              </w:rPr>
            </w:pPr>
            <w:r>
              <w:rPr>
                <w:rFonts w:hint="eastAsia" w:ascii="宋体" w:hAnsi="宋体" w:cs="宋体"/>
                <w:kern w:val="0"/>
                <w:szCs w:val="21"/>
                <w:highlight w:val="none"/>
              </w:rPr>
              <w:t>300≤X＜1000</w:t>
            </w:r>
          </w:p>
        </w:tc>
        <w:tc>
          <w:tcPr>
            <w:tcW w:w="1649" w:type="dxa"/>
            <w:tcBorders>
              <w:tl2br w:val="nil"/>
              <w:tr2bl w:val="nil"/>
            </w:tcBorders>
            <w:vAlign w:val="center"/>
          </w:tcPr>
          <w:p w14:paraId="15390C44">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20≤X＜300</w:t>
            </w:r>
          </w:p>
        </w:tc>
        <w:tc>
          <w:tcPr>
            <w:tcW w:w="990" w:type="dxa"/>
            <w:tcBorders>
              <w:tl2br w:val="nil"/>
              <w:tr2bl w:val="nil"/>
            </w:tcBorders>
            <w:vAlign w:val="center"/>
          </w:tcPr>
          <w:p w14:paraId="48984FD7">
            <w:pPr>
              <w:widowControl/>
              <w:jc w:val="center"/>
              <w:rPr>
                <w:rFonts w:hint="eastAsia" w:ascii="宋体" w:hAnsi="宋体" w:cs="宋体"/>
                <w:kern w:val="0"/>
                <w:szCs w:val="21"/>
                <w:highlight w:val="none"/>
              </w:rPr>
            </w:pPr>
            <w:r>
              <w:rPr>
                <w:rFonts w:hint="eastAsia" w:ascii="宋体" w:hAnsi="宋体" w:cs="宋体"/>
                <w:kern w:val="0"/>
                <w:szCs w:val="21"/>
                <w:highlight w:val="none"/>
              </w:rPr>
              <w:t>X＜20</w:t>
            </w:r>
          </w:p>
        </w:tc>
      </w:tr>
      <w:tr w14:paraId="72CE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358" w:type="dxa"/>
            <w:vMerge w:val="continue"/>
            <w:tcBorders>
              <w:tl2br w:val="nil"/>
              <w:tr2bl w:val="nil"/>
            </w:tcBorders>
            <w:vAlign w:val="center"/>
          </w:tcPr>
          <w:p w14:paraId="0C8F5A25">
            <w:pPr>
              <w:widowControl/>
              <w:jc w:val="left"/>
              <w:rPr>
                <w:rFonts w:hint="eastAsia" w:ascii="宋体" w:hAnsi="宋体" w:cs="宋体"/>
                <w:kern w:val="0"/>
                <w:szCs w:val="21"/>
                <w:highlight w:val="none"/>
              </w:rPr>
            </w:pPr>
          </w:p>
        </w:tc>
        <w:tc>
          <w:tcPr>
            <w:tcW w:w="1486" w:type="dxa"/>
            <w:tcBorders>
              <w:tl2br w:val="nil"/>
              <w:tr2bl w:val="nil"/>
            </w:tcBorders>
            <w:vAlign w:val="center"/>
          </w:tcPr>
          <w:p w14:paraId="7281E6E0">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1" w:type="dxa"/>
            <w:tcBorders>
              <w:tl2br w:val="nil"/>
              <w:tr2bl w:val="nil"/>
            </w:tcBorders>
            <w:vAlign w:val="center"/>
          </w:tcPr>
          <w:p w14:paraId="7C830A5F">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262" w:type="dxa"/>
            <w:tcBorders>
              <w:tl2br w:val="nil"/>
              <w:tr2bl w:val="nil"/>
            </w:tcBorders>
            <w:vAlign w:val="center"/>
          </w:tcPr>
          <w:p w14:paraId="4A31C709">
            <w:pPr>
              <w:widowControl/>
              <w:jc w:val="center"/>
              <w:rPr>
                <w:rFonts w:hint="eastAsia" w:ascii="宋体" w:hAnsi="宋体" w:cs="宋体"/>
                <w:kern w:val="0"/>
                <w:szCs w:val="21"/>
                <w:highlight w:val="none"/>
              </w:rPr>
            </w:pPr>
            <w:r>
              <w:rPr>
                <w:rFonts w:hint="eastAsia" w:ascii="宋体" w:hAnsi="宋体" w:cs="宋体"/>
                <w:kern w:val="0"/>
                <w:szCs w:val="21"/>
                <w:highlight w:val="none"/>
              </w:rPr>
              <w:t>Y≥40000</w:t>
            </w:r>
          </w:p>
        </w:tc>
        <w:tc>
          <w:tcPr>
            <w:tcW w:w="1849" w:type="dxa"/>
            <w:tcBorders>
              <w:tl2br w:val="nil"/>
              <w:tr2bl w:val="nil"/>
            </w:tcBorders>
            <w:vAlign w:val="center"/>
          </w:tcPr>
          <w:p w14:paraId="72AD8D17">
            <w:pPr>
              <w:widowControl/>
              <w:jc w:val="center"/>
              <w:rPr>
                <w:rFonts w:hint="eastAsia" w:ascii="宋体" w:hAnsi="宋体" w:cs="宋体"/>
                <w:kern w:val="0"/>
                <w:szCs w:val="21"/>
                <w:highlight w:val="none"/>
              </w:rPr>
            </w:pPr>
            <w:r>
              <w:rPr>
                <w:rFonts w:hint="eastAsia" w:ascii="宋体" w:hAnsi="宋体" w:cs="宋体"/>
                <w:kern w:val="0"/>
                <w:szCs w:val="21"/>
                <w:highlight w:val="none"/>
              </w:rPr>
              <w:t>2000≤Y＜40000</w:t>
            </w:r>
          </w:p>
        </w:tc>
        <w:tc>
          <w:tcPr>
            <w:tcW w:w="1649" w:type="dxa"/>
            <w:tcBorders>
              <w:tl2br w:val="nil"/>
              <w:tr2bl w:val="nil"/>
            </w:tcBorders>
            <w:vAlign w:val="center"/>
          </w:tcPr>
          <w:p w14:paraId="070AAFFB">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300≤Y＜2000</w:t>
            </w:r>
          </w:p>
        </w:tc>
        <w:tc>
          <w:tcPr>
            <w:tcW w:w="990" w:type="dxa"/>
            <w:tcBorders>
              <w:tl2br w:val="nil"/>
              <w:tr2bl w:val="nil"/>
            </w:tcBorders>
            <w:vAlign w:val="center"/>
          </w:tcPr>
          <w:p w14:paraId="400DF724">
            <w:pPr>
              <w:widowControl/>
              <w:jc w:val="center"/>
              <w:rPr>
                <w:rFonts w:hint="eastAsia" w:ascii="宋体" w:hAnsi="宋体" w:cs="宋体"/>
                <w:kern w:val="0"/>
                <w:szCs w:val="21"/>
                <w:highlight w:val="none"/>
              </w:rPr>
            </w:pPr>
            <w:r>
              <w:rPr>
                <w:rFonts w:hint="eastAsia" w:ascii="宋体" w:hAnsi="宋体" w:cs="宋体"/>
                <w:kern w:val="0"/>
                <w:szCs w:val="21"/>
                <w:highlight w:val="none"/>
              </w:rPr>
              <w:t>Y＜300</w:t>
            </w:r>
          </w:p>
        </w:tc>
      </w:tr>
      <w:tr w14:paraId="1EF3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1358" w:type="dxa"/>
            <w:vMerge w:val="restart"/>
            <w:tcBorders>
              <w:tl2br w:val="nil"/>
              <w:tr2bl w:val="nil"/>
            </w:tcBorders>
            <w:vAlign w:val="center"/>
          </w:tcPr>
          <w:p w14:paraId="096A9D24">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建筑业</w:t>
            </w:r>
          </w:p>
        </w:tc>
        <w:tc>
          <w:tcPr>
            <w:tcW w:w="1486" w:type="dxa"/>
            <w:tcBorders>
              <w:tl2br w:val="nil"/>
              <w:tr2bl w:val="nil"/>
            </w:tcBorders>
            <w:vAlign w:val="center"/>
          </w:tcPr>
          <w:p w14:paraId="5A1B2AB2">
            <w:pPr>
              <w:widowControl/>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1" w:type="dxa"/>
            <w:tcBorders>
              <w:tl2br w:val="nil"/>
              <w:tr2bl w:val="nil"/>
            </w:tcBorders>
            <w:vAlign w:val="center"/>
          </w:tcPr>
          <w:p w14:paraId="5F41C67A">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262" w:type="dxa"/>
            <w:tcBorders>
              <w:tl2br w:val="nil"/>
              <w:tr2bl w:val="nil"/>
            </w:tcBorders>
            <w:vAlign w:val="center"/>
          </w:tcPr>
          <w:p w14:paraId="79683206">
            <w:pPr>
              <w:widowControl/>
              <w:jc w:val="center"/>
              <w:rPr>
                <w:rFonts w:hint="eastAsia" w:ascii="宋体" w:hAnsi="宋体" w:cs="宋体"/>
                <w:kern w:val="0"/>
                <w:szCs w:val="21"/>
                <w:highlight w:val="none"/>
              </w:rPr>
            </w:pPr>
            <w:r>
              <w:rPr>
                <w:rFonts w:hint="eastAsia" w:ascii="宋体" w:hAnsi="宋体" w:cs="宋体"/>
                <w:kern w:val="0"/>
                <w:szCs w:val="21"/>
                <w:highlight w:val="none"/>
              </w:rPr>
              <w:t>Y≥80000</w:t>
            </w:r>
          </w:p>
        </w:tc>
        <w:tc>
          <w:tcPr>
            <w:tcW w:w="1849" w:type="dxa"/>
            <w:tcBorders>
              <w:tl2br w:val="nil"/>
              <w:tr2bl w:val="nil"/>
            </w:tcBorders>
            <w:vAlign w:val="center"/>
          </w:tcPr>
          <w:p w14:paraId="2D540C1D">
            <w:pPr>
              <w:widowControl/>
              <w:jc w:val="center"/>
              <w:rPr>
                <w:rFonts w:hint="eastAsia" w:ascii="宋体" w:hAnsi="宋体" w:cs="宋体"/>
                <w:kern w:val="0"/>
                <w:szCs w:val="21"/>
                <w:highlight w:val="none"/>
              </w:rPr>
            </w:pPr>
            <w:r>
              <w:rPr>
                <w:rFonts w:hint="eastAsia" w:ascii="宋体" w:hAnsi="宋体" w:cs="宋体"/>
                <w:kern w:val="0"/>
                <w:szCs w:val="21"/>
                <w:highlight w:val="none"/>
              </w:rPr>
              <w:t>6000≤Y＜80000</w:t>
            </w:r>
          </w:p>
        </w:tc>
        <w:tc>
          <w:tcPr>
            <w:tcW w:w="1649" w:type="dxa"/>
            <w:tcBorders>
              <w:tl2br w:val="nil"/>
              <w:tr2bl w:val="nil"/>
            </w:tcBorders>
            <w:vAlign w:val="center"/>
          </w:tcPr>
          <w:p w14:paraId="0C6178CC">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300≤Y＜6000</w:t>
            </w:r>
          </w:p>
        </w:tc>
        <w:tc>
          <w:tcPr>
            <w:tcW w:w="990" w:type="dxa"/>
            <w:tcBorders>
              <w:tl2br w:val="nil"/>
              <w:tr2bl w:val="nil"/>
            </w:tcBorders>
            <w:vAlign w:val="center"/>
          </w:tcPr>
          <w:p w14:paraId="1263EFCC">
            <w:pPr>
              <w:widowControl/>
              <w:jc w:val="center"/>
              <w:rPr>
                <w:rFonts w:hint="eastAsia" w:ascii="宋体" w:hAnsi="宋体" w:cs="宋体"/>
                <w:kern w:val="0"/>
                <w:szCs w:val="21"/>
                <w:highlight w:val="none"/>
              </w:rPr>
            </w:pPr>
            <w:r>
              <w:rPr>
                <w:rFonts w:hint="eastAsia" w:ascii="宋体" w:hAnsi="宋体" w:cs="宋体"/>
                <w:kern w:val="0"/>
                <w:szCs w:val="21"/>
                <w:highlight w:val="none"/>
              </w:rPr>
              <w:t>Y＜300</w:t>
            </w:r>
          </w:p>
        </w:tc>
      </w:tr>
      <w:tr w14:paraId="56F2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358" w:type="dxa"/>
            <w:vMerge w:val="continue"/>
            <w:tcBorders>
              <w:tl2br w:val="nil"/>
              <w:tr2bl w:val="nil"/>
            </w:tcBorders>
            <w:vAlign w:val="center"/>
          </w:tcPr>
          <w:p w14:paraId="6E95C913">
            <w:pPr>
              <w:widowControl/>
              <w:jc w:val="left"/>
              <w:rPr>
                <w:rFonts w:hint="eastAsia" w:ascii="宋体" w:hAnsi="宋体" w:cs="宋体"/>
                <w:kern w:val="0"/>
                <w:szCs w:val="21"/>
                <w:highlight w:val="none"/>
              </w:rPr>
            </w:pPr>
          </w:p>
        </w:tc>
        <w:tc>
          <w:tcPr>
            <w:tcW w:w="1486" w:type="dxa"/>
            <w:tcBorders>
              <w:tl2br w:val="nil"/>
              <w:tr2bl w:val="nil"/>
            </w:tcBorders>
            <w:vAlign w:val="center"/>
          </w:tcPr>
          <w:p w14:paraId="034FE0CE">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资产总额(Z)</w:t>
            </w:r>
          </w:p>
        </w:tc>
        <w:tc>
          <w:tcPr>
            <w:tcW w:w="821" w:type="dxa"/>
            <w:tcBorders>
              <w:tl2br w:val="nil"/>
              <w:tr2bl w:val="nil"/>
            </w:tcBorders>
            <w:vAlign w:val="center"/>
          </w:tcPr>
          <w:p w14:paraId="2A6FFEE7">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262" w:type="dxa"/>
            <w:tcBorders>
              <w:tl2br w:val="nil"/>
              <w:tr2bl w:val="nil"/>
            </w:tcBorders>
            <w:vAlign w:val="center"/>
          </w:tcPr>
          <w:p w14:paraId="2592A303">
            <w:pPr>
              <w:widowControl/>
              <w:jc w:val="center"/>
              <w:rPr>
                <w:rFonts w:hint="eastAsia" w:ascii="宋体" w:hAnsi="宋体" w:cs="宋体"/>
                <w:kern w:val="0"/>
                <w:szCs w:val="21"/>
                <w:highlight w:val="none"/>
              </w:rPr>
            </w:pPr>
            <w:r>
              <w:rPr>
                <w:rFonts w:hint="eastAsia" w:ascii="宋体" w:hAnsi="宋体" w:cs="宋体"/>
                <w:kern w:val="0"/>
                <w:szCs w:val="21"/>
                <w:highlight w:val="none"/>
              </w:rPr>
              <w:t>Z≥80000</w:t>
            </w:r>
          </w:p>
        </w:tc>
        <w:tc>
          <w:tcPr>
            <w:tcW w:w="1849" w:type="dxa"/>
            <w:tcBorders>
              <w:tl2br w:val="nil"/>
              <w:tr2bl w:val="nil"/>
            </w:tcBorders>
            <w:vAlign w:val="center"/>
          </w:tcPr>
          <w:p w14:paraId="05847253">
            <w:pPr>
              <w:widowControl/>
              <w:jc w:val="center"/>
              <w:rPr>
                <w:rFonts w:hint="eastAsia" w:ascii="宋体" w:hAnsi="宋体" w:cs="宋体"/>
                <w:kern w:val="0"/>
                <w:szCs w:val="21"/>
                <w:highlight w:val="none"/>
              </w:rPr>
            </w:pPr>
            <w:r>
              <w:rPr>
                <w:rFonts w:hint="eastAsia" w:ascii="宋体" w:hAnsi="宋体" w:cs="宋体"/>
                <w:kern w:val="0"/>
                <w:szCs w:val="21"/>
                <w:highlight w:val="none"/>
              </w:rPr>
              <w:t>5000≤Z＜80000</w:t>
            </w:r>
          </w:p>
        </w:tc>
        <w:tc>
          <w:tcPr>
            <w:tcW w:w="1649" w:type="dxa"/>
            <w:tcBorders>
              <w:tl2br w:val="nil"/>
              <w:tr2bl w:val="nil"/>
            </w:tcBorders>
            <w:vAlign w:val="center"/>
          </w:tcPr>
          <w:p w14:paraId="45229186">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300≤Z＜5000</w:t>
            </w:r>
          </w:p>
        </w:tc>
        <w:tc>
          <w:tcPr>
            <w:tcW w:w="990" w:type="dxa"/>
            <w:tcBorders>
              <w:tl2br w:val="nil"/>
              <w:tr2bl w:val="nil"/>
            </w:tcBorders>
            <w:vAlign w:val="center"/>
          </w:tcPr>
          <w:p w14:paraId="5A35A46F">
            <w:pPr>
              <w:widowControl/>
              <w:jc w:val="center"/>
              <w:rPr>
                <w:rFonts w:hint="eastAsia" w:ascii="宋体" w:hAnsi="宋体" w:cs="宋体"/>
                <w:kern w:val="0"/>
                <w:szCs w:val="21"/>
                <w:highlight w:val="none"/>
              </w:rPr>
            </w:pPr>
            <w:r>
              <w:rPr>
                <w:rFonts w:hint="eastAsia" w:ascii="宋体" w:hAnsi="宋体" w:cs="宋体"/>
                <w:kern w:val="0"/>
                <w:szCs w:val="21"/>
                <w:highlight w:val="none"/>
              </w:rPr>
              <w:t>Z＜300</w:t>
            </w:r>
          </w:p>
        </w:tc>
      </w:tr>
      <w:tr w14:paraId="3686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1358" w:type="dxa"/>
            <w:vMerge w:val="restart"/>
            <w:tcBorders>
              <w:tl2br w:val="nil"/>
              <w:tr2bl w:val="nil"/>
            </w:tcBorders>
            <w:vAlign w:val="center"/>
          </w:tcPr>
          <w:p w14:paraId="21B3124A">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批发业</w:t>
            </w:r>
          </w:p>
        </w:tc>
        <w:tc>
          <w:tcPr>
            <w:tcW w:w="1486" w:type="dxa"/>
            <w:tcBorders>
              <w:tl2br w:val="nil"/>
              <w:tr2bl w:val="nil"/>
            </w:tcBorders>
            <w:vAlign w:val="center"/>
          </w:tcPr>
          <w:p w14:paraId="6DD17553">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1" w:type="dxa"/>
            <w:tcBorders>
              <w:tl2br w:val="nil"/>
              <w:tr2bl w:val="nil"/>
            </w:tcBorders>
            <w:vAlign w:val="center"/>
          </w:tcPr>
          <w:p w14:paraId="178EE631">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262" w:type="dxa"/>
            <w:tcBorders>
              <w:tl2br w:val="nil"/>
              <w:tr2bl w:val="nil"/>
            </w:tcBorders>
            <w:vAlign w:val="center"/>
          </w:tcPr>
          <w:p w14:paraId="6021B526">
            <w:pPr>
              <w:widowControl/>
              <w:jc w:val="center"/>
              <w:rPr>
                <w:rFonts w:hint="eastAsia" w:ascii="宋体" w:hAnsi="宋体" w:cs="宋体"/>
                <w:kern w:val="0"/>
                <w:szCs w:val="21"/>
                <w:highlight w:val="none"/>
              </w:rPr>
            </w:pPr>
            <w:r>
              <w:rPr>
                <w:rFonts w:hint="eastAsia" w:ascii="宋体" w:hAnsi="宋体" w:cs="宋体"/>
                <w:kern w:val="0"/>
                <w:szCs w:val="21"/>
                <w:highlight w:val="none"/>
              </w:rPr>
              <w:t>X≥200</w:t>
            </w:r>
          </w:p>
        </w:tc>
        <w:tc>
          <w:tcPr>
            <w:tcW w:w="1849" w:type="dxa"/>
            <w:tcBorders>
              <w:tl2br w:val="nil"/>
              <w:tr2bl w:val="nil"/>
            </w:tcBorders>
            <w:vAlign w:val="center"/>
          </w:tcPr>
          <w:p w14:paraId="082F5A5C">
            <w:pPr>
              <w:widowControl/>
              <w:jc w:val="center"/>
              <w:rPr>
                <w:rFonts w:hint="eastAsia" w:ascii="宋体" w:hAnsi="宋体" w:cs="宋体"/>
                <w:kern w:val="0"/>
                <w:szCs w:val="21"/>
                <w:highlight w:val="none"/>
              </w:rPr>
            </w:pPr>
            <w:r>
              <w:rPr>
                <w:rFonts w:hint="eastAsia" w:ascii="宋体" w:hAnsi="宋体" w:cs="宋体"/>
                <w:kern w:val="0"/>
                <w:szCs w:val="21"/>
                <w:highlight w:val="none"/>
              </w:rPr>
              <w:t>20≤X＜200</w:t>
            </w:r>
          </w:p>
        </w:tc>
        <w:tc>
          <w:tcPr>
            <w:tcW w:w="1649" w:type="dxa"/>
            <w:tcBorders>
              <w:tl2br w:val="nil"/>
              <w:tr2bl w:val="nil"/>
            </w:tcBorders>
            <w:vAlign w:val="center"/>
          </w:tcPr>
          <w:p w14:paraId="1BAA2FF3">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5≤X＜20</w:t>
            </w:r>
          </w:p>
        </w:tc>
        <w:tc>
          <w:tcPr>
            <w:tcW w:w="990" w:type="dxa"/>
            <w:tcBorders>
              <w:tl2br w:val="nil"/>
              <w:tr2bl w:val="nil"/>
            </w:tcBorders>
            <w:vAlign w:val="center"/>
          </w:tcPr>
          <w:p w14:paraId="6AFE3D6A">
            <w:pPr>
              <w:widowControl/>
              <w:jc w:val="center"/>
              <w:rPr>
                <w:rFonts w:hint="eastAsia" w:ascii="宋体" w:hAnsi="宋体" w:cs="宋体"/>
                <w:kern w:val="0"/>
                <w:szCs w:val="21"/>
                <w:highlight w:val="none"/>
              </w:rPr>
            </w:pPr>
            <w:r>
              <w:rPr>
                <w:rFonts w:hint="eastAsia" w:ascii="宋体" w:hAnsi="宋体" w:cs="宋体"/>
                <w:kern w:val="0"/>
                <w:szCs w:val="21"/>
                <w:highlight w:val="none"/>
              </w:rPr>
              <w:t>X＜5</w:t>
            </w:r>
          </w:p>
        </w:tc>
      </w:tr>
      <w:tr w14:paraId="09D0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358" w:type="dxa"/>
            <w:vMerge w:val="continue"/>
            <w:tcBorders>
              <w:tl2br w:val="nil"/>
              <w:tr2bl w:val="nil"/>
            </w:tcBorders>
            <w:vAlign w:val="center"/>
          </w:tcPr>
          <w:p w14:paraId="72E23901">
            <w:pPr>
              <w:widowControl/>
              <w:jc w:val="left"/>
              <w:rPr>
                <w:rFonts w:hint="eastAsia" w:ascii="宋体" w:hAnsi="宋体" w:cs="宋体"/>
                <w:kern w:val="0"/>
                <w:szCs w:val="21"/>
                <w:highlight w:val="none"/>
              </w:rPr>
            </w:pPr>
          </w:p>
        </w:tc>
        <w:tc>
          <w:tcPr>
            <w:tcW w:w="1486" w:type="dxa"/>
            <w:tcBorders>
              <w:tl2br w:val="nil"/>
              <w:tr2bl w:val="nil"/>
            </w:tcBorders>
            <w:vAlign w:val="center"/>
          </w:tcPr>
          <w:p w14:paraId="6BB1C981">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1" w:type="dxa"/>
            <w:tcBorders>
              <w:tl2br w:val="nil"/>
              <w:tr2bl w:val="nil"/>
            </w:tcBorders>
            <w:vAlign w:val="center"/>
          </w:tcPr>
          <w:p w14:paraId="1E8C5AAB">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262" w:type="dxa"/>
            <w:tcBorders>
              <w:tl2br w:val="nil"/>
              <w:tr2bl w:val="nil"/>
            </w:tcBorders>
            <w:vAlign w:val="center"/>
          </w:tcPr>
          <w:p w14:paraId="097F0EE4">
            <w:pPr>
              <w:widowControl/>
              <w:jc w:val="center"/>
              <w:rPr>
                <w:rFonts w:hint="eastAsia" w:ascii="宋体" w:hAnsi="宋体" w:cs="宋体"/>
                <w:kern w:val="0"/>
                <w:szCs w:val="21"/>
                <w:highlight w:val="none"/>
              </w:rPr>
            </w:pPr>
            <w:r>
              <w:rPr>
                <w:rFonts w:hint="eastAsia" w:ascii="宋体" w:hAnsi="宋体" w:cs="宋体"/>
                <w:kern w:val="0"/>
                <w:szCs w:val="21"/>
                <w:highlight w:val="none"/>
              </w:rPr>
              <w:t>Y≥40000</w:t>
            </w:r>
          </w:p>
        </w:tc>
        <w:tc>
          <w:tcPr>
            <w:tcW w:w="1849" w:type="dxa"/>
            <w:tcBorders>
              <w:tl2br w:val="nil"/>
              <w:tr2bl w:val="nil"/>
            </w:tcBorders>
            <w:vAlign w:val="center"/>
          </w:tcPr>
          <w:p w14:paraId="6A6B0037">
            <w:pPr>
              <w:widowControl/>
              <w:jc w:val="center"/>
              <w:rPr>
                <w:rFonts w:hint="eastAsia" w:ascii="宋体" w:hAnsi="宋体" w:cs="宋体"/>
                <w:kern w:val="0"/>
                <w:szCs w:val="21"/>
                <w:highlight w:val="none"/>
              </w:rPr>
            </w:pPr>
            <w:r>
              <w:rPr>
                <w:rFonts w:hint="eastAsia" w:ascii="宋体" w:hAnsi="宋体" w:cs="宋体"/>
                <w:kern w:val="0"/>
                <w:szCs w:val="21"/>
                <w:highlight w:val="none"/>
              </w:rPr>
              <w:t>5000≤Y＜40000</w:t>
            </w:r>
          </w:p>
        </w:tc>
        <w:tc>
          <w:tcPr>
            <w:tcW w:w="1649" w:type="dxa"/>
            <w:tcBorders>
              <w:tl2br w:val="nil"/>
              <w:tr2bl w:val="nil"/>
            </w:tcBorders>
            <w:vAlign w:val="center"/>
          </w:tcPr>
          <w:p w14:paraId="25F43172">
            <w:pPr>
              <w:widowControl/>
              <w:ind w:left="-1" w:leftChars="-1" w:hanging="1"/>
              <w:jc w:val="center"/>
              <w:rPr>
                <w:rFonts w:hint="eastAsia" w:ascii="宋体" w:hAnsi="宋体" w:cs="宋体"/>
                <w:kern w:val="0"/>
                <w:szCs w:val="21"/>
                <w:highlight w:val="none"/>
              </w:rPr>
            </w:pPr>
            <w:r>
              <w:rPr>
                <w:rFonts w:hint="eastAsia" w:ascii="宋体" w:hAnsi="宋体" w:cs="宋体"/>
                <w:kern w:val="0"/>
                <w:szCs w:val="21"/>
                <w:highlight w:val="none"/>
              </w:rPr>
              <w:t>1000≤Y＜5000</w:t>
            </w:r>
          </w:p>
        </w:tc>
        <w:tc>
          <w:tcPr>
            <w:tcW w:w="990" w:type="dxa"/>
            <w:tcBorders>
              <w:tl2br w:val="nil"/>
              <w:tr2bl w:val="nil"/>
            </w:tcBorders>
            <w:vAlign w:val="center"/>
          </w:tcPr>
          <w:p w14:paraId="2419B8BC">
            <w:pPr>
              <w:widowControl/>
              <w:jc w:val="center"/>
              <w:rPr>
                <w:rFonts w:hint="eastAsia" w:ascii="宋体" w:hAnsi="宋体" w:cs="宋体"/>
                <w:kern w:val="0"/>
                <w:szCs w:val="21"/>
                <w:highlight w:val="none"/>
              </w:rPr>
            </w:pPr>
            <w:r>
              <w:rPr>
                <w:rFonts w:hint="eastAsia" w:ascii="宋体" w:hAnsi="宋体" w:cs="宋体"/>
                <w:kern w:val="0"/>
                <w:szCs w:val="21"/>
                <w:highlight w:val="none"/>
              </w:rPr>
              <w:t>Y＜1000</w:t>
            </w:r>
          </w:p>
        </w:tc>
      </w:tr>
      <w:tr w14:paraId="44F2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1358" w:type="dxa"/>
            <w:vMerge w:val="restart"/>
            <w:tcBorders>
              <w:tl2br w:val="nil"/>
              <w:tr2bl w:val="nil"/>
            </w:tcBorders>
            <w:vAlign w:val="center"/>
          </w:tcPr>
          <w:p w14:paraId="2896E80D">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零售业</w:t>
            </w:r>
          </w:p>
        </w:tc>
        <w:tc>
          <w:tcPr>
            <w:tcW w:w="1486" w:type="dxa"/>
            <w:tcBorders>
              <w:tl2br w:val="nil"/>
              <w:tr2bl w:val="nil"/>
            </w:tcBorders>
            <w:vAlign w:val="center"/>
          </w:tcPr>
          <w:p w14:paraId="4050F757">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1" w:type="dxa"/>
            <w:tcBorders>
              <w:tl2br w:val="nil"/>
              <w:tr2bl w:val="nil"/>
            </w:tcBorders>
            <w:vAlign w:val="center"/>
          </w:tcPr>
          <w:p w14:paraId="7D2D9C6B">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262" w:type="dxa"/>
            <w:tcBorders>
              <w:tl2br w:val="nil"/>
              <w:tr2bl w:val="nil"/>
            </w:tcBorders>
            <w:vAlign w:val="center"/>
          </w:tcPr>
          <w:p w14:paraId="59D6B094">
            <w:pPr>
              <w:widowControl/>
              <w:jc w:val="center"/>
              <w:rPr>
                <w:rFonts w:hint="eastAsia" w:ascii="宋体" w:hAnsi="宋体" w:cs="宋体"/>
                <w:kern w:val="0"/>
                <w:szCs w:val="21"/>
                <w:highlight w:val="none"/>
              </w:rPr>
            </w:pPr>
            <w:r>
              <w:rPr>
                <w:rFonts w:hint="eastAsia" w:ascii="宋体" w:hAnsi="宋体" w:cs="宋体"/>
                <w:kern w:val="0"/>
                <w:szCs w:val="21"/>
                <w:highlight w:val="none"/>
              </w:rPr>
              <w:t>X≥300</w:t>
            </w:r>
          </w:p>
        </w:tc>
        <w:tc>
          <w:tcPr>
            <w:tcW w:w="1849" w:type="dxa"/>
            <w:tcBorders>
              <w:tl2br w:val="nil"/>
              <w:tr2bl w:val="nil"/>
            </w:tcBorders>
            <w:vAlign w:val="center"/>
          </w:tcPr>
          <w:p w14:paraId="1C40F369">
            <w:pPr>
              <w:widowControl/>
              <w:jc w:val="center"/>
              <w:rPr>
                <w:rFonts w:hint="eastAsia" w:ascii="宋体" w:hAnsi="宋体" w:cs="宋体"/>
                <w:kern w:val="0"/>
                <w:szCs w:val="21"/>
                <w:highlight w:val="none"/>
              </w:rPr>
            </w:pPr>
            <w:r>
              <w:rPr>
                <w:rFonts w:hint="eastAsia" w:ascii="宋体" w:hAnsi="宋体" w:cs="宋体"/>
                <w:kern w:val="0"/>
                <w:szCs w:val="21"/>
                <w:highlight w:val="none"/>
              </w:rPr>
              <w:t>50≤X＜300</w:t>
            </w:r>
          </w:p>
        </w:tc>
        <w:tc>
          <w:tcPr>
            <w:tcW w:w="1649" w:type="dxa"/>
            <w:tcBorders>
              <w:tl2br w:val="nil"/>
              <w:tr2bl w:val="nil"/>
            </w:tcBorders>
            <w:vAlign w:val="center"/>
          </w:tcPr>
          <w:p w14:paraId="02C6CE3A">
            <w:pPr>
              <w:widowControl/>
              <w:ind w:left="-1" w:leftChars="-1" w:hanging="1"/>
              <w:jc w:val="center"/>
              <w:rPr>
                <w:rFonts w:hint="eastAsia" w:ascii="宋体" w:hAnsi="宋体" w:cs="宋体"/>
                <w:kern w:val="0"/>
                <w:szCs w:val="21"/>
                <w:highlight w:val="none"/>
              </w:rPr>
            </w:pPr>
            <w:r>
              <w:rPr>
                <w:rFonts w:hint="eastAsia" w:ascii="宋体" w:hAnsi="宋体" w:cs="宋体"/>
                <w:kern w:val="0"/>
                <w:szCs w:val="21"/>
                <w:highlight w:val="none"/>
              </w:rPr>
              <w:t xml:space="preserve">10≤X＜50 </w:t>
            </w:r>
          </w:p>
        </w:tc>
        <w:tc>
          <w:tcPr>
            <w:tcW w:w="990" w:type="dxa"/>
            <w:tcBorders>
              <w:tl2br w:val="nil"/>
              <w:tr2bl w:val="nil"/>
            </w:tcBorders>
            <w:vAlign w:val="center"/>
          </w:tcPr>
          <w:p w14:paraId="1FE23AB3">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r w14:paraId="76E2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1358" w:type="dxa"/>
            <w:vMerge w:val="continue"/>
            <w:tcBorders>
              <w:tl2br w:val="nil"/>
              <w:tr2bl w:val="nil"/>
            </w:tcBorders>
            <w:vAlign w:val="center"/>
          </w:tcPr>
          <w:p w14:paraId="2AAECB95">
            <w:pPr>
              <w:widowControl/>
              <w:jc w:val="left"/>
              <w:rPr>
                <w:rFonts w:hint="eastAsia" w:ascii="宋体" w:hAnsi="宋体" w:cs="宋体"/>
                <w:kern w:val="0"/>
                <w:szCs w:val="21"/>
                <w:highlight w:val="none"/>
              </w:rPr>
            </w:pPr>
          </w:p>
        </w:tc>
        <w:tc>
          <w:tcPr>
            <w:tcW w:w="1486" w:type="dxa"/>
            <w:tcBorders>
              <w:tl2br w:val="nil"/>
              <w:tr2bl w:val="nil"/>
            </w:tcBorders>
            <w:vAlign w:val="center"/>
          </w:tcPr>
          <w:p w14:paraId="0EC4D90A">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1" w:type="dxa"/>
            <w:tcBorders>
              <w:tl2br w:val="nil"/>
              <w:tr2bl w:val="nil"/>
            </w:tcBorders>
            <w:vAlign w:val="center"/>
          </w:tcPr>
          <w:p w14:paraId="30C71A2B">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262" w:type="dxa"/>
            <w:tcBorders>
              <w:tl2br w:val="nil"/>
              <w:tr2bl w:val="nil"/>
            </w:tcBorders>
            <w:vAlign w:val="center"/>
          </w:tcPr>
          <w:p w14:paraId="6143ACAD">
            <w:pPr>
              <w:widowControl/>
              <w:jc w:val="center"/>
              <w:rPr>
                <w:rFonts w:hint="eastAsia" w:ascii="宋体" w:hAnsi="宋体" w:cs="宋体"/>
                <w:kern w:val="0"/>
                <w:szCs w:val="21"/>
                <w:highlight w:val="none"/>
              </w:rPr>
            </w:pPr>
            <w:r>
              <w:rPr>
                <w:rFonts w:hint="eastAsia" w:ascii="宋体" w:hAnsi="宋体" w:cs="宋体"/>
                <w:kern w:val="0"/>
                <w:szCs w:val="21"/>
                <w:highlight w:val="none"/>
              </w:rPr>
              <w:t>Y≥20000</w:t>
            </w:r>
          </w:p>
        </w:tc>
        <w:tc>
          <w:tcPr>
            <w:tcW w:w="1849" w:type="dxa"/>
            <w:tcBorders>
              <w:tl2br w:val="nil"/>
              <w:tr2bl w:val="nil"/>
            </w:tcBorders>
            <w:vAlign w:val="center"/>
          </w:tcPr>
          <w:p w14:paraId="7C444681">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500≤Y＜20000</w:t>
            </w:r>
          </w:p>
        </w:tc>
        <w:tc>
          <w:tcPr>
            <w:tcW w:w="1649" w:type="dxa"/>
            <w:tcBorders>
              <w:tl2br w:val="nil"/>
              <w:tr2bl w:val="nil"/>
            </w:tcBorders>
            <w:vAlign w:val="center"/>
          </w:tcPr>
          <w:p w14:paraId="6251C503">
            <w:pPr>
              <w:widowControl/>
              <w:ind w:left="-1" w:leftChars="-1" w:hanging="1"/>
              <w:jc w:val="center"/>
              <w:rPr>
                <w:rFonts w:hint="eastAsia" w:ascii="宋体" w:hAnsi="宋体" w:cs="宋体"/>
                <w:kern w:val="0"/>
                <w:szCs w:val="21"/>
                <w:highlight w:val="none"/>
              </w:rPr>
            </w:pPr>
            <w:r>
              <w:rPr>
                <w:rFonts w:hint="eastAsia" w:ascii="宋体" w:hAnsi="宋体" w:cs="宋体"/>
                <w:kern w:val="0"/>
                <w:szCs w:val="21"/>
                <w:highlight w:val="none"/>
              </w:rPr>
              <w:t xml:space="preserve">100≤Y＜500 </w:t>
            </w:r>
          </w:p>
        </w:tc>
        <w:tc>
          <w:tcPr>
            <w:tcW w:w="990" w:type="dxa"/>
            <w:tcBorders>
              <w:tl2br w:val="nil"/>
              <w:tr2bl w:val="nil"/>
            </w:tcBorders>
            <w:vAlign w:val="center"/>
          </w:tcPr>
          <w:p w14:paraId="75FFF18F">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2E9F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58" w:type="dxa"/>
            <w:vMerge w:val="restart"/>
            <w:tcBorders>
              <w:tl2br w:val="nil"/>
              <w:tr2bl w:val="nil"/>
            </w:tcBorders>
            <w:vAlign w:val="center"/>
          </w:tcPr>
          <w:p w14:paraId="7934E217">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交通运输业 *</w:t>
            </w:r>
          </w:p>
        </w:tc>
        <w:tc>
          <w:tcPr>
            <w:tcW w:w="1486" w:type="dxa"/>
            <w:tcBorders>
              <w:tl2br w:val="nil"/>
              <w:tr2bl w:val="nil"/>
            </w:tcBorders>
            <w:vAlign w:val="center"/>
          </w:tcPr>
          <w:p w14:paraId="7CD29672">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1" w:type="dxa"/>
            <w:tcBorders>
              <w:tl2br w:val="nil"/>
              <w:tr2bl w:val="nil"/>
            </w:tcBorders>
            <w:vAlign w:val="center"/>
          </w:tcPr>
          <w:p w14:paraId="35E28AA0">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262" w:type="dxa"/>
            <w:tcBorders>
              <w:tl2br w:val="nil"/>
              <w:tr2bl w:val="nil"/>
            </w:tcBorders>
            <w:vAlign w:val="center"/>
          </w:tcPr>
          <w:p w14:paraId="4EECF5AA">
            <w:pPr>
              <w:widowControl/>
              <w:jc w:val="center"/>
              <w:rPr>
                <w:rFonts w:hint="eastAsia" w:ascii="宋体" w:hAnsi="宋体" w:cs="宋体"/>
                <w:kern w:val="0"/>
                <w:szCs w:val="21"/>
                <w:highlight w:val="none"/>
              </w:rPr>
            </w:pPr>
            <w:r>
              <w:rPr>
                <w:rFonts w:hint="eastAsia" w:ascii="宋体" w:hAnsi="宋体" w:cs="宋体"/>
                <w:kern w:val="0"/>
                <w:szCs w:val="21"/>
                <w:highlight w:val="none"/>
              </w:rPr>
              <w:t>X≥1000</w:t>
            </w:r>
          </w:p>
        </w:tc>
        <w:tc>
          <w:tcPr>
            <w:tcW w:w="1849" w:type="dxa"/>
            <w:tcBorders>
              <w:tl2br w:val="nil"/>
              <w:tr2bl w:val="nil"/>
            </w:tcBorders>
            <w:vAlign w:val="center"/>
          </w:tcPr>
          <w:p w14:paraId="739956EB">
            <w:pPr>
              <w:widowControl/>
              <w:jc w:val="center"/>
              <w:rPr>
                <w:rFonts w:hint="eastAsia" w:ascii="宋体" w:hAnsi="宋体" w:cs="宋体"/>
                <w:kern w:val="0"/>
                <w:szCs w:val="21"/>
                <w:highlight w:val="none"/>
              </w:rPr>
            </w:pPr>
            <w:r>
              <w:rPr>
                <w:rFonts w:hint="eastAsia" w:ascii="宋体" w:hAnsi="宋体" w:cs="宋体"/>
                <w:kern w:val="0"/>
                <w:szCs w:val="21"/>
                <w:highlight w:val="none"/>
              </w:rPr>
              <w:t>300≤X＜1000</w:t>
            </w:r>
          </w:p>
        </w:tc>
        <w:tc>
          <w:tcPr>
            <w:tcW w:w="1649" w:type="dxa"/>
            <w:tcBorders>
              <w:tl2br w:val="nil"/>
              <w:tr2bl w:val="nil"/>
            </w:tcBorders>
            <w:vAlign w:val="center"/>
          </w:tcPr>
          <w:p w14:paraId="5CA85F3E">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20≤X＜300</w:t>
            </w:r>
          </w:p>
        </w:tc>
        <w:tc>
          <w:tcPr>
            <w:tcW w:w="990" w:type="dxa"/>
            <w:tcBorders>
              <w:tl2br w:val="nil"/>
              <w:tr2bl w:val="nil"/>
            </w:tcBorders>
            <w:vAlign w:val="center"/>
          </w:tcPr>
          <w:p w14:paraId="425AC0B0">
            <w:pPr>
              <w:widowControl/>
              <w:jc w:val="center"/>
              <w:rPr>
                <w:rFonts w:hint="eastAsia" w:ascii="宋体" w:hAnsi="宋体" w:cs="宋体"/>
                <w:kern w:val="0"/>
                <w:szCs w:val="21"/>
                <w:highlight w:val="none"/>
              </w:rPr>
            </w:pPr>
            <w:r>
              <w:rPr>
                <w:rFonts w:hint="eastAsia" w:ascii="宋体" w:hAnsi="宋体" w:cs="宋体"/>
                <w:kern w:val="0"/>
                <w:szCs w:val="21"/>
                <w:highlight w:val="none"/>
              </w:rPr>
              <w:t>X＜20</w:t>
            </w:r>
          </w:p>
        </w:tc>
      </w:tr>
      <w:tr w14:paraId="2BB4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358" w:type="dxa"/>
            <w:vMerge w:val="continue"/>
            <w:tcBorders>
              <w:tl2br w:val="nil"/>
              <w:tr2bl w:val="nil"/>
            </w:tcBorders>
            <w:vAlign w:val="center"/>
          </w:tcPr>
          <w:p w14:paraId="24EC6CF1">
            <w:pPr>
              <w:widowControl/>
              <w:jc w:val="left"/>
              <w:rPr>
                <w:rFonts w:hint="eastAsia" w:ascii="宋体" w:hAnsi="宋体" w:cs="宋体"/>
                <w:kern w:val="0"/>
                <w:szCs w:val="21"/>
                <w:highlight w:val="none"/>
              </w:rPr>
            </w:pPr>
          </w:p>
        </w:tc>
        <w:tc>
          <w:tcPr>
            <w:tcW w:w="1486" w:type="dxa"/>
            <w:tcBorders>
              <w:tl2br w:val="nil"/>
              <w:tr2bl w:val="nil"/>
            </w:tcBorders>
            <w:vAlign w:val="center"/>
          </w:tcPr>
          <w:p w14:paraId="1D1C0CF4">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1" w:type="dxa"/>
            <w:tcBorders>
              <w:tl2br w:val="nil"/>
              <w:tr2bl w:val="nil"/>
            </w:tcBorders>
            <w:vAlign w:val="center"/>
          </w:tcPr>
          <w:p w14:paraId="5829B758">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262" w:type="dxa"/>
            <w:tcBorders>
              <w:tl2br w:val="nil"/>
              <w:tr2bl w:val="nil"/>
            </w:tcBorders>
            <w:vAlign w:val="center"/>
          </w:tcPr>
          <w:p w14:paraId="536B887A">
            <w:pPr>
              <w:widowControl/>
              <w:jc w:val="center"/>
              <w:rPr>
                <w:rFonts w:hint="eastAsia" w:ascii="宋体" w:hAnsi="宋体" w:cs="宋体"/>
                <w:kern w:val="0"/>
                <w:szCs w:val="21"/>
                <w:highlight w:val="none"/>
              </w:rPr>
            </w:pPr>
            <w:r>
              <w:rPr>
                <w:rFonts w:hint="eastAsia" w:ascii="宋体" w:hAnsi="宋体" w:cs="宋体"/>
                <w:kern w:val="0"/>
                <w:szCs w:val="21"/>
                <w:highlight w:val="none"/>
              </w:rPr>
              <w:t>Y≥30000</w:t>
            </w:r>
          </w:p>
        </w:tc>
        <w:tc>
          <w:tcPr>
            <w:tcW w:w="1849" w:type="dxa"/>
            <w:tcBorders>
              <w:tl2br w:val="nil"/>
              <w:tr2bl w:val="nil"/>
            </w:tcBorders>
            <w:vAlign w:val="center"/>
          </w:tcPr>
          <w:p w14:paraId="5F5FA488">
            <w:pPr>
              <w:widowControl/>
              <w:jc w:val="center"/>
              <w:rPr>
                <w:rFonts w:hint="eastAsia" w:ascii="宋体" w:hAnsi="宋体" w:cs="宋体"/>
                <w:kern w:val="0"/>
                <w:szCs w:val="21"/>
                <w:highlight w:val="none"/>
              </w:rPr>
            </w:pPr>
            <w:r>
              <w:rPr>
                <w:rFonts w:hint="eastAsia" w:ascii="宋体" w:hAnsi="宋体" w:cs="宋体"/>
                <w:kern w:val="0"/>
                <w:szCs w:val="21"/>
                <w:highlight w:val="none"/>
              </w:rPr>
              <w:t>3000≤Y＜30000</w:t>
            </w:r>
          </w:p>
        </w:tc>
        <w:tc>
          <w:tcPr>
            <w:tcW w:w="1649" w:type="dxa"/>
            <w:tcBorders>
              <w:tl2br w:val="nil"/>
              <w:tr2bl w:val="nil"/>
            </w:tcBorders>
            <w:vAlign w:val="center"/>
          </w:tcPr>
          <w:p w14:paraId="7337EB0A">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200≤Y＜3000</w:t>
            </w:r>
          </w:p>
        </w:tc>
        <w:tc>
          <w:tcPr>
            <w:tcW w:w="990" w:type="dxa"/>
            <w:tcBorders>
              <w:tl2br w:val="nil"/>
              <w:tr2bl w:val="nil"/>
            </w:tcBorders>
            <w:vAlign w:val="center"/>
          </w:tcPr>
          <w:p w14:paraId="4340E594">
            <w:pPr>
              <w:widowControl/>
              <w:jc w:val="center"/>
              <w:rPr>
                <w:rFonts w:hint="eastAsia" w:ascii="宋体" w:hAnsi="宋体" w:cs="宋体"/>
                <w:kern w:val="0"/>
                <w:szCs w:val="21"/>
                <w:highlight w:val="none"/>
              </w:rPr>
            </w:pPr>
            <w:r>
              <w:rPr>
                <w:rFonts w:hint="eastAsia" w:ascii="宋体" w:hAnsi="宋体" w:cs="宋体"/>
                <w:kern w:val="0"/>
                <w:szCs w:val="21"/>
                <w:highlight w:val="none"/>
              </w:rPr>
              <w:t>Y＜200</w:t>
            </w:r>
          </w:p>
        </w:tc>
      </w:tr>
      <w:tr w14:paraId="166E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1358" w:type="dxa"/>
            <w:vMerge w:val="restart"/>
            <w:tcBorders>
              <w:tl2br w:val="nil"/>
              <w:tr2bl w:val="nil"/>
            </w:tcBorders>
            <w:vAlign w:val="center"/>
          </w:tcPr>
          <w:p w14:paraId="3CB59AEE">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仓储业*</w:t>
            </w:r>
          </w:p>
        </w:tc>
        <w:tc>
          <w:tcPr>
            <w:tcW w:w="1486" w:type="dxa"/>
            <w:tcBorders>
              <w:tl2br w:val="nil"/>
              <w:tr2bl w:val="nil"/>
            </w:tcBorders>
            <w:vAlign w:val="center"/>
          </w:tcPr>
          <w:p w14:paraId="1E0561EC">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1" w:type="dxa"/>
            <w:tcBorders>
              <w:tl2br w:val="nil"/>
              <w:tr2bl w:val="nil"/>
            </w:tcBorders>
            <w:vAlign w:val="center"/>
          </w:tcPr>
          <w:p w14:paraId="4F8A5CD2">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262" w:type="dxa"/>
            <w:tcBorders>
              <w:tl2br w:val="nil"/>
              <w:tr2bl w:val="nil"/>
            </w:tcBorders>
            <w:vAlign w:val="center"/>
          </w:tcPr>
          <w:p w14:paraId="0A17C613">
            <w:pPr>
              <w:widowControl/>
              <w:jc w:val="center"/>
              <w:rPr>
                <w:rFonts w:hint="eastAsia" w:ascii="宋体" w:hAnsi="宋体" w:cs="宋体"/>
                <w:kern w:val="0"/>
                <w:szCs w:val="21"/>
                <w:highlight w:val="none"/>
              </w:rPr>
            </w:pPr>
            <w:r>
              <w:rPr>
                <w:rFonts w:hint="eastAsia" w:ascii="宋体" w:hAnsi="宋体" w:cs="宋体"/>
                <w:kern w:val="0"/>
                <w:szCs w:val="21"/>
                <w:highlight w:val="none"/>
              </w:rPr>
              <w:t>X≥200</w:t>
            </w:r>
          </w:p>
        </w:tc>
        <w:tc>
          <w:tcPr>
            <w:tcW w:w="1849" w:type="dxa"/>
            <w:tcBorders>
              <w:tl2br w:val="nil"/>
              <w:tr2bl w:val="nil"/>
            </w:tcBorders>
            <w:vAlign w:val="center"/>
          </w:tcPr>
          <w:p w14:paraId="4D167BF3">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100≤X＜200</w:t>
            </w:r>
          </w:p>
        </w:tc>
        <w:tc>
          <w:tcPr>
            <w:tcW w:w="1649" w:type="dxa"/>
            <w:tcBorders>
              <w:tl2br w:val="nil"/>
              <w:tr2bl w:val="nil"/>
            </w:tcBorders>
            <w:vAlign w:val="center"/>
          </w:tcPr>
          <w:p w14:paraId="729E0A31">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20≤X＜100</w:t>
            </w:r>
          </w:p>
        </w:tc>
        <w:tc>
          <w:tcPr>
            <w:tcW w:w="990" w:type="dxa"/>
            <w:tcBorders>
              <w:tl2br w:val="nil"/>
              <w:tr2bl w:val="nil"/>
            </w:tcBorders>
            <w:vAlign w:val="center"/>
          </w:tcPr>
          <w:p w14:paraId="33F9EFBD">
            <w:pPr>
              <w:widowControl/>
              <w:jc w:val="center"/>
              <w:rPr>
                <w:rFonts w:hint="eastAsia" w:ascii="宋体" w:hAnsi="宋体" w:cs="宋体"/>
                <w:kern w:val="0"/>
                <w:szCs w:val="21"/>
                <w:highlight w:val="none"/>
              </w:rPr>
            </w:pPr>
            <w:r>
              <w:rPr>
                <w:rFonts w:hint="eastAsia" w:ascii="宋体" w:hAnsi="宋体" w:cs="宋体"/>
                <w:kern w:val="0"/>
                <w:szCs w:val="21"/>
                <w:highlight w:val="none"/>
              </w:rPr>
              <w:t>X＜20</w:t>
            </w:r>
          </w:p>
        </w:tc>
      </w:tr>
      <w:tr w14:paraId="76CE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358" w:type="dxa"/>
            <w:vMerge w:val="continue"/>
            <w:tcBorders>
              <w:tl2br w:val="nil"/>
              <w:tr2bl w:val="nil"/>
            </w:tcBorders>
            <w:vAlign w:val="center"/>
          </w:tcPr>
          <w:p w14:paraId="3AC2A961">
            <w:pPr>
              <w:widowControl/>
              <w:jc w:val="left"/>
              <w:rPr>
                <w:rFonts w:hint="eastAsia" w:ascii="宋体" w:hAnsi="宋体" w:cs="宋体"/>
                <w:kern w:val="0"/>
                <w:szCs w:val="21"/>
                <w:highlight w:val="none"/>
              </w:rPr>
            </w:pPr>
          </w:p>
        </w:tc>
        <w:tc>
          <w:tcPr>
            <w:tcW w:w="1486" w:type="dxa"/>
            <w:tcBorders>
              <w:tl2br w:val="nil"/>
              <w:tr2bl w:val="nil"/>
            </w:tcBorders>
            <w:vAlign w:val="center"/>
          </w:tcPr>
          <w:p w14:paraId="58E8CD9F">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1" w:type="dxa"/>
            <w:tcBorders>
              <w:tl2br w:val="nil"/>
              <w:tr2bl w:val="nil"/>
            </w:tcBorders>
            <w:vAlign w:val="center"/>
          </w:tcPr>
          <w:p w14:paraId="76252F5D">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262" w:type="dxa"/>
            <w:tcBorders>
              <w:tl2br w:val="nil"/>
              <w:tr2bl w:val="nil"/>
            </w:tcBorders>
            <w:vAlign w:val="center"/>
          </w:tcPr>
          <w:p w14:paraId="0B97047D">
            <w:pPr>
              <w:widowControl/>
              <w:jc w:val="center"/>
              <w:rPr>
                <w:rFonts w:hint="eastAsia" w:ascii="宋体" w:hAnsi="宋体" w:cs="宋体"/>
                <w:kern w:val="0"/>
                <w:szCs w:val="21"/>
                <w:highlight w:val="none"/>
              </w:rPr>
            </w:pPr>
            <w:r>
              <w:rPr>
                <w:rFonts w:hint="eastAsia" w:ascii="宋体" w:hAnsi="宋体" w:cs="宋体"/>
                <w:kern w:val="0"/>
                <w:szCs w:val="21"/>
                <w:highlight w:val="none"/>
              </w:rPr>
              <w:t>Y≥30000</w:t>
            </w:r>
          </w:p>
        </w:tc>
        <w:tc>
          <w:tcPr>
            <w:tcW w:w="1849" w:type="dxa"/>
            <w:tcBorders>
              <w:tl2br w:val="nil"/>
              <w:tr2bl w:val="nil"/>
            </w:tcBorders>
            <w:vAlign w:val="center"/>
          </w:tcPr>
          <w:p w14:paraId="3B93F312">
            <w:pPr>
              <w:widowControl/>
              <w:jc w:val="center"/>
              <w:rPr>
                <w:rFonts w:hint="eastAsia" w:ascii="宋体" w:hAnsi="宋体" w:cs="宋体"/>
                <w:kern w:val="0"/>
                <w:szCs w:val="21"/>
                <w:highlight w:val="none"/>
              </w:rPr>
            </w:pPr>
            <w:r>
              <w:rPr>
                <w:rFonts w:hint="eastAsia" w:ascii="宋体" w:hAnsi="宋体" w:cs="宋体"/>
                <w:kern w:val="0"/>
                <w:szCs w:val="21"/>
                <w:highlight w:val="none"/>
              </w:rPr>
              <w:t>1000≤Y＜30000</w:t>
            </w:r>
          </w:p>
        </w:tc>
        <w:tc>
          <w:tcPr>
            <w:tcW w:w="1649" w:type="dxa"/>
            <w:tcBorders>
              <w:tl2br w:val="nil"/>
              <w:tr2bl w:val="nil"/>
            </w:tcBorders>
            <w:vAlign w:val="center"/>
          </w:tcPr>
          <w:p w14:paraId="35E0D434">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100≤Y＜1000</w:t>
            </w:r>
          </w:p>
        </w:tc>
        <w:tc>
          <w:tcPr>
            <w:tcW w:w="990" w:type="dxa"/>
            <w:tcBorders>
              <w:tl2br w:val="nil"/>
              <w:tr2bl w:val="nil"/>
            </w:tcBorders>
            <w:vAlign w:val="center"/>
          </w:tcPr>
          <w:p w14:paraId="0D39A07E">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180D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1358" w:type="dxa"/>
            <w:vMerge w:val="restart"/>
            <w:tcBorders>
              <w:tl2br w:val="nil"/>
              <w:tr2bl w:val="nil"/>
            </w:tcBorders>
            <w:vAlign w:val="center"/>
          </w:tcPr>
          <w:p w14:paraId="71EF96B9">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邮政业</w:t>
            </w:r>
          </w:p>
        </w:tc>
        <w:tc>
          <w:tcPr>
            <w:tcW w:w="1486" w:type="dxa"/>
            <w:tcBorders>
              <w:tl2br w:val="nil"/>
              <w:tr2bl w:val="nil"/>
            </w:tcBorders>
            <w:vAlign w:val="center"/>
          </w:tcPr>
          <w:p w14:paraId="0F762907">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1" w:type="dxa"/>
            <w:tcBorders>
              <w:tl2br w:val="nil"/>
              <w:tr2bl w:val="nil"/>
            </w:tcBorders>
            <w:vAlign w:val="center"/>
          </w:tcPr>
          <w:p w14:paraId="4310A1B9">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262" w:type="dxa"/>
            <w:tcBorders>
              <w:tl2br w:val="nil"/>
              <w:tr2bl w:val="nil"/>
            </w:tcBorders>
            <w:vAlign w:val="center"/>
          </w:tcPr>
          <w:p w14:paraId="7019082D">
            <w:pPr>
              <w:widowControl/>
              <w:jc w:val="center"/>
              <w:rPr>
                <w:rFonts w:hint="eastAsia" w:ascii="宋体" w:hAnsi="宋体" w:cs="宋体"/>
                <w:kern w:val="0"/>
                <w:szCs w:val="21"/>
                <w:highlight w:val="none"/>
              </w:rPr>
            </w:pPr>
            <w:r>
              <w:rPr>
                <w:rFonts w:hint="eastAsia" w:ascii="宋体" w:hAnsi="宋体" w:cs="宋体"/>
                <w:kern w:val="0"/>
                <w:szCs w:val="21"/>
                <w:highlight w:val="none"/>
              </w:rPr>
              <w:t>X≥1000</w:t>
            </w:r>
          </w:p>
        </w:tc>
        <w:tc>
          <w:tcPr>
            <w:tcW w:w="1849" w:type="dxa"/>
            <w:tcBorders>
              <w:tl2br w:val="nil"/>
              <w:tr2bl w:val="nil"/>
            </w:tcBorders>
            <w:vAlign w:val="center"/>
          </w:tcPr>
          <w:p w14:paraId="0B5B9B9D">
            <w:pPr>
              <w:widowControl/>
              <w:jc w:val="center"/>
              <w:rPr>
                <w:rFonts w:hint="eastAsia" w:ascii="宋体" w:hAnsi="宋体" w:cs="宋体"/>
                <w:kern w:val="0"/>
                <w:szCs w:val="21"/>
                <w:highlight w:val="none"/>
              </w:rPr>
            </w:pPr>
            <w:r>
              <w:rPr>
                <w:rFonts w:hint="eastAsia" w:ascii="宋体" w:hAnsi="宋体" w:cs="宋体"/>
                <w:kern w:val="0"/>
                <w:szCs w:val="21"/>
                <w:highlight w:val="none"/>
              </w:rPr>
              <w:t>300≤X＜1000</w:t>
            </w:r>
          </w:p>
        </w:tc>
        <w:tc>
          <w:tcPr>
            <w:tcW w:w="1649" w:type="dxa"/>
            <w:tcBorders>
              <w:tl2br w:val="nil"/>
              <w:tr2bl w:val="nil"/>
            </w:tcBorders>
            <w:vAlign w:val="center"/>
          </w:tcPr>
          <w:p w14:paraId="546D93DA">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20≤X＜300</w:t>
            </w:r>
          </w:p>
        </w:tc>
        <w:tc>
          <w:tcPr>
            <w:tcW w:w="990" w:type="dxa"/>
            <w:tcBorders>
              <w:tl2br w:val="nil"/>
              <w:tr2bl w:val="nil"/>
            </w:tcBorders>
            <w:vAlign w:val="center"/>
          </w:tcPr>
          <w:p w14:paraId="0ACDE66B">
            <w:pPr>
              <w:widowControl/>
              <w:jc w:val="center"/>
              <w:rPr>
                <w:rFonts w:hint="eastAsia" w:ascii="宋体" w:hAnsi="宋体" w:cs="宋体"/>
                <w:kern w:val="0"/>
                <w:szCs w:val="21"/>
                <w:highlight w:val="none"/>
              </w:rPr>
            </w:pPr>
            <w:r>
              <w:rPr>
                <w:rFonts w:hint="eastAsia" w:ascii="宋体" w:hAnsi="宋体" w:cs="宋体"/>
                <w:kern w:val="0"/>
                <w:szCs w:val="21"/>
                <w:highlight w:val="none"/>
              </w:rPr>
              <w:t>X＜20</w:t>
            </w:r>
          </w:p>
        </w:tc>
      </w:tr>
      <w:tr w14:paraId="638E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358" w:type="dxa"/>
            <w:vMerge w:val="continue"/>
            <w:tcBorders>
              <w:tl2br w:val="nil"/>
              <w:tr2bl w:val="nil"/>
            </w:tcBorders>
            <w:vAlign w:val="center"/>
          </w:tcPr>
          <w:p w14:paraId="51DB7F24">
            <w:pPr>
              <w:widowControl/>
              <w:jc w:val="left"/>
              <w:rPr>
                <w:rFonts w:hint="eastAsia" w:ascii="宋体" w:hAnsi="宋体" w:cs="宋体"/>
                <w:kern w:val="0"/>
                <w:szCs w:val="21"/>
                <w:highlight w:val="none"/>
              </w:rPr>
            </w:pPr>
          </w:p>
        </w:tc>
        <w:tc>
          <w:tcPr>
            <w:tcW w:w="1486" w:type="dxa"/>
            <w:tcBorders>
              <w:tl2br w:val="nil"/>
              <w:tr2bl w:val="nil"/>
            </w:tcBorders>
            <w:vAlign w:val="center"/>
          </w:tcPr>
          <w:p w14:paraId="6CA96091">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1" w:type="dxa"/>
            <w:tcBorders>
              <w:tl2br w:val="nil"/>
              <w:tr2bl w:val="nil"/>
            </w:tcBorders>
            <w:vAlign w:val="center"/>
          </w:tcPr>
          <w:p w14:paraId="38EA885F">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262" w:type="dxa"/>
            <w:tcBorders>
              <w:tl2br w:val="nil"/>
              <w:tr2bl w:val="nil"/>
            </w:tcBorders>
            <w:vAlign w:val="center"/>
          </w:tcPr>
          <w:p w14:paraId="187E7B5B">
            <w:pPr>
              <w:widowControl/>
              <w:jc w:val="center"/>
              <w:rPr>
                <w:rFonts w:hint="eastAsia" w:ascii="宋体" w:hAnsi="宋体" w:cs="宋体"/>
                <w:kern w:val="0"/>
                <w:szCs w:val="21"/>
                <w:highlight w:val="none"/>
              </w:rPr>
            </w:pPr>
            <w:r>
              <w:rPr>
                <w:rFonts w:hint="eastAsia" w:ascii="宋体" w:hAnsi="宋体" w:cs="宋体"/>
                <w:kern w:val="0"/>
                <w:szCs w:val="21"/>
                <w:highlight w:val="none"/>
              </w:rPr>
              <w:t>Y≥30000</w:t>
            </w:r>
          </w:p>
        </w:tc>
        <w:tc>
          <w:tcPr>
            <w:tcW w:w="1849" w:type="dxa"/>
            <w:tcBorders>
              <w:tl2br w:val="nil"/>
              <w:tr2bl w:val="nil"/>
            </w:tcBorders>
            <w:vAlign w:val="center"/>
          </w:tcPr>
          <w:p w14:paraId="474F198A">
            <w:pPr>
              <w:widowControl/>
              <w:jc w:val="center"/>
              <w:rPr>
                <w:rFonts w:hint="eastAsia" w:ascii="宋体" w:hAnsi="宋体" w:cs="宋体"/>
                <w:kern w:val="0"/>
                <w:szCs w:val="21"/>
                <w:highlight w:val="none"/>
              </w:rPr>
            </w:pPr>
            <w:r>
              <w:rPr>
                <w:rFonts w:hint="eastAsia" w:ascii="宋体" w:hAnsi="宋体" w:cs="宋体"/>
                <w:kern w:val="0"/>
                <w:szCs w:val="21"/>
                <w:highlight w:val="none"/>
              </w:rPr>
              <w:t>2000≤Y＜30000</w:t>
            </w:r>
          </w:p>
        </w:tc>
        <w:tc>
          <w:tcPr>
            <w:tcW w:w="1649" w:type="dxa"/>
            <w:tcBorders>
              <w:tl2br w:val="nil"/>
              <w:tr2bl w:val="nil"/>
            </w:tcBorders>
            <w:vAlign w:val="center"/>
          </w:tcPr>
          <w:p w14:paraId="4093A7E9">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100≤Y＜2000</w:t>
            </w:r>
          </w:p>
        </w:tc>
        <w:tc>
          <w:tcPr>
            <w:tcW w:w="990" w:type="dxa"/>
            <w:tcBorders>
              <w:tl2br w:val="nil"/>
              <w:tr2bl w:val="nil"/>
            </w:tcBorders>
            <w:vAlign w:val="center"/>
          </w:tcPr>
          <w:p w14:paraId="7B9D7B3E">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5700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358" w:type="dxa"/>
            <w:vMerge w:val="restart"/>
            <w:tcBorders>
              <w:tl2br w:val="nil"/>
              <w:tr2bl w:val="nil"/>
            </w:tcBorders>
            <w:vAlign w:val="center"/>
          </w:tcPr>
          <w:p w14:paraId="5A729224">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住宿业</w:t>
            </w:r>
          </w:p>
        </w:tc>
        <w:tc>
          <w:tcPr>
            <w:tcW w:w="1486" w:type="dxa"/>
            <w:tcBorders>
              <w:tl2br w:val="nil"/>
              <w:tr2bl w:val="nil"/>
            </w:tcBorders>
            <w:vAlign w:val="center"/>
          </w:tcPr>
          <w:p w14:paraId="785D58B9">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1" w:type="dxa"/>
            <w:tcBorders>
              <w:tl2br w:val="nil"/>
              <w:tr2bl w:val="nil"/>
            </w:tcBorders>
            <w:vAlign w:val="center"/>
          </w:tcPr>
          <w:p w14:paraId="3021B5C2">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262" w:type="dxa"/>
            <w:tcBorders>
              <w:tl2br w:val="nil"/>
              <w:tr2bl w:val="nil"/>
            </w:tcBorders>
            <w:vAlign w:val="center"/>
          </w:tcPr>
          <w:p w14:paraId="18469365">
            <w:pPr>
              <w:widowControl/>
              <w:jc w:val="center"/>
              <w:rPr>
                <w:rFonts w:hint="eastAsia" w:ascii="宋体" w:hAnsi="宋体" w:cs="宋体"/>
                <w:kern w:val="0"/>
                <w:szCs w:val="21"/>
                <w:highlight w:val="none"/>
              </w:rPr>
            </w:pPr>
            <w:r>
              <w:rPr>
                <w:rFonts w:hint="eastAsia" w:ascii="宋体" w:hAnsi="宋体" w:cs="宋体"/>
                <w:kern w:val="0"/>
                <w:szCs w:val="21"/>
                <w:highlight w:val="none"/>
              </w:rPr>
              <w:t>X≥300</w:t>
            </w:r>
          </w:p>
        </w:tc>
        <w:tc>
          <w:tcPr>
            <w:tcW w:w="1849" w:type="dxa"/>
            <w:tcBorders>
              <w:tl2br w:val="nil"/>
              <w:tr2bl w:val="nil"/>
            </w:tcBorders>
            <w:vAlign w:val="center"/>
          </w:tcPr>
          <w:p w14:paraId="66913AD8">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 xml:space="preserve">100≤X＜300 </w:t>
            </w:r>
          </w:p>
        </w:tc>
        <w:tc>
          <w:tcPr>
            <w:tcW w:w="1649" w:type="dxa"/>
            <w:tcBorders>
              <w:tl2br w:val="nil"/>
              <w:tr2bl w:val="nil"/>
            </w:tcBorders>
            <w:vAlign w:val="center"/>
          </w:tcPr>
          <w:p w14:paraId="6C8B504D">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10≤X＜100</w:t>
            </w:r>
          </w:p>
        </w:tc>
        <w:tc>
          <w:tcPr>
            <w:tcW w:w="990" w:type="dxa"/>
            <w:tcBorders>
              <w:tl2br w:val="nil"/>
              <w:tr2bl w:val="nil"/>
            </w:tcBorders>
            <w:vAlign w:val="center"/>
          </w:tcPr>
          <w:p w14:paraId="37948007">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r w14:paraId="21FB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1358" w:type="dxa"/>
            <w:vMerge w:val="continue"/>
            <w:tcBorders>
              <w:tl2br w:val="nil"/>
              <w:tr2bl w:val="nil"/>
            </w:tcBorders>
            <w:vAlign w:val="center"/>
          </w:tcPr>
          <w:p w14:paraId="41EF371B">
            <w:pPr>
              <w:widowControl/>
              <w:jc w:val="left"/>
              <w:rPr>
                <w:rFonts w:hint="eastAsia" w:ascii="宋体" w:hAnsi="宋体" w:cs="宋体"/>
                <w:kern w:val="0"/>
                <w:szCs w:val="21"/>
                <w:highlight w:val="none"/>
              </w:rPr>
            </w:pPr>
          </w:p>
        </w:tc>
        <w:tc>
          <w:tcPr>
            <w:tcW w:w="1486" w:type="dxa"/>
            <w:tcBorders>
              <w:tl2br w:val="nil"/>
              <w:tr2bl w:val="nil"/>
            </w:tcBorders>
            <w:vAlign w:val="center"/>
          </w:tcPr>
          <w:p w14:paraId="1121E380">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1" w:type="dxa"/>
            <w:tcBorders>
              <w:tl2br w:val="nil"/>
              <w:tr2bl w:val="nil"/>
            </w:tcBorders>
            <w:vAlign w:val="center"/>
          </w:tcPr>
          <w:p w14:paraId="5C214D10">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262" w:type="dxa"/>
            <w:tcBorders>
              <w:tl2br w:val="nil"/>
              <w:tr2bl w:val="nil"/>
            </w:tcBorders>
            <w:vAlign w:val="center"/>
          </w:tcPr>
          <w:p w14:paraId="0496350F">
            <w:pPr>
              <w:widowControl/>
              <w:jc w:val="center"/>
              <w:rPr>
                <w:rFonts w:hint="eastAsia" w:ascii="宋体" w:hAnsi="宋体" w:cs="宋体"/>
                <w:kern w:val="0"/>
                <w:szCs w:val="21"/>
                <w:highlight w:val="none"/>
              </w:rPr>
            </w:pPr>
            <w:r>
              <w:rPr>
                <w:rFonts w:hint="eastAsia" w:ascii="宋体" w:hAnsi="宋体" w:cs="宋体"/>
                <w:kern w:val="0"/>
                <w:szCs w:val="21"/>
                <w:highlight w:val="none"/>
              </w:rPr>
              <w:t>Y≥10000</w:t>
            </w:r>
          </w:p>
        </w:tc>
        <w:tc>
          <w:tcPr>
            <w:tcW w:w="1849" w:type="dxa"/>
            <w:tcBorders>
              <w:tl2br w:val="nil"/>
              <w:tr2bl w:val="nil"/>
            </w:tcBorders>
            <w:vAlign w:val="center"/>
          </w:tcPr>
          <w:p w14:paraId="117E368D">
            <w:pPr>
              <w:widowControl/>
              <w:jc w:val="center"/>
              <w:rPr>
                <w:rFonts w:hint="eastAsia" w:ascii="宋体" w:hAnsi="宋体" w:cs="宋体"/>
                <w:kern w:val="0"/>
                <w:szCs w:val="21"/>
                <w:highlight w:val="none"/>
              </w:rPr>
            </w:pPr>
            <w:r>
              <w:rPr>
                <w:rFonts w:hint="eastAsia" w:ascii="宋体" w:hAnsi="宋体" w:cs="宋体"/>
                <w:kern w:val="0"/>
                <w:szCs w:val="21"/>
                <w:highlight w:val="none"/>
              </w:rPr>
              <w:t>2000≤Y＜10000</w:t>
            </w:r>
          </w:p>
        </w:tc>
        <w:tc>
          <w:tcPr>
            <w:tcW w:w="1649" w:type="dxa"/>
            <w:tcBorders>
              <w:tl2br w:val="nil"/>
              <w:tr2bl w:val="nil"/>
            </w:tcBorders>
            <w:vAlign w:val="center"/>
          </w:tcPr>
          <w:p w14:paraId="31FF783F">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100≤Y＜2000</w:t>
            </w:r>
          </w:p>
        </w:tc>
        <w:tc>
          <w:tcPr>
            <w:tcW w:w="990" w:type="dxa"/>
            <w:tcBorders>
              <w:tl2br w:val="nil"/>
              <w:tr2bl w:val="nil"/>
            </w:tcBorders>
            <w:vAlign w:val="center"/>
          </w:tcPr>
          <w:p w14:paraId="30B4C521">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3C6B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58" w:type="dxa"/>
            <w:vMerge w:val="restart"/>
            <w:tcBorders>
              <w:tl2br w:val="nil"/>
              <w:tr2bl w:val="nil"/>
            </w:tcBorders>
            <w:vAlign w:val="center"/>
          </w:tcPr>
          <w:p w14:paraId="435E801A">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餐饮业</w:t>
            </w:r>
          </w:p>
        </w:tc>
        <w:tc>
          <w:tcPr>
            <w:tcW w:w="1486" w:type="dxa"/>
            <w:tcBorders>
              <w:tl2br w:val="nil"/>
              <w:tr2bl w:val="nil"/>
            </w:tcBorders>
            <w:vAlign w:val="center"/>
          </w:tcPr>
          <w:p w14:paraId="1B653925">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1" w:type="dxa"/>
            <w:tcBorders>
              <w:tl2br w:val="nil"/>
              <w:tr2bl w:val="nil"/>
            </w:tcBorders>
            <w:vAlign w:val="center"/>
          </w:tcPr>
          <w:p w14:paraId="154DEFCD">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262" w:type="dxa"/>
            <w:tcBorders>
              <w:tl2br w:val="nil"/>
              <w:tr2bl w:val="nil"/>
            </w:tcBorders>
            <w:vAlign w:val="center"/>
          </w:tcPr>
          <w:p w14:paraId="69F53727">
            <w:pPr>
              <w:widowControl/>
              <w:jc w:val="center"/>
              <w:rPr>
                <w:rFonts w:hint="eastAsia" w:ascii="宋体" w:hAnsi="宋体" w:cs="宋体"/>
                <w:kern w:val="0"/>
                <w:szCs w:val="21"/>
                <w:highlight w:val="none"/>
              </w:rPr>
            </w:pPr>
            <w:r>
              <w:rPr>
                <w:rFonts w:hint="eastAsia" w:ascii="宋体" w:hAnsi="宋体" w:cs="宋体"/>
                <w:kern w:val="0"/>
                <w:szCs w:val="21"/>
                <w:highlight w:val="none"/>
              </w:rPr>
              <w:t>X≥300</w:t>
            </w:r>
          </w:p>
        </w:tc>
        <w:tc>
          <w:tcPr>
            <w:tcW w:w="1849" w:type="dxa"/>
            <w:tcBorders>
              <w:tl2br w:val="nil"/>
              <w:tr2bl w:val="nil"/>
            </w:tcBorders>
            <w:vAlign w:val="center"/>
          </w:tcPr>
          <w:p w14:paraId="7F51CF65">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 xml:space="preserve">100≤X＜300 </w:t>
            </w:r>
          </w:p>
        </w:tc>
        <w:tc>
          <w:tcPr>
            <w:tcW w:w="1649" w:type="dxa"/>
            <w:tcBorders>
              <w:tl2br w:val="nil"/>
              <w:tr2bl w:val="nil"/>
            </w:tcBorders>
            <w:vAlign w:val="center"/>
          </w:tcPr>
          <w:p w14:paraId="008E5C0B">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10≤X＜100</w:t>
            </w:r>
          </w:p>
        </w:tc>
        <w:tc>
          <w:tcPr>
            <w:tcW w:w="990" w:type="dxa"/>
            <w:tcBorders>
              <w:tl2br w:val="nil"/>
              <w:tr2bl w:val="nil"/>
            </w:tcBorders>
            <w:vAlign w:val="center"/>
          </w:tcPr>
          <w:p w14:paraId="706DB955">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r w14:paraId="45DF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58" w:type="dxa"/>
            <w:vMerge w:val="continue"/>
            <w:tcBorders>
              <w:tl2br w:val="nil"/>
              <w:tr2bl w:val="nil"/>
            </w:tcBorders>
            <w:vAlign w:val="center"/>
          </w:tcPr>
          <w:p w14:paraId="1086F722">
            <w:pPr>
              <w:widowControl/>
              <w:jc w:val="left"/>
              <w:rPr>
                <w:rFonts w:hint="eastAsia" w:ascii="宋体" w:hAnsi="宋体" w:cs="宋体"/>
                <w:kern w:val="0"/>
                <w:szCs w:val="21"/>
                <w:highlight w:val="none"/>
              </w:rPr>
            </w:pPr>
          </w:p>
        </w:tc>
        <w:tc>
          <w:tcPr>
            <w:tcW w:w="1486" w:type="dxa"/>
            <w:tcBorders>
              <w:tl2br w:val="nil"/>
              <w:tr2bl w:val="nil"/>
            </w:tcBorders>
            <w:vAlign w:val="center"/>
          </w:tcPr>
          <w:p w14:paraId="24C38A33">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1" w:type="dxa"/>
            <w:tcBorders>
              <w:tl2br w:val="nil"/>
              <w:tr2bl w:val="nil"/>
            </w:tcBorders>
            <w:vAlign w:val="center"/>
          </w:tcPr>
          <w:p w14:paraId="7C999EDD">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262" w:type="dxa"/>
            <w:tcBorders>
              <w:tl2br w:val="nil"/>
              <w:tr2bl w:val="nil"/>
            </w:tcBorders>
            <w:vAlign w:val="center"/>
          </w:tcPr>
          <w:p w14:paraId="2C708A69">
            <w:pPr>
              <w:widowControl/>
              <w:jc w:val="center"/>
              <w:rPr>
                <w:rFonts w:hint="eastAsia" w:ascii="宋体" w:hAnsi="宋体" w:cs="宋体"/>
                <w:kern w:val="0"/>
                <w:szCs w:val="21"/>
                <w:highlight w:val="none"/>
              </w:rPr>
            </w:pPr>
            <w:r>
              <w:rPr>
                <w:rFonts w:hint="eastAsia" w:ascii="宋体" w:hAnsi="宋体" w:cs="宋体"/>
                <w:kern w:val="0"/>
                <w:szCs w:val="21"/>
                <w:highlight w:val="none"/>
              </w:rPr>
              <w:t>Y≥10000</w:t>
            </w:r>
          </w:p>
        </w:tc>
        <w:tc>
          <w:tcPr>
            <w:tcW w:w="1849" w:type="dxa"/>
            <w:tcBorders>
              <w:tl2br w:val="nil"/>
              <w:tr2bl w:val="nil"/>
            </w:tcBorders>
            <w:vAlign w:val="center"/>
          </w:tcPr>
          <w:p w14:paraId="747A9703">
            <w:pPr>
              <w:widowControl/>
              <w:jc w:val="center"/>
              <w:rPr>
                <w:rFonts w:hint="eastAsia" w:ascii="宋体" w:hAnsi="宋体" w:cs="宋体"/>
                <w:kern w:val="0"/>
                <w:szCs w:val="21"/>
                <w:highlight w:val="none"/>
              </w:rPr>
            </w:pPr>
            <w:r>
              <w:rPr>
                <w:rFonts w:hint="eastAsia" w:ascii="宋体" w:hAnsi="宋体" w:cs="宋体"/>
                <w:kern w:val="0"/>
                <w:szCs w:val="21"/>
                <w:highlight w:val="none"/>
              </w:rPr>
              <w:t>2000≤Y＜10000</w:t>
            </w:r>
          </w:p>
        </w:tc>
        <w:tc>
          <w:tcPr>
            <w:tcW w:w="1649" w:type="dxa"/>
            <w:tcBorders>
              <w:tl2br w:val="nil"/>
              <w:tr2bl w:val="nil"/>
            </w:tcBorders>
            <w:vAlign w:val="center"/>
          </w:tcPr>
          <w:p w14:paraId="1E004920">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100≤Y＜2000</w:t>
            </w:r>
          </w:p>
        </w:tc>
        <w:tc>
          <w:tcPr>
            <w:tcW w:w="990" w:type="dxa"/>
            <w:tcBorders>
              <w:tl2br w:val="nil"/>
              <w:tr2bl w:val="nil"/>
            </w:tcBorders>
            <w:vAlign w:val="center"/>
          </w:tcPr>
          <w:p w14:paraId="0C020DFF">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4C1E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1358" w:type="dxa"/>
            <w:vMerge w:val="restart"/>
            <w:tcBorders>
              <w:tl2br w:val="nil"/>
              <w:tr2bl w:val="nil"/>
            </w:tcBorders>
            <w:vAlign w:val="center"/>
          </w:tcPr>
          <w:p w14:paraId="2E2590DB">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信息传输业 *</w:t>
            </w:r>
          </w:p>
        </w:tc>
        <w:tc>
          <w:tcPr>
            <w:tcW w:w="1486" w:type="dxa"/>
            <w:tcBorders>
              <w:tl2br w:val="nil"/>
              <w:tr2bl w:val="nil"/>
            </w:tcBorders>
            <w:vAlign w:val="center"/>
          </w:tcPr>
          <w:p w14:paraId="7232FADF">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1" w:type="dxa"/>
            <w:tcBorders>
              <w:tl2br w:val="nil"/>
              <w:tr2bl w:val="nil"/>
            </w:tcBorders>
            <w:vAlign w:val="center"/>
          </w:tcPr>
          <w:p w14:paraId="28CF2AA2">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262" w:type="dxa"/>
            <w:tcBorders>
              <w:tl2br w:val="nil"/>
              <w:tr2bl w:val="nil"/>
            </w:tcBorders>
            <w:vAlign w:val="center"/>
          </w:tcPr>
          <w:p w14:paraId="2EA358CD">
            <w:pPr>
              <w:widowControl/>
              <w:jc w:val="center"/>
              <w:rPr>
                <w:rFonts w:hint="eastAsia" w:ascii="宋体" w:hAnsi="宋体" w:cs="宋体"/>
                <w:kern w:val="0"/>
                <w:szCs w:val="21"/>
                <w:highlight w:val="none"/>
              </w:rPr>
            </w:pPr>
            <w:r>
              <w:rPr>
                <w:rFonts w:hint="eastAsia" w:ascii="宋体" w:hAnsi="宋体" w:cs="宋体"/>
                <w:kern w:val="0"/>
                <w:szCs w:val="21"/>
                <w:highlight w:val="none"/>
              </w:rPr>
              <w:t>X≥2000</w:t>
            </w:r>
          </w:p>
        </w:tc>
        <w:tc>
          <w:tcPr>
            <w:tcW w:w="1849" w:type="dxa"/>
            <w:tcBorders>
              <w:tl2br w:val="nil"/>
              <w:tr2bl w:val="nil"/>
            </w:tcBorders>
            <w:vAlign w:val="center"/>
          </w:tcPr>
          <w:p w14:paraId="4B92830B">
            <w:pPr>
              <w:widowControl/>
              <w:jc w:val="center"/>
              <w:rPr>
                <w:rFonts w:hint="eastAsia" w:ascii="宋体" w:hAnsi="宋体" w:cs="宋体"/>
                <w:kern w:val="0"/>
                <w:szCs w:val="21"/>
                <w:highlight w:val="none"/>
              </w:rPr>
            </w:pPr>
            <w:r>
              <w:rPr>
                <w:rFonts w:hint="eastAsia" w:ascii="宋体" w:hAnsi="宋体" w:cs="宋体"/>
                <w:kern w:val="0"/>
                <w:szCs w:val="21"/>
                <w:highlight w:val="none"/>
              </w:rPr>
              <w:t>100≤X＜2000</w:t>
            </w:r>
          </w:p>
        </w:tc>
        <w:tc>
          <w:tcPr>
            <w:tcW w:w="1649" w:type="dxa"/>
            <w:tcBorders>
              <w:tl2br w:val="nil"/>
              <w:tr2bl w:val="nil"/>
            </w:tcBorders>
            <w:vAlign w:val="center"/>
          </w:tcPr>
          <w:p w14:paraId="4EBA1D47">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10≤X＜100</w:t>
            </w:r>
          </w:p>
        </w:tc>
        <w:tc>
          <w:tcPr>
            <w:tcW w:w="990" w:type="dxa"/>
            <w:tcBorders>
              <w:tl2br w:val="nil"/>
              <w:tr2bl w:val="nil"/>
            </w:tcBorders>
            <w:vAlign w:val="center"/>
          </w:tcPr>
          <w:p w14:paraId="5502164B">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r w14:paraId="7EF3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1358" w:type="dxa"/>
            <w:vMerge w:val="continue"/>
            <w:tcBorders>
              <w:tl2br w:val="nil"/>
              <w:tr2bl w:val="nil"/>
            </w:tcBorders>
            <w:vAlign w:val="center"/>
          </w:tcPr>
          <w:p w14:paraId="37ABCF38">
            <w:pPr>
              <w:widowControl/>
              <w:jc w:val="left"/>
              <w:rPr>
                <w:rFonts w:hint="eastAsia" w:ascii="宋体" w:hAnsi="宋体" w:cs="宋体"/>
                <w:kern w:val="0"/>
                <w:szCs w:val="21"/>
                <w:highlight w:val="none"/>
              </w:rPr>
            </w:pPr>
          </w:p>
        </w:tc>
        <w:tc>
          <w:tcPr>
            <w:tcW w:w="1486" w:type="dxa"/>
            <w:tcBorders>
              <w:tl2br w:val="nil"/>
              <w:tr2bl w:val="nil"/>
            </w:tcBorders>
            <w:vAlign w:val="center"/>
          </w:tcPr>
          <w:p w14:paraId="55396724">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1" w:type="dxa"/>
            <w:tcBorders>
              <w:tl2br w:val="nil"/>
              <w:tr2bl w:val="nil"/>
            </w:tcBorders>
            <w:vAlign w:val="center"/>
          </w:tcPr>
          <w:p w14:paraId="1636BB14">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262" w:type="dxa"/>
            <w:tcBorders>
              <w:tl2br w:val="nil"/>
              <w:tr2bl w:val="nil"/>
            </w:tcBorders>
            <w:vAlign w:val="center"/>
          </w:tcPr>
          <w:p w14:paraId="4CB3B06D">
            <w:pPr>
              <w:widowControl/>
              <w:jc w:val="center"/>
              <w:rPr>
                <w:rFonts w:hint="eastAsia" w:ascii="宋体" w:hAnsi="宋体" w:cs="宋体"/>
                <w:kern w:val="0"/>
                <w:szCs w:val="21"/>
                <w:highlight w:val="none"/>
              </w:rPr>
            </w:pPr>
            <w:r>
              <w:rPr>
                <w:rFonts w:hint="eastAsia" w:ascii="宋体" w:hAnsi="宋体" w:cs="宋体"/>
                <w:kern w:val="0"/>
                <w:szCs w:val="21"/>
                <w:highlight w:val="none"/>
              </w:rPr>
              <w:t>Y≥100000</w:t>
            </w:r>
          </w:p>
        </w:tc>
        <w:tc>
          <w:tcPr>
            <w:tcW w:w="1849" w:type="dxa"/>
            <w:tcBorders>
              <w:tl2br w:val="nil"/>
              <w:tr2bl w:val="nil"/>
            </w:tcBorders>
            <w:vAlign w:val="center"/>
          </w:tcPr>
          <w:p w14:paraId="24842E59">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1000≤Y＜100000</w:t>
            </w:r>
          </w:p>
        </w:tc>
        <w:tc>
          <w:tcPr>
            <w:tcW w:w="1649" w:type="dxa"/>
            <w:tcBorders>
              <w:tl2br w:val="nil"/>
              <w:tr2bl w:val="nil"/>
            </w:tcBorders>
            <w:vAlign w:val="center"/>
          </w:tcPr>
          <w:p w14:paraId="7DF2E39F">
            <w:pPr>
              <w:widowControl/>
              <w:rPr>
                <w:rFonts w:hint="eastAsia" w:ascii="宋体" w:hAnsi="宋体" w:cs="宋体"/>
                <w:kern w:val="0"/>
                <w:szCs w:val="21"/>
                <w:highlight w:val="none"/>
              </w:rPr>
            </w:pPr>
            <w:r>
              <w:rPr>
                <w:rFonts w:hint="eastAsia" w:ascii="宋体" w:hAnsi="宋体" w:cs="宋体"/>
                <w:kern w:val="0"/>
                <w:szCs w:val="21"/>
                <w:highlight w:val="none"/>
              </w:rPr>
              <w:t>100≤Y＜1000</w:t>
            </w:r>
          </w:p>
        </w:tc>
        <w:tc>
          <w:tcPr>
            <w:tcW w:w="990" w:type="dxa"/>
            <w:tcBorders>
              <w:tl2br w:val="nil"/>
              <w:tr2bl w:val="nil"/>
            </w:tcBorders>
            <w:vAlign w:val="center"/>
          </w:tcPr>
          <w:p w14:paraId="6A133C0D">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7537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358" w:type="dxa"/>
            <w:vMerge w:val="restart"/>
            <w:tcBorders>
              <w:tl2br w:val="nil"/>
              <w:tr2bl w:val="nil"/>
            </w:tcBorders>
            <w:vAlign w:val="center"/>
          </w:tcPr>
          <w:p w14:paraId="65DF7390">
            <w:pPr>
              <w:widowControl/>
              <w:spacing w:line="240" w:lineRule="exact"/>
              <w:jc w:val="left"/>
              <w:rPr>
                <w:rFonts w:hint="eastAsia" w:ascii="宋体" w:hAnsi="宋体" w:cs="宋体"/>
                <w:spacing w:val="-12"/>
                <w:kern w:val="0"/>
                <w:szCs w:val="21"/>
                <w:highlight w:val="none"/>
              </w:rPr>
            </w:pPr>
            <w:r>
              <w:rPr>
                <w:rFonts w:hint="eastAsia" w:ascii="宋体" w:hAnsi="宋体" w:cs="宋体"/>
                <w:spacing w:val="-12"/>
                <w:kern w:val="0"/>
                <w:szCs w:val="21"/>
                <w:highlight w:val="none"/>
              </w:rPr>
              <w:t>软件和信息技术服</w:t>
            </w:r>
            <w:r>
              <w:rPr>
                <w:rFonts w:hint="eastAsia" w:ascii="宋体" w:hAnsi="宋体" w:cs="宋体"/>
                <w:kern w:val="0"/>
                <w:szCs w:val="21"/>
                <w:highlight w:val="none"/>
              </w:rPr>
              <w:t>务业</w:t>
            </w:r>
          </w:p>
        </w:tc>
        <w:tc>
          <w:tcPr>
            <w:tcW w:w="1486" w:type="dxa"/>
            <w:tcBorders>
              <w:tl2br w:val="nil"/>
              <w:tr2bl w:val="nil"/>
            </w:tcBorders>
            <w:vAlign w:val="center"/>
          </w:tcPr>
          <w:p w14:paraId="48615239">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1" w:type="dxa"/>
            <w:tcBorders>
              <w:tl2br w:val="nil"/>
              <w:tr2bl w:val="nil"/>
            </w:tcBorders>
            <w:vAlign w:val="center"/>
          </w:tcPr>
          <w:p w14:paraId="589C38A9">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262" w:type="dxa"/>
            <w:tcBorders>
              <w:tl2br w:val="nil"/>
              <w:tr2bl w:val="nil"/>
            </w:tcBorders>
            <w:vAlign w:val="center"/>
          </w:tcPr>
          <w:p w14:paraId="7C369112">
            <w:pPr>
              <w:widowControl/>
              <w:jc w:val="center"/>
              <w:rPr>
                <w:rFonts w:hint="eastAsia" w:ascii="宋体" w:hAnsi="宋体" w:cs="宋体"/>
                <w:kern w:val="0"/>
                <w:szCs w:val="21"/>
                <w:highlight w:val="none"/>
              </w:rPr>
            </w:pPr>
            <w:r>
              <w:rPr>
                <w:rFonts w:hint="eastAsia" w:ascii="宋体" w:hAnsi="宋体" w:cs="宋体"/>
                <w:kern w:val="0"/>
                <w:szCs w:val="21"/>
                <w:highlight w:val="none"/>
              </w:rPr>
              <w:t>X≥300</w:t>
            </w:r>
          </w:p>
        </w:tc>
        <w:tc>
          <w:tcPr>
            <w:tcW w:w="1849" w:type="dxa"/>
            <w:tcBorders>
              <w:tl2br w:val="nil"/>
              <w:tr2bl w:val="nil"/>
            </w:tcBorders>
            <w:vAlign w:val="center"/>
          </w:tcPr>
          <w:p w14:paraId="54684C09">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 xml:space="preserve">100≤X＜300 </w:t>
            </w:r>
          </w:p>
        </w:tc>
        <w:tc>
          <w:tcPr>
            <w:tcW w:w="1649" w:type="dxa"/>
            <w:tcBorders>
              <w:tl2br w:val="nil"/>
              <w:tr2bl w:val="nil"/>
            </w:tcBorders>
            <w:vAlign w:val="center"/>
          </w:tcPr>
          <w:p w14:paraId="4039CFB5">
            <w:pPr>
              <w:widowControl/>
              <w:jc w:val="center"/>
              <w:rPr>
                <w:rFonts w:hint="eastAsia" w:ascii="宋体" w:hAnsi="宋体" w:cs="宋体"/>
                <w:kern w:val="0"/>
                <w:szCs w:val="21"/>
                <w:highlight w:val="none"/>
              </w:rPr>
            </w:pPr>
            <w:r>
              <w:rPr>
                <w:rFonts w:hint="eastAsia" w:ascii="宋体" w:hAnsi="宋体" w:cs="宋体"/>
                <w:kern w:val="0"/>
                <w:szCs w:val="21"/>
                <w:highlight w:val="none"/>
              </w:rPr>
              <w:t>10≤X＜100</w:t>
            </w:r>
          </w:p>
        </w:tc>
        <w:tc>
          <w:tcPr>
            <w:tcW w:w="990" w:type="dxa"/>
            <w:tcBorders>
              <w:tl2br w:val="nil"/>
              <w:tr2bl w:val="nil"/>
            </w:tcBorders>
            <w:vAlign w:val="center"/>
          </w:tcPr>
          <w:p w14:paraId="04E235D0">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r w14:paraId="4D77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1358" w:type="dxa"/>
            <w:vMerge w:val="continue"/>
            <w:tcBorders>
              <w:tl2br w:val="nil"/>
              <w:tr2bl w:val="nil"/>
            </w:tcBorders>
            <w:vAlign w:val="center"/>
          </w:tcPr>
          <w:p w14:paraId="5F92A8C4">
            <w:pPr>
              <w:widowControl/>
              <w:jc w:val="left"/>
              <w:rPr>
                <w:rFonts w:hint="eastAsia" w:ascii="宋体" w:hAnsi="宋体" w:cs="宋体"/>
                <w:spacing w:val="-12"/>
                <w:kern w:val="0"/>
                <w:szCs w:val="21"/>
                <w:highlight w:val="none"/>
              </w:rPr>
            </w:pPr>
          </w:p>
        </w:tc>
        <w:tc>
          <w:tcPr>
            <w:tcW w:w="1486" w:type="dxa"/>
            <w:tcBorders>
              <w:tl2br w:val="nil"/>
              <w:tr2bl w:val="nil"/>
            </w:tcBorders>
            <w:vAlign w:val="center"/>
          </w:tcPr>
          <w:p w14:paraId="18616383">
            <w:pPr>
              <w:widowControl/>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1" w:type="dxa"/>
            <w:tcBorders>
              <w:tl2br w:val="nil"/>
              <w:tr2bl w:val="nil"/>
            </w:tcBorders>
            <w:vAlign w:val="center"/>
          </w:tcPr>
          <w:p w14:paraId="6B33592D">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262" w:type="dxa"/>
            <w:tcBorders>
              <w:tl2br w:val="nil"/>
              <w:tr2bl w:val="nil"/>
            </w:tcBorders>
            <w:vAlign w:val="center"/>
          </w:tcPr>
          <w:p w14:paraId="2BF10338">
            <w:pPr>
              <w:widowControl/>
              <w:jc w:val="center"/>
              <w:rPr>
                <w:rFonts w:hint="eastAsia" w:ascii="宋体" w:hAnsi="宋体" w:cs="宋体"/>
                <w:kern w:val="0"/>
                <w:szCs w:val="21"/>
                <w:highlight w:val="none"/>
              </w:rPr>
            </w:pPr>
            <w:r>
              <w:rPr>
                <w:rFonts w:hint="eastAsia" w:ascii="宋体" w:hAnsi="宋体" w:cs="宋体"/>
                <w:kern w:val="0"/>
                <w:szCs w:val="21"/>
                <w:highlight w:val="none"/>
              </w:rPr>
              <w:t>Y≥10000</w:t>
            </w:r>
          </w:p>
        </w:tc>
        <w:tc>
          <w:tcPr>
            <w:tcW w:w="1849" w:type="dxa"/>
            <w:tcBorders>
              <w:tl2br w:val="nil"/>
              <w:tr2bl w:val="nil"/>
            </w:tcBorders>
            <w:vAlign w:val="center"/>
          </w:tcPr>
          <w:p w14:paraId="58153629">
            <w:pPr>
              <w:widowControl/>
              <w:jc w:val="center"/>
              <w:rPr>
                <w:rFonts w:hint="eastAsia" w:ascii="宋体" w:hAnsi="宋体" w:cs="宋体"/>
                <w:kern w:val="0"/>
                <w:szCs w:val="21"/>
                <w:highlight w:val="none"/>
              </w:rPr>
            </w:pPr>
            <w:r>
              <w:rPr>
                <w:rFonts w:hint="eastAsia" w:ascii="宋体" w:hAnsi="宋体" w:cs="宋体"/>
                <w:kern w:val="0"/>
                <w:szCs w:val="21"/>
                <w:highlight w:val="none"/>
              </w:rPr>
              <w:t>1000≤Y＜10000</w:t>
            </w:r>
          </w:p>
        </w:tc>
        <w:tc>
          <w:tcPr>
            <w:tcW w:w="1649" w:type="dxa"/>
            <w:tcBorders>
              <w:tl2br w:val="nil"/>
              <w:tr2bl w:val="nil"/>
            </w:tcBorders>
            <w:vAlign w:val="center"/>
          </w:tcPr>
          <w:p w14:paraId="40CBB34A">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50≤Y＜1000</w:t>
            </w:r>
          </w:p>
        </w:tc>
        <w:tc>
          <w:tcPr>
            <w:tcW w:w="990" w:type="dxa"/>
            <w:tcBorders>
              <w:tl2br w:val="nil"/>
              <w:tr2bl w:val="nil"/>
            </w:tcBorders>
            <w:vAlign w:val="center"/>
          </w:tcPr>
          <w:p w14:paraId="61A9E30A">
            <w:pPr>
              <w:widowControl/>
              <w:jc w:val="center"/>
              <w:rPr>
                <w:rFonts w:hint="eastAsia" w:ascii="宋体" w:hAnsi="宋体" w:cs="宋体"/>
                <w:kern w:val="0"/>
                <w:szCs w:val="21"/>
                <w:highlight w:val="none"/>
              </w:rPr>
            </w:pPr>
            <w:r>
              <w:rPr>
                <w:rFonts w:hint="eastAsia" w:ascii="宋体" w:hAnsi="宋体" w:cs="宋体"/>
                <w:kern w:val="0"/>
                <w:szCs w:val="21"/>
                <w:highlight w:val="none"/>
              </w:rPr>
              <w:t>Y＜50</w:t>
            </w:r>
          </w:p>
        </w:tc>
      </w:tr>
      <w:tr w14:paraId="40EC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358" w:type="dxa"/>
            <w:vMerge w:val="restart"/>
            <w:tcBorders>
              <w:tl2br w:val="nil"/>
              <w:tr2bl w:val="nil"/>
            </w:tcBorders>
            <w:vAlign w:val="center"/>
          </w:tcPr>
          <w:p w14:paraId="0C48784F">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房地产开发经营</w:t>
            </w:r>
          </w:p>
        </w:tc>
        <w:tc>
          <w:tcPr>
            <w:tcW w:w="1486" w:type="dxa"/>
            <w:tcBorders>
              <w:tl2br w:val="nil"/>
              <w:tr2bl w:val="nil"/>
            </w:tcBorders>
            <w:vAlign w:val="center"/>
          </w:tcPr>
          <w:p w14:paraId="533C2240">
            <w:pPr>
              <w:widowControl/>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1" w:type="dxa"/>
            <w:tcBorders>
              <w:tl2br w:val="nil"/>
              <w:tr2bl w:val="nil"/>
            </w:tcBorders>
            <w:vAlign w:val="center"/>
          </w:tcPr>
          <w:p w14:paraId="44FAC9E4">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262" w:type="dxa"/>
            <w:tcBorders>
              <w:tl2br w:val="nil"/>
              <w:tr2bl w:val="nil"/>
            </w:tcBorders>
            <w:vAlign w:val="center"/>
          </w:tcPr>
          <w:p w14:paraId="64200518">
            <w:pPr>
              <w:widowControl/>
              <w:jc w:val="center"/>
              <w:rPr>
                <w:rFonts w:hint="eastAsia" w:ascii="宋体" w:hAnsi="宋体" w:cs="宋体"/>
                <w:kern w:val="0"/>
                <w:szCs w:val="21"/>
                <w:highlight w:val="none"/>
              </w:rPr>
            </w:pPr>
            <w:r>
              <w:rPr>
                <w:rFonts w:hint="eastAsia" w:ascii="宋体" w:hAnsi="宋体" w:cs="宋体"/>
                <w:kern w:val="0"/>
                <w:szCs w:val="21"/>
                <w:highlight w:val="none"/>
              </w:rPr>
              <w:t>Y≥200000</w:t>
            </w:r>
          </w:p>
        </w:tc>
        <w:tc>
          <w:tcPr>
            <w:tcW w:w="1849" w:type="dxa"/>
            <w:tcBorders>
              <w:tl2br w:val="nil"/>
              <w:tr2bl w:val="nil"/>
            </w:tcBorders>
            <w:vAlign w:val="center"/>
          </w:tcPr>
          <w:p w14:paraId="3B705EAF">
            <w:pPr>
              <w:widowControl/>
              <w:rPr>
                <w:rFonts w:hint="eastAsia" w:ascii="宋体" w:hAnsi="宋体" w:cs="宋体"/>
                <w:kern w:val="0"/>
                <w:szCs w:val="21"/>
                <w:highlight w:val="none"/>
              </w:rPr>
            </w:pPr>
            <w:r>
              <w:rPr>
                <w:rFonts w:hint="eastAsia" w:ascii="宋体" w:hAnsi="宋体" w:cs="宋体"/>
                <w:kern w:val="0"/>
                <w:szCs w:val="21"/>
                <w:highlight w:val="none"/>
              </w:rPr>
              <w:t>1000≤Y＜200000</w:t>
            </w:r>
          </w:p>
        </w:tc>
        <w:tc>
          <w:tcPr>
            <w:tcW w:w="1649" w:type="dxa"/>
            <w:tcBorders>
              <w:tl2br w:val="nil"/>
              <w:tr2bl w:val="nil"/>
            </w:tcBorders>
            <w:vAlign w:val="center"/>
          </w:tcPr>
          <w:p w14:paraId="60ED27CE">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100≤Y＜1000</w:t>
            </w:r>
          </w:p>
        </w:tc>
        <w:tc>
          <w:tcPr>
            <w:tcW w:w="990" w:type="dxa"/>
            <w:tcBorders>
              <w:tl2br w:val="nil"/>
              <w:tr2bl w:val="nil"/>
            </w:tcBorders>
            <w:vAlign w:val="center"/>
          </w:tcPr>
          <w:p w14:paraId="051CE793">
            <w:pPr>
              <w:widowControl/>
              <w:jc w:val="center"/>
              <w:rPr>
                <w:rFonts w:hint="eastAsia" w:ascii="宋体" w:hAnsi="宋体" w:cs="宋体"/>
                <w:kern w:val="0"/>
                <w:szCs w:val="21"/>
                <w:highlight w:val="none"/>
              </w:rPr>
            </w:pPr>
            <w:r>
              <w:rPr>
                <w:rFonts w:hint="eastAsia" w:ascii="宋体" w:hAnsi="宋体" w:cs="宋体"/>
                <w:kern w:val="0"/>
                <w:szCs w:val="21"/>
                <w:highlight w:val="none"/>
              </w:rPr>
              <w:t>Y＜100</w:t>
            </w:r>
          </w:p>
        </w:tc>
      </w:tr>
      <w:tr w14:paraId="32DD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358" w:type="dxa"/>
            <w:vMerge w:val="continue"/>
            <w:tcBorders>
              <w:tl2br w:val="nil"/>
              <w:tr2bl w:val="nil"/>
            </w:tcBorders>
            <w:vAlign w:val="center"/>
          </w:tcPr>
          <w:p w14:paraId="52FA8B05">
            <w:pPr>
              <w:widowControl/>
              <w:jc w:val="left"/>
              <w:rPr>
                <w:rFonts w:hint="eastAsia" w:ascii="宋体" w:hAnsi="宋体" w:cs="宋体"/>
                <w:kern w:val="0"/>
                <w:szCs w:val="21"/>
                <w:highlight w:val="none"/>
              </w:rPr>
            </w:pPr>
          </w:p>
        </w:tc>
        <w:tc>
          <w:tcPr>
            <w:tcW w:w="1486" w:type="dxa"/>
            <w:tcBorders>
              <w:tl2br w:val="nil"/>
              <w:tr2bl w:val="nil"/>
            </w:tcBorders>
            <w:vAlign w:val="center"/>
          </w:tcPr>
          <w:p w14:paraId="70B42085">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资产总额(Z)</w:t>
            </w:r>
          </w:p>
        </w:tc>
        <w:tc>
          <w:tcPr>
            <w:tcW w:w="821" w:type="dxa"/>
            <w:tcBorders>
              <w:tl2br w:val="nil"/>
              <w:tr2bl w:val="nil"/>
            </w:tcBorders>
            <w:vAlign w:val="center"/>
          </w:tcPr>
          <w:p w14:paraId="49508920">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262" w:type="dxa"/>
            <w:tcBorders>
              <w:tl2br w:val="nil"/>
              <w:tr2bl w:val="nil"/>
            </w:tcBorders>
            <w:vAlign w:val="center"/>
          </w:tcPr>
          <w:p w14:paraId="31A95F60">
            <w:pPr>
              <w:widowControl/>
              <w:jc w:val="center"/>
              <w:rPr>
                <w:rFonts w:hint="eastAsia" w:ascii="宋体" w:hAnsi="宋体" w:cs="宋体"/>
                <w:kern w:val="0"/>
                <w:szCs w:val="21"/>
                <w:highlight w:val="none"/>
              </w:rPr>
            </w:pPr>
            <w:r>
              <w:rPr>
                <w:rFonts w:hint="eastAsia" w:ascii="宋体" w:hAnsi="宋体" w:cs="宋体"/>
                <w:kern w:val="0"/>
                <w:szCs w:val="21"/>
                <w:highlight w:val="none"/>
              </w:rPr>
              <w:t>Z≥10000</w:t>
            </w:r>
          </w:p>
        </w:tc>
        <w:tc>
          <w:tcPr>
            <w:tcW w:w="1849" w:type="dxa"/>
            <w:tcBorders>
              <w:tl2br w:val="nil"/>
              <w:tr2bl w:val="nil"/>
            </w:tcBorders>
            <w:vAlign w:val="center"/>
          </w:tcPr>
          <w:p w14:paraId="49BCBC0B">
            <w:pPr>
              <w:widowControl/>
              <w:jc w:val="center"/>
              <w:rPr>
                <w:rFonts w:hint="eastAsia" w:ascii="宋体" w:hAnsi="宋体" w:cs="宋体"/>
                <w:kern w:val="0"/>
                <w:szCs w:val="21"/>
                <w:highlight w:val="none"/>
              </w:rPr>
            </w:pPr>
            <w:r>
              <w:rPr>
                <w:rFonts w:hint="eastAsia" w:ascii="宋体" w:hAnsi="宋体" w:cs="宋体"/>
                <w:kern w:val="0"/>
                <w:szCs w:val="21"/>
                <w:highlight w:val="none"/>
              </w:rPr>
              <w:t>5000≤Z＜10000</w:t>
            </w:r>
          </w:p>
        </w:tc>
        <w:tc>
          <w:tcPr>
            <w:tcW w:w="1649" w:type="dxa"/>
            <w:tcBorders>
              <w:tl2br w:val="nil"/>
              <w:tr2bl w:val="nil"/>
            </w:tcBorders>
            <w:vAlign w:val="center"/>
          </w:tcPr>
          <w:p w14:paraId="6886C77D">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2000≤Z＜5000   </w:t>
            </w:r>
          </w:p>
        </w:tc>
        <w:tc>
          <w:tcPr>
            <w:tcW w:w="990" w:type="dxa"/>
            <w:tcBorders>
              <w:tl2br w:val="nil"/>
              <w:tr2bl w:val="nil"/>
            </w:tcBorders>
            <w:vAlign w:val="center"/>
          </w:tcPr>
          <w:p w14:paraId="159FE9EB">
            <w:pPr>
              <w:widowControl/>
              <w:jc w:val="center"/>
              <w:rPr>
                <w:rFonts w:hint="eastAsia" w:ascii="宋体" w:hAnsi="宋体" w:cs="宋体"/>
                <w:kern w:val="0"/>
                <w:szCs w:val="21"/>
                <w:highlight w:val="none"/>
              </w:rPr>
            </w:pPr>
            <w:r>
              <w:rPr>
                <w:rFonts w:hint="eastAsia" w:ascii="宋体" w:hAnsi="宋体" w:cs="宋体"/>
                <w:kern w:val="0"/>
                <w:szCs w:val="21"/>
                <w:highlight w:val="none"/>
              </w:rPr>
              <w:t>Z＜2000</w:t>
            </w:r>
          </w:p>
        </w:tc>
      </w:tr>
      <w:tr w14:paraId="0583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jc w:val="center"/>
        </w:trPr>
        <w:tc>
          <w:tcPr>
            <w:tcW w:w="1358" w:type="dxa"/>
            <w:vMerge w:val="restart"/>
            <w:tcBorders>
              <w:tl2br w:val="nil"/>
              <w:tr2bl w:val="nil"/>
            </w:tcBorders>
            <w:vAlign w:val="center"/>
          </w:tcPr>
          <w:p w14:paraId="7A263B04">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物业管理</w:t>
            </w:r>
          </w:p>
        </w:tc>
        <w:tc>
          <w:tcPr>
            <w:tcW w:w="1486" w:type="dxa"/>
            <w:tcBorders>
              <w:tl2br w:val="nil"/>
              <w:tr2bl w:val="nil"/>
            </w:tcBorders>
            <w:vAlign w:val="center"/>
          </w:tcPr>
          <w:p w14:paraId="27B30702">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1" w:type="dxa"/>
            <w:tcBorders>
              <w:tl2br w:val="nil"/>
              <w:tr2bl w:val="nil"/>
            </w:tcBorders>
            <w:vAlign w:val="center"/>
          </w:tcPr>
          <w:p w14:paraId="1A20A9A0">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262" w:type="dxa"/>
            <w:tcBorders>
              <w:tl2br w:val="nil"/>
              <w:tr2bl w:val="nil"/>
            </w:tcBorders>
            <w:vAlign w:val="center"/>
          </w:tcPr>
          <w:p w14:paraId="7218270E">
            <w:pPr>
              <w:widowControl/>
              <w:jc w:val="center"/>
              <w:rPr>
                <w:rFonts w:hint="eastAsia" w:ascii="宋体" w:hAnsi="宋体" w:cs="宋体"/>
                <w:kern w:val="0"/>
                <w:szCs w:val="21"/>
                <w:highlight w:val="none"/>
              </w:rPr>
            </w:pPr>
            <w:r>
              <w:rPr>
                <w:rFonts w:hint="eastAsia" w:ascii="宋体" w:hAnsi="宋体" w:cs="宋体"/>
                <w:kern w:val="0"/>
                <w:szCs w:val="21"/>
                <w:highlight w:val="none"/>
              </w:rPr>
              <w:t>X≥1000</w:t>
            </w:r>
          </w:p>
        </w:tc>
        <w:tc>
          <w:tcPr>
            <w:tcW w:w="1849" w:type="dxa"/>
            <w:tcBorders>
              <w:tl2br w:val="nil"/>
              <w:tr2bl w:val="nil"/>
            </w:tcBorders>
            <w:vAlign w:val="center"/>
          </w:tcPr>
          <w:p w14:paraId="239F2C50">
            <w:pPr>
              <w:widowControl/>
              <w:jc w:val="center"/>
              <w:rPr>
                <w:rFonts w:hint="eastAsia" w:ascii="宋体" w:hAnsi="宋体" w:cs="宋体"/>
                <w:kern w:val="0"/>
                <w:szCs w:val="21"/>
                <w:highlight w:val="none"/>
              </w:rPr>
            </w:pPr>
            <w:r>
              <w:rPr>
                <w:rFonts w:hint="eastAsia" w:ascii="宋体" w:hAnsi="宋体" w:cs="宋体"/>
                <w:kern w:val="0"/>
                <w:szCs w:val="21"/>
                <w:highlight w:val="none"/>
              </w:rPr>
              <w:t>300≤X＜1000</w:t>
            </w:r>
          </w:p>
        </w:tc>
        <w:tc>
          <w:tcPr>
            <w:tcW w:w="1649" w:type="dxa"/>
            <w:tcBorders>
              <w:tl2br w:val="nil"/>
              <w:tr2bl w:val="nil"/>
            </w:tcBorders>
            <w:vAlign w:val="center"/>
          </w:tcPr>
          <w:p w14:paraId="2C73C604">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100≤X＜300 </w:t>
            </w:r>
          </w:p>
        </w:tc>
        <w:tc>
          <w:tcPr>
            <w:tcW w:w="990" w:type="dxa"/>
            <w:tcBorders>
              <w:tl2br w:val="nil"/>
              <w:tr2bl w:val="nil"/>
            </w:tcBorders>
            <w:vAlign w:val="center"/>
          </w:tcPr>
          <w:p w14:paraId="70804FD5">
            <w:pPr>
              <w:widowControl/>
              <w:jc w:val="center"/>
              <w:rPr>
                <w:rFonts w:hint="eastAsia" w:ascii="宋体" w:hAnsi="宋体" w:cs="宋体"/>
                <w:kern w:val="0"/>
                <w:szCs w:val="21"/>
                <w:highlight w:val="none"/>
              </w:rPr>
            </w:pPr>
            <w:r>
              <w:rPr>
                <w:rFonts w:hint="eastAsia" w:ascii="宋体" w:hAnsi="宋体" w:cs="宋体"/>
                <w:kern w:val="0"/>
                <w:szCs w:val="21"/>
                <w:highlight w:val="none"/>
              </w:rPr>
              <w:t>X＜100</w:t>
            </w:r>
          </w:p>
        </w:tc>
      </w:tr>
      <w:tr w14:paraId="580D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358" w:type="dxa"/>
            <w:vMerge w:val="continue"/>
            <w:tcBorders>
              <w:tl2br w:val="nil"/>
              <w:tr2bl w:val="nil"/>
            </w:tcBorders>
            <w:vAlign w:val="center"/>
          </w:tcPr>
          <w:p w14:paraId="2253EF50">
            <w:pPr>
              <w:widowControl/>
              <w:jc w:val="left"/>
              <w:rPr>
                <w:rFonts w:hint="eastAsia" w:ascii="宋体" w:hAnsi="宋体" w:cs="宋体"/>
                <w:kern w:val="0"/>
                <w:szCs w:val="21"/>
                <w:highlight w:val="none"/>
              </w:rPr>
            </w:pPr>
          </w:p>
        </w:tc>
        <w:tc>
          <w:tcPr>
            <w:tcW w:w="1486" w:type="dxa"/>
            <w:tcBorders>
              <w:tl2br w:val="nil"/>
              <w:tr2bl w:val="nil"/>
            </w:tcBorders>
            <w:vAlign w:val="center"/>
          </w:tcPr>
          <w:p w14:paraId="09109AB2">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营业收入(Y)</w:t>
            </w:r>
          </w:p>
        </w:tc>
        <w:tc>
          <w:tcPr>
            <w:tcW w:w="821" w:type="dxa"/>
            <w:tcBorders>
              <w:tl2br w:val="nil"/>
              <w:tr2bl w:val="nil"/>
            </w:tcBorders>
            <w:vAlign w:val="center"/>
          </w:tcPr>
          <w:p w14:paraId="5D0B4ED7">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262" w:type="dxa"/>
            <w:tcBorders>
              <w:tl2br w:val="nil"/>
              <w:tr2bl w:val="nil"/>
            </w:tcBorders>
            <w:vAlign w:val="center"/>
          </w:tcPr>
          <w:p w14:paraId="15DC8671">
            <w:pPr>
              <w:widowControl/>
              <w:jc w:val="center"/>
              <w:rPr>
                <w:rFonts w:hint="eastAsia" w:ascii="宋体" w:hAnsi="宋体" w:cs="宋体"/>
                <w:kern w:val="0"/>
                <w:szCs w:val="21"/>
                <w:highlight w:val="none"/>
              </w:rPr>
            </w:pPr>
            <w:r>
              <w:rPr>
                <w:rFonts w:hint="eastAsia" w:ascii="宋体" w:hAnsi="宋体" w:cs="宋体"/>
                <w:kern w:val="0"/>
                <w:szCs w:val="21"/>
                <w:highlight w:val="none"/>
              </w:rPr>
              <w:t>Y≥5000</w:t>
            </w:r>
          </w:p>
        </w:tc>
        <w:tc>
          <w:tcPr>
            <w:tcW w:w="1849" w:type="dxa"/>
            <w:tcBorders>
              <w:tl2br w:val="nil"/>
              <w:tr2bl w:val="nil"/>
            </w:tcBorders>
            <w:vAlign w:val="center"/>
          </w:tcPr>
          <w:p w14:paraId="481E6BF3">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 xml:space="preserve">1000≤Y＜5000 </w:t>
            </w:r>
          </w:p>
        </w:tc>
        <w:tc>
          <w:tcPr>
            <w:tcW w:w="1649" w:type="dxa"/>
            <w:tcBorders>
              <w:tl2br w:val="nil"/>
              <w:tr2bl w:val="nil"/>
            </w:tcBorders>
            <w:vAlign w:val="center"/>
          </w:tcPr>
          <w:p w14:paraId="52202D61">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500≤Y＜1000</w:t>
            </w:r>
          </w:p>
        </w:tc>
        <w:tc>
          <w:tcPr>
            <w:tcW w:w="990" w:type="dxa"/>
            <w:tcBorders>
              <w:tl2br w:val="nil"/>
              <w:tr2bl w:val="nil"/>
            </w:tcBorders>
            <w:vAlign w:val="center"/>
          </w:tcPr>
          <w:p w14:paraId="3779D5DA">
            <w:pPr>
              <w:widowControl/>
              <w:jc w:val="center"/>
              <w:rPr>
                <w:rFonts w:hint="eastAsia" w:ascii="宋体" w:hAnsi="宋体" w:cs="宋体"/>
                <w:kern w:val="0"/>
                <w:szCs w:val="21"/>
                <w:highlight w:val="none"/>
              </w:rPr>
            </w:pPr>
            <w:r>
              <w:rPr>
                <w:rFonts w:hint="eastAsia" w:ascii="宋体" w:hAnsi="宋体" w:cs="宋体"/>
                <w:kern w:val="0"/>
                <w:szCs w:val="21"/>
                <w:highlight w:val="none"/>
              </w:rPr>
              <w:t>Y＜500</w:t>
            </w:r>
          </w:p>
        </w:tc>
      </w:tr>
      <w:tr w14:paraId="5371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358" w:type="dxa"/>
            <w:vMerge w:val="restart"/>
            <w:tcBorders>
              <w:tl2br w:val="nil"/>
              <w:tr2bl w:val="nil"/>
            </w:tcBorders>
            <w:vAlign w:val="center"/>
          </w:tcPr>
          <w:p w14:paraId="29CE46F7">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租赁和商务服务业</w:t>
            </w:r>
          </w:p>
        </w:tc>
        <w:tc>
          <w:tcPr>
            <w:tcW w:w="1486" w:type="dxa"/>
            <w:tcBorders>
              <w:tl2br w:val="nil"/>
              <w:tr2bl w:val="nil"/>
            </w:tcBorders>
            <w:vAlign w:val="center"/>
          </w:tcPr>
          <w:p w14:paraId="69854DBD">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1" w:type="dxa"/>
            <w:tcBorders>
              <w:tl2br w:val="nil"/>
              <w:tr2bl w:val="nil"/>
            </w:tcBorders>
            <w:vAlign w:val="center"/>
          </w:tcPr>
          <w:p w14:paraId="3A044DF6">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262" w:type="dxa"/>
            <w:tcBorders>
              <w:tl2br w:val="nil"/>
              <w:tr2bl w:val="nil"/>
            </w:tcBorders>
            <w:vAlign w:val="center"/>
          </w:tcPr>
          <w:p w14:paraId="522FAB56">
            <w:pPr>
              <w:widowControl/>
              <w:jc w:val="center"/>
              <w:rPr>
                <w:rFonts w:hint="eastAsia" w:ascii="宋体" w:hAnsi="宋体" w:cs="宋体"/>
                <w:kern w:val="0"/>
                <w:szCs w:val="21"/>
                <w:highlight w:val="none"/>
              </w:rPr>
            </w:pPr>
            <w:r>
              <w:rPr>
                <w:rFonts w:hint="eastAsia" w:ascii="宋体" w:hAnsi="宋体" w:cs="宋体"/>
                <w:kern w:val="0"/>
                <w:szCs w:val="21"/>
                <w:highlight w:val="none"/>
              </w:rPr>
              <w:t>X≥300</w:t>
            </w:r>
          </w:p>
        </w:tc>
        <w:tc>
          <w:tcPr>
            <w:tcW w:w="1849" w:type="dxa"/>
            <w:tcBorders>
              <w:tl2br w:val="nil"/>
              <w:tr2bl w:val="nil"/>
            </w:tcBorders>
            <w:vAlign w:val="center"/>
          </w:tcPr>
          <w:p w14:paraId="09CCDB56">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 xml:space="preserve">100≤X＜300 </w:t>
            </w:r>
          </w:p>
        </w:tc>
        <w:tc>
          <w:tcPr>
            <w:tcW w:w="1649" w:type="dxa"/>
            <w:tcBorders>
              <w:tl2br w:val="nil"/>
              <w:tr2bl w:val="nil"/>
            </w:tcBorders>
            <w:vAlign w:val="center"/>
          </w:tcPr>
          <w:p w14:paraId="13072499">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10≤X＜100</w:t>
            </w:r>
          </w:p>
        </w:tc>
        <w:tc>
          <w:tcPr>
            <w:tcW w:w="990" w:type="dxa"/>
            <w:tcBorders>
              <w:tl2br w:val="nil"/>
              <w:tr2bl w:val="nil"/>
            </w:tcBorders>
            <w:vAlign w:val="center"/>
          </w:tcPr>
          <w:p w14:paraId="1413B775">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r w14:paraId="1B3E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1358" w:type="dxa"/>
            <w:vMerge w:val="continue"/>
            <w:tcBorders>
              <w:tl2br w:val="nil"/>
              <w:tr2bl w:val="nil"/>
            </w:tcBorders>
            <w:vAlign w:val="center"/>
          </w:tcPr>
          <w:p w14:paraId="4FF80527">
            <w:pPr>
              <w:widowControl/>
              <w:jc w:val="left"/>
              <w:rPr>
                <w:rFonts w:hint="eastAsia" w:ascii="宋体" w:hAnsi="宋体" w:cs="宋体"/>
                <w:kern w:val="0"/>
                <w:szCs w:val="21"/>
                <w:highlight w:val="none"/>
              </w:rPr>
            </w:pPr>
          </w:p>
        </w:tc>
        <w:tc>
          <w:tcPr>
            <w:tcW w:w="1486" w:type="dxa"/>
            <w:tcBorders>
              <w:tl2br w:val="nil"/>
              <w:tr2bl w:val="nil"/>
            </w:tcBorders>
            <w:vAlign w:val="center"/>
          </w:tcPr>
          <w:p w14:paraId="78EA8361">
            <w:pPr>
              <w:widowControl/>
              <w:spacing w:line="240" w:lineRule="exact"/>
              <w:jc w:val="center"/>
              <w:rPr>
                <w:rFonts w:hint="eastAsia" w:ascii="宋体" w:hAnsi="宋体" w:cs="宋体"/>
                <w:kern w:val="0"/>
                <w:szCs w:val="21"/>
                <w:highlight w:val="none"/>
              </w:rPr>
            </w:pPr>
            <w:r>
              <w:rPr>
                <w:rFonts w:hint="eastAsia" w:ascii="宋体" w:hAnsi="宋体" w:cs="宋体"/>
                <w:kern w:val="0"/>
                <w:szCs w:val="21"/>
                <w:highlight w:val="none"/>
              </w:rPr>
              <w:t>资产总额(Z)</w:t>
            </w:r>
          </w:p>
        </w:tc>
        <w:tc>
          <w:tcPr>
            <w:tcW w:w="821" w:type="dxa"/>
            <w:tcBorders>
              <w:tl2br w:val="nil"/>
              <w:tr2bl w:val="nil"/>
            </w:tcBorders>
            <w:vAlign w:val="center"/>
          </w:tcPr>
          <w:p w14:paraId="57BF14C0">
            <w:pPr>
              <w:widowControl/>
              <w:jc w:val="center"/>
              <w:rPr>
                <w:rFonts w:hint="eastAsia" w:ascii="宋体" w:hAnsi="宋体" w:cs="宋体"/>
                <w:kern w:val="0"/>
                <w:szCs w:val="21"/>
                <w:highlight w:val="none"/>
              </w:rPr>
            </w:pPr>
            <w:r>
              <w:rPr>
                <w:rFonts w:hint="eastAsia" w:ascii="宋体" w:hAnsi="宋体" w:cs="宋体"/>
                <w:kern w:val="0"/>
                <w:szCs w:val="21"/>
                <w:highlight w:val="none"/>
              </w:rPr>
              <w:t>万元</w:t>
            </w:r>
          </w:p>
        </w:tc>
        <w:tc>
          <w:tcPr>
            <w:tcW w:w="1262" w:type="dxa"/>
            <w:tcBorders>
              <w:tl2br w:val="nil"/>
              <w:tr2bl w:val="nil"/>
            </w:tcBorders>
            <w:vAlign w:val="center"/>
          </w:tcPr>
          <w:p w14:paraId="588BF4F9">
            <w:pPr>
              <w:widowControl/>
              <w:jc w:val="center"/>
              <w:rPr>
                <w:rFonts w:hint="eastAsia" w:ascii="宋体" w:hAnsi="宋体" w:cs="宋体"/>
                <w:kern w:val="0"/>
                <w:szCs w:val="21"/>
                <w:highlight w:val="none"/>
              </w:rPr>
            </w:pPr>
            <w:r>
              <w:rPr>
                <w:rFonts w:hint="eastAsia" w:ascii="宋体" w:hAnsi="宋体" w:cs="宋体"/>
                <w:kern w:val="0"/>
                <w:szCs w:val="21"/>
                <w:highlight w:val="none"/>
              </w:rPr>
              <w:t>Z≥120000</w:t>
            </w:r>
          </w:p>
        </w:tc>
        <w:tc>
          <w:tcPr>
            <w:tcW w:w="1849" w:type="dxa"/>
            <w:tcBorders>
              <w:tl2br w:val="nil"/>
              <w:tr2bl w:val="nil"/>
            </w:tcBorders>
            <w:vAlign w:val="center"/>
          </w:tcPr>
          <w:p w14:paraId="0C41CB87">
            <w:pPr>
              <w:widowControl/>
              <w:jc w:val="center"/>
              <w:rPr>
                <w:rFonts w:hint="eastAsia" w:ascii="宋体" w:hAnsi="宋体" w:cs="宋体"/>
                <w:kern w:val="0"/>
                <w:szCs w:val="21"/>
                <w:highlight w:val="none"/>
              </w:rPr>
            </w:pPr>
            <w:r>
              <w:rPr>
                <w:rFonts w:hint="eastAsia" w:ascii="宋体" w:hAnsi="宋体" w:cs="宋体"/>
                <w:kern w:val="0"/>
                <w:szCs w:val="21"/>
                <w:highlight w:val="none"/>
              </w:rPr>
              <w:t>8000≤Z＜120000</w:t>
            </w:r>
          </w:p>
        </w:tc>
        <w:tc>
          <w:tcPr>
            <w:tcW w:w="1649" w:type="dxa"/>
            <w:tcBorders>
              <w:tl2br w:val="nil"/>
              <w:tr2bl w:val="nil"/>
            </w:tcBorders>
            <w:vAlign w:val="center"/>
          </w:tcPr>
          <w:p w14:paraId="5329B011">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100≤Z＜8000</w:t>
            </w:r>
          </w:p>
        </w:tc>
        <w:tc>
          <w:tcPr>
            <w:tcW w:w="990" w:type="dxa"/>
            <w:tcBorders>
              <w:tl2br w:val="nil"/>
              <w:tr2bl w:val="nil"/>
            </w:tcBorders>
            <w:vAlign w:val="center"/>
          </w:tcPr>
          <w:p w14:paraId="01545498">
            <w:pPr>
              <w:widowControl/>
              <w:jc w:val="center"/>
              <w:rPr>
                <w:rFonts w:hint="eastAsia" w:ascii="宋体" w:hAnsi="宋体" w:cs="宋体"/>
                <w:kern w:val="0"/>
                <w:szCs w:val="21"/>
                <w:highlight w:val="none"/>
              </w:rPr>
            </w:pPr>
            <w:r>
              <w:rPr>
                <w:rFonts w:hint="eastAsia" w:ascii="宋体" w:hAnsi="宋体" w:cs="宋体"/>
                <w:kern w:val="0"/>
                <w:szCs w:val="21"/>
                <w:highlight w:val="none"/>
              </w:rPr>
              <w:t>Z＜100</w:t>
            </w:r>
          </w:p>
        </w:tc>
      </w:tr>
      <w:tr w14:paraId="485E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1358" w:type="dxa"/>
            <w:tcBorders>
              <w:tl2br w:val="nil"/>
              <w:tr2bl w:val="nil"/>
            </w:tcBorders>
            <w:vAlign w:val="center"/>
          </w:tcPr>
          <w:p w14:paraId="364F2E18">
            <w:pPr>
              <w:widowControl/>
              <w:spacing w:line="240" w:lineRule="exact"/>
              <w:jc w:val="left"/>
              <w:rPr>
                <w:rFonts w:hint="eastAsia" w:ascii="宋体" w:hAnsi="宋体" w:cs="宋体"/>
                <w:kern w:val="0"/>
                <w:szCs w:val="21"/>
                <w:highlight w:val="none"/>
              </w:rPr>
            </w:pPr>
            <w:r>
              <w:rPr>
                <w:rFonts w:hint="eastAsia" w:ascii="宋体" w:hAnsi="宋体" w:cs="宋体"/>
                <w:kern w:val="0"/>
                <w:szCs w:val="21"/>
                <w:highlight w:val="none"/>
              </w:rPr>
              <w:t>其他未列明行业 *</w:t>
            </w:r>
          </w:p>
        </w:tc>
        <w:tc>
          <w:tcPr>
            <w:tcW w:w="1486" w:type="dxa"/>
            <w:tcBorders>
              <w:tl2br w:val="nil"/>
              <w:tr2bl w:val="nil"/>
            </w:tcBorders>
            <w:vAlign w:val="center"/>
          </w:tcPr>
          <w:p w14:paraId="16A82154">
            <w:pPr>
              <w:widowControl/>
              <w:jc w:val="center"/>
              <w:rPr>
                <w:rFonts w:hint="eastAsia" w:ascii="宋体" w:hAnsi="宋体" w:cs="宋体"/>
                <w:kern w:val="0"/>
                <w:szCs w:val="21"/>
                <w:highlight w:val="none"/>
              </w:rPr>
            </w:pPr>
            <w:r>
              <w:rPr>
                <w:rFonts w:hint="eastAsia" w:ascii="宋体" w:hAnsi="宋体" w:cs="宋体"/>
                <w:kern w:val="0"/>
                <w:szCs w:val="21"/>
                <w:highlight w:val="none"/>
              </w:rPr>
              <w:t>从业人员(X)</w:t>
            </w:r>
          </w:p>
        </w:tc>
        <w:tc>
          <w:tcPr>
            <w:tcW w:w="821" w:type="dxa"/>
            <w:tcBorders>
              <w:tl2br w:val="nil"/>
              <w:tr2bl w:val="nil"/>
            </w:tcBorders>
            <w:vAlign w:val="center"/>
          </w:tcPr>
          <w:p w14:paraId="4B136423">
            <w:pPr>
              <w:widowControl/>
              <w:jc w:val="center"/>
              <w:rPr>
                <w:rFonts w:hint="eastAsia" w:ascii="宋体" w:hAnsi="宋体" w:cs="宋体"/>
                <w:kern w:val="0"/>
                <w:szCs w:val="21"/>
                <w:highlight w:val="none"/>
              </w:rPr>
            </w:pPr>
            <w:r>
              <w:rPr>
                <w:rFonts w:hint="eastAsia" w:ascii="宋体" w:hAnsi="宋体" w:cs="宋体"/>
                <w:kern w:val="0"/>
                <w:szCs w:val="21"/>
                <w:highlight w:val="none"/>
              </w:rPr>
              <w:t>人</w:t>
            </w:r>
          </w:p>
        </w:tc>
        <w:tc>
          <w:tcPr>
            <w:tcW w:w="1262" w:type="dxa"/>
            <w:tcBorders>
              <w:tl2br w:val="nil"/>
              <w:tr2bl w:val="nil"/>
            </w:tcBorders>
            <w:vAlign w:val="center"/>
          </w:tcPr>
          <w:p w14:paraId="41F57DA3">
            <w:pPr>
              <w:widowControl/>
              <w:jc w:val="center"/>
              <w:rPr>
                <w:rFonts w:hint="eastAsia" w:ascii="宋体" w:hAnsi="宋体" w:cs="宋体"/>
                <w:kern w:val="0"/>
                <w:szCs w:val="21"/>
                <w:highlight w:val="none"/>
              </w:rPr>
            </w:pPr>
            <w:r>
              <w:rPr>
                <w:rFonts w:hint="eastAsia" w:ascii="宋体" w:hAnsi="宋体" w:cs="宋体"/>
                <w:kern w:val="0"/>
                <w:szCs w:val="21"/>
                <w:highlight w:val="none"/>
              </w:rPr>
              <w:t>X≥300</w:t>
            </w:r>
          </w:p>
        </w:tc>
        <w:tc>
          <w:tcPr>
            <w:tcW w:w="1849" w:type="dxa"/>
            <w:tcBorders>
              <w:tl2br w:val="nil"/>
              <w:tr2bl w:val="nil"/>
            </w:tcBorders>
            <w:vAlign w:val="center"/>
          </w:tcPr>
          <w:p w14:paraId="01E1B7C7">
            <w:pPr>
              <w:widowControl/>
              <w:ind w:left="19" w:leftChars="-51" w:hanging="126" w:hangingChars="60"/>
              <w:jc w:val="center"/>
              <w:rPr>
                <w:rFonts w:hint="eastAsia" w:ascii="宋体" w:hAnsi="宋体" w:cs="宋体"/>
                <w:kern w:val="0"/>
                <w:szCs w:val="21"/>
                <w:highlight w:val="none"/>
              </w:rPr>
            </w:pPr>
            <w:r>
              <w:rPr>
                <w:rFonts w:hint="eastAsia" w:ascii="宋体" w:hAnsi="宋体" w:cs="宋体"/>
                <w:kern w:val="0"/>
                <w:szCs w:val="21"/>
                <w:highlight w:val="none"/>
              </w:rPr>
              <w:t xml:space="preserve">100≤X＜300 </w:t>
            </w:r>
          </w:p>
        </w:tc>
        <w:tc>
          <w:tcPr>
            <w:tcW w:w="1649" w:type="dxa"/>
            <w:tcBorders>
              <w:tl2br w:val="nil"/>
              <w:tr2bl w:val="nil"/>
            </w:tcBorders>
            <w:vAlign w:val="center"/>
          </w:tcPr>
          <w:p w14:paraId="4B53ED70">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10≤X＜100</w:t>
            </w:r>
          </w:p>
        </w:tc>
        <w:tc>
          <w:tcPr>
            <w:tcW w:w="990" w:type="dxa"/>
            <w:tcBorders>
              <w:tl2br w:val="nil"/>
              <w:tr2bl w:val="nil"/>
            </w:tcBorders>
            <w:vAlign w:val="center"/>
          </w:tcPr>
          <w:p w14:paraId="6DC8B89B">
            <w:pPr>
              <w:widowControl/>
              <w:jc w:val="center"/>
              <w:rPr>
                <w:rFonts w:hint="eastAsia" w:ascii="宋体" w:hAnsi="宋体" w:cs="宋体"/>
                <w:kern w:val="0"/>
                <w:szCs w:val="21"/>
                <w:highlight w:val="none"/>
              </w:rPr>
            </w:pPr>
            <w:r>
              <w:rPr>
                <w:rFonts w:hint="eastAsia" w:ascii="宋体" w:hAnsi="宋体" w:cs="宋体"/>
                <w:kern w:val="0"/>
                <w:szCs w:val="21"/>
                <w:highlight w:val="none"/>
              </w:rPr>
              <w:t>X＜10</w:t>
            </w:r>
          </w:p>
        </w:tc>
      </w:tr>
    </w:tbl>
    <w:p w14:paraId="7E53CB94">
      <w:pPr>
        <w:widowControl/>
        <w:spacing w:line="540" w:lineRule="exact"/>
        <w:rPr>
          <w:rFonts w:hint="eastAsia" w:ascii="宋体" w:hAnsi="宋体" w:cs="宋体"/>
          <w:spacing w:val="8"/>
          <w:kern w:val="0"/>
          <w:szCs w:val="21"/>
          <w:highlight w:val="none"/>
        </w:rPr>
      </w:pPr>
      <w:r>
        <w:rPr>
          <w:rFonts w:hint="eastAsia" w:ascii="宋体" w:hAnsi="宋体" w:cs="宋体"/>
          <w:spacing w:val="8"/>
          <w:kern w:val="0"/>
          <w:szCs w:val="21"/>
          <w:highlight w:val="none"/>
        </w:rPr>
        <w:t>说明：</w:t>
      </w:r>
    </w:p>
    <w:p w14:paraId="6FB5E180">
      <w:pPr>
        <w:spacing w:line="360" w:lineRule="auto"/>
        <w:rPr>
          <w:rFonts w:hint="eastAsia" w:ascii="宋体" w:hAnsi="宋体" w:cs="宋体"/>
          <w:bCs/>
          <w:szCs w:val="21"/>
          <w:highlight w:val="none"/>
        </w:rPr>
      </w:pPr>
      <w:r>
        <w:rPr>
          <w:rFonts w:hint="eastAsia" w:ascii="宋体" w:hAnsi="宋体" w:cs="宋体"/>
          <w:bCs/>
          <w:szCs w:val="21"/>
          <w:highlight w:val="none"/>
        </w:rPr>
        <w:t>　　1.大型、中型和小型企业须同时满足所列指标的下限，否则下划一档；微型企业只须满足所列指标中的一项即可。</w:t>
      </w:r>
    </w:p>
    <w:p w14:paraId="2F98EBB4">
      <w:pPr>
        <w:spacing w:line="360" w:lineRule="auto"/>
        <w:rPr>
          <w:rFonts w:hint="eastAsia" w:ascii="宋体" w:hAnsi="宋体" w:cs="宋体"/>
          <w:bCs/>
          <w:szCs w:val="21"/>
          <w:highlight w:val="none"/>
        </w:rPr>
      </w:pPr>
      <w:r>
        <w:rPr>
          <w:rFonts w:hint="eastAsia" w:ascii="宋体" w:hAnsi="宋体" w:cs="宋体"/>
          <w:bCs/>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8972A24">
      <w:pPr>
        <w:spacing w:line="360" w:lineRule="auto"/>
        <w:ind w:firstLine="420"/>
        <w:rPr>
          <w:rFonts w:hint="eastAsia" w:ascii="宋体" w:hAnsi="宋体" w:cs="宋体"/>
          <w:bCs/>
          <w:szCs w:val="21"/>
          <w:highlight w:val="none"/>
        </w:rPr>
      </w:pPr>
      <w:r>
        <w:rPr>
          <w:rFonts w:hint="eastAsia" w:ascii="宋体" w:hAnsi="宋体" w:cs="宋体"/>
          <w:bCs/>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A386112">
      <w:pPr>
        <w:rPr>
          <w:rFonts w:hint="eastAsia" w:ascii="宋体" w:hAnsi="宋体" w:cs="宋体"/>
          <w:szCs w:val="21"/>
          <w:highlight w:val="none"/>
        </w:rPr>
      </w:pPr>
      <w:r>
        <w:rPr>
          <w:rFonts w:hint="eastAsia" w:ascii="宋体" w:hAnsi="宋体" w:cs="宋体"/>
          <w:szCs w:val="21"/>
          <w:highlight w:val="none"/>
        </w:rPr>
        <w:br w:type="page"/>
      </w:r>
    </w:p>
    <w:p w14:paraId="5FF0E001">
      <w:pPr>
        <w:spacing w:line="600" w:lineRule="exact"/>
        <w:rPr>
          <w:rFonts w:hint="eastAsia" w:ascii="宋体" w:hAnsi="宋体" w:cs="宋体"/>
          <w:szCs w:val="21"/>
          <w:highlight w:val="none"/>
        </w:rPr>
      </w:pPr>
      <w:r>
        <w:rPr>
          <w:rFonts w:hint="eastAsia" w:ascii="宋体" w:hAnsi="宋体" w:cs="宋体"/>
          <w:szCs w:val="21"/>
          <w:highlight w:val="none"/>
        </w:rPr>
        <w:t>附件</w:t>
      </w:r>
    </w:p>
    <w:p w14:paraId="36CE78EE">
      <w:pPr>
        <w:spacing w:line="600" w:lineRule="exact"/>
        <w:jc w:val="center"/>
        <w:rPr>
          <w:rFonts w:hint="eastAsia" w:ascii="宋体" w:hAnsi="宋体" w:cs="宋体"/>
          <w:kern w:val="0"/>
          <w:szCs w:val="21"/>
          <w:highlight w:val="none"/>
        </w:rPr>
      </w:pPr>
      <w:r>
        <w:rPr>
          <w:rFonts w:hint="eastAsia" w:ascii="宋体" w:hAnsi="宋体" w:cs="宋体"/>
          <w:kern w:val="0"/>
          <w:szCs w:val="21"/>
          <w:highlight w:val="none"/>
        </w:rPr>
        <w:t>《统计上大中小微型企业划分办法（2017）》修订说明</w:t>
      </w:r>
    </w:p>
    <w:p w14:paraId="2A0211E3">
      <w:pPr>
        <w:spacing w:line="360" w:lineRule="auto"/>
        <w:rPr>
          <w:rFonts w:hint="eastAsia" w:ascii="宋体" w:hAnsi="宋体" w:cs="宋体"/>
          <w:bCs/>
          <w:szCs w:val="21"/>
          <w:highlight w:val="none"/>
        </w:rPr>
      </w:pPr>
      <w:r>
        <w:rPr>
          <w:rFonts w:hint="eastAsia" w:ascii="宋体" w:hAnsi="宋体" w:cs="宋体"/>
          <w:bCs/>
          <w:szCs w:val="21"/>
          <w:highlight w:val="none"/>
        </w:rPr>
        <w:t>一、修订背景</w:t>
      </w:r>
    </w:p>
    <w:p w14:paraId="2C74F99F">
      <w:pPr>
        <w:spacing w:line="360" w:lineRule="auto"/>
        <w:rPr>
          <w:rFonts w:hint="eastAsia" w:ascii="宋体" w:hAnsi="宋体" w:cs="宋体"/>
          <w:bCs/>
          <w:szCs w:val="21"/>
          <w:highlight w:val="none"/>
        </w:rPr>
      </w:pPr>
      <w:r>
        <w:rPr>
          <w:rFonts w:hint="eastAsia" w:ascii="宋体" w:hAnsi="宋体" w:cs="宋体"/>
          <w:bCs/>
          <w:szCs w:val="21"/>
          <w:highlight w:val="none"/>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E991F88">
      <w:pPr>
        <w:spacing w:line="360" w:lineRule="auto"/>
        <w:rPr>
          <w:rFonts w:hint="eastAsia" w:ascii="宋体" w:hAnsi="宋体" w:cs="宋体"/>
          <w:bCs/>
          <w:szCs w:val="21"/>
          <w:highlight w:val="none"/>
        </w:rPr>
      </w:pPr>
      <w:r>
        <w:rPr>
          <w:rFonts w:hint="eastAsia" w:ascii="宋体" w:hAnsi="宋体" w:cs="宋体"/>
          <w:bCs/>
          <w:szCs w:val="21"/>
          <w:highlight w:val="none"/>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735B64EB">
      <w:pPr>
        <w:spacing w:line="360" w:lineRule="auto"/>
        <w:rPr>
          <w:rFonts w:hint="eastAsia" w:ascii="宋体" w:hAnsi="宋体" w:cs="宋体"/>
          <w:bCs/>
          <w:szCs w:val="21"/>
          <w:highlight w:val="none"/>
        </w:rPr>
      </w:pPr>
      <w:r>
        <w:rPr>
          <w:rFonts w:hint="eastAsia" w:ascii="宋体" w:hAnsi="宋体" w:cs="宋体"/>
          <w:bCs/>
          <w:szCs w:val="21"/>
          <w:highlight w:val="none"/>
        </w:rPr>
        <w:t>二、修订主要内容</w:t>
      </w:r>
    </w:p>
    <w:p w14:paraId="143B7446">
      <w:pPr>
        <w:spacing w:line="360" w:lineRule="auto"/>
        <w:rPr>
          <w:rFonts w:hint="eastAsia" w:ascii="宋体" w:hAnsi="宋体" w:cs="宋体"/>
          <w:bCs/>
          <w:szCs w:val="21"/>
          <w:highlight w:val="none"/>
        </w:rPr>
      </w:pPr>
      <w:r>
        <w:rPr>
          <w:rFonts w:hint="eastAsia" w:ascii="宋体" w:hAnsi="宋体" w:cs="宋体"/>
          <w:bCs/>
          <w:szCs w:val="21"/>
          <w:highlight w:val="none"/>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47E8604B">
      <w:pPr>
        <w:spacing w:line="360" w:lineRule="auto"/>
        <w:rPr>
          <w:rFonts w:hint="eastAsia" w:ascii="宋体" w:hAnsi="宋体" w:cs="宋体"/>
          <w:bCs/>
          <w:szCs w:val="21"/>
          <w:highlight w:val="none"/>
        </w:rPr>
      </w:pPr>
      <w:r>
        <w:rPr>
          <w:rFonts w:hint="eastAsia" w:ascii="宋体" w:hAnsi="宋体" w:cs="宋体"/>
          <w:bCs/>
          <w:szCs w:val="21"/>
          <w:highlight w:val="none"/>
        </w:rPr>
        <w:t>将交通运输业中包括的“装卸搬运和运输代理业”修改为“多式联运和运输代理业、装卸搬运”。</w:t>
      </w:r>
    </w:p>
    <w:p w14:paraId="38C3064C">
      <w:pPr>
        <w:spacing w:line="400" w:lineRule="exact"/>
        <w:ind w:firstLine="420" w:firstLineChars="200"/>
        <w:jc w:val="left"/>
        <w:rPr>
          <w:rFonts w:hint="eastAsia" w:ascii="宋体" w:hAnsi="宋体" w:cs="宋体"/>
          <w:bCs/>
          <w:szCs w:val="21"/>
          <w:highlight w:val="none"/>
        </w:rPr>
      </w:pPr>
      <w:r>
        <w:rPr>
          <w:rFonts w:hint="eastAsia" w:ascii="宋体" w:hAnsi="宋体" w:cs="宋体"/>
          <w:bCs/>
          <w:szCs w:val="21"/>
          <w:highlight w:val="none"/>
        </w:rPr>
        <w:t>仓储业所包括的行业中类，根据《国民经济行业分类》（GB/T 4754—2017）调整为“通用仓储，低温仓储，危险品仓储，谷物、棉花等农产品仓储，中药材仓储和其他仓储业”。</w:t>
      </w:r>
    </w:p>
    <w:p w14:paraId="2CD55E6A">
      <w:pPr>
        <w:spacing w:line="400" w:lineRule="exact"/>
        <w:jc w:val="center"/>
        <w:rPr>
          <w:rFonts w:hint="eastAsia" w:ascii="宋体" w:hAnsi="宋体" w:cs="宋体"/>
          <w:bCs/>
          <w:szCs w:val="21"/>
          <w:highlight w:val="none"/>
        </w:rPr>
      </w:pPr>
      <w:r>
        <w:rPr>
          <w:rFonts w:hint="eastAsia" w:ascii="宋体" w:hAnsi="宋体" w:cs="宋体"/>
          <w:bCs/>
          <w:szCs w:val="21"/>
          <w:highlight w:val="none"/>
        </w:rPr>
        <w:br w:type="page"/>
      </w:r>
      <w:r>
        <w:rPr>
          <w:rFonts w:hint="eastAsia" w:ascii="宋体" w:hAnsi="宋体" w:cs="宋体"/>
          <w:bCs/>
          <w:szCs w:val="21"/>
          <w:highlight w:val="none"/>
        </w:rPr>
        <w:t>国务院办公厅关于在政府采购中实施本国产品标准及相关政策的通知</w:t>
      </w:r>
    </w:p>
    <w:p w14:paraId="1093C2F5">
      <w:pPr>
        <w:spacing w:line="400" w:lineRule="exact"/>
        <w:jc w:val="center"/>
        <w:rPr>
          <w:rFonts w:hint="eastAsia" w:ascii="宋体" w:hAnsi="宋体" w:cs="宋体"/>
          <w:bCs/>
          <w:szCs w:val="21"/>
          <w:highlight w:val="none"/>
        </w:rPr>
      </w:pPr>
      <w:r>
        <w:rPr>
          <w:rFonts w:hint="eastAsia" w:ascii="宋体" w:hAnsi="宋体" w:cs="宋体"/>
          <w:bCs/>
          <w:szCs w:val="21"/>
          <w:highlight w:val="none"/>
        </w:rPr>
        <w:t>国办发〔2025〕34号</w:t>
      </w:r>
    </w:p>
    <w:p w14:paraId="0FAAD832">
      <w:pPr>
        <w:spacing w:line="400" w:lineRule="exact"/>
        <w:rPr>
          <w:rFonts w:hint="eastAsia" w:ascii="宋体" w:hAnsi="宋体" w:cs="宋体"/>
          <w:bCs/>
          <w:szCs w:val="21"/>
          <w:highlight w:val="none"/>
        </w:rPr>
      </w:pPr>
      <w:r>
        <w:rPr>
          <w:rFonts w:hint="eastAsia" w:ascii="宋体" w:hAnsi="宋体" w:cs="宋体"/>
          <w:bCs/>
          <w:szCs w:val="21"/>
          <w:highlight w:val="none"/>
        </w:rPr>
        <w:t>各省、自治区、直辖市人民政府，国务院各部委、各直属机构：</w:t>
      </w:r>
    </w:p>
    <w:p w14:paraId="2834A991">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0759EA62">
      <w:pPr>
        <w:spacing w:line="400" w:lineRule="exact"/>
        <w:rPr>
          <w:rFonts w:hint="eastAsia" w:ascii="宋体" w:hAnsi="宋体" w:cs="宋体"/>
          <w:bCs/>
          <w:szCs w:val="21"/>
          <w:highlight w:val="none"/>
        </w:rPr>
      </w:pPr>
      <w:r>
        <w:rPr>
          <w:rFonts w:hint="eastAsia" w:ascii="宋体" w:hAnsi="宋体" w:cs="宋体"/>
          <w:bCs/>
          <w:szCs w:val="21"/>
          <w:highlight w:val="none"/>
        </w:rPr>
        <w:t>一、本国产品标准</w:t>
      </w:r>
    </w:p>
    <w:p w14:paraId="1F8168C0">
      <w:pPr>
        <w:spacing w:line="400" w:lineRule="exact"/>
        <w:rPr>
          <w:rFonts w:hint="eastAsia" w:ascii="宋体" w:hAnsi="宋体" w:cs="宋体"/>
          <w:bCs/>
          <w:szCs w:val="21"/>
          <w:highlight w:val="none"/>
        </w:rPr>
      </w:pPr>
      <w:r>
        <w:rPr>
          <w:rFonts w:hint="eastAsia" w:ascii="宋体" w:hAnsi="宋体" w:cs="宋体"/>
          <w:bCs/>
          <w:szCs w:val="21"/>
          <w:highlight w:val="none"/>
        </w:rPr>
        <w:t>本国产品应当符合以下条件：</w:t>
      </w:r>
    </w:p>
    <w:p w14:paraId="429C5B9A">
      <w:pPr>
        <w:spacing w:line="400" w:lineRule="exact"/>
        <w:rPr>
          <w:rFonts w:hint="eastAsia" w:ascii="宋体" w:hAnsi="宋体" w:cs="宋体"/>
          <w:bCs/>
          <w:szCs w:val="21"/>
          <w:highlight w:val="none"/>
        </w:rPr>
      </w:pPr>
      <w:r>
        <w:rPr>
          <w:rFonts w:hint="eastAsia" w:ascii="宋体" w:hAnsi="宋体" w:cs="宋体"/>
          <w:bCs/>
          <w:szCs w:val="21"/>
          <w:highlight w:val="none"/>
        </w:rPr>
        <w:t>（一）在中国境内生产</w:t>
      </w:r>
    </w:p>
    <w:p w14:paraId="0372F239">
      <w:pPr>
        <w:spacing w:line="400" w:lineRule="exact"/>
        <w:rPr>
          <w:rFonts w:hint="eastAsia" w:ascii="宋体" w:hAnsi="宋体" w:cs="宋体"/>
          <w:bCs/>
          <w:szCs w:val="21"/>
          <w:highlight w:val="none"/>
        </w:rPr>
      </w:pPr>
      <w:r>
        <w:rPr>
          <w:rFonts w:hint="eastAsia" w:ascii="宋体" w:hAnsi="宋体" w:cs="宋体"/>
          <w:bCs/>
          <w:szCs w:val="21"/>
          <w:highlight w:val="none"/>
        </w:rPr>
        <w:t>产品应当在中国境内生产，即在中华人民共和国关境内实现从原材料、组件到产品的属性改变。</w:t>
      </w:r>
    </w:p>
    <w:p w14:paraId="6BC32EED">
      <w:pPr>
        <w:spacing w:line="400" w:lineRule="exact"/>
        <w:rPr>
          <w:rFonts w:hint="eastAsia" w:ascii="宋体" w:hAnsi="宋体" w:cs="宋体"/>
          <w:bCs/>
          <w:szCs w:val="21"/>
          <w:highlight w:val="none"/>
        </w:rPr>
      </w:pPr>
      <w:r>
        <w:rPr>
          <w:rFonts w:hint="eastAsia" w:ascii="宋体" w:hAnsi="宋体" w:cs="宋体"/>
          <w:bCs/>
          <w:szCs w:val="21"/>
          <w:highlight w:val="none"/>
        </w:rPr>
        <w:t>属性改变是指经过制造、加工或者组装等工序，产生完全不同于原材料、组件的新产品，并具有新的名称和特征（用途）。属性改变不包括以下细微操作：</w:t>
      </w:r>
    </w:p>
    <w:p w14:paraId="39EC191C">
      <w:pPr>
        <w:spacing w:line="400" w:lineRule="exact"/>
        <w:rPr>
          <w:rFonts w:hint="eastAsia" w:ascii="宋体" w:hAnsi="宋体" w:cs="宋体"/>
          <w:bCs/>
          <w:szCs w:val="21"/>
          <w:highlight w:val="none"/>
        </w:rPr>
      </w:pPr>
      <w:r>
        <w:rPr>
          <w:rFonts w:hint="eastAsia" w:ascii="宋体" w:hAnsi="宋体" w:cs="宋体"/>
          <w:bCs/>
          <w:szCs w:val="21"/>
          <w:highlight w:val="none"/>
        </w:rPr>
        <w:t>1.为确保产品在运输或者储存期间保持某种状态而进行的操作；</w:t>
      </w:r>
    </w:p>
    <w:p w14:paraId="318C06F0">
      <w:pPr>
        <w:spacing w:line="400" w:lineRule="exact"/>
        <w:rPr>
          <w:rFonts w:hint="eastAsia" w:ascii="宋体" w:hAnsi="宋体" w:cs="宋体"/>
          <w:bCs/>
          <w:szCs w:val="21"/>
          <w:highlight w:val="none"/>
        </w:rPr>
      </w:pPr>
      <w:r>
        <w:rPr>
          <w:rFonts w:hint="eastAsia" w:ascii="宋体" w:hAnsi="宋体" w:cs="宋体"/>
          <w:bCs/>
          <w:szCs w:val="21"/>
          <w:highlight w:val="none"/>
        </w:rPr>
        <w:t>2.为产品运输或者销售进行的包装或者展示；</w:t>
      </w:r>
    </w:p>
    <w:p w14:paraId="63F2EEC4">
      <w:pPr>
        <w:spacing w:line="400" w:lineRule="exact"/>
        <w:rPr>
          <w:rFonts w:hint="eastAsia" w:ascii="宋体" w:hAnsi="宋体" w:cs="宋体"/>
          <w:bCs/>
          <w:szCs w:val="21"/>
          <w:highlight w:val="none"/>
        </w:rPr>
      </w:pPr>
      <w:r>
        <w:rPr>
          <w:rFonts w:hint="eastAsia" w:ascii="宋体" w:hAnsi="宋体" w:cs="宋体"/>
          <w:bCs/>
          <w:szCs w:val="21"/>
          <w:highlight w:val="none"/>
        </w:rPr>
        <w:t>3.在产品或者其包装上粘贴或者印刷品牌、标志、标识以及其他用于区别的标记；</w:t>
      </w:r>
    </w:p>
    <w:p w14:paraId="79BEBD46">
      <w:pPr>
        <w:spacing w:line="400" w:lineRule="exact"/>
        <w:rPr>
          <w:rFonts w:hint="eastAsia" w:ascii="宋体" w:hAnsi="宋体" w:cs="宋体"/>
          <w:bCs/>
          <w:szCs w:val="21"/>
          <w:highlight w:val="none"/>
        </w:rPr>
      </w:pPr>
      <w:r>
        <w:rPr>
          <w:rFonts w:hint="eastAsia" w:ascii="宋体" w:hAnsi="宋体" w:cs="宋体"/>
          <w:bCs/>
          <w:szCs w:val="21"/>
          <w:highlight w:val="none"/>
        </w:rPr>
        <w:t>4.简单的上漆、磨光和分装；</w:t>
      </w:r>
    </w:p>
    <w:p w14:paraId="25703219">
      <w:pPr>
        <w:spacing w:line="400" w:lineRule="exact"/>
        <w:rPr>
          <w:rFonts w:hint="eastAsia" w:ascii="宋体" w:hAnsi="宋体" w:cs="宋体"/>
          <w:bCs/>
          <w:szCs w:val="21"/>
          <w:highlight w:val="none"/>
        </w:rPr>
      </w:pPr>
      <w:r>
        <w:rPr>
          <w:rFonts w:hint="eastAsia" w:ascii="宋体" w:hAnsi="宋体" w:cs="宋体"/>
          <w:bCs/>
          <w:szCs w:val="21"/>
          <w:highlight w:val="none"/>
        </w:rPr>
        <w:t>5.其他不属于属性改变的情形。</w:t>
      </w:r>
    </w:p>
    <w:p w14:paraId="5C3EB2BC">
      <w:pPr>
        <w:spacing w:line="400" w:lineRule="exact"/>
        <w:rPr>
          <w:rFonts w:hint="eastAsia" w:ascii="宋体" w:hAnsi="宋体" w:cs="宋体"/>
          <w:bCs/>
          <w:szCs w:val="21"/>
          <w:highlight w:val="none"/>
        </w:rPr>
      </w:pPr>
      <w:r>
        <w:rPr>
          <w:rFonts w:hint="eastAsia" w:ascii="宋体" w:hAnsi="宋体" w:cs="宋体"/>
          <w:bCs/>
          <w:szCs w:val="21"/>
          <w:highlight w:val="none"/>
        </w:rPr>
        <w:t>（二）在中国境内生产的组件成本占比达到规定比例</w:t>
      </w:r>
    </w:p>
    <w:p w14:paraId="6C5BC557">
      <w:pPr>
        <w:spacing w:line="400" w:lineRule="exact"/>
        <w:rPr>
          <w:rFonts w:hint="eastAsia" w:ascii="宋体" w:hAnsi="宋体" w:cs="宋体"/>
          <w:bCs/>
          <w:szCs w:val="21"/>
          <w:highlight w:val="none"/>
        </w:rPr>
      </w:pPr>
      <w:r>
        <w:rPr>
          <w:rFonts w:hint="eastAsia" w:ascii="宋体" w:hAnsi="宋体" w:cs="宋体"/>
          <w:bCs/>
          <w:szCs w:val="21"/>
          <w:highlight w:val="none"/>
        </w:rPr>
        <w:t>产品在中国境内生产的组件成本占比应当达到规定比例，计算公式为：</w:t>
      </w:r>
    </w:p>
    <w:p w14:paraId="17AE7BCA">
      <w:pPr>
        <w:spacing w:line="400" w:lineRule="exact"/>
        <w:rPr>
          <w:rFonts w:hint="eastAsia" w:ascii="宋体" w:hAnsi="宋体" w:cs="宋体"/>
          <w:bCs/>
          <w:szCs w:val="21"/>
          <w:highlight w:val="none"/>
          <w:u w:val="single"/>
        </w:rPr>
      </w:pPr>
      <w:r>
        <w:rPr>
          <w:rFonts w:hint="eastAsia" w:ascii="宋体" w:hAnsi="宋体" w:cs="宋体"/>
          <w:bCs/>
          <w:szCs w:val="21"/>
          <w:highlight w:val="none"/>
          <w:u w:val="single"/>
        </w:rPr>
        <w:t>产品在中国境内生产的组件成本</w:t>
      </w:r>
      <w:r>
        <w:rPr>
          <w:rFonts w:hint="eastAsia" w:ascii="宋体" w:hAnsi="宋体" w:cs="宋体"/>
          <w:bCs/>
          <w:szCs w:val="21"/>
          <w:highlight w:val="none"/>
        </w:rPr>
        <w:t xml:space="preserve">  ≥规定比例</w:t>
      </w:r>
    </w:p>
    <w:p w14:paraId="1BCFBE7D">
      <w:pPr>
        <w:spacing w:line="400" w:lineRule="exact"/>
        <w:ind w:firstLine="210" w:firstLineChars="100"/>
        <w:rPr>
          <w:rFonts w:hint="eastAsia" w:ascii="宋体" w:hAnsi="宋体" w:cs="宋体"/>
          <w:bCs/>
          <w:szCs w:val="21"/>
          <w:highlight w:val="none"/>
        </w:rPr>
      </w:pPr>
      <w:r>
        <w:rPr>
          <w:rFonts w:hint="eastAsia" w:ascii="宋体" w:hAnsi="宋体" w:cs="宋体"/>
          <w:bCs/>
          <w:szCs w:val="21"/>
          <w:highlight w:val="none"/>
        </w:rPr>
        <w:t xml:space="preserve">    产品总成本               </w:t>
      </w:r>
    </w:p>
    <w:p w14:paraId="0BCB8D8A">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B01AF97">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（三）特定产品的关键组件、关键工序符合相关要求</w:t>
      </w:r>
    </w:p>
    <w:p w14:paraId="2ABA0022">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对特定产品，在符合本通知第一条第（一）项和第（二）项条件的基础上，应当符合财政部会同有关行业主管部门确定的其关键组件、关键工序在中国境内生产、完成等要求。</w:t>
      </w:r>
    </w:p>
    <w:p w14:paraId="3CA3EEBF">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80AD96B">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二、本国产品标准的适用范围</w:t>
      </w:r>
    </w:p>
    <w:p w14:paraId="5343DB60">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D43D54D">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三、对本国产品的支持政策</w:t>
      </w:r>
    </w:p>
    <w:p w14:paraId="5E5AEC99">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政府采购活动中既有本国产品又有非本国产品参与竞争的，依法对本国产品给予价格评审优惠，对本国产品的报价给予20%的价格扣除，用扣除后的价格参与评审。</w:t>
      </w:r>
    </w:p>
    <w:p w14:paraId="61338CB6">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1AA07DF">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四、政策执行要求</w:t>
      </w:r>
    </w:p>
    <w:p w14:paraId="42FCC31D">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（一）产品在中国境内生产的组件成本核算规则。产品在中国境内生产的组件成本，按照《中国境内生产的组件成本核算基本规则》（见附件1）计算。</w:t>
      </w:r>
    </w:p>
    <w:p w14:paraId="75D605D9">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EAB5FA0">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采购人、采购代理机构应当随中标、成交结果同时公告中标、成交供应商提供的《声明函》或有关证明文件。</w:t>
      </w:r>
    </w:p>
    <w:p w14:paraId="7F805876">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9CE90D0">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（四）中华人民共和国缔结或者共同参加的国际条约、协定对政府采购中本国产品政策另有规定的，按照有关条约、协定执行。</w:t>
      </w:r>
    </w:p>
    <w:p w14:paraId="049675C6">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五、争议处理</w:t>
      </w:r>
    </w:p>
    <w:p w14:paraId="1B30EA4C">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3E993662">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（一）政府采购投诉处理、监督检查中，对产品或组件是否在中国境内生产存在争议的，按照以下原则处理：</w:t>
      </w:r>
    </w:p>
    <w:p w14:paraId="16C8201A">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16843866">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6974684F">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31D294F0">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76A886CA">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A47D7CA">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本通知自2026年1月1日起施行。</w:t>
      </w:r>
    </w:p>
    <w:p w14:paraId="712E2324">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 xml:space="preserve">                                                         国务院办公厅　        </w:t>
      </w:r>
    </w:p>
    <w:p w14:paraId="12071637">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 xml:space="preserve">                                                        2025年9月28日</w:t>
      </w:r>
    </w:p>
    <w:p w14:paraId="34EBF274">
      <w:pPr>
        <w:spacing w:line="400" w:lineRule="exact"/>
        <w:rPr>
          <w:rFonts w:hint="eastAsia" w:ascii="宋体" w:hAnsi="宋体" w:cs="宋体"/>
          <w:bCs/>
          <w:szCs w:val="21"/>
          <w:highlight w:val="none"/>
        </w:rPr>
      </w:pPr>
      <w:r>
        <w:rPr>
          <w:rFonts w:hint="eastAsia" w:ascii="宋体" w:hAnsi="宋体" w:cs="宋体"/>
          <w:bCs/>
          <w:szCs w:val="21"/>
          <w:highlight w:val="none"/>
        </w:rPr>
        <w:br w:type="page"/>
      </w:r>
      <w:r>
        <w:rPr>
          <w:rFonts w:hint="eastAsia" w:ascii="宋体" w:hAnsi="宋体" w:cs="宋体"/>
          <w:bCs/>
          <w:szCs w:val="21"/>
          <w:highlight w:val="none"/>
        </w:rPr>
        <w:t>附件一</w:t>
      </w:r>
    </w:p>
    <w:p w14:paraId="5AC12800">
      <w:pPr>
        <w:spacing w:line="400" w:lineRule="exact"/>
        <w:jc w:val="center"/>
        <w:rPr>
          <w:rFonts w:hint="eastAsia" w:ascii="宋体" w:hAnsi="宋体" w:cs="宋体"/>
          <w:bCs/>
          <w:szCs w:val="21"/>
          <w:highlight w:val="none"/>
        </w:rPr>
      </w:pPr>
      <w:r>
        <w:rPr>
          <w:rFonts w:hint="eastAsia" w:ascii="宋体" w:hAnsi="宋体" w:cs="宋体"/>
          <w:bCs/>
          <w:szCs w:val="21"/>
          <w:highlight w:val="none"/>
        </w:rPr>
        <w:t>中国境内生产的组件成本核算基本规则</w:t>
      </w:r>
    </w:p>
    <w:p w14:paraId="3F287C5D">
      <w:pPr>
        <w:spacing w:line="400" w:lineRule="exact"/>
        <w:ind w:firstLine="420" w:firstLineChars="200"/>
        <w:rPr>
          <w:rFonts w:hint="eastAsia" w:ascii="宋体" w:hAnsi="宋体" w:cs="宋体"/>
          <w:bCs/>
          <w:szCs w:val="21"/>
          <w:highlight w:val="none"/>
        </w:rPr>
      </w:pPr>
    </w:p>
    <w:p w14:paraId="0F37D900">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C8C86FA">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一、产品的一级组件是指直接组成产品的组件。产品的二级组件是指直接组成产品一级组件的组件。一级组件不可分解的，视同二级组件。</w:t>
      </w:r>
    </w:p>
    <w:p w14:paraId="66230494">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二、二级组件在中国境内生产的，其全部成本计入中国境内生产的组件成本；二级组件不在中国境内生产的，其成本不计入中国境内生产的组件成本。</w:t>
      </w:r>
    </w:p>
    <w:p w14:paraId="687380FF">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三、产品总成本和组件成本以相关会计核算数据、采购合同、进货记录等为基础进行计算。</w:t>
      </w:r>
    </w:p>
    <w:p w14:paraId="3228B1AC">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四、需要对成本核算规则予以进一步明确的其他有关事项，由财政部会同有关部门另行规定。</w:t>
      </w:r>
    </w:p>
    <w:p w14:paraId="5E34D0B3">
      <w:pPr>
        <w:spacing w:line="400" w:lineRule="exact"/>
        <w:ind w:firstLine="420" w:firstLineChars="200"/>
        <w:jc w:val="left"/>
        <w:rPr>
          <w:rFonts w:hint="eastAsia" w:ascii="宋体" w:hAnsi="宋体" w:cs="宋体"/>
          <w:bCs/>
          <w:szCs w:val="21"/>
          <w:highlight w:val="none"/>
          <w:lang w:val="zh-CN"/>
        </w:rPr>
      </w:pPr>
    </w:p>
    <w:p w14:paraId="2B374C3A">
      <w:pPr>
        <w:pStyle w:val="56"/>
        <w:rPr>
          <w:highlight w:val="none"/>
        </w:rPr>
      </w:pPr>
    </w:p>
    <w:p w14:paraId="037427D0">
      <w:pPr>
        <w:spacing w:line="400" w:lineRule="exact"/>
        <w:ind w:firstLine="424" w:firstLineChars="202"/>
        <w:rPr>
          <w:rFonts w:hint="eastAsia" w:ascii="宋体" w:hAnsi="宋体" w:cs="宋体"/>
          <w:szCs w:val="21"/>
          <w:highlight w:val="none"/>
        </w:rPr>
      </w:pPr>
    </w:p>
    <w:p w14:paraId="1A2808C4">
      <w:pPr>
        <w:jc w:val="center"/>
        <w:rPr>
          <w:rFonts w:hint="eastAsia" w:ascii="宋体" w:hAnsi="宋体"/>
          <w:b/>
          <w:bCs/>
          <w:szCs w:val="21"/>
          <w:highlight w:val="none"/>
        </w:rPr>
      </w:pPr>
      <w:r>
        <w:rPr>
          <w:rFonts w:hint="eastAsia" w:ascii="宋体" w:hAnsi="宋体"/>
          <w:b/>
          <w:bCs/>
          <w:szCs w:val="21"/>
          <w:highlight w:val="none"/>
        </w:rPr>
        <w:br w:type="page"/>
      </w:r>
    </w:p>
    <w:p w14:paraId="0CE51582">
      <w:pPr>
        <w:pStyle w:val="56"/>
        <w:outlineLvl w:val="1"/>
        <w:rPr>
          <w:rFonts w:hint="eastAsia" w:ascii="宋体" w:hAnsi="宋体" w:cs="宋体"/>
          <w:kern w:val="44"/>
          <w:sz w:val="36"/>
          <w:szCs w:val="36"/>
          <w:highlight w:val="none"/>
          <w:lang w:val="zh-CN"/>
        </w:rPr>
      </w:pPr>
      <w:bookmarkStart w:id="47" w:name="_Toc30676"/>
      <w:r>
        <w:rPr>
          <w:rFonts w:hint="eastAsia" w:ascii="宋体" w:hAnsi="宋体" w:cs="宋体"/>
          <w:kern w:val="44"/>
          <w:sz w:val="36"/>
          <w:szCs w:val="36"/>
          <w:highlight w:val="none"/>
          <w:lang w:val="zh-CN"/>
        </w:rPr>
        <w:t>第四章 合同条款及格式</w:t>
      </w:r>
      <w:bookmarkEnd w:id="47"/>
    </w:p>
    <w:p w14:paraId="4B76C895">
      <w:pPr>
        <w:pStyle w:val="24"/>
        <w:jc w:val="center"/>
        <w:rPr>
          <w:rFonts w:hint="eastAsia" w:ascii="宋体" w:hAnsi="宋体" w:cs="宋体"/>
          <w:b/>
          <w:bCs/>
          <w:spacing w:val="-20"/>
          <w:kern w:val="44"/>
          <w:sz w:val="48"/>
          <w:szCs w:val="48"/>
          <w:highlight w:val="none"/>
        </w:rPr>
      </w:pPr>
      <w:r>
        <w:rPr>
          <w:rFonts w:hint="eastAsia" w:ascii="宋体" w:hAnsi="宋体" w:cs="宋体"/>
          <w:kern w:val="44"/>
          <w:sz w:val="36"/>
          <w:szCs w:val="36"/>
          <w:highlight w:val="none"/>
        </w:rPr>
        <w:br w:type="page"/>
      </w:r>
      <w:bookmarkStart w:id="48" w:name="_Toc3995"/>
      <w:bookmarkStart w:id="49" w:name="OLE_LINK19"/>
    </w:p>
    <w:p w14:paraId="26F9EA5A">
      <w:pPr>
        <w:pStyle w:val="24"/>
        <w:jc w:val="center"/>
        <w:rPr>
          <w:rFonts w:hint="eastAsia" w:ascii="宋体" w:hAnsi="宋体" w:cs="宋体"/>
          <w:b/>
          <w:bCs/>
          <w:spacing w:val="-20"/>
          <w:kern w:val="44"/>
          <w:sz w:val="48"/>
          <w:szCs w:val="48"/>
          <w:highlight w:val="none"/>
        </w:rPr>
      </w:pPr>
    </w:p>
    <w:p w14:paraId="5CA03996">
      <w:pPr>
        <w:pStyle w:val="24"/>
        <w:jc w:val="center"/>
        <w:rPr>
          <w:rFonts w:hint="eastAsia" w:ascii="宋体" w:hAnsi="宋体" w:cs="宋体"/>
          <w:b/>
          <w:bCs/>
          <w:spacing w:val="-20"/>
          <w:kern w:val="44"/>
          <w:sz w:val="48"/>
          <w:szCs w:val="48"/>
          <w:highlight w:val="none"/>
        </w:rPr>
      </w:pPr>
    </w:p>
    <w:p w14:paraId="09CE26DB">
      <w:pPr>
        <w:pStyle w:val="24"/>
        <w:jc w:val="center"/>
        <w:rPr>
          <w:rFonts w:hint="eastAsia" w:ascii="宋体" w:hAnsi="宋体" w:cs="宋体"/>
          <w:b/>
          <w:bCs/>
          <w:spacing w:val="-20"/>
          <w:kern w:val="44"/>
          <w:sz w:val="48"/>
          <w:szCs w:val="48"/>
          <w:highlight w:val="none"/>
        </w:rPr>
      </w:pPr>
    </w:p>
    <w:p w14:paraId="44B56099">
      <w:pPr>
        <w:pStyle w:val="24"/>
        <w:jc w:val="center"/>
        <w:rPr>
          <w:rFonts w:hint="eastAsia" w:ascii="宋体" w:hAnsi="宋体" w:cs="宋体"/>
          <w:b/>
          <w:bCs/>
          <w:spacing w:val="-20"/>
          <w:kern w:val="44"/>
          <w:sz w:val="48"/>
          <w:szCs w:val="48"/>
          <w:highlight w:val="none"/>
        </w:rPr>
      </w:pPr>
    </w:p>
    <w:p w14:paraId="7D479A88">
      <w:pPr>
        <w:pStyle w:val="24"/>
        <w:jc w:val="center"/>
        <w:rPr>
          <w:rFonts w:hint="eastAsia" w:ascii="宋体" w:hAnsi="宋体" w:cs="宋体"/>
          <w:b/>
          <w:bCs/>
          <w:spacing w:val="-20"/>
          <w:kern w:val="44"/>
          <w:sz w:val="48"/>
          <w:szCs w:val="48"/>
          <w:highlight w:val="none"/>
        </w:rPr>
      </w:pPr>
      <w:bookmarkStart w:id="50" w:name="OLE_LINK18"/>
      <w:r>
        <w:rPr>
          <w:rFonts w:hint="eastAsia" w:ascii="宋体" w:hAnsi="宋体" w:cs="宋体"/>
          <w:b/>
          <w:bCs/>
          <w:spacing w:val="-20"/>
          <w:kern w:val="44"/>
          <w:sz w:val="48"/>
          <w:szCs w:val="48"/>
          <w:highlight w:val="none"/>
        </w:rPr>
        <w:t>政府采购货物买卖合同</w:t>
      </w:r>
    </w:p>
    <w:p w14:paraId="3F004227">
      <w:pPr>
        <w:pStyle w:val="24"/>
        <w:jc w:val="cente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（试行）</w:t>
      </w:r>
    </w:p>
    <w:p w14:paraId="07F697A1">
      <w:pPr>
        <w:rPr>
          <w:rFonts w:hint="eastAsia" w:ascii="宋体" w:hAnsi="宋体" w:cs="宋体"/>
          <w:b/>
          <w:bCs/>
          <w:spacing w:val="-20"/>
          <w:kern w:val="44"/>
          <w:sz w:val="40"/>
          <w:szCs w:val="40"/>
          <w:highlight w:val="none"/>
        </w:rPr>
      </w:pPr>
    </w:p>
    <w:p w14:paraId="1A23BD94">
      <w:pPr>
        <w:rPr>
          <w:rFonts w:hint="eastAsia" w:ascii="宋体" w:hAnsi="宋体" w:cs="宋体"/>
          <w:b/>
          <w:bCs/>
          <w:spacing w:val="-20"/>
          <w:kern w:val="44"/>
          <w:sz w:val="40"/>
          <w:szCs w:val="40"/>
          <w:highlight w:val="none"/>
        </w:rPr>
      </w:pPr>
    </w:p>
    <w:p w14:paraId="682C922E">
      <w:pPr>
        <w:rPr>
          <w:rFonts w:hint="eastAsia" w:ascii="宋体" w:hAnsi="宋体" w:cs="宋体"/>
          <w:b/>
          <w:bCs/>
          <w:spacing w:val="-20"/>
          <w:kern w:val="44"/>
          <w:sz w:val="40"/>
          <w:szCs w:val="40"/>
          <w:highlight w:val="none"/>
        </w:rPr>
      </w:pPr>
    </w:p>
    <w:p w14:paraId="10F0F07D">
      <w:pPr>
        <w:spacing w:line="360" w:lineRule="auto"/>
        <w:ind w:left="420" w:leftChars="200"/>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w:t>
      </w:r>
    </w:p>
    <w:p w14:paraId="0646B5F8">
      <w:pPr>
        <w:spacing w:line="360" w:lineRule="auto"/>
        <w:ind w:left="420" w:leftChars="200"/>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61BF944D">
      <w:pPr>
        <w:spacing w:line="360" w:lineRule="auto"/>
        <w:ind w:left="420" w:leftChars="200"/>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0DA94A6F">
      <w:pPr>
        <w:spacing w:line="360" w:lineRule="auto"/>
        <w:ind w:left="420" w:leftChars="200"/>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32992C7D">
      <w:pPr>
        <w:spacing w:line="360" w:lineRule="auto"/>
        <w:ind w:left="420" w:leftChars="2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394C78AC">
      <w:pPr>
        <w:rPr>
          <w:highlight w:val="none"/>
        </w:rPr>
      </w:pPr>
    </w:p>
    <w:p w14:paraId="45BE4057">
      <w:pPr>
        <w:rPr>
          <w:rFonts w:eastAsia="黑体"/>
          <w:sz w:val="44"/>
          <w:szCs w:val="44"/>
          <w:highlight w:val="none"/>
        </w:rPr>
      </w:pPr>
      <w:r>
        <w:rPr>
          <w:rFonts w:eastAsia="黑体"/>
          <w:sz w:val="44"/>
          <w:szCs w:val="44"/>
          <w:highlight w:val="none"/>
        </w:rPr>
        <w:br w:type="page"/>
      </w:r>
    </w:p>
    <w:p w14:paraId="2EB72BFD">
      <w:pPr>
        <w:jc w:val="center"/>
        <w:rPr>
          <w:rFonts w:eastAsia="黑体"/>
          <w:sz w:val="44"/>
          <w:szCs w:val="44"/>
          <w:highlight w:val="none"/>
        </w:rPr>
      </w:pPr>
      <w:r>
        <w:rPr>
          <w:rFonts w:hint="eastAsia" w:eastAsia="黑体"/>
          <w:sz w:val="44"/>
          <w:szCs w:val="44"/>
          <w:highlight w:val="none"/>
        </w:rPr>
        <w:t>使 用 说 明</w:t>
      </w:r>
    </w:p>
    <w:p w14:paraId="441F4F58">
      <w:pPr>
        <w:ind w:firstLine="640" w:firstLineChars="200"/>
        <w:rPr>
          <w:rFonts w:hint="eastAsia" w:ascii="仿宋_GB2312" w:hAnsi="仿宋_GB2312" w:eastAsia="仿宋_GB2312" w:cs="仿宋_GB2312"/>
          <w:sz w:val="32"/>
          <w:szCs w:val="32"/>
          <w:highlight w:val="none"/>
        </w:rPr>
      </w:pPr>
    </w:p>
    <w:p w14:paraId="0033B2EC">
      <w:pPr>
        <w:ind w:firstLine="420" w:firstLineChars="200"/>
        <w:rPr>
          <w:rFonts w:hint="eastAsia" w:ascii="宋体" w:hAnsi="宋体" w:cs="宋体"/>
          <w:szCs w:val="21"/>
          <w:highlight w:val="none"/>
        </w:rPr>
      </w:pPr>
      <w:r>
        <w:rPr>
          <w:rFonts w:hint="eastAsia" w:ascii="宋体" w:hAnsi="宋体" w:cs="宋体"/>
          <w:szCs w:val="21"/>
          <w:highlight w:val="none"/>
        </w:rPr>
        <w:t>1.本合同标准文本适用于购买现成货物的采购项目，不包括需要供应商定制开发、创新研发的货物采购项目。</w:t>
      </w:r>
    </w:p>
    <w:p w14:paraId="5A63B3F1">
      <w:pPr>
        <w:rPr>
          <w:rFonts w:hint="eastAsia" w:ascii="宋体" w:hAnsi="宋体" w:cs="宋体"/>
          <w:szCs w:val="21"/>
          <w:highlight w:val="none"/>
        </w:rPr>
      </w:pPr>
      <w:r>
        <w:rPr>
          <w:rFonts w:hint="eastAsia" w:ascii="宋体" w:hAnsi="宋体" w:cs="宋体"/>
          <w:szCs w:val="21"/>
          <w:highlight w:val="none"/>
        </w:rPr>
        <w:t xml:space="preserve">   2.本合同标准文本为政府采购货物买卖合同编制提供参考，可以结合采购项目具体情况，对文本作必要的调整修订后使用。</w:t>
      </w:r>
    </w:p>
    <w:p w14:paraId="3DFB04D6">
      <w:pPr>
        <w:ind w:firstLine="420" w:firstLineChars="200"/>
        <w:rPr>
          <w:rFonts w:hint="eastAsia" w:ascii="宋体" w:hAnsi="宋体" w:cs="宋体"/>
          <w:szCs w:val="21"/>
          <w:highlight w:val="none"/>
        </w:rPr>
      </w:pPr>
      <w:r>
        <w:rPr>
          <w:rFonts w:hint="eastAsia" w:ascii="宋体" w:hAnsi="宋体" w:cs="宋体"/>
          <w:szCs w:val="21"/>
          <w:highlight w:val="none"/>
        </w:rPr>
        <w:t>3.本合同标准文本各条款中，如涉及填写多家供应商、制造商，多种采购标的、分包主要内容等信息的，可根据采购项目具体情况添加信息项。</w:t>
      </w:r>
    </w:p>
    <w:p w14:paraId="61F55743">
      <w:pPr>
        <w:ind w:firstLine="420" w:firstLineChars="200"/>
        <w:rPr>
          <w:rFonts w:hint="eastAsia" w:ascii="宋体" w:hAnsi="宋体" w:cs="宋体"/>
          <w:szCs w:val="21"/>
          <w:highlight w:val="none"/>
        </w:rPr>
        <w:sectPr>
          <w:footerReference r:id="rId9" w:type="default"/>
          <w:pgSz w:w="11906" w:h="16838"/>
          <w:pgMar w:top="1440" w:right="1800" w:bottom="1440" w:left="1800" w:header="851" w:footer="992" w:gutter="0"/>
          <w:pgNumType w:start="1"/>
          <w:cols w:space="425" w:num="1"/>
          <w:docGrid w:type="lines" w:linePitch="312" w:charSpace="0"/>
        </w:sectPr>
      </w:pPr>
    </w:p>
    <w:bookmarkEnd w:id="48"/>
    <w:p w14:paraId="1C219729">
      <w:pPr>
        <w:pStyle w:val="3"/>
        <w:adjustRightInd w:val="0"/>
        <w:snapToGrid w:val="0"/>
        <w:spacing w:line="400" w:lineRule="exact"/>
        <w:rPr>
          <w:rFonts w:hint="eastAsia" w:ascii="黑体" w:hAnsi="黑体" w:eastAsia="黑体"/>
          <w:sz w:val="28"/>
          <w:szCs w:val="28"/>
          <w:highlight w:val="none"/>
        </w:rPr>
      </w:pPr>
      <w:bookmarkStart w:id="51" w:name="_Toc22209"/>
    </w:p>
    <w:p w14:paraId="4FB0AFFF">
      <w:pPr>
        <w:pStyle w:val="3"/>
        <w:adjustRightInd w:val="0"/>
        <w:snapToGrid w:val="0"/>
        <w:spacing w:line="400" w:lineRule="exact"/>
        <w:rPr>
          <w:rFonts w:hint="eastAsia" w:ascii="黑体" w:hAnsi="华文中宋" w:eastAsia="黑体"/>
          <w:b w:val="0"/>
          <w:sz w:val="28"/>
          <w:szCs w:val="28"/>
          <w:highlight w:val="none"/>
        </w:rPr>
      </w:pPr>
      <w:bookmarkStart w:id="52" w:name="_Toc27868"/>
      <w:r>
        <w:rPr>
          <w:rFonts w:hint="eastAsia" w:ascii="黑体" w:hAnsi="黑体" w:eastAsia="黑体"/>
          <w:b w:val="0"/>
          <w:sz w:val="28"/>
          <w:szCs w:val="28"/>
          <w:highlight w:val="none"/>
        </w:rPr>
        <w:t xml:space="preserve">第一节 </w:t>
      </w:r>
      <w:r>
        <w:rPr>
          <w:rFonts w:hint="eastAsia" w:ascii="黑体" w:hAnsi="华文中宋" w:eastAsia="黑体"/>
          <w:b w:val="0"/>
          <w:sz w:val="28"/>
          <w:szCs w:val="28"/>
          <w:highlight w:val="none"/>
        </w:rPr>
        <w:t>政府采购合同协议书</w:t>
      </w:r>
      <w:bookmarkEnd w:id="51"/>
      <w:bookmarkEnd w:id="52"/>
    </w:p>
    <w:p w14:paraId="485CBB01">
      <w:pPr>
        <w:pStyle w:val="3"/>
        <w:adjustRightInd w:val="0"/>
        <w:snapToGrid w:val="0"/>
        <w:spacing w:line="400" w:lineRule="exact"/>
        <w:rPr>
          <w:rFonts w:hint="eastAsia" w:ascii="黑体" w:hAnsi="华文中宋" w:eastAsia="黑体"/>
          <w:b w:val="0"/>
          <w:sz w:val="28"/>
          <w:szCs w:val="28"/>
          <w:highlight w:val="none"/>
        </w:rPr>
      </w:pPr>
    </w:p>
    <w:p w14:paraId="287EE863">
      <w:pPr>
        <w:adjustRightInd w:val="0"/>
        <w:snapToGrid w:val="0"/>
        <w:spacing w:line="400" w:lineRule="exact"/>
        <w:rPr>
          <w:rFonts w:hint="eastAsia" w:ascii="宋体" w:hAnsi="宋体"/>
          <w:szCs w:val="21"/>
          <w:highlight w:val="none"/>
        </w:rPr>
      </w:pPr>
      <w:r>
        <w:rPr>
          <w:rFonts w:hint="eastAsia" w:ascii="宋体" w:hAnsi="宋体"/>
          <w:szCs w:val="21"/>
          <w:highlight w:val="none"/>
        </w:rPr>
        <w:t>甲方（全称）：</w:t>
      </w:r>
      <w:r>
        <w:rPr>
          <w:rFonts w:hint="eastAsia" w:ascii="宋体" w:hAnsi="宋体"/>
          <w:szCs w:val="21"/>
          <w:highlight w:val="none"/>
          <w:u w:val="single"/>
        </w:rPr>
        <w:t xml:space="preserve">                        </w:t>
      </w:r>
      <w:r>
        <w:rPr>
          <w:rFonts w:hint="eastAsia" w:ascii="宋体" w:hAnsi="宋体"/>
          <w:szCs w:val="21"/>
          <w:highlight w:val="none"/>
        </w:rPr>
        <w:t>（采购人、受采购人委托签订合同的单位或采购</w:t>
      </w:r>
      <w:r>
        <w:rPr>
          <w:rFonts w:hint="eastAsia" w:ascii="宋体" w:hAnsi="宋体"/>
          <w:szCs w:val="21"/>
          <w:highlight w:val="none"/>
        </w:rPr>
        <w:tab/>
      </w:r>
      <w:r>
        <w:rPr>
          <w:rFonts w:hint="eastAsia" w:ascii="宋体" w:hAnsi="宋体"/>
          <w:szCs w:val="21"/>
          <w:highlight w:val="none"/>
        </w:rPr>
        <w:t xml:space="preserve">                                   文件约定的合同甲方）</w:t>
      </w:r>
    </w:p>
    <w:p w14:paraId="27A5DB55">
      <w:pPr>
        <w:adjustRightInd w:val="0"/>
        <w:snapToGrid w:val="0"/>
        <w:spacing w:line="400" w:lineRule="exact"/>
        <w:rPr>
          <w:rFonts w:hint="eastAsia" w:ascii="宋体" w:hAnsi="宋体"/>
          <w:szCs w:val="21"/>
          <w:highlight w:val="none"/>
        </w:rPr>
      </w:pPr>
      <w:r>
        <w:rPr>
          <w:rFonts w:hint="eastAsia" w:ascii="宋体" w:hAnsi="宋体"/>
          <w:szCs w:val="21"/>
          <w:highlight w:val="none"/>
        </w:rPr>
        <w:t>乙方1（全称）：</w:t>
      </w:r>
      <w:r>
        <w:rPr>
          <w:rFonts w:hint="eastAsia" w:ascii="宋体" w:hAnsi="宋体"/>
          <w:szCs w:val="21"/>
          <w:highlight w:val="none"/>
          <w:u w:val="single"/>
        </w:rPr>
        <w:t xml:space="preserve">                       </w:t>
      </w:r>
      <w:r>
        <w:rPr>
          <w:rFonts w:hint="eastAsia" w:ascii="宋体" w:hAnsi="宋体"/>
          <w:szCs w:val="21"/>
          <w:highlight w:val="none"/>
        </w:rPr>
        <w:t>（供应商）</w:t>
      </w:r>
    </w:p>
    <w:p w14:paraId="20DC1CA7">
      <w:pPr>
        <w:adjustRightInd w:val="0"/>
        <w:snapToGrid w:val="0"/>
        <w:spacing w:line="400" w:lineRule="exact"/>
        <w:rPr>
          <w:rFonts w:hint="eastAsia" w:ascii="宋体" w:hAnsi="宋体"/>
          <w:szCs w:val="21"/>
          <w:highlight w:val="none"/>
        </w:rPr>
      </w:pPr>
      <w:r>
        <w:rPr>
          <w:rFonts w:hint="eastAsia" w:ascii="宋体" w:hAnsi="宋体"/>
          <w:szCs w:val="21"/>
          <w:highlight w:val="none"/>
        </w:rPr>
        <w:t>乙方2（全称）：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3744052A">
      <w:pPr>
        <w:adjustRightInd w:val="0"/>
        <w:snapToGrid w:val="0"/>
        <w:spacing w:line="400" w:lineRule="exact"/>
        <w:rPr>
          <w:rFonts w:hint="eastAsia" w:ascii="宋体" w:hAnsi="宋体"/>
          <w:szCs w:val="21"/>
          <w:highlight w:val="none"/>
        </w:rPr>
      </w:pPr>
      <w:r>
        <w:rPr>
          <w:rFonts w:hint="eastAsia"/>
          <w:highlight w:val="none"/>
        </w:rPr>
        <w:t>乙方</w:t>
      </w:r>
      <w:r>
        <w:rPr>
          <w:rFonts w:hint="eastAsia" w:ascii="宋体" w:hAnsi="宋体"/>
          <w:szCs w:val="21"/>
          <w:highlight w:val="none"/>
        </w:rPr>
        <w:t>3</w:t>
      </w:r>
      <w:r>
        <w:rPr>
          <w:rFonts w:hint="eastAsia"/>
          <w:highlight w:val="none"/>
        </w:rPr>
        <w:t>（全称）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4786F592">
      <w:pPr>
        <w:spacing w:line="400" w:lineRule="exact"/>
        <w:rPr>
          <w:highlight w:val="none"/>
        </w:rPr>
      </w:pPr>
    </w:p>
    <w:p w14:paraId="1F87CFA9">
      <w:pPr>
        <w:pStyle w:val="25"/>
        <w:snapToGrid w:val="0"/>
        <w:spacing w:line="400" w:lineRule="exact"/>
        <w:ind w:firstLine="468" w:firstLineChars="200"/>
        <w:rPr>
          <w:rFonts w:hint="eastAsia" w:hAnsi="宋体"/>
          <w:szCs w:val="21"/>
          <w:highlight w:val="none"/>
        </w:rPr>
      </w:pPr>
      <w:r>
        <w:rPr>
          <w:rFonts w:hint="eastAsia" w:hAnsi="宋体"/>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r>
        <w:rPr>
          <w:rFonts w:hint="eastAsia" w:hAnsi="宋体"/>
          <w:szCs w:val="21"/>
          <w:highlight w:val="none"/>
        </w:rPr>
        <w:t xml:space="preserve">  </w:t>
      </w:r>
    </w:p>
    <w:p w14:paraId="38365645">
      <w:pPr>
        <w:numPr>
          <w:ilvl w:val="0"/>
          <w:numId w:val="12"/>
        </w:numPr>
        <w:adjustRightInd w:val="0"/>
        <w:snapToGrid w:val="0"/>
        <w:spacing w:line="400" w:lineRule="exact"/>
        <w:ind w:firstLine="422" w:firstLineChars="200"/>
        <w:rPr>
          <w:rFonts w:hint="eastAsia" w:ascii="宋体" w:hAnsi="宋体"/>
          <w:b/>
          <w:szCs w:val="21"/>
          <w:highlight w:val="none"/>
        </w:rPr>
      </w:pPr>
      <w:r>
        <w:rPr>
          <w:rFonts w:hint="eastAsia" w:ascii="宋体" w:hAnsi="宋体"/>
          <w:b/>
          <w:szCs w:val="21"/>
          <w:highlight w:val="none"/>
        </w:rPr>
        <w:t>项目信息</w:t>
      </w:r>
    </w:p>
    <w:p w14:paraId="179860AC">
      <w:pPr>
        <w:pStyle w:val="25"/>
        <w:snapToGrid w:val="0"/>
        <w:spacing w:line="400" w:lineRule="exact"/>
        <w:ind w:firstLine="468" w:firstLineChars="200"/>
        <w:rPr>
          <w:rFonts w:hint="eastAsia" w:hAnsi="宋体" w:cs="宋体"/>
          <w:sz w:val="21"/>
          <w:szCs w:val="21"/>
          <w:highlight w:val="none"/>
          <w:u w:val="single"/>
        </w:rPr>
      </w:pPr>
      <w:r>
        <w:rPr>
          <w:rFonts w:hint="eastAsia" w:hAnsi="宋体" w:cs="宋体"/>
          <w:sz w:val="21"/>
          <w:szCs w:val="21"/>
          <w:highlight w:val="none"/>
        </w:rPr>
        <w:t>（1）采购项目名称：</w:t>
      </w:r>
      <w:r>
        <w:rPr>
          <w:rFonts w:hint="eastAsia" w:hAnsi="宋体" w:cs="宋体"/>
          <w:sz w:val="21"/>
          <w:szCs w:val="21"/>
          <w:highlight w:val="none"/>
          <w:u w:val="single"/>
        </w:rPr>
        <w:t xml:space="preserve">                                          </w:t>
      </w:r>
    </w:p>
    <w:p w14:paraId="4BC16486">
      <w:pPr>
        <w:pStyle w:val="25"/>
        <w:numPr>
          <w:ilvl w:val="255"/>
          <w:numId w:val="0"/>
        </w:numPr>
        <w:tabs>
          <w:tab w:val="left" w:pos="999"/>
        </w:tabs>
        <w:snapToGrid w:val="0"/>
        <w:spacing w:line="400" w:lineRule="exact"/>
        <w:rPr>
          <w:rFonts w:hint="eastAsia" w:hAnsi="宋体" w:cs="宋体"/>
          <w:sz w:val="21"/>
          <w:szCs w:val="21"/>
          <w:highlight w:val="none"/>
        </w:rPr>
      </w:pPr>
      <w:r>
        <w:rPr>
          <w:rFonts w:hint="eastAsia" w:hAnsi="宋体" w:cs="宋体"/>
          <w:sz w:val="21"/>
          <w:szCs w:val="21"/>
          <w:highlight w:val="none"/>
        </w:rPr>
        <w:t xml:space="preserve">         采购项目编号：</w:t>
      </w:r>
      <w:r>
        <w:rPr>
          <w:rFonts w:hint="eastAsia" w:hAnsi="宋体" w:cs="宋体"/>
          <w:sz w:val="21"/>
          <w:szCs w:val="21"/>
          <w:highlight w:val="none"/>
          <w:u w:val="single"/>
        </w:rPr>
        <w:t xml:space="preserve">                                          </w:t>
      </w:r>
    </w:p>
    <w:p w14:paraId="553A51CE">
      <w:pPr>
        <w:pStyle w:val="25"/>
        <w:snapToGrid w:val="0"/>
        <w:spacing w:line="400" w:lineRule="exact"/>
        <w:ind w:firstLine="468" w:firstLineChars="200"/>
        <w:rPr>
          <w:rFonts w:hint="eastAsia" w:hAnsi="宋体" w:cs="宋体"/>
          <w:sz w:val="21"/>
          <w:szCs w:val="21"/>
          <w:highlight w:val="none"/>
        </w:rPr>
      </w:pPr>
      <w:r>
        <w:rPr>
          <w:rFonts w:hint="eastAsia" w:hAnsi="宋体" w:cs="宋体"/>
          <w:sz w:val="21"/>
          <w:szCs w:val="21"/>
          <w:highlight w:val="none"/>
        </w:rPr>
        <w:t>（2）采购计划编号：</w:t>
      </w:r>
      <w:r>
        <w:rPr>
          <w:rFonts w:hint="eastAsia" w:hAnsi="宋体" w:cs="宋体"/>
          <w:sz w:val="21"/>
          <w:szCs w:val="21"/>
          <w:highlight w:val="none"/>
          <w:u w:val="single"/>
        </w:rPr>
        <w:t xml:space="preserve">                                          </w:t>
      </w:r>
      <w:r>
        <w:rPr>
          <w:rFonts w:hint="eastAsia" w:hAnsi="宋体" w:cs="宋体"/>
          <w:sz w:val="21"/>
          <w:szCs w:val="21"/>
          <w:highlight w:val="none"/>
        </w:rPr>
        <w:t xml:space="preserve"> </w:t>
      </w:r>
    </w:p>
    <w:p w14:paraId="39611F9B">
      <w:pPr>
        <w:adjustRightInd w:val="0"/>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（3）项目内容：</w:t>
      </w:r>
    </w:p>
    <w:p w14:paraId="5E0659FE">
      <w:pPr>
        <w:adjustRightInd w:val="0"/>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     采购标的及数量（台/套</w:t>
      </w:r>
      <w:r>
        <w:rPr>
          <w:rFonts w:hint="eastAsia" w:ascii="宋体" w:hAnsi="宋体" w:cs="宋体"/>
          <w:szCs w:val="21"/>
          <w:highlight w:val="none"/>
          <w:lang w:val="en"/>
        </w:rPr>
        <w:t>/个/架/组等</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34B75990">
      <w:pPr>
        <w:numPr>
          <w:ilvl w:val="255"/>
          <w:numId w:val="0"/>
        </w:numPr>
        <w:adjustRightInd w:val="0"/>
        <w:snapToGrid w:val="0"/>
        <w:spacing w:line="400" w:lineRule="exact"/>
        <w:ind w:firstLine="420" w:firstLineChars="200"/>
        <w:rPr>
          <w:rFonts w:hint="eastAsia" w:ascii="宋体" w:hAnsi="宋体" w:cs="宋体"/>
          <w:szCs w:val="21"/>
          <w:highlight w:val="none"/>
          <w:lang w:val="en"/>
        </w:rPr>
      </w:pPr>
      <w:r>
        <w:rPr>
          <w:rFonts w:hint="eastAsia" w:ascii="宋体" w:hAnsi="宋体" w:cs="宋体"/>
          <w:szCs w:val="21"/>
          <w:highlight w:val="none"/>
        </w:rPr>
        <w:t xml:space="preserve">     品牌：</w:t>
      </w:r>
      <w:r>
        <w:rPr>
          <w:rFonts w:hint="eastAsia" w:ascii="宋体" w:hAnsi="宋体" w:cs="宋体"/>
          <w:szCs w:val="21"/>
          <w:highlight w:val="none"/>
          <w:u w:val="single"/>
        </w:rPr>
        <w:t xml:space="preserve">      </w:t>
      </w:r>
      <w:r>
        <w:rPr>
          <w:rFonts w:hint="eastAsia"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hint="eastAsia" w:ascii="宋体" w:hAnsi="宋体" w:cs="宋体"/>
          <w:szCs w:val="21"/>
          <w:highlight w:val="none"/>
          <w:lang w:val="en"/>
        </w:rPr>
        <w:t xml:space="preserve">     </w:t>
      </w:r>
      <w:r>
        <w:rPr>
          <w:rFonts w:hint="eastAsia" w:ascii="宋体" w:hAnsi="宋体" w:cs="宋体"/>
          <w:szCs w:val="21"/>
          <w:highlight w:val="none"/>
        </w:rPr>
        <w:t>规格型号：</w:t>
      </w:r>
      <w:r>
        <w:rPr>
          <w:rFonts w:hint="eastAsia" w:ascii="宋体" w:hAnsi="宋体" w:cs="宋体"/>
          <w:szCs w:val="21"/>
          <w:highlight w:val="none"/>
          <w:u w:val="single"/>
        </w:rPr>
        <w:t xml:space="preserve">   </w:t>
      </w:r>
      <w:r>
        <w:rPr>
          <w:rFonts w:hint="eastAsia"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
        </w:rPr>
        <w:t xml:space="preserve">   </w:t>
      </w:r>
    </w:p>
    <w:p w14:paraId="78F3BF8D">
      <w:pPr>
        <w:adjustRightInd w:val="0"/>
        <w:snapToGrid w:val="0"/>
        <w:spacing w:line="400" w:lineRule="exact"/>
        <w:ind w:firstLine="945" w:firstLineChars="450"/>
        <w:rPr>
          <w:rFonts w:hint="eastAsia" w:ascii="宋体" w:hAnsi="宋体" w:cs="宋体"/>
          <w:szCs w:val="21"/>
          <w:highlight w:val="none"/>
          <w:u w:val="single"/>
        </w:rPr>
      </w:pPr>
      <w:r>
        <w:rPr>
          <w:rFonts w:hint="eastAsia" w:ascii="宋体" w:hAnsi="宋体" w:cs="宋体"/>
          <w:szCs w:val="21"/>
          <w:highlight w:val="none"/>
        </w:rPr>
        <w:t>采购标的的技术要求、商务要求具体见附件。</w:t>
      </w:r>
    </w:p>
    <w:p w14:paraId="3A08870C">
      <w:pPr>
        <w:numPr>
          <w:ilvl w:val="255"/>
          <w:numId w:val="0"/>
        </w:numPr>
        <w:adjustRightInd w:val="0"/>
        <w:snapToGrid w:val="0"/>
        <w:spacing w:line="400" w:lineRule="exact"/>
        <w:ind w:firstLine="945" w:firstLineChars="450"/>
        <w:rPr>
          <w:rFonts w:hint="eastAsia" w:ascii="宋体" w:hAnsi="宋体" w:cs="宋体"/>
          <w:szCs w:val="21"/>
          <w:highlight w:val="none"/>
        </w:rPr>
      </w:pPr>
      <w:r>
        <w:rPr>
          <w:rFonts w:hint="eastAsia" w:ascii="宋体" w:hAnsi="宋体" w:cs="宋体"/>
          <w:szCs w:val="21"/>
          <w:highlight w:val="none"/>
        </w:rPr>
        <w:t>①涉及信息类产品，请填写该产品关键部件的品牌、型号：</w:t>
      </w:r>
    </w:p>
    <w:p w14:paraId="7431B6E4">
      <w:pPr>
        <w:numPr>
          <w:ilvl w:val="255"/>
          <w:numId w:val="0"/>
        </w:numPr>
        <w:adjustRightInd w:val="0"/>
        <w:snapToGrid w:val="0"/>
        <w:spacing w:line="400" w:lineRule="exact"/>
        <w:ind w:firstLine="420" w:firstLineChars="200"/>
        <w:rPr>
          <w:rFonts w:hint="eastAsia" w:ascii="宋体" w:hAnsi="宋体" w:cs="宋体"/>
          <w:kern w:val="0"/>
          <w:szCs w:val="21"/>
          <w:highlight w:val="none"/>
          <w:u w:val="single"/>
        </w:rPr>
      </w:pPr>
      <w:r>
        <w:rPr>
          <w:rFonts w:hint="eastAsia" w:ascii="宋体" w:hAnsi="宋体" w:cs="宋体"/>
          <w:szCs w:val="21"/>
          <w:highlight w:val="none"/>
        </w:rPr>
        <w:t xml:space="preserve">     标的名称：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
        </w:rPr>
        <w:t xml:space="preserve">               </w:t>
      </w:r>
      <w:r>
        <w:rPr>
          <w:rFonts w:hint="eastAsia" w:ascii="宋体" w:hAnsi="宋体" w:cs="宋体"/>
          <w:kern w:val="0"/>
          <w:szCs w:val="21"/>
          <w:highlight w:val="none"/>
          <w:u w:val="single"/>
        </w:rPr>
        <w:t xml:space="preserve">    </w:t>
      </w:r>
    </w:p>
    <w:p w14:paraId="3242395F">
      <w:pPr>
        <w:numPr>
          <w:ilvl w:val="255"/>
          <w:numId w:val="0"/>
        </w:numPr>
        <w:adjustRightInd w:val="0"/>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     关键部件：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cs="宋体"/>
          <w:szCs w:val="21"/>
          <w:highlight w:val="none"/>
        </w:rPr>
        <w:t>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型号：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319FC4C2">
      <w:pPr>
        <w:pStyle w:val="387"/>
        <w:ind w:firstLine="42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kern w:val="2"/>
          <w:sz w:val="21"/>
          <w:highlight w:val="none"/>
        </w:rPr>
        <w:t>关键部件</w:t>
      </w:r>
      <w:r>
        <w:rPr>
          <w:rFonts w:hint="eastAsia" w:ascii="宋体" w:hAnsi="宋体" w:eastAsia="宋体" w:cs="宋体"/>
          <w:sz w:val="21"/>
          <w:highlight w:val="none"/>
        </w:rPr>
        <w:t>：</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p>
    <w:p w14:paraId="594C18BF">
      <w:pPr>
        <w:pStyle w:val="387"/>
        <w:ind w:firstLine="420"/>
        <w:rPr>
          <w:rFonts w:hint="eastAsia" w:ascii="宋体" w:hAnsi="宋体" w:eastAsia="宋体" w:cs="宋体"/>
          <w:sz w:val="21"/>
          <w:highlight w:val="none"/>
        </w:rPr>
      </w:pPr>
      <w:r>
        <w:rPr>
          <w:rFonts w:hint="eastAsia" w:ascii="宋体" w:hAnsi="宋体" w:eastAsia="宋体" w:cs="宋体"/>
          <w:sz w:val="21"/>
          <w:highlight w:val="none"/>
        </w:rPr>
        <w:t xml:space="preserve">     关键部件：</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p>
    <w:p w14:paraId="575E4229">
      <w:pPr>
        <w:pStyle w:val="387"/>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561CF283">
      <w:pPr>
        <w:pStyle w:val="387"/>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②涉及车辆采购，请填写是否属于新能源汽车：</w:t>
      </w:r>
    </w:p>
    <w:p w14:paraId="2F9080B4">
      <w:pPr>
        <w:pStyle w:val="387"/>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是，《政府采购品目分类目录》底级品目名称：</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数量：</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金额：</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p>
    <w:p w14:paraId="55A64F8F">
      <w:pPr>
        <w:pStyle w:val="387"/>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否</w:t>
      </w:r>
    </w:p>
    <w:p w14:paraId="6846F671">
      <w:pPr>
        <w:pStyle w:val="387"/>
        <w:numPr>
          <w:ilvl w:val="255"/>
          <w:numId w:val="0"/>
        </w:numPr>
        <w:snapToGrid w:val="0"/>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sz w:val="21"/>
          <w:highlight w:val="none"/>
          <w:lang w:val="en"/>
        </w:rPr>
        <w:t>4</w:t>
      </w:r>
      <w:r>
        <w:rPr>
          <w:rFonts w:hint="eastAsia" w:ascii="宋体" w:hAnsi="宋体" w:eastAsia="宋体" w:cs="宋体"/>
          <w:sz w:val="21"/>
          <w:highlight w:val="none"/>
        </w:rPr>
        <w:t>）政府采购组织形式：</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政府集中采购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部门集中采购  </w:t>
      </w:r>
      <w:r>
        <w:rPr>
          <w:rFonts w:hint="eastAsia" w:ascii="宋体" w:hAnsi="宋体" w:eastAsia="宋体" w:cs="宋体"/>
          <w:sz w:val="21"/>
          <w:highlight w:val="none"/>
        </w:rPr>
        <w:sym w:font="Wingdings" w:char="00A8"/>
      </w:r>
      <w:r>
        <w:rPr>
          <w:rFonts w:hint="eastAsia" w:ascii="宋体" w:hAnsi="宋体" w:eastAsia="宋体" w:cs="宋体"/>
          <w:sz w:val="21"/>
          <w:highlight w:val="none"/>
        </w:rPr>
        <w:t>分散采购</w:t>
      </w:r>
    </w:p>
    <w:p w14:paraId="0569308F">
      <w:pPr>
        <w:pStyle w:val="387"/>
        <w:numPr>
          <w:ilvl w:val="255"/>
          <w:numId w:val="0"/>
        </w:numPr>
        <w:snapToGrid w:val="0"/>
        <w:ind w:firstLine="420"/>
        <w:rPr>
          <w:rFonts w:hint="eastAsia" w:ascii="宋体" w:hAnsi="宋体" w:eastAsia="宋体" w:cs="宋体"/>
          <w:sz w:val="21"/>
          <w:highlight w:val="none"/>
        </w:rPr>
      </w:pPr>
      <w:r>
        <w:rPr>
          <w:rFonts w:hint="eastAsia" w:ascii="宋体" w:hAnsi="宋体" w:eastAsia="宋体" w:cs="宋体"/>
          <w:sz w:val="21"/>
          <w:highlight w:val="none"/>
        </w:rPr>
        <w:t>（</w:t>
      </w:r>
      <w:r>
        <w:rPr>
          <w:rFonts w:hint="eastAsia" w:ascii="宋体" w:hAnsi="宋体" w:eastAsia="宋体" w:cs="宋体"/>
          <w:sz w:val="21"/>
          <w:highlight w:val="none"/>
          <w:lang w:val="en"/>
        </w:rPr>
        <w:t>5</w:t>
      </w:r>
      <w:r>
        <w:rPr>
          <w:rFonts w:hint="eastAsia" w:ascii="宋体" w:hAnsi="宋体" w:eastAsia="宋体" w:cs="宋体"/>
          <w:sz w:val="21"/>
          <w:highlight w:val="none"/>
        </w:rPr>
        <w:t>）政府采购方式：</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公开招标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邀请招标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竞争性谈判 </w:t>
      </w:r>
      <w:r>
        <w:rPr>
          <w:rFonts w:hint="eastAsia" w:ascii="宋体" w:hAnsi="宋体" w:eastAsia="宋体" w:cs="宋体"/>
          <w:sz w:val="21"/>
          <w:highlight w:val="none"/>
        </w:rPr>
        <w:sym w:font="Wingdings" w:char="00A8"/>
      </w:r>
      <w:r>
        <w:rPr>
          <w:rFonts w:hint="eastAsia" w:ascii="宋体" w:hAnsi="宋体" w:eastAsia="宋体" w:cs="宋体"/>
          <w:sz w:val="21"/>
          <w:highlight w:val="none"/>
        </w:rPr>
        <w:t>竞争性磋商</w:t>
      </w:r>
    </w:p>
    <w:p w14:paraId="2F7899D1">
      <w:pPr>
        <w:pStyle w:val="387"/>
        <w:numPr>
          <w:ilvl w:val="255"/>
          <w:numId w:val="0"/>
        </w:numPr>
        <w:snapToGrid w:val="0"/>
        <w:ind w:firstLine="420"/>
        <w:rPr>
          <w:rFonts w:hint="eastAsia" w:ascii="宋体" w:hAnsi="宋体" w:eastAsia="宋体" w:cs="宋体"/>
          <w:sz w:val="21"/>
          <w:highlight w:val="none"/>
          <w:u w:val="single"/>
        </w:rPr>
      </w:pPr>
      <w:r>
        <w:rPr>
          <w:rFonts w:hint="eastAsia" w:ascii="宋体" w:hAnsi="宋体" w:eastAsia="宋体" w:cs="宋体"/>
          <w:sz w:val="21"/>
          <w:highlight w:val="none"/>
        </w:rPr>
        <w:t xml:space="preserve">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询价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单一来源 </w:t>
      </w:r>
      <w:r>
        <w:rPr>
          <w:rFonts w:hint="eastAsia" w:ascii="宋体" w:hAnsi="宋体" w:eastAsia="宋体" w:cs="宋体"/>
          <w:sz w:val="21"/>
          <w:highlight w:val="none"/>
        </w:rPr>
        <w:sym w:font="Wingdings" w:char="00A8"/>
      </w:r>
      <w:r>
        <w:rPr>
          <w:rFonts w:hint="eastAsia" w:ascii="宋体" w:hAnsi="宋体" w:eastAsia="宋体" w:cs="宋体"/>
          <w:sz w:val="21"/>
          <w:highlight w:val="none"/>
        </w:rPr>
        <w:t xml:space="preserve">框架协议 </w:t>
      </w:r>
      <w:r>
        <w:rPr>
          <w:rFonts w:hint="eastAsia" w:ascii="宋体" w:hAnsi="宋体" w:eastAsia="宋体" w:cs="宋体"/>
          <w:sz w:val="21"/>
          <w:highlight w:val="none"/>
        </w:rPr>
        <w:sym w:font="Wingdings" w:char="00A8"/>
      </w:r>
      <w:r>
        <w:rPr>
          <w:rFonts w:hint="eastAsia" w:ascii="宋体" w:hAnsi="宋体" w:eastAsia="宋体" w:cs="宋体"/>
          <w:sz w:val="21"/>
          <w:highlight w:val="none"/>
        </w:rPr>
        <w:t>其他：</w:t>
      </w:r>
      <w:r>
        <w:rPr>
          <w:rFonts w:hint="eastAsia" w:ascii="宋体" w:hAnsi="宋体" w:eastAsia="宋体" w:cs="宋体"/>
          <w:sz w:val="21"/>
          <w:highlight w:val="none"/>
          <w:u w:val="single"/>
        </w:rPr>
        <w:t xml:space="preserve">          </w:t>
      </w:r>
    </w:p>
    <w:p w14:paraId="40B1C5C9">
      <w:pPr>
        <w:pStyle w:val="387"/>
        <w:numPr>
          <w:ilvl w:val="255"/>
          <w:numId w:val="0"/>
        </w:numPr>
        <w:snapToGrid w:val="0"/>
        <w:ind w:firstLine="420"/>
        <w:rPr>
          <w:rFonts w:hint="eastAsia" w:ascii="宋体" w:hAnsi="宋体" w:eastAsia="宋体" w:cs="宋体"/>
          <w:sz w:val="21"/>
          <w:highlight w:val="none"/>
        </w:rPr>
      </w:pPr>
      <w:r>
        <w:rPr>
          <w:rFonts w:hint="eastAsia" w:ascii="宋体" w:hAnsi="宋体" w:eastAsia="宋体" w:cs="宋体"/>
          <w:sz w:val="21"/>
          <w:highlight w:val="none"/>
        </w:rPr>
        <w:t>（注：在框架协议采购的第二阶段，可选择使用该合同文本）</w:t>
      </w:r>
    </w:p>
    <w:p w14:paraId="7EFD8835">
      <w:pPr>
        <w:pStyle w:val="387"/>
        <w:numPr>
          <w:ilvl w:val="255"/>
          <w:numId w:val="0"/>
        </w:numPr>
        <w:snapToGrid w:val="0"/>
        <w:ind w:firstLine="220" w:firstLineChars="100"/>
        <w:rPr>
          <w:rFonts w:hint="eastAsia" w:ascii="宋体" w:hAnsi="宋体" w:eastAsia="宋体" w:cs="Times New Roman"/>
          <w:kern w:val="2"/>
          <w:sz w:val="21"/>
          <w:highlight w:val="none"/>
        </w:rPr>
      </w:pPr>
      <w:r>
        <w:rPr>
          <w:rFonts w:hint="eastAsia" w:ascii="宋体" w:hAnsi="宋体"/>
          <w:highlight w:val="none"/>
        </w:rPr>
        <w:t xml:space="preserve"> （</w:t>
      </w:r>
      <w:r>
        <w:rPr>
          <w:rFonts w:ascii="宋体" w:hAnsi="宋体"/>
          <w:highlight w:val="none"/>
          <w:lang w:val="en"/>
        </w:rPr>
        <w:t>6</w:t>
      </w:r>
      <w:r>
        <w:rPr>
          <w:rFonts w:hint="eastAsia" w:ascii="宋体" w:hAnsi="宋体"/>
          <w:highlight w:val="none"/>
        </w:rPr>
        <w:t>）</w:t>
      </w:r>
      <w:r>
        <w:rPr>
          <w:rFonts w:hint="eastAsia" w:ascii="宋体" w:hAnsi="宋体" w:eastAsia="宋体" w:cs="Times New Roman"/>
          <w:kern w:val="2"/>
          <w:sz w:val="21"/>
          <w:highlight w:val="none"/>
        </w:rPr>
        <w:t>中标（成交）采购标的制造商是否为中小企业：</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 xml:space="preserve">是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否</w:t>
      </w:r>
    </w:p>
    <w:p w14:paraId="5F5F5170">
      <w:pPr>
        <w:numPr>
          <w:ilvl w:val="255"/>
          <w:numId w:val="0"/>
        </w:numPr>
        <w:adjustRightInd w:val="0"/>
        <w:snapToGrid w:val="0"/>
        <w:spacing w:line="400" w:lineRule="exact"/>
        <w:rPr>
          <w:rFonts w:hint="eastAsia" w:ascii="宋体" w:hAnsi="宋体"/>
          <w:iCs/>
          <w:szCs w:val="21"/>
          <w:highlight w:val="none"/>
        </w:rPr>
      </w:pPr>
      <w:r>
        <w:rPr>
          <w:rFonts w:hint="eastAsia" w:ascii="宋体" w:hAnsi="宋体"/>
          <w:szCs w:val="21"/>
          <w:highlight w:val="none"/>
        </w:rPr>
        <w:t xml:space="preserve">         本合同是否为专门面向中小企业的采购合同（中小企业预留合同）：</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66C41D03">
      <w:pPr>
        <w:numPr>
          <w:ilvl w:val="255"/>
          <w:numId w:val="0"/>
        </w:numPr>
        <w:adjustRightInd w:val="0"/>
        <w:snapToGrid w:val="0"/>
        <w:spacing w:line="400" w:lineRule="exact"/>
        <w:rPr>
          <w:rFonts w:hint="eastAsia" w:ascii="宋体" w:hAnsi="宋体"/>
          <w:iCs/>
          <w:szCs w:val="21"/>
          <w:highlight w:val="none"/>
        </w:rPr>
      </w:pPr>
      <w:r>
        <w:rPr>
          <w:rFonts w:hint="eastAsia"/>
          <w:highlight w:val="none"/>
        </w:rPr>
        <w:t xml:space="preserve">         若本项目不专门面向中小企业采购，是否给予小微企业评审优惠：</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0C99E871">
      <w:pPr>
        <w:numPr>
          <w:ilvl w:val="255"/>
          <w:numId w:val="0"/>
        </w:numPr>
        <w:adjustRightInd w:val="0"/>
        <w:snapToGrid w:val="0"/>
        <w:spacing w:line="400" w:lineRule="exact"/>
        <w:rPr>
          <w:rFonts w:hint="eastAsia" w:ascii="宋体" w:hAnsi="宋体"/>
          <w:iCs/>
          <w:szCs w:val="21"/>
          <w:highlight w:val="none"/>
        </w:rPr>
      </w:pPr>
      <w:r>
        <w:rPr>
          <w:rFonts w:hint="eastAsia"/>
          <w:highlight w:val="none"/>
        </w:rPr>
        <w:t xml:space="preserve">         中标（成交）采购标的制造商是否为残疾人福利性单位：</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0776DD31">
      <w:pPr>
        <w:snapToGrid w:val="0"/>
        <w:spacing w:line="400" w:lineRule="exact"/>
        <w:rPr>
          <w:highlight w:val="none"/>
        </w:rPr>
      </w:pPr>
      <w:r>
        <w:rPr>
          <w:rFonts w:hint="eastAsia"/>
          <w:highlight w:val="none"/>
        </w:rPr>
        <w:t xml:space="preserve">         中标（成交）采购标的制造商是否为监狱企业：</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761065BB">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w:t>
      </w:r>
      <w:r>
        <w:rPr>
          <w:rFonts w:ascii="宋体" w:hAnsi="宋体"/>
          <w:szCs w:val="21"/>
          <w:highlight w:val="none"/>
          <w:lang w:val="en"/>
        </w:rPr>
        <w:t>7</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6E1BBB54">
      <w:pPr>
        <w:adjustRightInd w:val="0"/>
        <w:snapToGrid w:val="0"/>
        <w:spacing w:line="400" w:lineRule="exact"/>
        <w:ind w:firstLine="840" w:firstLineChars="400"/>
        <w:rPr>
          <w:rFonts w:hint="eastAsia" w:ascii="宋体" w:hAnsi="宋体"/>
          <w:szCs w:val="21"/>
          <w:highlight w:val="none"/>
          <w:u w:val="single"/>
        </w:rPr>
      </w:pPr>
      <w:r>
        <w:rPr>
          <w:rFonts w:hint="eastAsia" w:ascii="宋体" w:hAnsi="宋体"/>
          <w:szCs w:val="21"/>
          <w:highlight w:val="none"/>
        </w:rPr>
        <w:t xml:space="preserve"> 分包主要内容：</w:t>
      </w:r>
      <w:r>
        <w:rPr>
          <w:rFonts w:hint="eastAsia" w:ascii="宋体" w:hAnsi="宋体"/>
          <w:szCs w:val="21"/>
          <w:highlight w:val="none"/>
          <w:u w:val="single"/>
        </w:rPr>
        <w:t xml:space="preserve">                                            </w:t>
      </w:r>
    </w:p>
    <w:p w14:paraId="38EE8438">
      <w:pPr>
        <w:adjustRightInd w:val="0"/>
        <w:snapToGrid w:val="0"/>
        <w:spacing w:line="400" w:lineRule="exact"/>
        <w:ind w:firstLine="840" w:firstLineChars="400"/>
        <w:rPr>
          <w:rFonts w:hint="eastAsia" w:ascii="宋体" w:hAnsi="宋体"/>
          <w:szCs w:val="21"/>
          <w:highlight w:val="none"/>
        </w:rPr>
      </w:pPr>
      <w:r>
        <w:rPr>
          <w:rFonts w:hint="eastAsia" w:ascii="宋体" w:hAnsi="宋体"/>
          <w:szCs w:val="21"/>
          <w:highlight w:val="none"/>
        </w:rPr>
        <w:t xml:space="preserve"> 分包供应商/制造商名称（如供应商和制造商不同，请分别填写）：</w:t>
      </w:r>
    </w:p>
    <w:p w14:paraId="3153382E">
      <w:pPr>
        <w:adjustRightInd w:val="0"/>
        <w:snapToGrid w:val="0"/>
        <w:spacing w:line="400" w:lineRule="exact"/>
        <w:ind w:firstLine="840" w:firstLineChars="400"/>
        <w:rPr>
          <w:rFonts w:hint="eastAsia" w:ascii="宋体" w:hAnsi="宋体"/>
          <w:szCs w:val="21"/>
          <w:highlight w:val="none"/>
          <w:u w:val="single"/>
        </w:rPr>
      </w:pPr>
      <w:r>
        <w:rPr>
          <w:rFonts w:hint="eastAsia" w:ascii="宋体" w:hAnsi="宋体"/>
          <w:szCs w:val="21"/>
          <w:highlight w:val="none"/>
        </w:rPr>
        <w:t xml:space="preserve"> </w:t>
      </w:r>
      <w:r>
        <w:rPr>
          <w:rFonts w:hint="eastAsia" w:ascii="宋体" w:hAnsi="宋体"/>
          <w:szCs w:val="21"/>
          <w:highlight w:val="none"/>
          <w:u w:val="single"/>
        </w:rPr>
        <w:t xml:space="preserve">                                                          </w:t>
      </w:r>
    </w:p>
    <w:p w14:paraId="609EFC66">
      <w:pPr>
        <w:adjustRightInd w:val="0"/>
        <w:snapToGrid w:val="0"/>
        <w:spacing w:line="400" w:lineRule="exact"/>
        <w:ind w:firstLine="840" w:firstLineChars="400"/>
        <w:rPr>
          <w:rFonts w:hint="eastAsia" w:ascii="宋体" w:hAnsi="宋体"/>
          <w:szCs w:val="21"/>
          <w:highlight w:val="none"/>
        </w:rPr>
      </w:pPr>
      <w:r>
        <w:rPr>
          <w:rFonts w:hint="eastAsia" w:ascii="宋体" w:hAnsi="宋体"/>
          <w:szCs w:val="21"/>
          <w:highlight w:val="none"/>
        </w:rPr>
        <w:t xml:space="preserve"> 分包供应商/制造商类型（如果供应商和制造商不同，只填写制造商类型）：</w:t>
      </w:r>
    </w:p>
    <w:p w14:paraId="4E45BE07">
      <w:pPr>
        <w:adjustRightInd w:val="0"/>
        <w:snapToGrid w:val="0"/>
        <w:spacing w:line="400" w:lineRule="exact"/>
        <w:ind w:firstLine="840" w:firstLineChars="400"/>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大型企业  </w:t>
      </w:r>
      <w:r>
        <w:rPr>
          <w:rFonts w:hint="eastAsia" w:ascii="宋体" w:hAnsi="宋体"/>
          <w:iCs/>
          <w:szCs w:val="21"/>
          <w:highlight w:val="none"/>
        </w:rPr>
        <w:sym w:font="Wingdings" w:char="00A8"/>
      </w:r>
      <w:r>
        <w:rPr>
          <w:rFonts w:hint="eastAsia" w:ascii="宋体" w:hAnsi="宋体"/>
          <w:iCs/>
          <w:szCs w:val="21"/>
          <w:highlight w:val="none"/>
        </w:rPr>
        <w:t xml:space="preserve">中型企业  </w:t>
      </w:r>
      <w:r>
        <w:rPr>
          <w:rFonts w:hint="eastAsia" w:ascii="宋体" w:hAnsi="宋体"/>
          <w:iCs/>
          <w:szCs w:val="21"/>
          <w:highlight w:val="none"/>
        </w:rPr>
        <w:sym w:font="Wingdings" w:char="00A8"/>
      </w:r>
      <w:r>
        <w:rPr>
          <w:rFonts w:hint="eastAsia" w:ascii="宋体" w:hAnsi="宋体"/>
          <w:iCs/>
          <w:szCs w:val="21"/>
          <w:highlight w:val="none"/>
        </w:rPr>
        <w:t xml:space="preserve">小微型企业  </w:t>
      </w:r>
    </w:p>
    <w:p w14:paraId="6497FEBD">
      <w:pPr>
        <w:adjustRightInd w:val="0"/>
        <w:snapToGrid w:val="0"/>
        <w:spacing w:line="400" w:lineRule="exact"/>
        <w:ind w:firstLine="840" w:firstLineChars="400"/>
        <w:rPr>
          <w:rFonts w:eastAsia="华文楷体"/>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残疾人福利性单位 </w:t>
      </w:r>
      <w:r>
        <w:rPr>
          <w:rFonts w:hint="eastAsia" w:ascii="宋体" w:hAnsi="宋体"/>
          <w:iCs/>
          <w:szCs w:val="21"/>
          <w:highlight w:val="none"/>
        </w:rPr>
        <w:sym w:font="Wingdings" w:char="00A8"/>
      </w:r>
      <w:r>
        <w:rPr>
          <w:rFonts w:hint="eastAsia" w:ascii="宋体" w:hAnsi="宋体"/>
          <w:iCs/>
          <w:szCs w:val="21"/>
          <w:highlight w:val="none"/>
        </w:rPr>
        <w:t xml:space="preserve">监狱企业 </w:t>
      </w:r>
      <w:r>
        <w:rPr>
          <w:rFonts w:hint="eastAsia" w:ascii="宋体" w:hAnsi="宋体"/>
          <w:iCs/>
          <w:szCs w:val="21"/>
          <w:highlight w:val="none"/>
        </w:rPr>
        <w:sym w:font="Wingdings" w:char="00A8"/>
      </w:r>
      <w:r>
        <w:rPr>
          <w:rFonts w:hint="eastAsia" w:ascii="宋体" w:hAnsi="宋体"/>
          <w:iCs/>
          <w:szCs w:val="21"/>
          <w:highlight w:val="none"/>
        </w:rPr>
        <w:t>其他</w:t>
      </w:r>
    </w:p>
    <w:p w14:paraId="36147D97">
      <w:pPr>
        <w:numPr>
          <w:ilvl w:val="255"/>
          <w:numId w:val="0"/>
        </w:numPr>
        <w:adjustRightInd w:val="0"/>
        <w:snapToGrid w:val="0"/>
        <w:spacing w:line="400" w:lineRule="exact"/>
        <w:rPr>
          <w:rFonts w:hint="eastAsia" w:ascii="宋体" w:hAnsi="宋体" w:cs="宋体"/>
          <w:iCs/>
          <w:szCs w:val="21"/>
          <w:highlight w:val="none"/>
        </w:rPr>
      </w:pPr>
      <w:r>
        <w:rPr>
          <w:rFonts w:hint="eastAsia" w:ascii="宋体" w:hAnsi="宋体"/>
          <w:szCs w:val="21"/>
          <w:highlight w:val="none"/>
        </w:rPr>
        <w:t xml:space="preserve">    </w:t>
      </w:r>
      <w:r>
        <w:rPr>
          <w:rFonts w:hint="eastAsia" w:ascii="宋体" w:hAnsi="宋体" w:cs="宋体"/>
          <w:szCs w:val="21"/>
          <w:highlight w:val="none"/>
        </w:rPr>
        <w:t>（</w:t>
      </w:r>
      <w:r>
        <w:rPr>
          <w:rFonts w:ascii="宋体" w:hAnsi="宋体" w:cs="宋体"/>
          <w:szCs w:val="21"/>
          <w:highlight w:val="none"/>
          <w:lang w:val="en"/>
        </w:rPr>
        <w:t>8</w:t>
      </w:r>
      <w:r>
        <w:rPr>
          <w:rFonts w:hint="eastAsia" w:ascii="宋体" w:hAnsi="宋体" w:cs="宋体"/>
          <w:szCs w:val="21"/>
          <w:highlight w:val="none"/>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4B22D708">
      <w:pPr>
        <w:pStyle w:val="387"/>
        <w:tabs>
          <w:tab w:val="left" w:pos="1340"/>
        </w:tabs>
        <w:ind w:firstLine="420"/>
        <w:rPr>
          <w:rFonts w:hint="eastAsia" w:ascii="宋体" w:hAnsi="宋体" w:eastAsia="宋体" w:cs="宋体"/>
          <w:sz w:val="21"/>
          <w:highlight w:val="none"/>
          <w:u w:val="single"/>
        </w:rPr>
      </w:pPr>
      <w:r>
        <w:rPr>
          <w:rFonts w:hint="eastAsia" w:ascii="宋体" w:hAnsi="宋体" w:eastAsia="宋体" w:cs="宋体"/>
          <w:sz w:val="21"/>
          <w:highlight w:val="none"/>
        </w:rPr>
        <w:t xml:space="preserve">     外商投资企业类型：</w:t>
      </w:r>
      <w:r>
        <w:rPr>
          <w:rFonts w:hint="eastAsia" w:ascii="宋体" w:hAnsi="宋体" w:eastAsia="宋体" w:cs="宋体"/>
          <w:iCs/>
          <w:sz w:val="21"/>
          <w:highlight w:val="none"/>
        </w:rPr>
        <w:sym w:font="Wingdings" w:char="00A8"/>
      </w:r>
      <w:r>
        <w:rPr>
          <w:rFonts w:hint="eastAsia" w:ascii="宋体" w:hAnsi="宋体" w:eastAsia="宋体" w:cs="宋体"/>
          <w:sz w:val="21"/>
          <w:highlight w:val="none"/>
        </w:rPr>
        <w:t xml:space="preserve">全部由外国投资者投资  </w:t>
      </w:r>
      <w:r>
        <w:rPr>
          <w:rFonts w:hint="eastAsia" w:ascii="宋体" w:hAnsi="宋体" w:eastAsia="宋体" w:cs="宋体"/>
          <w:iCs/>
          <w:sz w:val="21"/>
          <w:highlight w:val="none"/>
        </w:rPr>
        <w:sym w:font="Wingdings" w:char="00A8"/>
      </w:r>
      <w:r>
        <w:rPr>
          <w:rFonts w:hint="eastAsia" w:ascii="宋体" w:hAnsi="宋体" w:eastAsia="宋体" w:cs="宋体"/>
          <w:iCs/>
          <w:sz w:val="21"/>
          <w:highlight w:val="none"/>
        </w:rPr>
        <w:t>部分由外国投资者投资</w:t>
      </w:r>
    </w:p>
    <w:p w14:paraId="12A02B32">
      <w:pPr>
        <w:numPr>
          <w:ilvl w:val="255"/>
          <w:numId w:val="0"/>
        </w:numPr>
        <w:adjustRightInd w:val="0"/>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ascii="宋体" w:hAnsi="宋体" w:cs="宋体"/>
          <w:szCs w:val="21"/>
          <w:highlight w:val="none"/>
          <w:lang w:val="en"/>
        </w:rPr>
        <w:t>9</w:t>
      </w:r>
      <w:r>
        <w:rPr>
          <w:rFonts w:hint="eastAsia" w:ascii="宋体" w:hAnsi="宋体" w:cs="宋体"/>
          <w:szCs w:val="21"/>
          <w:highlight w:val="none"/>
        </w:rPr>
        <w:t>）是否涉及进口产品：</w:t>
      </w:r>
    </w:p>
    <w:p w14:paraId="25A5D61D">
      <w:pPr>
        <w:numPr>
          <w:ilvl w:val="255"/>
          <w:numId w:val="0"/>
        </w:numPr>
        <w:adjustRightInd w:val="0"/>
        <w:snapToGrid w:val="0"/>
        <w:spacing w:line="400" w:lineRule="exact"/>
        <w:ind w:firstLine="840" w:firstLineChars="400"/>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rPr>
        <w:sym w:font="Wingdings" w:char="00A8"/>
      </w:r>
      <w:r>
        <w:rPr>
          <w:rFonts w:hint="eastAsia" w:ascii="宋体" w:hAnsi="宋体" w:cs="宋体"/>
          <w:szCs w:val="21"/>
          <w:highlight w:val="none"/>
        </w:rPr>
        <w:t>是，《政府采购品目分类目录》底级品目名称：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金额：</w:t>
      </w:r>
      <w:r>
        <w:rPr>
          <w:rFonts w:hint="eastAsia" w:ascii="宋体" w:hAnsi="宋体" w:cs="宋体"/>
          <w:szCs w:val="21"/>
          <w:highlight w:val="none"/>
          <w:u w:val="single"/>
        </w:rPr>
        <w:t xml:space="preserve">        </w:t>
      </w:r>
    </w:p>
    <w:p w14:paraId="6613CBCF">
      <w:pPr>
        <w:numPr>
          <w:ilvl w:val="255"/>
          <w:numId w:val="0"/>
        </w:numPr>
        <w:adjustRightInd w:val="0"/>
        <w:snapToGrid w:val="0"/>
        <w:spacing w:line="400" w:lineRule="exact"/>
        <w:ind w:firstLine="840" w:firstLineChars="400"/>
        <w:rPr>
          <w:rFonts w:hint="eastAsia" w:ascii="宋体" w:hAnsi="宋体"/>
          <w:szCs w:val="21"/>
          <w:highlight w:val="none"/>
        </w:rPr>
      </w:pPr>
      <w:r>
        <w:rPr>
          <w:rFonts w:hint="eastAsia" w:ascii="宋体" w:hAnsi="宋体" w:cs="宋体"/>
          <w:szCs w:val="21"/>
          <w:highlight w:val="none"/>
        </w:rPr>
        <w:t xml:space="preserve">        国别：</w:t>
      </w:r>
      <w:r>
        <w:rPr>
          <w:rFonts w:hint="eastAsia" w:ascii="宋体" w:hAnsi="宋体" w:cs="宋体"/>
          <w:szCs w:val="21"/>
          <w:highlight w:val="none"/>
          <w:u w:val="single"/>
        </w:rPr>
        <w:t xml:space="preserve">        </w:t>
      </w:r>
      <w:r>
        <w:rPr>
          <w:rFonts w:hint="eastAsia" w:ascii="宋体" w:hAnsi="宋体" w:cs="宋体"/>
          <w:szCs w:val="21"/>
          <w:highlight w:val="none"/>
        </w:rPr>
        <w:t xml:space="preserve"> 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规格型号：</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207EA3A9">
      <w:pPr>
        <w:adjustRightInd w:val="0"/>
        <w:snapToGrid w:val="0"/>
        <w:spacing w:line="400" w:lineRule="exact"/>
        <w:ind w:firstLine="840" w:firstLineChars="400"/>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35594D9B">
      <w:pPr>
        <w:numPr>
          <w:ilvl w:val="255"/>
          <w:numId w:val="0"/>
        </w:numPr>
        <w:tabs>
          <w:tab w:val="left" w:pos="740"/>
        </w:tabs>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（1</w:t>
      </w:r>
      <w:r>
        <w:rPr>
          <w:rFonts w:ascii="宋体" w:hAnsi="宋体"/>
          <w:szCs w:val="21"/>
          <w:highlight w:val="none"/>
          <w:lang w:val="en"/>
        </w:rPr>
        <w:t>0</w:t>
      </w:r>
      <w:r>
        <w:rPr>
          <w:rFonts w:hint="eastAsia" w:ascii="宋体" w:hAnsi="宋体"/>
          <w:szCs w:val="21"/>
          <w:highlight w:val="none"/>
        </w:rPr>
        <w:t>）是否涉及节能产品：</w:t>
      </w:r>
    </w:p>
    <w:p w14:paraId="3E030A87">
      <w:pPr>
        <w:numPr>
          <w:ilvl w:val="255"/>
          <w:numId w:val="0"/>
        </w:numPr>
        <w:tabs>
          <w:tab w:val="left" w:pos="740"/>
        </w:tabs>
        <w:adjustRightInd w:val="0"/>
        <w:snapToGrid w:val="0"/>
        <w:spacing w:line="400" w:lineRule="exact"/>
        <w:rPr>
          <w:rFonts w:hint="eastAsia" w:ascii="宋体" w:hAnsi="宋体"/>
          <w:iCs/>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是，《节能产品政府采购品目清单》的底级品目名称：</w:t>
      </w:r>
      <w:r>
        <w:rPr>
          <w:rFonts w:hint="eastAsia" w:ascii="宋体" w:hAnsi="宋体"/>
          <w:szCs w:val="21"/>
          <w:highlight w:val="none"/>
          <w:u w:val="single"/>
        </w:rPr>
        <w:t xml:space="preserve">         </w:t>
      </w:r>
      <w:r>
        <w:rPr>
          <w:rFonts w:hint="eastAsia" w:ascii="宋体" w:hAnsi="宋体"/>
          <w:iCs/>
          <w:szCs w:val="21"/>
          <w:highlight w:val="none"/>
        </w:rPr>
        <w:t xml:space="preserve">     </w:t>
      </w:r>
    </w:p>
    <w:p w14:paraId="15B7A101">
      <w:pPr>
        <w:numPr>
          <w:ilvl w:val="255"/>
          <w:numId w:val="0"/>
        </w:numPr>
        <w:tabs>
          <w:tab w:val="left" w:pos="740"/>
        </w:tabs>
        <w:adjustRightInd w:val="0"/>
        <w:snapToGrid w:val="0"/>
        <w:spacing w:line="400" w:lineRule="exact"/>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40A87389">
      <w:pPr>
        <w:numPr>
          <w:ilvl w:val="255"/>
          <w:numId w:val="0"/>
        </w:numPr>
        <w:tabs>
          <w:tab w:val="left" w:pos="740"/>
        </w:tabs>
        <w:adjustRightInd w:val="0"/>
        <w:snapToGrid w:val="0"/>
        <w:spacing w:line="400" w:lineRule="exact"/>
        <w:rPr>
          <w:rFonts w:hint="eastAsia" w:ascii="宋体" w:hAnsi="宋体"/>
          <w:szCs w:val="21"/>
          <w:highlight w:val="none"/>
        </w:rPr>
      </w:pPr>
      <w:r>
        <w:rPr>
          <w:rFonts w:hint="eastAsia" w:ascii="宋体" w:hAnsi="宋体"/>
          <w:iCs/>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19653640">
      <w:pPr>
        <w:numPr>
          <w:ilvl w:val="255"/>
          <w:numId w:val="0"/>
        </w:numPr>
        <w:tabs>
          <w:tab w:val="left" w:pos="740"/>
        </w:tabs>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是否涉及环境标志产品：</w:t>
      </w:r>
    </w:p>
    <w:p w14:paraId="5ADEE2CE">
      <w:pPr>
        <w:numPr>
          <w:ilvl w:val="255"/>
          <w:numId w:val="0"/>
        </w:numPr>
        <w:tabs>
          <w:tab w:val="left" w:pos="740"/>
        </w:tabs>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是，《环境标志产品政府采购品目清单》的底级品目名称：</w:t>
      </w:r>
      <w:r>
        <w:rPr>
          <w:rFonts w:hint="eastAsia" w:ascii="宋体" w:hAnsi="宋体"/>
          <w:szCs w:val="21"/>
          <w:highlight w:val="none"/>
          <w:u w:val="single"/>
        </w:rPr>
        <w:t xml:space="preserve">         </w:t>
      </w:r>
      <w:r>
        <w:rPr>
          <w:rFonts w:hint="eastAsia" w:ascii="宋体" w:hAnsi="宋体"/>
          <w:iCs/>
          <w:szCs w:val="21"/>
          <w:highlight w:val="none"/>
        </w:rPr>
        <w:t xml:space="preserve"> </w:t>
      </w:r>
    </w:p>
    <w:p w14:paraId="33AFE376">
      <w:pPr>
        <w:numPr>
          <w:ilvl w:val="255"/>
          <w:numId w:val="0"/>
        </w:numPr>
        <w:tabs>
          <w:tab w:val="left" w:pos="740"/>
        </w:tabs>
        <w:adjustRightInd w:val="0"/>
        <w:snapToGrid w:val="0"/>
        <w:spacing w:line="400" w:lineRule="exact"/>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7DB5EB8C">
      <w:pPr>
        <w:numPr>
          <w:ilvl w:val="255"/>
          <w:numId w:val="0"/>
        </w:numPr>
        <w:tabs>
          <w:tab w:val="left" w:pos="740"/>
        </w:tabs>
        <w:adjustRightInd w:val="0"/>
        <w:snapToGrid w:val="0"/>
        <w:spacing w:line="400" w:lineRule="exact"/>
        <w:rPr>
          <w:rFonts w:hint="eastAsia" w:ascii="宋体" w:hAnsi="宋体"/>
          <w:szCs w:val="21"/>
          <w:highlight w:val="none"/>
        </w:rPr>
      </w:pPr>
      <w:r>
        <w:rPr>
          <w:rFonts w:hint="eastAsia" w:ascii="宋体" w:hAnsi="宋体"/>
          <w:iCs/>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471A5737">
      <w:pPr>
        <w:pStyle w:val="387"/>
        <w:numPr>
          <w:ilvl w:val="255"/>
          <w:numId w:val="0"/>
        </w:numPr>
        <w:snapToGrid w:val="0"/>
        <w:rPr>
          <w:rFonts w:hint="eastAsia" w:ascii="宋体" w:hAnsi="宋体" w:eastAsia="宋体" w:cs="Times New Roman"/>
          <w:kern w:val="2"/>
          <w:sz w:val="21"/>
          <w:highlight w:val="none"/>
        </w:rPr>
      </w:pPr>
      <w:r>
        <w:rPr>
          <w:rFonts w:hint="eastAsia" w:ascii="宋体" w:hAnsi="宋体"/>
          <w:sz w:val="21"/>
          <w:highlight w:val="none"/>
        </w:rPr>
        <w:t xml:space="preserve">          </w:t>
      </w:r>
      <w:r>
        <w:rPr>
          <w:rFonts w:hint="eastAsia" w:ascii="宋体" w:hAnsi="宋体" w:eastAsia="宋体" w:cs="Times New Roman"/>
          <w:kern w:val="2"/>
          <w:sz w:val="21"/>
          <w:highlight w:val="none"/>
        </w:rPr>
        <w:t xml:space="preserve">是否涉及绿色产品： </w:t>
      </w:r>
    </w:p>
    <w:p w14:paraId="5890AE79">
      <w:pPr>
        <w:pStyle w:val="387"/>
        <w:ind w:firstLine="420" w:firstLineChars="0"/>
        <w:rPr>
          <w:rFonts w:hint="eastAsia" w:ascii="宋体" w:hAnsi="宋体" w:eastAsia="宋体"/>
          <w:highlight w:val="none"/>
          <w:u w:val="single"/>
        </w:rPr>
      </w:pPr>
      <w:r>
        <w:rPr>
          <w:rFonts w:hint="eastAsia" w:ascii="宋体" w:hAnsi="宋体" w:eastAsia="宋体" w:cs="Times New Roman"/>
          <w:kern w:val="2"/>
          <w:sz w:val="21"/>
          <w:highlight w:val="none"/>
        </w:rPr>
        <w:t xml:space="preserve">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是，绿色产品政府采购相关政策确定的底级品目名称：</w:t>
      </w:r>
      <w:r>
        <w:rPr>
          <w:rFonts w:hint="eastAsia" w:ascii="宋体" w:hAnsi="宋体" w:eastAsia="宋体"/>
          <w:highlight w:val="none"/>
          <w:u w:val="single"/>
        </w:rPr>
        <w:t xml:space="preserve">         </w:t>
      </w:r>
    </w:p>
    <w:p w14:paraId="41823B76">
      <w:pPr>
        <w:numPr>
          <w:ilvl w:val="255"/>
          <w:numId w:val="0"/>
        </w:numPr>
        <w:tabs>
          <w:tab w:val="left" w:pos="740"/>
        </w:tabs>
        <w:adjustRightInd w:val="0"/>
        <w:snapToGrid w:val="0"/>
        <w:spacing w:line="400" w:lineRule="exact"/>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3C300019">
      <w:pPr>
        <w:pStyle w:val="387"/>
        <w:ind w:firstLine="420" w:firstLineChars="0"/>
        <w:rPr>
          <w:rFonts w:hint="eastAsia" w:ascii="宋体" w:hAnsi="宋体"/>
          <w:sz w:val="21"/>
          <w:highlight w:val="none"/>
        </w:rPr>
      </w:pPr>
      <w:r>
        <w:rPr>
          <w:rFonts w:hint="eastAsia" w:ascii="宋体" w:hAnsi="宋体" w:eastAsia="宋体" w:cs="Times New Roman"/>
          <w:kern w:val="2"/>
          <w:sz w:val="21"/>
          <w:highlight w:val="none"/>
        </w:rPr>
        <w:t xml:space="preserve">     </w:t>
      </w:r>
      <w:r>
        <w:rPr>
          <w:rFonts w:hint="eastAsia" w:ascii="宋体" w:hAnsi="宋体" w:eastAsia="宋体" w:cs="Times New Roman"/>
          <w:kern w:val="2"/>
          <w:sz w:val="21"/>
          <w:highlight w:val="none"/>
        </w:rPr>
        <w:sym w:font="Wingdings" w:char="00A8"/>
      </w:r>
      <w:r>
        <w:rPr>
          <w:rFonts w:hint="eastAsia" w:ascii="宋体" w:hAnsi="宋体" w:eastAsia="宋体" w:cs="Times New Roman"/>
          <w:kern w:val="2"/>
          <w:sz w:val="21"/>
          <w:highlight w:val="none"/>
        </w:rPr>
        <w:t>否</w:t>
      </w:r>
    </w:p>
    <w:p w14:paraId="18809DF2">
      <w:pPr>
        <w:numPr>
          <w:ilvl w:val="255"/>
          <w:numId w:val="0"/>
        </w:numPr>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（1</w:t>
      </w:r>
      <w:r>
        <w:rPr>
          <w:rFonts w:ascii="宋体" w:hAnsi="宋体"/>
          <w:szCs w:val="21"/>
          <w:highlight w:val="none"/>
          <w:lang w:val="en"/>
        </w:rPr>
        <w:t>1</w:t>
      </w:r>
      <w:r>
        <w:rPr>
          <w:rFonts w:hint="eastAsia" w:ascii="宋体" w:hAnsi="宋体"/>
          <w:szCs w:val="21"/>
          <w:highlight w:val="none"/>
        </w:rPr>
        <w:t>）涉及商品包装和快递包装的，是否参考《商品包装政府采购需求标准（试行）》、《快递包装政府采购需求标准（试行）》明确产品及相关快递服务的具体包装要求：</w:t>
      </w:r>
    </w:p>
    <w:p w14:paraId="1937FEBE">
      <w:pPr>
        <w:numPr>
          <w:ilvl w:val="255"/>
          <w:numId w:val="0"/>
        </w:numPr>
        <w:adjustRightInd w:val="0"/>
        <w:snapToGrid w:val="0"/>
        <w:spacing w:line="400" w:lineRule="exact"/>
        <w:ind w:firstLine="840" w:firstLineChars="400"/>
        <w:rPr>
          <w:rFonts w:hint="eastAsia"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 xml:space="preserve">是       </w:t>
      </w:r>
      <w:r>
        <w:rPr>
          <w:rFonts w:hint="eastAsia" w:ascii="宋体" w:hAnsi="宋体"/>
          <w:szCs w:val="21"/>
          <w:highlight w:val="none"/>
        </w:rPr>
        <w:sym w:font="Wingdings" w:char="00A8"/>
      </w:r>
      <w:r>
        <w:rPr>
          <w:rFonts w:hint="eastAsia" w:ascii="宋体" w:hAnsi="宋体"/>
          <w:szCs w:val="21"/>
          <w:highlight w:val="none"/>
        </w:rPr>
        <w:t xml:space="preserve">否      </w:t>
      </w:r>
      <w:r>
        <w:rPr>
          <w:rFonts w:hint="eastAsia" w:ascii="宋体" w:hAnsi="宋体"/>
          <w:szCs w:val="21"/>
          <w:highlight w:val="none"/>
        </w:rPr>
        <w:sym w:font="Wingdings" w:char="00A8"/>
      </w:r>
      <w:r>
        <w:rPr>
          <w:rFonts w:hint="eastAsia" w:ascii="宋体" w:hAnsi="宋体"/>
          <w:szCs w:val="21"/>
          <w:highlight w:val="none"/>
        </w:rPr>
        <w:t>不涉及</w:t>
      </w:r>
    </w:p>
    <w:p w14:paraId="143490D9">
      <w:pPr>
        <w:numPr>
          <w:ilvl w:val="0"/>
          <w:numId w:val="12"/>
        </w:numPr>
        <w:adjustRightInd w:val="0"/>
        <w:snapToGrid w:val="0"/>
        <w:spacing w:line="400" w:lineRule="exact"/>
        <w:ind w:firstLine="422" w:firstLineChars="200"/>
        <w:rPr>
          <w:rFonts w:hint="eastAsia" w:ascii="宋体" w:hAnsi="宋体"/>
          <w:b/>
          <w:szCs w:val="21"/>
          <w:highlight w:val="none"/>
        </w:rPr>
      </w:pPr>
      <w:r>
        <w:rPr>
          <w:rFonts w:hint="eastAsia" w:ascii="宋体" w:hAnsi="宋体"/>
          <w:b/>
          <w:szCs w:val="21"/>
          <w:highlight w:val="none"/>
        </w:rPr>
        <w:t>合同金额</w:t>
      </w:r>
    </w:p>
    <w:p w14:paraId="3FA595CC">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（1）合同金额小写：</w:t>
      </w:r>
      <w:r>
        <w:rPr>
          <w:rFonts w:hint="eastAsia" w:ascii="宋体" w:hAnsi="宋体"/>
          <w:szCs w:val="21"/>
          <w:highlight w:val="none"/>
          <w:u w:val="single"/>
        </w:rPr>
        <w:t xml:space="preserve">                           </w:t>
      </w:r>
    </w:p>
    <w:p w14:paraId="4E707918">
      <w:pPr>
        <w:adjustRightInd w:val="0"/>
        <w:snapToGrid w:val="0"/>
        <w:spacing w:line="400" w:lineRule="exact"/>
        <w:rPr>
          <w:rFonts w:hint="eastAsia"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p>
    <w:p w14:paraId="4BE25A38">
      <w:pPr>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分包金额（如有）小写：</w:t>
      </w:r>
      <w:r>
        <w:rPr>
          <w:rFonts w:hint="eastAsia" w:ascii="宋体" w:hAnsi="宋体"/>
          <w:szCs w:val="21"/>
          <w:highlight w:val="none"/>
          <w:u w:val="single"/>
        </w:rPr>
        <w:t xml:space="preserve">                   </w:t>
      </w:r>
    </w:p>
    <w:p w14:paraId="45AC01A4">
      <w:pPr>
        <w:adjustRightInd w:val="0"/>
        <w:snapToGrid w:val="0"/>
        <w:spacing w:line="400" w:lineRule="exact"/>
        <w:rPr>
          <w:rFonts w:hint="eastAsia"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p>
    <w:p w14:paraId="72C7CE9C">
      <w:pPr>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（注：固定单价合同应填写单价和最高限价）</w:t>
      </w:r>
    </w:p>
    <w:p w14:paraId="764E354C">
      <w:pPr>
        <w:numPr>
          <w:ilvl w:val="255"/>
          <w:numId w:val="0"/>
        </w:numPr>
        <w:adjustRightInd w:val="0"/>
        <w:snapToGrid w:val="0"/>
        <w:spacing w:line="400" w:lineRule="exact"/>
        <w:rPr>
          <w:rFonts w:hint="eastAsia" w:ascii="宋体" w:hAnsi="宋体"/>
          <w:szCs w:val="21"/>
          <w:highlight w:val="none"/>
        </w:rPr>
      </w:pPr>
      <w:r>
        <w:rPr>
          <w:rFonts w:hint="eastAsia" w:ascii="宋体" w:hAnsi="宋体"/>
          <w:szCs w:val="21"/>
          <w:highlight w:val="none"/>
        </w:rPr>
        <w:t xml:space="preserve">    （2）合同定价方式（采用组合定价方式的，可以勾选多项）：</w:t>
      </w:r>
    </w:p>
    <w:p w14:paraId="315FA3EA">
      <w:pPr>
        <w:adjustRightInd w:val="0"/>
        <w:snapToGrid w:val="0"/>
        <w:spacing w:line="400" w:lineRule="exact"/>
        <w:ind w:firstLine="420" w:firstLineChars="200"/>
        <w:rPr>
          <w:rFonts w:hint="eastAsia" w:ascii="宋体" w:hAnsi="宋体"/>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 xml:space="preserve">固定单价 </w:t>
      </w:r>
      <w:r>
        <w:rPr>
          <w:rFonts w:hint="eastAsia" w:ascii="宋体" w:hAnsi="宋体"/>
          <w:iCs/>
          <w:szCs w:val="21"/>
          <w:highlight w:val="none"/>
        </w:rPr>
        <w:sym w:font="Wingdings" w:char="00A8"/>
      </w:r>
      <w:r>
        <w:rPr>
          <w:rFonts w:hint="eastAsia" w:ascii="宋体" w:hAnsi="宋体"/>
          <w:iCs/>
          <w:szCs w:val="21"/>
          <w:highlight w:val="none"/>
        </w:rPr>
        <w:t xml:space="preserve">固定费率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 xml:space="preserve">绩效激励 </w:t>
      </w:r>
      <w:r>
        <w:rPr>
          <w:rFonts w:hint="eastAsia" w:ascii="宋体" w:hAnsi="宋体"/>
          <w:iCs/>
          <w:szCs w:val="21"/>
          <w:highlight w:val="none"/>
        </w:rPr>
        <w:sym w:font="Wingdings" w:char="00A8"/>
      </w:r>
      <w:r>
        <w:rPr>
          <w:rFonts w:hint="eastAsia" w:ascii="宋体" w:hAnsi="宋体"/>
          <w:iCs/>
          <w:szCs w:val="21"/>
          <w:highlight w:val="none"/>
        </w:rPr>
        <w:t>其他</w:t>
      </w:r>
      <w:r>
        <w:rPr>
          <w:rFonts w:hint="eastAsia" w:ascii="宋体" w:hAnsi="宋体"/>
          <w:szCs w:val="21"/>
          <w:highlight w:val="none"/>
          <w:u w:val="single"/>
        </w:rPr>
        <w:t xml:space="preserve">       </w:t>
      </w:r>
    </w:p>
    <w:p w14:paraId="3D2012DD">
      <w:pPr>
        <w:pStyle w:val="342"/>
        <w:spacing w:line="400" w:lineRule="exact"/>
        <w:rPr>
          <w:highlight w:val="none"/>
        </w:rPr>
      </w:pPr>
      <w:r>
        <w:rPr>
          <w:rFonts w:hint="eastAsia" w:ascii="宋体" w:hAnsi="宋体"/>
          <w:highlight w:val="none"/>
        </w:rPr>
        <w:t>（3）付款方式（按项目实际勾选填写）：</w:t>
      </w:r>
    </w:p>
    <w:p w14:paraId="12806D5F">
      <w:pPr>
        <w:adjustRightInd w:val="0"/>
        <w:snapToGrid w:val="0"/>
        <w:spacing w:line="400" w:lineRule="exact"/>
        <w:ind w:firstLine="630" w:firstLineChars="300"/>
        <w:rPr>
          <w:rFonts w:hint="eastAsia"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全额付款：</w:t>
      </w:r>
      <w:r>
        <w:rPr>
          <w:rFonts w:hint="eastAsia" w:ascii="宋体" w:hAnsi="宋体"/>
          <w:szCs w:val="21"/>
          <w:highlight w:val="none"/>
          <w:u w:val="single"/>
        </w:rPr>
        <w:t xml:space="preserve">     （应明确一次性支付合同款项的条件）                    </w:t>
      </w:r>
    </w:p>
    <w:p w14:paraId="63F09B1E">
      <w:pPr>
        <w:snapToGrid w:val="0"/>
        <w:spacing w:line="400" w:lineRule="exact"/>
        <w:ind w:firstLine="630" w:firstLineChars="300"/>
        <w:rPr>
          <w:highlight w:val="none"/>
        </w:rPr>
      </w:pPr>
      <w:r>
        <w:rPr>
          <w:rFonts w:hint="eastAsia" w:ascii="宋体" w:hAnsi="宋体"/>
          <w:szCs w:val="21"/>
          <w:highlight w:val="none"/>
        </w:rPr>
        <w:sym w:font="Wingdings" w:char="00A8"/>
      </w:r>
      <w:r>
        <w:rPr>
          <w:rFonts w:hint="eastAsia" w:ascii="宋体" w:hAnsi="宋体"/>
          <w:szCs w:val="21"/>
          <w:highlight w:val="none"/>
        </w:rPr>
        <w:t>分期付款：</w:t>
      </w:r>
      <w:r>
        <w:rPr>
          <w:rFonts w:hint="eastAsia" w:ascii="宋体" w:hAnsi="宋体"/>
          <w:szCs w:val="21"/>
          <w:highlight w:val="none"/>
          <w:u w:val="single"/>
        </w:rPr>
        <w:t xml:space="preserve">  （应明确分期支付合同款项的各期比例和支付条件，各期支付条件应与分期履约验收情况挂钩） </w:t>
      </w:r>
      <w:r>
        <w:rPr>
          <w:rFonts w:hint="eastAsia" w:ascii="宋体" w:hAnsi="宋体"/>
          <w:szCs w:val="21"/>
          <w:highlight w:val="none"/>
        </w:rPr>
        <w:t>，其中涉及预付款的：</w:t>
      </w:r>
      <w:r>
        <w:rPr>
          <w:rFonts w:hint="eastAsia" w:ascii="宋体" w:hAnsi="宋体"/>
          <w:szCs w:val="21"/>
          <w:highlight w:val="none"/>
          <w:u w:val="single"/>
        </w:rPr>
        <w:t xml:space="preserve"> （应明确预付款的支付比例和支付条件） </w:t>
      </w:r>
    </w:p>
    <w:p w14:paraId="207BC44A">
      <w:pPr>
        <w:adjustRightInd w:val="0"/>
        <w:snapToGrid w:val="0"/>
        <w:spacing w:line="400" w:lineRule="exact"/>
        <w:ind w:firstLine="630" w:firstLineChars="300"/>
        <w:rPr>
          <w:rFonts w:hint="eastAsia"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成本补偿：</w:t>
      </w:r>
      <w:r>
        <w:rPr>
          <w:rFonts w:hint="eastAsia" w:ascii="宋体" w:hAnsi="宋体"/>
          <w:szCs w:val="21"/>
          <w:highlight w:val="none"/>
          <w:u w:val="single"/>
        </w:rPr>
        <w:t xml:space="preserve">      （应明确按照成本补偿方式的支付方式和支付条件）   </w:t>
      </w:r>
    </w:p>
    <w:p w14:paraId="4725FE0F">
      <w:pPr>
        <w:adjustRightInd w:val="0"/>
        <w:snapToGrid w:val="0"/>
        <w:spacing w:line="400" w:lineRule="exact"/>
        <w:ind w:firstLine="630" w:firstLineChars="300"/>
        <w:rPr>
          <w:rFonts w:hint="eastAsia"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绩效激励：</w:t>
      </w:r>
      <w:r>
        <w:rPr>
          <w:rFonts w:hint="eastAsia" w:ascii="宋体" w:hAnsi="宋体"/>
          <w:szCs w:val="21"/>
          <w:highlight w:val="none"/>
          <w:u w:val="single"/>
        </w:rPr>
        <w:t xml:space="preserve">      （应明确按照绩效激励方式的支付方式和支付条件）   </w:t>
      </w:r>
    </w:p>
    <w:p w14:paraId="1790619D">
      <w:pPr>
        <w:numPr>
          <w:ilvl w:val="0"/>
          <w:numId w:val="12"/>
        </w:numPr>
        <w:adjustRightInd w:val="0"/>
        <w:snapToGrid w:val="0"/>
        <w:spacing w:line="400" w:lineRule="exact"/>
        <w:ind w:firstLine="422" w:firstLineChars="200"/>
        <w:rPr>
          <w:rFonts w:hint="eastAsia" w:ascii="宋体" w:hAnsi="宋体"/>
          <w:b/>
          <w:szCs w:val="21"/>
          <w:highlight w:val="none"/>
          <w:u w:val="single"/>
        </w:rPr>
      </w:pPr>
      <w:r>
        <w:rPr>
          <w:rFonts w:hint="eastAsia" w:ascii="宋体" w:hAnsi="宋体"/>
          <w:b/>
          <w:szCs w:val="21"/>
          <w:highlight w:val="none"/>
        </w:rPr>
        <w:t>合同履行</w:t>
      </w:r>
    </w:p>
    <w:p w14:paraId="18FD878C">
      <w:pPr>
        <w:adjustRightInd w:val="0"/>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5145D296">
      <w:pPr>
        <w:adjustRightInd w:val="0"/>
        <w:snapToGrid w:val="0"/>
        <w:spacing w:line="40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（2）履约地点</w:t>
      </w:r>
      <w:r>
        <w:rPr>
          <w:rFonts w:hint="eastAsia" w:ascii="宋体" w:hAnsi="宋体" w:cs="宋体"/>
          <w:bCs/>
          <w:szCs w:val="21"/>
          <w:highlight w:val="none"/>
        </w:rPr>
        <w:t>：</w:t>
      </w:r>
      <w:r>
        <w:rPr>
          <w:rFonts w:hint="eastAsia" w:ascii="宋体" w:hAnsi="宋体" w:cs="宋体"/>
          <w:szCs w:val="21"/>
          <w:highlight w:val="none"/>
          <w:u w:val="single"/>
        </w:rPr>
        <w:t xml:space="preserve">                             </w:t>
      </w:r>
    </w:p>
    <w:p w14:paraId="7EAC9E54">
      <w:pPr>
        <w:adjustRightInd w:val="0"/>
        <w:snapToGrid w:val="0"/>
        <w:spacing w:line="400" w:lineRule="exact"/>
        <w:ind w:firstLine="420" w:firstLineChars="200"/>
        <w:rPr>
          <w:rFonts w:hint="eastAsia" w:ascii="宋体" w:hAnsi="宋体" w:cs="宋体"/>
          <w:szCs w:val="21"/>
          <w:highlight w:val="none"/>
        </w:rPr>
      </w:pPr>
      <w:r>
        <w:rPr>
          <w:rFonts w:hint="eastAsia" w:ascii="宋体" w:hAnsi="宋体" w:cs="宋体"/>
          <w:bCs/>
          <w:szCs w:val="21"/>
          <w:highlight w:val="none"/>
        </w:rPr>
        <w:t>（3）履约担保：</w:t>
      </w:r>
      <w:r>
        <w:rPr>
          <w:rFonts w:hint="eastAsia" w:ascii="宋体" w:hAnsi="宋体" w:cs="宋体"/>
          <w:highlight w:val="none"/>
        </w:rPr>
        <w:t>是否收取履约保证金：</w:t>
      </w:r>
      <w:r>
        <w:rPr>
          <w:rFonts w:hint="eastAsia" w:ascii="宋体" w:hAnsi="宋体" w:cs="宋体"/>
          <w:szCs w:val="21"/>
          <w:highlight w:val="none"/>
        </w:rPr>
        <w:sym w:font="Wingdings" w:char="00A8"/>
      </w:r>
      <w:r>
        <w:rPr>
          <w:rFonts w:hint="eastAsia" w:ascii="宋体" w:hAnsi="宋体" w:cs="宋体"/>
          <w:szCs w:val="21"/>
          <w:highlight w:val="none"/>
        </w:rPr>
        <w:t xml:space="preserve">是    </w:t>
      </w:r>
      <w:r>
        <w:rPr>
          <w:rFonts w:hint="eastAsia" w:ascii="宋体" w:hAnsi="宋体" w:cs="宋体"/>
          <w:szCs w:val="21"/>
          <w:highlight w:val="none"/>
        </w:rPr>
        <w:sym w:font="Wingdings" w:char="00A8"/>
      </w:r>
      <w:r>
        <w:rPr>
          <w:rFonts w:hint="eastAsia" w:ascii="宋体" w:hAnsi="宋体" w:cs="宋体"/>
          <w:szCs w:val="21"/>
          <w:highlight w:val="none"/>
        </w:rPr>
        <w:t>否</w:t>
      </w:r>
    </w:p>
    <w:p w14:paraId="3F42F48D">
      <w:pPr>
        <w:pStyle w:val="387"/>
        <w:rPr>
          <w:rFonts w:hint="eastAsia" w:ascii="宋体" w:hAnsi="宋体" w:eastAsia="宋体" w:cs="宋体"/>
          <w:sz w:val="21"/>
          <w:highlight w:val="none"/>
        </w:rPr>
      </w:pPr>
      <w:r>
        <w:rPr>
          <w:rFonts w:hint="eastAsia" w:ascii="宋体" w:hAnsi="宋体" w:cs="宋体"/>
          <w:bCs/>
          <w:highlight w:val="none"/>
        </w:rPr>
        <w:t xml:space="preserve">  </w:t>
      </w:r>
      <w:r>
        <w:rPr>
          <w:rFonts w:hint="eastAsia" w:ascii="宋体" w:hAnsi="宋体" w:eastAsia="宋体" w:cs="宋体"/>
          <w:sz w:val="21"/>
          <w:highlight w:val="none"/>
        </w:rPr>
        <w:t xml:space="preserve">  收取履约保证金形式：</w:t>
      </w:r>
      <w:r>
        <w:rPr>
          <w:rFonts w:hint="eastAsia" w:ascii="宋体" w:hAnsi="宋体" w:eastAsia="宋体" w:cs="宋体"/>
          <w:bCs/>
          <w:sz w:val="21"/>
          <w:highlight w:val="none"/>
          <w:u w:val="single"/>
        </w:rPr>
        <w:t xml:space="preserve">                            </w:t>
      </w:r>
    </w:p>
    <w:p w14:paraId="06AC9EC4">
      <w:pPr>
        <w:pStyle w:val="387"/>
        <w:ind w:firstLine="420"/>
        <w:rPr>
          <w:rFonts w:hint="eastAsia" w:ascii="宋体" w:hAnsi="宋体" w:eastAsia="宋体" w:cs="宋体"/>
          <w:sz w:val="21"/>
          <w:highlight w:val="none"/>
        </w:rPr>
      </w:pPr>
      <w:r>
        <w:rPr>
          <w:rFonts w:hint="eastAsia" w:ascii="宋体" w:hAnsi="宋体" w:eastAsia="宋体" w:cs="宋体"/>
          <w:sz w:val="21"/>
          <w:highlight w:val="none"/>
        </w:rPr>
        <w:t xml:space="preserve">    收取履约保证金金额：</w:t>
      </w:r>
      <w:r>
        <w:rPr>
          <w:rFonts w:hint="eastAsia" w:ascii="宋体" w:hAnsi="宋体" w:eastAsia="宋体" w:cs="宋体"/>
          <w:bCs/>
          <w:sz w:val="21"/>
          <w:highlight w:val="none"/>
          <w:u w:val="single"/>
        </w:rPr>
        <w:t xml:space="preserve">                            </w:t>
      </w:r>
    </w:p>
    <w:p w14:paraId="27537B01">
      <w:pPr>
        <w:snapToGrid w:val="0"/>
        <w:spacing w:line="400" w:lineRule="exact"/>
        <w:ind w:firstLine="420" w:firstLineChars="200"/>
        <w:rPr>
          <w:rFonts w:hint="eastAsia" w:ascii="宋体" w:hAnsi="宋体" w:cs="宋体"/>
          <w:highlight w:val="none"/>
        </w:rPr>
      </w:pPr>
      <w:r>
        <w:rPr>
          <w:rFonts w:hint="eastAsia" w:ascii="宋体" w:hAnsi="宋体" w:cs="宋体"/>
          <w:bCs/>
          <w:szCs w:val="21"/>
          <w:highlight w:val="none"/>
        </w:rPr>
        <w:t xml:space="preserve">    履约担保期限：</w:t>
      </w:r>
      <w:r>
        <w:rPr>
          <w:rFonts w:hint="eastAsia" w:ascii="宋体" w:hAnsi="宋体" w:cs="宋体"/>
          <w:bCs/>
          <w:szCs w:val="21"/>
          <w:highlight w:val="none"/>
          <w:u w:val="single"/>
        </w:rPr>
        <w:t xml:space="preserve">                                  </w:t>
      </w:r>
    </w:p>
    <w:p w14:paraId="48A298E0">
      <w:pPr>
        <w:adjustRightInd w:val="0"/>
        <w:snapToGrid w:val="0"/>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（4）分期履行要求：</w:t>
      </w:r>
      <w:r>
        <w:rPr>
          <w:rFonts w:hint="eastAsia" w:ascii="宋体" w:hAnsi="宋体" w:cs="宋体"/>
          <w:bCs/>
          <w:szCs w:val="21"/>
          <w:highlight w:val="none"/>
          <w:u w:val="single"/>
        </w:rPr>
        <w:t xml:space="preserve">                                                        </w:t>
      </w:r>
    </w:p>
    <w:p w14:paraId="20CF961B">
      <w:pPr>
        <w:adjustRightInd w:val="0"/>
        <w:snapToGrid w:val="0"/>
        <w:spacing w:line="400" w:lineRule="exact"/>
        <w:ind w:firstLine="420" w:firstLineChars="200"/>
        <w:rPr>
          <w:rFonts w:hint="eastAsia" w:ascii="宋体" w:hAnsi="宋体" w:cs="宋体"/>
          <w:szCs w:val="21"/>
          <w:highlight w:val="none"/>
          <w:u w:val="single"/>
        </w:rPr>
      </w:pPr>
      <w:r>
        <w:rPr>
          <w:rFonts w:hint="eastAsia" w:ascii="宋体" w:hAnsi="宋体" w:cs="宋体"/>
          <w:bCs/>
          <w:szCs w:val="21"/>
          <w:highlight w:val="none"/>
        </w:rPr>
        <w:t>（5）风险处置措施和替代方案：</w:t>
      </w:r>
      <w:r>
        <w:rPr>
          <w:rFonts w:hint="eastAsia" w:ascii="宋体" w:hAnsi="宋体" w:cs="宋体"/>
          <w:color w:val="0000FF"/>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szCs w:val="21"/>
          <w:highlight w:val="none"/>
          <w:u w:val="single"/>
        </w:rPr>
        <w:t xml:space="preserve">                                                </w:t>
      </w:r>
    </w:p>
    <w:p w14:paraId="56BE3D49">
      <w:pPr>
        <w:numPr>
          <w:ilvl w:val="0"/>
          <w:numId w:val="12"/>
        </w:numPr>
        <w:adjustRightInd w:val="0"/>
        <w:snapToGrid w:val="0"/>
        <w:spacing w:line="400" w:lineRule="exact"/>
        <w:ind w:firstLine="422" w:firstLineChars="200"/>
        <w:rPr>
          <w:rFonts w:hint="eastAsia" w:ascii="宋体" w:hAnsi="宋体"/>
          <w:b/>
          <w:szCs w:val="21"/>
          <w:highlight w:val="none"/>
        </w:rPr>
      </w:pPr>
      <w:r>
        <w:rPr>
          <w:rFonts w:hint="eastAsia" w:ascii="宋体" w:hAnsi="宋体"/>
          <w:b/>
          <w:szCs w:val="21"/>
          <w:highlight w:val="none"/>
        </w:rPr>
        <w:t>合同验收</w:t>
      </w:r>
    </w:p>
    <w:p w14:paraId="5B41EB31">
      <w:pPr>
        <w:numPr>
          <w:ilvl w:val="0"/>
          <w:numId w:val="13"/>
        </w:num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验收组织方式：</w:t>
      </w:r>
      <w:r>
        <w:rPr>
          <w:rFonts w:hint="eastAsia" w:ascii="宋体" w:hAnsi="宋体" w:cs="宋体"/>
          <w:szCs w:val="21"/>
          <w:highlight w:val="none"/>
        </w:rPr>
        <w:sym w:font="Wingdings" w:char="00A8"/>
      </w:r>
      <w:r>
        <w:rPr>
          <w:rFonts w:hint="eastAsia" w:ascii="宋体" w:hAnsi="宋体"/>
          <w:bCs/>
          <w:szCs w:val="21"/>
          <w:highlight w:val="none"/>
        </w:rPr>
        <w:t xml:space="preserve">自行组织 </w:t>
      </w:r>
      <w:r>
        <w:rPr>
          <w:rFonts w:hint="eastAsia" w:ascii="宋体" w:hAnsi="宋体" w:cs="宋体"/>
          <w:szCs w:val="21"/>
          <w:highlight w:val="none"/>
        </w:rPr>
        <w:sym w:font="Wingdings" w:char="00A8"/>
      </w:r>
      <w:r>
        <w:rPr>
          <w:rFonts w:hint="eastAsia" w:ascii="宋体" w:hAnsi="宋体"/>
          <w:bCs/>
          <w:szCs w:val="21"/>
          <w:highlight w:val="none"/>
        </w:rPr>
        <w:t>委托第三方组织</w:t>
      </w:r>
    </w:p>
    <w:p w14:paraId="0AE89032">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 xml:space="preserve">         验收主体：</w:t>
      </w:r>
      <w:r>
        <w:rPr>
          <w:rFonts w:hint="eastAsia" w:ascii="宋体" w:hAnsi="宋体"/>
          <w:bCs/>
          <w:szCs w:val="21"/>
          <w:highlight w:val="none"/>
          <w:u w:val="single"/>
        </w:rPr>
        <w:t xml:space="preserve">                  </w:t>
      </w:r>
    </w:p>
    <w:p w14:paraId="16F07607">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 xml:space="preserve">        是否邀请本项目的其他供应商参加验收：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21ECB64C">
      <w:pPr>
        <w:adjustRightInd w:val="0"/>
        <w:snapToGrid w:val="0"/>
        <w:spacing w:line="400" w:lineRule="exact"/>
        <w:ind w:firstLine="840" w:firstLineChars="400"/>
        <w:rPr>
          <w:rFonts w:hint="eastAsia" w:ascii="宋体" w:hAnsi="宋体"/>
          <w:bCs/>
          <w:szCs w:val="21"/>
          <w:highlight w:val="none"/>
        </w:rPr>
      </w:pPr>
      <w:r>
        <w:rPr>
          <w:rFonts w:hint="eastAsia" w:ascii="宋体" w:hAnsi="宋体"/>
          <w:bCs/>
          <w:szCs w:val="21"/>
          <w:highlight w:val="none"/>
        </w:rPr>
        <w:t>是否邀请专家参加验收：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111A4D97">
      <w:pPr>
        <w:adjustRightInd w:val="0"/>
        <w:snapToGrid w:val="0"/>
        <w:spacing w:line="400" w:lineRule="exact"/>
        <w:ind w:firstLine="840" w:firstLineChars="400"/>
        <w:rPr>
          <w:rFonts w:hint="eastAsia" w:ascii="宋体" w:hAnsi="宋体"/>
          <w:bCs/>
          <w:szCs w:val="21"/>
          <w:highlight w:val="none"/>
        </w:rPr>
      </w:pPr>
      <w:r>
        <w:rPr>
          <w:rFonts w:hint="eastAsia" w:ascii="宋体" w:hAnsi="宋体"/>
          <w:bCs/>
          <w:szCs w:val="21"/>
          <w:highlight w:val="none"/>
        </w:rPr>
        <w:t>是否邀请服务对象参加验收：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391F5460">
      <w:pPr>
        <w:adjustRightInd w:val="0"/>
        <w:snapToGrid w:val="0"/>
        <w:spacing w:line="400" w:lineRule="exact"/>
        <w:ind w:firstLine="840" w:firstLineChars="400"/>
        <w:rPr>
          <w:rFonts w:hint="eastAsia" w:ascii="宋体" w:hAnsi="宋体"/>
          <w:bCs/>
          <w:szCs w:val="21"/>
          <w:highlight w:val="none"/>
        </w:rPr>
      </w:pPr>
      <w:r>
        <w:rPr>
          <w:rFonts w:hint="eastAsia" w:ascii="宋体" w:hAnsi="宋体"/>
          <w:bCs/>
          <w:szCs w:val="21"/>
          <w:highlight w:val="none"/>
        </w:rPr>
        <w:t>是否邀请第三方检测机构参加验收：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01F4BB66">
      <w:pPr>
        <w:adjustRightInd w:val="0"/>
        <w:snapToGrid w:val="0"/>
        <w:spacing w:line="400" w:lineRule="exact"/>
        <w:ind w:firstLine="840" w:firstLineChars="400"/>
        <w:rPr>
          <w:rFonts w:hint="eastAsia" w:ascii="宋体" w:hAnsi="宋体"/>
          <w:bCs/>
          <w:szCs w:val="21"/>
          <w:highlight w:val="none"/>
        </w:rPr>
      </w:pPr>
      <w:r>
        <w:rPr>
          <w:rFonts w:hint="eastAsia" w:ascii="宋体" w:hAnsi="宋体"/>
          <w:bCs/>
          <w:szCs w:val="21"/>
          <w:highlight w:val="none"/>
        </w:rPr>
        <w:t>是否进行抽查检测：</w:t>
      </w:r>
      <w:r>
        <w:rPr>
          <w:rFonts w:hint="eastAsia" w:ascii="宋体" w:hAnsi="宋体" w:cs="宋体"/>
          <w:szCs w:val="21"/>
          <w:highlight w:val="none"/>
        </w:rPr>
        <w:sym w:font="Wingdings" w:char="00A8"/>
      </w:r>
      <w:r>
        <w:rPr>
          <w:rFonts w:hint="eastAsia" w:ascii="宋体" w:hAnsi="宋体"/>
          <w:bCs/>
          <w:szCs w:val="21"/>
          <w:highlight w:val="none"/>
        </w:rPr>
        <w:t>是，抽查比例：</w:t>
      </w:r>
      <w:r>
        <w:rPr>
          <w:rFonts w:hint="eastAsia" w:ascii="宋体" w:hAnsi="宋体"/>
          <w:bCs/>
          <w:szCs w:val="21"/>
          <w:highlight w:val="none"/>
          <w:u w:val="single"/>
        </w:rPr>
        <w:t xml:space="preserve">        </w:t>
      </w: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否</w:t>
      </w:r>
    </w:p>
    <w:p w14:paraId="24C5E756">
      <w:pPr>
        <w:adjustRightInd w:val="0"/>
        <w:snapToGrid w:val="0"/>
        <w:spacing w:line="400" w:lineRule="exact"/>
        <w:ind w:firstLine="840" w:firstLineChars="400"/>
        <w:rPr>
          <w:rFonts w:hint="eastAsia" w:ascii="宋体" w:hAnsi="宋体"/>
          <w:bCs/>
          <w:szCs w:val="21"/>
          <w:highlight w:val="none"/>
          <w:u w:val="single"/>
        </w:rPr>
      </w:pPr>
      <w:r>
        <w:rPr>
          <w:rFonts w:hint="eastAsia" w:ascii="宋体" w:hAnsi="宋体"/>
          <w:bCs/>
          <w:szCs w:val="21"/>
          <w:highlight w:val="none"/>
        </w:rPr>
        <w:t>是否存在破坏性检测：</w:t>
      </w:r>
      <w:r>
        <w:rPr>
          <w:rFonts w:hint="eastAsia" w:ascii="宋体" w:hAnsi="宋体" w:cs="宋体"/>
          <w:szCs w:val="21"/>
          <w:highlight w:val="none"/>
        </w:rPr>
        <w:sym w:font="Wingdings" w:char="00A8"/>
      </w:r>
      <w:r>
        <w:rPr>
          <w:rFonts w:hint="eastAsia" w:ascii="宋体" w:hAnsi="宋体"/>
          <w:bCs/>
          <w:szCs w:val="21"/>
          <w:highlight w:val="none"/>
        </w:rPr>
        <w:t>是，</w:t>
      </w:r>
      <w:r>
        <w:rPr>
          <w:rFonts w:hint="eastAsia" w:ascii="宋体" w:hAnsi="宋体"/>
          <w:bCs/>
          <w:szCs w:val="21"/>
          <w:highlight w:val="none"/>
          <w:u w:val="single"/>
        </w:rPr>
        <w:t>（应明确对被破坏的检测产品的处理方式）</w:t>
      </w:r>
    </w:p>
    <w:p w14:paraId="57489952">
      <w:pPr>
        <w:adjustRightInd w:val="0"/>
        <w:snapToGrid w:val="0"/>
        <w:spacing w:line="400" w:lineRule="exact"/>
        <w:ind w:firstLine="840" w:firstLineChars="400"/>
        <w:rPr>
          <w:rFonts w:hint="eastAsia" w:ascii="宋体" w:hAnsi="宋体"/>
          <w:bCs/>
          <w:szCs w:val="21"/>
          <w:highlight w:val="none"/>
        </w:rPr>
      </w:pP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否</w:t>
      </w:r>
    </w:p>
    <w:p w14:paraId="172ECFC9">
      <w:pPr>
        <w:adjustRightInd w:val="0"/>
        <w:snapToGrid w:val="0"/>
        <w:spacing w:line="400" w:lineRule="exact"/>
        <w:ind w:firstLine="840" w:firstLineChars="400"/>
        <w:rPr>
          <w:rFonts w:hint="eastAsia"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p>
    <w:p w14:paraId="79E60232">
      <w:pPr>
        <w:adjustRightInd w:val="0"/>
        <w:snapToGrid w:val="0"/>
        <w:spacing w:line="400" w:lineRule="exact"/>
        <w:ind w:firstLine="420" w:firstLineChars="200"/>
        <w:rPr>
          <w:rFonts w:hint="eastAsia"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 xml:space="preserve">（计划于何时验收/供应商提出验收申请之日起   日内组织验收） </w:t>
      </w:r>
    </w:p>
    <w:p w14:paraId="07EF3081">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（3）履约验收方式：</w:t>
      </w:r>
      <w:r>
        <w:rPr>
          <w:rFonts w:hint="eastAsia" w:ascii="宋体" w:hAnsi="宋体" w:cs="宋体"/>
          <w:szCs w:val="21"/>
          <w:highlight w:val="none"/>
        </w:rPr>
        <w:sym w:font="Wingdings" w:char="00A8"/>
      </w:r>
      <w:r>
        <w:rPr>
          <w:rFonts w:hint="eastAsia" w:ascii="宋体" w:hAnsi="宋体"/>
          <w:bCs/>
          <w:szCs w:val="21"/>
          <w:highlight w:val="none"/>
        </w:rPr>
        <w:t xml:space="preserve">一次性验收         </w:t>
      </w:r>
    </w:p>
    <w:p w14:paraId="7E246D8C">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分期/分项验收：</w:t>
      </w:r>
      <w:r>
        <w:rPr>
          <w:rFonts w:hint="eastAsia" w:ascii="宋体" w:hAnsi="宋体"/>
          <w:bCs/>
          <w:szCs w:val="21"/>
          <w:highlight w:val="none"/>
          <w:u w:val="single"/>
        </w:rPr>
        <w:t xml:space="preserve"> （应明确分期</w:t>
      </w:r>
      <w:r>
        <w:rPr>
          <w:rFonts w:ascii="宋体" w:hAnsi="宋体"/>
          <w:bCs/>
          <w:szCs w:val="21"/>
          <w:highlight w:val="none"/>
          <w:u w:val="single"/>
          <w:lang w:val="en"/>
        </w:rPr>
        <w:t>/</w:t>
      </w:r>
      <w:r>
        <w:rPr>
          <w:rFonts w:hint="eastAsia" w:ascii="宋体" w:hAnsi="宋体"/>
          <w:bCs/>
          <w:szCs w:val="21"/>
          <w:highlight w:val="none"/>
          <w:u w:val="single"/>
          <w:lang w:val="en"/>
        </w:rPr>
        <w:t>分项验收的工作安排</w:t>
      </w:r>
      <w:r>
        <w:rPr>
          <w:rFonts w:hint="eastAsia" w:ascii="宋体" w:hAnsi="宋体"/>
          <w:bCs/>
          <w:szCs w:val="21"/>
          <w:highlight w:val="none"/>
          <w:u w:val="single"/>
        </w:rPr>
        <w:t xml:space="preserve">）  </w:t>
      </w:r>
    </w:p>
    <w:p w14:paraId="568B85E6">
      <w:pPr>
        <w:adjustRightInd w:val="0"/>
        <w:snapToGrid w:val="0"/>
        <w:spacing w:line="400" w:lineRule="exact"/>
        <w:ind w:firstLine="420" w:firstLineChars="200"/>
        <w:rPr>
          <w:rFonts w:hint="eastAsia" w:ascii="宋体" w:hAnsi="宋体"/>
          <w:bCs/>
          <w:szCs w:val="21"/>
          <w:highlight w:val="none"/>
        </w:rPr>
      </w:pPr>
      <w:r>
        <w:rPr>
          <w:rFonts w:hint="eastAsia" w:ascii="宋体" w:hAnsi="宋体"/>
          <w:bCs/>
          <w:szCs w:val="21"/>
          <w:highlight w:val="none"/>
        </w:rPr>
        <w:t>（4）履约验收程序：</w:t>
      </w:r>
      <w:r>
        <w:rPr>
          <w:rFonts w:hint="eastAsia" w:ascii="宋体" w:hAnsi="宋体"/>
          <w:bCs/>
          <w:szCs w:val="21"/>
          <w:highlight w:val="none"/>
          <w:u w:val="single"/>
        </w:rPr>
        <w:t xml:space="preserve">                                         </w:t>
      </w:r>
    </w:p>
    <w:p w14:paraId="419CB414">
      <w:pPr>
        <w:adjustRightInd w:val="0"/>
        <w:snapToGrid w:val="0"/>
        <w:spacing w:line="400" w:lineRule="exact"/>
        <w:ind w:firstLine="420" w:firstLineChars="200"/>
        <w:rPr>
          <w:rFonts w:hint="eastAsia"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（应当包括每一项技术和商务要求的履约情况，特别是落实政府采购扶持中小企业，支持绿色发展和乡村振兴等政策情况）                                      </w:t>
      </w:r>
    </w:p>
    <w:p w14:paraId="33B52FD8">
      <w:pPr>
        <w:adjustRightInd w:val="0"/>
        <w:snapToGrid w:val="0"/>
        <w:spacing w:line="400" w:lineRule="exact"/>
        <w:ind w:firstLine="420" w:firstLineChars="200"/>
        <w:rPr>
          <w:rFonts w:hint="eastAsia" w:ascii="宋体" w:hAnsi="宋体"/>
          <w:bCs/>
          <w:szCs w:val="21"/>
          <w:highlight w:val="none"/>
          <w:u w:val="single"/>
        </w:rPr>
      </w:pPr>
      <w:r>
        <w:rPr>
          <w:rFonts w:hint="eastAsia" w:ascii="宋体" w:hAnsi="宋体"/>
          <w:bCs/>
          <w:szCs w:val="21"/>
          <w:highlight w:val="none"/>
        </w:rPr>
        <w:t>（6）履约验收标准：</w:t>
      </w:r>
      <w:r>
        <w:rPr>
          <w:rFonts w:hint="eastAsia" w:ascii="宋体" w:hAnsi="宋体"/>
          <w:bCs/>
          <w:szCs w:val="21"/>
          <w:highlight w:val="none"/>
          <w:u w:val="single"/>
        </w:rPr>
        <w:t xml:space="preserve">                                         </w:t>
      </w:r>
    </w:p>
    <w:p w14:paraId="48F93D5F">
      <w:pPr>
        <w:pStyle w:val="387"/>
        <w:ind w:firstLine="420"/>
        <w:rPr>
          <w:rFonts w:hint="eastAsia" w:ascii="宋体" w:hAnsi="宋体" w:eastAsia="宋体" w:cs="宋体"/>
          <w:sz w:val="21"/>
          <w:highlight w:val="none"/>
        </w:rPr>
      </w:pPr>
      <w:r>
        <w:rPr>
          <w:rFonts w:hint="eastAsia" w:ascii="宋体" w:hAnsi="宋体" w:eastAsia="宋体" w:cs="宋体"/>
          <w:bCs/>
          <w:sz w:val="21"/>
          <w:highlight w:val="none"/>
        </w:rPr>
        <w:t>（7）是否以采购活动中供应商提供的样品作为参考：</w:t>
      </w:r>
      <w:r>
        <w:rPr>
          <w:rFonts w:hint="eastAsia" w:ascii="宋体" w:hAnsi="宋体" w:eastAsia="宋体" w:cs="宋体"/>
          <w:sz w:val="21"/>
          <w:highlight w:val="none"/>
        </w:rPr>
        <w:sym w:font="Wingdings" w:char="00A8"/>
      </w:r>
      <w:r>
        <w:rPr>
          <w:rFonts w:hint="eastAsia" w:ascii="宋体" w:hAnsi="宋体" w:eastAsia="宋体" w:cs="宋体"/>
          <w:bCs/>
          <w:sz w:val="21"/>
          <w:highlight w:val="none"/>
        </w:rPr>
        <w:t xml:space="preserve">是  </w:t>
      </w:r>
      <w:r>
        <w:rPr>
          <w:rFonts w:hint="eastAsia" w:ascii="宋体" w:hAnsi="宋体" w:eastAsia="宋体" w:cs="宋体"/>
          <w:sz w:val="21"/>
          <w:highlight w:val="none"/>
        </w:rPr>
        <w:sym w:font="Wingdings" w:char="00A8"/>
      </w:r>
      <w:r>
        <w:rPr>
          <w:rFonts w:hint="eastAsia" w:ascii="宋体" w:hAnsi="宋体" w:eastAsia="宋体" w:cs="宋体"/>
          <w:bCs/>
          <w:sz w:val="21"/>
          <w:highlight w:val="none"/>
        </w:rPr>
        <w:t>否</w:t>
      </w:r>
    </w:p>
    <w:p w14:paraId="1CB43F6E">
      <w:pPr>
        <w:adjustRightInd w:val="0"/>
        <w:snapToGrid w:val="0"/>
        <w:spacing w:line="400" w:lineRule="exact"/>
        <w:ind w:firstLine="420" w:firstLineChars="200"/>
        <w:rPr>
          <w:rFonts w:hint="eastAsia"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（产权过户登记等）          </w:t>
      </w:r>
    </w:p>
    <w:p w14:paraId="49F2113D">
      <w:pPr>
        <w:numPr>
          <w:ilvl w:val="0"/>
          <w:numId w:val="12"/>
        </w:numPr>
        <w:adjustRightInd w:val="0"/>
        <w:snapToGrid w:val="0"/>
        <w:spacing w:line="400" w:lineRule="exact"/>
        <w:ind w:firstLine="422" w:firstLineChars="200"/>
        <w:rPr>
          <w:rFonts w:hint="eastAsia" w:ascii="宋体" w:hAnsi="宋体"/>
          <w:b/>
          <w:szCs w:val="21"/>
          <w:highlight w:val="none"/>
        </w:rPr>
      </w:pPr>
      <w:r>
        <w:rPr>
          <w:rFonts w:hint="eastAsia" w:ascii="宋体" w:hAnsi="宋体"/>
          <w:b/>
          <w:szCs w:val="21"/>
          <w:highlight w:val="none"/>
        </w:rPr>
        <w:t>组成合同的文件</w:t>
      </w:r>
    </w:p>
    <w:p w14:paraId="668C266D">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29AB1890">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14:paraId="23DA148C">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（2）政府采购合同专用条款</w:t>
      </w:r>
    </w:p>
    <w:p w14:paraId="0052F63C">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（3）政府采购合同通用条款</w:t>
      </w:r>
    </w:p>
    <w:p w14:paraId="09BD1831">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（4）中标（成交）通知书</w:t>
      </w:r>
    </w:p>
    <w:p w14:paraId="3655D2B7">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（5）投标（响应）文件</w:t>
      </w:r>
    </w:p>
    <w:p w14:paraId="15818034">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（6）采购文件</w:t>
      </w:r>
    </w:p>
    <w:p w14:paraId="24200B42">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（7）有关技术文件，图纸</w:t>
      </w:r>
    </w:p>
    <w:p w14:paraId="7C5C9793">
      <w:pPr>
        <w:pStyle w:val="387"/>
        <w:ind w:firstLine="420"/>
        <w:rPr>
          <w:rFonts w:hint="eastAsia" w:ascii="宋体" w:hAnsi="宋体" w:eastAsia="宋体" w:cs="宋体"/>
          <w:kern w:val="2"/>
          <w:sz w:val="21"/>
          <w:highlight w:val="none"/>
        </w:rPr>
      </w:pPr>
      <w:r>
        <w:rPr>
          <w:rFonts w:hint="eastAsia" w:ascii="宋体" w:hAnsi="宋体" w:eastAsia="宋体" w:cs="宋体"/>
          <w:sz w:val="21"/>
          <w:highlight w:val="none"/>
        </w:rPr>
        <w:t>（8）</w:t>
      </w:r>
      <w:r>
        <w:rPr>
          <w:rFonts w:hint="eastAsia" w:ascii="宋体" w:hAnsi="宋体" w:eastAsia="宋体" w:cs="宋体"/>
          <w:color w:val="000000" w:themeColor="text1"/>
          <w:kern w:val="2"/>
          <w:sz w:val="21"/>
          <w:highlight w:val="none"/>
          <w14:textFill>
            <w14:solidFill>
              <w14:schemeClr w14:val="tx1"/>
            </w14:solidFill>
          </w14:textFill>
        </w:rPr>
        <w:t>国家法律、行政法规和规章制度规定或合同约定的作为合同组成部分的其他文件</w:t>
      </w:r>
    </w:p>
    <w:p w14:paraId="072FCFE0">
      <w:pPr>
        <w:numPr>
          <w:ilvl w:val="0"/>
          <w:numId w:val="12"/>
        </w:numPr>
        <w:adjustRightInd w:val="0"/>
        <w:snapToGrid w:val="0"/>
        <w:spacing w:line="400" w:lineRule="exact"/>
        <w:ind w:firstLine="422" w:firstLineChars="200"/>
        <w:rPr>
          <w:rFonts w:hint="eastAsia" w:ascii="宋体" w:hAnsi="宋体"/>
          <w:b/>
          <w:szCs w:val="21"/>
          <w:highlight w:val="none"/>
        </w:rPr>
      </w:pPr>
      <w:r>
        <w:rPr>
          <w:rFonts w:hint="eastAsia" w:ascii="宋体" w:hAnsi="宋体"/>
          <w:b/>
          <w:szCs w:val="21"/>
          <w:highlight w:val="none"/>
        </w:rPr>
        <w:t>合同生效</w:t>
      </w:r>
    </w:p>
    <w:p w14:paraId="50468663">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w:t>
      </w:r>
      <w:r>
        <w:rPr>
          <w:rFonts w:hint="eastAsia" w:ascii="宋体" w:hAnsi="宋体"/>
          <w:szCs w:val="21"/>
          <w:highlight w:val="none"/>
        </w:rPr>
        <w:t>生效。</w:t>
      </w:r>
    </w:p>
    <w:p w14:paraId="3C9E5EC7">
      <w:pPr>
        <w:numPr>
          <w:ilvl w:val="0"/>
          <w:numId w:val="12"/>
        </w:numPr>
        <w:adjustRightInd w:val="0"/>
        <w:snapToGrid w:val="0"/>
        <w:spacing w:line="400" w:lineRule="exact"/>
        <w:ind w:firstLine="422" w:firstLineChars="200"/>
        <w:rPr>
          <w:rFonts w:hint="eastAsia" w:ascii="宋体" w:hAnsi="宋体"/>
          <w:b/>
          <w:szCs w:val="21"/>
          <w:highlight w:val="none"/>
        </w:rPr>
      </w:pPr>
      <w:r>
        <w:rPr>
          <w:rFonts w:hint="eastAsia" w:ascii="宋体" w:hAnsi="宋体"/>
          <w:b/>
          <w:szCs w:val="21"/>
          <w:highlight w:val="none"/>
        </w:rPr>
        <w:t>合同份数</w:t>
      </w:r>
    </w:p>
    <w:p w14:paraId="22A6D7D4">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rPr>
        <w:t>份，甲方执</w:t>
      </w:r>
      <w:r>
        <w:rPr>
          <w:rFonts w:hint="eastAsia" w:ascii="宋体" w:hAnsi="宋体"/>
          <w:szCs w:val="21"/>
          <w:highlight w:val="none"/>
          <w:u w:val="single"/>
        </w:rPr>
        <w:t xml:space="preserve">    </w:t>
      </w:r>
      <w:r>
        <w:rPr>
          <w:rFonts w:hint="eastAsia" w:ascii="宋体" w:hAnsi="宋体"/>
          <w:szCs w:val="21"/>
          <w:highlight w:val="none"/>
        </w:rPr>
        <w:t>份，乙方执</w:t>
      </w:r>
      <w:r>
        <w:rPr>
          <w:rFonts w:hint="eastAsia" w:ascii="宋体" w:hAnsi="宋体"/>
          <w:szCs w:val="21"/>
          <w:highlight w:val="none"/>
          <w:u w:val="single"/>
        </w:rPr>
        <w:t xml:space="preserve">    </w:t>
      </w:r>
      <w:r>
        <w:rPr>
          <w:rFonts w:hint="eastAsia" w:ascii="宋体" w:hAnsi="宋体"/>
          <w:szCs w:val="21"/>
          <w:highlight w:val="none"/>
        </w:rPr>
        <w:t>份，均具有同等法律效力。</w:t>
      </w:r>
    </w:p>
    <w:p w14:paraId="75B2AA31">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2381342">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合同订立地点：</w:t>
      </w:r>
      <w:r>
        <w:rPr>
          <w:rFonts w:hint="eastAsia" w:ascii="宋体" w:hAnsi="宋体"/>
          <w:szCs w:val="21"/>
          <w:highlight w:val="none"/>
          <w:u w:val="single"/>
        </w:rPr>
        <w:t xml:space="preserve">                           </w:t>
      </w:r>
    </w:p>
    <w:p w14:paraId="1C47B5C0">
      <w:pPr>
        <w:adjustRightInd w:val="0"/>
        <w:snapToGrid w:val="0"/>
        <w:spacing w:line="400" w:lineRule="exact"/>
        <w:ind w:firstLine="420" w:firstLineChars="200"/>
        <w:rPr>
          <w:highlight w:val="none"/>
        </w:rPr>
      </w:pPr>
      <w:r>
        <w:rPr>
          <w:rFonts w:hint="eastAsia" w:ascii="宋体" w:hAnsi="宋体"/>
          <w:szCs w:val="21"/>
          <w:highlight w:val="none"/>
        </w:rPr>
        <w:t>附件：具体标的及其技术要求和商务要求、联合协议、分包意向协议等。</w:t>
      </w:r>
    </w:p>
    <w:p w14:paraId="06145A60">
      <w:pPr>
        <w:pStyle w:val="342"/>
        <w:spacing w:line="400" w:lineRule="exact"/>
        <w:rPr>
          <w:highlight w:val="none"/>
        </w:rPr>
      </w:pPr>
    </w:p>
    <w:p w14:paraId="55DBBD43">
      <w:pPr>
        <w:pStyle w:val="3"/>
        <w:spacing w:line="400" w:lineRule="exact"/>
        <w:rPr>
          <w:rFonts w:hint="eastAsia"/>
          <w:b w:val="0"/>
          <w:sz w:val="21"/>
          <w:szCs w:val="21"/>
          <w:highlight w:val="none"/>
        </w:rPr>
      </w:pPr>
      <w:r>
        <w:rPr>
          <w:highlight w:val="none"/>
          <w:lang w:val="en"/>
        </w:rPr>
        <w:t xml:space="preserve">   </w:t>
      </w:r>
    </w:p>
    <w:p w14:paraId="69F88981">
      <w:pPr>
        <w:rPr>
          <w:highlight w:val="none"/>
        </w:rPr>
      </w:pPr>
      <w:r>
        <w:rPr>
          <w:rFonts w:hint="eastAsia"/>
          <w:highlight w:val="none"/>
        </w:rPr>
        <w:br w:type="page"/>
      </w:r>
    </w:p>
    <w:p w14:paraId="7EC015B7">
      <w:pPr>
        <w:pStyle w:val="342"/>
        <w:rPr>
          <w:highlight w:val="none"/>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7"/>
      </w:tblGrid>
      <w:tr w14:paraId="6D03DA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A0E175A">
            <w:pPr>
              <w:adjustRightInd w:val="0"/>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rPr>
              <w:t>、受采购人委托签订合同的单位或</w:t>
            </w:r>
            <w:r>
              <w:rPr>
                <w:rFonts w:hint="eastAsia"/>
                <w:szCs w:val="21"/>
                <w:highlight w:val="none"/>
              </w:rPr>
              <w:t>采购文件约定的合同甲方）</w:t>
            </w:r>
          </w:p>
        </w:tc>
        <w:tc>
          <w:tcPr>
            <w:tcW w:w="2437" w:type="pct"/>
            <w:gridSpan w:val="2"/>
            <w:tcBorders>
              <w:left w:val="single" w:color="auto" w:sz="2" w:space="0"/>
              <w:bottom w:val="single" w:color="auto" w:sz="2" w:space="0"/>
            </w:tcBorders>
            <w:vAlign w:val="center"/>
          </w:tcPr>
          <w:p w14:paraId="79A2938F">
            <w:pPr>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65446F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7D5A253">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9C129F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748E9A">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3C8F6C8F">
            <w:pPr>
              <w:adjustRightInd w:val="0"/>
              <w:snapToGrid w:val="0"/>
              <w:spacing w:line="300" w:lineRule="exact"/>
              <w:jc w:val="center"/>
              <w:rPr>
                <w:spacing w:val="20"/>
                <w:szCs w:val="21"/>
                <w:highlight w:val="none"/>
              </w:rPr>
            </w:pPr>
          </w:p>
        </w:tc>
      </w:tr>
      <w:tr w14:paraId="42E0F8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D813097">
            <w:pPr>
              <w:adjustRightInd w:val="0"/>
              <w:snapToGrid w:val="0"/>
              <w:spacing w:line="300" w:lineRule="exact"/>
              <w:jc w:val="center"/>
              <w:rPr>
                <w:szCs w:val="21"/>
                <w:highlight w:val="none"/>
              </w:rPr>
            </w:pPr>
            <w:r>
              <w:rPr>
                <w:szCs w:val="21"/>
                <w:highlight w:val="none"/>
              </w:rPr>
              <w:t>法定代表人</w:t>
            </w:r>
          </w:p>
          <w:p w14:paraId="3031B7AB">
            <w:pPr>
              <w:adjustRightInd w:val="0"/>
              <w:snapToGrid w:val="0"/>
              <w:spacing w:line="300" w:lineRule="exact"/>
              <w:ind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7E5FF867">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vAlign w:val="center"/>
          </w:tcPr>
          <w:p w14:paraId="42C98D17">
            <w:pPr>
              <w:adjustRightInd w:val="0"/>
              <w:snapToGrid w:val="0"/>
              <w:spacing w:line="300" w:lineRule="exact"/>
              <w:jc w:val="center"/>
              <w:rPr>
                <w:szCs w:val="21"/>
                <w:highlight w:val="none"/>
              </w:rPr>
            </w:pPr>
            <w:r>
              <w:rPr>
                <w:szCs w:val="21"/>
                <w:highlight w:val="none"/>
              </w:rPr>
              <w:t>法定代表人</w:t>
            </w:r>
          </w:p>
          <w:p w14:paraId="493686FE">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vAlign w:val="center"/>
          </w:tcPr>
          <w:p w14:paraId="4BE59DBB">
            <w:pPr>
              <w:adjustRightInd w:val="0"/>
              <w:snapToGrid w:val="0"/>
              <w:spacing w:line="300" w:lineRule="exact"/>
              <w:jc w:val="center"/>
              <w:rPr>
                <w:szCs w:val="21"/>
                <w:highlight w:val="none"/>
              </w:rPr>
            </w:pPr>
          </w:p>
        </w:tc>
      </w:tr>
      <w:tr w14:paraId="52FBBE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BAA6A71">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63C25B5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38420D">
            <w:pPr>
              <w:adjustRightInd w:val="0"/>
              <w:snapToGrid w:val="0"/>
              <w:spacing w:line="300" w:lineRule="exact"/>
              <w:jc w:val="center"/>
              <w:rPr>
                <w:szCs w:val="21"/>
                <w:highlight w:val="none"/>
              </w:rPr>
            </w:pPr>
            <w:r>
              <w:rPr>
                <w:rFonts w:hint="eastAsia"/>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334AADD6">
            <w:pPr>
              <w:adjustRightInd w:val="0"/>
              <w:snapToGrid w:val="0"/>
              <w:spacing w:line="300" w:lineRule="exact"/>
              <w:jc w:val="center"/>
              <w:rPr>
                <w:spacing w:val="20"/>
                <w:szCs w:val="21"/>
                <w:highlight w:val="none"/>
              </w:rPr>
            </w:pPr>
          </w:p>
        </w:tc>
      </w:tr>
      <w:tr w14:paraId="2F85B9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CE4405">
            <w:pPr>
              <w:adjustRightInd w:val="0"/>
              <w:snapToGrid w:val="0"/>
              <w:spacing w:line="300" w:lineRule="exact"/>
              <w:jc w:val="center"/>
              <w:rPr>
                <w:szCs w:val="21"/>
                <w:highlight w:val="none"/>
              </w:rPr>
            </w:pPr>
            <w:r>
              <w:rPr>
                <w:rFonts w:hint="eastAsia"/>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A14397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4EEBA7E">
            <w:pPr>
              <w:adjustRightInd w:val="0"/>
              <w:snapToGrid w:val="0"/>
              <w:spacing w:line="300" w:lineRule="exact"/>
              <w:jc w:val="center"/>
              <w:rPr>
                <w:szCs w:val="21"/>
                <w:highlight w:val="none"/>
              </w:rPr>
            </w:pPr>
            <w:r>
              <w:rPr>
                <w:rFonts w:hint="eastAsia"/>
                <w:szCs w:val="21"/>
                <w:highlight w:val="none"/>
              </w:rPr>
              <w:t>住  所</w:t>
            </w:r>
          </w:p>
        </w:tc>
        <w:tc>
          <w:tcPr>
            <w:tcW w:w="1259" w:type="pct"/>
            <w:tcBorders>
              <w:top w:val="single" w:color="auto" w:sz="2" w:space="0"/>
              <w:left w:val="single" w:color="auto" w:sz="2" w:space="0"/>
              <w:bottom w:val="single" w:color="auto" w:sz="2" w:space="0"/>
            </w:tcBorders>
            <w:vAlign w:val="center"/>
          </w:tcPr>
          <w:p w14:paraId="75754930">
            <w:pPr>
              <w:adjustRightInd w:val="0"/>
              <w:snapToGrid w:val="0"/>
              <w:spacing w:line="300" w:lineRule="exact"/>
              <w:jc w:val="center"/>
              <w:rPr>
                <w:spacing w:val="20"/>
                <w:szCs w:val="21"/>
                <w:highlight w:val="none"/>
              </w:rPr>
            </w:pPr>
          </w:p>
        </w:tc>
      </w:tr>
      <w:tr w14:paraId="0AC0BA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23FEAC">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7EDCB93">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8A79DFE">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vAlign w:val="center"/>
          </w:tcPr>
          <w:p w14:paraId="31650014">
            <w:pPr>
              <w:adjustRightInd w:val="0"/>
              <w:snapToGrid w:val="0"/>
              <w:spacing w:line="300" w:lineRule="exact"/>
              <w:jc w:val="center"/>
              <w:rPr>
                <w:spacing w:val="20"/>
                <w:szCs w:val="21"/>
                <w:highlight w:val="none"/>
              </w:rPr>
            </w:pPr>
          </w:p>
        </w:tc>
      </w:tr>
      <w:tr w14:paraId="1B4D30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CC66BB">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28DD63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660FF36">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422B89AB">
            <w:pPr>
              <w:adjustRightInd w:val="0"/>
              <w:snapToGrid w:val="0"/>
              <w:spacing w:line="300" w:lineRule="exact"/>
              <w:jc w:val="center"/>
              <w:rPr>
                <w:spacing w:val="20"/>
                <w:szCs w:val="21"/>
                <w:highlight w:val="none"/>
              </w:rPr>
            </w:pPr>
          </w:p>
        </w:tc>
      </w:tr>
      <w:tr w14:paraId="2BD081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B55ED7A">
            <w:pPr>
              <w:adjustRightInd w:val="0"/>
              <w:snapToGrid w:val="0"/>
              <w:spacing w:line="300" w:lineRule="exact"/>
              <w:jc w:val="center"/>
              <w:rPr>
                <w:szCs w:val="21"/>
                <w:highlight w:val="none"/>
              </w:rPr>
            </w:pPr>
            <w:r>
              <w:rPr>
                <w:rFonts w:hint="eastAsia"/>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A846CB0">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54A7015">
            <w:pPr>
              <w:adjustRightInd w:val="0"/>
              <w:snapToGrid w:val="0"/>
              <w:spacing w:line="300" w:lineRule="exact"/>
              <w:jc w:val="center"/>
              <w:rPr>
                <w:szCs w:val="21"/>
                <w:highlight w:val="none"/>
              </w:rPr>
            </w:pPr>
            <w:r>
              <w:rPr>
                <w:rFonts w:hint="eastAsia"/>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03BAAECC">
            <w:pPr>
              <w:adjustRightInd w:val="0"/>
              <w:snapToGrid w:val="0"/>
              <w:spacing w:line="300" w:lineRule="exact"/>
              <w:jc w:val="center"/>
              <w:rPr>
                <w:spacing w:val="20"/>
                <w:szCs w:val="21"/>
                <w:highlight w:val="none"/>
              </w:rPr>
            </w:pPr>
          </w:p>
        </w:tc>
      </w:tr>
      <w:tr w14:paraId="1B8353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9023113">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421971E">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AF456B">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1A070CD0">
            <w:pPr>
              <w:adjustRightInd w:val="0"/>
              <w:snapToGrid w:val="0"/>
              <w:spacing w:line="300" w:lineRule="exact"/>
              <w:jc w:val="center"/>
              <w:rPr>
                <w:spacing w:val="20"/>
                <w:szCs w:val="21"/>
                <w:highlight w:val="none"/>
              </w:rPr>
            </w:pPr>
          </w:p>
        </w:tc>
      </w:tr>
      <w:tr w14:paraId="2306AE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2B95E3">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B21F5D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0E1F54E">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378C78E5">
            <w:pPr>
              <w:adjustRightInd w:val="0"/>
              <w:snapToGrid w:val="0"/>
              <w:spacing w:line="300" w:lineRule="exact"/>
              <w:jc w:val="center"/>
              <w:rPr>
                <w:spacing w:val="20"/>
                <w:szCs w:val="21"/>
                <w:highlight w:val="none"/>
              </w:rPr>
            </w:pPr>
          </w:p>
        </w:tc>
      </w:tr>
      <w:tr w14:paraId="243B09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2641EE2">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601AA01">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8E3C366">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04CC147F">
            <w:pPr>
              <w:adjustRightInd w:val="0"/>
              <w:snapToGrid w:val="0"/>
              <w:spacing w:line="300" w:lineRule="exact"/>
              <w:jc w:val="center"/>
              <w:rPr>
                <w:spacing w:val="20"/>
                <w:szCs w:val="21"/>
                <w:highlight w:val="none"/>
              </w:rPr>
            </w:pPr>
          </w:p>
        </w:tc>
      </w:tr>
      <w:tr w14:paraId="5C87F6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7F9A9DD">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FF63D0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11DA5">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7E2B41CB">
            <w:pPr>
              <w:adjustRightInd w:val="0"/>
              <w:snapToGrid w:val="0"/>
              <w:spacing w:line="300" w:lineRule="exact"/>
              <w:jc w:val="center"/>
              <w:rPr>
                <w:spacing w:val="20"/>
                <w:szCs w:val="21"/>
                <w:highlight w:val="none"/>
              </w:rPr>
            </w:pPr>
          </w:p>
        </w:tc>
      </w:tr>
      <w:tr w14:paraId="2A653E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70903D6">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FE5196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30D985B">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6B9ABD83">
            <w:pPr>
              <w:adjustRightInd w:val="0"/>
              <w:snapToGrid w:val="0"/>
              <w:spacing w:line="300" w:lineRule="exact"/>
              <w:jc w:val="center"/>
              <w:rPr>
                <w:spacing w:val="20"/>
                <w:szCs w:val="21"/>
                <w:highlight w:val="none"/>
              </w:rPr>
            </w:pPr>
          </w:p>
        </w:tc>
      </w:tr>
      <w:tr w14:paraId="062741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1BB4B5">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6F02F11">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74A5234">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0940631F">
            <w:pPr>
              <w:adjustRightInd w:val="0"/>
              <w:snapToGrid w:val="0"/>
              <w:spacing w:line="300" w:lineRule="exact"/>
              <w:jc w:val="center"/>
              <w:rPr>
                <w:spacing w:val="20"/>
                <w:szCs w:val="21"/>
                <w:highlight w:val="none"/>
              </w:rPr>
            </w:pPr>
          </w:p>
        </w:tc>
      </w:tr>
      <w:tr w14:paraId="63DDED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B0E6FA6">
            <w:pPr>
              <w:pStyle w:val="25"/>
              <w:snapToGrid w:val="0"/>
              <w:spacing w:before="120" w:beforeLines="50"/>
              <w:jc w:val="left"/>
              <w:rPr>
                <w:spacing w:val="20"/>
                <w:szCs w:val="21"/>
                <w:highlight w:val="none"/>
              </w:rPr>
            </w:pPr>
            <w:r>
              <w:rPr>
                <w:rFonts w:hint="eastAsia" w:hAnsi="宋体"/>
                <w:szCs w:val="21"/>
                <w:highlight w:val="none"/>
              </w:rPr>
              <w:t>注：涉及联合体或其他合同主体的信息应按上表格式加列。</w:t>
            </w:r>
          </w:p>
        </w:tc>
      </w:tr>
    </w:tbl>
    <w:p w14:paraId="53F98C2C">
      <w:pPr>
        <w:pStyle w:val="3"/>
        <w:adjustRightInd w:val="0"/>
        <w:snapToGrid w:val="0"/>
        <w:spacing w:before="120" w:beforeLines="50"/>
        <w:rPr>
          <w:rFonts w:hint="eastAsia" w:ascii="黑体" w:hAnsi="黑体" w:eastAsia="黑体"/>
          <w:sz w:val="28"/>
          <w:szCs w:val="28"/>
          <w:highlight w:val="none"/>
        </w:rPr>
      </w:pPr>
      <w:r>
        <w:rPr>
          <w:sz w:val="21"/>
          <w:szCs w:val="21"/>
          <w:highlight w:val="none"/>
          <w:u w:val="single"/>
        </w:rPr>
        <w:br w:type="page"/>
      </w:r>
      <w:bookmarkStart w:id="53" w:name="_Toc27624"/>
      <w:bookmarkStart w:id="54" w:name="_Toc10456"/>
      <w:r>
        <w:rPr>
          <w:rFonts w:hint="eastAsia" w:ascii="黑体" w:hAnsi="黑体" w:eastAsia="黑体"/>
          <w:b w:val="0"/>
          <w:sz w:val="28"/>
          <w:szCs w:val="28"/>
          <w:highlight w:val="none"/>
        </w:rPr>
        <w:t>第二节 政府采购合同通用条款</w:t>
      </w:r>
      <w:bookmarkEnd w:id="53"/>
      <w:bookmarkEnd w:id="54"/>
    </w:p>
    <w:p w14:paraId="278349A1">
      <w:pPr>
        <w:tabs>
          <w:tab w:val="left" w:pos="8820"/>
          <w:tab w:val="left" w:pos="9345"/>
          <w:tab w:val="left" w:pos="9765"/>
        </w:tabs>
        <w:adjustRightInd w:val="0"/>
        <w:snapToGrid w:val="0"/>
        <w:spacing w:line="400" w:lineRule="exact"/>
        <w:jc w:val="left"/>
        <w:rPr>
          <w:rFonts w:hint="eastAsia" w:ascii="宋体" w:hAnsi="宋体"/>
          <w:b/>
          <w:bCs/>
          <w:sz w:val="24"/>
          <w:highlight w:val="none"/>
        </w:rPr>
      </w:pPr>
      <w:r>
        <w:rPr>
          <w:rFonts w:hint="eastAsia" w:ascii="宋体" w:hAnsi="宋体"/>
          <w:b/>
          <w:sz w:val="24"/>
          <w:highlight w:val="none"/>
        </w:rPr>
        <w:t xml:space="preserve">1. </w:t>
      </w:r>
      <w:r>
        <w:rPr>
          <w:rFonts w:hint="eastAsia" w:ascii="宋体" w:hAnsi="宋体"/>
          <w:b/>
          <w:bCs/>
          <w:sz w:val="24"/>
          <w:highlight w:val="none"/>
        </w:rPr>
        <w:t>定义</w:t>
      </w:r>
    </w:p>
    <w:p w14:paraId="72AC7090">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5C6744AA">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（1）采购人（以下称甲方）是指使用财政性资金，通过政府采购方式向供应商购买货物及其相关服务的国家机关、事业单位、团体组织。</w:t>
      </w:r>
    </w:p>
    <w:p w14:paraId="00C20D72">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（2）供应商（以下称乙方）是指参加政府采购活动并且中标（成交），向采购人提供合同约定的货物及其相关服务的法人、非法人组织或者自然人。</w:t>
      </w:r>
    </w:p>
    <w:p w14:paraId="2F8A802B">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（3）其他合同主体是指除采购人和供应商以外，</w:t>
      </w:r>
      <w:r>
        <w:rPr>
          <w:rFonts w:hint="eastAsia" w:ascii="宋体" w:hAnsi="宋体" w:cs="宋体"/>
          <w:bCs/>
          <w:color w:val="000000" w:themeColor="text1"/>
          <w:szCs w:val="21"/>
          <w:highlight w:val="none"/>
          <w14:textFill>
            <w14:solidFill>
              <w14:schemeClr w14:val="tx1"/>
            </w14:solidFill>
          </w14:textFill>
        </w:rPr>
        <w:t>依法参与合同缔结或履行，享有权利、承担义务的合同当事人</w:t>
      </w:r>
      <w:r>
        <w:rPr>
          <w:rFonts w:hint="eastAsia" w:ascii="宋体" w:hAnsi="宋体"/>
          <w:szCs w:val="21"/>
          <w:highlight w:val="none"/>
        </w:rPr>
        <w:t>。</w:t>
      </w:r>
    </w:p>
    <w:p w14:paraId="6F63BC79">
      <w:pPr>
        <w:tabs>
          <w:tab w:val="left" w:pos="570"/>
          <w:tab w:val="left" w:pos="9240"/>
          <w:tab w:val="left" w:pos="955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1.2本合同下列术语应解释为：</w:t>
      </w:r>
    </w:p>
    <w:p w14:paraId="604264E7">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（1）“合同”系指</w:t>
      </w:r>
      <w:r>
        <w:rPr>
          <w:rFonts w:hint="eastAsia" w:ascii="宋体" w:hAnsi="宋体" w:cs="宋体"/>
          <w:bCs/>
          <w:color w:val="000000" w:themeColor="text1"/>
          <w:szCs w:val="21"/>
          <w:highlight w:val="none"/>
          <w14:textFill>
            <w14:solidFill>
              <w14:schemeClr w14:val="tx1"/>
            </w14:solidFill>
          </w14:textFill>
        </w:rPr>
        <w:t>合同当事人意思表示达成一致的任何协议，包括签署的</w:t>
      </w:r>
      <w:r>
        <w:rPr>
          <w:rFonts w:hint="eastAsia" w:ascii="宋体" w:hAnsi="宋体"/>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szCs w:val="21"/>
          <w:highlight w:val="none"/>
          <w14:textFill>
            <w14:solidFill>
              <w14:schemeClr w14:val="tx1"/>
            </w14:solidFill>
          </w14:textFill>
        </w:rPr>
        <w:t>国家法律、行政法规和规章制度规定或合同约定的作为合同组成部分的其他文件</w:t>
      </w:r>
      <w:r>
        <w:rPr>
          <w:rFonts w:hint="eastAsia" w:ascii="宋体" w:hAnsi="宋体"/>
          <w:szCs w:val="21"/>
          <w:highlight w:val="none"/>
        </w:rPr>
        <w:t>。</w:t>
      </w:r>
    </w:p>
    <w:p w14:paraId="6E25EC93">
      <w:pPr>
        <w:tabs>
          <w:tab w:val="left" w:pos="570"/>
          <w:tab w:val="left" w:pos="9240"/>
          <w:tab w:val="left" w:pos="955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（2）“合同价款”系指根据本合同规定乙方在全面履行合同义务后甲方应支付给乙方的价款。</w:t>
      </w:r>
    </w:p>
    <w:p w14:paraId="3FF1AA81">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szCs w:val="21"/>
          <w:highlight w:val="none"/>
        </w:rPr>
        <w:t>（3）“货物”系指乙方根据本合同规定须向甲方提供的各种形态和种类的物品，包括原材料、设备、产品（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技术资料和材料等。</w:t>
      </w:r>
    </w:p>
    <w:p w14:paraId="3526EE4E">
      <w:pPr>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szCs w:val="21"/>
          <w:highlight w:val="none"/>
        </w:rPr>
        <w:t>相关</w:t>
      </w:r>
      <w:r>
        <w:rPr>
          <w:rFonts w:hint="eastAsia" w:ascii="宋体" w:hAnsi="宋体"/>
          <w:color w:val="000000" w:themeColor="text1"/>
          <w:szCs w:val="21"/>
          <w:highlight w:val="none"/>
          <w14:textFill>
            <w14:solidFill>
              <w14:schemeClr w14:val="tx1"/>
            </w14:solidFill>
          </w14:textFill>
        </w:rPr>
        <w:t>服务”系指根据合同规定，乙方应提供的与货物有关的技术、管理和</w:t>
      </w:r>
      <w:r>
        <w:rPr>
          <w:rFonts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服务，包括但不限于：管理和质量保证、运输、保险、检验、现场准备、安装、集成、调试、培训、维修、废弃处置、技术支持等以及合同中规定乙方应承担的</w:t>
      </w:r>
      <w:r>
        <w:rPr>
          <w:rFonts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3190FF34">
      <w:pPr>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229B31B4">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szCs w:val="21"/>
          <w:highlight w:val="none"/>
        </w:rPr>
        <w:t>“联合体”系指由两个以上的自然人、法人或者非法人组织组成，以一个供应商的身份共同参加政府采购的主体</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36CE88A1">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2C5C51D8">
      <w:pPr>
        <w:numPr>
          <w:ilvl w:val="0"/>
          <w:numId w:val="14"/>
        </w:numPr>
        <w:autoSpaceDE w:val="0"/>
        <w:autoSpaceDN w:val="0"/>
        <w:adjustRightInd w:val="0"/>
        <w:snapToGrid w:val="0"/>
        <w:spacing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6CBC9EA3">
      <w:pPr>
        <w:autoSpaceDE w:val="0"/>
        <w:autoSpaceDN w:val="0"/>
        <w:adjustRightInd w:val="0"/>
        <w:snapToGrid w:val="0"/>
        <w:spacing w:line="400" w:lineRule="exact"/>
        <w:ind w:firstLine="420" w:firstLineChars="200"/>
        <w:jc w:val="left"/>
        <w:rPr>
          <w:rFonts w:hint="eastAsia"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 合同标的及金额应与中标（成交）结果一致。乙方为履行本合同而发生的所有费用均应包含在合同价款中，甲方不再另行支付</w:t>
      </w:r>
      <w:r>
        <w:rPr>
          <w:rFonts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1B1EC4E2">
      <w:pPr>
        <w:adjustRightInd w:val="0"/>
        <w:snapToGrid w:val="0"/>
        <w:spacing w:line="400" w:lineRule="exact"/>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履行合同的时间、地点和方式</w:t>
      </w:r>
    </w:p>
    <w:p w14:paraId="0673DAB6">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3.1 </w:t>
      </w:r>
      <w:r>
        <w:rPr>
          <w:rFonts w:hint="eastAsia" w:ascii="宋体" w:hAnsi="宋体" w:cs="宋体"/>
          <w:szCs w:val="21"/>
          <w:highlight w:val="none"/>
        </w:rPr>
        <w:t>乙方应当在约定的时间、地点，按照约定方式履行合同。</w:t>
      </w:r>
    </w:p>
    <w:p w14:paraId="259A2BF8">
      <w:pPr>
        <w:autoSpaceDE w:val="0"/>
        <w:autoSpaceDN w:val="0"/>
        <w:adjustRightInd w:val="0"/>
        <w:snapToGrid w:val="0"/>
        <w:spacing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 甲方的权利和义务</w:t>
      </w:r>
    </w:p>
    <w:p w14:paraId="2695973F">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53D810AC">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4.2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23046696">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7AE042A2">
      <w:pPr>
        <w:snapToGrid w:val="0"/>
        <w:spacing w:line="400" w:lineRule="exact"/>
        <w:ind w:firstLine="420" w:firstLineChars="200"/>
        <w:rPr>
          <w:rFonts w:eastAsia="华文楷体"/>
          <w:highlight w:val="none"/>
        </w:rPr>
      </w:pPr>
      <w:r>
        <w:rPr>
          <w:rFonts w:ascii="宋体" w:hAnsi="宋体"/>
          <w:color w:val="000000" w:themeColor="text1"/>
          <w:szCs w:val="21"/>
          <w:highlight w:val="none"/>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szCs w:val="21"/>
          <w:highlight w:val="none"/>
        </w:rPr>
        <w:t>未</w:t>
      </w:r>
      <w:r>
        <w:rPr>
          <w:rFonts w:hint="eastAsia" w:ascii="宋体" w:hAnsi="宋体"/>
          <w:color w:val="000000" w:themeColor="text1"/>
          <w:szCs w:val="21"/>
          <w:highlight w:val="none"/>
          <w14:textFill>
            <w14:solidFill>
              <w14:schemeClr w14:val="tx1"/>
            </w14:solidFill>
          </w14:textFill>
        </w:rPr>
        <w:t>在</w:t>
      </w:r>
      <w:r>
        <w:rPr>
          <w:rFonts w:hint="eastAsia" w:ascii="宋体" w:hAnsi="宋体" w:cs="宋体"/>
          <w:b/>
          <w:bCs/>
          <w:szCs w:val="21"/>
          <w:highlight w:val="none"/>
        </w:rPr>
        <w:t>【政府采购合同专用条款】</w:t>
      </w:r>
      <w:r>
        <w:rPr>
          <w:rFonts w:hint="eastAsia" w:ascii="宋体" w:hAnsi="宋体" w:cs="宋体"/>
          <w:szCs w:val="21"/>
          <w:highlight w:val="none"/>
        </w:rPr>
        <w:t>约定的期限内对乙方履约提出任何异议或者向乙方作出任何说明的，</w:t>
      </w:r>
      <w:r>
        <w:rPr>
          <w:rFonts w:hint="eastAsia" w:ascii="宋体" w:hAnsi="宋体"/>
          <w:color w:val="000000" w:themeColor="text1"/>
          <w:szCs w:val="21"/>
          <w:highlight w:val="none"/>
          <w14:textFill>
            <w14:solidFill>
              <w14:schemeClr w14:val="tx1"/>
            </w14:solidFill>
          </w14:textFill>
        </w:rPr>
        <w:t>视为验收通过。</w:t>
      </w:r>
    </w:p>
    <w:p w14:paraId="08693F42">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5 </w:t>
      </w:r>
      <w:r>
        <w:rPr>
          <w:rFonts w:hint="eastAsia" w:ascii="宋体" w:hAnsi="宋体"/>
          <w:color w:val="000000" w:themeColor="text1"/>
          <w:szCs w:val="21"/>
          <w:highlight w:val="none"/>
          <w14:textFill>
            <w14:solidFill>
              <w14:schemeClr w14:val="tx1"/>
            </w14:solidFill>
          </w14:textFill>
        </w:rPr>
        <w:t>甲方应当根据合同约定及时向乙方支付合同价款</w:t>
      </w:r>
      <w:r>
        <w:rPr>
          <w:rFonts w:ascii="宋体" w:hAnsi="宋体"/>
          <w:color w:val="000000" w:themeColor="text1"/>
          <w:szCs w:val="21"/>
          <w:highlight w:val="none"/>
          <w14:textFill>
            <w14:solidFill>
              <w14:schemeClr w14:val="tx1"/>
            </w14:solidFill>
          </w14:textFill>
        </w:rPr>
        <w:t>，不得以内部人员变更、履行内部付款流程等为由，拒绝或迟延支付。</w:t>
      </w:r>
    </w:p>
    <w:p w14:paraId="48AC8AF0">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国家法律法规规定及</w:t>
      </w:r>
      <w:r>
        <w:rPr>
          <w:rFonts w:hint="eastAsia" w:ascii="宋体" w:hAnsi="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约定应由甲方承担的其他义务和责任。</w:t>
      </w:r>
    </w:p>
    <w:p w14:paraId="1E5AE95D">
      <w:pPr>
        <w:autoSpaceDE w:val="0"/>
        <w:autoSpaceDN w:val="0"/>
        <w:adjustRightInd w:val="0"/>
        <w:snapToGrid w:val="0"/>
        <w:spacing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5. 乙方的权利和义务</w:t>
      </w:r>
    </w:p>
    <w:p w14:paraId="20B755E6">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5.1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34672C7A">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提供的货物及相关服务符合合同有关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。接受项目行业管理部门及政府有关部门的指导，配合甲方的履约检查及验收，并</w:t>
      </w:r>
      <w:r>
        <w:rPr>
          <w:rFonts w:ascii="宋体" w:hAnsi="宋体"/>
          <w:color w:val="000000" w:themeColor="text1"/>
          <w:szCs w:val="21"/>
          <w:highlight w:val="none"/>
          <w14:textFill>
            <w14:solidFill>
              <w14:schemeClr w14:val="tx1"/>
            </w14:solidFill>
          </w14:textFill>
        </w:rPr>
        <w:t>负责项目实施过程中的所有协调工作。</w:t>
      </w:r>
    </w:p>
    <w:p w14:paraId="75220894">
      <w:pPr>
        <w:pStyle w:val="24"/>
        <w:spacing w:line="400" w:lineRule="exact"/>
        <w:ind w:firstLine="369" w:firstLineChars="17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w:t>
      </w:r>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乙方有权</w:t>
      </w:r>
      <w:r>
        <w:rPr>
          <w:rFonts w:hint="eastAsia" w:ascii="宋体" w:hAnsi="宋体" w:cs="宋体"/>
          <w:color w:val="000000" w:themeColor="text1"/>
          <w:sz w:val="21"/>
          <w:szCs w:val="21"/>
          <w:highlight w:val="none"/>
          <w14:textFill>
            <w14:solidFill>
              <w14:schemeClr w14:val="tx1"/>
            </w14:solidFill>
          </w14:textFill>
        </w:rPr>
        <w:t>根据合同约定向甲方收取合同价款。</w:t>
      </w:r>
    </w:p>
    <w:p w14:paraId="35B001D0">
      <w:pPr>
        <w:pStyle w:val="24"/>
        <w:spacing w:line="400" w:lineRule="exact"/>
        <w:ind w:firstLine="369" w:firstLineChars="176"/>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w:t>
      </w:r>
      <w:r>
        <w:rPr>
          <w:rFonts w:ascii="宋体" w:hAnsi="宋体"/>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国家法律法规规定</w:t>
      </w:r>
      <w:r>
        <w:rPr>
          <w:rFonts w:hint="eastAsia" w:ascii="宋体" w:hAnsi="宋体"/>
          <w:color w:val="000000" w:themeColor="text1"/>
          <w:sz w:val="21"/>
          <w:szCs w:val="21"/>
          <w:highlight w:val="none"/>
          <w14:textFill>
            <w14:solidFill>
              <w14:schemeClr w14:val="tx1"/>
            </w14:solidFill>
          </w14:textFill>
        </w:rPr>
        <w:t>及</w:t>
      </w:r>
      <w:r>
        <w:rPr>
          <w:rFonts w:hint="eastAsia" w:ascii="宋体" w:hAnsi="宋体" w:cs="宋体"/>
          <w:b/>
          <w:bCs/>
          <w:sz w:val="21"/>
          <w:szCs w:val="21"/>
          <w:highlight w:val="none"/>
        </w:rPr>
        <w:t>【政府采购合同专用条款】</w:t>
      </w:r>
      <w:r>
        <w:rPr>
          <w:rFonts w:hint="eastAsia" w:ascii="宋体" w:hAnsi="宋体" w:cs="宋体"/>
          <w:sz w:val="21"/>
          <w:szCs w:val="21"/>
          <w:highlight w:val="none"/>
        </w:rPr>
        <w:t>约定应</w:t>
      </w:r>
      <w:r>
        <w:rPr>
          <w:rFonts w:hint="eastAsia" w:ascii="宋体" w:hAnsi="宋体" w:cs="宋体"/>
          <w:color w:val="000000" w:themeColor="text1"/>
          <w:sz w:val="21"/>
          <w:szCs w:val="21"/>
          <w:highlight w:val="none"/>
          <w14:textFill>
            <w14:solidFill>
              <w14:schemeClr w14:val="tx1"/>
            </w14:solidFill>
          </w14:textFill>
        </w:rPr>
        <w:t>由乙方承担的其他义务和责任。</w:t>
      </w:r>
    </w:p>
    <w:p w14:paraId="3C425FB4">
      <w:pPr>
        <w:numPr>
          <w:ilvl w:val="0"/>
          <w:numId w:val="15"/>
        </w:numPr>
        <w:autoSpaceDE w:val="0"/>
        <w:autoSpaceDN w:val="0"/>
        <w:adjustRightInd w:val="0"/>
        <w:snapToGrid w:val="0"/>
        <w:spacing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合同履行</w:t>
      </w:r>
    </w:p>
    <w:p w14:paraId="595E5FBF">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 甲乙双方应当按照</w:t>
      </w:r>
      <w:r>
        <w:rPr>
          <w:rFonts w:hint="eastAsia" w:ascii="宋体" w:hAnsi="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148BF6AF">
      <w:pPr>
        <w:autoSpaceDE w:val="0"/>
        <w:autoSpaceDN w:val="0"/>
        <w:adjustRightInd w:val="0"/>
        <w:snapToGrid w:val="0"/>
        <w:spacing w:line="400" w:lineRule="exact"/>
        <w:ind w:firstLine="420" w:firstLineChars="200"/>
        <w:jc w:val="left"/>
        <w:rPr>
          <w:highlight w:val="none"/>
        </w:rPr>
      </w:pPr>
      <w:r>
        <w:rPr>
          <w:rFonts w:hint="eastAsia" w:ascii="宋体" w:hAnsi="宋体"/>
          <w:color w:val="000000" w:themeColor="text1"/>
          <w:szCs w:val="21"/>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58835850">
      <w:pPr>
        <w:adjustRightInd w:val="0"/>
        <w:snapToGrid w:val="0"/>
        <w:spacing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7. 货物包装、运输、保险和交付要求</w:t>
      </w:r>
    </w:p>
    <w:p w14:paraId="41DFCC81">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本合同</w:t>
      </w:r>
      <w:r>
        <w:rPr>
          <w:rFonts w:hint="eastAsia" w:ascii="宋体" w:hAnsi="宋体"/>
          <w:bCs/>
          <w:color w:val="000000" w:themeColor="text1"/>
          <w:szCs w:val="21"/>
          <w:highlight w:val="none"/>
          <w14:textFill>
            <w14:solidFill>
              <w14:schemeClr w14:val="tx1"/>
            </w14:solidFill>
          </w14:textFill>
        </w:rPr>
        <w:t>涉及商品包装、快递包装的，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另有约定外，</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41B549BA">
      <w:pPr>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另有约定外，</w:t>
      </w:r>
      <w:r>
        <w:rPr>
          <w:rFonts w:hint="eastAsia" w:ascii="宋体" w:hAnsi="宋体"/>
          <w:color w:val="000000" w:themeColor="text1"/>
          <w:szCs w:val="21"/>
          <w:highlight w:val="none"/>
          <w14:textFill>
            <w14:solidFill>
              <w14:schemeClr w14:val="tx1"/>
            </w14:solidFill>
          </w14:textFill>
        </w:rPr>
        <w:t>乙方负责办理将货物运抵本合同规定的交货地点，并装卸、交付至甲方的一切运输事项，相关费用应包含在合同价款中。</w:t>
      </w:r>
    </w:p>
    <w:p w14:paraId="62DA4EBE">
      <w:pPr>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6C0BB79F">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8903E7C">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7.5 </w:t>
      </w:r>
      <w:r>
        <w:rPr>
          <w:rFonts w:hint="eastAsia" w:ascii="宋体" w:hAnsi="宋体" w:cs="宋体"/>
          <w:color w:val="000000"/>
          <w:szCs w:val="21"/>
          <w:highlight w:val="none"/>
        </w:rPr>
        <w:t>乙方在运输到达之前应提前通知甲方，并提示货物运输装卸的注意事项，甲方配合乙方做好货物的接收工作。</w:t>
      </w:r>
    </w:p>
    <w:p w14:paraId="70B9C7ED">
      <w:pPr>
        <w:pStyle w:val="387"/>
        <w:ind w:firstLine="420"/>
        <w:rPr>
          <w:rFonts w:hint="eastAsia"/>
          <w:sz w:val="21"/>
          <w:highlight w:val="none"/>
        </w:rPr>
      </w:pPr>
      <w:r>
        <w:rPr>
          <w:rFonts w:hint="eastAsia" w:ascii="宋体" w:hAnsi="宋体" w:eastAsia="宋体" w:cs="Times New Roman"/>
          <w:color w:val="000000" w:themeColor="text1"/>
          <w:kern w:val="2"/>
          <w:sz w:val="21"/>
          <w:highlight w:val="none"/>
          <w14:textFill>
            <w14:solidFill>
              <w14:schemeClr w14:val="tx1"/>
            </w14:solidFill>
          </w14:textFill>
        </w:rPr>
        <w:t xml:space="preserve">7.6 </w:t>
      </w:r>
      <w:r>
        <w:rPr>
          <w:rFonts w:hint="eastAsia" w:ascii="宋体" w:hAnsi="宋体" w:eastAsia="宋体" w:cs="Times New Roman"/>
          <w:color w:val="000000"/>
          <w:kern w:val="2"/>
          <w:sz w:val="21"/>
          <w:highlight w:val="none"/>
        </w:rPr>
        <w:t>如因包装、运输问题导致货物</w:t>
      </w:r>
      <w:r>
        <w:rPr>
          <w:rFonts w:hint="eastAsia" w:ascii="宋体" w:hAnsi="宋体" w:eastAsia="宋体" w:cs="Times New Roman"/>
          <w:color w:val="000000" w:themeColor="text1"/>
          <w:kern w:val="2"/>
          <w:sz w:val="21"/>
          <w:highlight w:val="none"/>
          <w14:textFill>
            <w14:solidFill>
              <w14:schemeClr w14:val="tx1"/>
            </w14:solidFill>
          </w14:textFill>
        </w:rPr>
        <w:t>损毁、丢失</w:t>
      </w:r>
      <w:r>
        <w:rPr>
          <w:rFonts w:hint="eastAsia" w:ascii="宋体" w:hAnsi="宋体" w:eastAsia="宋体" w:cs="Times New Roman"/>
          <w:color w:val="000000"/>
          <w:kern w:val="2"/>
          <w:sz w:val="21"/>
          <w:highlight w:val="none"/>
        </w:rPr>
        <w:t>或者品质下降，甲方有权要求降价、换货、拒收部分或整批货物，由此产生的费用和损失，均由乙方承担。</w:t>
      </w:r>
    </w:p>
    <w:p w14:paraId="2237C7BC">
      <w:pPr>
        <w:adjustRightInd w:val="0"/>
        <w:snapToGrid w:val="0"/>
        <w:spacing w:line="400" w:lineRule="exact"/>
        <w:jc w:val="left"/>
        <w:rPr>
          <w:rFonts w:hint="eastAsia" w:ascii="宋体" w:hAnsi="宋体"/>
          <w:b/>
          <w:sz w:val="24"/>
          <w:highlight w:val="none"/>
        </w:rPr>
      </w:pPr>
      <w:r>
        <w:rPr>
          <w:rFonts w:hint="eastAsia" w:ascii="宋体" w:hAnsi="宋体"/>
          <w:b/>
          <w:color w:val="000000" w:themeColor="text1"/>
          <w:sz w:val="24"/>
          <w:highlight w:val="none"/>
          <w14:textFill>
            <w14:solidFill>
              <w14:schemeClr w14:val="tx1"/>
            </w14:solidFill>
          </w14:textFill>
        </w:rPr>
        <w:t xml:space="preserve">8. </w:t>
      </w:r>
      <w:r>
        <w:rPr>
          <w:rFonts w:hint="eastAsia" w:ascii="宋体" w:hAnsi="宋体"/>
          <w:b/>
          <w:sz w:val="24"/>
          <w:highlight w:val="none"/>
        </w:rPr>
        <w:t>质量标准和保证</w:t>
      </w:r>
    </w:p>
    <w:p w14:paraId="50F63BDB">
      <w:pPr>
        <w:pStyle w:val="30"/>
        <w:adjustRightInd w:val="0"/>
        <w:snapToGrid w:val="0"/>
        <w:spacing w:line="400" w:lineRule="exact"/>
        <w:ind w:firstLine="420" w:firstLineChars="200"/>
        <w:jc w:val="left"/>
        <w:rPr>
          <w:rFonts w:hint="eastAsia" w:hAnsi="宋体"/>
          <w:b/>
          <w:highlight w:val="none"/>
        </w:rPr>
      </w:pPr>
      <w:r>
        <w:rPr>
          <w:rFonts w:hint="eastAsia" w:hAnsi="宋体"/>
          <w:highlight w:val="none"/>
        </w:rPr>
        <w:t>8.1 质量标准</w:t>
      </w:r>
    </w:p>
    <w:p w14:paraId="1163221E">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（1）本合同下提供的货物应符合合同</w:t>
      </w:r>
      <w:r>
        <w:rPr>
          <w:rFonts w:hint="eastAsia" w:ascii="宋体" w:hAnsi="宋体" w:cs="宋体"/>
          <w:color w:val="000000"/>
          <w:szCs w:val="21"/>
          <w:highlight w:val="none"/>
        </w:rPr>
        <w:t>约定的</w:t>
      </w:r>
      <w:r>
        <w:rPr>
          <w:rFonts w:hint="eastAsia" w:ascii="宋体" w:hAnsi="宋体" w:cs="宋体"/>
          <w:szCs w:val="21"/>
          <w:highlight w:val="none"/>
        </w:rPr>
        <w:t>品牌、规格型号、技术性能、配置、质量、数量等要求。</w:t>
      </w:r>
      <w:r>
        <w:rPr>
          <w:rFonts w:hint="eastAsia" w:ascii="宋体" w:hAnsi="宋体"/>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3209F68">
      <w:pPr>
        <w:pStyle w:val="30"/>
        <w:adjustRightInd w:val="0"/>
        <w:snapToGrid w:val="0"/>
        <w:spacing w:line="400" w:lineRule="exact"/>
        <w:ind w:firstLine="420" w:firstLineChars="200"/>
        <w:jc w:val="left"/>
        <w:rPr>
          <w:rFonts w:hint="eastAsia" w:hAnsi="宋体"/>
          <w:highlight w:val="none"/>
        </w:rPr>
      </w:pPr>
      <w:r>
        <w:rPr>
          <w:rFonts w:hint="eastAsia" w:hAnsi="宋体"/>
          <w:highlight w:val="none"/>
        </w:rPr>
        <w:t>（2）采用中华人民共和国法定计量单位。</w:t>
      </w:r>
    </w:p>
    <w:p w14:paraId="35902FB3">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（3）乙方所提供的货物应符合国家有关安全、环保、卫生的规定。</w:t>
      </w:r>
    </w:p>
    <w:p w14:paraId="7782B479">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（4）乙方应向甲方提交所提供货物的技术文件，包括相应的中文技术文件，如：产品目录、图纸、操作手册、使用说明、维护手册或服务指南等。上述文件应包装好随货物一同发运。</w:t>
      </w:r>
    </w:p>
    <w:p w14:paraId="6C528CFA">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8.2 保证</w:t>
      </w:r>
    </w:p>
    <w:p w14:paraId="35F738F3">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（1）乙方应保证提供的货物完全符合合同规定的质量、规格和性能要求。乙方应保证货物在正确安装、正常使用和保养条件下，</w:t>
      </w:r>
      <w:r>
        <w:rPr>
          <w:rFonts w:hint="eastAsia" w:ascii="宋体" w:hAnsi="宋体" w:cs="宋体"/>
          <w:szCs w:val="21"/>
          <w:highlight w:val="none"/>
        </w:rPr>
        <w:t>在其使用寿命期内具备合同约定的性能</w:t>
      </w:r>
      <w:r>
        <w:rPr>
          <w:rFonts w:hint="eastAsia" w:ascii="宋体" w:hAnsi="宋体"/>
          <w:szCs w:val="21"/>
          <w:highlight w:val="none"/>
        </w:rPr>
        <w:t>。存在质量保证期的，货物最终交付验收合格后在</w:t>
      </w:r>
      <w:r>
        <w:rPr>
          <w:rFonts w:hint="eastAsia" w:ascii="宋体" w:hAnsi="宋体"/>
          <w:b/>
          <w:szCs w:val="21"/>
          <w:highlight w:val="none"/>
        </w:rPr>
        <w:t>【政府采购合同专用条款】</w:t>
      </w:r>
      <w:r>
        <w:rPr>
          <w:rFonts w:hint="eastAsia" w:ascii="宋体" w:hAnsi="宋体"/>
          <w:szCs w:val="21"/>
          <w:highlight w:val="none"/>
        </w:rPr>
        <w:t>规定或乙方书面承诺（两者以较长的为准）的质量保证期内，本保证保持有效。</w:t>
      </w:r>
    </w:p>
    <w:p w14:paraId="68508BEE">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（2）在质量保证期内所发现的缺陷，甲方应尽快以书面形式通知乙方。</w:t>
      </w:r>
    </w:p>
    <w:p w14:paraId="75151880">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（3）乙方收到通知后，应在</w:t>
      </w:r>
      <w:r>
        <w:rPr>
          <w:rFonts w:hint="eastAsia" w:ascii="宋体" w:hAnsi="宋体"/>
          <w:b/>
          <w:szCs w:val="21"/>
          <w:highlight w:val="none"/>
        </w:rPr>
        <w:t>【政府采购合同专用条款】</w:t>
      </w:r>
      <w:r>
        <w:rPr>
          <w:rFonts w:hint="eastAsia" w:ascii="宋体" w:hAnsi="宋体"/>
          <w:szCs w:val="21"/>
          <w:highlight w:val="none"/>
        </w:rPr>
        <w:t>规定的响应时间内以合理的速度免费维修或更换有缺陷的货物或部件。</w:t>
      </w:r>
    </w:p>
    <w:p w14:paraId="4559EE0C">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14:textFill>
            <w14:solidFill>
              <w14:schemeClr w14:val="tx1"/>
            </w14:solidFill>
          </w14:textFill>
        </w:rPr>
        <w:t>5</w:t>
      </w:r>
      <w:r>
        <w:rPr>
          <w:rFonts w:hint="eastAsia" w:ascii="宋体" w:hAnsi="宋体"/>
          <w:szCs w:val="21"/>
          <w:highlight w:val="none"/>
        </w:rPr>
        <w:t>.1条规定以书面形式</w:t>
      </w:r>
      <w:r>
        <w:rPr>
          <w:rFonts w:hint="eastAsia" w:ascii="宋体" w:hAnsi="宋体"/>
          <w:color w:val="000000" w:themeColor="text1"/>
          <w:szCs w:val="21"/>
          <w:highlight w:val="none"/>
          <w14:textFill>
            <w14:solidFill>
              <w14:schemeClr w14:val="tx1"/>
            </w14:solidFill>
          </w14:textFill>
        </w:rPr>
        <w:t>追究</w:t>
      </w:r>
      <w:r>
        <w:rPr>
          <w:rFonts w:hint="eastAsia" w:ascii="宋体" w:hAnsi="宋体"/>
          <w:szCs w:val="21"/>
          <w:highlight w:val="none"/>
        </w:rPr>
        <w:t>乙方</w:t>
      </w:r>
      <w:r>
        <w:rPr>
          <w:rFonts w:hint="eastAsia" w:ascii="宋体" w:hAnsi="宋体"/>
          <w:color w:val="000000" w:themeColor="text1"/>
          <w:szCs w:val="21"/>
          <w:highlight w:val="none"/>
          <w14:textFill>
            <w14:solidFill>
              <w14:schemeClr w14:val="tx1"/>
            </w14:solidFill>
          </w14:textFill>
        </w:rPr>
        <w:t>的违约责任</w:t>
      </w:r>
      <w:r>
        <w:rPr>
          <w:rFonts w:hint="eastAsia" w:ascii="宋体" w:hAnsi="宋体"/>
          <w:szCs w:val="21"/>
          <w:highlight w:val="none"/>
        </w:rPr>
        <w:t>。</w:t>
      </w:r>
    </w:p>
    <w:p w14:paraId="260E0C77">
      <w:pPr>
        <w:adjustRightInd w:val="0"/>
        <w:snapToGrid w:val="0"/>
        <w:spacing w:line="400" w:lineRule="exact"/>
        <w:ind w:firstLine="420" w:firstLineChars="200"/>
        <w:jc w:val="left"/>
        <w:rPr>
          <w:highlight w:val="none"/>
        </w:rPr>
      </w:pPr>
      <w:r>
        <w:rPr>
          <w:rFonts w:hint="eastAsia" w:ascii="宋体" w:hAnsi="宋体"/>
          <w:szCs w:val="21"/>
          <w:highlight w:val="none"/>
        </w:rPr>
        <w:t>（5）乙方在约定的时间内未能弥补缺陷，甲方可采取必要的补救措施，但其风险和费用将由乙方承担，甲方根据合同约定对乙方行使的其他权利不受影响。</w:t>
      </w:r>
    </w:p>
    <w:p w14:paraId="0400FD5D">
      <w:pPr>
        <w:adjustRightInd w:val="0"/>
        <w:snapToGrid w:val="0"/>
        <w:spacing w:line="400" w:lineRule="exact"/>
        <w:jc w:val="left"/>
        <w:rPr>
          <w:rFonts w:hint="eastAsia" w:ascii="宋体" w:hAnsi="宋体"/>
          <w:b/>
          <w:bCs/>
          <w:sz w:val="24"/>
          <w:highlight w:val="none"/>
        </w:rPr>
      </w:pPr>
      <w:r>
        <w:rPr>
          <w:rFonts w:hint="eastAsia" w:ascii="宋体" w:hAnsi="宋体"/>
          <w:b/>
          <w:bCs/>
          <w:color w:val="000000" w:themeColor="text1"/>
          <w:sz w:val="24"/>
          <w:highlight w:val="none"/>
          <w14:textFill>
            <w14:solidFill>
              <w14:schemeClr w14:val="tx1"/>
            </w14:solidFill>
          </w14:textFill>
        </w:rPr>
        <w:t>9</w:t>
      </w:r>
      <w:r>
        <w:rPr>
          <w:rFonts w:hint="eastAsia" w:ascii="宋体" w:hAnsi="宋体"/>
          <w:b/>
          <w:bCs/>
          <w:sz w:val="24"/>
          <w:highlight w:val="none"/>
        </w:rPr>
        <w:t>.</w:t>
      </w:r>
      <w:r>
        <w:rPr>
          <w:rFonts w:hint="eastAsia" w:ascii="宋体" w:hAnsi="宋体"/>
          <w:b/>
          <w:bCs/>
          <w:color w:val="000000" w:themeColor="text1"/>
          <w:sz w:val="24"/>
          <w:highlight w:val="none"/>
          <w14:textFill>
            <w14:solidFill>
              <w14:schemeClr w14:val="tx1"/>
            </w14:solidFill>
          </w14:textFill>
        </w:rPr>
        <w:t xml:space="preserve"> </w:t>
      </w:r>
      <w:r>
        <w:rPr>
          <w:rFonts w:hint="eastAsia" w:ascii="宋体" w:hAnsi="宋体"/>
          <w:b/>
          <w:bCs/>
          <w:sz w:val="24"/>
          <w:highlight w:val="none"/>
        </w:rPr>
        <w:t>权利瑕疵担保</w:t>
      </w:r>
    </w:p>
    <w:p w14:paraId="35047AE1">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 乙方保证对其出售的货物享有合法的权利。</w:t>
      </w:r>
    </w:p>
    <w:p w14:paraId="07EAD605">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9.2 </w:t>
      </w:r>
      <w:r>
        <w:rPr>
          <w:rFonts w:hint="eastAsia" w:ascii="宋体" w:hAnsi="宋体" w:cs="宋体"/>
          <w:szCs w:val="15"/>
          <w:highlight w:val="none"/>
        </w:rPr>
        <w:t>乙方保证在交付的货物上不存在抵押权等担保物权。</w:t>
      </w:r>
    </w:p>
    <w:p w14:paraId="57212DD8">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9.3 如甲方使用上述货物构成对第三人侵权的，则由乙方承担全部责任。</w:t>
      </w:r>
    </w:p>
    <w:p w14:paraId="2EE8A1DE">
      <w:pPr>
        <w:autoSpaceDE w:val="0"/>
        <w:autoSpaceDN w:val="0"/>
        <w:adjustRightInd w:val="0"/>
        <w:snapToGrid w:val="0"/>
        <w:spacing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10. 知识产权保护</w:t>
      </w:r>
    </w:p>
    <w:p w14:paraId="2D9698CB">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olor w:val="000000" w:themeColor="text1"/>
          <w:szCs w:val="21"/>
          <w:highlight w:val="none"/>
          <w14:textFill>
            <w14:solidFill>
              <w14:schemeClr w14:val="tx1"/>
            </w14:solidFill>
          </w14:textFill>
        </w:rPr>
        <w:t>10.1 乙方对其所销售的货物应当享有知识产权或经权利人合法授权，保证没有侵犯任</w:t>
      </w:r>
      <w:r>
        <w:rPr>
          <w:rFonts w:hint="eastAsia" w:ascii="宋体" w:hAnsi="宋体"/>
          <w:szCs w:val="21"/>
          <w:highlight w:val="none"/>
        </w:rPr>
        <w:t>何第三人的知识产权等权利。</w:t>
      </w:r>
      <w:bookmarkStart w:id="55" w:name="_Hlk163047038"/>
      <w:r>
        <w:rPr>
          <w:rFonts w:hint="eastAsia" w:ascii="宋体" w:hAnsi="宋体" w:cs="宋体"/>
          <w:szCs w:val="15"/>
          <w:highlight w:val="none"/>
        </w:rPr>
        <w:t>因违反前述约定对第三人构成侵权的，应当由乙方向第三人承担法律责任；甲方依法向第三人赔偿后，有权向乙方追偿。甲方有其他损失的，乙方应当赔偿</w:t>
      </w:r>
      <w:bookmarkEnd w:id="55"/>
      <w:r>
        <w:rPr>
          <w:rFonts w:hint="eastAsia" w:ascii="宋体" w:hAnsi="宋体"/>
          <w:szCs w:val="21"/>
          <w:highlight w:val="none"/>
        </w:rPr>
        <w:t>。</w:t>
      </w:r>
    </w:p>
    <w:p w14:paraId="057060BE">
      <w:pPr>
        <w:autoSpaceDE w:val="0"/>
        <w:autoSpaceDN w:val="0"/>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11. 保密义务</w:t>
      </w:r>
    </w:p>
    <w:p w14:paraId="433C06F4">
      <w:pPr>
        <w:autoSpaceDE w:val="0"/>
        <w:autoSpaceDN w:val="0"/>
        <w:adjustRightInd w:val="0"/>
        <w:snapToGrid w:val="0"/>
        <w:spacing w:line="400" w:lineRule="exact"/>
        <w:ind w:firstLine="420" w:firstLineChars="200"/>
        <w:jc w:val="left"/>
        <w:rPr>
          <w:rFonts w:hint="eastAsia" w:ascii="宋体" w:hAnsi="宋体" w:cs="宋体"/>
          <w:szCs w:val="15"/>
          <w:highlight w:val="none"/>
        </w:rPr>
      </w:pPr>
      <w:r>
        <w:rPr>
          <w:rFonts w:hint="eastAsia" w:ascii="宋体" w:hAnsi="宋体" w:cs="宋体"/>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highlight w:val="none"/>
        </w:rPr>
        <w:t>【政府采购合同专用条款】</w:t>
      </w:r>
      <w:r>
        <w:rPr>
          <w:rFonts w:hint="eastAsia" w:ascii="宋体" w:hAnsi="宋体" w:cs="宋体"/>
          <w:szCs w:val="15"/>
          <w:highlight w:val="none"/>
        </w:rPr>
        <w:t>中约定。</w:t>
      </w:r>
    </w:p>
    <w:p w14:paraId="70E3A5BD">
      <w:pPr>
        <w:autoSpaceDE w:val="0"/>
        <w:autoSpaceDN w:val="0"/>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12. 合同价款支付</w:t>
      </w:r>
    </w:p>
    <w:p w14:paraId="685A4176">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12.1 合同价款支付按照国库集中支付制度及财政管理相关规定执行。</w:t>
      </w:r>
    </w:p>
    <w:p w14:paraId="698E4B2B">
      <w:pPr>
        <w:pStyle w:val="3"/>
        <w:spacing w:line="400" w:lineRule="exact"/>
        <w:ind w:firstLine="420" w:firstLineChars="200"/>
        <w:jc w:val="left"/>
        <w:rPr>
          <w:rFonts w:hint="eastAsia"/>
          <w:highlight w:val="none"/>
        </w:rPr>
      </w:pPr>
      <w:bookmarkStart w:id="56" w:name="_Toc6173"/>
      <w:r>
        <w:rPr>
          <w:rFonts w:hint="eastAsia"/>
          <w:b w:val="0"/>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sz w:val="21"/>
          <w:szCs w:val="21"/>
          <w:highlight w:val="none"/>
        </w:rPr>
        <w:t>政府采购合同专用条款</w:t>
      </w:r>
      <w:r>
        <w:rPr>
          <w:rFonts w:hint="eastAsia"/>
          <w:b w:val="0"/>
          <w:sz w:val="21"/>
          <w:szCs w:val="21"/>
          <w:highlight w:val="none"/>
        </w:rPr>
        <w:t>】中约定。</w:t>
      </w:r>
      <w:bookmarkEnd w:id="56"/>
    </w:p>
    <w:p w14:paraId="12E6A1C4">
      <w:pPr>
        <w:pStyle w:val="24"/>
        <w:spacing w:line="400" w:lineRule="exact"/>
        <w:rPr>
          <w:rFonts w:hint="eastAsia" w:ascii="宋体" w:hAnsi="宋体"/>
          <w:b/>
          <w:bCs/>
          <w:sz w:val="24"/>
          <w:szCs w:val="24"/>
          <w:highlight w:val="none"/>
        </w:rPr>
      </w:pPr>
      <w:r>
        <w:rPr>
          <w:rFonts w:hint="eastAsia" w:ascii="宋体" w:hAnsi="宋体"/>
          <w:b/>
          <w:bCs/>
          <w:sz w:val="24"/>
          <w:szCs w:val="24"/>
          <w:highlight w:val="none"/>
        </w:rPr>
        <w:t>13. 履约保证金</w:t>
      </w:r>
    </w:p>
    <w:p w14:paraId="34D89A52">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13.1 </w:t>
      </w:r>
      <w:r>
        <w:rPr>
          <w:rFonts w:hint="eastAsia" w:ascii="宋体" w:hAnsi="宋体" w:cs="宋体"/>
          <w:szCs w:val="15"/>
          <w:highlight w:val="none"/>
        </w:rPr>
        <w:t>乙方应当以支票、汇票、本票或者金融机构、担保机构出具的保函等非现金形式提交。</w:t>
      </w:r>
    </w:p>
    <w:p w14:paraId="74A50584">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13.2 如果乙方出现</w:t>
      </w:r>
      <w:r>
        <w:rPr>
          <w:rFonts w:hint="eastAsia" w:ascii="宋体" w:hAnsi="宋体" w:cs="宋体"/>
          <w:b/>
          <w:bCs/>
          <w:szCs w:val="15"/>
          <w:highlight w:val="none"/>
        </w:rPr>
        <w:t>【政府采购合同专用条款】</w:t>
      </w:r>
      <w:r>
        <w:rPr>
          <w:rFonts w:hint="eastAsia" w:ascii="宋体" w:hAnsi="宋体" w:cs="宋体"/>
          <w:szCs w:val="15"/>
          <w:highlight w:val="none"/>
        </w:rPr>
        <w:t>约定情形的</w:t>
      </w:r>
      <w:r>
        <w:rPr>
          <w:rFonts w:hint="eastAsia" w:ascii="宋体" w:hAnsi="宋体"/>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79D18EF6">
      <w:pPr>
        <w:spacing w:line="400" w:lineRule="exact"/>
        <w:ind w:firstLine="420"/>
        <w:rPr>
          <w:highlight w:val="none"/>
        </w:rPr>
      </w:pPr>
      <w:r>
        <w:rPr>
          <w:rFonts w:hint="eastAsia" w:ascii="宋体" w:hAnsi="宋体"/>
          <w:szCs w:val="21"/>
          <w:highlight w:val="none"/>
        </w:rPr>
        <w:t>13.3 甲方在项目通过验收后按照</w:t>
      </w:r>
      <w:r>
        <w:rPr>
          <w:rFonts w:hint="eastAsia" w:ascii="宋体" w:hAnsi="宋体"/>
          <w:b/>
          <w:szCs w:val="21"/>
          <w:highlight w:val="none"/>
        </w:rPr>
        <w:t>【政府采购合同专用条款】</w:t>
      </w:r>
      <w:r>
        <w:rPr>
          <w:rFonts w:hint="eastAsia" w:ascii="宋体" w:hAnsi="宋体"/>
          <w:szCs w:val="21"/>
          <w:highlight w:val="none"/>
        </w:rPr>
        <w:t>规定的时间内将履约保证金退还乙方；逾期退还的，乙方可要求甲方支付违约金，违约金按照</w:t>
      </w:r>
      <w:r>
        <w:rPr>
          <w:rFonts w:hint="eastAsia" w:ascii="宋体" w:hAnsi="宋体"/>
          <w:b/>
          <w:szCs w:val="21"/>
          <w:highlight w:val="none"/>
        </w:rPr>
        <w:t>【政府采购合同专用条款】</w:t>
      </w:r>
      <w:r>
        <w:rPr>
          <w:rFonts w:hint="eastAsia" w:ascii="宋体" w:hAnsi="宋体"/>
          <w:szCs w:val="21"/>
          <w:highlight w:val="none"/>
        </w:rPr>
        <w:t>规定支付。</w:t>
      </w:r>
    </w:p>
    <w:p w14:paraId="776676DD">
      <w:pPr>
        <w:autoSpaceDE w:val="0"/>
        <w:autoSpaceDN w:val="0"/>
        <w:adjustRightInd w:val="0"/>
        <w:snapToGrid w:val="0"/>
        <w:spacing w:line="400" w:lineRule="exact"/>
        <w:jc w:val="left"/>
        <w:rPr>
          <w:rFonts w:hint="eastAsia" w:ascii="宋体" w:hAnsi="宋体"/>
          <w:b/>
          <w:sz w:val="24"/>
          <w:highlight w:val="none"/>
        </w:rPr>
      </w:pPr>
      <w:r>
        <w:rPr>
          <w:rFonts w:hint="eastAsia" w:ascii="宋体" w:hAnsi="宋体"/>
          <w:b/>
          <w:bCs/>
          <w:sz w:val="24"/>
          <w:highlight w:val="none"/>
        </w:rPr>
        <w:t xml:space="preserve">14. </w:t>
      </w:r>
      <w:r>
        <w:rPr>
          <w:rFonts w:hint="eastAsia"/>
          <w:b/>
          <w:sz w:val="24"/>
          <w:highlight w:val="none"/>
        </w:rPr>
        <w:t>售后</w:t>
      </w:r>
      <w:r>
        <w:rPr>
          <w:rFonts w:hint="eastAsia" w:ascii="宋体" w:hAnsi="宋体"/>
          <w:b/>
          <w:sz w:val="24"/>
          <w:highlight w:val="none"/>
        </w:rPr>
        <w:t>服务</w:t>
      </w:r>
    </w:p>
    <w:p w14:paraId="30EAF419">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14.1 除项目不涉及或采购活动中明确约定无须承担外，乙方还应提供下列服务：</w:t>
      </w:r>
    </w:p>
    <w:p w14:paraId="40A327A4">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（1）货物的现场移动、安装、调试、启动监督及技术支持；</w:t>
      </w:r>
    </w:p>
    <w:p w14:paraId="4E34A022">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（2）提供货物组装和维修所需的专用工具和辅助材料；</w:t>
      </w:r>
    </w:p>
    <w:p w14:paraId="53F02539">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（3）在</w:t>
      </w:r>
      <w:r>
        <w:rPr>
          <w:rFonts w:hint="eastAsia" w:ascii="宋体" w:hAnsi="宋体" w:cs="宋体"/>
          <w:b/>
          <w:bCs/>
          <w:szCs w:val="15"/>
          <w:highlight w:val="none"/>
        </w:rPr>
        <w:t>【政府采购合同专用条款】</w:t>
      </w:r>
      <w:r>
        <w:rPr>
          <w:rFonts w:hint="eastAsia" w:ascii="宋体" w:hAnsi="宋体"/>
          <w:szCs w:val="21"/>
          <w:highlight w:val="none"/>
        </w:rPr>
        <w:t>约定的期限内对所有的货物实施运行监督、维修，但前提条件是该服务并不能免除乙方在质量保证期内所承担的义务；</w:t>
      </w:r>
    </w:p>
    <w:p w14:paraId="3ED0D2A0">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（4）在制造商所在地或指定现场就货物的安装、启动、运营、维护、废弃处置等对甲方操作人员进行培训</w:t>
      </w:r>
      <w:r>
        <w:rPr>
          <w:rFonts w:hint="eastAsia" w:ascii="宋体" w:hAnsi="宋体" w:cs="宋体"/>
          <w:szCs w:val="15"/>
          <w:highlight w:val="none"/>
        </w:rPr>
        <w:t>；</w:t>
      </w:r>
    </w:p>
    <w:p w14:paraId="6C2D1293">
      <w:pPr>
        <w:pStyle w:val="387"/>
        <w:ind w:firstLine="420"/>
        <w:rPr>
          <w:rFonts w:hint="eastAsia" w:ascii="宋体" w:hAnsi="宋体" w:eastAsia="宋体" w:cs="宋体"/>
          <w:sz w:val="21"/>
          <w:highlight w:val="none"/>
        </w:rPr>
      </w:pPr>
      <w:r>
        <w:rPr>
          <w:rFonts w:hint="eastAsia" w:ascii="宋体" w:hAnsi="宋体" w:eastAsia="宋体" w:cs="宋体"/>
          <w:sz w:val="21"/>
          <w:highlight w:val="none"/>
        </w:rPr>
        <w:t>（5）依照法律、行政法规的规定或者按照</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约定，货物在有效使用年限届满后应予回收的，乙方负有自行或者委托第三人对货物予以回收的义务；</w:t>
      </w:r>
    </w:p>
    <w:p w14:paraId="182E7210">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（6）</w:t>
      </w:r>
      <w:r>
        <w:rPr>
          <w:rFonts w:hint="eastAsia" w:ascii="宋体" w:hAnsi="宋体"/>
          <w:b/>
          <w:szCs w:val="21"/>
          <w:highlight w:val="none"/>
        </w:rPr>
        <w:t>【政府采购合同专用条款】</w:t>
      </w:r>
      <w:r>
        <w:rPr>
          <w:rFonts w:hint="eastAsia" w:ascii="宋体" w:hAnsi="宋体"/>
          <w:szCs w:val="21"/>
          <w:highlight w:val="none"/>
        </w:rPr>
        <w:t>规定由乙方提供的其他服务。</w:t>
      </w:r>
    </w:p>
    <w:p w14:paraId="48DA8F94">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14.2 乙方提供的售后服务的费用已包含在合同价款中，甲方不再另行支付。</w:t>
      </w:r>
    </w:p>
    <w:p w14:paraId="03C2EA59">
      <w:pPr>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15. 违约责任</w:t>
      </w:r>
    </w:p>
    <w:p w14:paraId="67A51A0B">
      <w:pPr>
        <w:adjustRightInd w:val="0"/>
        <w:snapToGrid w:val="0"/>
        <w:spacing w:line="400" w:lineRule="exact"/>
        <w:ind w:firstLine="420" w:firstLineChars="200"/>
        <w:jc w:val="left"/>
        <w:rPr>
          <w:rFonts w:hint="eastAsia" w:ascii="宋体" w:hAnsi="宋体"/>
          <w:bCs/>
          <w:szCs w:val="21"/>
          <w:highlight w:val="none"/>
        </w:rPr>
      </w:pPr>
      <w:r>
        <w:rPr>
          <w:rFonts w:hint="eastAsia" w:ascii="宋体" w:hAnsi="宋体"/>
          <w:bCs/>
          <w:szCs w:val="21"/>
          <w:highlight w:val="none"/>
        </w:rPr>
        <w:t>15.1质量瑕疵的违约责任</w:t>
      </w:r>
    </w:p>
    <w:p w14:paraId="43E4FD4D">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乙方提供的产品不符合合同约定的质量标准或存在产品质量缺陷，甲方有权要求乙方根据</w:t>
      </w:r>
      <w:r>
        <w:rPr>
          <w:rFonts w:hint="eastAsia" w:ascii="宋体" w:hAnsi="宋体"/>
          <w:b/>
          <w:szCs w:val="21"/>
          <w:highlight w:val="none"/>
        </w:rPr>
        <w:t>【政府采购合同专用条款】</w:t>
      </w:r>
      <w:r>
        <w:rPr>
          <w:rFonts w:hint="eastAsia" w:ascii="宋体" w:hAnsi="宋体"/>
          <w:bCs/>
          <w:szCs w:val="21"/>
          <w:highlight w:val="none"/>
        </w:rPr>
        <w:t>要求</w:t>
      </w:r>
      <w:r>
        <w:rPr>
          <w:rFonts w:hint="eastAsia" w:ascii="宋体" w:hAnsi="宋体"/>
          <w:szCs w:val="21"/>
          <w:highlight w:val="none"/>
        </w:rPr>
        <w:t>及时修理、重作、更换，并承担由此给甲方造成的损失。</w:t>
      </w:r>
    </w:p>
    <w:p w14:paraId="42D63CA1">
      <w:pPr>
        <w:autoSpaceDE w:val="0"/>
        <w:autoSpaceDN w:val="0"/>
        <w:adjustRightInd w:val="0"/>
        <w:snapToGrid w:val="0"/>
        <w:spacing w:line="400" w:lineRule="exact"/>
        <w:ind w:firstLine="420" w:firstLineChars="200"/>
        <w:jc w:val="left"/>
        <w:rPr>
          <w:rFonts w:hint="eastAsia" w:ascii="宋体" w:hAnsi="宋体"/>
          <w:bCs/>
          <w:szCs w:val="21"/>
          <w:highlight w:val="none"/>
        </w:rPr>
      </w:pPr>
      <w:r>
        <w:rPr>
          <w:rFonts w:hint="eastAsia" w:ascii="宋体" w:hAnsi="宋体"/>
          <w:bCs/>
          <w:szCs w:val="21"/>
          <w:highlight w:val="none"/>
        </w:rPr>
        <w:t>15.2 迟延交货的违约责任</w:t>
      </w:r>
    </w:p>
    <w:p w14:paraId="2FE0B52C">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A9313CD">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szCs w:val="21"/>
          <w:highlight w:val="none"/>
        </w:rPr>
        <w:t>【政府采购合同专用条款】</w:t>
      </w:r>
      <w:r>
        <w:rPr>
          <w:rFonts w:hint="eastAsia" w:ascii="宋体" w:hAnsi="宋体"/>
          <w:szCs w:val="21"/>
          <w:highlight w:val="none"/>
        </w:rPr>
        <w:t>规定执行。如果涉及公共利益，且赔偿金额无法弥补公共利益损失，甲方可要求继续履行或者采取其他补救措施。</w:t>
      </w:r>
    </w:p>
    <w:p w14:paraId="576B8FDD">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15.3 迟延支付的违约责任</w:t>
      </w:r>
    </w:p>
    <w:p w14:paraId="547AFCCE">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甲方存在迟延支付乙方合同款项的，应当承担</w:t>
      </w:r>
      <w:r>
        <w:rPr>
          <w:rFonts w:hint="eastAsia" w:ascii="宋体" w:hAnsi="宋体"/>
          <w:b/>
          <w:bCs/>
          <w:szCs w:val="21"/>
          <w:highlight w:val="none"/>
        </w:rPr>
        <w:t>【政府采购合同专用条款】</w:t>
      </w:r>
      <w:r>
        <w:rPr>
          <w:rFonts w:hint="eastAsia" w:ascii="宋体" w:hAnsi="宋体"/>
          <w:szCs w:val="21"/>
          <w:highlight w:val="none"/>
        </w:rPr>
        <w:t>规定的逾期付款利息。</w:t>
      </w:r>
    </w:p>
    <w:p w14:paraId="0D415DC8">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bCs/>
          <w:szCs w:val="21"/>
          <w:highlight w:val="none"/>
        </w:rPr>
        <w:t>15.4其他违约责任根据项目实际需要按</w:t>
      </w:r>
      <w:r>
        <w:rPr>
          <w:rFonts w:hint="eastAsia" w:ascii="宋体" w:hAnsi="宋体"/>
          <w:b/>
          <w:bCs/>
          <w:szCs w:val="21"/>
          <w:highlight w:val="none"/>
        </w:rPr>
        <w:t>【政府采购合同专用条款】</w:t>
      </w:r>
      <w:r>
        <w:rPr>
          <w:rFonts w:hint="eastAsia" w:ascii="宋体" w:hAnsi="宋体"/>
          <w:szCs w:val="21"/>
          <w:highlight w:val="none"/>
        </w:rPr>
        <w:t>规定执行。</w:t>
      </w:r>
    </w:p>
    <w:p w14:paraId="1FB76733">
      <w:pPr>
        <w:numPr>
          <w:ilvl w:val="0"/>
          <w:numId w:val="16"/>
        </w:numPr>
        <w:autoSpaceDE w:val="0"/>
        <w:autoSpaceDN w:val="0"/>
        <w:adjustRightInd w:val="0"/>
        <w:snapToGrid w:val="0"/>
        <w:spacing w:line="400" w:lineRule="exact"/>
        <w:jc w:val="left"/>
        <w:rPr>
          <w:rFonts w:hint="eastAsia" w:ascii="宋体" w:hAnsi="宋体"/>
          <w:b/>
          <w:sz w:val="24"/>
          <w:highlight w:val="none"/>
        </w:rPr>
      </w:pPr>
      <w:r>
        <w:rPr>
          <w:rFonts w:hint="eastAsia" w:ascii="宋体" w:hAnsi="宋体"/>
          <w:b/>
          <w:sz w:val="24"/>
          <w:highlight w:val="none"/>
        </w:rPr>
        <w:t>合同变更、中止与终止</w:t>
      </w:r>
    </w:p>
    <w:p w14:paraId="59FEC314">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    16.1合同的变更</w:t>
      </w:r>
    </w:p>
    <w:p w14:paraId="1D8EAEE9">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政府采购合同履行中，在不改变合同其他条款的前提下，甲方可以在合同价款10%的范围内追加与合同标的相同的货物，并就此与乙方协商一致后签订补充协议。</w:t>
      </w:r>
    </w:p>
    <w:p w14:paraId="05D8CF8E">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16.2合同的中止</w:t>
      </w:r>
    </w:p>
    <w:p w14:paraId="699F22D2">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（1）合同履行过程中因供应商就采购文件、采购过程或结果提起投诉的，甲方认为有必要的，可以中止合同的履行。</w:t>
      </w:r>
    </w:p>
    <w:p w14:paraId="1907C0E3">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97F7BD6">
      <w:pPr>
        <w:pStyle w:val="387"/>
        <w:ind w:firstLine="420"/>
        <w:jc w:val="both"/>
        <w:rPr>
          <w:rFonts w:hint="eastAsia"/>
          <w:sz w:val="21"/>
          <w:highlight w:val="none"/>
        </w:rPr>
      </w:pPr>
      <w:r>
        <w:rPr>
          <w:rFonts w:hint="eastAsia" w:ascii="宋体" w:hAnsi="宋体" w:eastAsia="宋体" w:cs="宋体"/>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ABEA380">
      <w:pPr>
        <w:snapToGrid w:val="0"/>
        <w:spacing w:line="400" w:lineRule="exact"/>
        <w:ind w:firstLine="420" w:firstLineChars="200"/>
        <w:jc w:val="left"/>
        <w:rPr>
          <w:highlight w:val="none"/>
        </w:rPr>
      </w:pPr>
      <w:r>
        <w:rPr>
          <w:rFonts w:hint="eastAsia" w:ascii="宋体" w:hAnsi="宋体"/>
          <w:szCs w:val="21"/>
          <w:highlight w:val="none"/>
        </w:rPr>
        <w:t>（4）甲方不得以行政区划调整、政府换届、机构或者职能调整以及相关责任人更替为由中止合同。</w:t>
      </w:r>
    </w:p>
    <w:p w14:paraId="4E932869">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16.3合同的终止</w:t>
      </w:r>
    </w:p>
    <w:p w14:paraId="7E8225D9">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（1）合同因有效期限届满而终止；</w:t>
      </w:r>
    </w:p>
    <w:p w14:paraId="61F2F0A3">
      <w:pPr>
        <w:snapToGrid w:val="0"/>
        <w:spacing w:line="400" w:lineRule="exact"/>
        <w:ind w:firstLine="420" w:firstLineChars="200"/>
        <w:rPr>
          <w:rFonts w:hint="eastAsia" w:ascii="宋体" w:hAnsi="宋体" w:cs="宋体"/>
          <w:szCs w:val="21"/>
          <w:highlight w:val="none"/>
        </w:rPr>
      </w:pPr>
      <w:r>
        <w:rPr>
          <w:rFonts w:hint="eastAsia" w:ascii="宋体" w:hAnsi="宋体"/>
          <w:szCs w:val="21"/>
          <w:highlight w:val="none"/>
        </w:rPr>
        <w:t>（2）乙方未按合同约定履行，构成根本性违约的，甲方有权终止合同，</w:t>
      </w:r>
      <w:r>
        <w:rPr>
          <w:rFonts w:hint="eastAsia" w:ascii="宋体" w:hAnsi="宋体" w:cs="宋体"/>
          <w:szCs w:val="21"/>
          <w:highlight w:val="none"/>
        </w:rPr>
        <w:t>并追究乙方的违约责任</w:t>
      </w:r>
      <w:r>
        <w:rPr>
          <w:rFonts w:hint="eastAsia" w:ascii="宋体" w:hAnsi="宋体"/>
          <w:szCs w:val="21"/>
          <w:highlight w:val="none"/>
        </w:rPr>
        <w:t>。</w:t>
      </w:r>
    </w:p>
    <w:p w14:paraId="40069254">
      <w:pPr>
        <w:pStyle w:val="387"/>
        <w:rPr>
          <w:rFonts w:hint="eastAsia" w:ascii="宋体" w:hAnsi="宋体"/>
          <w:highlight w:val="none"/>
        </w:rPr>
      </w:pPr>
      <w:r>
        <w:rPr>
          <w:rFonts w:hint="eastAsia" w:ascii="宋体" w:hAnsi="宋体"/>
          <w:highlight w:val="none"/>
        </w:rPr>
        <w:t xml:space="preserve">16.4 </w:t>
      </w:r>
      <w:r>
        <w:rPr>
          <w:rFonts w:hint="eastAsia" w:ascii="宋体" w:hAnsi="宋体" w:eastAsia="宋体" w:cs="Times New Roman"/>
          <w:kern w:val="2"/>
          <w:sz w:val="21"/>
          <w:highlight w:val="none"/>
        </w:rPr>
        <w:t>涉及国家利益、社会公共利益的情形</w:t>
      </w:r>
    </w:p>
    <w:p w14:paraId="572876AF">
      <w:pPr>
        <w:pStyle w:val="387"/>
        <w:ind w:firstLine="420"/>
        <w:jc w:val="both"/>
        <w:rPr>
          <w:rFonts w:hint="eastAsia"/>
          <w:sz w:val="21"/>
          <w:highlight w:val="none"/>
        </w:rPr>
      </w:pPr>
      <w:r>
        <w:rPr>
          <w:rFonts w:hint="eastAsia" w:ascii="宋体" w:hAnsi="宋体" w:eastAsia="宋体" w:cs="宋体"/>
          <w:sz w:val="21"/>
          <w:highlight w:val="none"/>
        </w:rPr>
        <w:t>政府采购合同继续履行将损害国家利益和社会公共利益的，双方当事人应当变更、中止或者终止合同。有过错的一方应当承担赔偿责任，双方都有过错的，各自承担相应的责任。</w:t>
      </w:r>
    </w:p>
    <w:p w14:paraId="465DED11">
      <w:pPr>
        <w:autoSpaceDE w:val="0"/>
        <w:autoSpaceDN w:val="0"/>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17. 合同分包</w:t>
      </w:r>
    </w:p>
    <w:p w14:paraId="1C5C88AF">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17.1 乙方不得将合同转包给其他供应商。涉及合同分包的，乙方应根据采购文件和投标（响应）文件规定进行合同分包。</w:t>
      </w:r>
    </w:p>
    <w:p w14:paraId="24F45D72">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17.2 乙方执行政府采购政策向中小企业依法分包的，乙方应当按采购文件和投标（响应）文件签订分包意向协议，分包意向协议属于本合同组成部分。</w:t>
      </w:r>
    </w:p>
    <w:p w14:paraId="4DB196E9">
      <w:pPr>
        <w:autoSpaceDE w:val="0"/>
        <w:autoSpaceDN w:val="0"/>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18. 不可抗力</w:t>
      </w:r>
    </w:p>
    <w:p w14:paraId="30F740D6">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18.1 不可抗力是指合同双方不能预见、不能避免且不能克服的客观情况。</w:t>
      </w:r>
    </w:p>
    <w:p w14:paraId="187F2391">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18.2 任何一方对由于不可抗力造成的部分或全部不能履行合同不承担违约责任。但迟延履行后发生不可抗力的，不能免除责任。</w:t>
      </w:r>
    </w:p>
    <w:p w14:paraId="608432A3">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A978390">
      <w:pPr>
        <w:autoSpaceDE w:val="0"/>
        <w:autoSpaceDN w:val="0"/>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19. 解决争议的方法</w:t>
      </w:r>
    </w:p>
    <w:p w14:paraId="319EF7D1">
      <w:pPr>
        <w:pStyle w:val="387"/>
        <w:ind w:firstLine="420"/>
        <w:jc w:val="both"/>
        <w:rPr>
          <w:rFonts w:hint="eastAsia" w:ascii="宋体" w:hAnsi="宋体" w:eastAsia="宋体" w:cs="宋体"/>
          <w:sz w:val="21"/>
          <w:highlight w:val="none"/>
        </w:rPr>
      </w:pPr>
      <w:r>
        <w:rPr>
          <w:rFonts w:hint="eastAsia" w:ascii="宋体" w:hAnsi="宋体" w:eastAsia="宋体" w:cs="宋体"/>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A95D1DC">
      <w:pPr>
        <w:pStyle w:val="387"/>
        <w:ind w:firstLine="420"/>
        <w:jc w:val="both"/>
        <w:rPr>
          <w:rFonts w:hint="eastAsia" w:ascii="宋体" w:hAnsi="宋体" w:eastAsia="宋体" w:cs="宋体"/>
          <w:sz w:val="21"/>
          <w:highlight w:val="none"/>
        </w:rPr>
      </w:pPr>
      <w:r>
        <w:rPr>
          <w:rFonts w:hint="eastAsia" w:ascii="宋体" w:hAnsi="宋体" w:eastAsia="宋体" w:cs="宋体"/>
          <w:sz w:val="21"/>
          <w:highlight w:val="none"/>
        </w:rPr>
        <w:t>19.2 选择仲裁的，应在</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sz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20A0C2F6">
      <w:pPr>
        <w:pStyle w:val="387"/>
        <w:ind w:firstLine="420"/>
        <w:jc w:val="both"/>
        <w:rPr>
          <w:rFonts w:hint="eastAsia" w:ascii="宋体" w:hAnsi="宋体" w:eastAsia="宋体" w:cs="宋体"/>
          <w:sz w:val="21"/>
          <w:highlight w:val="none"/>
        </w:rPr>
      </w:pPr>
      <w:r>
        <w:rPr>
          <w:rFonts w:hint="eastAsia" w:ascii="宋体" w:hAnsi="宋体" w:eastAsia="宋体" w:cs="宋体"/>
          <w:sz w:val="21"/>
          <w:highlight w:val="none"/>
        </w:rPr>
        <w:t>19.3 如甲乙双方有争议的事项不影响合同其他部分的履行，在争议解决期间，合同其他部分应当继续履行。</w:t>
      </w:r>
    </w:p>
    <w:p w14:paraId="52640945">
      <w:pPr>
        <w:autoSpaceDE w:val="0"/>
        <w:autoSpaceDN w:val="0"/>
        <w:adjustRightInd w:val="0"/>
        <w:snapToGrid w:val="0"/>
        <w:spacing w:line="400" w:lineRule="exact"/>
        <w:jc w:val="left"/>
        <w:rPr>
          <w:rFonts w:hint="eastAsia" w:ascii="宋体" w:hAnsi="宋体"/>
          <w:sz w:val="24"/>
          <w:highlight w:val="none"/>
        </w:rPr>
      </w:pPr>
      <w:r>
        <w:rPr>
          <w:rFonts w:hint="eastAsia" w:ascii="宋体" w:hAnsi="宋体"/>
          <w:b/>
          <w:sz w:val="24"/>
          <w:highlight w:val="none"/>
        </w:rPr>
        <w:t>20. 政府采购政策</w:t>
      </w:r>
    </w:p>
    <w:p w14:paraId="62C474DB">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20.1 </w:t>
      </w:r>
      <w:r>
        <w:rPr>
          <w:rFonts w:hint="eastAsia" w:ascii="宋体" w:hAnsi="宋体" w:cs="宋体"/>
          <w:highlight w:val="none"/>
          <w:lang w:val="en-GB"/>
        </w:rPr>
        <w:t>本合同应当按照规定执行政府采购政策。</w:t>
      </w:r>
    </w:p>
    <w:p w14:paraId="25C3D8C4">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0.2 本合同依法执行政府采购政策的方式和内容，属于合同履约验收的范围。</w:t>
      </w:r>
      <w:r>
        <w:rPr>
          <w:rFonts w:hint="eastAsia" w:ascii="宋体" w:hAnsi="宋体" w:cs="宋体"/>
          <w:highlight w:val="none"/>
        </w:rPr>
        <w:t>甲乙双方</w:t>
      </w:r>
      <w:r>
        <w:rPr>
          <w:rFonts w:hint="eastAsia" w:ascii="宋体" w:hAnsi="宋体" w:cs="宋体"/>
          <w:highlight w:val="none"/>
          <w:lang w:val="en-GB"/>
        </w:rPr>
        <w:t>未按规定要求执行政府采购政策造成损失的</w:t>
      </w:r>
      <w:r>
        <w:rPr>
          <w:rFonts w:hint="eastAsia" w:ascii="宋体" w:hAnsi="宋体"/>
          <w:szCs w:val="21"/>
          <w:highlight w:val="none"/>
        </w:rPr>
        <w:t>，有过错的一方应当承担赔偿责任，双方都有过错的，各自承担相应的责任。</w:t>
      </w:r>
    </w:p>
    <w:p w14:paraId="655F9D8F">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02C664C">
      <w:pPr>
        <w:autoSpaceDE w:val="0"/>
        <w:autoSpaceDN w:val="0"/>
        <w:adjustRightInd w:val="0"/>
        <w:snapToGrid w:val="0"/>
        <w:spacing w:line="400" w:lineRule="exact"/>
        <w:jc w:val="left"/>
        <w:rPr>
          <w:rFonts w:hint="eastAsia" w:ascii="宋体" w:hAnsi="宋体"/>
          <w:b/>
          <w:sz w:val="24"/>
          <w:highlight w:val="none"/>
        </w:rPr>
      </w:pPr>
      <w:r>
        <w:rPr>
          <w:rFonts w:hint="eastAsia" w:ascii="宋体" w:hAnsi="宋体"/>
          <w:b/>
          <w:sz w:val="24"/>
          <w:highlight w:val="none"/>
        </w:rPr>
        <w:t>21. 法律适用</w:t>
      </w:r>
    </w:p>
    <w:p w14:paraId="625D21F0">
      <w:pPr>
        <w:pStyle w:val="387"/>
        <w:ind w:firstLine="420"/>
        <w:jc w:val="both"/>
        <w:rPr>
          <w:rFonts w:hint="eastAsia" w:ascii="宋体" w:hAnsi="宋体" w:eastAsia="宋体" w:cs="宋体"/>
          <w:sz w:val="21"/>
          <w:highlight w:val="none"/>
        </w:rPr>
      </w:pPr>
      <w:r>
        <w:rPr>
          <w:rFonts w:hint="eastAsia" w:ascii="宋体" w:hAnsi="宋体" w:eastAsia="宋体" w:cs="宋体"/>
          <w:sz w:val="21"/>
          <w:highlight w:val="none"/>
        </w:rPr>
        <w:t>21.1 本合同的订立、生效、解释、履行及与本合同有关的争议解决，均适用法律、行政法规。</w:t>
      </w:r>
    </w:p>
    <w:p w14:paraId="29EBD419">
      <w:pPr>
        <w:pStyle w:val="387"/>
        <w:ind w:firstLine="420"/>
        <w:jc w:val="both"/>
        <w:rPr>
          <w:rFonts w:hint="eastAsia" w:ascii="宋体" w:hAnsi="宋体" w:eastAsia="宋体" w:cs="宋体"/>
          <w:sz w:val="21"/>
          <w:highlight w:val="none"/>
        </w:rPr>
      </w:pPr>
      <w:r>
        <w:rPr>
          <w:rFonts w:hint="eastAsia" w:ascii="宋体" w:hAnsi="宋体" w:eastAsia="宋体" w:cs="宋体"/>
          <w:sz w:val="21"/>
          <w:highlight w:val="none"/>
        </w:rPr>
        <w:t>21.2 本合同条款与法律、行政法规的强制性规定不一致的，双方当事人应按照法律、行政法规的强制性规定修改本合同的相关条款。</w:t>
      </w:r>
    </w:p>
    <w:p w14:paraId="573489BD">
      <w:pPr>
        <w:numPr>
          <w:ilvl w:val="255"/>
          <w:numId w:val="0"/>
        </w:numPr>
        <w:autoSpaceDE w:val="0"/>
        <w:autoSpaceDN w:val="0"/>
        <w:adjustRightInd w:val="0"/>
        <w:snapToGrid w:val="0"/>
        <w:spacing w:line="400" w:lineRule="exact"/>
        <w:jc w:val="left"/>
        <w:rPr>
          <w:rFonts w:hint="eastAsia" w:ascii="宋体" w:hAnsi="宋体"/>
          <w:b/>
          <w:sz w:val="24"/>
          <w:highlight w:val="none"/>
        </w:rPr>
      </w:pPr>
      <w:r>
        <w:rPr>
          <w:rFonts w:hint="eastAsia" w:ascii="宋体" w:hAnsi="宋体"/>
          <w:b/>
          <w:sz w:val="24"/>
          <w:highlight w:val="none"/>
        </w:rPr>
        <w:t>22. 通知</w:t>
      </w:r>
    </w:p>
    <w:p w14:paraId="1594FC84">
      <w:pPr>
        <w:pStyle w:val="387"/>
        <w:ind w:firstLine="420"/>
        <w:jc w:val="both"/>
        <w:rPr>
          <w:rFonts w:hint="eastAsia" w:ascii="宋体" w:hAnsi="宋体" w:eastAsia="宋体" w:cs="宋体"/>
          <w:sz w:val="21"/>
          <w:highlight w:val="none"/>
        </w:rPr>
      </w:pPr>
      <w:r>
        <w:rPr>
          <w:rFonts w:hint="eastAsia" w:ascii="宋体" w:hAnsi="宋体" w:eastAsia="宋体" w:cs="宋体"/>
          <w:sz w:val="21"/>
          <w:highlight w:val="none"/>
        </w:rPr>
        <w:t>22.1 本合同任何一方向对方发出的通知、信件、数据电文等，应当发送至本合同第一部分《政府采购合同协议书》所约定的通讯地址、联系人、联系电话或电子邮箱。</w:t>
      </w:r>
    </w:p>
    <w:p w14:paraId="0FA81A2A">
      <w:pPr>
        <w:pStyle w:val="387"/>
        <w:ind w:firstLine="0" w:firstLineChars="0"/>
        <w:jc w:val="both"/>
        <w:rPr>
          <w:rFonts w:hint="eastAsia"/>
          <w:sz w:val="21"/>
          <w:highlight w:val="none"/>
        </w:rPr>
      </w:pPr>
      <w:r>
        <w:rPr>
          <w:rFonts w:hint="eastAsia" w:ascii="宋体" w:hAnsi="宋体" w:eastAsia="宋体" w:cs="宋体"/>
          <w:sz w:val="21"/>
          <w:highlight w:val="none"/>
        </w:rPr>
        <w:t xml:space="preserve">    22.2 一方当事人变更名称、住所、联系人、联系电话或电子邮箱等信息的，应当在变更后3日内及时书面通知对方，对方实际收到变更通知前的送达仍为有效送达。</w:t>
      </w:r>
    </w:p>
    <w:p w14:paraId="3F00784D">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22.3本合同一方给另一方的通知均应采用书面形式，传真或快递送到本合同中规定的对方的地址和办理签收手续。</w:t>
      </w:r>
    </w:p>
    <w:p w14:paraId="101400E9">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22.4通知以送达之日或通知书中规定的生效之日起生效，两者中以较迟之日为准。</w:t>
      </w:r>
    </w:p>
    <w:p w14:paraId="6A73A370">
      <w:pPr>
        <w:numPr>
          <w:ilvl w:val="0"/>
          <w:numId w:val="17"/>
        </w:numPr>
        <w:adjustRightInd w:val="0"/>
        <w:snapToGrid w:val="0"/>
        <w:spacing w:line="400" w:lineRule="exact"/>
        <w:jc w:val="left"/>
        <w:rPr>
          <w:rFonts w:hint="eastAsia" w:ascii="宋体" w:hAnsi="宋体"/>
          <w:b/>
          <w:bCs/>
          <w:sz w:val="24"/>
          <w:highlight w:val="none"/>
        </w:rPr>
      </w:pPr>
      <w:r>
        <w:rPr>
          <w:rFonts w:hint="eastAsia" w:ascii="宋体" w:hAnsi="宋体"/>
          <w:b/>
          <w:bCs/>
          <w:sz w:val="24"/>
          <w:highlight w:val="none"/>
        </w:rPr>
        <w:t>合同未尽事项</w:t>
      </w:r>
    </w:p>
    <w:p w14:paraId="7151F3C0">
      <w:pPr>
        <w:adjustRightInd w:val="0"/>
        <w:snapToGrid w:val="0"/>
        <w:spacing w:line="400" w:lineRule="exact"/>
        <w:ind w:firstLine="420" w:firstLineChars="200"/>
        <w:jc w:val="left"/>
        <w:rPr>
          <w:rFonts w:hint="eastAsia" w:ascii="宋体" w:hAnsi="宋体"/>
          <w:bCs/>
          <w:szCs w:val="21"/>
          <w:highlight w:val="none"/>
        </w:rPr>
      </w:pPr>
      <w:r>
        <w:rPr>
          <w:rFonts w:hint="eastAsia" w:ascii="宋体" w:hAnsi="宋体"/>
          <w:bCs/>
          <w:szCs w:val="21"/>
          <w:highlight w:val="none"/>
        </w:rPr>
        <w:t>23.1合同未尽事项见</w:t>
      </w:r>
      <w:r>
        <w:rPr>
          <w:rFonts w:hint="eastAsia" w:ascii="宋体" w:hAnsi="宋体"/>
          <w:b/>
          <w:szCs w:val="21"/>
          <w:highlight w:val="none"/>
        </w:rPr>
        <w:t>【政府采购合同专用条款】</w:t>
      </w:r>
      <w:r>
        <w:rPr>
          <w:rFonts w:hint="eastAsia" w:ascii="宋体" w:hAnsi="宋体"/>
          <w:bCs/>
          <w:szCs w:val="21"/>
          <w:highlight w:val="none"/>
        </w:rPr>
        <w:t>。</w:t>
      </w:r>
    </w:p>
    <w:p w14:paraId="7000F473">
      <w:pPr>
        <w:adjustRightInd w:val="0"/>
        <w:snapToGrid w:val="0"/>
        <w:spacing w:line="400" w:lineRule="exact"/>
        <w:jc w:val="left"/>
        <w:rPr>
          <w:rFonts w:hint="eastAsia" w:ascii="黑体" w:hAnsi="华文中宋" w:eastAsia="黑体"/>
          <w:sz w:val="28"/>
          <w:szCs w:val="28"/>
          <w:highlight w:val="none"/>
        </w:rPr>
      </w:pPr>
      <w:r>
        <w:rPr>
          <w:rFonts w:hint="eastAsia" w:ascii="宋体" w:hAnsi="宋体"/>
          <w:bCs/>
          <w:szCs w:val="21"/>
          <w:highlight w:val="none"/>
        </w:rPr>
        <w:t xml:space="preserve">    23.2 合同附件与合同正文具有同等的法律效力。</w:t>
      </w:r>
      <w:bookmarkStart w:id="57" w:name="_Toc20313"/>
    </w:p>
    <w:p w14:paraId="6FAEC899">
      <w:pPr>
        <w:adjustRightInd w:val="0"/>
        <w:snapToGrid w:val="0"/>
        <w:jc w:val="center"/>
        <w:rPr>
          <w:rFonts w:hint="eastAsia" w:ascii="黑体" w:hAnsi="华文中宋" w:eastAsia="黑体"/>
          <w:sz w:val="28"/>
          <w:szCs w:val="28"/>
          <w:highlight w:val="none"/>
        </w:rPr>
      </w:pPr>
      <w:r>
        <w:rPr>
          <w:rFonts w:hint="eastAsia" w:ascii="黑体" w:hAnsi="华文中宋" w:eastAsia="黑体"/>
          <w:sz w:val="28"/>
          <w:szCs w:val="28"/>
          <w:highlight w:val="none"/>
        </w:rPr>
        <w:br w:type="page"/>
      </w:r>
    </w:p>
    <w:p w14:paraId="1F529A48">
      <w:pPr>
        <w:pStyle w:val="3"/>
        <w:adjustRightInd w:val="0"/>
        <w:snapToGrid w:val="0"/>
        <w:rPr>
          <w:rFonts w:hint="eastAsia" w:ascii="黑体" w:hAnsi="华文中宋" w:eastAsia="黑体"/>
          <w:b w:val="0"/>
          <w:sz w:val="28"/>
          <w:szCs w:val="28"/>
          <w:highlight w:val="none"/>
        </w:rPr>
      </w:pPr>
      <w:bookmarkStart w:id="58" w:name="_Toc17234"/>
      <w:r>
        <w:rPr>
          <w:rFonts w:hint="eastAsia" w:ascii="黑体" w:hAnsi="华文中宋" w:eastAsia="黑体"/>
          <w:b w:val="0"/>
          <w:sz w:val="28"/>
          <w:szCs w:val="28"/>
          <w:highlight w:val="none"/>
        </w:rPr>
        <w:t>第三节 政府采购合同专用条款</w:t>
      </w:r>
      <w:bookmarkEnd w:id="57"/>
      <w:bookmarkEnd w:id="58"/>
    </w:p>
    <w:tbl>
      <w:tblPr>
        <w:tblStyle w:val="60"/>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909A1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EF58A02">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6CBC3E00">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第1.2（6）项</w:t>
            </w:r>
          </w:p>
        </w:tc>
        <w:tc>
          <w:tcPr>
            <w:tcW w:w="1742" w:type="dxa"/>
            <w:vAlign w:val="center"/>
          </w:tcPr>
          <w:p w14:paraId="0CA36696">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联合体具体要求</w:t>
            </w:r>
          </w:p>
        </w:tc>
        <w:tc>
          <w:tcPr>
            <w:tcW w:w="5170" w:type="dxa"/>
            <w:vAlign w:val="center"/>
          </w:tcPr>
          <w:p w14:paraId="73A34136">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本项目不接受联合体投标</w:t>
            </w:r>
          </w:p>
        </w:tc>
      </w:tr>
      <w:tr w14:paraId="0701EE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jc w:val="center"/>
        </w:trPr>
        <w:tc>
          <w:tcPr>
            <w:tcW w:w="1607" w:type="dxa"/>
            <w:vAlign w:val="center"/>
          </w:tcPr>
          <w:p w14:paraId="618DAEF0">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137D15A4">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第1.2（7）项</w:t>
            </w:r>
          </w:p>
        </w:tc>
        <w:tc>
          <w:tcPr>
            <w:tcW w:w="1742" w:type="dxa"/>
            <w:vAlign w:val="center"/>
          </w:tcPr>
          <w:p w14:paraId="40B3EFFF">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其他术语解释</w:t>
            </w:r>
          </w:p>
        </w:tc>
        <w:tc>
          <w:tcPr>
            <w:tcW w:w="5170" w:type="dxa"/>
            <w:vAlign w:val="center"/>
          </w:tcPr>
          <w:p w14:paraId="520AE50C">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无（项目单位可自行补充）</w:t>
            </w:r>
          </w:p>
        </w:tc>
      </w:tr>
      <w:tr w14:paraId="75156C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01EE95D">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6CEB913D">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第4.4款</w:t>
            </w:r>
          </w:p>
        </w:tc>
        <w:tc>
          <w:tcPr>
            <w:tcW w:w="1742" w:type="dxa"/>
            <w:vAlign w:val="center"/>
          </w:tcPr>
          <w:p w14:paraId="242FC620">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履约验收中甲方提出异议或作出说明的期限</w:t>
            </w:r>
          </w:p>
        </w:tc>
        <w:tc>
          <w:tcPr>
            <w:tcW w:w="5170" w:type="dxa"/>
            <w:vAlign w:val="center"/>
          </w:tcPr>
          <w:p w14:paraId="57D081EE">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自乙方提出验收申请之日起10个工作日</w:t>
            </w:r>
          </w:p>
        </w:tc>
      </w:tr>
      <w:tr w14:paraId="2A29CA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1E365E4">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1BC8C58E">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第4.6款</w:t>
            </w:r>
          </w:p>
        </w:tc>
        <w:tc>
          <w:tcPr>
            <w:tcW w:w="1742" w:type="dxa"/>
            <w:vAlign w:val="center"/>
          </w:tcPr>
          <w:p w14:paraId="004F9761">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约定甲方承担的其他义务和责任</w:t>
            </w:r>
          </w:p>
        </w:tc>
        <w:tc>
          <w:tcPr>
            <w:tcW w:w="5170" w:type="dxa"/>
            <w:vAlign w:val="center"/>
          </w:tcPr>
          <w:p w14:paraId="086F1FF6">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无（项目单位可自行补充）</w:t>
            </w:r>
          </w:p>
        </w:tc>
      </w:tr>
      <w:tr w14:paraId="332420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05AD4E9">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57A6ABAC">
            <w:pPr>
              <w:snapToGrid w:val="0"/>
              <w:spacing w:line="320" w:lineRule="exact"/>
              <w:jc w:val="center"/>
              <w:rPr>
                <w:highlight w:val="none"/>
              </w:rPr>
            </w:pPr>
            <w:r>
              <w:rPr>
                <w:rFonts w:hint="eastAsia" w:ascii="宋体" w:hAnsi="宋体"/>
                <w:szCs w:val="21"/>
                <w:highlight w:val="none"/>
              </w:rPr>
              <w:t>第5.4款</w:t>
            </w:r>
          </w:p>
        </w:tc>
        <w:tc>
          <w:tcPr>
            <w:tcW w:w="1742" w:type="dxa"/>
            <w:vAlign w:val="center"/>
          </w:tcPr>
          <w:p w14:paraId="3014D072">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约定乙方承担的其他义务和责任</w:t>
            </w:r>
          </w:p>
        </w:tc>
        <w:tc>
          <w:tcPr>
            <w:tcW w:w="5170" w:type="dxa"/>
            <w:vAlign w:val="center"/>
          </w:tcPr>
          <w:p w14:paraId="298D773D">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无（项目单位可自行补充）</w:t>
            </w:r>
          </w:p>
        </w:tc>
      </w:tr>
      <w:tr w14:paraId="2921F5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607" w:type="dxa"/>
            <w:vAlign w:val="center"/>
          </w:tcPr>
          <w:p w14:paraId="0BF1319D">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3F08FA2D">
            <w:pPr>
              <w:snapToGrid w:val="0"/>
              <w:spacing w:line="320" w:lineRule="exact"/>
              <w:jc w:val="center"/>
              <w:rPr>
                <w:rFonts w:hint="eastAsia" w:ascii="宋体" w:hAnsi="宋体"/>
                <w:szCs w:val="21"/>
                <w:highlight w:val="none"/>
              </w:rPr>
            </w:pPr>
            <w:r>
              <w:rPr>
                <w:rFonts w:hint="eastAsia" w:ascii="宋体" w:hAnsi="宋体"/>
                <w:szCs w:val="21"/>
                <w:highlight w:val="none"/>
              </w:rPr>
              <w:t>第6.1款</w:t>
            </w:r>
          </w:p>
        </w:tc>
        <w:tc>
          <w:tcPr>
            <w:tcW w:w="1742" w:type="dxa"/>
            <w:vAlign w:val="center"/>
          </w:tcPr>
          <w:p w14:paraId="56725548">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履行合同义务的顺序</w:t>
            </w:r>
          </w:p>
        </w:tc>
        <w:tc>
          <w:tcPr>
            <w:tcW w:w="5170" w:type="dxa"/>
            <w:vAlign w:val="center"/>
          </w:tcPr>
          <w:p w14:paraId="7B3E8930">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无（项目单位可自行补充）</w:t>
            </w:r>
          </w:p>
        </w:tc>
      </w:tr>
      <w:tr w14:paraId="4743EC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16C3661E">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613157AD">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第7.1款</w:t>
            </w:r>
          </w:p>
        </w:tc>
        <w:tc>
          <w:tcPr>
            <w:tcW w:w="1742" w:type="dxa"/>
            <w:vAlign w:val="center"/>
          </w:tcPr>
          <w:p w14:paraId="3CFD6C54">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包装特殊要求</w:t>
            </w:r>
          </w:p>
        </w:tc>
        <w:tc>
          <w:tcPr>
            <w:tcW w:w="5170" w:type="dxa"/>
            <w:vAlign w:val="center"/>
          </w:tcPr>
          <w:p w14:paraId="61319C3E">
            <w:pPr>
              <w:spacing w:line="320" w:lineRule="exact"/>
              <w:rPr>
                <w:highlight w:val="none"/>
              </w:rPr>
            </w:pPr>
            <w:r>
              <w:rPr>
                <w:rFonts w:hint="eastAsia"/>
                <w:highlight w:val="none"/>
              </w:rPr>
              <w:t>包装应适应远距离运输、防潮、防震、防锈和防野蛮装卸等要求，确保货物安全无损地运抵甲方指定现场，因包装出现问题导致货物损毁的，由乙方承担全部责任。</w:t>
            </w:r>
          </w:p>
        </w:tc>
      </w:tr>
      <w:tr w14:paraId="45E32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13D620D5">
            <w:pPr>
              <w:adjustRightInd w:val="0"/>
              <w:snapToGrid w:val="0"/>
              <w:spacing w:line="320" w:lineRule="exact"/>
              <w:jc w:val="center"/>
              <w:rPr>
                <w:rFonts w:hint="eastAsia" w:ascii="宋体" w:hAnsi="宋体"/>
                <w:szCs w:val="21"/>
                <w:highlight w:val="none"/>
              </w:rPr>
            </w:pPr>
          </w:p>
        </w:tc>
        <w:tc>
          <w:tcPr>
            <w:tcW w:w="1742" w:type="dxa"/>
            <w:vAlign w:val="center"/>
          </w:tcPr>
          <w:p w14:paraId="18B655C9">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指定现场</w:t>
            </w:r>
          </w:p>
        </w:tc>
        <w:tc>
          <w:tcPr>
            <w:tcW w:w="5170" w:type="dxa"/>
            <w:vAlign w:val="center"/>
          </w:tcPr>
          <w:p w14:paraId="2605C1A9">
            <w:pPr>
              <w:spacing w:line="320" w:lineRule="exact"/>
              <w:rPr>
                <w:highlight w:val="none"/>
              </w:rPr>
            </w:pPr>
            <w:r>
              <w:rPr>
                <w:rFonts w:hint="eastAsia"/>
                <w:highlight w:val="none"/>
              </w:rPr>
              <w:t>吉林农业大学指定地点</w:t>
            </w:r>
          </w:p>
        </w:tc>
      </w:tr>
      <w:tr w14:paraId="57859C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36906BED">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5D892B67">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第7.2款</w:t>
            </w:r>
          </w:p>
        </w:tc>
        <w:tc>
          <w:tcPr>
            <w:tcW w:w="1742" w:type="dxa"/>
            <w:vAlign w:val="center"/>
          </w:tcPr>
          <w:p w14:paraId="7252F31E">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运输特殊要求</w:t>
            </w:r>
          </w:p>
        </w:tc>
        <w:tc>
          <w:tcPr>
            <w:tcW w:w="5170" w:type="dxa"/>
            <w:vAlign w:val="center"/>
          </w:tcPr>
          <w:p w14:paraId="7345CAE5">
            <w:pPr>
              <w:spacing w:line="320" w:lineRule="exact"/>
              <w:rPr>
                <w:highlight w:val="none"/>
              </w:rPr>
            </w:pPr>
            <w:r>
              <w:rPr>
                <w:rFonts w:hint="eastAsia"/>
                <w:highlight w:val="none"/>
              </w:rPr>
              <w:t>乙方负责办理将货物运抵本合同规定的交货地点，并装卸、交付至甲方的一切运输事项，相关费用应包含在合同价款中。</w:t>
            </w:r>
          </w:p>
        </w:tc>
      </w:tr>
      <w:tr w14:paraId="5651A4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607" w:type="dxa"/>
            <w:vAlign w:val="center"/>
          </w:tcPr>
          <w:p w14:paraId="3BE1A23D">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5A19C0D8">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第7.3款</w:t>
            </w:r>
          </w:p>
        </w:tc>
        <w:tc>
          <w:tcPr>
            <w:tcW w:w="1742" w:type="dxa"/>
            <w:vAlign w:val="center"/>
          </w:tcPr>
          <w:p w14:paraId="290811A3">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保险要求</w:t>
            </w:r>
          </w:p>
        </w:tc>
        <w:tc>
          <w:tcPr>
            <w:tcW w:w="5170" w:type="dxa"/>
            <w:vAlign w:val="center"/>
          </w:tcPr>
          <w:p w14:paraId="359954A9">
            <w:pPr>
              <w:spacing w:line="320" w:lineRule="exact"/>
              <w:rPr>
                <w:highlight w:val="none"/>
              </w:rPr>
            </w:pPr>
            <w:r>
              <w:rPr>
                <w:rFonts w:hint="eastAsia"/>
                <w:highlight w:val="none"/>
              </w:rPr>
              <w:t>无</w:t>
            </w:r>
          </w:p>
        </w:tc>
      </w:tr>
      <w:tr w14:paraId="166A3C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531B1AE">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2E7A2AEA">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第8.2（1）项</w:t>
            </w:r>
          </w:p>
        </w:tc>
        <w:tc>
          <w:tcPr>
            <w:tcW w:w="1742" w:type="dxa"/>
            <w:vAlign w:val="center"/>
          </w:tcPr>
          <w:p w14:paraId="1FCD3085">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质量保证期</w:t>
            </w:r>
          </w:p>
        </w:tc>
        <w:tc>
          <w:tcPr>
            <w:tcW w:w="5170" w:type="dxa"/>
            <w:vAlign w:val="center"/>
          </w:tcPr>
          <w:p w14:paraId="1DCB2C2B">
            <w:pPr>
              <w:autoSpaceDE w:val="0"/>
              <w:autoSpaceDN w:val="0"/>
              <w:adjustRightInd w:val="0"/>
              <w:snapToGrid w:val="0"/>
              <w:spacing w:line="320" w:lineRule="exact"/>
              <w:jc w:val="left"/>
              <w:rPr>
                <w:rFonts w:hint="eastAsia" w:ascii="宋体" w:hAnsi="宋体"/>
                <w:szCs w:val="21"/>
                <w:highlight w:val="none"/>
              </w:rPr>
            </w:pPr>
            <w:r>
              <w:rPr>
                <w:rFonts w:hint="eastAsia" w:ascii="宋体" w:hAnsi="宋体"/>
                <w:szCs w:val="21"/>
                <w:highlight w:val="none"/>
              </w:rPr>
              <w:t>自验收合格之日起18个月，质保期内如发生质量问题导致的维修或更换，相关部位（部件）质保期重新计算。（招标文件中有高于此标准的条款，以招标文件为准）</w:t>
            </w:r>
          </w:p>
        </w:tc>
      </w:tr>
      <w:tr w14:paraId="1429CC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1607" w:type="dxa"/>
            <w:vAlign w:val="center"/>
          </w:tcPr>
          <w:p w14:paraId="04AEFDC7">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484A73F0">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第8.2（3）项</w:t>
            </w:r>
          </w:p>
        </w:tc>
        <w:tc>
          <w:tcPr>
            <w:tcW w:w="1742" w:type="dxa"/>
            <w:vAlign w:val="center"/>
          </w:tcPr>
          <w:p w14:paraId="6B4EA450">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货物质量缺陷</w:t>
            </w:r>
          </w:p>
          <w:p w14:paraId="43028101">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响应时间</w:t>
            </w:r>
          </w:p>
        </w:tc>
        <w:tc>
          <w:tcPr>
            <w:tcW w:w="5170" w:type="dxa"/>
            <w:vAlign w:val="center"/>
          </w:tcPr>
          <w:p w14:paraId="521BEB96">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自甲方提出之日起10个工作日内</w:t>
            </w:r>
          </w:p>
        </w:tc>
      </w:tr>
      <w:tr w14:paraId="7FDCD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2A009B6">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第二节</w:t>
            </w:r>
          </w:p>
          <w:p w14:paraId="70A1548B">
            <w:pPr>
              <w:pStyle w:val="387"/>
              <w:spacing w:line="320" w:lineRule="exact"/>
              <w:ind w:firstLine="0" w:firstLineChars="0"/>
              <w:jc w:val="center"/>
              <w:rPr>
                <w:rFonts w:hint="eastAsia"/>
                <w:highlight w:val="none"/>
              </w:rPr>
            </w:pPr>
            <w:r>
              <w:rPr>
                <w:rFonts w:hint="eastAsia" w:ascii="宋体" w:hAnsi="宋体" w:eastAsia="宋体" w:cs="宋体"/>
                <w:highlight w:val="none"/>
              </w:rPr>
              <w:t>第11.1款</w:t>
            </w:r>
          </w:p>
        </w:tc>
        <w:tc>
          <w:tcPr>
            <w:tcW w:w="1742" w:type="dxa"/>
            <w:vAlign w:val="center"/>
          </w:tcPr>
          <w:p w14:paraId="783558FF">
            <w:pPr>
              <w:adjustRightInd w:val="0"/>
              <w:snapToGrid w:val="0"/>
              <w:spacing w:line="320" w:lineRule="exact"/>
              <w:rPr>
                <w:rFonts w:hint="eastAsia" w:ascii="宋体" w:hAnsi="宋体"/>
                <w:szCs w:val="21"/>
                <w:highlight w:val="none"/>
              </w:rPr>
            </w:pPr>
            <w:r>
              <w:rPr>
                <w:rFonts w:hint="eastAsia" w:ascii="宋体" w:hAnsi="宋体"/>
                <w:szCs w:val="21"/>
                <w:highlight w:val="none"/>
              </w:rPr>
              <w:t>其他应当保密的信息</w:t>
            </w:r>
          </w:p>
        </w:tc>
        <w:tc>
          <w:tcPr>
            <w:tcW w:w="5170" w:type="dxa"/>
            <w:vAlign w:val="center"/>
          </w:tcPr>
          <w:p w14:paraId="31A41C42">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无（项目单位可自行补充）</w:t>
            </w:r>
          </w:p>
        </w:tc>
      </w:tr>
      <w:tr w14:paraId="2787C7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78759AB">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7E87D58D">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第12.2款</w:t>
            </w:r>
          </w:p>
        </w:tc>
        <w:tc>
          <w:tcPr>
            <w:tcW w:w="1742" w:type="dxa"/>
            <w:vAlign w:val="center"/>
          </w:tcPr>
          <w:p w14:paraId="3C1879A9">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合同价款支付时间</w:t>
            </w:r>
          </w:p>
        </w:tc>
        <w:tc>
          <w:tcPr>
            <w:tcW w:w="5170" w:type="dxa"/>
            <w:vAlign w:val="center"/>
          </w:tcPr>
          <w:p w14:paraId="1200108E">
            <w:pPr>
              <w:adjustRightInd w:val="0"/>
              <w:snapToGrid w:val="0"/>
              <w:spacing w:line="320" w:lineRule="exact"/>
              <w:jc w:val="left"/>
              <w:rPr>
                <w:rFonts w:hint="eastAsia" w:ascii="宋体" w:hAnsi="宋体"/>
                <w:szCs w:val="21"/>
                <w:highlight w:val="none"/>
              </w:rPr>
            </w:pPr>
            <w:bookmarkStart w:id="59" w:name="OLE_LINK6"/>
            <w:r>
              <w:rPr>
                <w:rFonts w:hint="eastAsia" w:ascii="宋体" w:hAnsi="宋体"/>
                <w:szCs w:val="21"/>
                <w:highlight w:val="none"/>
              </w:rPr>
              <w:t>履约完成并验收合格后30日内一次性支付</w:t>
            </w:r>
            <w:bookmarkEnd w:id="59"/>
            <w:r>
              <w:rPr>
                <w:rFonts w:hint="eastAsia" w:ascii="宋体" w:hAnsi="宋体"/>
                <w:szCs w:val="21"/>
                <w:highlight w:val="none"/>
              </w:rPr>
              <w:t>。</w:t>
            </w:r>
          </w:p>
        </w:tc>
      </w:tr>
      <w:tr w14:paraId="2BB1FB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1F101BCA">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4806D6EB">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第13.2款</w:t>
            </w:r>
          </w:p>
        </w:tc>
        <w:tc>
          <w:tcPr>
            <w:tcW w:w="1742" w:type="dxa"/>
            <w:vAlign w:val="center"/>
          </w:tcPr>
          <w:p w14:paraId="496FDA99">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履约保证金不予退还的情形</w:t>
            </w:r>
          </w:p>
        </w:tc>
        <w:tc>
          <w:tcPr>
            <w:tcW w:w="5170" w:type="dxa"/>
            <w:vAlign w:val="center"/>
          </w:tcPr>
          <w:p w14:paraId="632208A1">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1.乙方未全部履行政府采购合同或采购文件规定的其他情形；2.乙方未按照合同规定的时间、地点交货和提供服务。</w:t>
            </w:r>
          </w:p>
        </w:tc>
      </w:tr>
      <w:tr w14:paraId="335C83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3" w:hRule="atLeast"/>
          <w:jc w:val="center"/>
        </w:trPr>
        <w:tc>
          <w:tcPr>
            <w:tcW w:w="1607" w:type="dxa"/>
            <w:vAlign w:val="center"/>
          </w:tcPr>
          <w:p w14:paraId="66101679">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123B13E0">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第13.3款</w:t>
            </w:r>
          </w:p>
        </w:tc>
        <w:tc>
          <w:tcPr>
            <w:tcW w:w="1742" w:type="dxa"/>
            <w:vAlign w:val="center"/>
          </w:tcPr>
          <w:p w14:paraId="7F762BC6">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履约保证金退还时间及逾期退还的违约金</w:t>
            </w:r>
          </w:p>
        </w:tc>
        <w:tc>
          <w:tcPr>
            <w:tcW w:w="5170" w:type="dxa"/>
            <w:vAlign w:val="center"/>
          </w:tcPr>
          <w:p w14:paraId="737A3BFE">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履约完成并验收合格后30日内无息返还。</w:t>
            </w:r>
          </w:p>
        </w:tc>
      </w:tr>
      <w:tr w14:paraId="0A8DAF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7F22F699">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7B5B4410">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第14.1（3）项</w:t>
            </w:r>
          </w:p>
        </w:tc>
        <w:tc>
          <w:tcPr>
            <w:tcW w:w="1742" w:type="dxa"/>
            <w:vAlign w:val="center"/>
          </w:tcPr>
          <w:p w14:paraId="774F1D02">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运行监督、维修期限</w:t>
            </w:r>
          </w:p>
        </w:tc>
        <w:tc>
          <w:tcPr>
            <w:tcW w:w="5170" w:type="dxa"/>
            <w:vAlign w:val="center"/>
          </w:tcPr>
          <w:p w14:paraId="3118D807">
            <w:pPr>
              <w:adjustRightInd w:val="0"/>
              <w:snapToGrid w:val="0"/>
              <w:jc w:val="left"/>
              <w:rPr>
                <w:rFonts w:hint="eastAsia" w:ascii="宋体" w:hAnsi="宋体"/>
                <w:szCs w:val="21"/>
                <w:highlight w:val="none"/>
              </w:rPr>
            </w:pPr>
            <w:r>
              <w:rPr>
                <w:rFonts w:hint="eastAsia" w:ascii="宋体" w:hAnsi="宋体"/>
                <w:szCs w:val="21"/>
                <w:highlight w:val="none"/>
              </w:rPr>
              <w:t>质保期内免费维护，质保期外成本维护。</w:t>
            </w:r>
          </w:p>
          <w:p w14:paraId="21245997">
            <w:pPr>
              <w:pStyle w:val="387"/>
              <w:spacing w:after="0" w:line="240" w:lineRule="auto"/>
              <w:ind w:firstLine="0" w:firstLineChars="0"/>
              <w:rPr>
                <w:rFonts w:hint="eastAsia"/>
                <w:highlight w:val="none"/>
              </w:rPr>
            </w:pPr>
            <w:r>
              <w:rPr>
                <w:rFonts w:hint="eastAsia" w:ascii="宋体" w:hAnsi="宋体" w:eastAsia="宋体" w:cs="Times New Roman"/>
                <w:kern w:val="2"/>
                <w:sz w:val="21"/>
                <w:highlight w:val="none"/>
              </w:rPr>
              <w:t>（招标文件中有高于此标准的条款，以招标文件为准）</w:t>
            </w:r>
          </w:p>
        </w:tc>
      </w:tr>
      <w:tr w14:paraId="50CCB5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789488D0">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75519689">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第14.1（5）项</w:t>
            </w:r>
          </w:p>
        </w:tc>
        <w:tc>
          <w:tcPr>
            <w:tcW w:w="1742" w:type="dxa"/>
            <w:vAlign w:val="center"/>
          </w:tcPr>
          <w:p w14:paraId="5608F317">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货物回收的约定</w:t>
            </w:r>
          </w:p>
        </w:tc>
        <w:tc>
          <w:tcPr>
            <w:tcW w:w="5170" w:type="dxa"/>
            <w:vAlign w:val="center"/>
          </w:tcPr>
          <w:p w14:paraId="306293CC">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无（项目单位可自行补充）</w:t>
            </w:r>
          </w:p>
        </w:tc>
      </w:tr>
      <w:tr w14:paraId="26AC09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8675841">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0FB1AD34">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第14.1（6）项</w:t>
            </w:r>
          </w:p>
        </w:tc>
        <w:tc>
          <w:tcPr>
            <w:tcW w:w="1742" w:type="dxa"/>
            <w:vAlign w:val="center"/>
          </w:tcPr>
          <w:p w14:paraId="2E4E5379">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乙方提供的其他服务</w:t>
            </w:r>
          </w:p>
        </w:tc>
        <w:tc>
          <w:tcPr>
            <w:tcW w:w="5170" w:type="dxa"/>
            <w:vAlign w:val="center"/>
          </w:tcPr>
          <w:p w14:paraId="0DE5098C">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无（项目单位可自行补充）</w:t>
            </w:r>
          </w:p>
        </w:tc>
      </w:tr>
      <w:tr w14:paraId="51243A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0F015E5">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0584B542">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第15.1款</w:t>
            </w:r>
          </w:p>
        </w:tc>
        <w:tc>
          <w:tcPr>
            <w:tcW w:w="1742" w:type="dxa"/>
            <w:vAlign w:val="center"/>
          </w:tcPr>
          <w:p w14:paraId="4F2A47E4">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修理、重作、更换相关具体规定</w:t>
            </w:r>
          </w:p>
        </w:tc>
        <w:tc>
          <w:tcPr>
            <w:tcW w:w="5170" w:type="dxa"/>
            <w:vAlign w:val="center"/>
          </w:tcPr>
          <w:p w14:paraId="2414E865">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乙方提供的产品不符合合同约定的质量标准、品牌型号、技术参数要求或存在产品质量缺陷，甲方有权视情况要求乙方修理、重作、更换，情节严重的有权拒绝接收，乙方应在甲方要求修理、重作、更换、拒收之日起10个工作日内为中方提供符合合同约定的产品，否则甲方有权解除合同并要求乙方承担由此给甲方造成的损失。</w:t>
            </w:r>
          </w:p>
        </w:tc>
      </w:tr>
      <w:tr w14:paraId="47B9C6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5D6590D">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3B2344DB">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第15.2（2）项</w:t>
            </w:r>
          </w:p>
        </w:tc>
        <w:tc>
          <w:tcPr>
            <w:tcW w:w="1742" w:type="dxa"/>
            <w:vAlign w:val="center"/>
          </w:tcPr>
          <w:p w14:paraId="53154639">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迟延交货赔偿费</w:t>
            </w:r>
          </w:p>
        </w:tc>
        <w:tc>
          <w:tcPr>
            <w:tcW w:w="5170" w:type="dxa"/>
            <w:vAlign w:val="center"/>
          </w:tcPr>
          <w:p w14:paraId="7233C92D">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如果乙方没有按照合同规定的时间交货和提供服务，应支付延迟交货赔偿费。延迟交货赔偿费每周按迟交货物的交货价或延期服务的服务费用的百分之一（1%）计收，直至交货或提供服务为止。一周按七天计算，不足七天按一周计算。赔偿费的最高限额不超过合同价的百分之五（5%）。</w:t>
            </w:r>
          </w:p>
        </w:tc>
      </w:tr>
      <w:tr w14:paraId="4E2F5B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D08848A">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0AD16EDD">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第15.3款</w:t>
            </w:r>
          </w:p>
        </w:tc>
        <w:tc>
          <w:tcPr>
            <w:tcW w:w="1742" w:type="dxa"/>
            <w:vAlign w:val="center"/>
          </w:tcPr>
          <w:p w14:paraId="1F96C7C3">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逾期付款利息</w:t>
            </w:r>
          </w:p>
        </w:tc>
        <w:tc>
          <w:tcPr>
            <w:tcW w:w="5170" w:type="dxa"/>
            <w:vAlign w:val="center"/>
          </w:tcPr>
          <w:p w14:paraId="767A5582">
            <w:pPr>
              <w:adjustRightInd w:val="0"/>
              <w:snapToGrid w:val="0"/>
              <w:spacing w:line="320" w:lineRule="exact"/>
              <w:jc w:val="left"/>
              <w:rPr>
                <w:rFonts w:hint="eastAsia" w:ascii="宋体" w:hAnsi="宋体"/>
                <w:szCs w:val="21"/>
                <w:highlight w:val="none"/>
                <w:u w:val="single"/>
              </w:rPr>
            </w:pPr>
            <w:r>
              <w:rPr>
                <w:rFonts w:hint="eastAsia" w:ascii="宋体" w:hAnsi="宋体"/>
                <w:szCs w:val="21"/>
                <w:highlight w:val="none"/>
                <w:u w:val="single"/>
              </w:rPr>
              <w:t>无</w:t>
            </w:r>
            <w:r>
              <w:rPr>
                <w:rFonts w:hint="eastAsia" w:ascii="宋体" w:hAnsi="宋体"/>
                <w:szCs w:val="21"/>
                <w:highlight w:val="none"/>
              </w:rPr>
              <w:t>（项目单位可自行补充）</w:t>
            </w:r>
          </w:p>
        </w:tc>
      </w:tr>
      <w:tr w14:paraId="1C1494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09E87A7D">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36AFB9C5">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第15.4款</w:t>
            </w:r>
          </w:p>
        </w:tc>
        <w:tc>
          <w:tcPr>
            <w:tcW w:w="1742" w:type="dxa"/>
            <w:tcBorders>
              <w:left w:val="single" w:color="auto" w:sz="2" w:space="0"/>
              <w:bottom w:val="single" w:color="auto" w:sz="2" w:space="0"/>
              <w:right w:val="single" w:color="auto" w:sz="2" w:space="0"/>
            </w:tcBorders>
            <w:vAlign w:val="center"/>
          </w:tcPr>
          <w:p w14:paraId="0E76826D">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vAlign w:val="center"/>
          </w:tcPr>
          <w:p w14:paraId="73764A7D">
            <w:pPr>
              <w:adjustRightInd w:val="0"/>
              <w:snapToGrid w:val="0"/>
              <w:spacing w:line="320" w:lineRule="exact"/>
              <w:jc w:val="left"/>
              <w:rPr>
                <w:rFonts w:hint="eastAsia" w:ascii="宋体" w:hAnsi="宋体"/>
                <w:szCs w:val="21"/>
                <w:highlight w:val="none"/>
                <w:u w:val="single"/>
              </w:rPr>
            </w:pPr>
            <w:r>
              <w:rPr>
                <w:rFonts w:hint="eastAsia" w:ascii="宋体" w:hAnsi="宋体"/>
                <w:szCs w:val="21"/>
                <w:highlight w:val="none"/>
                <w:u w:val="single"/>
              </w:rPr>
              <w:t>无</w:t>
            </w:r>
            <w:r>
              <w:rPr>
                <w:rFonts w:hint="eastAsia" w:ascii="宋体" w:hAnsi="宋体"/>
                <w:szCs w:val="21"/>
                <w:highlight w:val="none"/>
              </w:rPr>
              <w:t>（项目单位可自行补充）</w:t>
            </w:r>
          </w:p>
        </w:tc>
      </w:tr>
      <w:tr w14:paraId="5CEBE9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5C9C310A">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6F1246EA">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第19.2款</w:t>
            </w:r>
          </w:p>
        </w:tc>
        <w:tc>
          <w:tcPr>
            <w:tcW w:w="1742" w:type="dxa"/>
            <w:tcBorders>
              <w:top w:val="single" w:color="auto" w:sz="2" w:space="0"/>
              <w:left w:val="single" w:color="auto" w:sz="2" w:space="0"/>
              <w:right w:val="single" w:color="auto" w:sz="2" w:space="0"/>
            </w:tcBorders>
            <w:vAlign w:val="center"/>
          </w:tcPr>
          <w:p w14:paraId="2B3769A2">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解决争议的方法</w:t>
            </w:r>
          </w:p>
        </w:tc>
        <w:tc>
          <w:tcPr>
            <w:tcW w:w="5170" w:type="dxa"/>
            <w:tcBorders>
              <w:top w:val="single" w:color="auto" w:sz="2" w:space="0"/>
              <w:left w:val="single" w:color="auto" w:sz="2" w:space="0"/>
            </w:tcBorders>
            <w:vAlign w:val="center"/>
          </w:tcPr>
          <w:p w14:paraId="07DC319D">
            <w:pPr>
              <w:autoSpaceDE w:val="0"/>
              <w:autoSpaceDN w:val="0"/>
              <w:adjustRightInd w:val="0"/>
              <w:snapToGrid w:val="0"/>
              <w:spacing w:line="320" w:lineRule="exact"/>
              <w:jc w:val="left"/>
              <w:rPr>
                <w:rFonts w:hint="eastAsia" w:ascii="宋体" w:hAnsi="宋体" w:cs="宋体"/>
                <w:iCs/>
                <w:szCs w:val="21"/>
                <w:highlight w:val="none"/>
              </w:rPr>
            </w:pPr>
            <w:r>
              <w:rPr>
                <w:rFonts w:hint="eastAsia" w:ascii="宋体" w:hAnsi="宋体" w:cs="宋体"/>
                <w:iCs/>
                <w:szCs w:val="21"/>
                <w:highlight w:val="none"/>
              </w:rPr>
              <w:t>因本合同及合同有关事项发生的争议，按下列第（2）种方式解决：</w:t>
            </w:r>
          </w:p>
          <w:p w14:paraId="25680BA2">
            <w:pPr>
              <w:autoSpaceDE w:val="0"/>
              <w:autoSpaceDN w:val="0"/>
              <w:adjustRightInd w:val="0"/>
              <w:snapToGrid w:val="0"/>
              <w:spacing w:line="320" w:lineRule="exact"/>
              <w:jc w:val="left"/>
              <w:rPr>
                <w:rFonts w:hint="eastAsia" w:ascii="宋体" w:hAnsi="宋体" w:cs="宋体"/>
                <w:iCs/>
                <w:szCs w:val="21"/>
                <w:highlight w:val="none"/>
              </w:rPr>
            </w:pPr>
            <w:r>
              <w:rPr>
                <w:rFonts w:hint="eastAsia" w:ascii="宋体" w:hAnsi="宋体" w:cs="宋体"/>
                <w:iCs/>
                <w:szCs w:val="21"/>
                <w:highlight w:val="none"/>
              </w:rPr>
              <w:t>（1）向</w:t>
            </w:r>
            <w:r>
              <w:rPr>
                <w:rFonts w:hint="eastAsia" w:ascii="宋体" w:hAnsi="宋体" w:cs="宋体"/>
                <w:iCs/>
                <w:szCs w:val="21"/>
                <w:highlight w:val="none"/>
                <w:u w:val="single"/>
              </w:rPr>
              <w:t xml:space="preserve">                    </w:t>
            </w:r>
            <w:r>
              <w:rPr>
                <w:rFonts w:hint="eastAsia" w:ascii="宋体" w:hAnsi="宋体" w:cs="宋体"/>
                <w:iCs/>
                <w:szCs w:val="21"/>
                <w:highlight w:val="none"/>
              </w:rPr>
              <w:t>仲裁委员会申请仲裁，仲裁地点为</w:t>
            </w:r>
            <w:r>
              <w:rPr>
                <w:rFonts w:hint="eastAsia" w:ascii="宋体" w:hAnsi="宋体" w:cs="宋体"/>
                <w:iCs/>
                <w:szCs w:val="21"/>
                <w:highlight w:val="none"/>
                <w:u w:val="single"/>
              </w:rPr>
              <w:t xml:space="preserve">           </w:t>
            </w:r>
            <w:r>
              <w:rPr>
                <w:rFonts w:hint="eastAsia" w:ascii="宋体" w:hAnsi="宋体" w:cs="宋体"/>
                <w:iCs/>
                <w:szCs w:val="21"/>
                <w:highlight w:val="none"/>
              </w:rPr>
              <w:t>；</w:t>
            </w:r>
          </w:p>
          <w:p w14:paraId="23931727">
            <w:pPr>
              <w:adjustRightInd w:val="0"/>
              <w:snapToGrid w:val="0"/>
              <w:spacing w:line="320" w:lineRule="exact"/>
              <w:jc w:val="left"/>
              <w:rPr>
                <w:rFonts w:hint="eastAsia" w:ascii="宋体" w:hAnsi="宋体"/>
                <w:szCs w:val="21"/>
                <w:highlight w:val="none"/>
                <w:u w:val="single"/>
              </w:rPr>
            </w:pPr>
            <w:r>
              <w:rPr>
                <w:rFonts w:hint="eastAsia" w:ascii="宋体" w:hAnsi="宋体" w:cs="宋体"/>
                <w:iCs/>
                <w:szCs w:val="21"/>
                <w:highlight w:val="none"/>
              </w:rPr>
              <w:t>（2）向</w:t>
            </w:r>
            <w:r>
              <w:rPr>
                <w:rFonts w:hint="eastAsia" w:ascii="宋体" w:hAnsi="宋体" w:cs="宋体"/>
                <w:iCs/>
                <w:szCs w:val="21"/>
                <w:highlight w:val="none"/>
                <w:u w:val="single"/>
              </w:rPr>
              <w:t xml:space="preserve">       合同签订地       </w:t>
            </w:r>
            <w:r>
              <w:rPr>
                <w:rFonts w:hint="eastAsia" w:ascii="宋体" w:hAnsi="宋体" w:cs="宋体"/>
                <w:iCs/>
                <w:szCs w:val="21"/>
                <w:highlight w:val="none"/>
              </w:rPr>
              <w:t>人民法院起诉。</w:t>
            </w:r>
          </w:p>
        </w:tc>
      </w:tr>
      <w:tr w14:paraId="62AB3E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6171F44F">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第二节</w:t>
            </w:r>
          </w:p>
          <w:p w14:paraId="6BB66AF1">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第23.1款</w:t>
            </w:r>
          </w:p>
        </w:tc>
        <w:tc>
          <w:tcPr>
            <w:tcW w:w="1742" w:type="dxa"/>
            <w:vAlign w:val="center"/>
          </w:tcPr>
          <w:p w14:paraId="50317D23">
            <w:pPr>
              <w:adjustRightInd w:val="0"/>
              <w:snapToGrid w:val="0"/>
              <w:spacing w:line="320" w:lineRule="exact"/>
              <w:jc w:val="left"/>
              <w:rPr>
                <w:rFonts w:hint="eastAsia" w:ascii="宋体" w:hAnsi="宋体"/>
                <w:szCs w:val="21"/>
                <w:highlight w:val="none"/>
              </w:rPr>
            </w:pPr>
            <w:r>
              <w:rPr>
                <w:rFonts w:hint="eastAsia" w:ascii="宋体" w:hAnsi="宋体"/>
                <w:bCs/>
                <w:szCs w:val="21"/>
                <w:highlight w:val="none"/>
              </w:rPr>
              <w:t>其他专用条款</w:t>
            </w:r>
          </w:p>
        </w:tc>
        <w:tc>
          <w:tcPr>
            <w:tcW w:w="5170" w:type="dxa"/>
            <w:vAlign w:val="center"/>
          </w:tcPr>
          <w:p w14:paraId="159A7C9D">
            <w:pPr>
              <w:adjustRightInd w:val="0"/>
              <w:snapToGrid w:val="0"/>
              <w:spacing w:line="320" w:lineRule="exact"/>
              <w:jc w:val="left"/>
              <w:rPr>
                <w:rFonts w:hint="eastAsia" w:ascii="宋体" w:hAnsi="宋体"/>
                <w:szCs w:val="21"/>
                <w:highlight w:val="none"/>
              </w:rPr>
            </w:pPr>
            <w:r>
              <w:rPr>
                <w:rFonts w:hint="eastAsia" w:ascii="宋体" w:hAnsi="宋体"/>
                <w:szCs w:val="21"/>
                <w:highlight w:val="none"/>
              </w:rPr>
              <w:t>无（项目单位可自行补充）</w:t>
            </w:r>
          </w:p>
        </w:tc>
      </w:tr>
      <w:bookmarkEnd w:id="49"/>
      <w:bookmarkEnd w:id="50"/>
    </w:tbl>
    <w:p w14:paraId="5E94CE95">
      <w:pPr>
        <w:rPr>
          <w:highlight w:val="none"/>
        </w:rPr>
      </w:pPr>
    </w:p>
    <w:p w14:paraId="0DC605FF">
      <w:pPr>
        <w:rPr>
          <w:rFonts w:hint="eastAsia" w:ascii="宋体" w:hAnsi="宋体" w:cs="宋体"/>
          <w:kern w:val="44"/>
          <w:sz w:val="36"/>
          <w:szCs w:val="36"/>
          <w:highlight w:val="none"/>
          <w:lang w:val="zh-CN"/>
        </w:rPr>
      </w:pPr>
    </w:p>
    <w:p w14:paraId="00E0AF47">
      <w:pPr>
        <w:rPr>
          <w:rFonts w:hint="eastAsia" w:ascii="宋体" w:hAnsi="宋体" w:cs="宋体"/>
          <w:kern w:val="44"/>
          <w:sz w:val="36"/>
          <w:szCs w:val="36"/>
          <w:highlight w:val="none"/>
          <w:lang w:val="zh-CN"/>
        </w:rPr>
      </w:pPr>
      <w:r>
        <w:rPr>
          <w:rFonts w:hint="eastAsia" w:ascii="宋体" w:hAnsi="宋体" w:cs="宋体"/>
          <w:kern w:val="44"/>
          <w:sz w:val="36"/>
          <w:szCs w:val="36"/>
          <w:highlight w:val="none"/>
        </w:rPr>
        <w:br w:type="page"/>
      </w:r>
    </w:p>
    <w:p w14:paraId="46B0EDA4">
      <w:pPr>
        <w:pStyle w:val="56"/>
        <w:numPr>
          <w:ilvl w:val="0"/>
          <w:numId w:val="18"/>
        </w:numPr>
        <w:outlineLvl w:val="1"/>
        <w:rPr>
          <w:rFonts w:hint="eastAsia" w:ascii="宋体" w:hAnsi="宋体" w:cs="宋体"/>
          <w:kern w:val="44"/>
          <w:sz w:val="36"/>
          <w:szCs w:val="36"/>
          <w:highlight w:val="none"/>
          <w:lang w:val="zh-CN"/>
        </w:rPr>
      </w:pPr>
      <w:bookmarkStart w:id="60" w:name="_Toc28309"/>
      <w:r>
        <w:rPr>
          <w:rFonts w:hint="eastAsia" w:ascii="宋体" w:hAnsi="宋体" w:cs="宋体"/>
          <w:kern w:val="44"/>
          <w:sz w:val="36"/>
          <w:szCs w:val="36"/>
          <w:highlight w:val="none"/>
        </w:rPr>
        <w:t>技术要</w:t>
      </w:r>
      <w:r>
        <w:rPr>
          <w:rFonts w:hint="eastAsia" w:ascii="宋体" w:hAnsi="宋体" w:cs="宋体"/>
          <w:kern w:val="44"/>
          <w:sz w:val="36"/>
          <w:szCs w:val="36"/>
          <w:highlight w:val="none"/>
          <w:lang w:val="zh-CN"/>
        </w:rPr>
        <w:t>求</w:t>
      </w:r>
      <w:bookmarkEnd w:id="60"/>
    </w:p>
    <w:p w14:paraId="0C9984EC">
      <w:pPr>
        <w:rPr>
          <w:highlight w:val="none"/>
        </w:rPr>
      </w:pPr>
      <w:r>
        <w:rPr>
          <w:rFonts w:hint="eastAsia"/>
          <w:highlight w:val="none"/>
        </w:rPr>
        <w:t>一、参数要求</w:t>
      </w:r>
    </w:p>
    <w:p w14:paraId="788D1697">
      <w:pPr>
        <w:rPr>
          <w:highlight w:val="none"/>
        </w:rPr>
      </w:pPr>
    </w:p>
    <w:tbl>
      <w:tblPr>
        <w:tblStyle w:val="61"/>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090"/>
        <w:gridCol w:w="4712"/>
        <w:gridCol w:w="942"/>
        <w:gridCol w:w="962"/>
      </w:tblGrid>
      <w:tr w14:paraId="377F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25" w:type="dxa"/>
            <w:vAlign w:val="center"/>
          </w:tcPr>
          <w:p w14:paraId="57A89C49">
            <w:pPr>
              <w:widowControl/>
              <w:jc w:val="center"/>
              <w:textAlignment w:val="center"/>
              <w:rPr>
                <w:rFonts w:hint="eastAsia" w:ascii="宋体" w:hAnsi="宋体" w:cs="宋体"/>
                <w:kern w:val="44"/>
                <w:szCs w:val="21"/>
                <w:highlight w:val="none"/>
              </w:rPr>
            </w:pPr>
            <w:r>
              <w:rPr>
                <w:rFonts w:hint="eastAsia" w:ascii="宋体" w:hAnsi="宋体" w:cs="宋体"/>
                <w:color w:val="000000"/>
                <w:kern w:val="0"/>
                <w:sz w:val="22"/>
                <w:szCs w:val="22"/>
                <w:highlight w:val="none"/>
                <w:lang w:bidi="ar"/>
              </w:rPr>
              <w:t>序号</w:t>
            </w:r>
          </w:p>
        </w:tc>
        <w:tc>
          <w:tcPr>
            <w:tcW w:w="2090" w:type="dxa"/>
            <w:vAlign w:val="center"/>
          </w:tcPr>
          <w:p w14:paraId="7A80790D">
            <w:pPr>
              <w:widowControl/>
              <w:jc w:val="center"/>
              <w:textAlignment w:val="center"/>
              <w:rPr>
                <w:rFonts w:hint="eastAsia" w:ascii="宋体" w:hAnsi="宋体" w:cs="宋体"/>
                <w:kern w:val="44"/>
                <w:szCs w:val="21"/>
                <w:highlight w:val="none"/>
              </w:rPr>
            </w:pPr>
            <w:r>
              <w:rPr>
                <w:rFonts w:hint="eastAsia" w:ascii="宋体" w:hAnsi="宋体" w:cs="宋体"/>
                <w:color w:val="000000"/>
                <w:kern w:val="0"/>
                <w:sz w:val="22"/>
                <w:szCs w:val="22"/>
                <w:highlight w:val="none"/>
                <w:lang w:bidi="ar"/>
              </w:rPr>
              <w:t>名称</w:t>
            </w:r>
          </w:p>
        </w:tc>
        <w:tc>
          <w:tcPr>
            <w:tcW w:w="4712" w:type="dxa"/>
            <w:vAlign w:val="center"/>
          </w:tcPr>
          <w:p w14:paraId="2DB0F470">
            <w:pPr>
              <w:widowControl/>
              <w:jc w:val="left"/>
              <w:textAlignment w:val="center"/>
              <w:rPr>
                <w:rFonts w:hint="eastAsia" w:ascii="宋体" w:hAnsi="宋体" w:cs="宋体"/>
                <w:kern w:val="44"/>
                <w:szCs w:val="21"/>
                <w:highlight w:val="none"/>
              </w:rPr>
            </w:pPr>
            <w:r>
              <w:rPr>
                <w:rFonts w:hint="eastAsia" w:ascii="宋体" w:hAnsi="宋体" w:cs="宋体"/>
                <w:color w:val="000000"/>
                <w:kern w:val="0"/>
                <w:sz w:val="22"/>
                <w:szCs w:val="22"/>
                <w:highlight w:val="none"/>
                <w:lang w:bidi="ar"/>
              </w:rPr>
              <w:t>参数</w:t>
            </w:r>
          </w:p>
        </w:tc>
        <w:tc>
          <w:tcPr>
            <w:tcW w:w="942" w:type="dxa"/>
            <w:vAlign w:val="center"/>
          </w:tcPr>
          <w:p w14:paraId="789E4B52">
            <w:pPr>
              <w:widowControl/>
              <w:jc w:val="center"/>
              <w:textAlignment w:val="center"/>
              <w:rPr>
                <w:rFonts w:hint="eastAsia" w:ascii="宋体" w:hAnsi="宋体" w:cs="宋体"/>
                <w:kern w:val="44"/>
                <w:szCs w:val="21"/>
                <w:highlight w:val="none"/>
              </w:rPr>
            </w:pPr>
            <w:r>
              <w:rPr>
                <w:rFonts w:hint="eastAsia" w:ascii="宋体" w:hAnsi="宋体" w:cs="宋体"/>
                <w:color w:val="000000"/>
                <w:kern w:val="0"/>
                <w:sz w:val="22"/>
                <w:szCs w:val="22"/>
                <w:highlight w:val="none"/>
                <w:lang w:bidi="ar"/>
              </w:rPr>
              <w:t>单位</w:t>
            </w:r>
          </w:p>
        </w:tc>
        <w:tc>
          <w:tcPr>
            <w:tcW w:w="962" w:type="dxa"/>
            <w:vAlign w:val="center"/>
          </w:tcPr>
          <w:p w14:paraId="6BBC7270">
            <w:pPr>
              <w:widowControl/>
              <w:jc w:val="center"/>
              <w:textAlignment w:val="center"/>
              <w:rPr>
                <w:rFonts w:hint="eastAsia" w:ascii="宋体" w:hAnsi="宋体" w:cs="宋体"/>
                <w:kern w:val="44"/>
                <w:szCs w:val="21"/>
                <w:highlight w:val="none"/>
              </w:rPr>
            </w:pPr>
            <w:r>
              <w:rPr>
                <w:rFonts w:hint="eastAsia" w:ascii="宋体" w:hAnsi="宋体" w:cs="宋体"/>
                <w:color w:val="000000"/>
                <w:kern w:val="0"/>
                <w:sz w:val="22"/>
                <w:szCs w:val="22"/>
                <w:highlight w:val="none"/>
                <w:lang w:bidi="ar"/>
              </w:rPr>
              <w:t>数量</w:t>
            </w:r>
          </w:p>
        </w:tc>
      </w:tr>
      <w:tr w14:paraId="08CF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20BCE108">
            <w:pPr>
              <w:widowControl/>
              <w:jc w:val="center"/>
              <w:textAlignment w:val="center"/>
              <w:rPr>
                <w:rFonts w:hint="eastAsia" w:ascii="宋体" w:hAnsi="宋体" w:cs="宋体"/>
                <w:kern w:val="44"/>
                <w:szCs w:val="21"/>
                <w:highlight w:val="none"/>
              </w:rPr>
            </w:pPr>
            <w:r>
              <w:rPr>
                <w:rFonts w:hint="eastAsia" w:ascii="宋体" w:hAnsi="宋体" w:cs="宋体"/>
                <w:color w:val="000000"/>
                <w:kern w:val="0"/>
                <w:sz w:val="22"/>
                <w:szCs w:val="22"/>
                <w:highlight w:val="none"/>
                <w:lang w:bidi="ar"/>
              </w:rPr>
              <w:t>1</w:t>
            </w:r>
          </w:p>
        </w:tc>
        <w:tc>
          <w:tcPr>
            <w:tcW w:w="2090" w:type="dxa"/>
            <w:vAlign w:val="center"/>
          </w:tcPr>
          <w:p w14:paraId="0911BF2F">
            <w:pPr>
              <w:widowControl/>
              <w:jc w:val="center"/>
              <w:textAlignment w:val="center"/>
              <w:rPr>
                <w:rFonts w:hint="eastAsia" w:ascii="宋体" w:hAnsi="宋体" w:cs="宋体"/>
                <w:kern w:val="44"/>
                <w:szCs w:val="21"/>
                <w:highlight w:val="none"/>
                <w:lang w:val="zh-CN"/>
              </w:rPr>
            </w:pPr>
            <w:r>
              <w:rPr>
                <w:rFonts w:hint="eastAsia" w:ascii="宋体" w:hAnsi="宋体" w:cs="宋体"/>
                <w:color w:val="000000"/>
                <w:kern w:val="0"/>
                <w:sz w:val="22"/>
                <w:szCs w:val="22"/>
                <w:highlight w:val="none"/>
                <w:lang w:bidi="ar"/>
              </w:rPr>
              <w:t>小型电子秤克称</w:t>
            </w:r>
          </w:p>
        </w:tc>
        <w:tc>
          <w:tcPr>
            <w:tcW w:w="4712" w:type="dxa"/>
            <w:vAlign w:val="center"/>
          </w:tcPr>
          <w:p w14:paraId="08E0284C">
            <w:pPr>
              <w:widowControl/>
              <w:jc w:val="left"/>
              <w:textAlignment w:val="center"/>
              <w:rPr>
                <w:rFonts w:hint="eastAsia" w:ascii="宋体" w:hAnsi="宋体" w:cs="宋体"/>
                <w:kern w:val="44"/>
                <w:szCs w:val="21"/>
                <w:highlight w:val="none"/>
                <w:lang w:val="zh-CN"/>
              </w:rPr>
            </w:pPr>
            <w:r>
              <w:rPr>
                <w:rFonts w:hint="eastAsia" w:ascii="宋体" w:hAnsi="宋体" w:cs="宋体"/>
                <w:color w:val="000000"/>
                <w:kern w:val="0"/>
                <w:sz w:val="22"/>
                <w:szCs w:val="22"/>
                <w:highlight w:val="none"/>
                <w:lang w:bidi="ar"/>
              </w:rPr>
              <w:t>快充/电池/插电 三用10KG/1G</w:t>
            </w:r>
          </w:p>
        </w:tc>
        <w:tc>
          <w:tcPr>
            <w:tcW w:w="942" w:type="dxa"/>
            <w:vAlign w:val="center"/>
          </w:tcPr>
          <w:p w14:paraId="1A76A442">
            <w:pPr>
              <w:widowControl/>
              <w:jc w:val="center"/>
              <w:textAlignment w:val="center"/>
              <w:rPr>
                <w:rFonts w:hint="eastAsia" w:ascii="宋体" w:hAnsi="宋体" w:cs="宋体"/>
                <w:kern w:val="44"/>
                <w:szCs w:val="21"/>
                <w:highlight w:val="none"/>
                <w:lang w:val="zh-CN"/>
              </w:rPr>
            </w:pPr>
            <w:r>
              <w:rPr>
                <w:rFonts w:hint="eastAsia" w:ascii="宋体" w:hAnsi="宋体" w:cs="宋体"/>
                <w:color w:val="000000"/>
                <w:kern w:val="0"/>
                <w:sz w:val="22"/>
                <w:szCs w:val="22"/>
                <w:highlight w:val="none"/>
                <w:lang w:bidi="ar"/>
              </w:rPr>
              <w:t>台</w:t>
            </w:r>
          </w:p>
        </w:tc>
        <w:tc>
          <w:tcPr>
            <w:tcW w:w="962" w:type="dxa"/>
            <w:vAlign w:val="center"/>
          </w:tcPr>
          <w:p w14:paraId="548837BD">
            <w:pPr>
              <w:widowControl/>
              <w:jc w:val="center"/>
              <w:textAlignment w:val="center"/>
              <w:rPr>
                <w:rFonts w:hint="eastAsia" w:ascii="宋体" w:hAnsi="宋体" w:cs="宋体"/>
                <w:kern w:val="44"/>
                <w:szCs w:val="21"/>
                <w:highlight w:val="none"/>
              </w:rPr>
            </w:pPr>
            <w:r>
              <w:rPr>
                <w:rFonts w:hint="eastAsia" w:ascii="宋体" w:hAnsi="宋体" w:cs="宋体"/>
                <w:color w:val="000000"/>
                <w:kern w:val="0"/>
                <w:sz w:val="22"/>
                <w:szCs w:val="22"/>
                <w:highlight w:val="none"/>
                <w:lang w:bidi="ar"/>
              </w:rPr>
              <w:t>2</w:t>
            </w:r>
          </w:p>
        </w:tc>
      </w:tr>
      <w:tr w14:paraId="328F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117B2506">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w:t>
            </w:r>
          </w:p>
        </w:tc>
        <w:tc>
          <w:tcPr>
            <w:tcW w:w="2090" w:type="dxa"/>
            <w:vAlign w:val="center"/>
          </w:tcPr>
          <w:p w14:paraId="3C48161F">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砂纸（各目）</w:t>
            </w:r>
          </w:p>
        </w:tc>
        <w:tc>
          <w:tcPr>
            <w:tcW w:w="4712" w:type="dxa"/>
            <w:vAlign w:val="center"/>
          </w:tcPr>
          <w:p w14:paraId="34856CEB">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砂纸目数 40、 60 、 80</w:t>
            </w:r>
          </w:p>
        </w:tc>
        <w:tc>
          <w:tcPr>
            <w:tcW w:w="942" w:type="dxa"/>
            <w:vAlign w:val="center"/>
          </w:tcPr>
          <w:p w14:paraId="7DB03C0C">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张</w:t>
            </w:r>
          </w:p>
        </w:tc>
        <w:tc>
          <w:tcPr>
            <w:tcW w:w="962" w:type="dxa"/>
            <w:vAlign w:val="center"/>
          </w:tcPr>
          <w:p w14:paraId="6CFC9FE7">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100</w:t>
            </w:r>
          </w:p>
        </w:tc>
      </w:tr>
      <w:tr w14:paraId="037E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3F320F2B">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w:t>
            </w:r>
          </w:p>
        </w:tc>
        <w:tc>
          <w:tcPr>
            <w:tcW w:w="2090" w:type="dxa"/>
            <w:vAlign w:val="center"/>
          </w:tcPr>
          <w:p w14:paraId="7E7CB40B">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抛光轮（各式）</w:t>
            </w:r>
          </w:p>
        </w:tc>
        <w:tc>
          <w:tcPr>
            <w:tcW w:w="4712" w:type="dxa"/>
            <w:vAlign w:val="center"/>
          </w:tcPr>
          <w:p w14:paraId="1113F885">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布轮直径140mm，厚度15mm；用于打磨热塑板材边缘</w:t>
            </w:r>
          </w:p>
        </w:tc>
        <w:tc>
          <w:tcPr>
            <w:tcW w:w="942" w:type="dxa"/>
            <w:vAlign w:val="center"/>
          </w:tcPr>
          <w:p w14:paraId="4631B6CC">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个</w:t>
            </w:r>
          </w:p>
        </w:tc>
        <w:tc>
          <w:tcPr>
            <w:tcW w:w="962" w:type="dxa"/>
            <w:vAlign w:val="center"/>
          </w:tcPr>
          <w:p w14:paraId="7C3E7796">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5</w:t>
            </w:r>
          </w:p>
        </w:tc>
      </w:tr>
      <w:tr w14:paraId="2E89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30B0EC88">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4</w:t>
            </w:r>
          </w:p>
        </w:tc>
        <w:tc>
          <w:tcPr>
            <w:tcW w:w="2090" w:type="dxa"/>
            <w:vAlign w:val="center"/>
          </w:tcPr>
          <w:p w14:paraId="0E6EE38B">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砂滚（各粗糙程度）</w:t>
            </w:r>
          </w:p>
        </w:tc>
        <w:tc>
          <w:tcPr>
            <w:tcW w:w="4712" w:type="dxa"/>
            <w:vAlign w:val="center"/>
          </w:tcPr>
          <w:p w14:paraId="4F1BFF92">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 xml:space="preserve">1、材质：橡胶 </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 xml:space="preserve">2、直径：72.5mm                        </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3.砂纸目数 40、 60 、 80</w:t>
            </w:r>
          </w:p>
        </w:tc>
        <w:tc>
          <w:tcPr>
            <w:tcW w:w="942" w:type="dxa"/>
            <w:vAlign w:val="center"/>
          </w:tcPr>
          <w:p w14:paraId="00286719">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个</w:t>
            </w:r>
          </w:p>
        </w:tc>
        <w:tc>
          <w:tcPr>
            <w:tcW w:w="962" w:type="dxa"/>
            <w:vAlign w:val="center"/>
          </w:tcPr>
          <w:p w14:paraId="2907E281">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20</w:t>
            </w:r>
          </w:p>
        </w:tc>
      </w:tr>
      <w:tr w14:paraId="6877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626C7052">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5</w:t>
            </w:r>
          </w:p>
        </w:tc>
        <w:tc>
          <w:tcPr>
            <w:tcW w:w="2090" w:type="dxa"/>
            <w:vAlign w:val="center"/>
          </w:tcPr>
          <w:p w14:paraId="751DDBF1">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尖刺头</w:t>
            </w:r>
          </w:p>
        </w:tc>
        <w:tc>
          <w:tcPr>
            <w:tcW w:w="4712" w:type="dxa"/>
            <w:vAlign w:val="center"/>
          </w:tcPr>
          <w:p w14:paraId="158BAACF">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直径: 35mm，</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高度: 85mm，</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螺纹: M16</w:t>
            </w:r>
          </w:p>
        </w:tc>
        <w:tc>
          <w:tcPr>
            <w:tcW w:w="942" w:type="dxa"/>
            <w:vAlign w:val="center"/>
          </w:tcPr>
          <w:p w14:paraId="2A247D39">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个</w:t>
            </w:r>
          </w:p>
        </w:tc>
        <w:tc>
          <w:tcPr>
            <w:tcW w:w="962" w:type="dxa"/>
            <w:vAlign w:val="center"/>
          </w:tcPr>
          <w:p w14:paraId="54E4CC1F">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w:t>
            </w:r>
          </w:p>
        </w:tc>
      </w:tr>
      <w:tr w14:paraId="0BF9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51746FDF">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6</w:t>
            </w:r>
          </w:p>
        </w:tc>
        <w:tc>
          <w:tcPr>
            <w:tcW w:w="2090" w:type="dxa"/>
            <w:vAlign w:val="center"/>
          </w:tcPr>
          <w:p w14:paraId="7AF4AB7B">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硬树脂（国产）</w:t>
            </w:r>
          </w:p>
        </w:tc>
        <w:tc>
          <w:tcPr>
            <w:tcW w:w="4712" w:type="dxa"/>
            <w:vAlign w:val="center"/>
          </w:tcPr>
          <w:p w14:paraId="176375FD">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规格：≥4L/桶</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说明：用于制作假肢接受腔，固化反应稳定；</w:t>
            </w:r>
          </w:p>
        </w:tc>
        <w:tc>
          <w:tcPr>
            <w:tcW w:w="942" w:type="dxa"/>
            <w:vAlign w:val="center"/>
          </w:tcPr>
          <w:p w14:paraId="5DB21864">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桶</w:t>
            </w:r>
          </w:p>
        </w:tc>
        <w:tc>
          <w:tcPr>
            <w:tcW w:w="962" w:type="dxa"/>
            <w:vAlign w:val="center"/>
          </w:tcPr>
          <w:p w14:paraId="145E97FC">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100</w:t>
            </w:r>
          </w:p>
        </w:tc>
      </w:tr>
      <w:tr w14:paraId="06A9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7A251B4F">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7</w:t>
            </w:r>
          </w:p>
        </w:tc>
        <w:tc>
          <w:tcPr>
            <w:tcW w:w="2090" w:type="dxa"/>
            <w:vAlign w:val="center"/>
          </w:tcPr>
          <w:p w14:paraId="7C95A500">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硬树脂（进口）</w:t>
            </w:r>
          </w:p>
        </w:tc>
        <w:tc>
          <w:tcPr>
            <w:tcW w:w="4712" w:type="dxa"/>
            <w:vAlign w:val="center"/>
          </w:tcPr>
          <w:p w14:paraId="13E7E238">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材质：主要成分由甲基丙烯酸甲酯、二异丙醇对甲苯胺组成。；</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包装：每件独立铝桶包装，可防潮防腐；</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规格：≥4600g/桶；</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反应平稳、均匀，固化时间25—40分钟，无爆聚现象，能够与固化剂和颜色糊充分融合，成品对人体无害。</w:t>
            </w:r>
          </w:p>
        </w:tc>
        <w:tc>
          <w:tcPr>
            <w:tcW w:w="942" w:type="dxa"/>
            <w:vAlign w:val="center"/>
          </w:tcPr>
          <w:p w14:paraId="41DE4381">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桶</w:t>
            </w:r>
          </w:p>
        </w:tc>
        <w:tc>
          <w:tcPr>
            <w:tcW w:w="962" w:type="dxa"/>
            <w:vAlign w:val="center"/>
          </w:tcPr>
          <w:p w14:paraId="06D07872">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100</w:t>
            </w:r>
          </w:p>
        </w:tc>
      </w:tr>
      <w:tr w14:paraId="0A7A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28E0348E">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8</w:t>
            </w:r>
          </w:p>
        </w:tc>
        <w:tc>
          <w:tcPr>
            <w:tcW w:w="2090" w:type="dxa"/>
            <w:vAlign w:val="center"/>
          </w:tcPr>
          <w:p w14:paraId="3C4D043A">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软树脂（进口）</w:t>
            </w:r>
          </w:p>
        </w:tc>
        <w:tc>
          <w:tcPr>
            <w:tcW w:w="4712" w:type="dxa"/>
            <w:vAlign w:val="center"/>
          </w:tcPr>
          <w:p w14:paraId="71A7FA56">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材质：丙烯酸软树脂；</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包装：每件独立铝桶包装，可防潮防腐；</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规格：≥900g/桶；</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反应平稳、均匀，固化时间25—40分钟，无爆聚现象，能够与固化剂和颜色糊充分融合，成品对人体无害。</w:t>
            </w:r>
          </w:p>
        </w:tc>
        <w:tc>
          <w:tcPr>
            <w:tcW w:w="942" w:type="dxa"/>
            <w:vAlign w:val="center"/>
          </w:tcPr>
          <w:p w14:paraId="543BAA34">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桶</w:t>
            </w:r>
          </w:p>
        </w:tc>
        <w:tc>
          <w:tcPr>
            <w:tcW w:w="962" w:type="dxa"/>
            <w:vAlign w:val="center"/>
          </w:tcPr>
          <w:p w14:paraId="0FFD7B90">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20</w:t>
            </w:r>
          </w:p>
        </w:tc>
      </w:tr>
      <w:tr w14:paraId="2FF3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059E424E">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9</w:t>
            </w:r>
          </w:p>
        </w:tc>
        <w:tc>
          <w:tcPr>
            <w:tcW w:w="2090" w:type="dxa"/>
            <w:vAlign w:val="center"/>
          </w:tcPr>
          <w:p w14:paraId="23626DA0">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割管器</w:t>
            </w:r>
          </w:p>
        </w:tc>
        <w:tc>
          <w:tcPr>
            <w:tcW w:w="4712" w:type="dxa"/>
            <w:vAlign w:val="center"/>
          </w:tcPr>
          <w:p w14:paraId="12144AF3">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重量：0.46kg，切割管直径6-64mm，切割厚壁1-3mm</w:t>
            </w:r>
          </w:p>
        </w:tc>
        <w:tc>
          <w:tcPr>
            <w:tcW w:w="942" w:type="dxa"/>
            <w:vAlign w:val="center"/>
          </w:tcPr>
          <w:p w14:paraId="2F8C0C1E">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个</w:t>
            </w:r>
          </w:p>
        </w:tc>
        <w:tc>
          <w:tcPr>
            <w:tcW w:w="962" w:type="dxa"/>
            <w:vAlign w:val="center"/>
          </w:tcPr>
          <w:p w14:paraId="2AB9AB73">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10</w:t>
            </w:r>
          </w:p>
        </w:tc>
      </w:tr>
      <w:tr w14:paraId="6020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1BFAB3D4">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10</w:t>
            </w:r>
          </w:p>
        </w:tc>
        <w:tc>
          <w:tcPr>
            <w:tcW w:w="2090" w:type="dxa"/>
            <w:vAlign w:val="center"/>
          </w:tcPr>
          <w:p w14:paraId="7BD19225">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割管器刀片</w:t>
            </w:r>
          </w:p>
        </w:tc>
        <w:tc>
          <w:tcPr>
            <w:tcW w:w="4712" w:type="dxa"/>
            <w:vAlign w:val="center"/>
          </w:tcPr>
          <w:p w14:paraId="31E0963F">
            <w:pPr>
              <w:widowControl/>
              <w:jc w:val="left"/>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可切割铜管、铝管、不锈钢管等常用管材，重量：10g</w:t>
            </w:r>
          </w:p>
        </w:tc>
        <w:tc>
          <w:tcPr>
            <w:tcW w:w="942" w:type="dxa"/>
            <w:vAlign w:val="center"/>
          </w:tcPr>
          <w:p w14:paraId="0FF0ABA8">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片</w:t>
            </w:r>
          </w:p>
        </w:tc>
        <w:tc>
          <w:tcPr>
            <w:tcW w:w="962" w:type="dxa"/>
            <w:vAlign w:val="center"/>
          </w:tcPr>
          <w:p w14:paraId="1EF60B6C">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30</w:t>
            </w:r>
          </w:p>
        </w:tc>
      </w:tr>
      <w:tr w14:paraId="02FF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6C56E88F">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11</w:t>
            </w:r>
          </w:p>
        </w:tc>
        <w:tc>
          <w:tcPr>
            <w:tcW w:w="2090" w:type="dxa"/>
            <w:vAlign w:val="center"/>
          </w:tcPr>
          <w:p w14:paraId="5D249961">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锯条</w:t>
            </w:r>
          </w:p>
        </w:tc>
        <w:tc>
          <w:tcPr>
            <w:tcW w:w="4712" w:type="dxa"/>
            <w:vAlign w:val="center"/>
          </w:tcPr>
          <w:p w14:paraId="601CF993">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材质：高碳钢</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规格：315mm</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说明：木头、石膏、不锈钢、铜铝。</w:t>
            </w:r>
          </w:p>
        </w:tc>
        <w:tc>
          <w:tcPr>
            <w:tcW w:w="942" w:type="dxa"/>
            <w:vAlign w:val="center"/>
          </w:tcPr>
          <w:p w14:paraId="529F665A">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条</w:t>
            </w:r>
          </w:p>
        </w:tc>
        <w:tc>
          <w:tcPr>
            <w:tcW w:w="962" w:type="dxa"/>
            <w:vAlign w:val="center"/>
          </w:tcPr>
          <w:p w14:paraId="48265E64">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50</w:t>
            </w:r>
          </w:p>
        </w:tc>
      </w:tr>
      <w:tr w14:paraId="3D1B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30DBB668">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12</w:t>
            </w:r>
          </w:p>
        </w:tc>
        <w:tc>
          <w:tcPr>
            <w:tcW w:w="2090" w:type="dxa"/>
            <w:vAlign w:val="center"/>
          </w:tcPr>
          <w:p w14:paraId="77F189A6">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锯条</w:t>
            </w:r>
          </w:p>
        </w:tc>
        <w:tc>
          <w:tcPr>
            <w:tcW w:w="4712" w:type="dxa"/>
            <w:vAlign w:val="center"/>
          </w:tcPr>
          <w:p w14:paraId="083A9C4B">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材质：高速钢</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规格：18齿、24齿、32齿</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说明：切割流畅、锐利、强劲。锯齿精密加工，保证切割的平直度和锯切速度，真空炉热处理。可以切割不锈钢、合金钢、铸铁、铝和铜等材质。</w:t>
            </w:r>
          </w:p>
        </w:tc>
        <w:tc>
          <w:tcPr>
            <w:tcW w:w="942" w:type="dxa"/>
            <w:vAlign w:val="center"/>
          </w:tcPr>
          <w:p w14:paraId="4B8AADCE">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条</w:t>
            </w:r>
          </w:p>
        </w:tc>
        <w:tc>
          <w:tcPr>
            <w:tcW w:w="962" w:type="dxa"/>
            <w:vAlign w:val="center"/>
          </w:tcPr>
          <w:p w14:paraId="223A9965">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20</w:t>
            </w:r>
          </w:p>
        </w:tc>
      </w:tr>
      <w:tr w14:paraId="7A81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62C54171">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13</w:t>
            </w:r>
          </w:p>
        </w:tc>
        <w:tc>
          <w:tcPr>
            <w:tcW w:w="2090" w:type="dxa"/>
            <w:vAlign w:val="center"/>
          </w:tcPr>
          <w:p w14:paraId="446C80DD">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胶带</w:t>
            </w:r>
          </w:p>
        </w:tc>
        <w:tc>
          <w:tcPr>
            <w:tcW w:w="4712" w:type="dxa"/>
            <w:vAlign w:val="center"/>
          </w:tcPr>
          <w:p w14:paraId="11987EF2">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4"/>
                <w:highlight w:val="none"/>
                <w:lang w:bidi="ar"/>
              </w:rPr>
              <w:t>60mm*100m</w:t>
            </w:r>
          </w:p>
        </w:tc>
        <w:tc>
          <w:tcPr>
            <w:tcW w:w="942" w:type="dxa"/>
            <w:vAlign w:val="center"/>
          </w:tcPr>
          <w:p w14:paraId="224AC988">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卷</w:t>
            </w:r>
          </w:p>
        </w:tc>
        <w:tc>
          <w:tcPr>
            <w:tcW w:w="962" w:type="dxa"/>
            <w:vAlign w:val="center"/>
          </w:tcPr>
          <w:p w14:paraId="2A22220D">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100</w:t>
            </w:r>
          </w:p>
        </w:tc>
      </w:tr>
      <w:tr w14:paraId="7AAA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454FCF67">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14</w:t>
            </w:r>
          </w:p>
        </w:tc>
        <w:tc>
          <w:tcPr>
            <w:tcW w:w="2090" w:type="dxa"/>
            <w:vAlign w:val="center"/>
          </w:tcPr>
          <w:p w14:paraId="21D47345">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取型笔</w:t>
            </w:r>
          </w:p>
        </w:tc>
        <w:tc>
          <w:tcPr>
            <w:tcW w:w="4712" w:type="dxa"/>
            <w:vAlign w:val="center"/>
          </w:tcPr>
          <w:p w14:paraId="6E56D12A">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蓝色</w:t>
            </w:r>
          </w:p>
        </w:tc>
        <w:tc>
          <w:tcPr>
            <w:tcW w:w="942" w:type="dxa"/>
            <w:vAlign w:val="center"/>
          </w:tcPr>
          <w:p w14:paraId="13A333D1">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根</w:t>
            </w:r>
          </w:p>
        </w:tc>
        <w:tc>
          <w:tcPr>
            <w:tcW w:w="962" w:type="dxa"/>
            <w:vAlign w:val="center"/>
          </w:tcPr>
          <w:p w14:paraId="7707A0A1">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50</w:t>
            </w:r>
          </w:p>
        </w:tc>
      </w:tr>
      <w:tr w14:paraId="58D8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6F868339">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15</w:t>
            </w:r>
          </w:p>
        </w:tc>
        <w:tc>
          <w:tcPr>
            <w:tcW w:w="2090" w:type="dxa"/>
            <w:vAlign w:val="center"/>
          </w:tcPr>
          <w:p w14:paraId="16650870">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取型袜</w:t>
            </w:r>
          </w:p>
        </w:tc>
        <w:tc>
          <w:tcPr>
            <w:tcW w:w="4712" w:type="dxa"/>
            <w:vAlign w:val="center"/>
          </w:tcPr>
          <w:p w14:paraId="3D01655D">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肤色，适合身高150-175cm</w:t>
            </w:r>
          </w:p>
        </w:tc>
        <w:tc>
          <w:tcPr>
            <w:tcW w:w="942" w:type="dxa"/>
            <w:vAlign w:val="center"/>
          </w:tcPr>
          <w:p w14:paraId="799A6EDB">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双</w:t>
            </w:r>
          </w:p>
        </w:tc>
        <w:tc>
          <w:tcPr>
            <w:tcW w:w="962" w:type="dxa"/>
            <w:vAlign w:val="center"/>
          </w:tcPr>
          <w:p w14:paraId="349BD21A">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200</w:t>
            </w:r>
          </w:p>
        </w:tc>
      </w:tr>
      <w:tr w14:paraId="4EB6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721450C2">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16</w:t>
            </w:r>
          </w:p>
        </w:tc>
        <w:tc>
          <w:tcPr>
            <w:tcW w:w="2090" w:type="dxa"/>
            <w:vAlign w:val="center"/>
          </w:tcPr>
          <w:p w14:paraId="106B2049">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石膏调刀</w:t>
            </w:r>
          </w:p>
        </w:tc>
        <w:tc>
          <w:tcPr>
            <w:tcW w:w="4712" w:type="dxa"/>
            <w:vAlign w:val="center"/>
          </w:tcPr>
          <w:p w14:paraId="78C24318">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长20cm，宽1.8cm</w:t>
            </w:r>
          </w:p>
        </w:tc>
        <w:tc>
          <w:tcPr>
            <w:tcW w:w="942" w:type="dxa"/>
            <w:vAlign w:val="center"/>
          </w:tcPr>
          <w:p w14:paraId="4F94E0DC">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把</w:t>
            </w:r>
          </w:p>
        </w:tc>
        <w:tc>
          <w:tcPr>
            <w:tcW w:w="962" w:type="dxa"/>
            <w:vAlign w:val="center"/>
          </w:tcPr>
          <w:p w14:paraId="1D833C8E">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20</w:t>
            </w:r>
          </w:p>
        </w:tc>
      </w:tr>
      <w:tr w14:paraId="05A6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54AC263C">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17</w:t>
            </w:r>
          </w:p>
        </w:tc>
        <w:tc>
          <w:tcPr>
            <w:tcW w:w="2090" w:type="dxa"/>
            <w:vAlign w:val="center"/>
          </w:tcPr>
          <w:p w14:paraId="6B43A99B">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石膏碗</w:t>
            </w:r>
          </w:p>
        </w:tc>
        <w:tc>
          <w:tcPr>
            <w:tcW w:w="4712" w:type="dxa"/>
            <w:vAlign w:val="center"/>
          </w:tcPr>
          <w:p w14:paraId="1DCE8909">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高96mm，直径130mm</w:t>
            </w:r>
          </w:p>
        </w:tc>
        <w:tc>
          <w:tcPr>
            <w:tcW w:w="942" w:type="dxa"/>
            <w:vAlign w:val="center"/>
          </w:tcPr>
          <w:p w14:paraId="176BDD23">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个</w:t>
            </w:r>
          </w:p>
        </w:tc>
        <w:tc>
          <w:tcPr>
            <w:tcW w:w="962" w:type="dxa"/>
            <w:vAlign w:val="center"/>
          </w:tcPr>
          <w:p w14:paraId="200F4A67">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10</w:t>
            </w:r>
          </w:p>
        </w:tc>
      </w:tr>
      <w:tr w14:paraId="2562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50E22B27">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18</w:t>
            </w:r>
          </w:p>
        </w:tc>
        <w:tc>
          <w:tcPr>
            <w:tcW w:w="2090" w:type="dxa"/>
            <w:vAlign w:val="center"/>
          </w:tcPr>
          <w:p w14:paraId="0F9E44B9">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壁纸刀（大）</w:t>
            </w:r>
          </w:p>
        </w:tc>
        <w:tc>
          <w:tcPr>
            <w:tcW w:w="4712" w:type="dxa"/>
            <w:vAlign w:val="center"/>
          </w:tcPr>
          <w:p w14:paraId="45BF209C">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刀片宽度25mm</w:t>
            </w:r>
          </w:p>
        </w:tc>
        <w:tc>
          <w:tcPr>
            <w:tcW w:w="942" w:type="dxa"/>
            <w:vAlign w:val="center"/>
          </w:tcPr>
          <w:p w14:paraId="5052CB60">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把</w:t>
            </w:r>
          </w:p>
        </w:tc>
        <w:tc>
          <w:tcPr>
            <w:tcW w:w="962" w:type="dxa"/>
            <w:vAlign w:val="center"/>
          </w:tcPr>
          <w:p w14:paraId="1350FF63">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10</w:t>
            </w:r>
          </w:p>
        </w:tc>
      </w:tr>
      <w:tr w14:paraId="75C2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46438F33">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19</w:t>
            </w:r>
          </w:p>
        </w:tc>
        <w:tc>
          <w:tcPr>
            <w:tcW w:w="2090" w:type="dxa"/>
            <w:vAlign w:val="center"/>
          </w:tcPr>
          <w:p w14:paraId="28D9781D">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壁纸刀（小）</w:t>
            </w:r>
          </w:p>
        </w:tc>
        <w:tc>
          <w:tcPr>
            <w:tcW w:w="4712" w:type="dxa"/>
            <w:vAlign w:val="center"/>
          </w:tcPr>
          <w:p w14:paraId="39E1A92F">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刀片宽度18mm</w:t>
            </w:r>
          </w:p>
        </w:tc>
        <w:tc>
          <w:tcPr>
            <w:tcW w:w="942" w:type="dxa"/>
            <w:vAlign w:val="center"/>
          </w:tcPr>
          <w:p w14:paraId="21242FD7">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把</w:t>
            </w:r>
          </w:p>
        </w:tc>
        <w:tc>
          <w:tcPr>
            <w:tcW w:w="962" w:type="dxa"/>
            <w:vAlign w:val="center"/>
          </w:tcPr>
          <w:p w14:paraId="044C14B0">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10</w:t>
            </w:r>
          </w:p>
        </w:tc>
      </w:tr>
      <w:tr w14:paraId="4E4F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3DC2769C">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20</w:t>
            </w:r>
          </w:p>
        </w:tc>
        <w:tc>
          <w:tcPr>
            <w:tcW w:w="2090" w:type="dxa"/>
            <w:vAlign w:val="center"/>
          </w:tcPr>
          <w:p w14:paraId="684D0853">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壁纸刀刀片（大）</w:t>
            </w:r>
          </w:p>
        </w:tc>
        <w:tc>
          <w:tcPr>
            <w:tcW w:w="4712" w:type="dxa"/>
            <w:vAlign w:val="center"/>
          </w:tcPr>
          <w:p w14:paraId="6E454732">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10片/盒，宽度25mm</w:t>
            </w:r>
          </w:p>
        </w:tc>
        <w:tc>
          <w:tcPr>
            <w:tcW w:w="942" w:type="dxa"/>
            <w:vAlign w:val="center"/>
          </w:tcPr>
          <w:p w14:paraId="72C92A58">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盒</w:t>
            </w:r>
          </w:p>
        </w:tc>
        <w:tc>
          <w:tcPr>
            <w:tcW w:w="962" w:type="dxa"/>
            <w:vAlign w:val="center"/>
          </w:tcPr>
          <w:p w14:paraId="2A6A6270">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30</w:t>
            </w:r>
          </w:p>
        </w:tc>
      </w:tr>
      <w:tr w14:paraId="3820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4EC6B040">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21</w:t>
            </w:r>
          </w:p>
        </w:tc>
        <w:tc>
          <w:tcPr>
            <w:tcW w:w="2090" w:type="dxa"/>
            <w:vAlign w:val="center"/>
          </w:tcPr>
          <w:p w14:paraId="376475C5">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壁纸刀刀片（小）</w:t>
            </w:r>
          </w:p>
        </w:tc>
        <w:tc>
          <w:tcPr>
            <w:tcW w:w="4712" w:type="dxa"/>
            <w:vAlign w:val="center"/>
          </w:tcPr>
          <w:p w14:paraId="2406DD56">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10片/盒，宽度18mm</w:t>
            </w:r>
          </w:p>
        </w:tc>
        <w:tc>
          <w:tcPr>
            <w:tcW w:w="942" w:type="dxa"/>
            <w:vAlign w:val="center"/>
          </w:tcPr>
          <w:p w14:paraId="3665ECC2">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盒</w:t>
            </w:r>
          </w:p>
        </w:tc>
        <w:tc>
          <w:tcPr>
            <w:tcW w:w="962" w:type="dxa"/>
            <w:vAlign w:val="center"/>
          </w:tcPr>
          <w:p w14:paraId="7F389102">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30</w:t>
            </w:r>
          </w:p>
        </w:tc>
      </w:tr>
      <w:tr w14:paraId="7F62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3F78DD8D">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22</w:t>
            </w:r>
          </w:p>
        </w:tc>
        <w:tc>
          <w:tcPr>
            <w:tcW w:w="2090" w:type="dxa"/>
            <w:vAlign w:val="center"/>
          </w:tcPr>
          <w:p w14:paraId="1AD83DFF">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锉刀（圆）</w:t>
            </w:r>
          </w:p>
        </w:tc>
        <w:tc>
          <w:tcPr>
            <w:tcW w:w="4712" w:type="dxa"/>
            <w:vAlign w:val="center"/>
          </w:tcPr>
          <w:p w14:paraId="74CF15F5">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长250mm</w:t>
            </w:r>
          </w:p>
        </w:tc>
        <w:tc>
          <w:tcPr>
            <w:tcW w:w="942" w:type="dxa"/>
            <w:vAlign w:val="center"/>
          </w:tcPr>
          <w:p w14:paraId="478A4C4B">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把</w:t>
            </w:r>
          </w:p>
        </w:tc>
        <w:tc>
          <w:tcPr>
            <w:tcW w:w="962" w:type="dxa"/>
            <w:vAlign w:val="center"/>
          </w:tcPr>
          <w:p w14:paraId="1F9DAF7E">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20</w:t>
            </w:r>
          </w:p>
        </w:tc>
      </w:tr>
      <w:tr w14:paraId="2420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74138C65">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23</w:t>
            </w:r>
          </w:p>
        </w:tc>
        <w:tc>
          <w:tcPr>
            <w:tcW w:w="2090" w:type="dxa"/>
            <w:vAlign w:val="center"/>
          </w:tcPr>
          <w:p w14:paraId="2CFDE160">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锉刀（半圆）</w:t>
            </w:r>
          </w:p>
        </w:tc>
        <w:tc>
          <w:tcPr>
            <w:tcW w:w="4712" w:type="dxa"/>
            <w:vAlign w:val="center"/>
          </w:tcPr>
          <w:p w14:paraId="22BBDBE5">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长250mm，宽40mm</w:t>
            </w:r>
          </w:p>
        </w:tc>
        <w:tc>
          <w:tcPr>
            <w:tcW w:w="942" w:type="dxa"/>
            <w:vAlign w:val="center"/>
          </w:tcPr>
          <w:p w14:paraId="1BEFA6A0">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把</w:t>
            </w:r>
          </w:p>
        </w:tc>
        <w:tc>
          <w:tcPr>
            <w:tcW w:w="962" w:type="dxa"/>
            <w:vAlign w:val="center"/>
          </w:tcPr>
          <w:p w14:paraId="53D81813">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20</w:t>
            </w:r>
          </w:p>
        </w:tc>
      </w:tr>
      <w:tr w14:paraId="4391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0994F93E">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24</w:t>
            </w:r>
          </w:p>
        </w:tc>
        <w:tc>
          <w:tcPr>
            <w:tcW w:w="2090" w:type="dxa"/>
            <w:vAlign w:val="center"/>
          </w:tcPr>
          <w:p w14:paraId="332A82A9">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手钻钻头（各型号）</w:t>
            </w:r>
          </w:p>
        </w:tc>
        <w:tc>
          <w:tcPr>
            <w:tcW w:w="4712" w:type="dxa"/>
            <w:vAlign w:val="center"/>
          </w:tcPr>
          <w:p w14:paraId="00E35DA6">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麻花钻头（3mm，4.2mm）每盒10根</w:t>
            </w:r>
          </w:p>
        </w:tc>
        <w:tc>
          <w:tcPr>
            <w:tcW w:w="942" w:type="dxa"/>
            <w:vAlign w:val="center"/>
          </w:tcPr>
          <w:p w14:paraId="2D8C4B06">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盒</w:t>
            </w:r>
          </w:p>
        </w:tc>
        <w:tc>
          <w:tcPr>
            <w:tcW w:w="962" w:type="dxa"/>
            <w:vAlign w:val="center"/>
          </w:tcPr>
          <w:p w14:paraId="7A26F4FA">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20</w:t>
            </w:r>
          </w:p>
        </w:tc>
      </w:tr>
      <w:tr w14:paraId="61B7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2F5247A3">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25</w:t>
            </w:r>
          </w:p>
        </w:tc>
        <w:tc>
          <w:tcPr>
            <w:tcW w:w="2090" w:type="dxa"/>
            <w:vAlign w:val="center"/>
          </w:tcPr>
          <w:p w14:paraId="029311AF">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发泡剂（进口）</w:t>
            </w:r>
          </w:p>
        </w:tc>
        <w:tc>
          <w:tcPr>
            <w:tcW w:w="4712" w:type="dxa"/>
            <w:vAlign w:val="center"/>
          </w:tcPr>
          <w:p w14:paraId="5F1A1567">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发泡剂规格：≥4600g，固化剂规格：≥4600g，1:1使用</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用于接受腔制作使用，硬度高，固化快。</w:t>
            </w:r>
          </w:p>
        </w:tc>
        <w:tc>
          <w:tcPr>
            <w:tcW w:w="942" w:type="dxa"/>
            <w:vAlign w:val="center"/>
          </w:tcPr>
          <w:p w14:paraId="06B3FE6B">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桶</w:t>
            </w:r>
          </w:p>
        </w:tc>
        <w:tc>
          <w:tcPr>
            <w:tcW w:w="962" w:type="dxa"/>
            <w:vAlign w:val="center"/>
          </w:tcPr>
          <w:p w14:paraId="42340BDD">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6</w:t>
            </w:r>
          </w:p>
        </w:tc>
      </w:tr>
      <w:tr w14:paraId="00ED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68BBA1DD">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26</w:t>
            </w:r>
          </w:p>
        </w:tc>
        <w:tc>
          <w:tcPr>
            <w:tcW w:w="2090" w:type="dxa"/>
            <w:vAlign w:val="center"/>
          </w:tcPr>
          <w:p w14:paraId="013D9918">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圆形曲线锯锯条</w:t>
            </w:r>
          </w:p>
        </w:tc>
        <w:tc>
          <w:tcPr>
            <w:tcW w:w="4712" w:type="dxa"/>
            <w:vAlign w:val="center"/>
          </w:tcPr>
          <w:p w14:paraId="3326E039">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曲线锯专用锯条</w:t>
            </w:r>
          </w:p>
        </w:tc>
        <w:tc>
          <w:tcPr>
            <w:tcW w:w="942" w:type="dxa"/>
            <w:vAlign w:val="center"/>
          </w:tcPr>
          <w:p w14:paraId="7574AE84">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根</w:t>
            </w:r>
          </w:p>
        </w:tc>
        <w:tc>
          <w:tcPr>
            <w:tcW w:w="962" w:type="dxa"/>
            <w:vAlign w:val="center"/>
          </w:tcPr>
          <w:p w14:paraId="1857F20F">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20</w:t>
            </w:r>
          </w:p>
        </w:tc>
      </w:tr>
      <w:tr w14:paraId="1859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3FFC44E0">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27</w:t>
            </w:r>
          </w:p>
        </w:tc>
        <w:tc>
          <w:tcPr>
            <w:tcW w:w="2090" w:type="dxa"/>
            <w:vAlign w:val="center"/>
          </w:tcPr>
          <w:p w14:paraId="4BEB0E95">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热风枪</w:t>
            </w:r>
          </w:p>
        </w:tc>
        <w:tc>
          <w:tcPr>
            <w:tcW w:w="4712" w:type="dxa"/>
            <w:vAlign w:val="center"/>
          </w:tcPr>
          <w:p w14:paraId="139B3AD4">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功率：3000w，温度范围：100-600℃，旋转调温，双层隔热设计</w:t>
            </w:r>
          </w:p>
        </w:tc>
        <w:tc>
          <w:tcPr>
            <w:tcW w:w="942" w:type="dxa"/>
            <w:vAlign w:val="center"/>
          </w:tcPr>
          <w:p w14:paraId="452CA28B">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台</w:t>
            </w:r>
          </w:p>
        </w:tc>
        <w:tc>
          <w:tcPr>
            <w:tcW w:w="962" w:type="dxa"/>
            <w:vAlign w:val="center"/>
          </w:tcPr>
          <w:p w14:paraId="5C648BEE">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w:t>
            </w:r>
          </w:p>
        </w:tc>
      </w:tr>
      <w:tr w14:paraId="7832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2CC8F127">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28</w:t>
            </w:r>
          </w:p>
        </w:tc>
        <w:tc>
          <w:tcPr>
            <w:tcW w:w="2090" w:type="dxa"/>
            <w:vAlign w:val="center"/>
          </w:tcPr>
          <w:p w14:paraId="33D81F04">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快干胶（进口）</w:t>
            </w:r>
          </w:p>
        </w:tc>
        <w:tc>
          <w:tcPr>
            <w:tcW w:w="4712" w:type="dxa"/>
            <w:vAlign w:val="center"/>
          </w:tcPr>
          <w:p w14:paraId="052A98A0">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规格≥900g/桶；</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包装：每件独立铝桶包装，可防潮防腐；</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说明：用于部件粘合及局部增强。固化时间：≤30分钟，粘合时间≤90分钟</w:t>
            </w:r>
          </w:p>
        </w:tc>
        <w:tc>
          <w:tcPr>
            <w:tcW w:w="942" w:type="dxa"/>
            <w:vAlign w:val="center"/>
          </w:tcPr>
          <w:p w14:paraId="4E2DE021">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桶</w:t>
            </w:r>
          </w:p>
        </w:tc>
        <w:tc>
          <w:tcPr>
            <w:tcW w:w="962" w:type="dxa"/>
            <w:vAlign w:val="center"/>
          </w:tcPr>
          <w:p w14:paraId="50FC400F">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20</w:t>
            </w:r>
          </w:p>
        </w:tc>
      </w:tr>
      <w:tr w14:paraId="3BDF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3D9E28CE">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29</w:t>
            </w:r>
          </w:p>
        </w:tc>
        <w:tc>
          <w:tcPr>
            <w:tcW w:w="2090" w:type="dxa"/>
            <w:vAlign w:val="center"/>
          </w:tcPr>
          <w:p w14:paraId="77904D8F">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石膏剪刀</w:t>
            </w:r>
          </w:p>
        </w:tc>
        <w:tc>
          <w:tcPr>
            <w:tcW w:w="4712" w:type="dxa"/>
            <w:vAlign w:val="center"/>
          </w:tcPr>
          <w:p w14:paraId="75FC6846">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规格：≥18cm</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材质：不锈钢</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说明：修整石膏阴型</w:t>
            </w:r>
          </w:p>
        </w:tc>
        <w:tc>
          <w:tcPr>
            <w:tcW w:w="942" w:type="dxa"/>
            <w:vAlign w:val="center"/>
          </w:tcPr>
          <w:p w14:paraId="6F39330C">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把</w:t>
            </w:r>
          </w:p>
        </w:tc>
        <w:tc>
          <w:tcPr>
            <w:tcW w:w="962" w:type="dxa"/>
            <w:vAlign w:val="center"/>
          </w:tcPr>
          <w:p w14:paraId="006849AD">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10</w:t>
            </w:r>
          </w:p>
        </w:tc>
      </w:tr>
      <w:tr w14:paraId="2F35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7993BF3D">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30</w:t>
            </w:r>
          </w:p>
        </w:tc>
        <w:tc>
          <w:tcPr>
            <w:tcW w:w="2090" w:type="dxa"/>
            <w:vAlign w:val="center"/>
          </w:tcPr>
          <w:p w14:paraId="341C7AED">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皮尺</w:t>
            </w:r>
          </w:p>
        </w:tc>
        <w:tc>
          <w:tcPr>
            <w:tcW w:w="4712" w:type="dxa"/>
            <w:vAlign w:val="center"/>
          </w:tcPr>
          <w:p w14:paraId="43A4A200">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长2m</w:t>
            </w:r>
          </w:p>
        </w:tc>
        <w:tc>
          <w:tcPr>
            <w:tcW w:w="942" w:type="dxa"/>
            <w:vAlign w:val="center"/>
          </w:tcPr>
          <w:p w14:paraId="1DE7B3EB">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卷</w:t>
            </w:r>
          </w:p>
        </w:tc>
        <w:tc>
          <w:tcPr>
            <w:tcW w:w="962" w:type="dxa"/>
            <w:vAlign w:val="center"/>
          </w:tcPr>
          <w:p w14:paraId="5CEDF0A6">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20</w:t>
            </w:r>
          </w:p>
        </w:tc>
      </w:tr>
      <w:tr w14:paraId="639C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5" w:type="dxa"/>
            <w:vAlign w:val="center"/>
          </w:tcPr>
          <w:p w14:paraId="41B50701">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31</w:t>
            </w:r>
          </w:p>
        </w:tc>
        <w:tc>
          <w:tcPr>
            <w:tcW w:w="2090" w:type="dxa"/>
            <w:vAlign w:val="center"/>
          </w:tcPr>
          <w:p w14:paraId="58DA7998">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石膏粉</w:t>
            </w:r>
          </w:p>
        </w:tc>
        <w:tc>
          <w:tcPr>
            <w:tcW w:w="4712" w:type="dxa"/>
            <w:vAlign w:val="center"/>
          </w:tcPr>
          <w:p w14:paraId="507799F4">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40kg/袋</w:t>
            </w:r>
          </w:p>
        </w:tc>
        <w:tc>
          <w:tcPr>
            <w:tcW w:w="942" w:type="dxa"/>
            <w:vAlign w:val="center"/>
          </w:tcPr>
          <w:p w14:paraId="175A0866">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袋</w:t>
            </w:r>
          </w:p>
        </w:tc>
        <w:tc>
          <w:tcPr>
            <w:tcW w:w="962" w:type="dxa"/>
            <w:vAlign w:val="center"/>
          </w:tcPr>
          <w:p w14:paraId="7400F3F6">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20</w:t>
            </w:r>
          </w:p>
        </w:tc>
      </w:tr>
    </w:tbl>
    <w:p w14:paraId="79619921">
      <w:pPr>
        <w:rPr>
          <w:rFonts w:hint="eastAsia" w:ascii="宋体" w:hAnsi="宋体" w:cs="宋体"/>
          <w:b/>
          <w:bCs/>
          <w:kern w:val="44"/>
          <w:sz w:val="36"/>
          <w:szCs w:val="36"/>
          <w:highlight w:val="none"/>
          <w:lang w:val="zh-CN"/>
        </w:rPr>
      </w:pPr>
      <w:r>
        <w:rPr>
          <w:rFonts w:hint="eastAsia" w:ascii="宋体" w:hAnsi="宋体" w:cs="宋体"/>
          <w:b/>
          <w:bCs/>
          <w:kern w:val="44"/>
          <w:sz w:val="36"/>
          <w:szCs w:val="36"/>
          <w:highlight w:val="none"/>
          <w:lang w:val="zh-CN"/>
        </w:rPr>
        <w:br w:type="page"/>
      </w:r>
    </w:p>
    <w:p w14:paraId="303C7C07">
      <w:pPr>
        <w:spacing w:line="498" w:lineRule="atLeast"/>
        <w:jc w:val="center"/>
        <w:outlineLvl w:val="1"/>
        <w:rPr>
          <w:rFonts w:hint="eastAsia" w:ascii="宋体" w:hAnsi="宋体" w:cs="宋体"/>
          <w:b/>
          <w:bCs/>
          <w:kern w:val="44"/>
          <w:sz w:val="36"/>
          <w:szCs w:val="36"/>
          <w:highlight w:val="none"/>
          <w:lang w:val="zh-CN"/>
        </w:rPr>
      </w:pPr>
      <w:bookmarkStart w:id="61" w:name="_Toc24154"/>
      <w:r>
        <w:rPr>
          <w:rFonts w:hint="eastAsia" w:ascii="宋体" w:hAnsi="宋体" w:cs="宋体"/>
          <w:b/>
          <w:bCs/>
          <w:kern w:val="44"/>
          <w:sz w:val="36"/>
          <w:szCs w:val="36"/>
          <w:highlight w:val="none"/>
          <w:lang w:val="zh-CN"/>
        </w:rPr>
        <w:t>第六章 谈判响应文件格式</w:t>
      </w:r>
      <w:bookmarkEnd w:id="61"/>
    </w:p>
    <w:p w14:paraId="1B6EE7E5">
      <w:pPr>
        <w:pStyle w:val="56"/>
        <w:spacing w:line="360" w:lineRule="auto"/>
        <w:rPr>
          <w:rFonts w:hint="eastAsia" w:ascii="宋体" w:hAnsi="宋体" w:cs="宋体"/>
          <w:b w:val="0"/>
          <w:sz w:val="40"/>
          <w:szCs w:val="40"/>
          <w:highlight w:val="none"/>
        </w:rPr>
      </w:pPr>
      <w:r>
        <w:rPr>
          <w:rFonts w:ascii="宋体" w:hAnsi="宋体" w:cs="宋体"/>
          <w:b w:val="0"/>
          <w:sz w:val="40"/>
          <w:szCs w:val="40"/>
          <w:highlight w:val="none"/>
        </w:rPr>
        <w:br w:type="page"/>
      </w:r>
    </w:p>
    <w:p w14:paraId="08C2FD62">
      <w:pPr>
        <w:spacing w:line="360" w:lineRule="auto"/>
        <w:jc w:val="center"/>
        <w:rPr>
          <w:rFonts w:hint="eastAsia" w:ascii="宋体" w:hAnsi="宋体" w:cs="宋体"/>
          <w:sz w:val="44"/>
          <w:szCs w:val="56"/>
          <w:highlight w:val="none"/>
        </w:rPr>
      </w:pPr>
      <w:r>
        <w:rPr>
          <w:rFonts w:hint="eastAsia" w:ascii="宋体" w:hAnsi="宋体" w:cs="宋体"/>
          <w:sz w:val="44"/>
          <w:szCs w:val="56"/>
          <w:highlight w:val="none"/>
        </w:rPr>
        <w:t>项目名称</w:t>
      </w:r>
    </w:p>
    <w:p w14:paraId="3B7F4D20">
      <w:pPr>
        <w:spacing w:line="360" w:lineRule="auto"/>
        <w:rPr>
          <w:rFonts w:hint="eastAsia" w:ascii="宋体" w:hAnsi="宋体" w:cs="宋体"/>
          <w:sz w:val="20"/>
          <w:highlight w:val="none"/>
        </w:rPr>
      </w:pPr>
    </w:p>
    <w:p w14:paraId="1DBEAB21">
      <w:pPr>
        <w:spacing w:line="360" w:lineRule="auto"/>
        <w:rPr>
          <w:rFonts w:hint="eastAsia" w:ascii="宋体" w:hAnsi="宋体" w:cs="宋体"/>
          <w:sz w:val="20"/>
          <w:highlight w:val="none"/>
        </w:rPr>
      </w:pPr>
    </w:p>
    <w:p w14:paraId="36B7D70C">
      <w:pPr>
        <w:spacing w:line="360" w:lineRule="auto"/>
        <w:rPr>
          <w:rFonts w:hint="eastAsia" w:ascii="宋体" w:hAnsi="宋体" w:cs="宋体"/>
          <w:sz w:val="20"/>
          <w:highlight w:val="none"/>
        </w:rPr>
      </w:pPr>
    </w:p>
    <w:p w14:paraId="45C1BAD4">
      <w:pPr>
        <w:spacing w:line="360" w:lineRule="auto"/>
        <w:rPr>
          <w:rFonts w:hint="eastAsia" w:ascii="宋体" w:hAnsi="宋体" w:cs="宋体"/>
          <w:sz w:val="20"/>
          <w:highlight w:val="none"/>
        </w:rPr>
      </w:pPr>
    </w:p>
    <w:p w14:paraId="34293E31">
      <w:pPr>
        <w:spacing w:line="360" w:lineRule="auto"/>
        <w:jc w:val="center"/>
        <w:rPr>
          <w:rFonts w:hint="eastAsia" w:ascii="宋体" w:hAnsi="宋体" w:cs="宋体"/>
          <w:sz w:val="72"/>
          <w:szCs w:val="72"/>
          <w:highlight w:val="none"/>
        </w:rPr>
      </w:pPr>
      <w:r>
        <w:rPr>
          <w:rFonts w:hint="eastAsia" w:ascii="宋体" w:hAnsi="宋体" w:cs="宋体"/>
          <w:sz w:val="72"/>
          <w:szCs w:val="72"/>
          <w:highlight w:val="none"/>
        </w:rPr>
        <w:t xml:space="preserve"> 谈判响应文件</w:t>
      </w:r>
    </w:p>
    <w:p w14:paraId="2D43BC36">
      <w:pPr>
        <w:spacing w:line="360" w:lineRule="auto"/>
        <w:jc w:val="center"/>
        <w:rPr>
          <w:rFonts w:hint="eastAsia" w:ascii="宋体" w:hAnsi="宋体" w:cs="宋体"/>
          <w:sz w:val="72"/>
          <w:szCs w:val="72"/>
          <w:highlight w:val="none"/>
        </w:rPr>
      </w:pPr>
      <w:r>
        <w:rPr>
          <w:rFonts w:hint="eastAsia" w:ascii="宋体" w:hAnsi="宋体" w:cs="宋体"/>
          <w:sz w:val="28"/>
          <w:szCs w:val="28"/>
          <w:highlight w:val="none"/>
        </w:rPr>
        <w:t>招标编号：</w:t>
      </w:r>
    </w:p>
    <w:p w14:paraId="1A98385D">
      <w:pPr>
        <w:spacing w:line="360" w:lineRule="auto"/>
        <w:rPr>
          <w:rFonts w:hint="eastAsia" w:ascii="宋体" w:hAnsi="宋体" w:cs="宋体"/>
          <w:sz w:val="28"/>
          <w:szCs w:val="28"/>
          <w:highlight w:val="none"/>
        </w:rPr>
      </w:pPr>
      <w:r>
        <w:rPr>
          <w:rFonts w:hint="eastAsia" w:ascii="宋体" w:hAnsi="宋体" w:cs="宋体"/>
          <w:sz w:val="28"/>
          <w:szCs w:val="28"/>
          <w:highlight w:val="none"/>
        </w:rPr>
        <w:t xml:space="preserve">               </w:t>
      </w:r>
    </w:p>
    <w:p w14:paraId="5CB70BF8">
      <w:pPr>
        <w:spacing w:line="360" w:lineRule="auto"/>
        <w:rPr>
          <w:rFonts w:hint="eastAsia" w:ascii="宋体" w:hAnsi="宋体" w:cs="宋体"/>
          <w:sz w:val="28"/>
          <w:szCs w:val="28"/>
          <w:highlight w:val="none"/>
        </w:rPr>
      </w:pPr>
    </w:p>
    <w:p w14:paraId="75530E2B">
      <w:pPr>
        <w:spacing w:line="360" w:lineRule="auto"/>
        <w:rPr>
          <w:rFonts w:hint="eastAsia" w:ascii="宋体" w:hAnsi="宋体" w:cs="宋体"/>
          <w:sz w:val="28"/>
          <w:szCs w:val="28"/>
          <w:highlight w:val="none"/>
        </w:rPr>
      </w:pPr>
    </w:p>
    <w:p w14:paraId="0E53891A">
      <w:pPr>
        <w:spacing w:line="360" w:lineRule="auto"/>
        <w:rPr>
          <w:rFonts w:hint="eastAsia" w:ascii="宋体" w:hAnsi="宋体" w:cs="宋体"/>
          <w:sz w:val="28"/>
          <w:szCs w:val="28"/>
          <w:highlight w:val="none"/>
        </w:rPr>
      </w:pPr>
    </w:p>
    <w:p w14:paraId="35BF5920">
      <w:pPr>
        <w:spacing w:line="360" w:lineRule="auto"/>
        <w:rPr>
          <w:rFonts w:hint="eastAsia" w:ascii="宋体" w:hAnsi="宋体" w:cs="宋体"/>
          <w:sz w:val="28"/>
          <w:szCs w:val="28"/>
          <w:highlight w:val="none"/>
        </w:rPr>
      </w:pPr>
    </w:p>
    <w:p w14:paraId="08CB00B0">
      <w:pPr>
        <w:spacing w:line="360" w:lineRule="auto"/>
        <w:rPr>
          <w:rFonts w:hint="eastAsia" w:ascii="宋体" w:hAnsi="宋体" w:cs="宋体"/>
          <w:sz w:val="28"/>
          <w:szCs w:val="28"/>
          <w:highlight w:val="none"/>
        </w:rPr>
      </w:pPr>
    </w:p>
    <w:p w14:paraId="6EE60E2A">
      <w:pPr>
        <w:spacing w:line="360" w:lineRule="auto"/>
        <w:rPr>
          <w:rFonts w:hint="eastAsia" w:ascii="宋体" w:hAnsi="宋体" w:cs="宋体"/>
          <w:sz w:val="28"/>
          <w:szCs w:val="28"/>
          <w:highlight w:val="none"/>
        </w:rPr>
      </w:pPr>
    </w:p>
    <w:p w14:paraId="0ABA643C">
      <w:pPr>
        <w:spacing w:line="360" w:lineRule="auto"/>
        <w:rPr>
          <w:rFonts w:hint="eastAsia" w:ascii="宋体" w:hAnsi="宋体" w:cs="宋体"/>
          <w:sz w:val="28"/>
          <w:szCs w:val="28"/>
          <w:highlight w:val="none"/>
        </w:rPr>
      </w:pPr>
    </w:p>
    <w:p w14:paraId="2BA418C1">
      <w:pPr>
        <w:spacing w:line="360" w:lineRule="auto"/>
        <w:ind w:firstLine="980" w:firstLineChars="350"/>
        <w:rPr>
          <w:rFonts w:hint="eastAsia" w:ascii="宋体" w:hAnsi="宋体" w:cs="宋体"/>
          <w:sz w:val="28"/>
          <w:szCs w:val="28"/>
          <w:highlight w:val="none"/>
        </w:rPr>
      </w:pPr>
      <w:r>
        <w:rPr>
          <w:rFonts w:hint="eastAsia" w:ascii="宋体" w:hAnsi="宋体" w:cs="宋体"/>
          <w:sz w:val="28"/>
          <w:szCs w:val="28"/>
          <w:highlight w:val="none"/>
        </w:rPr>
        <w:t>投标人：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（盖单位章）</w:t>
      </w:r>
    </w:p>
    <w:p w14:paraId="51567E7A">
      <w:pPr>
        <w:spacing w:line="360" w:lineRule="auto"/>
        <w:ind w:firstLine="980" w:firstLineChars="350"/>
        <w:rPr>
          <w:rFonts w:hint="eastAsia" w:ascii="宋体" w:hAnsi="宋体" w:cs="宋体"/>
          <w:sz w:val="28"/>
          <w:szCs w:val="28"/>
          <w:highlight w:val="none"/>
          <w:u w:val="single"/>
        </w:rPr>
      </w:pPr>
    </w:p>
    <w:p w14:paraId="7E3EEA67">
      <w:pPr>
        <w:spacing w:line="360" w:lineRule="auto"/>
        <w:ind w:firstLine="840" w:firstLineChars="300"/>
        <w:rPr>
          <w:rFonts w:hint="eastAsia" w:ascii="宋体" w:hAnsi="宋体" w:cs="宋体"/>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w:t>
      </w:r>
    </w:p>
    <w:p w14:paraId="4EB37AB0">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567682C9">
      <w:pPr>
        <w:spacing w:line="360" w:lineRule="auto"/>
        <w:jc w:val="center"/>
        <w:rPr>
          <w:rFonts w:hint="eastAsia" w:ascii="宋体" w:hAnsi="宋体" w:cs="宋体"/>
          <w:sz w:val="28"/>
          <w:szCs w:val="28"/>
          <w:highlight w:val="none"/>
        </w:rPr>
      </w:pPr>
    </w:p>
    <w:p w14:paraId="1B84327D">
      <w:pPr>
        <w:spacing w:line="360" w:lineRule="auto"/>
        <w:jc w:val="center"/>
        <w:rPr>
          <w:rFonts w:hint="eastAsia" w:ascii="宋体" w:hAnsi="宋体" w:cs="宋体"/>
          <w:sz w:val="28"/>
          <w:szCs w:val="28"/>
          <w:highlight w:val="none"/>
        </w:rPr>
      </w:pPr>
    </w:p>
    <w:p w14:paraId="3991943E">
      <w:pPr>
        <w:spacing w:line="360" w:lineRule="auto"/>
        <w:jc w:val="center"/>
        <w:rPr>
          <w:rFonts w:hint="eastAsia" w:ascii="宋体" w:hAnsi="宋体" w:cs="宋体"/>
          <w:highlight w:val="none"/>
        </w:rPr>
      </w:pPr>
      <w:r>
        <w:rPr>
          <w:rFonts w:ascii="宋体" w:hAnsi="宋体" w:cs="宋体"/>
          <w:sz w:val="28"/>
          <w:szCs w:val="28"/>
          <w:highlight w:val="none"/>
        </w:rPr>
        <w:br w:type="page"/>
      </w:r>
      <w:bookmarkEnd w:id="34"/>
      <w:bookmarkStart w:id="62" w:name="_Toc365956993"/>
      <w:r>
        <w:rPr>
          <w:rFonts w:hint="eastAsia" w:ascii="宋体" w:hAnsi="宋体" w:cs="宋体"/>
          <w:b/>
          <w:bCs/>
          <w:sz w:val="32"/>
          <w:szCs w:val="32"/>
          <w:highlight w:val="none"/>
        </w:rPr>
        <w:t>目  录</w:t>
      </w:r>
      <w:bookmarkEnd w:id="62"/>
    </w:p>
    <w:p w14:paraId="20F0D628">
      <w:pPr>
        <w:spacing w:line="600" w:lineRule="exact"/>
        <w:rPr>
          <w:rFonts w:hint="eastAsia" w:ascii="宋体" w:hAnsi="宋体"/>
          <w:highlight w:val="none"/>
        </w:rPr>
      </w:pPr>
      <w:r>
        <w:rPr>
          <w:rFonts w:hint="eastAsia" w:ascii="宋体" w:hAnsi="宋体" w:cs="宋体"/>
          <w:highlight w:val="none"/>
        </w:rPr>
        <w:t>1、</w:t>
      </w:r>
      <w:r>
        <w:rPr>
          <w:rFonts w:hint="eastAsia" w:ascii="宋体" w:hAnsi="宋体"/>
          <w:highlight w:val="none"/>
        </w:rPr>
        <w:t>报价一览表</w:t>
      </w:r>
    </w:p>
    <w:p w14:paraId="525488E2">
      <w:pPr>
        <w:spacing w:line="600" w:lineRule="exact"/>
        <w:rPr>
          <w:rFonts w:hint="eastAsia" w:ascii="宋体" w:hAnsi="宋体"/>
          <w:highlight w:val="none"/>
        </w:rPr>
      </w:pPr>
      <w:r>
        <w:rPr>
          <w:rFonts w:hint="eastAsia" w:ascii="宋体" w:hAnsi="宋体"/>
          <w:highlight w:val="none"/>
        </w:rPr>
        <w:t>2、投标函</w:t>
      </w:r>
    </w:p>
    <w:p w14:paraId="10142377">
      <w:pPr>
        <w:spacing w:line="600" w:lineRule="exact"/>
        <w:rPr>
          <w:rFonts w:hint="eastAsia" w:ascii="宋体" w:hAnsi="宋体"/>
          <w:highlight w:val="none"/>
        </w:rPr>
      </w:pPr>
      <w:r>
        <w:rPr>
          <w:rFonts w:hint="eastAsia" w:ascii="宋体" w:hAnsi="宋体"/>
          <w:highlight w:val="none"/>
        </w:rPr>
        <w:t>3、投标报价一览表</w:t>
      </w:r>
    </w:p>
    <w:p w14:paraId="6FA14C24">
      <w:pPr>
        <w:spacing w:line="600" w:lineRule="exact"/>
        <w:rPr>
          <w:rFonts w:hint="eastAsia" w:ascii="宋体" w:hAnsi="宋体"/>
          <w:highlight w:val="none"/>
        </w:rPr>
      </w:pPr>
      <w:r>
        <w:rPr>
          <w:rFonts w:hint="eastAsia" w:ascii="宋体" w:hAnsi="宋体"/>
          <w:highlight w:val="none"/>
        </w:rPr>
        <w:t>4、技术要求偏离表</w:t>
      </w:r>
    </w:p>
    <w:p w14:paraId="19F2FEF6">
      <w:pPr>
        <w:spacing w:line="600" w:lineRule="exact"/>
        <w:rPr>
          <w:rFonts w:hint="eastAsia" w:ascii="宋体" w:hAnsi="宋体"/>
          <w:highlight w:val="none"/>
        </w:rPr>
      </w:pPr>
      <w:r>
        <w:rPr>
          <w:rFonts w:hint="eastAsia" w:ascii="宋体" w:hAnsi="宋体"/>
          <w:highlight w:val="none"/>
        </w:rPr>
        <w:t>5、商务条款偏离表</w:t>
      </w:r>
    </w:p>
    <w:p w14:paraId="1A2BDCD7">
      <w:pPr>
        <w:spacing w:line="600" w:lineRule="exact"/>
        <w:rPr>
          <w:rFonts w:hint="eastAsia" w:ascii="宋体" w:hAnsi="宋体"/>
          <w:highlight w:val="none"/>
        </w:rPr>
      </w:pPr>
      <w:r>
        <w:rPr>
          <w:rFonts w:hint="eastAsia" w:ascii="宋体" w:hAnsi="宋体"/>
          <w:highlight w:val="none"/>
        </w:rPr>
        <w:t>6、售后服务承诺书</w:t>
      </w:r>
    </w:p>
    <w:p w14:paraId="1FC3E3CC">
      <w:pPr>
        <w:spacing w:line="600" w:lineRule="exact"/>
        <w:rPr>
          <w:rFonts w:hint="eastAsia" w:ascii="宋体" w:hAnsi="宋体"/>
          <w:highlight w:val="none"/>
        </w:rPr>
      </w:pPr>
      <w:r>
        <w:rPr>
          <w:rFonts w:hint="eastAsia" w:ascii="宋体" w:hAnsi="宋体"/>
          <w:highlight w:val="none"/>
        </w:rPr>
        <w:t>7、法定代表人资格证明</w:t>
      </w:r>
    </w:p>
    <w:p w14:paraId="3906CBB9">
      <w:pPr>
        <w:spacing w:line="600" w:lineRule="exact"/>
        <w:rPr>
          <w:rFonts w:hint="eastAsia" w:ascii="宋体" w:hAnsi="宋体"/>
          <w:highlight w:val="none"/>
        </w:rPr>
      </w:pPr>
      <w:r>
        <w:rPr>
          <w:rFonts w:hint="eastAsia" w:ascii="宋体" w:hAnsi="宋体"/>
          <w:highlight w:val="none"/>
        </w:rPr>
        <w:t>8、法定代表人授权书</w:t>
      </w:r>
    </w:p>
    <w:p w14:paraId="54C23E0A">
      <w:pPr>
        <w:spacing w:line="600" w:lineRule="exact"/>
        <w:rPr>
          <w:rFonts w:hint="eastAsia" w:ascii="宋体" w:hAnsi="宋体"/>
          <w:highlight w:val="none"/>
        </w:rPr>
      </w:pPr>
      <w:r>
        <w:rPr>
          <w:rFonts w:hint="eastAsia" w:ascii="宋体" w:hAnsi="宋体"/>
          <w:highlight w:val="none"/>
        </w:rPr>
        <w:t>9、投标人资格证明文件</w:t>
      </w:r>
    </w:p>
    <w:p w14:paraId="3AD2EA90">
      <w:pPr>
        <w:spacing w:line="600" w:lineRule="exact"/>
        <w:rPr>
          <w:rFonts w:hint="eastAsia" w:ascii="宋体" w:hAnsi="宋体"/>
          <w:highlight w:val="none"/>
        </w:rPr>
      </w:pPr>
      <w:r>
        <w:rPr>
          <w:rFonts w:hint="eastAsia" w:ascii="宋体" w:hAnsi="宋体"/>
          <w:highlight w:val="none"/>
        </w:rPr>
        <w:t>10、谈判文件要求提供的其他文件资料</w:t>
      </w:r>
    </w:p>
    <w:p w14:paraId="487D637D">
      <w:pPr>
        <w:spacing w:line="600" w:lineRule="exact"/>
        <w:rPr>
          <w:rFonts w:hint="eastAsia" w:ascii="宋体" w:hAnsi="宋体"/>
          <w:highlight w:val="none"/>
        </w:rPr>
      </w:pPr>
      <w:r>
        <w:rPr>
          <w:rFonts w:hint="eastAsia" w:ascii="宋体" w:hAnsi="宋体"/>
          <w:highlight w:val="none"/>
        </w:rPr>
        <w:t>11、中小企业声明函</w:t>
      </w:r>
    </w:p>
    <w:p w14:paraId="0D5E8FB3">
      <w:pPr>
        <w:spacing w:line="360" w:lineRule="auto"/>
        <w:rPr>
          <w:rFonts w:hint="eastAsia" w:ascii="宋体" w:hAnsi="宋体" w:cs="宋体"/>
          <w:b/>
          <w:sz w:val="24"/>
          <w:szCs w:val="28"/>
          <w:highlight w:val="none"/>
        </w:rPr>
      </w:pPr>
      <w:r>
        <w:rPr>
          <w:rFonts w:hint="eastAsia" w:ascii="宋体" w:hAnsi="宋体"/>
          <w:highlight w:val="none"/>
        </w:rPr>
        <w:br w:type="page"/>
      </w:r>
      <w:r>
        <w:rPr>
          <w:rFonts w:hint="eastAsia" w:ascii="宋体" w:hAnsi="宋体" w:cs="宋体"/>
          <w:b/>
          <w:sz w:val="24"/>
          <w:szCs w:val="28"/>
          <w:highlight w:val="none"/>
        </w:rPr>
        <w:t xml:space="preserve">格式一   </w:t>
      </w:r>
    </w:p>
    <w:p w14:paraId="7FBB7EF8">
      <w:pPr>
        <w:spacing w:line="360" w:lineRule="auto"/>
        <w:jc w:val="center"/>
        <w:rPr>
          <w:rFonts w:hint="eastAsia" w:ascii="宋体" w:hAnsi="宋体" w:cs="宋体"/>
          <w:b/>
          <w:sz w:val="24"/>
          <w:szCs w:val="28"/>
          <w:highlight w:val="none"/>
        </w:rPr>
      </w:pPr>
      <w:r>
        <w:rPr>
          <w:rFonts w:hint="eastAsia" w:ascii="宋体" w:hAnsi="宋体" w:cs="宋体"/>
          <w:b/>
          <w:bCs/>
          <w:sz w:val="24"/>
          <w:szCs w:val="28"/>
          <w:highlight w:val="none"/>
        </w:rPr>
        <w:t>报价一览表（格式）</w:t>
      </w:r>
    </w:p>
    <w:p w14:paraId="5702F218">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项目名称：                                 </w:t>
      </w:r>
    </w:p>
    <w:p w14:paraId="270E6241">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项目编号：</w:t>
      </w:r>
    </w:p>
    <w:p w14:paraId="6DDC21C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投标人名称（加盖公章）：</w:t>
      </w:r>
    </w:p>
    <w:p w14:paraId="31093BD8">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单位负责人或授权代理人（签字）：</w:t>
      </w:r>
    </w:p>
    <w:p w14:paraId="4A4991E1">
      <w:pPr>
        <w:spacing w:line="360" w:lineRule="auto"/>
        <w:rPr>
          <w:rFonts w:hint="eastAsia" w:ascii="宋体" w:hAnsi="宋体" w:cs="宋体"/>
          <w:bCs/>
          <w:sz w:val="24"/>
          <w:highlight w:val="none"/>
        </w:rPr>
      </w:pPr>
    </w:p>
    <w:p w14:paraId="036E385D">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时间：     年  月  日                             </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870"/>
        <w:gridCol w:w="1469"/>
        <w:gridCol w:w="1370"/>
        <w:gridCol w:w="1418"/>
        <w:gridCol w:w="933"/>
      </w:tblGrid>
      <w:tr w14:paraId="4F35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856" w:type="dxa"/>
            <w:vAlign w:val="center"/>
          </w:tcPr>
          <w:p w14:paraId="3674F02C">
            <w:pPr>
              <w:spacing w:line="360" w:lineRule="auto"/>
              <w:jc w:val="center"/>
              <w:rPr>
                <w:rFonts w:hint="eastAsia" w:ascii="宋体" w:hAnsi="宋体" w:cs="宋体"/>
                <w:bCs/>
                <w:sz w:val="24"/>
                <w:highlight w:val="none"/>
              </w:rPr>
            </w:pPr>
            <w:r>
              <w:rPr>
                <w:rFonts w:hint="eastAsia" w:ascii="宋体" w:hAnsi="宋体" w:cs="宋体"/>
                <w:bCs/>
                <w:sz w:val="24"/>
                <w:highlight w:val="none"/>
              </w:rPr>
              <w:t>序号</w:t>
            </w:r>
          </w:p>
        </w:tc>
        <w:tc>
          <w:tcPr>
            <w:tcW w:w="2870" w:type="dxa"/>
            <w:vAlign w:val="center"/>
          </w:tcPr>
          <w:p w14:paraId="3F2E9E27">
            <w:pPr>
              <w:spacing w:line="360" w:lineRule="auto"/>
              <w:jc w:val="center"/>
              <w:rPr>
                <w:rFonts w:hint="eastAsia" w:ascii="宋体" w:hAnsi="宋体" w:cs="宋体"/>
                <w:bCs/>
                <w:sz w:val="24"/>
                <w:highlight w:val="none"/>
              </w:rPr>
            </w:pPr>
            <w:r>
              <w:rPr>
                <w:rFonts w:hint="eastAsia" w:ascii="宋体" w:hAnsi="宋体" w:cs="宋体"/>
                <w:bCs/>
                <w:sz w:val="24"/>
                <w:highlight w:val="none"/>
              </w:rPr>
              <w:t>投标单位</w:t>
            </w:r>
          </w:p>
        </w:tc>
        <w:tc>
          <w:tcPr>
            <w:tcW w:w="1469" w:type="dxa"/>
            <w:vAlign w:val="center"/>
          </w:tcPr>
          <w:p w14:paraId="7A7613A8">
            <w:pPr>
              <w:spacing w:line="360" w:lineRule="auto"/>
              <w:jc w:val="center"/>
              <w:rPr>
                <w:rFonts w:hint="eastAsia" w:ascii="宋体" w:hAnsi="宋体" w:cs="宋体"/>
                <w:bCs/>
                <w:sz w:val="24"/>
                <w:highlight w:val="none"/>
              </w:rPr>
            </w:pPr>
            <w:r>
              <w:rPr>
                <w:rFonts w:hint="eastAsia" w:ascii="宋体" w:hAnsi="宋体" w:cs="宋体"/>
                <w:bCs/>
                <w:sz w:val="24"/>
                <w:highlight w:val="none"/>
              </w:rPr>
              <w:t>投标报价</w:t>
            </w:r>
          </w:p>
        </w:tc>
        <w:tc>
          <w:tcPr>
            <w:tcW w:w="1370" w:type="dxa"/>
            <w:vAlign w:val="center"/>
          </w:tcPr>
          <w:p w14:paraId="1EDD1DE7">
            <w:pPr>
              <w:spacing w:line="360" w:lineRule="auto"/>
              <w:jc w:val="center"/>
              <w:rPr>
                <w:rFonts w:hint="eastAsia" w:ascii="宋体" w:hAnsi="宋体" w:cs="宋体"/>
                <w:bCs/>
                <w:sz w:val="24"/>
                <w:highlight w:val="none"/>
              </w:rPr>
            </w:pPr>
            <w:r>
              <w:rPr>
                <w:rFonts w:hint="eastAsia" w:ascii="宋体" w:hAnsi="宋体" w:cs="宋体"/>
                <w:bCs/>
                <w:sz w:val="24"/>
                <w:highlight w:val="none"/>
              </w:rPr>
              <w:t>质量标准</w:t>
            </w:r>
          </w:p>
        </w:tc>
        <w:tc>
          <w:tcPr>
            <w:tcW w:w="1418" w:type="dxa"/>
            <w:vAlign w:val="center"/>
          </w:tcPr>
          <w:p w14:paraId="23D0E2CA">
            <w:pPr>
              <w:spacing w:line="360" w:lineRule="auto"/>
              <w:jc w:val="center"/>
              <w:rPr>
                <w:rFonts w:hint="eastAsia" w:ascii="宋体" w:hAnsi="宋体" w:cs="宋体"/>
                <w:bCs/>
                <w:sz w:val="24"/>
                <w:highlight w:val="none"/>
              </w:rPr>
            </w:pPr>
            <w:r>
              <w:rPr>
                <w:rFonts w:hint="eastAsia" w:ascii="宋体" w:hAnsi="宋体" w:cs="宋体"/>
                <w:kern w:val="0"/>
                <w:sz w:val="24"/>
                <w:highlight w:val="none"/>
              </w:rPr>
              <w:t>合同履行期限</w:t>
            </w:r>
          </w:p>
        </w:tc>
        <w:tc>
          <w:tcPr>
            <w:tcW w:w="933" w:type="dxa"/>
            <w:vAlign w:val="center"/>
          </w:tcPr>
          <w:p w14:paraId="1F9917E2">
            <w:pPr>
              <w:spacing w:line="360" w:lineRule="auto"/>
              <w:rPr>
                <w:rFonts w:hint="eastAsia" w:ascii="宋体" w:hAnsi="宋体" w:cs="宋体"/>
                <w:bCs/>
                <w:sz w:val="24"/>
                <w:highlight w:val="none"/>
              </w:rPr>
            </w:pPr>
            <w:r>
              <w:rPr>
                <w:rFonts w:hint="eastAsia" w:ascii="宋体" w:hAnsi="宋体" w:cs="宋体"/>
                <w:bCs/>
                <w:sz w:val="24"/>
                <w:highlight w:val="none"/>
              </w:rPr>
              <w:t>说明</w:t>
            </w:r>
          </w:p>
        </w:tc>
      </w:tr>
      <w:tr w14:paraId="0805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exact"/>
          <w:jc w:val="center"/>
        </w:trPr>
        <w:tc>
          <w:tcPr>
            <w:tcW w:w="856" w:type="dxa"/>
          </w:tcPr>
          <w:p w14:paraId="62827E48">
            <w:pPr>
              <w:spacing w:line="360" w:lineRule="auto"/>
              <w:rPr>
                <w:rFonts w:hint="eastAsia" w:ascii="宋体" w:hAnsi="宋体" w:cs="宋体"/>
                <w:bCs/>
                <w:sz w:val="24"/>
                <w:highlight w:val="none"/>
              </w:rPr>
            </w:pPr>
          </w:p>
        </w:tc>
        <w:tc>
          <w:tcPr>
            <w:tcW w:w="2870" w:type="dxa"/>
          </w:tcPr>
          <w:p w14:paraId="4333777C">
            <w:pPr>
              <w:spacing w:line="360" w:lineRule="auto"/>
              <w:rPr>
                <w:rFonts w:hint="eastAsia" w:ascii="宋体" w:hAnsi="宋体" w:cs="宋体"/>
                <w:bCs/>
                <w:sz w:val="24"/>
                <w:highlight w:val="none"/>
              </w:rPr>
            </w:pPr>
          </w:p>
        </w:tc>
        <w:tc>
          <w:tcPr>
            <w:tcW w:w="1469" w:type="dxa"/>
          </w:tcPr>
          <w:p w14:paraId="287B9608">
            <w:pPr>
              <w:spacing w:line="360" w:lineRule="auto"/>
              <w:rPr>
                <w:rFonts w:hint="eastAsia" w:ascii="宋体" w:hAnsi="宋体" w:cs="宋体"/>
                <w:bCs/>
                <w:sz w:val="24"/>
                <w:highlight w:val="none"/>
              </w:rPr>
            </w:pPr>
          </w:p>
        </w:tc>
        <w:tc>
          <w:tcPr>
            <w:tcW w:w="1370" w:type="dxa"/>
          </w:tcPr>
          <w:p w14:paraId="28377D69">
            <w:pPr>
              <w:spacing w:line="360" w:lineRule="auto"/>
              <w:rPr>
                <w:rFonts w:hint="eastAsia" w:ascii="宋体" w:hAnsi="宋体" w:cs="宋体"/>
                <w:bCs/>
                <w:sz w:val="24"/>
                <w:highlight w:val="none"/>
              </w:rPr>
            </w:pPr>
          </w:p>
        </w:tc>
        <w:tc>
          <w:tcPr>
            <w:tcW w:w="1418" w:type="dxa"/>
          </w:tcPr>
          <w:p w14:paraId="73D2EA13">
            <w:pPr>
              <w:spacing w:line="360" w:lineRule="auto"/>
              <w:rPr>
                <w:rFonts w:hint="eastAsia" w:ascii="宋体" w:hAnsi="宋体" w:cs="宋体"/>
                <w:bCs/>
                <w:sz w:val="24"/>
                <w:highlight w:val="none"/>
              </w:rPr>
            </w:pPr>
          </w:p>
        </w:tc>
        <w:tc>
          <w:tcPr>
            <w:tcW w:w="933" w:type="dxa"/>
          </w:tcPr>
          <w:p w14:paraId="7D6ADF4C">
            <w:pPr>
              <w:spacing w:line="360" w:lineRule="auto"/>
              <w:rPr>
                <w:rFonts w:hint="eastAsia" w:ascii="宋体" w:hAnsi="宋体" w:cs="宋体"/>
                <w:bCs/>
                <w:sz w:val="24"/>
                <w:highlight w:val="none"/>
              </w:rPr>
            </w:pPr>
          </w:p>
        </w:tc>
      </w:tr>
      <w:tr w14:paraId="02F7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exact"/>
          <w:jc w:val="center"/>
        </w:trPr>
        <w:tc>
          <w:tcPr>
            <w:tcW w:w="856" w:type="dxa"/>
          </w:tcPr>
          <w:p w14:paraId="520C8DE5">
            <w:pPr>
              <w:spacing w:line="360" w:lineRule="auto"/>
              <w:rPr>
                <w:rFonts w:hint="eastAsia" w:ascii="宋体" w:hAnsi="宋体" w:cs="宋体"/>
                <w:bCs/>
                <w:sz w:val="24"/>
                <w:highlight w:val="none"/>
              </w:rPr>
            </w:pPr>
          </w:p>
        </w:tc>
        <w:tc>
          <w:tcPr>
            <w:tcW w:w="2870" w:type="dxa"/>
          </w:tcPr>
          <w:p w14:paraId="46AC703E">
            <w:pPr>
              <w:spacing w:line="360" w:lineRule="auto"/>
              <w:rPr>
                <w:rFonts w:hint="eastAsia" w:ascii="宋体" w:hAnsi="宋体" w:cs="宋体"/>
                <w:bCs/>
                <w:sz w:val="24"/>
                <w:highlight w:val="none"/>
              </w:rPr>
            </w:pPr>
          </w:p>
        </w:tc>
        <w:tc>
          <w:tcPr>
            <w:tcW w:w="1469" w:type="dxa"/>
          </w:tcPr>
          <w:p w14:paraId="605AE37F">
            <w:pPr>
              <w:spacing w:line="360" w:lineRule="auto"/>
              <w:rPr>
                <w:rFonts w:hint="eastAsia" w:ascii="宋体" w:hAnsi="宋体" w:cs="宋体"/>
                <w:bCs/>
                <w:sz w:val="24"/>
                <w:highlight w:val="none"/>
              </w:rPr>
            </w:pPr>
          </w:p>
        </w:tc>
        <w:tc>
          <w:tcPr>
            <w:tcW w:w="1370" w:type="dxa"/>
          </w:tcPr>
          <w:p w14:paraId="19D66B56">
            <w:pPr>
              <w:spacing w:line="360" w:lineRule="auto"/>
              <w:rPr>
                <w:rFonts w:hint="eastAsia" w:ascii="宋体" w:hAnsi="宋体" w:cs="宋体"/>
                <w:bCs/>
                <w:sz w:val="24"/>
                <w:highlight w:val="none"/>
              </w:rPr>
            </w:pPr>
          </w:p>
        </w:tc>
        <w:tc>
          <w:tcPr>
            <w:tcW w:w="1418" w:type="dxa"/>
          </w:tcPr>
          <w:p w14:paraId="51E080CE">
            <w:pPr>
              <w:spacing w:line="360" w:lineRule="auto"/>
              <w:rPr>
                <w:rFonts w:hint="eastAsia" w:ascii="宋体" w:hAnsi="宋体" w:cs="宋体"/>
                <w:bCs/>
                <w:sz w:val="24"/>
                <w:highlight w:val="none"/>
              </w:rPr>
            </w:pPr>
          </w:p>
        </w:tc>
        <w:tc>
          <w:tcPr>
            <w:tcW w:w="933" w:type="dxa"/>
          </w:tcPr>
          <w:p w14:paraId="2CBA5260">
            <w:pPr>
              <w:spacing w:line="360" w:lineRule="auto"/>
              <w:rPr>
                <w:rFonts w:hint="eastAsia" w:ascii="宋体" w:hAnsi="宋体" w:cs="宋体"/>
                <w:bCs/>
                <w:sz w:val="24"/>
                <w:highlight w:val="none"/>
              </w:rPr>
            </w:pPr>
          </w:p>
        </w:tc>
      </w:tr>
      <w:tr w14:paraId="70C5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exact"/>
          <w:jc w:val="center"/>
        </w:trPr>
        <w:tc>
          <w:tcPr>
            <w:tcW w:w="856" w:type="dxa"/>
          </w:tcPr>
          <w:p w14:paraId="5A4DA634">
            <w:pPr>
              <w:spacing w:line="360" w:lineRule="auto"/>
              <w:rPr>
                <w:rFonts w:hint="eastAsia" w:ascii="宋体" w:hAnsi="宋体" w:cs="宋体"/>
                <w:bCs/>
                <w:sz w:val="24"/>
                <w:highlight w:val="none"/>
              </w:rPr>
            </w:pPr>
          </w:p>
        </w:tc>
        <w:tc>
          <w:tcPr>
            <w:tcW w:w="2870" w:type="dxa"/>
          </w:tcPr>
          <w:p w14:paraId="6FEDF487">
            <w:pPr>
              <w:spacing w:line="360" w:lineRule="auto"/>
              <w:rPr>
                <w:rFonts w:hint="eastAsia" w:ascii="宋体" w:hAnsi="宋体" w:cs="宋体"/>
                <w:bCs/>
                <w:sz w:val="24"/>
                <w:highlight w:val="none"/>
              </w:rPr>
            </w:pPr>
          </w:p>
        </w:tc>
        <w:tc>
          <w:tcPr>
            <w:tcW w:w="1469" w:type="dxa"/>
          </w:tcPr>
          <w:p w14:paraId="16CAD582">
            <w:pPr>
              <w:spacing w:line="360" w:lineRule="auto"/>
              <w:rPr>
                <w:rFonts w:hint="eastAsia" w:ascii="宋体" w:hAnsi="宋体" w:cs="宋体"/>
                <w:bCs/>
                <w:sz w:val="24"/>
                <w:highlight w:val="none"/>
              </w:rPr>
            </w:pPr>
          </w:p>
        </w:tc>
        <w:tc>
          <w:tcPr>
            <w:tcW w:w="1370" w:type="dxa"/>
          </w:tcPr>
          <w:p w14:paraId="7E6D9671">
            <w:pPr>
              <w:spacing w:line="360" w:lineRule="auto"/>
              <w:rPr>
                <w:rFonts w:hint="eastAsia" w:ascii="宋体" w:hAnsi="宋体" w:cs="宋体"/>
                <w:bCs/>
                <w:sz w:val="24"/>
                <w:highlight w:val="none"/>
              </w:rPr>
            </w:pPr>
          </w:p>
        </w:tc>
        <w:tc>
          <w:tcPr>
            <w:tcW w:w="1418" w:type="dxa"/>
          </w:tcPr>
          <w:p w14:paraId="4D31726C">
            <w:pPr>
              <w:spacing w:line="360" w:lineRule="auto"/>
              <w:rPr>
                <w:rFonts w:hint="eastAsia" w:ascii="宋体" w:hAnsi="宋体" w:cs="宋体"/>
                <w:bCs/>
                <w:sz w:val="24"/>
                <w:highlight w:val="none"/>
              </w:rPr>
            </w:pPr>
          </w:p>
        </w:tc>
        <w:tc>
          <w:tcPr>
            <w:tcW w:w="933" w:type="dxa"/>
          </w:tcPr>
          <w:p w14:paraId="7CFF7F5C">
            <w:pPr>
              <w:spacing w:line="360" w:lineRule="auto"/>
              <w:rPr>
                <w:rFonts w:hint="eastAsia" w:ascii="宋体" w:hAnsi="宋体" w:cs="宋体"/>
                <w:bCs/>
                <w:sz w:val="24"/>
                <w:highlight w:val="none"/>
              </w:rPr>
            </w:pPr>
          </w:p>
        </w:tc>
      </w:tr>
    </w:tbl>
    <w:p w14:paraId="71A3C402">
      <w:pPr>
        <w:pStyle w:val="33"/>
        <w:spacing w:line="360" w:lineRule="auto"/>
        <w:outlineLvl w:val="0"/>
        <w:rPr>
          <w:highlight w:val="none"/>
        </w:rPr>
      </w:pPr>
    </w:p>
    <w:p w14:paraId="32A3740B">
      <w:pPr>
        <w:pStyle w:val="33"/>
        <w:spacing w:line="360" w:lineRule="auto"/>
        <w:outlineLvl w:val="0"/>
        <w:rPr>
          <w:highlight w:val="none"/>
        </w:rPr>
      </w:pPr>
    </w:p>
    <w:p w14:paraId="43A79274">
      <w:pPr>
        <w:pStyle w:val="33"/>
        <w:spacing w:line="360" w:lineRule="auto"/>
        <w:outlineLvl w:val="0"/>
        <w:rPr>
          <w:highlight w:val="none"/>
        </w:rPr>
      </w:pPr>
    </w:p>
    <w:p w14:paraId="0EAA386C">
      <w:pPr>
        <w:pStyle w:val="33"/>
        <w:spacing w:line="360" w:lineRule="auto"/>
        <w:outlineLvl w:val="0"/>
        <w:rPr>
          <w:highlight w:val="none"/>
        </w:rPr>
      </w:pPr>
    </w:p>
    <w:p w14:paraId="33433744">
      <w:pPr>
        <w:pStyle w:val="33"/>
        <w:spacing w:line="360" w:lineRule="auto"/>
        <w:outlineLvl w:val="0"/>
        <w:rPr>
          <w:highlight w:val="none"/>
        </w:rPr>
      </w:pPr>
    </w:p>
    <w:p w14:paraId="34ABEFBD">
      <w:pPr>
        <w:pStyle w:val="33"/>
        <w:spacing w:line="360" w:lineRule="auto"/>
        <w:outlineLvl w:val="0"/>
        <w:rPr>
          <w:highlight w:val="none"/>
        </w:rPr>
      </w:pPr>
    </w:p>
    <w:p w14:paraId="4318FCCD">
      <w:pPr>
        <w:rPr>
          <w:highlight w:val="none"/>
        </w:rPr>
      </w:pPr>
    </w:p>
    <w:p w14:paraId="30A727D4">
      <w:pPr>
        <w:rPr>
          <w:highlight w:val="none"/>
        </w:rPr>
      </w:pPr>
      <w:r>
        <w:rPr>
          <w:highlight w:val="none"/>
        </w:rPr>
        <w:br w:type="page"/>
      </w:r>
    </w:p>
    <w:p w14:paraId="17AFC450">
      <w:pPr>
        <w:spacing w:line="360" w:lineRule="auto"/>
        <w:rPr>
          <w:rFonts w:hint="eastAsia" w:ascii="宋体" w:hAnsi="宋体" w:cs="宋体"/>
          <w:b/>
          <w:sz w:val="24"/>
          <w:szCs w:val="28"/>
          <w:highlight w:val="none"/>
        </w:rPr>
      </w:pPr>
      <w:r>
        <w:rPr>
          <w:rFonts w:hint="eastAsia" w:ascii="宋体" w:hAnsi="宋体" w:cs="宋体"/>
          <w:b/>
          <w:sz w:val="24"/>
          <w:szCs w:val="28"/>
          <w:highlight w:val="none"/>
        </w:rPr>
        <w:t>格式二：</w:t>
      </w:r>
    </w:p>
    <w:p w14:paraId="4D0AF1CD">
      <w:pPr>
        <w:pStyle w:val="33"/>
        <w:spacing w:line="360" w:lineRule="auto"/>
        <w:jc w:val="center"/>
        <w:outlineLvl w:val="0"/>
        <w:rPr>
          <w:rFonts w:hint="eastAsia" w:ascii="宋体" w:hAnsi="宋体" w:cs="宋体"/>
          <w:b/>
          <w:bCs/>
          <w:szCs w:val="28"/>
          <w:highlight w:val="none"/>
        </w:rPr>
      </w:pPr>
      <w:bookmarkStart w:id="63" w:name="_Toc4559"/>
      <w:r>
        <w:rPr>
          <w:rFonts w:hint="eastAsia" w:ascii="宋体" w:hAnsi="宋体" w:cs="宋体"/>
          <w:b/>
          <w:bCs/>
          <w:szCs w:val="28"/>
          <w:highlight w:val="none"/>
        </w:rPr>
        <w:t>投标函（格式）</w:t>
      </w:r>
      <w:bookmarkEnd w:id="63"/>
    </w:p>
    <w:p w14:paraId="37EB1CEA">
      <w:pPr>
        <w:pStyle w:val="33"/>
        <w:widowControl/>
        <w:spacing w:line="300" w:lineRule="auto"/>
        <w:outlineLvl w:val="0"/>
        <w:rPr>
          <w:rFonts w:hint="eastAsia" w:ascii="宋体" w:hAnsi="宋体" w:cs="宋体"/>
          <w:kern w:val="0"/>
          <w:szCs w:val="24"/>
          <w:highlight w:val="none"/>
          <w:u w:val="single"/>
        </w:rPr>
      </w:pPr>
      <w:bookmarkStart w:id="64" w:name="_Toc25204"/>
      <w:r>
        <w:rPr>
          <w:rFonts w:hint="eastAsia" w:ascii="宋体" w:hAnsi="宋体" w:cs="宋体"/>
          <w:kern w:val="0"/>
          <w:szCs w:val="24"/>
          <w:highlight w:val="none"/>
        </w:rPr>
        <w:t>致：吉林融鼎工程项目管理有限公司</w:t>
      </w:r>
      <w:bookmarkEnd w:id="64"/>
    </w:p>
    <w:p w14:paraId="51C115DF">
      <w:pPr>
        <w:spacing w:line="300" w:lineRule="auto"/>
        <w:ind w:firstLine="480" w:firstLineChars="200"/>
        <w:outlineLvl w:val="0"/>
        <w:rPr>
          <w:rFonts w:hint="eastAsia" w:ascii="宋体" w:hAnsi="宋体" w:cs="宋体"/>
          <w:sz w:val="24"/>
          <w:highlight w:val="none"/>
        </w:rPr>
      </w:pPr>
      <w:bookmarkStart w:id="65" w:name="_Toc16552"/>
      <w:r>
        <w:rPr>
          <w:rFonts w:hint="eastAsia" w:ascii="宋体" w:hAnsi="宋体" w:cs="宋体"/>
          <w:sz w:val="24"/>
          <w:highlight w:val="none"/>
        </w:rPr>
        <w:t>根据贵方招标采购</w:t>
      </w:r>
      <w:r>
        <w:rPr>
          <w:rFonts w:hint="eastAsia" w:ascii="宋体" w:hAnsi="宋体" w:cs="宋体"/>
          <w:sz w:val="24"/>
          <w:highlight w:val="none"/>
          <w:u w:val="single"/>
        </w:rPr>
        <w:t xml:space="preserve">                           </w:t>
      </w:r>
      <w:r>
        <w:rPr>
          <w:rFonts w:hint="eastAsia" w:ascii="宋体" w:hAnsi="宋体" w:cs="宋体"/>
          <w:sz w:val="24"/>
          <w:highlight w:val="none"/>
        </w:rPr>
        <w:t>项目的编号为</w:t>
      </w:r>
      <w:r>
        <w:rPr>
          <w:rFonts w:hint="eastAsia" w:ascii="宋体" w:hAnsi="宋体" w:cs="宋体"/>
          <w:sz w:val="24"/>
          <w:highlight w:val="none"/>
          <w:u w:val="single"/>
        </w:rPr>
        <w:t xml:space="preserve">         </w:t>
      </w:r>
      <w:r>
        <w:rPr>
          <w:rFonts w:hint="eastAsia" w:ascii="宋体" w:hAnsi="宋体" w:cs="宋体"/>
          <w:sz w:val="24"/>
          <w:highlight w:val="none"/>
        </w:rPr>
        <w:t>竞争性谈判文件，本投标人正式授权的下述签字人</w:t>
      </w:r>
      <w:r>
        <w:rPr>
          <w:rFonts w:hint="eastAsia" w:ascii="宋体" w:hAnsi="宋体" w:cs="宋体"/>
          <w:sz w:val="24"/>
          <w:highlight w:val="none"/>
          <w:u w:val="single"/>
        </w:rPr>
        <w:t xml:space="preserve">         </w:t>
      </w:r>
      <w:r>
        <w:rPr>
          <w:rFonts w:hint="eastAsia" w:ascii="宋体" w:hAnsi="宋体" w:cs="宋体"/>
          <w:sz w:val="24"/>
          <w:highlight w:val="none"/>
        </w:rPr>
        <w:t>（姓名和职务）代表投标人</w:t>
      </w:r>
      <w:r>
        <w:rPr>
          <w:rFonts w:hint="eastAsia" w:ascii="宋体" w:hAnsi="宋体" w:cs="宋体"/>
          <w:sz w:val="24"/>
          <w:highlight w:val="none"/>
          <w:u w:val="single"/>
        </w:rPr>
        <w:t xml:space="preserve">    </w:t>
      </w:r>
      <w:r>
        <w:rPr>
          <w:rFonts w:hint="eastAsia" w:ascii="宋体" w:hAnsi="宋体" w:cs="宋体"/>
          <w:sz w:val="24"/>
          <w:highlight w:val="none"/>
        </w:rPr>
        <w:t>（投标人的名称），提交下述投标文件：</w:t>
      </w:r>
      <w:bookmarkEnd w:id="65"/>
    </w:p>
    <w:p w14:paraId="7770F62F">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（1）投标报价一览表；</w:t>
      </w:r>
    </w:p>
    <w:p w14:paraId="43A151AD">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（2）技术要求偏离表、商务条款偏离表；</w:t>
      </w:r>
    </w:p>
    <w:p w14:paraId="1EC72334">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（3）投标人须知要求的资格证明文件；</w:t>
      </w:r>
    </w:p>
    <w:p w14:paraId="589E550F">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（4）售后服务承诺书；</w:t>
      </w:r>
    </w:p>
    <w:p w14:paraId="4D32121D">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（5）投标人须知要求投标人提交的全部文件；</w:t>
      </w:r>
    </w:p>
    <w:p w14:paraId="14EDD16F">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（6）有关质量保证的各项文件。</w:t>
      </w:r>
    </w:p>
    <w:p w14:paraId="02883C36">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据此函，签字人兹宣布同意如下：</w:t>
      </w:r>
    </w:p>
    <w:p w14:paraId="3F7A8F87">
      <w:pPr>
        <w:tabs>
          <w:tab w:val="left" w:pos="8175"/>
        </w:tabs>
        <w:spacing w:line="300" w:lineRule="auto"/>
        <w:ind w:firstLine="480" w:firstLineChars="200"/>
        <w:rPr>
          <w:rFonts w:hint="eastAsia" w:ascii="宋体" w:hAnsi="宋体" w:cs="宋体"/>
          <w:sz w:val="24"/>
          <w:highlight w:val="none"/>
        </w:rPr>
      </w:pPr>
      <w:r>
        <w:rPr>
          <w:rFonts w:hint="eastAsia" w:ascii="宋体" w:hAnsi="宋体" w:cs="宋体"/>
          <w:sz w:val="24"/>
          <w:highlight w:val="none"/>
        </w:rPr>
        <w:t>(1)按竞争性谈判文件规定提供服务的投标总价愿意以第二轮的最终报价作为本项目的最后报价。</w:t>
      </w:r>
    </w:p>
    <w:p w14:paraId="5BE0F274">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(2)我们保证根据竞争性谈判文件规定履行合同责任和义务。</w:t>
      </w:r>
    </w:p>
    <w:p w14:paraId="5FC236C3">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(3)我们已详细审核了全部竞争性谈判文件，包括竞争性谈判文件的修改、补充文件（如果有的话）、参考资料及有关的附件，我们知道必须放弃提出含糊不清或误解的问题的权利。</w:t>
      </w:r>
    </w:p>
    <w:p w14:paraId="38BBC2E3">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(4)我们同意在投标人须知规定的开标日期起遵循本投标书，并在投标人须知规定的投标有效期满之前均具有约束力，并有可能中标。</w:t>
      </w:r>
    </w:p>
    <w:p w14:paraId="16305576">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(5)我们如果在规定的投标有效期内撤回投标，则我们的投标保证金可被贵方没收。</w:t>
      </w:r>
    </w:p>
    <w:p w14:paraId="574B3EEC">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(6)我们同意向贵方提供贵方可能要求的与本投标有关的任何证据或资料。</w:t>
      </w:r>
    </w:p>
    <w:p w14:paraId="7CB9C044">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(7)我们完全理解贵方不一定要接受最低报价的投标或收到的任何投标。</w:t>
      </w:r>
    </w:p>
    <w:p w14:paraId="7D11FD6A">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(8)本投标自开标之日起90天内有效。</w:t>
      </w:r>
    </w:p>
    <w:p w14:paraId="3633D082">
      <w:pPr>
        <w:spacing w:line="300" w:lineRule="auto"/>
        <w:ind w:firstLine="480" w:firstLineChars="200"/>
        <w:rPr>
          <w:rFonts w:hint="eastAsia" w:ascii="宋体" w:hAnsi="宋体" w:cs="宋体"/>
          <w:sz w:val="24"/>
          <w:highlight w:val="none"/>
        </w:rPr>
      </w:pPr>
      <w:r>
        <w:rPr>
          <w:rFonts w:hint="eastAsia" w:ascii="宋体" w:hAnsi="宋体" w:cs="宋体"/>
          <w:sz w:val="24"/>
          <w:highlight w:val="none"/>
        </w:rPr>
        <w:t>与本投标有关的正式通信地址为：</w:t>
      </w:r>
    </w:p>
    <w:p w14:paraId="7CD2CE95">
      <w:pPr>
        <w:spacing w:line="300" w:lineRule="auto"/>
        <w:ind w:firstLine="570"/>
        <w:rPr>
          <w:rFonts w:hint="eastAsia" w:ascii="宋体" w:hAnsi="宋体" w:cs="宋体"/>
          <w:sz w:val="24"/>
          <w:highlight w:val="none"/>
        </w:rPr>
      </w:pPr>
    </w:p>
    <w:p w14:paraId="3E4C35A5">
      <w:pPr>
        <w:spacing w:line="300" w:lineRule="auto"/>
        <w:ind w:firstLine="570"/>
        <w:rPr>
          <w:rFonts w:hint="eastAsia" w:ascii="宋体" w:hAnsi="宋体" w:cs="宋体"/>
          <w:sz w:val="24"/>
          <w:highlight w:val="none"/>
          <w:u w:val="single"/>
        </w:rPr>
      </w:pPr>
      <w:r>
        <w:rPr>
          <w:rFonts w:hint="eastAsia" w:ascii="宋体" w:hAnsi="宋体" w:cs="宋体"/>
          <w:sz w:val="24"/>
          <w:highlight w:val="none"/>
        </w:rPr>
        <w:t>电话、传真或电传：</w:t>
      </w:r>
      <w:r>
        <w:rPr>
          <w:rFonts w:hint="eastAsia" w:ascii="宋体" w:hAnsi="宋体" w:cs="宋体"/>
          <w:sz w:val="24"/>
          <w:highlight w:val="none"/>
          <w:u w:val="single"/>
        </w:rPr>
        <w:t xml:space="preserve">                           </w:t>
      </w:r>
    </w:p>
    <w:p w14:paraId="0CB2DD2D">
      <w:pPr>
        <w:spacing w:line="300" w:lineRule="auto"/>
        <w:ind w:firstLine="570"/>
        <w:rPr>
          <w:rFonts w:hint="eastAsia" w:ascii="宋体" w:hAnsi="宋体" w:cs="宋体"/>
          <w:sz w:val="24"/>
          <w:highlight w:val="none"/>
          <w:u w:val="single"/>
        </w:rPr>
      </w:pPr>
      <w:r>
        <w:rPr>
          <w:rFonts w:hint="eastAsia" w:ascii="宋体" w:hAnsi="宋体" w:cs="宋体"/>
          <w:sz w:val="24"/>
          <w:highlight w:val="none"/>
        </w:rPr>
        <w:t>邮政编码：</w:t>
      </w:r>
      <w:r>
        <w:rPr>
          <w:rFonts w:hint="eastAsia" w:ascii="宋体" w:hAnsi="宋体" w:cs="宋体"/>
          <w:sz w:val="24"/>
          <w:highlight w:val="none"/>
          <w:u w:val="single"/>
        </w:rPr>
        <w:t xml:space="preserve">                                   </w:t>
      </w:r>
    </w:p>
    <w:p w14:paraId="44DBBFD8">
      <w:pPr>
        <w:spacing w:line="300" w:lineRule="auto"/>
        <w:ind w:firstLine="570"/>
        <w:rPr>
          <w:rFonts w:hint="eastAsia" w:ascii="宋体" w:hAnsi="宋体" w:cs="宋体"/>
          <w:sz w:val="24"/>
          <w:highlight w:val="none"/>
          <w:u w:val="single"/>
        </w:rPr>
      </w:pPr>
      <w:r>
        <w:rPr>
          <w:rFonts w:hint="eastAsia" w:ascii="宋体" w:hAnsi="宋体" w:cs="宋体"/>
          <w:sz w:val="24"/>
          <w:highlight w:val="none"/>
        </w:rPr>
        <w:t>投标人代表姓名：</w:t>
      </w:r>
      <w:r>
        <w:rPr>
          <w:rFonts w:hint="eastAsia" w:ascii="宋体" w:hAnsi="宋体" w:cs="宋体"/>
          <w:sz w:val="24"/>
          <w:highlight w:val="none"/>
          <w:u w:val="single"/>
        </w:rPr>
        <w:t xml:space="preserve">                             </w:t>
      </w:r>
    </w:p>
    <w:p w14:paraId="3D5B99A9">
      <w:pPr>
        <w:spacing w:line="300" w:lineRule="auto"/>
        <w:ind w:firstLine="570"/>
        <w:rPr>
          <w:rFonts w:hint="eastAsia" w:ascii="宋体" w:hAnsi="宋体" w:cs="宋体"/>
          <w:sz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 xml:space="preserve">                                       </w:t>
      </w:r>
    </w:p>
    <w:p w14:paraId="7E22BA36">
      <w:pPr>
        <w:spacing w:line="300" w:lineRule="auto"/>
        <w:ind w:firstLine="570"/>
        <w:rPr>
          <w:rFonts w:hint="eastAsia" w:ascii="宋体" w:hAnsi="宋体" w:cs="宋体"/>
          <w:sz w:val="24"/>
          <w:highlight w:val="none"/>
          <w:u w:val="single"/>
        </w:rPr>
      </w:pPr>
      <w:r>
        <w:rPr>
          <w:rFonts w:hint="eastAsia" w:ascii="宋体" w:hAnsi="宋体" w:cs="宋体"/>
          <w:sz w:val="24"/>
          <w:highlight w:val="none"/>
        </w:rPr>
        <w:t>公章：</w:t>
      </w:r>
      <w:r>
        <w:rPr>
          <w:rFonts w:hint="eastAsia" w:ascii="宋体" w:hAnsi="宋体" w:cs="宋体"/>
          <w:sz w:val="24"/>
          <w:highlight w:val="none"/>
          <w:u w:val="single"/>
        </w:rPr>
        <w:t xml:space="preserve">                                       </w:t>
      </w:r>
    </w:p>
    <w:p w14:paraId="154EB74F">
      <w:pPr>
        <w:spacing w:line="300" w:lineRule="auto"/>
        <w:ind w:firstLine="570"/>
        <w:rPr>
          <w:rFonts w:hint="eastAsia"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7DB17C3">
      <w:pPr>
        <w:spacing w:line="300" w:lineRule="auto"/>
        <w:ind w:firstLine="570"/>
        <w:rPr>
          <w:rFonts w:hint="eastAsia" w:ascii="宋体" w:hAnsi="宋体" w:cs="宋体"/>
          <w:sz w:val="24"/>
          <w:highlight w:val="none"/>
        </w:rPr>
      </w:pPr>
    </w:p>
    <w:p w14:paraId="7B2B40F2">
      <w:pPr>
        <w:rPr>
          <w:rFonts w:hint="eastAsia" w:ascii="宋体" w:hAnsi="宋体" w:cs="宋体"/>
          <w:highlight w:val="none"/>
        </w:rPr>
        <w:sectPr>
          <w:footerReference r:id="rId10" w:type="default"/>
          <w:pgSz w:w="11906" w:h="16838"/>
          <w:pgMar w:top="1361" w:right="1304" w:bottom="1247" w:left="1304" w:header="680" w:footer="680" w:gutter="0"/>
          <w:cols w:space="720" w:num="1"/>
          <w:docGrid w:linePitch="312" w:charSpace="0"/>
        </w:sectPr>
      </w:pPr>
      <w:bookmarkStart w:id="66" w:name="chapter7"/>
      <w:bookmarkEnd w:id="66"/>
    </w:p>
    <w:p w14:paraId="45676B17">
      <w:pPr>
        <w:spacing w:line="360" w:lineRule="auto"/>
        <w:rPr>
          <w:rFonts w:hint="eastAsia" w:ascii="宋体" w:hAnsi="宋体" w:cs="宋体"/>
          <w:b/>
          <w:sz w:val="24"/>
          <w:szCs w:val="28"/>
          <w:highlight w:val="none"/>
        </w:rPr>
      </w:pPr>
      <w:r>
        <w:rPr>
          <w:rFonts w:hint="eastAsia" w:ascii="宋体" w:hAnsi="宋体" w:cs="宋体"/>
          <w:b/>
          <w:sz w:val="24"/>
          <w:szCs w:val="28"/>
          <w:highlight w:val="none"/>
        </w:rPr>
        <w:t>格式三：</w:t>
      </w:r>
    </w:p>
    <w:p w14:paraId="2B842FD7">
      <w:pPr>
        <w:spacing w:line="360" w:lineRule="auto"/>
        <w:jc w:val="center"/>
        <w:rPr>
          <w:rFonts w:hint="eastAsia" w:ascii="宋体" w:hAnsi="宋体" w:cs="宋体"/>
          <w:b/>
          <w:sz w:val="24"/>
          <w:szCs w:val="28"/>
          <w:highlight w:val="none"/>
        </w:rPr>
      </w:pPr>
      <w:r>
        <w:rPr>
          <w:rFonts w:hint="eastAsia" w:ascii="宋体" w:hAnsi="宋体" w:cs="宋体"/>
          <w:b/>
          <w:sz w:val="24"/>
          <w:szCs w:val="28"/>
          <w:highlight w:val="none"/>
        </w:rPr>
        <w:t>投标报价一览表（格式）</w:t>
      </w:r>
    </w:p>
    <w:p w14:paraId="092C26D2">
      <w:pPr>
        <w:spacing w:line="360" w:lineRule="auto"/>
        <w:jc w:val="center"/>
        <w:rPr>
          <w:rFonts w:hint="eastAsia" w:ascii="仿宋_GB2312" w:hAnsi="宋体" w:eastAsia="仿宋_GB2312"/>
          <w:bCs/>
          <w:sz w:val="24"/>
          <w:highlight w:val="none"/>
        </w:rPr>
      </w:pPr>
    </w:p>
    <w:p w14:paraId="7DDA0659">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 xml:space="preserve">项目名称：                           </w:t>
      </w:r>
    </w:p>
    <w:tbl>
      <w:tblPr>
        <w:tblStyle w:val="60"/>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128"/>
        <w:gridCol w:w="761"/>
        <w:gridCol w:w="2060"/>
        <w:gridCol w:w="1170"/>
        <w:gridCol w:w="672"/>
        <w:gridCol w:w="1643"/>
        <w:gridCol w:w="1250"/>
      </w:tblGrid>
      <w:tr w14:paraId="5EA3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73" w:type="dxa"/>
            <w:vAlign w:val="center"/>
          </w:tcPr>
          <w:p w14:paraId="30329026">
            <w:pPr>
              <w:spacing w:line="360" w:lineRule="auto"/>
              <w:jc w:val="center"/>
              <w:rPr>
                <w:rFonts w:hint="eastAsia" w:ascii="宋体" w:hAnsi="宋体" w:cs="宋体"/>
                <w:bCs/>
                <w:szCs w:val="21"/>
                <w:highlight w:val="none"/>
              </w:rPr>
            </w:pPr>
            <w:r>
              <w:rPr>
                <w:rFonts w:hint="eastAsia" w:ascii="宋体" w:hAnsi="宋体" w:cs="宋体"/>
                <w:bCs/>
                <w:szCs w:val="21"/>
                <w:highlight w:val="none"/>
              </w:rPr>
              <w:t>序号</w:t>
            </w:r>
          </w:p>
        </w:tc>
        <w:tc>
          <w:tcPr>
            <w:tcW w:w="1128" w:type="dxa"/>
            <w:vAlign w:val="center"/>
          </w:tcPr>
          <w:p w14:paraId="1ED0D98C">
            <w:pPr>
              <w:spacing w:line="360" w:lineRule="auto"/>
              <w:jc w:val="center"/>
              <w:rPr>
                <w:rFonts w:hint="eastAsia" w:ascii="宋体" w:hAnsi="宋体" w:cs="宋体"/>
                <w:bCs/>
                <w:szCs w:val="21"/>
                <w:highlight w:val="none"/>
              </w:rPr>
            </w:pPr>
            <w:r>
              <w:rPr>
                <w:rFonts w:hint="eastAsia" w:ascii="宋体" w:hAnsi="宋体" w:cs="宋体"/>
                <w:bCs/>
                <w:szCs w:val="21"/>
                <w:highlight w:val="none"/>
              </w:rPr>
              <w:t>名称</w:t>
            </w:r>
          </w:p>
        </w:tc>
        <w:tc>
          <w:tcPr>
            <w:tcW w:w="761" w:type="dxa"/>
            <w:vAlign w:val="center"/>
          </w:tcPr>
          <w:p w14:paraId="4D369E3C">
            <w:pPr>
              <w:spacing w:line="360" w:lineRule="auto"/>
              <w:jc w:val="center"/>
              <w:rPr>
                <w:rFonts w:hint="eastAsia" w:ascii="宋体" w:hAnsi="宋体" w:cs="宋体"/>
                <w:bCs/>
                <w:szCs w:val="21"/>
                <w:highlight w:val="none"/>
              </w:rPr>
            </w:pPr>
            <w:r>
              <w:rPr>
                <w:rFonts w:hint="eastAsia" w:ascii="宋体" w:hAnsi="宋体" w:cs="宋体"/>
                <w:bCs/>
                <w:szCs w:val="21"/>
                <w:highlight w:val="none"/>
              </w:rPr>
              <w:t>产地</w:t>
            </w:r>
          </w:p>
        </w:tc>
        <w:tc>
          <w:tcPr>
            <w:tcW w:w="2060" w:type="dxa"/>
            <w:vAlign w:val="center"/>
          </w:tcPr>
          <w:p w14:paraId="43613D7C">
            <w:pPr>
              <w:spacing w:line="360" w:lineRule="auto"/>
              <w:jc w:val="center"/>
              <w:rPr>
                <w:rFonts w:hint="eastAsia" w:ascii="宋体" w:hAnsi="宋体" w:cs="宋体"/>
                <w:bCs/>
                <w:szCs w:val="21"/>
                <w:highlight w:val="none"/>
              </w:rPr>
            </w:pPr>
            <w:r>
              <w:rPr>
                <w:rFonts w:hint="eastAsia" w:ascii="宋体" w:hAnsi="宋体" w:cs="宋体"/>
                <w:bCs/>
                <w:szCs w:val="21"/>
                <w:highlight w:val="none"/>
              </w:rPr>
              <w:t>技术参数</w:t>
            </w:r>
          </w:p>
        </w:tc>
        <w:tc>
          <w:tcPr>
            <w:tcW w:w="1170" w:type="dxa"/>
            <w:vAlign w:val="center"/>
          </w:tcPr>
          <w:p w14:paraId="0480A826">
            <w:pPr>
              <w:spacing w:line="360" w:lineRule="auto"/>
              <w:jc w:val="center"/>
              <w:rPr>
                <w:rFonts w:hint="eastAsia" w:ascii="宋体" w:hAnsi="宋体" w:cs="宋体"/>
                <w:bCs/>
                <w:szCs w:val="21"/>
                <w:highlight w:val="none"/>
              </w:rPr>
            </w:pPr>
            <w:r>
              <w:rPr>
                <w:rFonts w:hint="eastAsia" w:ascii="宋体" w:hAnsi="宋体" w:cs="宋体"/>
                <w:bCs/>
                <w:szCs w:val="21"/>
                <w:highlight w:val="none"/>
              </w:rPr>
              <w:t>数量</w:t>
            </w:r>
          </w:p>
        </w:tc>
        <w:tc>
          <w:tcPr>
            <w:tcW w:w="672" w:type="dxa"/>
            <w:vAlign w:val="center"/>
          </w:tcPr>
          <w:p w14:paraId="56BF7512">
            <w:pPr>
              <w:spacing w:line="360" w:lineRule="auto"/>
              <w:jc w:val="center"/>
              <w:rPr>
                <w:rFonts w:hint="eastAsia" w:ascii="宋体" w:hAnsi="宋体" w:cs="宋体"/>
                <w:bCs/>
                <w:szCs w:val="21"/>
                <w:highlight w:val="none"/>
              </w:rPr>
            </w:pPr>
            <w:r>
              <w:rPr>
                <w:rFonts w:hint="eastAsia" w:ascii="宋体" w:hAnsi="宋体" w:cs="宋体"/>
                <w:bCs/>
                <w:szCs w:val="21"/>
                <w:highlight w:val="none"/>
              </w:rPr>
              <w:t>单位</w:t>
            </w:r>
          </w:p>
        </w:tc>
        <w:tc>
          <w:tcPr>
            <w:tcW w:w="1643" w:type="dxa"/>
            <w:vAlign w:val="center"/>
          </w:tcPr>
          <w:p w14:paraId="09FB2762">
            <w:pPr>
              <w:spacing w:line="360" w:lineRule="auto"/>
              <w:jc w:val="center"/>
              <w:rPr>
                <w:rFonts w:hint="eastAsia" w:ascii="宋体" w:hAnsi="宋体" w:cs="宋体"/>
                <w:bCs/>
                <w:szCs w:val="21"/>
                <w:highlight w:val="none"/>
              </w:rPr>
            </w:pPr>
            <w:r>
              <w:rPr>
                <w:rFonts w:hint="eastAsia" w:ascii="宋体" w:hAnsi="宋体" w:cs="宋体"/>
                <w:bCs/>
                <w:szCs w:val="21"/>
                <w:highlight w:val="none"/>
              </w:rPr>
              <w:t>单价（元）</w:t>
            </w:r>
          </w:p>
        </w:tc>
        <w:tc>
          <w:tcPr>
            <w:tcW w:w="1250" w:type="dxa"/>
            <w:vAlign w:val="center"/>
          </w:tcPr>
          <w:p w14:paraId="0322870A">
            <w:pPr>
              <w:spacing w:line="360" w:lineRule="auto"/>
              <w:jc w:val="center"/>
              <w:rPr>
                <w:rFonts w:hint="eastAsia" w:ascii="宋体" w:hAnsi="宋体" w:cs="宋体"/>
                <w:bCs/>
                <w:szCs w:val="21"/>
                <w:highlight w:val="none"/>
              </w:rPr>
            </w:pPr>
            <w:r>
              <w:rPr>
                <w:rFonts w:hint="eastAsia" w:ascii="宋体" w:hAnsi="宋体" w:cs="宋体"/>
                <w:bCs/>
                <w:szCs w:val="21"/>
                <w:highlight w:val="none"/>
              </w:rPr>
              <w:t>合计</w:t>
            </w:r>
          </w:p>
        </w:tc>
      </w:tr>
      <w:tr w14:paraId="4016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exact"/>
        </w:trPr>
        <w:tc>
          <w:tcPr>
            <w:tcW w:w="673" w:type="dxa"/>
          </w:tcPr>
          <w:p w14:paraId="35EBFCDC">
            <w:pPr>
              <w:spacing w:line="360" w:lineRule="auto"/>
              <w:rPr>
                <w:rFonts w:hint="eastAsia" w:ascii="宋体" w:hAnsi="宋体" w:cs="宋体"/>
                <w:b/>
                <w:szCs w:val="21"/>
                <w:highlight w:val="none"/>
              </w:rPr>
            </w:pPr>
            <w:r>
              <w:rPr>
                <w:rFonts w:hint="eastAsia" w:ascii="宋体" w:hAnsi="宋体" w:cs="宋体"/>
                <w:b/>
                <w:szCs w:val="21"/>
                <w:highlight w:val="none"/>
              </w:rPr>
              <w:t>1</w:t>
            </w:r>
          </w:p>
        </w:tc>
        <w:tc>
          <w:tcPr>
            <w:tcW w:w="1128" w:type="dxa"/>
            <w:vAlign w:val="center"/>
          </w:tcPr>
          <w:p w14:paraId="395045EF">
            <w:pPr>
              <w:spacing w:line="360" w:lineRule="auto"/>
              <w:jc w:val="center"/>
              <w:rPr>
                <w:rFonts w:hint="eastAsia" w:ascii="宋体" w:hAnsi="宋体" w:cs="宋体"/>
                <w:b/>
                <w:szCs w:val="21"/>
                <w:highlight w:val="none"/>
              </w:rPr>
            </w:pPr>
          </w:p>
        </w:tc>
        <w:tc>
          <w:tcPr>
            <w:tcW w:w="761" w:type="dxa"/>
          </w:tcPr>
          <w:p w14:paraId="5797BCA3">
            <w:pPr>
              <w:spacing w:line="360" w:lineRule="auto"/>
              <w:rPr>
                <w:rFonts w:hint="eastAsia" w:ascii="宋体" w:hAnsi="宋体" w:cs="宋体"/>
                <w:b/>
                <w:szCs w:val="21"/>
                <w:highlight w:val="none"/>
              </w:rPr>
            </w:pPr>
          </w:p>
        </w:tc>
        <w:tc>
          <w:tcPr>
            <w:tcW w:w="2060" w:type="dxa"/>
          </w:tcPr>
          <w:p w14:paraId="732C98BF">
            <w:pPr>
              <w:rPr>
                <w:rFonts w:hint="eastAsia" w:ascii="宋体" w:hAnsi="宋体" w:cs="宋体"/>
                <w:b/>
                <w:szCs w:val="21"/>
                <w:highlight w:val="none"/>
              </w:rPr>
            </w:pPr>
          </w:p>
        </w:tc>
        <w:tc>
          <w:tcPr>
            <w:tcW w:w="1170" w:type="dxa"/>
          </w:tcPr>
          <w:p w14:paraId="10ECC7EF">
            <w:pPr>
              <w:spacing w:line="360" w:lineRule="auto"/>
              <w:rPr>
                <w:rFonts w:hint="eastAsia" w:ascii="宋体" w:hAnsi="宋体" w:cs="宋体"/>
                <w:b/>
                <w:szCs w:val="21"/>
                <w:highlight w:val="none"/>
              </w:rPr>
            </w:pPr>
          </w:p>
        </w:tc>
        <w:tc>
          <w:tcPr>
            <w:tcW w:w="672" w:type="dxa"/>
          </w:tcPr>
          <w:p w14:paraId="66BEC8B4">
            <w:pPr>
              <w:spacing w:line="360" w:lineRule="auto"/>
              <w:rPr>
                <w:rFonts w:hint="eastAsia" w:ascii="宋体" w:hAnsi="宋体" w:cs="宋体"/>
                <w:b/>
                <w:szCs w:val="21"/>
                <w:highlight w:val="none"/>
              </w:rPr>
            </w:pPr>
          </w:p>
        </w:tc>
        <w:tc>
          <w:tcPr>
            <w:tcW w:w="1643" w:type="dxa"/>
          </w:tcPr>
          <w:p w14:paraId="40269A07">
            <w:pPr>
              <w:spacing w:line="360" w:lineRule="auto"/>
              <w:rPr>
                <w:rFonts w:hint="eastAsia" w:ascii="宋体" w:hAnsi="宋体" w:cs="宋体"/>
                <w:b/>
                <w:szCs w:val="21"/>
                <w:highlight w:val="none"/>
              </w:rPr>
            </w:pPr>
          </w:p>
        </w:tc>
        <w:tc>
          <w:tcPr>
            <w:tcW w:w="1250" w:type="dxa"/>
          </w:tcPr>
          <w:p w14:paraId="23EFC2F4">
            <w:pPr>
              <w:spacing w:line="360" w:lineRule="auto"/>
              <w:rPr>
                <w:rFonts w:hint="eastAsia" w:ascii="宋体" w:hAnsi="宋体" w:cs="宋体"/>
                <w:b/>
                <w:szCs w:val="21"/>
                <w:highlight w:val="none"/>
              </w:rPr>
            </w:pPr>
          </w:p>
        </w:tc>
      </w:tr>
      <w:tr w14:paraId="013A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exact"/>
        </w:trPr>
        <w:tc>
          <w:tcPr>
            <w:tcW w:w="673" w:type="dxa"/>
          </w:tcPr>
          <w:p w14:paraId="48597F17">
            <w:pPr>
              <w:spacing w:line="360" w:lineRule="auto"/>
              <w:rPr>
                <w:rFonts w:hint="eastAsia" w:ascii="宋体" w:hAnsi="宋体" w:cs="宋体"/>
                <w:b/>
                <w:szCs w:val="21"/>
                <w:highlight w:val="none"/>
              </w:rPr>
            </w:pPr>
          </w:p>
        </w:tc>
        <w:tc>
          <w:tcPr>
            <w:tcW w:w="1128" w:type="dxa"/>
            <w:vAlign w:val="center"/>
          </w:tcPr>
          <w:p w14:paraId="2C6D6B86">
            <w:pPr>
              <w:spacing w:line="360" w:lineRule="auto"/>
              <w:jc w:val="center"/>
              <w:rPr>
                <w:rFonts w:hint="eastAsia" w:ascii="宋体" w:hAnsi="宋体" w:cs="宋体"/>
                <w:b/>
                <w:szCs w:val="21"/>
                <w:highlight w:val="none"/>
              </w:rPr>
            </w:pPr>
          </w:p>
        </w:tc>
        <w:tc>
          <w:tcPr>
            <w:tcW w:w="761" w:type="dxa"/>
          </w:tcPr>
          <w:p w14:paraId="7CC2C92B">
            <w:pPr>
              <w:spacing w:line="360" w:lineRule="auto"/>
              <w:rPr>
                <w:rFonts w:hint="eastAsia" w:ascii="宋体" w:hAnsi="宋体" w:cs="宋体"/>
                <w:b/>
                <w:szCs w:val="21"/>
                <w:highlight w:val="none"/>
              </w:rPr>
            </w:pPr>
          </w:p>
        </w:tc>
        <w:tc>
          <w:tcPr>
            <w:tcW w:w="2060" w:type="dxa"/>
          </w:tcPr>
          <w:p w14:paraId="57AC807D">
            <w:pPr>
              <w:spacing w:line="360" w:lineRule="auto"/>
              <w:rPr>
                <w:rFonts w:hint="eastAsia" w:ascii="宋体" w:hAnsi="宋体" w:cs="宋体"/>
                <w:b/>
                <w:szCs w:val="21"/>
                <w:highlight w:val="none"/>
              </w:rPr>
            </w:pPr>
          </w:p>
        </w:tc>
        <w:tc>
          <w:tcPr>
            <w:tcW w:w="1170" w:type="dxa"/>
          </w:tcPr>
          <w:p w14:paraId="0FCA1DA5">
            <w:pPr>
              <w:spacing w:line="360" w:lineRule="auto"/>
              <w:rPr>
                <w:rFonts w:hint="eastAsia" w:ascii="宋体" w:hAnsi="宋体" w:cs="宋体"/>
                <w:b/>
                <w:szCs w:val="21"/>
                <w:highlight w:val="none"/>
              </w:rPr>
            </w:pPr>
          </w:p>
        </w:tc>
        <w:tc>
          <w:tcPr>
            <w:tcW w:w="672" w:type="dxa"/>
          </w:tcPr>
          <w:p w14:paraId="57DFFB70">
            <w:pPr>
              <w:spacing w:line="360" w:lineRule="auto"/>
              <w:rPr>
                <w:rFonts w:hint="eastAsia" w:ascii="宋体" w:hAnsi="宋体" w:cs="宋体"/>
                <w:b/>
                <w:szCs w:val="21"/>
                <w:highlight w:val="none"/>
              </w:rPr>
            </w:pPr>
          </w:p>
        </w:tc>
        <w:tc>
          <w:tcPr>
            <w:tcW w:w="1643" w:type="dxa"/>
          </w:tcPr>
          <w:p w14:paraId="46BDCFE1">
            <w:pPr>
              <w:spacing w:line="360" w:lineRule="auto"/>
              <w:rPr>
                <w:rFonts w:hint="eastAsia" w:ascii="宋体" w:hAnsi="宋体" w:cs="宋体"/>
                <w:b/>
                <w:szCs w:val="21"/>
                <w:highlight w:val="none"/>
              </w:rPr>
            </w:pPr>
          </w:p>
        </w:tc>
        <w:tc>
          <w:tcPr>
            <w:tcW w:w="1250" w:type="dxa"/>
          </w:tcPr>
          <w:p w14:paraId="7ADCBC8F">
            <w:pPr>
              <w:spacing w:line="360" w:lineRule="auto"/>
              <w:rPr>
                <w:rFonts w:hint="eastAsia" w:ascii="宋体" w:hAnsi="宋体" w:cs="宋体"/>
                <w:b/>
                <w:szCs w:val="21"/>
                <w:highlight w:val="none"/>
              </w:rPr>
            </w:pPr>
          </w:p>
        </w:tc>
      </w:tr>
      <w:tr w14:paraId="18FB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exact"/>
        </w:trPr>
        <w:tc>
          <w:tcPr>
            <w:tcW w:w="673" w:type="dxa"/>
            <w:tcBorders>
              <w:bottom w:val="nil"/>
            </w:tcBorders>
          </w:tcPr>
          <w:p w14:paraId="4149E6DA">
            <w:pPr>
              <w:spacing w:line="360" w:lineRule="auto"/>
              <w:rPr>
                <w:rFonts w:hint="eastAsia" w:ascii="宋体" w:hAnsi="宋体" w:cs="宋体"/>
                <w:b/>
                <w:szCs w:val="21"/>
                <w:highlight w:val="none"/>
              </w:rPr>
            </w:pPr>
          </w:p>
        </w:tc>
        <w:tc>
          <w:tcPr>
            <w:tcW w:w="1128" w:type="dxa"/>
            <w:tcBorders>
              <w:bottom w:val="nil"/>
            </w:tcBorders>
            <w:vAlign w:val="center"/>
          </w:tcPr>
          <w:p w14:paraId="4B2A0CAB">
            <w:pPr>
              <w:spacing w:line="360" w:lineRule="auto"/>
              <w:jc w:val="center"/>
              <w:rPr>
                <w:rFonts w:hint="eastAsia" w:ascii="宋体" w:hAnsi="宋体" w:cs="宋体"/>
                <w:b/>
                <w:szCs w:val="21"/>
                <w:highlight w:val="none"/>
              </w:rPr>
            </w:pPr>
          </w:p>
        </w:tc>
        <w:tc>
          <w:tcPr>
            <w:tcW w:w="761" w:type="dxa"/>
          </w:tcPr>
          <w:p w14:paraId="2734C866">
            <w:pPr>
              <w:spacing w:line="360" w:lineRule="auto"/>
              <w:rPr>
                <w:rFonts w:hint="eastAsia" w:ascii="宋体" w:hAnsi="宋体" w:cs="宋体"/>
                <w:b/>
                <w:szCs w:val="21"/>
                <w:highlight w:val="none"/>
              </w:rPr>
            </w:pPr>
          </w:p>
        </w:tc>
        <w:tc>
          <w:tcPr>
            <w:tcW w:w="2060" w:type="dxa"/>
          </w:tcPr>
          <w:p w14:paraId="2EF8C773">
            <w:pPr>
              <w:spacing w:line="360" w:lineRule="auto"/>
              <w:rPr>
                <w:rFonts w:hint="eastAsia" w:ascii="宋体" w:hAnsi="宋体" w:cs="宋体"/>
                <w:b/>
                <w:szCs w:val="21"/>
                <w:highlight w:val="none"/>
              </w:rPr>
            </w:pPr>
          </w:p>
        </w:tc>
        <w:tc>
          <w:tcPr>
            <w:tcW w:w="1170" w:type="dxa"/>
          </w:tcPr>
          <w:p w14:paraId="19084AD1">
            <w:pPr>
              <w:spacing w:line="360" w:lineRule="auto"/>
              <w:rPr>
                <w:rFonts w:hint="eastAsia" w:ascii="宋体" w:hAnsi="宋体" w:cs="宋体"/>
                <w:b/>
                <w:szCs w:val="21"/>
                <w:highlight w:val="none"/>
              </w:rPr>
            </w:pPr>
          </w:p>
        </w:tc>
        <w:tc>
          <w:tcPr>
            <w:tcW w:w="672" w:type="dxa"/>
          </w:tcPr>
          <w:p w14:paraId="6E2AE4B4">
            <w:pPr>
              <w:spacing w:line="360" w:lineRule="auto"/>
              <w:rPr>
                <w:rFonts w:hint="eastAsia" w:ascii="宋体" w:hAnsi="宋体" w:cs="宋体"/>
                <w:b/>
                <w:szCs w:val="21"/>
                <w:highlight w:val="none"/>
              </w:rPr>
            </w:pPr>
          </w:p>
        </w:tc>
        <w:tc>
          <w:tcPr>
            <w:tcW w:w="1643" w:type="dxa"/>
          </w:tcPr>
          <w:p w14:paraId="7E94B0BE">
            <w:pPr>
              <w:spacing w:line="360" w:lineRule="auto"/>
              <w:rPr>
                <w:rFonts w:hint="eastAsia" w:ascii="宋体" w:hAnsi="宋体" w:cs="宋体"/>
                <w:b/>
                <w:szCs w:val="21"/>
                <w:highlight w:val="none"/>
              </w:rPr>
            </w:pPr>
          </w:p>
        </w:tc>
        <w:tc>
          <w:tcPr>
            <w:tcW w:w="1250" w:type="dxa"/>
          </w:tcPr>
          <w:p w14:paraId="294D63D5">
            <w:pPr>
              <w:spacing w:line="360" w:lineRule="auto"/>
              <w:rPr>
                <w:rFonts w:hint="eastAsia" w:ascii="宋体" w:hAnsi="宋体" w:cs="宋体"/>
                <w:b/>
                <w:szCs w:val="21"/>
                <w:highlight w:val="none"/>
              </w:rPr>
            </w:pPr>
          </w:p>
        </w:tc>
      </w:tr>
      <w:tr w14:paraId="582D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exact"/>
        </w:trPr>
        <w:tc>
          <w:tcPr>
            <w:tcW w:w="1801" w:type="dxa"/>
            <w:gridSpan w:val="2"/>
            <w:tcBorders>
              <w:top w:val="single" w:color="auto" w:sz="4" w:space="0"/>
            </w:tcBorders>
          </w:tcPr>
          <w:p w14:paraId="0AC71529">
            <w:pPr>
              <w:spacing w:line="360" w:lineRule="auto"/>
              <w:rPr>
                <w:rFonts w:hint="eastAsia" w:ascii="宋体" w:hAnsi="宋体" w:cs="宋体"/>
                <w:bCs/>
                <w:szCs w:val="21"/>
                <w:highlight w:val="none"/>
              </w:rPr>
            </w:pPr>
            <w:r>
              <w:rPr>
                <w:rFonts w:hint="eastAsia" w:ascii="宋体" w:hAnsi="宋体" w:cs="宋体"/>
                <w:bCs/>
                <w:szCs w:val="21"/>
                <w:highlight w:val="none"/>
              </w:rPr>
              <w:t>投标报价</w:t>
            </w:r>
          </w:p>
        </w:tc>
        <w:tc>
          <w:tcPr>
            <w:tcW w:w="7556" w:type="dxa"/>
            <w:gridSpan w:val="6"/>
            <w:tcBorders>
              <w:top w:val="single" w:color="auto" w:sz="4" w:space="0"/>
            </w:tcBorders>
          </w:tcPr>
          <w:p w14:paraId="12837507">
            <w:pPr>
              <w:spacing w:line="360" w:lineRule="auto"/>
              <w:rPr>
                <w:rFonts w:hint="eastAsia" w:ascii="宋体" w:hAnsi="宋体" w:cs="宋体"/>
                <w:bCs/>
                <w:szCs w:val="21"/>
                <w:highlight w:val="none"/>
              </w:rPr>
            </w:pPr>
          </w:p>
        </w:tc>
      </w:tr>
    </w:tbl>
    <w:p w14:paraId="5C96FDC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投标单位全称（公章）：</w:t>
      </w:r>
    </w:p>
    <w:p w14:paraId="2793A6B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单位负责人或授权代理人（签字）：</w:t>
      </w:r>
    </w:p>
    <w:p w14:paraId="666ED2D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时间：     年  月  日</w:t>
      </w:r>
    </w:p>
    <w:p w14:paraId="449BED61">
      <w:pPr>
        <w:spacing w:line="360" w:lineRule="auto"/>
        <w:rPr>
          <w:rFonts w:hint="eastAsia" w:ascii="宋体" w:hAnsi="宋体" w:cs="宋体"/>
          <w:sz w:val="24"/>
          <w:highlight w:val="none"/>
        </w:rPr>
      </w:pPr>
      <w:r>
        <w:rPr>
          <w:rFonts w:hint="eastAsia" w:ascii="宋体" w:hAnsi="宋体" w:cs="宋体"/>
          <w:sz w:val="24"/>
          <w:highlight w:val="none"/>
        </w:rPr>
        <w:t>说明：</w:t>
      </w:r>
    </w:p>
    <w:p w14:paraId="2CEE899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1.与本项目有关的各种费用均应包含在总报价中。</w:t>
      </w:r>
    </w:p>
    <w:p w14:paraId="562045A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2.如果投标人提供价格折扣优惠，应在表中明确填列。</w:t>
      </w:r>
    </w:p>
    <w:p w14:paraId="2F1D30E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3.如果与采购需求、商务条款的要求有偏差，应填写“采购需求偏离表、商务条款偏离表”（见格式四）。                    </w:t>
      </w:r>
    </w:p>
    <w:p w14:paraId="0DE9AC7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4.要说明的问题可另附页说明并签字和加盖公章。                      </w:t>
      </w:r>
    </w:p>
    <w:p w14:paraId="588B1572">
      <w:pPr>
        <w:spacing w:line="360" w:lineRule="auto"/>
        <w:ind w:firstLine="480" w:firstLineChars="200"/>
        <w:outlineLvl w:val="0"/>
        <w:rPr>
          <w:rFonts w:hint="eastAsia" w:ascii="宋体" w:hAnsi="宋体" w:cs="宋体"/>
          <w:sz w:val="24"/>
          <w:highlight w:val="none"/>
        </w:rPr>
      </w:pPr>
      <w:bookmarkStart w:id="67" w:name="_Toc12133"/>
      <w:r>
        <w:rPr>
          <w:rFonts w:hint="eastAsia" w:ascii="宋体" w:hAnsi="宋体" w:cs="宋体"/>
          <w:sz w:val="24"/>
          <w:highlight w:val="none"/>
        </w:rPr>
        <w:t>5.此表可根据需要自行拉长加宽。</w:t>
      </w:r>
      <w:bookmarkEnd w:id="67"/>
    </w:p>
    <w:p w14:paraId="6AC28EAD">
      <w:pPr>
        <w:spacing w:line="360" w:lineRule="auto"/>
        <w:outlineLvl w:val="0"/>
        <w:rPr>
          <w:rFonts w:hint="eastAsia" w:ascii="仿宋_GB2312" w:hAnsi="宋体" w:eastAsia="仿宋_GB2312"/>
          <w:sz w:val="24"/>
          <w:highlight w:val="none"/>
        </w:rPr>
      </w:pPr>
    </w:p>
    <w:p w14:paraId="44E88200">
      <w:pPr>
        <w:spacing w:line="360" w:lineRule="auto"/>
        <w:outlineLvl w:val="0"/>
        <w:rPr>
          <w:rFonts w:hint="eastAsia" w:ascii="仿宋_GB2312" w:hAnsi="宋体" w:eastAsia="仿宋_GB2312"/>
          <w:sz w:val="24"/>
          <w:highlight w:val="none"/>
        </w:rPr>
      </w:pPr>
    </w:p>
    <w:p w14:paraId="26D01D35">
      <w:pPr>
        <w:spacing w:line="360" w:lineRule="auto"/>
        <w:outlineLvl w:val="0"/>
        <w:rPr>
          <w:rFonts w:hint="eastAsia" w:ascii="仿宋_GB2312" w:hAnsi="宋体" w:eastAsia="仿宋_GB2312"/>
          <w:sz w:val="24"/>
          <w:highlight w:val="none"/>
        </w:rPr>
      </w:pPr>
    </w:p>
    <w:p w14:paraId="18FD409D">
      <w:pPr>
        <w:spacing w:line="360" w:lineRule="auto"/>
        <w:outlineLvl w:val="0"/>
        <w:rPr>
          <w:rFonts w:hint="eastAsia" w:ascii="仿宋_GB2312" w:hAnsi="宋体" w:eastAsia="仿宋_GB2312"/>
          <w:b/>
          <w:sz w:val="24"/>
          <w:szCs w:val="28"/>
          <w:highlight w:val="none"/>
        </w:rPr>
        <w:sectPr>
          <w:pgSz w:w="11906" w:h="16838"/>
          <w:pgMar w:top="1361" w:right="1304" w:bottom="1247" w:left="1304" w:header="680" w:footer="680" w:gutter="0"/>
          <w:cols w:space="720" w:num="1"/>
          <w:docGrid w:linePitch="312" w:charSpace="0"/>
        </w:sectPr>
      </w:pPr>
    </w:p>
    <w:p w14:paraId="46A49004">
      <w:pPr>
        <w:spacing w:line="360" w:lineRule="auto"/>
        <w:rPr>
          <w:rFonts w:hint="eastAsia" w:ascii="宋体" w:hAnsi="宋体" w:cs="宋体"/>
          <w:b/>
          <w:sz w:val="24"/>
          <w:szCs w:val="28"/>
          <w:highlight w:val="none"/>
        </w:rPr>
      </w:pPr>
      <w:r>
        <w:rPr>
          <w:rFonts w:hint="eastAsia" w:ascii="宋体" w:hAnsi="宋体" w:cs="宋体"/>
          <w:b/>
          <w:sz w:val="24"/>
          <w:szCs w:val="28"/>
          <w:highlight w:val="none"/>
        </w:rPr>
        <w:t>格式四：</w:t>
      </w:r>
    </w:p>
    <w:p w14:paraId="3235C025">
      <w:pPr>
        <w:spacing w:line="360" w:lineRule="auto"/>
        <w:jc w:val="center"/>
        <w:rPr>
          <w:rFonts w:hint="eastAsia" w:ascii="宋体" w:hAnsi="宋体" w:cs="宋体"/>
          <w:b/>
          <w:sz w:val="24"/>
          <w:szCs w:val="28"/>
          <w:highlight w:val="none"/>
        </w:rPr>
      </w:pPr>
      <w:r>
        <w:rPr>
          <w:rFonts w:hint="eastAsia" w:ascii="宋体" w:hAnsi="宋体" w:cs="宋体"/>
          <w:sz w:val="24"/>
          <w:highlight w:val="none"/>
        </w:rPr>
        <w:t>采购需求</w:t>
      </w:r>
      <w:r>
        <w:rPr>
          <w:rFonts w:hint="eastAsia" w:ascii="宋体" w:hAnsi="宋体" w:cs="宋体"/>
          <w:b/>
          <w:sz w:val="24"/>
          <w:szCs w:val="28"/>
          <w:highlight w:val="none"/>
        </w:rPr>
        <w:t>偏离表（格式）</w:t>
      </w:r>
    </w:p>
    <w:p w14:paraId="53192B59">
      <w:pPr>
        <w:spacing w:line="360" w:lineRule="auto"/>
        <w:jc w:val="center"/>
        <w:outlineLvl w:val="0"/>
        <w:rPr>
          <w:rFonts w:hint="eastAsia" w:ascii="仿宋_GB2312" w:hAnsi="宋体" w:eastAsia="仿宋_GB2312"/>
          <w:b/>
          <w:sz w:val="24"/>
          <w:szCs w:val="28"/>
          <w:highlight w:val="none"/>
        </w:rPr>
      </w:pPr>
    </w:p>
    <w:p w14:paraId="07A0E25B">
      <w:pPr>
        <w:spacing w:line="360" w:lineRule="auto"/>
        <w:jc w:val="center"/>
        <w:outlineLvl w:val="0"/>
        <w:rPr>
          <w:rFonts w:hint="eastAsia" w:ascii="仿宋_GB2312" w:hAnsi="宋体" w:eastAsia="仿宋_GB2312"/>
          <w:b/>
          <w:sz w:val="24"/>
          <w:szCs w:val="28"/>
          <w:highlight w:val="none"/>
        </w:rPr>
      </w:pPr>
    </w:p>
    <w:p w14:paraId="42187B8D">
      <w:pPr>
        <w:pStyle w:val="33"/>
        <w:spacing w:line="360" w:lineRule="auto"/>
        <w:ind w:firstLine="480" w:firstLineChars="200"/>
        <w:outlineLvl w:val="0"/>
        <w:rPr>
          <w:rFonts w:hint="eastAsia" w:ascii="宋体" w:hAnsi="宋体" w:cs="宋体"/>
          <w:szCs w:val="24"/>
          <w:highlight w:val="none"/>
        </w:rPr>
      </w:pPr>
      <w:bookmarkStart w:id="68" w:name="_Toc2004"/>
      <w:r>
        <w:rPr>
          <w:rFonts w:hint="eastAsia" w:ascii="宋体" w:hAnsi="宋体" w:cs="宋体"/>
          <w:szCs w:val="24"/>
          <w:highlight w:val="none"/>
        </w:rPr>
        <w:t>项目名称：                              响应文件编号：</w:t>
      </w:r>
      <w:bookmarkEnd w:id="68"/>
    </w:p>
    <w:tbl>
      <w:tblPr>
        <w:tblStyle w:val="60"/>
        <w:tblW w:w="10453" w:type="dxa"/>
        <w:tblInd w:w="-459" w:type="dxa"/>
        <w:tblLayout w:type="fixed"/>
        <w:tblCellMar>
          <w:top w:w="0" w:type="dxa"/>
          <w:left w:w="108" w:type="dxa"/>
          <w:bottom w:w="0" w:type="dxa"/>
          <w:right w:w="108" w:type="dxa"/>
        </w:tblCellMar>
      </w:tblPr>
      <w:tblGrid>
        <w:gridCol w:w="838"/>
        <w:gridCol w:w="1257"/>
        <w:gridCol w:w="2652"/>
        <w:gridCol w:w="2094"/>
        <w:gridCol w:w="2233"/>
        <w:gridCol w:w="1379"/>
      </w:tblGrid>
      <w:tr w14:paraId="4A4F8415">
        <w:tblPrEx>
          <w:tblCellMar>
            <w:top w:w="0" w:type="dxa"/>
            <w:left w:w="108" w:type="dxa"/>
            <w:bottom w:w="0" w:type="dxa"/>
            <w:right w:w="108" w:type="dxa"/>
          </w:tblCellMar>
        </w:tblPrEx>
        <w:trPr>
          <w:trHeight w:val="351" w:hRule="atLeast"/>
        </w:trPr>
        <w:tc>
          <w:tcPr>
            <w:tcW w:w="838" w:type="dxa"/>
            <w:tcBorders>
              <w:top w:val="single" w:color="auto" w:sz="6" w:space="0"/>
              <w:left w:val="single" w:color="auto" w:sz="6" w:space="0"/>
              <w:bottom w:val="single" w:color="auto" w:sz="6" w:space="0"/>
              <w:right w:val="single" w:color="auto" w:sz="6" w:space="0"/>
            </w:tcBorders>
            <w:vAlign w:val="center"/>
          </w:tcPr>
          <w:p w14:paraId="4048966E">
            <w:pPr>
              <w:autoSpaceDE w:val="0"/>
              <w:autoSpaceDN w:val="0"/>
              <w:adjustRightInd w:val="0"/>
              <w:jc w:val="center"/>
              <w:rPr>
                <w:rFonts w:hint="eastAsia" w:ascii="宋体" w:hAnsi="宋体" w:cs="宋体"/>
                <w:bCs/>
                <w:szCs w:val="21"/>
                <w:highlight w:val="none"/>
                <w:lang w:val="zh-CN"/>
              </w:rPr>
            </w:pPr>
            <w:r>
              <w:rPr>
                <w:rFonts w:hint="eastAsia" w:ascii="宋体" w:hAnsi="宋体" w:cs="宋体"/>
                <w:bCs/>
                <w:szCs w:val="21"/>
                <w:highlight w:val="none"/>
                <w:lang w:val="zh-CN"/>
              </w:rPr>
              <w:t>一</w:t>
            </w:r>
          </w:p>
        </w:tc>
        <w:tc>
          <w:tcPr>
            <w:tcW w:w="9615" w:type="dxa"/>
            <w:gridSpan w:val="5"/>
            <w:tcBorders>
              <w:top w:val="single" w:color="auto" w:sz="6" w:space="0"/>
              <w:left w:val="single" w:color="auto" w:sz="6" w:space="0"/>
              <w:bottom w:val="single" w:color="auto" w:sz="6" w:space="0"/>
              <w:right w:val="single" w:color="auto" w:sz="6" w:space="0"/>
            </w:tcBorders>
          </w:tcPr>
          <w:p w14:paraId="3BBFDB5E">
            <w:pPr>
              <w:autoSpaceDE w:val="0"/>
              <w:autoSpaceDN w:val="0"/>
              <w:adjustRightInd w:val="0"/>
              <w:jc w:val="center"/>
              <w:rPr>
                <w:rFonts w:hint="eastAsia" w:ascii="宋体" w:hAnsi="宋体" w:cs="宋体"/>
                <w:bCs/>
                <w:szCs w:val="21"/>
                <w:highlight w:val="none"/>
                <w:lang w:val="zh-CN"/>
              </w:rPr>
            </w:pPr>
            <w:r>
              <w:rPr>
                <w:rFonts w:hint="eastAsia" w:ascii="宋体" w:hAnsi="宋体" w:cs="宋体"/>
                <w:sz w:val="24"/>
                <w:highlight w:val="none"/>
              </w:rPr>
              <w:t>采购需求</w:t>
            </w:r>
          </w:p>
        </w:tc>
      </w:tr>
      <w:tr w14:paraId="6E4F99EE">
        <w:tblPrEx>
          <w:tblCellMar>
            <w:top w:w="0" w:type="dxa"/>
            <w:left w:w="108" w:type="dxa"/>
            <w:bottom w:w="0" w:type="dxa"/>
            <w:right w:w="108" w:type="dxa"/>
          </w:tblCellMar>
        </w:tblPrEx>
        <w:trPr>
          <w:trHeight w:val="307" w:hRule="atLeast"/>
        </w:trPr>
        <w:tc>
          <w:tcPr>
            <w:tcW w:w="838" w:type="dxa"/>
            <w:tcBorders>
              <w:top w:val="single" w:color="auto" w:sz="6" w:space="0"/>
              <w:left w:val="single" w:color="auto" w:sz="6" w:space="0"/>
              <w:bottom w:val="single" w:color="auto" w:sz="6" w:space="0"/>
              <w:right w:val="single" w:color="auto" w:sz="6" w:space="0"/>
            </w:tcBorders>
            <w:vAlign w:val="center"/>
          </w:tcPr>
          <w:p w14:paraId="678AF8C9">
            <w:pPr>
              <w:autoSpaceDE w:val="0"/>
              <w:autoSpaceDN w:val="0"/>
              <w:adjustRightInd w:val="0"/>
              <w:jc w:val="center"/>
              <w:rPr>
                <w:rFonts w:hint="eastAsia" w:ascii="宋体" w:hAnsi="宋体" w:cs="宋体"/>
                <w:bCs/>
                <w:szCs w:val="21"/>
                <w:highlight w:val="none"/>
                <w:lang w:val="zh-CN"/>
              </w:rPr>
            </w:pPr>
            <w:r>
              <w:rPr>
                <w:rFonts w:hint="eastAsia" w:ascii="宋体" w:hAnsi="宋体" w:cs="宋体"/>
                <w:bCs/>
                <w:szCs w:val="21"/>
                <w:highlight w:val="none"/>
                <w:lang w:val="zh-CN"/>
              </w:rPr>
              <w:t>序号</w:t>
            </w:r>
          </w:p>
        </w:tc>
        <w:tc>
          <w:tcPr>
            <w:tcW w:w="1257" w:type="dxa"/>
            <w:tcBorders>
              <w:top w:val="single" w:color="auto" w:sz="6" w:space="0"/>
              <w:left w:val="single" w:color="auto" w:sz="6" w:space="0"/>
              <w:bottom w:val="single" w:color="auto" w:sz="6" w:space="0"/>
              <w:right w:val="single" w:color="auto" w:sz="6" w:space="0"/>
            </w:tcBorders>
            <w:vAlign w:val="center"/>
          </w:tcPr>
          <w:p w14:paraId="59772B15">
            <w:pPr>
              <w:autoSpaceDE w:val="0"/>
              <w:autoSpaceDN w:val="0"/>
              <w:adjustRightInd w:val="0"/>
              <w:jc w:val="center"/>
              <w:rPr>
                <w:rFonts w:hint="eastAsia" w:ascii="宋体" w:hAnsi="宋体" w:cs="宋体"/>
                <w:bCs/>
                <w:szCs w:val="21"/>
                <w:highlight w:val="none"/>
                <w:lang w:val="zh-CN"/>
              </w:rPr>
            </w:pPr>
            <w:r>
              <w:rPr>
                <w:rFonts w:hint="eastAsia" w:ascii="宋体" w:hAnsi="宋体" w:cs="宋体"/>
                <w:bCs/>
                <w:szCs w:val="21"/>
                <w:highlight w:val="none"/>
                <w:lang w:val="zh-CN"/>
              </w:rPr>
              <w:t>名称</w:t>
            </w:r>
          </w:p>
        </w:tc>
        <w:tc>
          <w:tcPr>
            <w:tcW w:w="2652" w:type="dxa"/>
            <w:tcBorders>
              <w:top w:val="single" w:color="auto" w:sz="6" w:space="0"/>
              <w:left w:val="single" w:color="auto" w:sz="6" w:space="0"/>
              <w:bottom w:val="single" w:color="auto" w:sz="6" w:space="0"/>
              <w:right w:val="single" w:color="auto" w:sz="6" w:space="0"/>
            </w:tcBorders>
            <w:vAlign w:val="center"/>
          </w:tcPr>
          <w:p w14:paraId="4BBCAC54">
            <w:pPr>
              <w:autoSpaceDE w:val="0"/>
              <w:autoSpaceDN w:val="0"/>
              <w:adjustRightInd w:val="0"/>
              <w:jc w:val="center"/>
              <w:rPr>
                <w:rFonts w:hint="eastAsia" w:ascii="宋体" w:hAnsi="宋体" w:cs="宋体"/>
                <w:bCs/>
                <w:szCs w:val="21"/>
                <w:highlight w:val="none"/>
                <w:lang w:val="zh-CN"/>
              </w:rPr>
            </w:pPr>
            <w:r>
              <w:rPr>
                <w:rFonts w:hint="eastAsia" w:ascii="宋体" w:hAnsi="宋体" w:cs="宋体"/>
                <w:szCs w:val="21"/>
                <w:highlight w:val="none"/>
              </w:rPr>
              <w:t>竞争性谈判文件规定的采购需求</w:t>
            </w:r>
          </w:p>
        </w:tc>
        <w:tc>
          <w:tcPr>
            <w:tcW w:w="2094" w:type="dxa"/>
            <w:tcBorders>
              <w:top w:val="single" w:color="auto" w:sz="6" w:space="0"/>
              <w:left w:val="single" w:color="auto" w:sz="6" w:space="0"/>
              <w:bottom w:val="single" w:color="auto" w:sz="6" w:space="0"/>
              <w:right w:val="single" w:color="auto" w:sz="6" w:space="0"/>
            </w:tcBorders>
            <w:vAlign w:val="center"/>
          </w:tcPr>
          <w:p w14:paraId="202BFB58">
            <w:pPr>
              <w:autoSpaceDE w:val="0"/>
              <w:autoSpaceDN w:val="0"/>
              <w:adjustRightInd w:val="0"/>
              <w:jc w:val="center"/>
              <w:rPr>
                <w:rFonts w:hint="eastAsia" w:ascii="宋体" w:hAnsi="宋体" w:cs="宋体"/>
                <w:bCs/>
                <w:szCs w:val="21"/>
                <w:highlight w:val="none"/>
              </w:rPr>
            </w:pPr>
            <w:r>
              <w:rPr>
                <w:rFonts w:hint="eastAsia" w:ascii="宋体" w:hAnsi="宋体" w:cs="宋体"/>
                <w:szCs w:val="21"/>
                <w:highlight w:val="none"/>
              </w:rPr>
              <w:t>响应文件对应的响应内容</w:t>
            </w:r>
          </w:p>
        </w:tc>
        <w:tc>
          <w:tcPr>
            <w:tcW w:w="2233" w:type="dxa"/>
            <w:tcBorders>
              <w:top w:val="single" w:color="auto" w:sz="6" w:space="0"/>
              <w:left w:val="single" w:color="auto" w:sz="6" w:space="0"/>
              <w:bottom w:val="single" w:color="auto" w:sz="6" w:space="0"/>
              <w:right w:val="single" w:color="auto" w:sz="6" w:space="0"/>
            </w:tcBorders>
            <w:vAlign w:val="center"/>
          </w:tcPr>
          <w:p w14:paraId="525616DD">
            <w:pPr>
              <w:autoSpaceDE w:val="0"/>
              <w:autoSpaceDN w:val="0"/>
              <w:adjustRightInd w:val="0"/>
              <w:jc w:val="center"/>
              <w:rPr>
                <w:rFonts w:hint="eastAsia" w:ascii="宋体" w:hAnsi="宋体" w:cs="宋体"/>
                <w:bCs/>
                <w:szCs w:val="21"/>
                <w:highlight w:val="none"/>
                <w:lang w:val="zh-CN"/>
              </w:rPr>
            </w:pPr>
            <w:r>
              <w:rPr>
                <w:rFonts w:hint="eastAsia" w:ascii="宋体" w:hAnsi="宋体" w:cs="宋体"/>
                <w:szCs w:val="21"/>
                <w:highlight w:val="none"/>
              </w:rPr>
              <w:t>采购需求</w:t>
            </w:r>
            <w:r>
              <w:rPr>
                <w:rFonts w:hint="eastAsia" w:ascii="宋体" w:hAnsi="宋体" w:cs="宋体"/>
                <w:bCs/>
                <w:szCs w:val="21"/>
                <w:highlight w:val="none"/>
                <w:lang w:val="zh-CN"/>
              </w:rPr>
              <w:t>内容偏离情况</w:t>
            </w:r>
          </w:p>
        </w:tc>
        <w:tc>
          <w:tcPr>
            <w:tcW w:w="1379" w:type="dxa"/>
            <w:tcBorders>
              <w:top w:val="single" w:color="auto" w:sz="6" w:space="0"/>
              <w:left w:val="single" w:color="auto" w:sz="6" w:space="0"/>
              <w:bottom w:val="single" w:color="auto" w:sz="6" w:space="0"/>
              <w:right w:val="single" w:color="auto" w:sz="6" w:space="0"/>
            </w:tcBorders>
            <w:vAlign w:val="center"/>
          </w:tcPr>
          <w:p w14:paraId="4BB80975">
            <w:pPr>
              <w:autoSpaceDE w:val="0"/>
              <w:autoSpaceDN w:val="0"/>
              <w:adjustRightInd w:val="0"/>
              <w:jc w:val="center"/>
              <w:rPr>
                <w:rFonts w:hint="eastAsia" w:ascii="宋体" w:hAnsi="宋体" w:cs="宋体"/>
                <w:bCs/>
                <w:szCs w:val="21"/>
                <w:highlight w:val="none"/>
                <w:lang w:val="zh-CN"/>
              </w:rPr>
            </w:pPr>
            <w:r>
              <w:rPr>
                <w:rFonts w:hint="eastAsia" w:ascii="宋体" w:hAnsi="宋体" w:cs="宋体"/>
                <w:bCs/>
                <w:szCs w:val="21"/>
                <w:highlight w:val="none"/>
                <w:lang w:val="zh-CN"/>
              </w:rPr>
              <w:t>备注</w:t>
            </w:r>
          </w:p>
        </w:tc>
      </w:tr>
      <w:tr w14:paraId="6EBB1471">
        <w:tblPrEx>
          <w:tblCellMar>
            <w:top w:w="0" w:type="dxa"/>
            <w:left w:w="108" w:type="dxa"/>
            <w:bottom w:w="0" w:type="dxa"/>
            <w:right w:w="108" w:type="dxa"/>
          </w:tblCellMar>
        </w:tblPrEx>
        <w:trPr>
          <w:trHeight w:val="351" w:hRule="atLeast"/>
        </w:trPr>
        <w:tc>
          <w:tcPr>
            <w:tcW w:w="838" w:type="dxa"/>
            <w:tcBorders>
              <w:top w:val="single" w:color="auto" w:sz="6" w:space="0"/>
              <w:left w:val="single" w:color="auto" w:sz="6" w:space="0"/>
              <w:bottom w:val="single" w:color="auto" w:sz="6" w:space="0"/>
              <w:right w:val="single" w:color="auto" w:sz="6" w:space="0"/>
            </w:tcBorders>
            <w:vAlign w:val="center"/>
          </w:tcPr>
          <w:p w14:paraId="7ED123C9">
            <w:pPr>
              <w:autoSpaceDE w:val="0"/>
              <w:autoSpaceDN w:val="0"/>
              <w:adjustRightInd w:val="0"/>
              <w:jc w:val="center"/>
              <w:rPr>
                <w:rFonts w:hint="eastAsia" w:ascii="宋体" w:hAnsi="宋体" w:cs="宋体"/>
                <w:bCs/>
                <w:szCs w:val="21"/>
                <w:highlight w:val="none"/>
                <w:lang w:val="zh-CN"/>
              </w:rPr>
            </w:pPr>
            <w:r>
              <w:rPr>
                <w:rFonts w:hint="eastAsia" w:ascii="宋体" w:hAnsi="宋体" w:cs="宋体"/>
                <w:bCs/>
                <w:szCs w:val="21"/>
                <w:highlight w:val="none"/>
                <w:lang w:val="zh-CN"/>
              </w:rPr>
              <w:t>1</w:t>
            </w:r>
          </w:p>
        </w:tc>
        <w:tc>
          <w:tcPr>
            <w:tcW w:w="1257" w:type="dxa"/>
            <w:tcBorders>
              <w:top w:val="single" w:color="auto" w:sz="6" w:space="0"/>
              <w:left w:val="single" w:color="auto" w:sz="6" w:space="0"/>
              <w:bottom w:val="single" w:color="auto" w:sz="6" w:space="0"/>
              <w:right w:val="single" w:color="auto" w:sz="6" w:space="0"/>
            </w:tcBorders>
            <w:vAlign w:val="center"/>
          </w:tcPr>
          <w:p w14:paraId="3856DE9D">
            <w:pPr>
              <w:autoSpaceDE w:val="0"/>
              <w:autoSpaceDN w:val="0"/>
              <w:adjustRightInd w:val="0"/>
              <w:jc w:val="center"/>
              <w:rPr>
                <w:rFonts w:hint="eastAsia" w:ascii="宋体" w:hAnsi="宋体" w:cs="宋体"/>
                <w:bCs/>
                <w:szCs w:val="21"/>
                <w:highlight w:val="none"/>
                <w:lang w:val="zh-CN"/>
              </w:rPr>
            </w:pPr>
          </w:p>
        </w:tc>
        <w:tc>
          <w:tcPr>
            <w:tcW w:w="2652" w:type="dxa"/>
            <w:tcBorders>
              <w:top w:val="single" w:color="auto" w:sz="6" w:space="0"/>
              <w:left w:val="single" w:color="auto" w:sz="6" w:space="0"/>
              <w:bottom w:val="single" w:color="auto" w:sz="6" w:space="0"/>
              <w:right w:val="single" w:color="auto" w:sz="6" w:space="0"/>
            </w:tcBorders>
            <w:vAlign w:val="center"/>
          </w:tcPr>
          <w:p w14:paraId="77A70BF7">
            <w:pPr>
              <w:autoSpaceDE w:val="0"/>
              <w:autoSpaceDN w:val="0"/>
              <w:adjustRightInd w:val="0"/>
              <w:jc w:val="center"/>
              <w:rPr>
                <w:rFonts w:hint="eastAsia" w:ascii="宋体" w:hAnsi="宋体" w:cs="宋体"/>
                <w:bCs/>
                <w:szCs w:val="21"/>
                <w:highlight w:val="none"/>
                <w:lang w:val="zh-CN"/>
              </w:rPr>
            </w:pPr>
          </w:p>
        </w:tc>
        <w:tc>
          <w:tcPr>
            <w:tcW w:w="2094" w:type="dxa"/>
            <w:tcBorders>
              <w:top w:val="single" w:color="auto" w:sz="6" w:space="0"/>
              <w:left w:val="single" w:color="auto" w:sz="6" w:space="0"/>
              <w:bottom w:val="single" w:color="auto" w:sz="6" w:space="0"/>
              <w:right w:val="single" w:color="auto" w:sz="6" w:space="0"/>
            </w:tcBorders>
            <w:vAlign w:val="center"/>
          </w:tcPr>
          <w:p w14:paraId="5E830840">
            <w:pPr>
              <w:autoSpaceDE w:val="0"/>
              <w:autoSpaceDN w:val="0"/>
              <w:adjustRightInd w:val="0"/>
              <w:jc w:val="center"/>
              <w:rPr>
                <w:rFonts w:hint="eastAsia" w:ascii="宋体" w:hAnsi="宋体" w:cs="宋体"/>
                <w:bCs/>
                <w:szCs w:val="21"/>
                <w:highlight w:val="none"/>
                <w:lang w:val="zh-CN"/>
              </w:rPr>
            </w:pPr>
          </w:p>
        </w:tc>
        <w:tc>
          <w:tcPr>
            <w:tcW w:w="2233" w:type="dxa"/>
            <w:tcBorders>
              <w:top w:val="single" w:color="auto" w:sz="6" w:space="0"/>
              <w:left w:val="single" w:color="auto" w:sz="6" w:space="0"/>
              <w:bottom w:val="single" w:color="auto" w:sz="6" w:space="0"/>
              <w:right w:val="single" w:color="auto" w:sz="6" w:space="0"/>
            </w:tcBorders>
            <w:vAlign w:val="center"/>
          </w:tcPr>
          <w:p w14:paraId="63E07376">
            <w:pPr>
              <w:autoSpaceDE w:val="0"/>
              <w:autoSpaceDN w:val="0"/>
              <w:adjustRightInd w:val="0"/>
              <w:jc w:val="center"/>
              <w:rPr>
                <w:rFonts w:hint="eastAsia" w:ascii="宋体" w:hAnsi="宋体" w:cs="宋体"/>
                <w:bCs/>
                <w:szCs w:val="21"/>
                <w:highlight w:val="none"/>
                <w:lang w:val="zh-CN"/>
              </w:rPr>
            </w:pPr>
          </w:p>
        </w:tc>
        <w:tc>
          <w:tcPr>
            <w:tcW w:w="1379" w:type="dxa"/>
            <w:tcBorders>
              <w:top w:val="single" w:color="auto" w:sz="6" w:space="0"/>
              <w:left w:val="single" w:color="auto" w:sz="6" w:space="0"/>
              <w:bottom w:val="single" w:color="auto" w:sz="6" w:space="0"/>
              <w:right w:val="single" w:color="auto" w:sz="6" w:space="0"/>
            </w:tcBorders>
            <w:vAlign w:val="center"/>
          </w:tcPr>
          <w:p w14:paraId="34BA6B81">
            <w:pPr>
              <w:autoSpaceDE w:val="0"/>
              <w:autoSpaceDN w:val="0"/>
              <w:adjustRightInd w:val="0"/>
              <w:jc w:val="center"/>
              <w:rPr>
                <w:rFonts w:hint="eastAsia" w:ascii="宋体" w:hAnsi="宋体" w:cs="宋体"/>
                <w:bCs/>
                <w:szCs w:val="21"/>
                <w:highlight w:val="none"/>
                <w:lang w:val="zh-CN"/>
              </w:rPr>
            </w:pPr>
          </w:p>
        </w:tc>
      </w:tr>
      <w:tr w14:paraId="3A05A440">
        <w:tblPrEx>
          <w:tblCellMar>
            <w:top w:w="0" w:type="dxa"/>
            <w:left w:w="108" w:type="dxa"/>
            <w:bottom w:w="0" w:type="dxa"/>
            <w:right w:w="108" w:type="dxa"/>
          </w:tblCellMar>
        </w:tblPrEx>
        <w:trPr>
          <w:trHeight w:val="351" w:hRule="atLeast"/>
        </w:trPr>
        <w:tc>
          <w:tcPr>
            <w:tcW w:w="838" w:type="dxa"/>
            <w:tcBorders>
              <w:top w:val="single" w:color="auto" w:sz="6" w:space="0"/>
              <w:left w:val="single" w:color="auto" w:sz="6" w:space="0"/>
              <w:bottom w:val="single" w:color="auto" w:sz="6" w:space="0"/>
              <w:right w:val="single" w:color="auto" w:sz="6" w:space="0"/>
            </w:tcBorders>
            <w:vAlign w:val="center"/>
          </w:tcPr>
          <w:p w14:paraId="1A0C386D">
            <w:pPr>
              <w:autoSpaceDE w:val="0"/>
              <w:autoSpaceDN w:val="0"/>
              <w:adjustRightInd w:val="0"/>
              <w:jc w:val="center"/>
              <w:rPr>
                <w:rFonts w:hint="eastAsia" w:ascii="宋体" w:hAnsi="宋体" w:cs="宋体"/>
                <w:bCs/>
                <w:szCs w:val="21"/>
                <w:highlight w:val="none"/>
                <w:lang w:val="zh-CN"/>
              </w:rPr>
            </w:pPr>
            <w:r>
              <w:rPr>
                <w:rFonts w:hint="eastAsia" w:ascii="宋体" w:hAnsi="宋体" w:cs="宋体"/>
                <w:bCs/>
                <w:szCs w:val="21"/>
                <w:highlight w:val="none"/>
                <w:lang w:val="zh-CN"/>
              </w:rPr>
              <w:t>2</w:t>
            </w:r>
          </w:p>
        </w:tc>
        <w:tc>
          <w:tcPr>
            <w:tcW w:w="1257" w:type="dxa"/>
            <w:tcBorders>
              <w:top w:val="single" w:color="auto" w:sz="6" w:space="0"/>
              <w:left w:val="single" w:color="auto" w:sz="6" w:space="0"/>
              <w:bottom w:val="single" w:color="auto" w:sz="6" w:space="0"/>
              <w:right w:val="single" w:color="auto" w:sz="6" w:space="0"/>
            </w:tcBorders>
            <w:vAlign w:val="center"/>
          </w:tcPr>
          <w:p w14:paraId="61DD6D5C">
            <w:pPr>
              <w:autoSpaceDE w:val="0"/>
              <w:autoSpaceDN w:val="0"/>
              <w:adjustRightInd w:val="0"/>
              <w:jc w:val="center"/>
              <w:rPr>
                <w:rFonts w:hint="eastAsia" w:ascii="宋体" w:hAnsi="宋体" w:cs="宋体"/>
                <w:bCs/>
                <w:szCs w:val="21"/>
                <w:highlight w:val="none"/>
                <w:lang w:val="zh-CN"/>
              </w:rPr>
            </w:pPr>
          </w:p>
        </w:tc>
        <w:tc>
          <w:tcPr>
            <w:tcW w:w="2652" w:type="dxa"/>
            <w:tcBorders>
              <w:top w:val="single" w:color="auto" w:sz="6" w:space="0"/>
              <w:left w:val="single" w:color="auto" w:sz="6" w:space="0"/>
              <w:bottom w:val="single" w:color="auto" w:sz="6" w:space="0"/>
              <w:right w:val="single" w:color="auto" w:sz="6" w:space="0"/>
            </w:tcBorders>
            <w:vAlign w:val="center"/>
          </w:tcPr>
          <w:p w14:paraId="06B9525E">
            <w:pPr>
              <w:autoSpaceDE w:val="0"/>
              <w:autoSpaceDN w:val="0"/>
              <w:adjustRightInd w:val="0"/>
              <w:jc w:val="center"/>
              <w:rPr>
                <w:rFonts w:hint="eastAsia" w:ascii="宋体" w:hAnsi="宋体" w:cs="宋体"/>
                <w:bCs/>
                <w:szCs w:val="21"/>
                <w:highlight w:val="none"/>
                <w:lang w:val="zh-CN"/>
              </w:rPr>
            </w:pPr>
          </w:p>
        </w:tc>
        <w:tc>
          <w:tcPr>
            <w:tcW w:w="2094" w:type="dxa"/>
            <w:tcBorders>
              <w:top w:val="single" w:color="auto" w:sz="6" w:space="0"/>
              <w:left w:val="single" w:color="auto" w:sz="6" w:space="0"/>
              <w:bottom w:val="single" w:color="auto" w:sz="6" w:space="0"/>
              <w:right w:val="single" w:color="auto" w:sz="6" w:space="0"/>
            </w:tcBorders>
            <w:vAlign w:val="center"/>
          </w:tcPr>
          <w:p w14:paraId="0E99A1DD">
            <w:pPr>
              <w:autoSpaceDE w:val="0"/>
              <w:autoSpaceDN w:val="0"/>
              <w:adjustRightInd w:val="0"/>
              <w:jc w:val="center"/>
              <w:rPr>
                <w:rFonts w:hint="eastAsia" w:ascii="宋体" w:hAnsi="宋体" w:cs="宋体"/>
                <w:bCs/>
                <w:szCs w:val="21"/>
                <w:highlight w:val="none"/>
                <w:lang w:val="zh-CN"/>
              </w:rPr>
            </w:pPr>
          </w:p>
        </w:tc>
        <w:tc>
          <w:tcPr>
            <w:tcW w:w="2233" w:type="dxa"/>
            <w:tcBorders>
              <w:top w:val="single" w:color="auto" w:sz="6" w:space="0"/>
              <w:left w:val="single" w:color="auto" w:sz="6" w:space="0"/>
              <w:bottom w:val="single" w:color="auto" w:sz="6" w:space="0"/>
              <w:right w:val="single" w:color="auto" w:sz="6" w:space="0"/>
            </w:tcBorders>
            <w:vAlign w:val="center"/>
          </w:tcPr>
          <w:p w14:paraId="36E35A3A">
            <w:pPr>
              <w:autoSpaceDE w:val="0"/>
              <w:autoSpaceDN w:val="0"/>
              <w:adjustRightInd w:val="0"/>
              <w:jc w:val="center"/>
              <w:rPr>
                <w:rFonts w:hint="eastAsia" w:ascii="宋体" w:hAnsi="宋体" w:cs="宋体"/>
                <w:bCs/>
                <w:szCs w:val="21"/>
                <w:highlight w:val="none"/>
                <w:lang w:val="zh-CN"/>
              </w:rPr>
            </w:pPr>
          </w:p>
        </w:tc>
        <w:tc>
          <w:tcPr>
            <w:tcW w:w="1379" w:type="dxa"/>
            <w:tcBorders>
              <w:top w:val="single" w:color="auto" w:sz="6" w:space="0"/>
              <w:left w:val="single" w:color="auto" w:sz="6" w:space="0"/>
              <w:bottom w:val="single" w:color="auto" w:sz="6" w:space="0"/>
              <w:right w:val="single" w:color="auto" w:sz="6" w:space="0"/>
            </w:tcBorders>
            <w:vAlign w:val="center"/>
          </w:tcPr>
          <w:p w14:paraId="4B092CB9">
            <w:pPr>
              <w:autoSpaceDE w:val="0"/>
              <w:autoSpaceDN w:val="0"/>
              <w:adjustRightInd w:val="0"/>
              <w:jc w:val="center"/>
              <w:rPr>
                <w:rFonts w:hint="eastAsia" w:ascii="宋体" w:hAnsi="宋体" w:cs="宋体"/>
                <w:bCs/>
                <w:szCs w:val="21"/>
                <w:highlight w:val="none"/>
                <w:lang w:val="zh-CN"/>
              </w:rPr>
            </w:pPr>
          </w:p>
        </w:tc>
      </w:tr>
      <w:tr w14:paraId="1C6A9A90">
        <w:tblPrEx>
          <w:tblCellMar>
            <w:top w:w="0" w:type="dxa"/>
            <w:left w:w="108" w:type="dxa"/>
            <w:bottom w:w="0" w:type="dxa"/>
            <w:right w:w="108" w:type="dxa"/>
          </w:tblCellMar>
        </w:tblPrEx>
        <w:trPr>
          <w:trHeight w:val="351" w:hRule="atLeast"/>
        </w:trPr>
        <w:tc>
          <w:tcPr>
            <w:tcW w:w="838" w:type="dxa"/>
            <w:tcBorders>
              <w:top w:val="single" w:color="auto" w:sz="6" w:space="0"/>
              <w:left w:val="single" w:color="auto" w:sz="6" w:space="0"/>
              <w:bottom w:val="single" w:color="auto" w:sz="6" w:space="0"/>
              <w:right w:val="single" w:color="auto" w:sz="6" w:space="0"/>
            </w:tcBorders>
            <w:vAlign w:val="center"/>
          </w:tcPr>
          <w:p w14:paraId="057B0C70">
            <w:pPr>
              <w:autoSpaceDE w:val="0"/>
              <w:autoSpaceDN w:val="0"/>
              <w:adjustRightInd w:val="0"/>
              <w:jc w:val="center"/>
              <w:rPr>
                <w:rFonts w:hint="eastAsia" w:ascii="宋体" w:hAnsi="宋体" w:cs="宋体"/>
                <w:bCs/>
                <w:szCs w:val="21"/>
                <w:highlight w:val="none"/>
                <w:lang w:val="zh-CN"/>
              </w:rPr>
            </w:pPr>
            <w:r>
              <w:rPr>
                <w:rFonts w:hint="eastAsia" w:ascii="宋体" w:hAnsi="宋体" w:cs="宋体"/>
                <w:bCs/>
                <w:szCs w:val="21"/>
                <w:highlight w:val="none"/>
                <w:lang w:val="zh-CN"/>
              </w:rPr>
              <w:t>···</w:t>
            </w:r>
          </w:p>
        </w:tc>
        <w:tc>
          <w:tcPr>
            <w:tcW w:w="1257" w:type="dxa"/>
            <w:tcBorders>
              <w:top w:val="single" w:color="auto" w:sz="6" w:space="0"/>
              <w:left w:val="single" w:color="auto" w:sz="6" w:space="0"/>
              <w:bottom w:val="single" w:color="auto" w:sz="6" w:space="0"/>
              <w:right w:val="single" w:color="auto" w:sz="6" w:space="0"/>
            </w:tcBorders>
            <w:vAlign w:val="center"/>
          </w:tcPr>
          <w:p w14:paraId="5C98C85A">
            <w:pPr>
              <w:autoSpaceDE w:val="0"/>
              <w:autoSpaceDN w:val="0"/>
              <w:adjustRightInd w:val="0"/>
              <w:jc w:val="center"/>
              <w:rPr>
                <w:rFonts w:hint="eastAsia" w:ascii="宋体" w:hAnsi="宋体" w:cs="宋体"/>
                <w:bCs/>
                <w:szCs w:val="21"/>
                <w:highlight w:val="none"/>
                <w:lang w:val="zh-CN"/>
              </w:rPr>
            </w:pPr>
          </w:p>
        </w:tc>
        <w:tc>
          <w:tcPr>
            <w:tcW w:w="2652" w:type="dxa"/>
            <w:tcBorders>
              <w:top w:val="single" w:color="auto" w:sz="6" w:space="0"/>
              <w:left w:val="single" w:color="auto" w:sz="6" w:space="0"/>
              <w:bottom w:val="single" w:color="auto" w:sz="6" w:space="0"/>
              <w:right w:val="single" w:color="auto" w:sz="6" w:space="0"/>
            </w:tcBorders>
            <w:vAlign w:val="center"/>
          </w:tcPr>
          <w:p w14:paraId="6C4B1037">
            <w:pPr>
              <w:autoSpaceDE w:val="0"/>
              <w:autoSpaceDN w:val="0"/>
              <w:adjustRightInd w:val="0"/>
              <w:jc w:val="center"/>
              <w:rPr>
                <w:rFonts w:hint="eastAsia" w:ascii="宋体" w:hAnsi="宋体" w:cs="宋体"/>
                <w:bCs/>
                <w:szCs w:val="21"/>
                <w:highlight w:val="none"/>
                <w:lang w:val="zh-CN"/>
              </w:rPr>
            </w:pPr>
          </w:p>
        </w:tc>
        <w:tc>
          <w:tcPr>
            <w:tcW w:w="2094" w:type="dxa"/>
            <w:tcBorders>
              <w:top w:val="single" w:color="auto" w:sz="6" w:space="0"/>
              <w:left w:val="single" w:color="auto" w:sz="6" w:space="0"/>
              <w:bottom w:val="single" w:color="auto" w:sz="6" w:space="0"/>
              <w:right w:val="single" w:color="auto" w:sz="6" w:space="0"/>
            </w:tcBorders>
            <w:vAlign w:val="center"/>
          </w:tcPr>
          <w:p w14:paraId="16BA00EC">
            <w:pPr>
              <w:autoSpaceDE w:val="0"/>
              <w:autoSpaceDN w:val="0"/>
              <w:adjustRightInd w:val="0"/>
              <w:jc w:val="center"/>
              <w:rPr>
                <w:rFonts w:hint="eastAsia" w:ascii="宋体" w:hAnsi="宋体" w:cs="宋体"/>
                <w:bCs/>
                <w:szCs w:val="21"/>
                <w:highlight w:val="none"/>
                <w:lang w:val="zh-CN"/>
              </w:rPr>
            </w:pPr>
          </w:p>
        </w:tc>
        <w:tc>
          <w:tcPr>
            <w:tcW w:w="2233" w:type="dxa"/>
            <w:tcBorders>
              <w:top w:val="single" w:color="auto" w:sz="6" w:space="0"/>
              <w:left w:val="single" w:color="auto" w:sz="6" w:space="0"/>
              <w:bottom w:val="single" w:color="auto" w:sz="6" w:space="0"/>
              <w:right w:val="single" w:color="auto" w:sz="6" w:space="0"/>
            </w:tcBorders>
            <w:vAlign w:val="center"/>
          </w:tcPr>
          <w:p w14:paraId="78C229C9">
            <w:pPr>
              <w:autoSpaceDE w:val="0"/>
              <w:autoSpaceDN w:val="0"/>
              <w:adjustRightInd w:val="0"/>
              <w:jc w:val="center"/>
              <w:rPr>
                <w:rFonts w:hint="eastAsia" w:ascii="宋体" w:hAnsi="宋体" w:cs="宋体"/>
                <w:bCs/>
                <w:szCs w:val="21"/>
                <w:highlight w:val="none"/>
                <w:lang w:val="zh-CN"/>
              </w:rPr>
            </w:pPr>
          </w:p>
        </w:tc>
        <w:tc>
          <w:tcPr>
            <w:tcW w:w="1379" w:type="dxa"/>
            <w:tcBorders>
              <w:top w:val="single" w:color="auto" w:sz="6" w:space="0"/>
              <w:left w:val="single" w:color="auto" w:sz="6" w:space="0"/>
              <w:bottom w:val="single" w:color="auto" w:sz="6" w:space="0"/>
              <w:right w:val="single" w:color="auto" w:sz="6" w:space="0"/>
            </w:tcBorders>
            <w:vAlign w:val="center"/>
          </w:tcPr>
          <w:p w14:paraId="4BC9EBDF">
            <w:pPr>
              <w:autoSpaceDE w:val="0"/>
              <w:autoSpaceDN w:val="0"/>
              <w:adjustRightInd w:val="0"/>
              <w:jc w:val="center"/>
              <w:rPr>
                <w:rFonts w:hint="eastAsia" w:ascii="宋体" w:hAnsi="宋体" w:cs="宋体"/>
                <w:bCs/>
                <w:szCs w:val="21"/>
                <w:highlight w:val="none"/>
                <w:lang w:val="zh-CN"/>
              </w:rPr>
            </w:pPr>
          </w:p>
        </w:tc>
      </w:tr>
      <w:tr w14:paraId="5FFBE5B7">
        <w:tblPrEx>
          <w:tblCellMar>
            <w:top w:w="0" w:type="dxa"/>
            <w:left w:w="108" w:type="dxa"/>
            <w:bottom w:w="0" w:type="dxa"/>
            <w:right w:w="108" w:type="dxa"/>
          </w:tblCellMar>
        </w:tblPrEx>
        <w:trPr>
          <w:trHeight w:val="279" w:hRule="atLeast"/>
        </w:trPr>
        <w:tc>
          <w:tcPr>
            <w:tcW w:w="838" w:type="dxa"/>
            <w:tcBorders>
              <w:top w:val="single" w:color="auto" w:sz="6" w:space="0"/>
              <w:left w:val="single" w:color="auto" w:sz="6" w:space="0"/>
              <w:bottom w:val="single" w:color="auto" w:sz="6" w:space="0"/>
              <w:right w:val="single" w:color="auto" w:sz="6" w:space="0"/>
            </w:tcBorders>
            <w:vAlign w:val="center"/>
          </w:tcPr>
          <w:p w14:paraId="40B843E7">
            <w:pPr>
              <w:autoSpaceDE w:val="0"/>
              <w:autoSpaceDN w:val="0"/>
              <w:adjustRightInd w:val="0"/>
              <w:jc w:val="center"/>
              <w:rPr>
                <w:rFonts w:hint="eastAsia" w:ascii="宋体" w:hAnsi="宋体" w:cs="宋体"/>
                <w:bCs/>
                <w:szCs w:val="21"/>
                <w:highlight w:val="none"/>
              </w:rPr>
            </w:pPr>
            <w:r>
              <w:rPr>
                <w:rFonts w:hint="eastAsia" w:ascii="宋体" w:hAnsi="宋体" w:cs="宋体"/>
                <w:bCs/>
                <w:szCs w:val="21"/>
                <w:highlight w:val="none"/>
              </w:rPr>
              <w:t>二</w:t>
            </w:r>
          </w:p>
        </w:tc>
        <w:tc>
          <w:tcPr>
            <w:tcW w:w="9615" w:type="dxa"/>
            <w:gridSpan w:val="5"/>
            <w:tcBorders>
              <w:top w:val="single" w:color="auto" w:sz="6" w:space="0"/>
              <w:left w:val="single" w:color="auto" w:sz="6" w:space="0"/>
              <w:bottom w:val="single" w:color="auto" w:sz="6" w:space="0"/>
              <w:right w:val="single" w:color="auto" w:sz="6" w:space="0"/>
            </w:tcBorders>
            <w:vAlign w:val="center"/>
          </w:tcPr>
          <w:p w14:paraId="7811DA98">
            <w:pPr>
              <w:autoSpaceDE w:val="0"/>
              <w:autoSpaceDN w:val="0"/>
              <w:adjustRightInd w:val="0"/>
              <w:jc w:val="center"/>
              <w:rPr>
                <w:rFonts w:hint="eastAsia" w:ascii="宋体" w:hAnsi="宋体" w:cs="宋体"/>
                <w:bCs/>
                <w:szCs w:val="21"/>
                <w:highlight w:val="none"/>
              </w:rPr>
            </w:pPr>
            <w:r>
              <w:rPr>
                <w:rFonts w:hint="eastAsia" w:ascii="宋体" w:hAnsi="宋体" w:cs="宋体"/>
                <w:bCs/>
                <w:szCs w:val="21"/>
                <w:highlight w:val="none"/>
              </w:rPr>
              <w:t>其他要求</w:t>
            </w:r>
          </w:p>
        </w:tc>
      </w:tr>
      <w:tr w14:paraId="6079507D">
        <w:tblPrEx>
          <w:tblCellMar>
            <w:top w:w="0" w:type="dxa"/>
            <w:left w:w="108" w:type="dxa"/>
            <w:bottom w:w="0" w:type="dxa"/>
            <w:right w:w="108" w:type="dxa"/>
          </w:tblCellMar>
        </w:tblPrEx>
        <w:trPr>
          <w:trHeight w:val="279" w:hRule="atLeast"/>
        </w:trPr>
        <w:tc>
          <w:tcPr>
            <w:tcW w:w="838" w:type="dxa"/>
            <w:tcBorders>
              <w:top w:val="single" w:color="auto" w:sz="6" w:space="0"/>
              <w:left w:val="single" w:color="auto" w:sz="6" w:space="0"/>
              <w:bottom w:val="single" w:color="auto" w:sz="6" w:space="0"/>
              <w:right w:val="single" w:color="auto" w:sz="6" w:space="0"/>
            </w:tcBorders>
            <w:vAlign w:val="center"/>
          </w:tcPr>
          <w:p w14:paraId="5DA877EB">
            <w:pPr>
              <w:autoSpaceDE w:val="0"/>
              <w:autoSpaceDN w:val="0"/>
              <w:adjustRightInd w:val="0"/>
              <w:jc w:val="center"/>
              <w:rPr>
                <w:rFonts w:hint="eastAsia" w:ascii="宋体" w:hAnsi="宋体" w:cs="宋体"/>
                <w:bCs/>
                <w:szCs w:val="21"/>
                <w:highlight w:val="none"/>
              </w:rPr>
            </w:pPr>
            <w:r>
              <w:rPr>
                <w:rFonts w:hint="eastAsia" w:ascii="宋体" w:hAnsi="宋体" w:cs="宋体"/>
                <w:bCs/>
                <w:szCs w:val="21"/>
                <w:highlight w:val="none"/>
              </w:rPr>
              <w:t>序号</w:t>
            </w:r>
          </w:p>
        </w:tc>
        <w:tc>
          <w:tcPr>
            <w:tcW w:w="1257" w:type="dxa"/>
            <w:tcBorders>
              <w:top w:val="single" w:color="auto" w:sz="6" w:space="0"/>
              <w:left w:val="single" w:color="auto" w:sz="6" w:space="0"/>
              <w:bottom w:val="single" w:color="auto" w:sz="6" w:space="0"/>
              <w:right w:val="single" w:color="auto" w:sz="6" w:space="0"/>
            </w:tcBorders>
            <w:vAlign w:val="center"/>
          </w:tcPr>
          <w:p w14:paraId="230D556E">
            <w:pPr>
              <w:autoSpaceDE w:val="0"/>
              <w:autoSpaceDN w:val="0"/>
              <w:adjustRightInd w:val="0"/>
              <w:jc w:val="center"/>
              <w:rPr>
                <w:rFonts w:hint="eastAsia" w:ascii="宋体" w:hAnsi="宋体" w:cs="宋体"/>
                <w:bCs/>
                <w:szCs w:val="21"/>
                <w:highlight w:val="none"/>
              </w:rPr>
            </w:pPr>
            <w:r>
              <w:rPr>
                <w:rFonts w:hint="eastAsia" w:ascii="宋体" w:hAnsi="宋体" w:cs="宋体"/>
                <w:bCs/>
                <w:szCs w:val="21"/>
                <w:highlight w:val="none"/>
              </w:rPr>
              <w:t>名称</w:t>
            </w:r>
          </w:p>
        </w:tc>
        <w:tc>
          <w:tcPr>
            <w:tcW w:w="2652" w:type="dxa"/>
            <w:tcBorders>
              <w:top w:val="single" w:color="auto" w:sz="6" w:space="0"/>
              <w:left w:val="single" w:color="auto" w:sz="6" w:space="0"/>
              <w:bottom w:val="single" w:color="auto" w:sz="6" w:space="0"/>
              <w:right w:val="single" w:color="auto" w:sz="6" w:space="0"/>
            </w:tcBorders>
            <w:vAlign w:val="center"/>
          </w:tcPr>
          <w:p w14:paraId="51931562">
            <w:pPr>
              <w:autoSpaceDE w:val="0"/>
              <w:autoSpaceDN w:val="0"/>
              <w:adjustRightInd w:val="0"/>
              <w:jc w:val="center"/>
              <w:rPr>
                <w:rFonts w:hint="eastAsia" w:ascii="宋体" w:hAnsi="宋体" w:cs="宋体"/>
                <w:bCs/>
                <w:szCs w:val="21"/>
                <w:highlight w:val="none"/>
                <w:lang w:val="zh-CN"/>
              </w:rPr>
            </w:pPr>
            <w:r>
              <w:rPr>
                <w:rFonts w:hint="eastAsia" w:ascii="宋体" w:hAnsi="宋体" w:cs="宋体"/>
                <w:szCs w:val="21"/>
                <w:highlight w:val="none"/>
              </w:rPr>
              <w:t>竞争性谈判文件规定的采购需求</w:t>
            </w:r>
          </w:p>
        </w:tc>
        <w:tc>
          <w:tcPr>
            <w:tcW w:w="2094" w:type="dxa"/>
            <w:tcBorders>
              <w:top w:val="single" w:color="auto" w:sz="6" w:space="0"/>
              <w:left w:val="single" w:color="auto" w:sz="6" w:space="0"/>
              <w:bottom w:val="single" w:color="auto" w:sz="6" w:space="0"/>
              <w:right w:val="single" w:color="auto" w:sz="6" w:space="0"/>
            </w:tcBorders>
            <w:vAlign w:val="center"/>
          </w:tcPr>
          <w:p w14:paraId="12A821D4">
            <w:pPr>
              <w:autoSpaceDE w:val="0"/>
              <w:autoSpaceDN w:val="0"/>
              <w:adjustRightInd w:val="0"/>
              <w:jc w:val="center"/>
              <w:rPr>
                <w:rFonts w:hint="eastAsia" w:ascii="宋体" w:hAnsi="宋体" w:cs="宋体"/>
                <w:bCs/>
                <w:szCs w:val="21"/>
                <w:highlight w:val="none"/>
                <w:lang w:val="zh-CN"/>
              </w:rPr>
            </w:pPr>
            <w:r>
              <w:rPr>
                <w:rFonts w:hint="eastAsia" w:ascii="宋体" w:hAnsi="宋体" w:cs="宋体"/>
                <w:szCs w:val="21"/>
                <w:highlight w:val="none"/>
              </w:rPr>
              <w:t>响应文件对应的响应内容</w:t>
            </w:r>
          </w:p>
        </w:tc>
        <w:tc>
          <w:tcPr>
            <w:tcW w:w="2233" w:type="dxa"/>
            <w:tcBorders>
              <w:top w:val="single" w:color="auto" w:sz="6" w:space="0"/>
              <w:left w:val="single" w:color="auto" w:sz="6" w:space="0"/>
              <w:bottom w:val="single" w:color="auto" w:sz="6" w:space="0"/>
              <w:right w:val="single" w:color="auto" w:sz="6" w:space="0"/>
            </w:tcBorders>
            <w:vAlign w:val="center"/>
          </w:tcPr>
          <w:p w14:paraId="57267198">
            <w:pPr>
              <w:autoSpaceDE w:val="0"/>
              <w:autoSpaceDN w:val="0"/>
              <w:adjustRightInd w:val="0"/>
              <w:jc w:val="center"/>
              <w:rPr>
                <w:rFonts w:hint="eastAsia" w:ascii="宋体" w:hAnsi="宋体" w:cs="宋体"/>
                <w:bCs/>
                <w:szCs w:val="21"/>
                <w:highlight w:val="none"/>
                <w:lang w:val="zh-CN"/>
              </w:rPr>
            </w:pPr>
            <w:r>
              <w:rPr>
                <w:rFonts w:hint="eastAsia" w:ascii="宋体" w:hAnsi="宋体" w:cs="宋体"/>
                <w:szCs w:val="21"/>
                <w:highlight w:val="none"/>
              </w:rPr>
              <w:t>采购需求</w:t>
            </w:r>
            <w:r>
              <w:rPr>
                <w:rFonts w:hint="eastAsia" w:ascii="宋体" w:hAnsi="宋体" w:cs="宋体"/>
                <w:bCs/>
                <w:szCs w:val="21"/>
                <w:highlight w:val="none"/>
                <w:lang w:val="zh-CN"/>
              </w:rPr>
              <w:t>内容偏离情况</w:t>
            </w:r>
          </w:p>
        </w:tc>
        <w:tc>
          <w:tcPr>
            <w:tcW w:w="1379" w:type="dxa"/>
            <w:tcBorders>
              <w:top w:val="single" w:color="auto" w:sz="6" w:space="0"/>
              <w:left w:val="single" w:color="auto" w:sz="6" w:space="0"/>
              <w:bottom w:val="single" w:color="auto" w:sz="6" w:space="0"/>
              <w:right w:val="single" w:color="auto" w:sz="6" w:space="0"/>
            </w:tcBorders>
            <w:vAlign w:val="center"/>
          </w:tcPr>
          <w:p w14:paraId="78E0BB2B">
            <w:pPr>
              <w:autoSpaceDE w:val="0"/>
              <w:autoSpaceDN w:val="0"/>
              <w:adjustRightInd w:val="0"/>
              <w:jc w:val="center"/>
              <w:rPr>
                <w:rFonts w:hint="eastAsia" w:ascii="宋体" w:hAnsi="宋体" w:cs="宋体"/>
                <w:bCs/>
                <w:szCs w:val="21"/>
                <w:highlight w:val="none"/>
              </w:rPr>
            </w:pPr>
            <w:r>
              <w:rPr>
                <w:rFonts w:hint="eastAsia" w:ascii="宋体" w:hAnsi="宋体" w:cs="宋体"/>
                <w:bCs/>
                <w:szCs w:val="21"/>
                <w:highlight w:val="none"/>
              </w:rPr>
              <w:t>备注</w:t>
            </w:r>
          </w:p>
        </w:tc>
      </w:tr>
      <w:tr w14:paraId="7D01BAA1">
        <w:tblPrEx>
          <w:tblCellMar>
            <w:top w:w="0" w:type="dxa"/>
            <w:left w:w="108" w:type="dxa"/>
            <w:bottom w:w="0" w:type="dxa"/>
            <w:right w:w="108" w:type="dxa"/>
          </w:tblCellMar>
        </w:tblPrEx>
        <w:trPr>
          <w:trHeight w:val="279" w:hRule="atLeast"/>
        </w:trPr>
        <w:tc>
          <w:tcPr>
            <w:tcW w:w="838" w:type="dxa"/>
            <w:tcBorders>
              <w:top w:val="single" w:color="auto" w:sz="6" w:space="0"/>
              <w:left w:val="single" w:color="auto" w:sz="6" w:space="0"/>
              <w:bottom w:val="single" w:color="auto" w:sz="6" w:space="0"/>
              <w:right w:val="single" w:color="auto" w:sz="6" w:space="0"/>
            </w:tcBorders>
            <w:vAlign w:val="center"/>
          </w:tcPr>
          <w:p w14:paraId="2911AC98">
            <w:pPr>
              <w:autoSpaceDE w:val="0"/>
              <w:autoSpaceDN w:val="0"/>
              <w:adjustRightInd w:val="0"/>
              <w:jc w:val="center"/>
              <w:rPr>
                <w:rFonts w:hint="eastAsia" w:ascii="宋体" w:hAnsi="宋体" w:cs="宋体"/>
                <w:bCs/>
                <w:szCs w:val="21"/>
                <w:highlight w:val="none"/>
              </w:rPr>
            </w:pPr>
            <w:r>
              <w:rPr>
                <w:rFonts w:hint="eastAsia" w:ascii="宋体" w:hAnsi="宋体" w:cs="宋体"/>
                <w:bCs/>
                <w:szCs w:val="21"/>
                <w:highlight w:val="none"/>
              </w:rPr>
              <w:t>1</w:t>
            </w:r>
          </w:p>
        </w:tc>
        <w:tc>
          <w:tcPr>
            <w:tcW w:w="1257" w:type="dxa"/>
            <w:tcBorders>
              <w:top w:val="single" w:color="auto" w:sz="6" w:space="0"/>
              <w:left w:val="single" w:color="auto" w:sz="6" w:space="0"/>
              <w:bottom w:val="single" w:color="auto" w:sz="6" w:space="0"/>
              <w:right w:val="single" w:color="auto" w:sz="6" w:space="0"/>
            </w:tcBorders>
            <w:vAlign w:val="center"/>
          </w:tcPr>
          <w:p w14:paraId="26170D40">
            <w:pPr>
              <w:autoSpaceDE w:val="0"/>
              <w:autoSpaceDN w:val="0"/>
              <w:adjustRightInd w:val="0"/>
              <w:jc w:val="center"/>
              <w:rPr>
                <w:rFonts w:hint="eastAsia" w:ascii="宋体" w:hAnsi="宋体" w:cs="宋体"/>
                <w:bCs/>
                <w:szCs w:val="21"/>
                <w:highlight w:val="none"/>
              </w:rPr>
            </w:pPr>
          </w:p>
        </w:tc>
        <w:tc>
          <w:tcPr>
            <w:tcW w:w="2652" w:type="dxa"/>
            <w:tcBorders>
              <w:top w:val="single" w:color="auto" w:sz="6" w:space="0"/>
              <w:left w:val="single" w:color="auto" w:sz="6" w:space="0"/>
              <w:bottom w:val="single" w:color="auto" w:sz="6" w:space="0"/>
              <w:right w:val="single" w:color="auto" w:sz="6" w:space="0"/>
            </w:tcBorders>
            <w:vAlign w:val="center"/>
          </w:tcPr>
          <w:p w14:paraId="5D641568">
            <w:pPr>
              <w:autoSpaceDE w:val="0"/>
              <w:autoSpaceDN w:val="0"/>
              <w:adjustRightInd w:val="0"/>
              <w:jc w:val="center"/>
              <w:rPr>
                <w:rFonts w:hint="eastAsia" w:ascii="宋体" w:hAnsi="宋体" w:cs="宋体"/>
                <w:bCs/>
                <w:szCs w:val="21"/>
                <w:highlight w:val="none"/>
              </w:rPr>
            </w:pPr>
          </w:p>
        </w:tc>
        <w:tc>
          <w:tcPr>
            <w:tcW w:w="2094" w:type="dxa"/>
            <w:tcBorders>
              <w:top w:val="single" w:color="auto" w:sz="6" w:space="0"/>
              <w:left w:val="single" w:color="auto" w:sz="6" w:space="0"/>
              <w:bottom w:val="single" w:color="auto" w:sz="6" w:space="0"/>
              <w:right w:val="single" w:color="auto" w:sz="6" w:space="0"/>
            </w:tcBorders>
            <w:vAlign w:val="center"/>
          </w:tcPr>
          <w:p w14:paraId="639629B8">
            <w:pPr>
              <w:autoSpaceDE w:val="0"/>
              <w:autoSpaceDN w:val="0"/>
              <w:adjustRightInd w:val="0"/>
              <w:jc w:val="center"/>
              <w:rPr>
                <w:rFonts w:hint="eastAsia" w:ascii="宋体" w:hAnsi="宋体" w:cs="宋体"/>
                <w:bCs/>
                <w:szCs w:val="21"/>
                <w:highlight w:val="none"/>
              </w:rPr>
            </w:pPr>
          </w:p>
        </w:tc>
        <w:tc>
          <w:tcPr>
            <w:tcW w:w="2233" w:type="dxa"/>
            <w:tcBorders>
              <w:top w:val="single" w:color="auto" w:sz="6" w:space="0"/>
              <w:left w:val="single" w:color="auto" w:sz="6" w:space="0"/>
              <w:bottom w:val="single" w:color="auto" w:sz="6" w:space="0"/>
              <w:right w:val="single" w:color="auto" w:sz="6" w:space="0"/>
            </w:tcBorders>
            <w:vAlign w:val="center"/>
          </w:tcPr>
          <w:p w14:paraId="12CB6A1D">
            <w:pPr>
              <w:autoSpaceDE w:val="0"/>
              <w:autoSpaceDN w:val="0"/>
              <w:adjustRightInd w:val="0"/>
              <w:jc w:val="center"/>
              <w:rPr>
                <w:rFonts w:hint="eastAsia" w:ascii="宋体" w:hAnsi="宋体" w:cs="宋体"/>
                <w:bCs/>
                <w:szCs w:val="21"/>
                <w:highlight w:val="none"/>
              </w:rPr>
            </w:pPr>
          </w:p>
        </w:tc>
        <w:tc>
          <w:tcPr>
            <w:tcW w:w="1379" w:type="dxa"/>
            <w:tcBorders>
              <w:top w:val="single" w:color="auto" w:sz="6" w:space="0"/>
              <w:left w:val="single" w:color="auto" w:sz="6" w:space="0"/>
              <w:bottom w:val="single" w:color="auto" w:sz="6" w:space="0"/>
              <w:right w:val="single" w:color="auto" w:sz="6" w:space="0"/>
            </w:tcBorders>
            <w:vAlign w:val="center"/>
          </w:tcPr>
          <w:p w14:paraId="20B28E17">
            <w:pPr>
              <w:autoSpaceDE w:val="0"/>
              <w:autoSpaceDN w:val="0"/>
              <w:adjustRightInd w:val="0"/>
              <w:jc w:val="center"/>
              <w:rPr>
                <w:rFonts w:hint="eastAsia" w:ascii="宋体" w:hAnsi="宋体" w:cs="宋体"/>
                <w:bCs/>
                <w:szCs w:val="21"/>
                <w:highlight w:val="none"/>
              </w:rPr>
            </w:pPr>
          </w:p>
        </w:tc>
      </w:tr>
      <w:tr w14:paraId="0B5D07ED">
        <w:tblPrEx>
          <w:tblCellMar>
            <w:top w:w="0" w:type="dxa"/>
            <w:left w:w="108" w:type="dxa"/>
            <w:bottom w:w="0" w:type="dxa"/>
            <w:right w:w="108" w:type="dxa"/>
          </w:tblCellMar>
        </w:tblPrEx>
        <w:trPr>
          <w:trHeight w:val="279" w:hRule="atLeast"/>
        </w:trPr>
        <w:tc>
          <w:tcPr>
            <w:tcW w:w="838" w:type="dxa"/>
            <w:tcBorders>
              <w:top w:val="single" w:color="auto" w:sz="6" w:space="0"/>
              <w:left w:val="single" w:color="auto" w:sz="6" w:space="0"/>
              <w:bottom w:val="single" w:color="auto" w:sz="6" w:space="0"/>
              <w:right w:val="single" w:color="auto" w:sz="6" w:space="0"/>
            </w:tcBorders>
            <w:vAlign w:val="center"/>
          </w:tcPr>
          <w:p w14:paraId="4661AE1F">
            <w:pPr>
              <w:autoSpaceDE w:val="0"/>
              <w:autoSpaceDN w:val="0"/>
              <w:adjustRightInd w:val="0"/>
              <w:jc w:val="center"/>
              <w:rPr>
                <w:rFonts w:hint="eastAsia" w:ascii="宋体" w:hAnsi="宋体" w:cs="宋体"/>
                <w:bCs/>
                <w:szCs w:val="21"/>
                <w:highlight w:val="none"/>
              </w:rPr>
            </w:pPr>
            <w:r>
              <w:rPr>
                <w:rFonts w:hint="eastAsia" w:ascii="宋体" w:hAnsi="宋体" w:cs="宋体"/>
                <w:bCs/>
                <w:szCs w:val="21"/>
                <w:highlight w:val="none"/>
              </w:rPr>
              <w:t>2</w:t>
            </w:r>
          </w:p>
        </w:tc>
        <w:tc>
          <w:tcPr>
            <w:tcW w:w="1257" w:type="dxa"/>
            <w:tcBorders>
              <w:top w:val="single" w:color="auto" w:sz="6" w:space="0"/>
              <w:left w:val="single" w:color="auto" w:sz="6" w:space="0"/>
              <w:bottom w:val="single" w:color="auto" w:sz="6" w:space="0"/>
              <w:right w:val="single" w:color="auto" w:sz="6" w:space="0"/>
            </w:tcBorders>
            <w:vAlign w:val="center"/>
          </w:tcPr>
          <w:p w14:paraId="2C61AA03">
            <w:pPr>
              <w:autoSpaceDE w:val="0"/>
              <w:autoSpaceDN w:val="0"/>
              <w:adjustRightInd w:val="0"/>
              <w:jc w:val="center"/>
              <w:rPr>
                <w:rFonts w:hint="eastAsia" w:ascii="宋体" w:hAnsi="宋体" w:cs="宋体"/>
                <w:bCs/>
                <w:szCs w:val="21"/>
                <w:highlight w:val="none"/>
              </w:rPr>
            </w:pPr>
          </w:p>
        </w:tc>
        <w:tc>
          <w:tcPr>
            <w:tcW w:w="2652" w:type="dxa"/>
            <w:tcBorders>
              <w:top w:val="single" w:color="auto" w:sz="6" w:space="0"/>
              <w:left w:val="single" w:color="auto" w:sz="6" w:space="0"/>
              <w:bottom w:val="single" w:color="auto" w:sz="6" w:space="0"/>
              <w:right w:val="single" w:color="auto" w:sz="6" w:space="0"/>
            </w:tcBorders>
            <w:vAlign w:val="center"/>
          </w:tcPr>
          <w:p w14:paraId="39C40B42">
            <w:pPr>
              <w:autoSpaceDE w:val="0"/>
              <w:autoSpaceDN w:val="0"/>
              <w:adjustRightInd w:val="0"/>
              <w:jc w:val="center"/>
              <w:rPr>
                <w:rFonts w:hint="eastAsia" w:ascii="宋体" w:hAnsi="宋体" w:cs="宋体"/>
                <w:bCs/>
                <w:szCs w:val="21"/>
                <w:highlight w:val="none"/>
              </w:rPr>
            </w:pPr>
          </w:p>
        </w:tc>
        <w:tc>
          <w:tcPr>
            <w:tcW w:w="2094" w:type="dxa"/>
            <w:tcBorders>
              <w:top w:val="single" w:color="auto" w:sz="6" w:space="0"/>
              <w:left w:val="single" w:color="auto" w:sz="6" w:space="0"/>
              <w:bottom w:val="single" w:color="auto" w:sz="6" w:space="0"/>
              <w:right w:val="single" w:color="auto" w:sz="6" w:space="0"/>
            </w:tcBorders>
            <w:vAlign w:val="center"/>
          </w:tcPr>
          <w:p w14:paraId="30F0B879">
            <w:pPr>
              <w:autoSpaceDE w:val="0"/>
              <w:autoSpaceDN w:val="0"/>
              <w:adjustRightInd w:val="0"/>
              <w:jc w:val="center"/>
              <w:rPr>
                <w:rFonts w:hint="eastAsia" w:ascii="宋体" w:hAnsi="宋体" w:cs="宋体"/>
                <w:bCs/>
                <w:szCs w:val="21"/>
                <w:highlight w:val="none"/>
              </w:rPr>
            </w:pPr>
          </w:p>
        </w:tc>
        <w:tc>
          <w:tcPr>
            <w:tcW w:w="2233" w:type="dxa"/>
            <w:tcBorders>
              <w:top w:val="single" w:color="auto" w:sz="6" w:space="0"/>
              <w:left w:val="single" w:color="auto" w:sz="6" w:space="0"/>
              <w:bottom w:val="single" w:color="auto" w:sz="6" w:space="0"/>
              <w:right w:val="single" w:color="auto" w:sz="6" w:space="0"/>
            </w:tcBorders>
            <w:vAlign w:val="center"/>
          </w:tcPr>
          <w:p w14:paraId="1DE1B71A">
            <w:pPr>
              <w:autoSpaceDE w:val="0"/>
              <w:autoSpaceDN w:val="0"/>
              <w:adjustRightInd w:val="0"/>
              <w:jc w:val="center"/>
              <w:rPr>
                <w:rFonts w:hint="eastAsia" w:ascii="宋体" w:hAnsi="宋体" w:cs="宋体"/>
                <w:bCs/>
                <w:szCs w:val="21"/>
                <w:highlight w:val="none"/>
              </w:rPr>
            </w:pPr>
          </w:p>
        </w:tc>
        <w:tc>
          <w:tcPr>
            <w:tcW w:w="1379" w:type="dxa"/>
            <w:tcBorders>
              <w:top w:val="single" w:color="auto" w:sz="6" w:space="0"/>
              <w:left w:val="single" w:color="auto" w:sz="6" w:space="0"/>
              <w:bottom w:val="single" w:color="auto" w:sz="6" w:space="0"/>
              <w:right w:val="single" w:color="auto" w:sz="6" w:space="0"/>
            </w:tcBorders>
            <w:vAlign w:val="center"/>
          </w:tcPr>
          <w:p w14:paraId="773A1C4F">
            <w:pPr>
              <w:autoSpaceDE w:val="0"/>
              <w:autoSpaceDN w:val="0"/>
              <w:adjustRightInd w:val="0"/>
              <w:jc w:val="center"/>
              <w:rPr>
                <w:rFonts w:hint="eastAsia" w:ascii="宋体" w:hAnsi="宋体" w:cs="宋体"/>
                <w:bCs/>
                <w:szCs w:val="21"/>
                <w:highlight w:val="none"/>
              </w:rPr>
            </w:pPr>
          </w:p>
        </w:tc>
      </w:tr>
      <w:tr w14:paraId="0D86C5B8">
        <w:tblPrEx>
          <w:tblCellMar>
            <w:top w:w="0" w:type="dxa"/>
            <w:left w:w="108" w:type="dxa"/>
            <w:bottom w:w="0" w:type="dxa"/>
            <w:right w:w="108" w:type="dxa"/>
          </w:tblCellMar>
        </w:tblPrEx>
        <w:trPr>
          <w:trHeight w:val="279" w:hRule="atLeast"/>
        </w:trPr>
        <w:tc>
          <w:tcPr>
            <w:tcW w:w="838" w:type="dxa"/>
            <w:tcBorders>
              <w:top w:val="single" w:color="auto" w:sz="6" w:space="0"/>
              <w:left w:val="single" w:color="auto" w:sz="6" w:space="0"/>
              <w:bottom w:val="single" w:color="auto" w:sz="6" w:space="0"/>
              <w:right w:val="single" w:color="auto" w:sz="6" w:space="0"/>
            </w:tcBorders>
            <w:vAlign w:val="center"/>
          </w:tcPr>
          <w:p w14:paraId="0B05C114">
            <w:pPr>
              <w:autoSpaceDE w:val="0"/>
              <w:autoSpaceDN w:val="0"/>
              <w:adjustRightInd w:val="0"/>
              <w:jc w:val="center"/>
              <w:rPr>
                <w:rFonts w:hint="eastAsia" w:ascii="宋体" w:hAnsi="宋体" w:cs="宋体"/>
                <w:bCs/>
                <w:szCs w:val="21"/>
                <w:highlight w:val="none"/>
              </w:rPr>
            </w:pPr>
            <w:r>
              <w:rPr>
                <w:rFonts w:hint="eastAsia" w:ascii="宋体" w:hAnsi="宋体" w:cs="宋体"/>
                <w:bCs/>
                <w:szCs w:val="21"/>
                <w:highlight w:val="none"/>
              </w:rPr>
              <w:t>····</w:t>
            </w:r>
          </w:p>
        </w:tc>
        <w:tc>
          <w:tcPr>
            <w:tcW w:w="1257" w:type="dxa"/>
            <w:tcBorders>
              <w:top w:val="single" w:color="auto" w:sz="6" w:space="0"/>
              <w:left w:val="single" w:color="auto" w:sz="6" w:space="0"/>
              <w:bottom w:val="single" w:color="auto" w:sz="6" w:space="0"/>
              <w:right w:val="single" w:color="auto" w:sz="6" w:space="0"/>
            </w:tcBorders>
            <w:vAlign w:val="center"/>
          </w:tcPr>
          <w:p w14:paraId="76CCD5A8">
            <w:pPr>
              <w:autoSpaceDE w:val="0"/>
              <w:autoSpaceDN w:val="0"/>
              <w:adjustRightInd w:val="0"/>
              <w:jc w:val="center"/>
              <w:rPr>
                <w:rFonts w:hint="eastAsia" w:ascii="宋体" w:hAnsi="宋体" w:cs="宋体"/>
                <w:bCs/>
                <w:szCs w:val="21"/>
                <w:highlight w:val="none"/>
              </w:rPr>
            </w:pPr>
          </w:p>
        </w:tc>
        <w:tc>
          <w:tcPr>
            <w:tcW w:w="2652" w:type="dxa"/>
            <w:tcBorders>
              <w:top w:val="single" w:color="auto" w:sz="6" w:space="0"/>
              <w:left w:val="single" w:color="auto" w:sz="6" w:space="0"/>
              <w:bottom w:val="single" w:color="auto" w:sz="6" w:space="0"/>
              <w:right w:val="single" w:color="auto" w:sz="6" w:space="0"/>
            </w:tcBorders>
            <w:vAlign w:val="center"/>
          </w:tcPr>
          <w:p w14:paraId="2B2D937B">
            <w:pPr>
              <w:autoSpaceDE w:val="0"/>
              <w:autoSpaceDN w:val="0"/>
              <w:adjustRightInd w:val="0"/>
              <w:jc w:val="center"/>
              <w:rPr>
                <w:rFonts w:hint="eastAsia" w:ascii="宋体" w:hAnsi="宋体" w:cs="宋体"/>
                <w:bCs/>
                <w:szCs w:val="21"/>
                <w:highlight w:val="none"/>
              </w:rPr>
            </w:pPr>
          </w:p>
        </w:tc>
        <w:tc>
          <w:tcPr>
            <w:tcW w:w="2094" w:type="dxa"/>
            <w:tcBorders>
              <w:top w:val="single" w:color="auto" w:sz="6" w:space="0"/>
              <w:left w:val="single" w:color="auto" w:sz="6" w:space="0"/>
              <w:bottom w:val="single" w:color="auto" w:sz="6" w:space="0"/>
              <w:right w:val="single" w:color="auto" w:sz="6" w:space="0"/>
            </w:tcBorders>
            <w:vAlign w:val="center"/>
          </w:tcPr>
          <w:p w14:paraId="0E7F9C7F">
            <w:pPr>
              <w:autoSpaceDE w:val="0"/>
              <w:autoSpaceDN w:val="0"/>
              <w:adjustRightInd w:val="0"/>
              <w:jc w:val="center"/>
              <w:rPr>
                <w:rFonts w:hint="eastAsia" w:ascii="宋体" w:hAnsi="宋体" w:cs="宋体"/>
                <w:bCs/>
                <w:szCs w:val="21"/>
                <w:highlight w:val="none"/>
              </w:rPr>
            </w:pPr>
          </w:p>
        </w:tc>
        <w:tc>
          <w:tcPr>
            <w:tcW w:w="2233" w:type="dxa"/>
            <w:tcBorders>
              <w:top w:val="single" w:color="auto" w:sz="6" w:space="0"/>
              <w:left w:val="single" w:color="auto" w:sz="6" w:space="0"/>
              <w:bottom w:val="single" w:color="auto" w:sz="6" w:space="0"/>
              <w:right w:val="single" w:color="auto" w:sz="6" w:space="0"/>
            </w:tcBorders>
            <w:vAlign w:val="center"/>
          </w:tcPr>
          <w:p w14:paraId="50A35A33">
            <w:pPr>
              <w:autoSpaceDE w:val="0"/>
              <w:autoSpaceDN w:val="0"/>
              <w:adjustRightInd w:val="0"/>
              <w:jc w:val="center"/>
              <w:rPr>
                <w:rFonts w:hint="eastAsia" w:ascii="宋体" w:hAnsi="宋体" w:cs="宋体"/>
                <w:bCs/>
                <w:szCs w:val="21"/>
                <w:highlight w:val="none"/>
              </w:rPr>
            </w:pPr>
          </w:p>
        </w:tc>
        <w:tc>
          <w:tcPr>
            <w:tcW w:w="1379" w:type="dxa"/>
            <w:tcBorders>
              <w:top w:val="single" w:color="auto" w:sz="6" w:space="0"/>
              <w:left w:val="single" w:color="auto" w:sz="6" w:space="0"/>
              <w:bottom w:val="single" w:color="auto" w:sz="6" w:space="0"/>
              <w:right w:val="single" w:color="auto" w:sz="6" w:space="0"/>
            </w:tcBorders>
            <w:vAlign w:val="center"/>
          </w:tcPr>
          <w:p w14:paraId="25C83ADC">
            <w:pPr>
              <w:autoSpaceDE w:val="0"/>
              <w:autoSpaceDN w:val="0"/>
              <w:adjustRightInd w:val="0"/>
              <w:jc w:val="center"/>
              <w:rPr>
                <w:rFonts w:hint="eastAsia" w:ascii="宋体" w:hAnsi="宋体" w:cs="宋体"/>
                <w:bCs/>
                <w:szCs w:val="21"/>
                <w:highlight w:val="none"/>
              </w:rPr>
            </w:pPr>
          </w:p>
        </w:tc>
      </w:tr>
    </w:tbl>
    <w:p w14:paraId="065BD560">
      <w:pPr>
        <w:spacing w:line="360" w:lineRule="auto"/>
        <w:rPr>
          <w:rFonts w:hint="eastAsia" w:ascii="宋体" w:hAnsi="宋体" w:cs="宋体"/>
          <w:sz w:val="24"/>
          <w:highlight w:val="none"/>
        </w:rPr>
      </w:pPr>
      <w:r>
        <w:rPr>
          <w:rFonts w:hint="eastAsia" w:ascii="宋体" w:hAnsi="宋体" w:cs="宋体"/>
          <w:sz w:val="24"/>
          <w:highlight w:val="none"/>
        </w:rPr>
        <w:t>说明：</w:t>
      </w:r>
    </w:p>
    <w:p w14:paraId="0C1579D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1.采购需求条款均应根据竞争性谈判文件对竞争性谈判文件的偏离情况相对应地填列。</w:t>
      </w:r>
    </w:p>
    <w:p w14:paraId="2EEF651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2.表内如果填列不全，可另外附页说明并按规定签字和加盖公章。             </w:t>
      </w:r>
    </w:p>
    <w:p w14:paraId="31065AE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3.采购人要求投标人认真填写本表。</w:t>
      </w:r>
    </w:p>
    <w:p w14:paraId="5BDB370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4.此表可根据需要自行拉长加宽。</w:t>
      </w:r>
    </w:p>
    <w:p w14:paraId="03DBB85B">
      <w:pPr>
        <w:spacing w:line="360" w:lineRule="auto"/>
        <w:ind w:firstLine="480" w:firstLineChars="200"/>
        <w:rPr>
          <w:rFonts w:hint="eastAsia" w:ascii="宋体" w:hAnsi="宋体" w:cs="宋体"/>
          <w:sz w:val="24"/>
          <w:highlight w:val="none"/>
        </w:rPr>
      </w:pPr>
    </w:p>
    <w:p w14:paraId="1F3C2B3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投标单位全称（公章）：</w:t>
      </w:r>
    </w:p>
    <w:p w14:paraId="6253952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单位负责人或授权代理人（签字）：</w:t>
      </w:r>
    </w:p>
    <w:p w14:paraId="3B8D084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时间：     年  月  日</w:t>
      </w:r>
    </w:p>
    <w:p w14:paraId="2C82635B">
      <w:pPr>
        <w:spacing w:line="360" w:lineRule="auto"/>
        <w:jc w:val="center"/>
        <w:outlineLvl w:val="0"/>
        <w:rPr>
          <w:rFonts w:hint="eastAsia" w:ascii="宋体" w:hAnsi="宋体" w:cs="宋体"/>
          <w:b/>
          <w:sz w:val="24"/>
          <w:szCs w:val="28"/>
          <w:highlight w:val="none"/>
        </w:rPr>
        <w:sectPr>
          <w:pgSz w:w="11906" w:h="16838"/>
          <w:pgMar w:top="1361" w:right="1304" w:bottom="1247" w:left="1304" w:header="680" w:footer="680" w:gutter="0"/>
          <w:cols w:space="720" w:num="1"/>
          <w:docGrid w:linePitch="312" w:charSpace="0"/>
        </w:sectPr>
      </w:pPr>
    </w:p>
    <w:p w14:paraId="212A6750">
      <w:pPr>
        <w:spacing w:line="360" w:lineRule="auto"/>
        <w:jc w:val="center"/>
        <w:rPr>
          <w:rFonts w:hint="eastAsia" w:ascii="宋体" w:hAnsi="宋体" w:cs="宋体"/>
          <w:b/>
          <w:sz w:val="24"/>
          <w:szCs w:val="28"/>
          <w:highlight w:val="none"/>
        </w:rPr>
      </w:pPr>
      <w:r>
        <w:rPr>
          <w:rFonts w:hint="eastAsia" w:ascii="宋体" w:hAnsi="宋体" w:cs="宋体"/>
          <w:b/>
          <w:sz w:val="24"/>
          <w:szCs w:val="28"/>
          <w:highlight w:val="none"/>
        </w:rPr>
        <w:t>商务条款偏离表（格式）</w:t>
      </w:r>
    </w:p>
    <w:p w14:paraId="72CA25F3">
      <w:pPr>
        <w:spacing w:line="360" w:lineRule="auto"/>
        <w:jc w:val="center"/>
        <w:outlineLvl w:val="0"/>
        <w:rPr>
          <w:rFonts w:hint="eastAsia" w:ascii="仿宋_GB2312" w:hAnsi="宋体" w:eastAsia="仿宋_GB2312"/>
          <w:b/>
          <w:sz w:val="24"/>
          <w:szCs w:val="28"/>
          <w:highlight w:val="none"/>
        </w:rPr>
      </w:pPr>
    </w:p>
    <w:p w14:paraId="501EDCD4">
      <w:pPr>
        <w:spacing w:line="360" w:lineRule="auto"/>
        <w:jc w:val="center"/>
        <w:outlineLvl w:val="0"/>
        <w:rPr>
          <w:rFonts w:hint="eastAsia" w:ascii="仿宋_GB2312" w:hAnsi="宋体" w:eastAsia="仿宋_GB2312"/>
          <w:b/>
          <w:sz w:val="24"/>
          <w:szCs w:val="28"/>
          <w:highlight w:val="none"/>
        </w:rPr>
      </w:pPr>
    </w:p>
    <w:p w14:paraId="4B0A8D1A">
      <w:pPr>
        <w:pStyle w:val="33"/>
        <w:spacing w:line="360" w:lineRule="auto"/>
        <w:ind w:firstLine="480" w:firstLineChars="200"/>
        <w:outlineLvl w:val="0"/>
        <w:rPr>
          <w:rFonts w:hint="eastAsia" w:ascii="宋体" w:hAnsi="宋体" w:cs="宋体"/>
          <w:szCs w:val="24"/>
          <w:highlight w:val="none"/>
        </w:rPr>
      </w:pPr>
      <w:bookmarkStart w:id="69" w:name="_Toc3714"/>
      <w:r>
        <w:rPr>
          <w:rFonts w:hint="eastAsia" w:ascii="宋体" w:hAnsi="宋体" w:cs="宋体"/>
          <w:szCs w:val="24"/>
          <w:highlight w:val="none"/>
        </w:rPr>
        <w:t>项目名称：                              项目编号：</w:t>
      </w:r>
      <w:bookmarkEnd w:id="69"/>
    </w:p>
    <w:tbl>
      <w:tblPr>
        <w:tblStyle w:val="6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12"/>
        <w:gridCol w:w="3060"/>
        <w:gridCol w:w="3090"/>
        <w:gridCol w:w="888"/>
        <w:gridCol w:w="748"/>
      </w:tblGrid>
      <w:tr w14:paraId="159E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6" w:type="dxa"/>
            <w:vAlign w:val="center"/>
          </w:tcPr>
          <w:p w14:paraId="6ED40159">
            <w:pPr>
              <w:spacing w:line="360" w:lineRule="auto"/>
              <w:jc w:val="center"/>
              <w:outlineLvl w:val="0"/>
              <w:rPr>
                <w:rFonts w:hint="eastAsia" w:ascii="宋体" w:hAnsi="宋体" w:cs="宋体"/>
                <w:sz w:val="24"/>
                <w:highlight w:val="none"/>
              </w:rPr>
            </w:pPr>
            <w:bookmarkStart w:id="70" w:name="_Toc4277"/>
            <w:r>
              <w:rPr>
                <w:rFonts w:hint="eastAsia" w:ascii="宋体" w:hAnsi="宋体" w:cs="宋体"/>
                <w:sz w:val="24"/>
                <w:highlight w:val="none"/>
              </w:rPr>
              <w:t>序号</w:t>
            </w:r>
            <w:bookmarkEnd w:id="70"/>
          </w:p>
        </w:tc>
        <w:tc>
          <w:tcPr>
            <w:tcW w:w="1112" w:type="dxa"/>
            <w:vAlign w:val="center"/>
          </w:tcPr>
          <w:p w14:paraId="5644AA8B">
            <w:pPr>
              <w:spacing w:line="360" w:lineRule="auto"/>
              <w:jc w:val="center"/>
              <w:outlineLvl w:val="0"/>
              <w:rPr>
                <w:rFonts w:hint="eastAsia" w:ascii="宋体" w:hAnsi="宋体" w:cs="宋体"/>
                <w:sz w:val="24"/>
                <w:highlight w:val="none"/>
              </w:rPr>
            </w:pPr>
            <w:bookmarkStart w:id="71" w:name="_Toc13526"/>
            <w:r>
              <w:rPr>
                <w:rFonts w:hint="eastAsia" w:ascii="宋体" w:hAnsi="宋体" w:cs="宋体"/>
                <w:sz w:val="24"/>
                <w:highlight w:val="none"/>
              </w:rPr>
              <w:t>名称</w:t>
            </w:r>
            <w:bookmarkEnd w:id="71"/>
          </w:p>
        </w:tc>
        <w:tc>
          <w:tcPr>
            <w:tcW w:w="3060" w:type="dxa"/>
            <w:vAlign w:val="center"/>
          </w:tcPr>
          <w:p w14:paraId="234F700A">
            <w:pPr>
              <w:spacing w:line="360" w:lineRule="auto"/>
              <w:jc w:val="center"/>
              <w:outlineLvl w:val="0"/>
              <w:rPr>
                <w:rFonts w:hint="eastAsia" w:ascii="宋体" w:hAnsi="宋体" w:cs="宋体"/>
                <w:sz w:val="24"/>
                <w:highlight w:val="none"/>
              </w:rPr>
            </w:pPr>
            <w:bookmarkStart w:id="72" w:name="_Toc16373"/>
            <w:r>
              <w:rPr>
                <w:rFonts w:hint="eastAsia" w:ascii="宋体" w:hAnsi="宋体" w:cs="宋体"/>
                <w:sz w:val="24"/>
                <w:highlight w:val="none"/>
              </w:rPr>
              <w:t>竞争性谈判文件规定的商务条款</w:t>
            </w:r>
            <w:bookmarkEnd w:id="72"/>
          </w:p>
        </w:tc>
        <w:tc>
          <w:tcPr>
            <w:tcW w:w="3090" w:type="dxa"/>
            <w:vAlign w:val="center"/>
          </w:tcPr>
          <w:p w14:paraId="3989E56F">
            <w:pPr>
              <w:spacing w:line="360" w:lineRule="auto"/>
              <w:jc w:val="center"/>
              <w:outlineLvl w:val="0"/>
              <w:rPr>
                <w:rFonts w:hint="eastAsia" w:ascii="宋体" w:hAnsi="宋体" w:cs="宋体"/>
                <w:sz w:val="24"/>
                <w:highlight w:val="none"/>
              </w:rPr>
            </w:pPr>
            <w:bookmarkStart w:id="73" w:name="_Toc4354"/>
            <w:r>
              <w:rPr>
                <w:rFonts w:hint="eastAsia" w:ascii="宋体" w:hAnsi="宋体" w:cs="宋体"/>
                <w:sz w:val="24"/>
                <w:highlight w:val="none"/>
              </w:rPr>
              <w:t>响应文件对应的商务条款</w:t>
            </w:r>
            <w:bookmarkEnd w:id="73"/>
          </w:p>
        </w:tc>
        <w:tc>
          <w:tcPr>
            <w:tcW w:w="888" w:type="dxa"/>
            <w:vAlign w:val="center"/>
          </w:tcPr>
          <w:p w14:paraId="7A3396D5">
            <w:pPr>
              <w:spacing w:line="360" w:lineRule="auto"/>
              <w:jc w:val="center"/>
              <w:outlineLvl w:val="0"/>
              <w:rPr>
                <w:rFonts w:hint="eastAsia" w:ascii="宋体" w:hAnsi="宋体" w:cs="宋体"/>
                <w:sz w:val="24"/>
                <w:highlight w:val="none"/>
              </w:rPr>
            </w:pPr>
            <w:bookmarkStart w:id="74" w:name="_Toc31690"/>
            <w:r>
              <w:rPr>
                <w:rFonts w:hint="eastAsia" w:ascii="宋体" w:hAnsi="宋体" w:cs="宋体"/>
                <w:sz w:val="24"/>
                <w:highlight w:val="none"/>
              </w:rPr>
              <w:t>是否偏离</w:t>
            </w:r>
            <w:bookmarkEnd w:id="74"/>
          </w:p>
        </w:tc>
        <w:tc>
          <w:tcPr>
            <w:tcW w:w="748" w:type="dxa"/>
            <w:vAlign w:val="center"/>
          </w:tcPr>
          <w:p w14:paraId="282E5C78">
            <w:pPr>
              <w:spacing w:line="360" w:lineRule="auto"/>
              <w:jc w:val="center"/>
              <w:outlineLvl w:val="0"/>
              <w:rPr>
                <w:rFonts w:hint="eastAsia" w:ascii="宋体" w:hAnsi="宋体" w:cs="宋体"/>
                <w:sz w:val="24"/>
                <w:highlight w:val="none"/>
              </w:rPr>
            </w:pPr>
            <w:bookmarkStart w:id="75" w:name="_Toc16922"/>
            <w:r>
              <w:rPr>
                <w:rFonts w:hint="eastAsia" w:ascii="宋体" w:hAnsi="宋体" w:cs="宋体"/>
                <w:sz w:val="24"/>
                <w:highlight w:val="none"/>
              </w:rPr>
              <w:t>备注</w:t>
            </w:r>
            <w:bookmarkEnd w:id="75"/>
          </w:p>
        </w:tc>
      </w:tr>
      <w:tr w14:paraId="7B3D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6" w:type="dxa"/>
          </w:tcPr>
          <w:p w14:paraId="734110FE">
            <w:pPr>
              <w:spacing w:line="360" w:lineRule="auto"/>
              <w:outlineLvl w:val="0"/>
              <w:rPr>
                <w:rFonts w:hint="eastAsia" w:ascii="宋体" w:hAnsi="宋体" w:cs="宋体"/>
                <w:sz w:val="24"/>
                <w:highlight w:val="none"/>
              </w:rPr>
            </w:pPr>
          </w:p>
        </w:tc>
        <w:tc>
          <w:tcPr>
            <w:tcW w:w="1112" w:type="dxa"/>
          </w:tcPr>
          <w:p w14:paraId="2235E007">
            <w:pPr>
              <w:spacing w:line="360" w:lineRule="auto"/>
              <w:outlineLvl w:val="0"/>
              <w:rPr>
                <w:rFonts w:hint="eastAsia" w:ascii="宋体" w:hAnsi="宋体" w:cs="宋体"/>
                <w:sz w:val="24"/>
                <w:highlight w:val="none"/>
              </w:rPr>
            </w:pPr>
          </w:p>
        </w:tc>
        <w:tc>
          <w:tcPr>
            <w:tcW w:w="3060" w:type="dxa"/>
          </w:tcPr>
          <w:p w14:paraId="07E03AD9">
            <w:pPr>
              <w:spacing w:line="360" w:lineRule="auto"/>
              <w:outlineLvl w:val="0"/>
              <w:rPr>
                <w:rFonts w:hint="eastAsia" w:ascii="宋体" w:hAnsi="宋体" w:cs="宋体"/>
                <w:sz w:val="24"/>
                <w:highlight w:val="none"/>
              </w:rPr>
            </w:pPr>
          </w:p>
        </w:tc>
        <w:tc>
          <w:tcPr>
            <w:tcW w:w="3090" w:type="dxa"/>
          </w:tcPr>
          <w:p w14:paraId="403E4331">
            <w:pPr>
              <w:spacing w:line="360" w:lineRule="auto"/>
              <w:outlineLvl w:val="0"/>
              <w:rPr>
                <w:rFonts w:hint="eastAsia" w:ascii="宋体" w:hAnsi="宋体" w:cs="宋体"/>
                <w:sz w:val="24"/>
                <w:highlight w:val="none"/>
              </w:rPr>
            </w:pPr>
          </w:p>
        </w:tc>
        <w:tc>
          <w:tcPr>
            <w:tcW w:w="888" w:type="dxa"/>
          </w:tcPr>
          <w:p w14:paraId="2FA476A9">
            <w:pPr>
              <w:spacing w:line="360" w:lineRule="auto"/>
              <w:outlineLvl w:val="0"/>
              <w:rPr>
                <w:rFonts w:hint="eastAsia" w:ascii="宋体" w:hAnsi="宋体" w:cs="宋体"/>
                <w:sz w:val="24"/>
                <w:highlight w:val="none"/>
              </w:rPr>
            </w:pPr>
          </w:p>
        </w:tc>
        <w:tc>
          <w:tcPr>
            <w:tcW w:w="748" w:type="dxa"/>
          </w:tcPr>
          <w:p w14:paraId="5368EC4A">
            <w:pPr>
              <w:spacing w:line="360" w:lineRule="auto"/>
              <w:outlineLvl w:val="0"/>
              <w:rPr>
                <w:rFonts w:hint="eastAsia" w:ascii="宋体" w:hAnsi="宋体" w:cs="宋体"/>
                <w:sz w:val="24"/>
                <w:highlight w:val="none"/>
              </w:rPr>
            </w:pPr>
          </w:p>
        </w:tc>
      </w:tr>
      <w:tr w14:paraId="50D9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6" w:type="dxa"/>
          </w:tcPr>
          <w:p w14:paraId="06C4D625">
            <w:pPr>
              <w:spacing w:line="360" w:lineRule="auto"/>
              <w:outlineLvl w:val="0"/>
              <w:rPr>
                <w:rFonts w:hint="eastAsia" w:ascii="宋体" w:hAnsi="宋体" w:cs="宋体"/>
                <w:sz w:val="24"/>
                <w:highlight w:val="none"/>
              </w:rPr>
            </w:pPr>
          </w:p>
        </w:tc>
        <w:tc>
          <w:tcPr>
            <w:tcW w:w="1112" w:type="dxa"/>
          </w:tcPr>
          <w:p w14:paraId="4857F008">
            <w:pPr>
              <w:spacing w:line="360" w:lineRule="auto"/>
              <w:outlineLvl w:val="0"/>
              <w:rPr>
                <w:rFonts w:hint="eastAsia" w:ascii="宋体" w:hAnsi="宋体" w:cs="宋体"/>
                <w:sz w:val="24"/>
                <w:highlight w:val="none"/>
              </w:rPr>
            </w:pPr>
          </w:p>
        </w:tc>
        <w:tc>
          <w:tcPr>
            <w:tcW w:w="3060" w:type="dxa"/>
          </w:tcPr>
          <w:p w14:paraId="70A02B49">
            <w:pPr>
              <w:spacing w:line="360" w:lineRule="auto"/>
              <w:outlineLvl w:val="0"/>
              <w:rPr>
                <w:rFonts w:hint="eastAsia" w:ascii="宋体" w:hAnsi="宋体" w:cs="宋体"/>
                <w:sz w:val="24"/>
                <w:highlight w:val="none"/>
              </w:rPr>
            </w:pPr>
          </w:p>
        </w:tc>
        <w:tc>
          <w:tcPr>
            <w:tcW w:w="3090" w:type="dxa"/>
          </w:tcPr>
          <w:p w14:paraId="4BA97B31">
            <w:pPr>
              <w:spacing w:line="360" w:lineRule="auto"/>
              <w:outlineLvl w:val="0"/>
              <w:rPr>
                <w:rFonts w:hint="eastAsia" w:ascii="宋体" w:hAnsi="宋体" w:cs="宋体"/>
                <w:sz w:val="24"/>
                <w:highlight w:val="none"/>
              </w:rPr>
            </w:pPr>
          </w:p>
        </w:tc>
        <w:tc>
          <w:tcPr>
            <w:tcW w:w="888" w:type="dxa"/>
          </w:tcPr>
          <w:p w14:paraId="3FE7E164">
            <w:pPr>
              <w:spacing w:line="360" w:lineRule="auto"/>
              <w:outlineLvl w:val="0"/>
              <w:rPr>
                <w:rFonts w:hint="eastAsia" w:ascii="宋体" w:hAnsi="宋体" w:cs="宋体"/>
                <w:sz w:val="24"/>
                <w:highlight w:val="none"/>
              </w:rPr>
            </w:pPr>
          </w:p>
        </w:tc>
        <w:tc>
          <w:tcPr>
            <w:tcW w:w="748" w:type="dxa"/>
          </w:tcPr>
          <w:p w14:paraId="3DBE83F5">
            <w:pPr>
              <w:spacing w:line="360" w:lineRule="auto"/>
              <w:outlineLvl w:val="0"/>
              <w:rPr>
                <w:rFonts w:hint="eastAsia" w:ascii="宋体" w:hAnsi="宋体" w:cs="宋体"/>
                <w:sz w:val="24"/>
                <w:highlight w:val="none"/>
              </w:rPr>
            </w:pPr>
          </w:p>
        </w:tc>
      </w:tr>
      <w:tr w14:paraId="0AA0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6" w:type="dxa"/>
          </w:tcPr>
          <w:p w14:paraId="355BE0D5">
            <w:pPr>
              <w:spacing w:line="360" w:lineRule="auto"/>
              <w:outlineLvl w:val="0"/>
              <w:rPr>
                <w:rFonts w:hint="eastAsia" w:ascii="宋体" w:hAnsi="宋体" w:cs="宋体"/>
                <w:sz w:val="24"/>
                <w:highlight w:val="none"/>
              </w:rPr>
            </w:pPr>
          </w:p>
        </w:tc>
        <w:tc>
          <w:tcPr>
            <w:tcW w:w="1112" w:type="dxa"/>
          </w:tcPr>
          <w:p w14:paraId="20CD1A48">
            <w:pPr>
              <w:spacing w:line="360" w:lineRule="auto"/>
              <w:outlineLvl w:val="0"/>
              <w:rPr>
                <w:rFonts w:hint="eastAsia" w:ascii="宋体" w:hAnsi="宋体" w:cs="宋体"/>
                <w:sz w:val="24"/>
                <w:highlight w:val="none"/>
              </w:rPr>
            </w:pPr>
          </w:p>
        </w:tc>
        <w:tc>
          <w:tcPr>
            <w:tcW w:w="3060" w:type="dxa"/>
          </w:tcPr>
          <w:p w14:paraId="7775F9E5">
            <w:pPr>
              <w:spacing w:line="360" w:lineRule="auto"/>
              <w:outlineLvl w:val="0"/>
              <w:rPr>
                <w:rFonts w:hint="eastAsia" w:ascii="宋体" w:hAnsi="宋体" w:cs="宋体"/>
                <w:sz w:val="24"/>
                <w:highlight w:val="none"/>
              </w:rPr>
            </w:pPr>
          </w:p>
        </w:tc>
        <w:tc>
          <w:tcPr>
            <w:tcW w:w="3090" w:type="dxa"/>
          </w:tcPr>
          <w:p w14:paraId="0400B9CF">
            <w:pPr>
              <w:spacing w:line="360" w:lineRule="auto"/>
              <w:outlineLvl w:val="0"/>
              <w:rPr>
                <w:rFonts w:hint="eastAsia" w:ascii="宋体" w:hAnsi="宋体" w:cs="宋体"/>
                <w:sz w:val="24"/>
                <w:highlight w:val="none"/>
              </w:rPr>
            </w:pPr>
          </w:p>
        </w:tc>
        <w:tc>
          <w:tcPr>
            <w:tcW w:w="888" w:type="dxa"/>
          </w:tcPr>
          <w:p w14:paraId="2AE4F82B">
            <w:pPr>
              <w:spacing w:line="360" w:lineRule="auto"/>
              <w:outlineLvl w:val="0"/>
              <w:rPr>
                <w:rFonts w:hint="eastAsia" w:ascii="宋体" w:hAnsi="宋体" w:cs="宋体"/>
                <w:sz w:val="24"/>
                <w:highlight w:val="none"/>
              </w:rPr>
            </w:pPr>
          </w:p>
        </w:tc>
        <w:tc>
          <w:tcPr>
            <w:tcW w:w="748" w:type="dxa"/>
          </w:tcPr>
          <w:p w14:paraId="2D11456A">
            <w:pPr>
              <w:spacing w:line="360" w:lineRule="auto"/>
              <w:outlineLvl w:val="0"/>
              <w:rPr>
                <w:rFonts w:hint="eastAsia" w:ascii="宋体" w:hAnsi="宋体" w:cs="宋体"/>
                <w:sz w:val="24"/>
                <w:highlight w:val="none"/>
              </w:rPr>
            </w:pPr>
          </w:p>
        </w:tc>
      </w:tr>
    </w:tbl>
    <w:p w14:paraId="55A7E45E">
      <w:pPr>
        <w:spacing w:line="360" w:lineRule="auto"/>
        <w:rPr>
          <w:rFonts w:hint="eastAsia" w:ascii="宋体" w:hAnsi="宋体" w:cs="宋体"/>
          <w:sz w:val="24"/>
          <w:highlight w:val="none"/>
        </w:rPr>
      </w:pPr>
      <w:r>
        <w:rPr>
          <w:rFonts w:hint="eastAsia" w:ascii="宋体" w:hAnsi="宋体" w:cs="宋体"/>
          <w:sz w:val="24"/>
          <w:highlight w:val="none"/>
        </w:rPr>
        <w:t>说明：</w:t>
      </w:r>
    </w:p>
    <w:p w14:paraId="24F0BB99">
      <w:pPr>
        <w:spacing w:line="360" w:lineRule="auto"/>
        <w:ind w:firstLine="480" w:firstLineChars="200"/>
        <w:outlineLvl w:val="0"/>
        <w:rPr>
          <w:rFonts w:hint="eastAsia" w:ascii="宋体" w:hAnsi="宋体" w:cs="宋体"/>
          <w:sz w:val="24"/>
          <w:highlight w:val="none"/>
        </w:rPr>
      </w:pPr>
      <w:bookmarkStart w:id="76" w:name="_Toc14817"/>
      <w:r>
        <w:rPr>
          <w:rFonts w:hint="eastAsia" w:ascii="宋体" w:hAnsi="宋体" w:cs="宋体"/>
          <w:sz w:val="24"/>
          <w:highlight w:val="none"/>
        </w:rPr>
        <w:t>1.商务条款均应根据投标文件对竞争性谈判文件的偏离情况相对应地填列。</w:t>
      </w:r>
      <w:bookmarkEnd w:id="76"/>
    </w:p>
    <w:p w14:paraId="4259A111">
      <w:pPr>
        <w:spacing w:line="360" w:lineRule="auto"/>
        <w:ind w:firstLine="480" w:firstLineChars="200"/>
        <w:outlineLvl w:val="0"/>
        <w:rPr>
          <w:rFonts w:hint="eastAsia" w:ascii="宋体" w:hAnsi="宋体" w:cs="宋体"/>
          <w:sz w:val="24"/>
          <w:highlight w:val="none"/>
        </w:rPr>
      </w:pPr>
      <w:bookmarkStart w:id="77" w:name="_Toc5716"/>
      <w:r>
        <w:rPr>
          <w:rFonts w:hint="eastAsia" w:ascii="宋体" w:hAnsi="宋体" w:cs="宋体"/>
          <w:sz w:val="24"/>
          <w:highlight w:val="none"/>
        </w:rPr>
        <w:t>2.商务条款主要填列付款条件、合同履行期限、供货地点、售后服务、质量保证、违约赔偿等重要条款方面的偏离情况。</w:t>
      </w:r>
      <w:bookmarkEnd w:id="77"/>
    </w:p>
    <w:p w14:paraId="0384E3C5">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rPr>
        <w:t xml:space="preserve"> </w:t>
      </w:r>
      <w:bookmarkStart w:id="78" w:name="_Toc2518"/>
      <w:r>
        <w:rPr>
          <w:rFonts w:hint="eastAsia" w:ascii="宋体" w:hAnsi="宋体" w:cs="宋体"/>
          <w:sz w:val="24"/>
          <w:highlight w:val="none"/>
        </w:rPr>
        <w:t>3.表内如果填列不全，可另外附页说明并按规定签字和加盖公章。</w:t>
      </w:r>
      <w:bookmarkEnd w:id="78"/>
      <w:r>
        <w:rPr>
          <w:rFonts w:hint="eastAsia" w:ascii="宋体" w:hAnsi="宋体" w:cs="宋体"/>
          <w:sz w:val="24"/>
          <w:highlight w:val="none"/>
        </w:rPr>
        <w:t xml:space="preserve">             </w:t>
      </w:r>
    </w:p>
    <w:p w14:paraId="1C22A0D6">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rPr>
        <w:t xml:space="preserve"> </w:t>
      </w:r>
      <w:bookmarkStart w:id="79" w:name="_Toc22578"/>
      <w:r>
        <w:rPr>
          <w:rFonts w:hint="eastAsia" w:ascii="宋体" w:hAnsi="宋体" w:cs="宋体"/>
          <w:sz w:val="24"/>
          <w:highlight w:val="none"/>
        </w:rPr>
        <w:t>4.采购人要求投标人认真填写本表。</w:t>
      </w:r>
      <w:bookmarkEnd w:id="79"/>
    </w:p>
    <w:p w14:paraId="7780E1EB">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rPr>
        <w:t xml:space="preserve"> </w:t>
      </w:r>
      <w:bookmarkStart w:id="80" w:name="_Toc26663"/>
      <w:r>
        <w:rPr>
          <w:rFonts w:hint="eastAsia" w:ascii="宋体" w:hAnsi="宋体" w:cs="宋体"/>
          <w:sz w:val="24"/>
          <w:highlight w:val="none"/>
        </w:rPr>
        <w:t>5.此表可根据需要自行拉长加宽。</w:t>
      </w:r>
      <w:bookmarkEnd w:id="80"/>
    </w:p>
    <w:p w14:paraId="2667ECB5">
      <w:pPr>
        <w:spacing w:line="360" w:lineRule="auto"/>
        <w:ind w:firstLine="480" w:firstLineChars="200"/>
        <w:outlineLvl w:val="0"/>
        <w:rPr>
          <w:rFonts w:hint="eastAsia" w:ascii="宋体" w:hAnsi="宋体" w:cs="宋体"/>
          <w:sz w:val="24"/>
          <w:highlight w:val="none"/>
        </w:rPr>
      </w:pPr>
    </w:p>
    <w:p w14:paraId="7BF0AAC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投标单位全称（公章）：</w:t>
      </w:r>
    </w:p>
    <w:p w14:paraId="5AD56C8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单位负责人或授权代理人（签字）：</w:t>
      </w:r>
    </w:p>
    <w:p w14:paraId="48B0C91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时间：     年  月  日</w:t>
      </w:r>
    </w:p>
    <w:p w14:paraId="41202A1D">
      <w:pPr>
        <w:pStyle w:val="33"/>
        <w:spacing w:line="360" w:lineRule="auto"/>
        <w:outlineLvl w:val="0"/>
        <w:rPr>
          <w:rFonts w:hint="eastAsia" w:ascii="宋体" w:hAnsi="宋体" w:cs="宋体"/>
          <w:szCs w:val="24"/>
          <w:highlight w:val="none"/>
        </w:rPr>
        <w:sectPr>
          <w:pgSz w:w="11906" w:h="16838"/>
          <w:pgMar w:top="1361" w:right="1304" w:bottom="1247" w:left="1304" w:header="680" w:footer="680" w:gutter="0"/>
          <w:cols w:space="720" w:num="1"/>
          <w:docGrid w:linePitch="312" w:charSpace="0"/>
        </w:sectPr>
      </w:pPr>
    </w:p>
    <w:p w14:paraId="09FC6671">
      <w:pPr>
        <w:pStyle w:val="33"/>
        <w:spacing w:line="360" w:lineRule="auto"/>
        <w:outlineLvl w:val="0"/>
        <w:rPr>
          <w:rFonts w:hint="eastAsia" w:ascii="宋体" w:hAnsi="宋体" w:cs="宋体"/>
          <w:b/>
          <w:szCs w:val="28"/>
          <w:highlight w:val="none"/>
        </w:rPr>
      </w:pPr>
      <w:bookmarkStart w:id="81" w:name="_Toc9753"/>
      <w:r>
        <w:rPr>
          <w:rFonts w:hint="eastAsia" w:ascii="宋体" w:hAnsi="宋体" w:cs="宋体"/>
          <w:b/>
          <w:szCs w:val="28"/>
          <w:highlight w:val="none"/>
        </w:rPr>
        <w:t>格式五：</w:t>
      </w:r>
      <w:bookmarkEnd w:id="81"/>
    </w:p>
    <w:p w14:paraId="32F2B09A">
      <w:pPr>
        <w:spacing w:line="360" w:lineRule="auto"/>
        <w:jc w:val="center"/>
        <w:outlineLvl w:val="0"/>
        <w:rPr>
          <w:rFonts w:hint="eastAsia" w:ascii="宋体" w:hAnsi="宋体" w:cs="宋体"/>
          <w:b/>
          <w:sz w:val="24"/>
          <w:szCs w:val="28"/>
          <w:highlight w:val="none"/>
        </w:rPr>
      </w:pPr>
      <w:bookmarkStart w:id="82" w:name="_Toc17925"/>
      <w:r>
        <w:rPr>
          <w:rFonts w:hint="eastAsia" w:ascii="宋体" w:hAnsi="宋体" w:cs="宋体"/>
          <w:b/>
          <w:sz w:val="24"/>
          <w:szCs w:val="28"/>
          <w:highlight w:val="none"/>
        </w:rPr>
        <w:t>售后服务承诺书（格式）</w:t>
      </w:r>
      <w:bookmarkEnd w:id="82"/>
    </w:p>
    <w:p w14:paraId="236DDC96">
      <w:pPr>
        <w:spacing w:line="360" w:lineRule="auto"/>
        <w:jc w:val="center"/>
        <w:outlineLvl w:val="0"/>
        <w:rPr>
          <w:rFonts w:hint="eastAsia" w:ascii="仿宋_GB2312" w:hAnsi="宋体" w:eastAsia="仿宋_GB2312"/>
          <w:b/>
          <w:bCs/>
          <w:sz w:val="24"/>
          <w:szCs w:val="28"/>
          <w:highlight w:val="none"/>
        </w:rPr>
      </w:pPr>
    </w:p>
    <w:p w14:paraId="48B43BC3">
      <w:pPr>
        <w:spacing w:line="360" w:lineRule="auto"/>
        <w:jc w:val="center"/>
        <w:outlineLvl w:val="0"/>
        <w:rPr>
          <w:rFonts w:hint="eastAsia" w:ascii="仿宋_GB2312" w:hAnsi="宋体" w:eastAsia="仿宋_GB2312"/>
          <w:b/>
          <w:bCs/>
          <w:sz w:val="24"/>
          <w:szCs w:val="28"/>
          <w:highlight w:val="none"/>
        </w:rPr>
      </w:pPr>
    </w:p>
    <w:p w14:paraId="45657671">
      <w:pPr>
        <w:spacing w:line="360" w:lineRule="auto"/>
        <w:outlineLvl w:val="0"/>
        <w:rPr>
          <w:rFonts w:hint="eastAsia" w:ascii="宋体" w:hAnsi="宋体" w:cs="宋体"/>
          <w:bCs/>
          <w:sz w:val="24"/>
          <w:highlight w:val="none"/>
        </w:rPr>
      </w:pPr>
      <w:bookmarkStart w:id="83" w:name="_Toc12138"/>
      <w:r>
        <w:rPr>
          <w:rFonts w:hint="eastAsia" w:ascii="宋体" w:hAnsi="宋体" w:cs="宋体"/>
          <w:kern w:val="0"/>
          <w:sz w:val="24"/>
          <w:highlight w:val="none"/>
        </w:rPr>
        <w:t>吉林融鼎工程项目管理有限公司</w:t>
      </w:r>
      <w:r>
        <w:rPr>
          <w:rFonts w:hint="eastAsia" w:ascii="宋体" w:hAnsi="宋体" w:cs="宋体"/>
          <w:bCs/>
          <w:sz w:val="24"/>
          <w:highlight w:val="none"/>
        </w:rPr>
        <w:t>：</w:t>
      </w:r>
      <w:bookmarkEnd w:id="83"/>
    </w:p>
    <w:p w14:paraId="607D9548">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我公司自愿参加</w:t>
      </w:r>
      <w:r>
        <w:rPr>
          <w:rFonts w:hint="eastAsia" w:ascii="宋体" w:hAnsi="宋体" w:cs="宋体"/>
          <w:bCs/>
          <w:sz w:val="24"/>
          <w:highlight w:val="none"/>
          <w:u w:val="single"/>
        </w:rPr>
        <w:t xml:space="preserve">                          　　　　   </w:t>
      </w:r>
      <w:r>
        <w:rPr>
          <w:rFonts w:hint="eastAsia" w:ascii="宋体" w:hAnsi="宋体" w:cs="宋体"/>
          <w:bCs/>
          <w:sz w:val="24"/>
          <w:highlight w:val="none"/>
        </w:rPr>
        <w:t xml:space="preserve">项目（项目编号          </w:t>
      </w:r>
      <w:r>
        <w:rPr>
          <w:rFonts w:hint="eastAsia" w:ascii="宋体" w:hAnsi="宋体" w:cs="宋体"/>
          <w:sz w:val="24"/>
          <w:highlight w:val="none"/>
        </w:rPr>
        <w:t>）的投标。我公司郑重承诺，如果我公司的投标被评定为中标，我公司对于中标货物，除完全响应竞争性谈判文件第四章合同条款对伴随服务和售后服务的所有要求外，还将按照以下条款提供优质和完善的售后服务：</w:t>
      </w:r>
    </w:p>
    <w:p w14:paraId="4CD4C8E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ascii="Arial" w:hAnsi="Arial" w:cs="Arial"/>
          <w:sz w:val="24"/>
          <w:highlight w:val="none"/>
        </w:rPr>
        <w:t>…</w:t>
      </w:r>
    </w:p>
    <w:p w14:paraId="1A2BB59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ascii="Arial" w:hAnsi="Arial" w:cs="Arial"/>
          <w:sz w:val="24"/>
          <w:highlight w:val="none"/>
        </w:rPr>
        <w:t>…</w:t>
      </w:r>
    </w:p>
    <w:p w14:paraId="19E1FE68">
      <w:pPr>
        <w:spacing w:line="360" w:lineRule="auto"/>
        <w:ind w:firstLine="480" w:firstLineChars="200"/>
        <w:rPr>
          <w:rFonts w:hint="eastAsia" w:ascii="宋体" w:hAnsi="宋体" w:cs="宋体"/>
          <w:sz w:val="24"/>
          <w:highlight w:val="none"/>
        </w:rPr>
      </w:pPr>
    </w:p>
    <w:p w14:paraId="0DE99721">
      <w:pPr>
        <w:spacing w:line="360" w:lineRule="auto"/>
        <w:ind w:firstLine="480" w:firstLineChars="200"/>
        <w:outlineLvl w:val="0"/>
        <w:rPr>
          <w:rFonts w:hint="eastAsia" w:ascii="宋体" w:hAnsi="宋体" w:cs="宋体"/>
          <w:sz w:val="24"/>
          <w:highlight w:val="none"/>
        </w:rPr>
      </w:pPr>
      <w:bookmarkStart w:id="84" w:name="_Toc19352"/>
      <w:r>
        <w:rPr>
          <w:rFonts w:hint="eastAsia" w:ascii="宋体" w:hAnsi="宋体" w:cs="宋体"/>
          <w:sz w:val="24"/>
          <w:highlight w:val="none"/>
        </w:rPr>
        <w:t>投标单位全称（公章）：</w:t>
      </w:r>
      <w:bookmarkEnd w:id="84"/>
    </w:p>
    <w:p w14:paraId="55577B11">
      <w:pPr>
        <w:spacing w:line="360" w:lineRule="auto"/>
        <w:outlineLvl w:val="0"/>
        <w:rPr>
          <w:rFonts w:hint="eastAsia" w:ascii="宋体" w:hAnsi="宋体" w:cs="宋体"/>
          <w:sz w:val="24"/>
          <w:highlight w:val="none"/>
        </w:rPr>
      </w:pPr>
    </w:p>
    <w:p w14:paraId="18193037">
      <w:pPr>
        <w:spacing w:line="360" w:lineRule="auto"/>
        <w:ind w:firstLine="480" w:firstLineChars="200"/>
        <w:outlineLvl w:val="0"/>
        <w:rPr>
          <w:rFonts w:hint="eastAsia" w:ascii="宋体" w:hAnsi="宋体" w:cs="宋体"/>
          <w:sz w:val="24"/>
          <w:highlight w:val="none"/>
        </w:rPr>
      </w:pPr>
      <w:bookmarkStart w:id="85" w:name="_Toc21907"/>
      <w:r>
        <w:rPr>
          <w:rFonts w:hint="eastAsia" w:ascii="宋体" w:hAnsi="宋体" w:cs="宋体"/>
          <w:sz w:val="24"/>
          <w:highlight w:val="none"/>
        </w:rPr>
        <w:t>单位负责人或授权代理人签字：</w:t>
      </w:r>
      <w:bookmarkEnd w:id="85"/>
    </w:p>
    <w:p w14:paraId="195B7D2F">
      <w:pPr>
        <w:spacing w:line="360" w:lineRule="auto"/>
        <w:outlineLvl w:val="0"/>
        <w:rPr>
          <w:rFonts w:hint="eastAsia" w:ascii="宋体" w:hAnsi="宋体" w:cs="宋体"/>
          <w:sz w:val="24"/>
          <w:highlight w:val="none"/>
        </w:rPr>
      </w:pPr>
    </w:p>
    <w:p w14:paraId="65DE2753">
      <w:pPr>
        <w:spacing w:line="360" w:lineRule="auto"/>
        <w:outlineLvl w:val="0"/>
        <w:rPr>
          <w:rFonts w:hint="eastAsia" w:ascii="宋体" w:hAnsi="宋体" w:cs="宋体"/>
          <w:sz w:val="24"/>
          <w:highlight w:val="none"/>
        </w:rPr>
      </w:pPr>
      <w:r>
        <w:rPr>
          <w:rFonts w:hint="eastAsia" w:ascii="宋体" w:hAnsi="宋体" w:cs="宋体"/>
          <w:sz w:val="24"/>
          <w:highlight w:val="none"/>
        </w:rPr>
        <w:t xml:space="preserve">          </w:t>
      </w:r>
      <w:bookmarkStart w:id="86" w:name="_Toc17115"/>
      <w:r>
        <w:rPr>
          <w:rFonts w:hint="eastAsia" w:ascii="宋体" w:hAnsi="宋体" w:cs="宋体"/>
          <w:sz w:val="24"/>
          <w:highlight w:val="none"/>
        </w:rPr>
        <w:t>年   月   日</w:t>
      </w:r>
      <w:bookmarkEnd w:id="86"/>
    </w:p>
    <w:p w14:paraId="16977E49">
      <w:pPr>
        <w:pStyle w:val="33"/>
        <w:spacing w:line="360" w:lineRule="auto"/>
        <w:outlineLvl w:val="0"/>
        <w:rPr>
          <w:rFonts w:hint="eastAsia" w:ascii="仿宋_GB2312" w:hAnsi="宋体" w:eastAsia="仿宋_GB2312"/>
          <w:szCs w:val="24"/>
          <w:highlight w:val="none"/>
        </w:rPr>
      </w:pPr>
    </w:p>
    <w:p w14:paraId="4CD475E9">
      <w:pPr>
        <w:pStyle w:val="33"/>
        <w:spacing w:line="360" w:lineRule="auto"/>
        <w:outlineLvl w:val="0"/>
        <w:rPr>
          <w:rFonts w:hint="eastAsia" w:ascii="仿宋_GB2312" w:hAnsi="宋体" w:eastAsia="仿宋_GB2312"/>
          <w:b/>
          <w:szCs w:val="28"/>
          <w:highlight w:val="none"/>
        </w:rPr>
      </w:pPr>
    </w:p>
    <w:p w14:paraId="0DBC38C0">
      <w:pPr>
        <w:pStyle w:val="33"/>
        <w:spacing w:line="360" w:lineRule="auto"/>
        <w:outlineLvl w:val="0"/>
        <w:rPr>
          <w:rFonts w:hint="eastAsia" w:ascii="仿宋_GB2312" w:hAnsi="宋体" w:eastAsia="仿宋_GB2312"/>
          <w:b/>
          <w:szCs w:val="28"/>
          <w:highlight w:val="none"/>
        </w:rPr>
      </w:pPr>
    </w:p>
    <w:p w14:paraId="08D9CDB5">
      <w:pPr>
        <w:pStyle w:val="33"/>
        <w:spacing w:line="360" w:lineRule="auto"/>
        <w:outlineLvl w:val="0"/>
        <w:rPr>
          <w:rFonts w:hint="eastAsia" w:ascii="仿宋_GB2312" w:hAnsi="宋体" w:eastAsia="仿宋_GB2312"/>
          <w:b/>
          <w:szCs w:val="28"/>
          <w:highlight w:val="none"/>
        </w:rPr>
      </w:pPr>
    </w:p>
    <w:p w14:paraId="26B555D3">
      <w:pPr>
        <w:pStyle w:val="33"/>
        <w:spacing w:line="360" w:lineRule="auto"/>
        <w:outlineLvl w:val="0"/>
        <w:rPr>
          <w:rFonts w:hint="eastAsia" w:ascii="仿宋_GB2312" w:hAnsi="宋体" w:eastAsia="仿宋_GB2312"/>
          <w:b/>
          <w:szCs w:val="28"/>
          <w:highlight w:val="none"/>
        </w:rPr>
      </w:pPr>
    </w:p>
    <w:p w14:paraId="15AA348E">
      <w:pPr>
        <w:pStyle w:val="33"/>
        <w:spacing w:line="360" w:lineRule="auto"/>
        <w:outlineLvl w:val="0"/>
        <w:rPr>
          <w:rFonts w:hint="eastAsia" w:ascii="仿宋_GB2312" w:hAnsi="宋体" w:eastAsia="仿宋_GB2312"/>
          <w:b/>
          <w:szCs w:val="28"/>
          <w:highlight w:val="none"/>
        </w:rPr>
        <w:sectPr>
          <w:pgSz w:w="11906" w:h="16838"/>
          <w:pgMar w:top="1361" w:right="1304" w:bottom="1247" w:left="1304" w:header="680" w:footer="680" w:gutter="0"/>
          <w:cols w:space="720" w:num="1"/>
          <w:docGrid w:linePitch="312" w:charSpace="0"/>
        </w:sectPr>
      </w:pPr>
    </w:p>
    <w:p w14:paraId="3DAEE834">
      <w:pPr>
        <w:pStyle w:val="33"/>
        <w:spacing w:line="360" w:lineRule="auto"/>
        <w:outlineLvl w:val="0"/>
        <w:rPr>
          <w:rFonts w:hint="eastAsia" w:ascii="宋体" w:hAnsi="宋体" w:cs="宋体"/>
          <w:b/>
          <w:szCs w:val="28"/>
          <w:highlight w:val="none"/>
        </w:rPr>
      </w:pPr>
      <w:bookmarkStart w:id="87" w:name="_Toc3337"/>
      <w:r>
        <w:rPr>
          <w:rFonts w:hint="eastAsia" w:ascii="宋体" w:hAnsi="宋体" w:cs="宋体"/>
          <w:b/>
          <w:szCs w:val="28"/>
          <w:highlight w:val="none"/>
        </w:rPr>
        <w:t>格式六：</w:t>
      </w:r>
      <w:bookmarkEnd w:id="87"/>
    </w:p>
    <w:p w14:paraId="7A0EEAB4">
      <w:pPr>
        <w:spacing w:line="360" w:lineRule="auto"/>
        <w:jc w:val="center"/>
        <w:outlineLvl w:val="0"/>
        <w:rPr>
          <w:rFonts w:hint="eastAsia" w:ascii="仿宋_GB2312" w:hAnsi="宋体" w:eastAsia="仿宋_GB2312"/>
          <w:b/>
          <w:sz w:val="24"/>
          <w:szCs w:val="28"/>
          <w:highlight w:val="none"/>
        </w:rPr>
      </w:pPr>
      <w:bookmarkStart w:id="88" w:name="_Toc7521"/>
      <w:r>
        <w:rPr>
          <w:rFonts w:hint="eastAsia" w:ascii="宋体" w:hAnsi="宋体" w:cs="宋体"/>
          <w:b/>
          <w:sz w:val="24"/>
          <w:szCs w:val="28"/>
          <w:highlight w:val="none"/>
        </w:rPr>
        <w:t>法定代表人资格证明（格式）</w:t>
      </w:r>
      <w:bookmarkEnd w:id="88"/>
    </w:p>
    <w:p w14:paraId="294EF719">
      <w:pPr>
        <w:spacing w:line="360" w:lineRule="auto"/>
        <w:jc w:val="center"/>
        <w:outlineLvl w:val="0"/>
        <w:rPr>
          <w:rFonts w:hint="eastAsia" w:ascii="仿宋_GB2312" w:hAnsi="宋体" w:eastAsia="仿宋_GB2312"/>
          <w:sz w:val="24"/>
          <w:highlight w:val="none"/>
        </w:rPr>
      </w:pPr>
    </w:p>
    <w:p w14:paraId="556A4FB9">
      <w:pPr>
        <w:spacing w:line="360" w:lineRule="auto"/>
        <w:ind w:firstLine="480" w:firstLineChars="200"/>
        <w:jc w:val="left"/>
        <w:outlineLvl w:val="0"/>
        <w:rPr>
          <w:rFonts w:hint="eastAsia" w:ascii="宋体" w:hAnsi="宋体" w:cs="宋体"/>
          <w:sz w:val="24"/>
          <w:highlight w:val="none"/>
        </w:rPr>
      </w:pPr>
      <w:bookmarkStart w:id="89" w:name="_Toc28899"/>
      <w:r>
        <w:rPr>
          <w:rFonts w:hint="eastAsia" w:ascii="宋体" w:hAnsi="宋体" w:cs="宋体"/>
          <w:sz w:val="24"/>
          <w:highlight w:val="none"/>
        </w:rPr>
        <w:t>兹证明：在下面签字的</w:t>
      </w:r>
      <w:r>
        <w:rPr>
          <w:rFonts w:hint="eastAsia" w:ascii="宋体" w:hAnsi="宋体" w:cs="宋体"/>
          <w:sz w:val="24"/>
          <w:highlight w:val="none"/>
          <w:u w:val="single"/>
        </w:rPr>
        <w:t xml:space="preserve">                     </w:t>
      </w:r>
      <w:r>
        <w:rPr>
          <w:rFonts w:hint="eastAsia" w:ascii="宋体" w:hAnsi="宋体" w:cs="宋体"/>
          <w:sz w:val="24"/>
          <w:highlight w:val="none"/>
        </w:rPr>
        <w:t>（被证明人姓名）现任</w:t>
      </w:r>
      <w:r>
        <w:rPr>
          <w:rFonts w:hint="eastAsia" w:ascii="宋体" w:hAnsi="宋体" w:cs="宋体"/>
          <w:sz w:val="24"/>
          <w:highlight w:val="none"/>
          <w:u w:val="single"/>
        </w:rPr>
        <w:t xml:space="preserve">  （单位名称）  </w:t>
      </w:r>
      <w:r>
        <w:rPr>
          <w:rFonts w:hint="eastAsia" w:ascii="宋体" w:hAnsi="宋体" w:cs="宋体"/>
          <w:sz w:val="24"/>
          <w:highlight w:val="none"/>
        </w:rPr>
        <w:t>的</w:t>
      </w:r>
      <w:r>
        <w:rPr>
          <w:rFonts w:hint="eastAsia" w:ascii="宋体" w:hAnsi="宋体" w:cs="宋体"/>
          <w:sz w:val="24"/>
          <w:highlight w:val="none"/>
          <w:u w:val="single"/>
        </w:rPr>
        <w:t xml:space="preserve">            </w:t>
      </w:r>
      <w:r>
        <w:rPr>
          <w:rFonts w:hint="eastAsia" w:ascii="宋体" w:hAnsi="宋体" w:cs="宋体"/>
          <w:sz w:val="24"/>
          <w:highlight w:val="none"/>
        </w:rPr>
        <w:t>（职务），系</w:t>
      </w:r>
      <w:r>
        <w:rPr>
          <w:rFonts w:hint="eastAsia" w:ascii="宋体" w:hAnsi="宋体" w:cs="宋体"/>
          <w:sz w:val="24"/>
          <w:highlight w:val="none"/>
          <w:u w:val="single"/>
        </w:rPr>
        <w:t xml:space="preserve">  （单位名称）  </w:t>
      </w:r>
      <w:r>
        <w:rPr>
          <w:rFonts w:hint="eastAsia" w:ascii="宋体" w:hAnsi="宋体" w:cs="宋体"/>
          <w:sz w:val="24"/>
          <w:highlight w:val="none"/>
        </w:rPr>
        <w:t>的法定代表人。</w:t>
      </w:r>
      <w:bookmarkEnd w:id="89"/>
    </w:p>
    <w:p w14:paraId="6A815DA5">
      <w:pPr>
        <w:spacing w:line="360" w:lineRule="auto"/>
        <w:ind w:firstLine="480" w:firstLineChars="200"/>
        <w:outlineLvl w:val="0"/>
        <w:rPr>
          <w:rFonts w:hint="eastAsia" w:ascii="宋体" w:hAnsi="宋体" w:cs="宋体"/>
          <w:sz w:val="24"/>
          <w:highlight w:val="none"/>
        </w:rPr>
      </w:pPr>
      <w:bookmarkStart w:id="90" w:name="_Toc13619"/>
      <w:r>
        <w:rPr>
          <w:rFonts w:hint="eastAsia" w:ascii="宋体" w:hAnsi="宋体" w:cs="宋体"/>
          <w:sz w:val="24"/>
          <w:highlight w:val="none"/>
        </w:rPr>
        <w:t>特此证明。</w:t>
      </w:r>
      <w:bookmarkEnd w:id="90"/>
    </w:p>
    <w:p w14:paraId="7FF2834A">
      <w:pPr>
        <w:spacing w:line="360" w:lineRule="auto"/>
        <w:ind w:firstLine="480" w:firstLineChars="200"/>
        <w:outlineLvl w:val="0"/>
        <w:rPr>
          <w:rFonts w:hint="eastAsia" w:ascii="宋体" w:hAnsi="宋体" w:cs="宋体"/>
          <w:sz w:val="24"/>
          <w:highlight w:val="none"/>
        </w:rPr>
      </w:pPr>
    </w:p>
    <w:p w14:paraId="15A3B3DC">
      <w:pPr>
        <w:spacing w:line="360" w:lineRule="auto"/>
        <w:ind w:firstLine="480" w:firstLineChars="200"/>
        <w:outlineLvl w:val="0"/>
        <w:rPr>
          <w:rFonts w:hint="eastAsia" w:ascii="宋体" w:hAnsi="宋体" w:cs="宋体"/>
          <w:sz w:val="24"/>
          <w:highlight w:val="none"/>
        </w:rPr>
      </w:pPr>
    </w:p>
    <w:p w14:paraId="4437A9B5">
      <w:pPr>
        <w:spacing w:line="360" w:lineRule="auto"/>
        <w:ind w:firstLine="480" w:firstLineChars="200"/>
        <w:outlineLvl w:val="0"/>
        <w:rPr>
          <w:rFonts w:hint="eastAsia" w:ascii="宋体" w:hAnsi="宋体" w:cs="宋体"/>
          <w:sz w:val="24"/>
          <w:highlight w:val="none"/>
        </w:rPr>
      </w:pPr>
    </w:p>
    <w:p w14:paraId="267653BB">
      <w:pPr>
        <w:spacing w:line="360" w:lineRule="auto"/>
        <w:ind w:firstLine="480" w:firstLineChars="200"/>
        <w:outlineLvl w:val="0"/>
        <w:rPr>
          <w:rFonts w:hint="eastAsia" w:ascii="宋体" w:hAnsi="宋体" w:cs="宋体"/>
          <w:sz w:val="24"/>
          <w:highlight w:val="none"/>
        </w:rPr>
      </w:pPr>
      <w:bookmarkStart w:id="91" w:name="_Toc1644"/>
      <w:r>
        <w:rPr>
          <w:rFonts w:hint="eastAsia" w:ascii="宋体" w:hAnsi="宋体" w:cs="宋体"/>
          <w:sz w:val="24"/>
          <w:highlight w:val="none"/>
        </w:rPr>
        <w:t>投标单位全称（公章）：</w:t>
      </w:r>
      <w:bookmarkEnd w:id="91"/>
    </w:p>
    <w:p w14:paraId="2476F1A5">
      <w:pPr>
        <w:spacing w:line="360" w:lineRule="auto"/>
        <w:ind w:firstLine="480" w:firstLineChars="200"/>
        <w:outlineLvl w:val="0"/>
        <w:rPr>
          <w:rFonts w:hint="eastAsia" w:ascii="宋体" w:hAnsi="宋体" w:cs="宋体"/>
          <w:sz w:val="24"/>
          <w:highlight w:val="none"/>
        </w:rPr>
      </w:pPr>
      <w:bookmarkStart w:id="92" w:name="_Toc26671"/>
      <w:r>
        <w:rPr>
          <w:rFonts w:hint="eastAsia" w:ascii="宋体" w:hAnsi="宋体" w:cs="宋体"/>
          <w:sz w:val="24"/>
          <w:highlight w:val="none"/>
        </w:rPr>
        <w:t>地址：</w:t>
      </w:r>
      <w:bookmarkEnd w:id="92"/>
    </w:p>
    <w:p w14:paraId="02211013">
      <w:pPr>
        <w:spacing w:line="360" w:lineRule="auto"/>
        <w:ind w:firstLine="480" w:firstLineChars="200"/>
        <w:outlineLvl w:val="0"/>
        <w:rPr>
          <w:rFonts w:hint="eastAsia" w:ascii="宋体" w:hAnsi="宋体" w:cs="宋体"/>
          <w:sz w:val="24"/>
          <w:highlight w:val="none"/>
        </w:rPr>
      </w:pPr>
      <w:bookmarkStart w:id="93" w:name="_Toc29387"/>
      <w:r>
        <w:rPr>
          <w:rFonts w:hint="eastAsia" w:ascii="宋体" w:hAnsi="宋体" w:cs="宋体"/>
          <w:sz w:val="24"/>
          <w:highlight w:val="none"/>
        </w:rPr>
        <w:t>被证明人签字：</w:t>
      </w:r>
      <w:bookmarkEnd w:id="93"/>
    </w:p>
    <w:p w14:paraId="4972672B">
      <w:pPr>
        <w:spacing w:line="360" w:lineRule="auto"/>
        <w:ind w:firstLine="555"/>
        <w:outlineLvl w:val="0"/>
        <w:rPr>
          <w:rFonts w:hint="eastAsia" w:ascii="宋体" w:hAnsi="宋体" w:cs="宋体"/>
          <w:sz w:val="24"/>
          <w:highlight w:val="none"/>
        </w:rPr>
      </w:pPr>
    </w:p>
    <w:p w14:paraId="44ECB44A">
      <w:pPr>
        <w:spacing w:line="360" w:lineRule="auto"/>
        <w:outlineLvl w:val="0"/>
        <w:rPr>
          <w:rFonts w:hint="eastAsia" w:ascii="宋体" w:hAnsi="宋体" w:cs="宋体"/>
          <w:sz w:val="24"/>
          <w:highlight w:val="none"/>
        </w:rPr>
      </w:pPr>
      <w:r>
        <w:rPr>
          <w:rFonts w:hint="eastAsia" w:ascii="宋体" w:hAnsi="宋体" w:cs="宋体"/>
          <w:sz w:val="24"/>
          <w:highlight w:val="none"/>
        </w:rPr>
        <w:t xml:space="preserve">           </w:t>
      </w:r>
      <w:bookmarkStart w:id="94" w:name="_Toc29369"/>
      <w:r>
        <w:rPr>
          <w:rFonts w:hint="eastAsia" w:ascii="宋体" w:hAnsi="宋体" w:cs="宋体"/>
          <w:sz w:val="24"/>
          <w:highlight w:val="none"/>
        </w:rPr>
        <w:t>年   月   日</w:t>
      </w:r>
      <w:bookmarkEnd w:id="94"/>
    </w:p>
    <w:p w14:paraId="47CD594B">
      <w:pPr>
        <w:pStyle w:val="33"/>
        <w:spacing w:line="360" w:lineRule="auto"/>
        <w:outlineLvl w:val="0"/>
        <w:rPr>
          <w:rFonts w:hint="eastAsia" w:ascii="宋体" w:hAnsi="宋体" w:cs="宋体"/>
          <w:szCs w:val="24"/>
          <w:highlight w:val="none"/>
        </w:rPr>
      </w:pPr>
    </w:p>
    <w:p w14:paraId="2BE766FE">
      <w:pPr>
        <w:pStyle w:val="33"/>
        <w:spacing w:line="360" w:lineRule="auto"/>
        <w:jc w:val="center"/>
        <w:outlineLvl w:val="0"/>
        <w:rPr>
          <w:rFonts w:hint="eastAsia" w:ascii="宋体" w:hAnsi="宋体" w:cs="宋体"/>
          <w:szCs w:val="24"/>
          <w:highlight w:val="none"/>
        </w:rPr>
      </w:pPr>
      <w:bookmarkStart w:id="95" w:name="_Toc17758"/>
      <w:r>
        <w:rPr>
          <w:rFonts w:hint="eastAsia" w:ascii="宋体" w:hAnsi="宋体" w:cs="宋体"/>
          <w:highlight w:val="none"/>
        </w:rPr>
        <w:t>附：法定代表人身份证正反面复印件</w:t>
      </w:r>
      <w:bookmarkEnd w:id="95"/>
    </w:p>
    <w:p w14:paraId="6766E275">
      <w:pPr>
        <w:pStyle w:val="33"/>
        <w:spacing w:line="360" w:lineRule="auto"/>
        <w:outlineLvl w:val="0"/>
        <w:rPr>
          <w:rFonts w:hint="eastAsia" w:ascii="宋体" w:hAnsi="宋体" w:cs="宋体"/>
          <w:szCs w:val="24"/>
          <w:highlight w:val="none"/>
        </w:rPr>
      </w:pPr>
    </w:p>
    <w:p w14:paraId="710A8794">
      <w:pPr>
        <w:pStyle w:val="33"/>
        <w:spacing w:line="360" w:lineRule="auto"/>
        <w:outlineLvl w:val="0"/>
        <w:rPr>
          <w:rFonts w:hint="eastAsia" w:ascii="仿宋_GB2312" w:hAnsi="宋体" w:eastAsia="仿宋_GB2312"/>
          <w:szCs w:val="24"/>
          <w:highlight w:val="none"/>
        </w:rPr>
      </w:pPr>
    </w:p>
    <w:p w14:paraId="3C003A3E">
      <w:pPr>
        <w:pStyle w:val="33"/>
        <w:spacing w:line="360" w:lineRule="auto"/>
        <w:outlineLvl w:val="0"/>
        <w:rPr>
          <w:rFonts w:hint="eastAsia" w:ascii="仿宋_GB2312" w:hAnsi="宋体" w:eastAsia="仿宋_GB2312"/>
          <w:b/>
          <w:szCs w:val="28"/>
          <w:highlight w:val="none"/>
        </w:rPr>
      </w:pPr>
    </w:p>
    <w:p w14:paraId="6FC73191">
      <w:pPr>
        <w:pStyle w:val="33"/>
        <w:spacing w:line="360" w:lineRule="auto"/>
        <w:outlineLvl w:val="0"/>
        <w:rPr>
          <w:rFonts w:hint="eastAsia" w:ascii="仿宋_GB2312" w:hAnsi="宋体" w:eastAsia="仿宋_GB2312"/>
          <w:b/>
          <w:szCs w:val="28"/>
          <w:highlight w:val="none"/>
        </w:rPr>
      </w:pPr>
    </w:p>
    <w:p w14:paraId="47C567BC">
      <w:pPr>
        <w:pStyle w:val="33"/>
        <w:spacing w:line="360" w:lineRule="auto"/>
        <w:outlineLvl w:val="0"/>
        <w:rPr>
          <w:rFonts w:hint="eastAsia" w:ascii="仿宋_GB2312" w:hAnsi="宋体" w:eastAsia="仿宋_GB2312"/>
          <w:b/>
          <w:szCs w:val="28"/>
          <w:highlight w:val="none"/>
        </w:rPr>
        <w:sectPr>
          <w:pgSz w:w="11906" w:h="16838"/>
          <w:pgMar w:top="1361" w:right="1304" w:bottom="1247" w:left="1304" w:header="680" w:footer="680" w:gutter="0"/>
          <w:cols w:space="720" w:num="1"/>
          <w:docGrid w:linePitch="312" w:charSpace="0"/>
        </w:sectPr>
      </w:pPr>
    </w:p>
    <w:p w14:paraId="7B296C0A">
      <w:pPr>
        <w:pStyle w:val="33"/>
        <w:spacing w:line="360" w:lineRule="auto"/>
        <w:outlineLvl w:val="0"/>
        <w:rPr>
          <w:rFonts w:hint="eastAsia" w:ascii="宋体" w:hAnsi="宋体" w:cs="宋体"/>
          <w:b/>
          <w:szCs w:val="28"/>
          <w:highlight w:val="none"/>
        </w:rPr>
      </w:pPr>
      <w:bookmarkStart w:id="96" w:name="_Toc275"/>
      <w:r>
        <w:rPr>
          <w:rFonts w:hint="eastAsia" w:ascii="宋体" w:hAnsi="宋体" w:cs="宋体"/>
          <w:b/>
          <w:szCs w:val="28"/>
          <w:highlight w:val="none"/>
        </w:rPr>
        <w:t>格式七：</w:t>
      </w:r>
      <w:bookmarkEnd w:id="96"/>
    </w:p>
    <w:p w14:paraId="7F22A62D">
      <w:pPr>
        <w:spacing w:line="360" w:lineRule="auto"/>
        <w:rPr>
          <w:rFonts w:hint="eastAsia" w:ascii="宋体" w:hAnsi="宋体" w:cs="宋体"/>
          <w:b/>
          <w:sz w:val="24"/>
          <w:szCs w:val="28"/>
          <w:highlight w:val="none"/>
        </w:rPr>
      </w:pPr>
    </w:p>
    <w:p w14:paraId="6F4E17F0">
      <w:pPr>
        <w:snapToGrid w:val="0"/>
        <w:spacing w:line="360" w:lineRule="auto"/>
        <w:jc w:val="center"/>
        <w:textAlignment w:val="bottom"/>
        <w:rPr>
          <w:rFonts w:hint="eastAsia" w:ascii="宋体" w:hAnsi="宋体" w:cs="宋体"/>
          <w:b/>
          <w:sz w:val="24"/>
          <w:szCs w:val="28"/>
          <w:highlight w:val="none"/>
        </w:rPr>
      </w:pPr>
      <w:r>
        <w:rPr>
          <w:rFonts w:hint="eastAsia" w:ascii="宋体" w:hAnsi="宋体" w:cs="宋体"/>
          <w:b/>
          <w:sz w:val="24"/>
          <w:szCs w:val="28"/>
          <w:highlight w:val="none"/>
        </w:rPr>
        <w:t>法定代表人授权书（格式）</w:t>
      </w:r>
    </w:p>
    <w:p w14:paraId="21F93B50">
      <w:pPr>
        <w:snapToGrid w:val="0"/>
        <w:spacing w:line="360" w:lineRule="auto"/>
        <w:jc w:val="center"/>
        <w:textAlignment w:val="bottom"/>
        <w:rPr>
          <w:rFonts w:hint="eastAsia" w:ascii="仿宋_GB2312" w:hAnsi="宋体" w:eastAsia="仿宋_GB2312"/>
          <w:b/>
          <w:bCs/>
          <w:sz w:val="24"/>
          <w:szCs w:val="28"/>
          <w:highlight w:val="none"/>
        </w:rPr>
      </w:pPr>
    </w:p>
    <w:p w14:paraId="71653FE8">
      <w:pPr>
        <w:snapToGrid w:val="0"/>
        <w:spacing w:line="360" w:lineRule="auto"/>
        <w:textAlignment w:val="bottom"/>
        <w:rPr>
          <w:rFonts w:hint="eastAsia" w:ascii="仿宋_GB2312" w:hAnsi="宋体" w:eastAsia="仿宋_GB2312"/>
          <w:sz w:val="24"/>
          <w:highlight w:val="none"/>
        </w:rPr>
      </w:pPr>
    </w:p>
    <w:p w14:paraId="54518AEF">
      <w:pPr>
        <w:snapToGrid w:val="0"/>
        <w:spacing w:line="360" w:lineRule="auto"/>
        <w:textAlignment w:val="bottom"/>
        <w:rPr>
          <w:rFonts w:hint="eastAsia" w:ascii="宋体" w:hAnsi="宋体" w:cs="宋体"/>
          <w:sz w:val="24"/>
          <w:highlight w:val="none"/>
        </w:rPr>
      </w:pPr>
      <w:r>
        <w:rPr>
          <w:rFonts w:hint="eastAsia" w:ascii="仿宋_GB2312" w:hAnsi="宋体" w:eastAsia="仿宋_GB2312"/>
          <w:sz w:val="24"/>
          <w:highlight w:val="none"/>
        </w:rPr>
        <w:t xml:space="preserve">   </w:t>
      </w:r>
      <w:r>
        <w:rPr>
          <w:rFonts w:hint="eastAsia" w:ascii="宋体" w:hAnsi="宋体" w:cs="宋体"/>
          <w:sz w:val="24"/>
          <w:highlight w:val="none"/>
        </w:rPr>
        <w:t xml:space="preserve"> 本授权书声明：注册于</w:t>
      </w:r>
      <w:r>
        <w:rPr>
          <w:rFonts w:hint="eastAsia" w:ascii="宋体" w:hAnsi="宋体" w:cs="宋体"/>
          <w:sz w:val="24"/>
          <w:highlight w:val="none"/>
          <w:u w:val="single"/>
        </w:rPr>
        <w:t xml:space="preserve">                </w:t>
      </w:r>
      <w:r>
        <w:rPr>
          <w:rFonts w:hint="eastAsia" w:ascii="宋体" w:hAnsi="宋体" w:cs="宋体"/>
          <w:sz w:val="24"/>
          <w:highlight w:val="none"/>
        </w:rPr>
        <w:t>的</w:t>
      </w:r>
      <w:r>
        <w:rPr>
          <w:rFonts w:hint="eastAsia" w:ascii="宋体" w:hAnsi="宋体" w:cs="宋体"/>
          <w:sz w:val="24"/>
          <w:highlight w:val="none"/>
          <w:u w:val="single"/>
        </w:rPr>
        <w:t xml:space="preserve">                  </w:t>
      </w:r>
      <w:r>
        <w:rPr>
          <w:rFonts w:hint="eastAsia" w:ascii="宋体" w:hAnsi="宋体" w:cs="宋体"/>
          <w:sz w:val="24"/>
          <w:highlight w:val="none"/>
        </w:rPr>
        <w:t>公司的在下面签字的（单位负责人姓名、职务）代表本公司授权在下面签字的</w:t>
      </w:r>
      <w:r>
        <w:rPr>
          <w:rFonts w:hint="eastAsia" w:ascii="宋体" w:hAnsi="宋体" w:cs="宋体"/>
          <w:sz w:val="24"/>
          <w:highlight w:val="none"/>
          <w:u w:val="single"/>
        </w:rPr>
        <w:t xml:space="preserve">                 </w:t>
      </w:r>
      <w:r>
        <w:rPr>
          <w:rFonts w:hint="eastAsia" w:ascii="宋体" w:hAnsi="宋体" w:cs="宋体"/>
          <w:sz w:val="24"/>
          <w:highlight w:val="none"/>
        </w:rPr>
        <w:t>（被授权人的姓名、职务）为本公司的合法代理人，就</w:t>
      </w:r>
      <w:r>
        <w:rPr>
          <w:rFonts w:hint="eastAsia" w:ascii="宋体" w:hAnsi="宋体" w:cs="宋体"/>
          <w:sz w:val="24"/>
          <w:highlight w:val="none"/>
          <w:u w:val="single"/>
        </w:rPr>
        <w:t xml:space="preserve">                  </w:t>
      </w:r>
      <w:r>
        <w:rPr>
          <w:rFonts w:hint="eastAsia" w:ascii="宋体" w:hAnsi="宋体" w:cs="宋体"/>
          <w:sz w:val="24"/>
          <w:highlight w:val="none"/>
        </w:rPr>
        <w:t>项目（招标编号</w:t>
      </w:r>
      <w:r>
        <w:rPr>
          <w:rFonts w:hint="eastAsia" w:ascii="宋体" w:hAnsi="宋体" w:cs="宋体"/>
          <w:sz w:val="24"/>
          <w:highlight w:val="none"/>
          <w:u w:val="single"/>
        </w:rPr>
        <w:t xml:space="preserve">               </w:t>
      </w:r>
      <w:r>
        <w:rPr>
          <w:rFonts w:hint="eastAsia" w:ascii="宋体" w:hAnsi="宋体" w:cs="宋体"/>
          <w:sz w:val="24"/>
          <w:highlight w:val="none"/>
        </w:rPr>
        <w:t>）的投标以及合同的谈判、签约、执行、完成和保修等全权负责，以本公司名义处理一切与之有关的事务。</w:t>
      </w:r>
    </w:p>
    <w:p w14:paraId="574BE324">
      <w:pPr>
        <w:snapToGrid w:val="0"/>
        <w:spacing w:line="360" w:lineRule="auto"/>
        <w:textAlignment w:val="bottom"/>
        <w:rPr>
          <w:rFonts w:hint="eastAsia" w:ascii="宋体" w:hAnsi="宋体" w:cs="宋体"/>
          <w:sz w:val="24"/>
          <w:highlight w:val="none"/>
        </w:rPr>
      </w:pPr>
      <w:r>
        <w:rPr>
          <w:rFonts w:hint="eastAsia" w:ascii="宋体" w:hAnsi="宋体" w:cs="宋体"/>
          <w:sz w:val="24"/>
          <w:highlight w:val="none"/>
        </w:rPr>
        <w:t xml:space="preserve">    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日签字生效，特此声明。</w:t>
      </w:r>
    </w:p>
    <w:p w14:paraId="1555C0A3">
      <w:pPr>
        <w:snapToGrid w:val="0"/>
        <w:spacing w:line="360" w:lineRule="auto"/>
        <w:ind w:firstLine="975"/>
        <w:textAlignment w:val="bottom"/>
        <w:rPr>
          <w:rFonts w:hint="eastAsia" w:ascii="宋体" w:hAnsi="宋体" w:cs="宋体"/>
          <w:sz w:val="24"/>
          <w:highlight w:val="none"/>
        </w:rPr>
      </w:pPr>
    </w:p>
    <w:p w14:paraId="15CBD78D">
      <w:pPr>
        <w:snapToGrid w:val="0"/>
        <w:spacing w:line="360" w:lineRule="auto"/>
        <w:ind w:firstLine="975"/>
        <w:textAlignment w:val="bottom"/>
        <w:rPr>
          <w:rFonts w:hint="eastAsia" w:ascii="宋体" w:hAnsi="宋体" w:cs="宋体"/>
          <w:sz w:val="24"/>
          <w:highlight w:val="none"/>
        </w:rPr>
      </w:pPr>
    </w:p>
    <w:p w14:paraId="481907C0">
      <w:pPr>
        <w:snapToGrid w:val="0"/>
        <w:spacing w:line="360" w:lineRule="auto"/>
        <w:ind w:firstLine="480" w:firstLineChars="200"/>
        <w:textAlignment w:val="bottom"/>
        <w:rPr>
          <w:rFonts w:hint="eastAsia" w:ascii="宋体" w:hAnsi="宋体" w:cs="宋体"/>
          <w:sz w:val="24"/>
          <w:highlight w:val="none"/>
        </w:rPr>
      </w:pPr>
      <w:r>
        <w:rPr>
          <w:rFonts w:hint="eastAsia" w:ascii="宋体" w:hAnsi="宋体" w:cs="宋体"/>
          <w:sz w:val="24"/>
          <w:highlight w:val="none"/>
        </w:rPr>
        <w:t>投标人名称（盖章）：</w:t>
      </w:r>
    </w:p>
    <w:p w14:paraId="034B2E31">
      <w:pPr>
        <w:snapToGrid w:val="0"/>
        <w:spacing w:line="360" w:lineRule="auto"/>
        <w:ind w:firstLine="972" w:firstLineChars="405"/>
        <w:textAlignment w:val="bottom"/>
        <w:rPr>
          <w:rFonts w:hint="eastAsia" w:ascii="宋体" w:hAnsi="宋体" w:cs="宋体"/>
          <w:sz w:val="24"/>
          <w:highlight w:val="none"/>
        </w:rPr>
      </w:pPr>
    </w:p>
    <w:p w14:paraId="7637AE51">
      <w:pPr>
        <w:snapToGrid w:val="0"/>
        <w:spacing w:line="360" w:lineRule="auto"/>
        <w:textAlignment w:val="bottom"/>
        <w:rPr>
          <w:rFonts w:hint="eastAsia" w:ascii="宋体" w:hAnsi="宋体" w:cs="宋体"/>
          <w:sz w:val="24"/>
          <w:highlight w:val="none"/>
        </w:rPr>
      </w:pPr>
      <w:r>
        <w:rPr>
          <w:rFonts w:hint="eastAsia" w:ascii="宋体" w:hAnsi="宋体" w:cs="宋体"/>
          <w:sz w:val="24"/>
          <w:highlight w:val="none"/>
        </w:rPr>
        <w:t xml:space="preserve">    地址：</w:t>
      </w:r>
    </w:p>
    <w:p w14:paraId="51275330">
      <w:pPr>
        <w:snapToGrid w:val="0"/>
        <w:spacing w:line="360" w:lineRule="auto"/>
        <w:textAlignment w:val="bottom"/>
        <w:rPr>
          <w:rFonts w:hint="eastAsia" w:ascii="宋体" w:hAnsi="宋体" w:cs="宋体"/>
          <w:sz w:val="24"/>
          <w:highlight w:val="none"/>
        </w:rPr>
      </w:pPr>
    </w:p>
    <w:p w14:paraId="6CAF2948">
      <w:pPr>
        <w:snapToGrid w:val="0"/>
        <w:spacing w:line="360" w:lineRule="auto"/>
        <w:textAlignment w:val="bottom"/>
        <w:rPr>
          <w:rFonts w:hint="eastAsia" w:ascii="宋体" w:hAnsi="宋体" w:cs="宋体"/>
          <w:sz w:val="24"/>
          <w:highlight w:val="none"/>
        </w:rPr>
      </w:pPr>
      <w:r>
        <w:rPr>
          <w:rFonts w:hint="eastAsia" w:ascii="宋体" w:hAnsi="宋体" w:cs="宋体"/>
          <w:sz w:val="24"/>
          <w:highlight w:val="none"/>
        </w:rPr>
        <w:t xml:space="preserve">    授权人（法定代表人）签字：</w:t>
      </w:r>
    </w:p>
    <w:p w14:paraId="16CFAEFD">
      <w:pPr>
        <w:snapToGrid w:val="0"/>
        <w:spacing w:line="360" w:lineRule="auto"/>
        <w:textAlignment w:val="bottom"/>
        <w:rPr>
          <w:rFonts w:hint="eastAsia" w:ascii="宋体" w:hAnsi="宋体" w:cs="宋体"/>
          <w:sz w:val="24"/>
          <w:highlight w:val="none"/>
          <w:u w:val="single"/>
        </w:rPr>
      </w:pPr>
    </w:p>
    <w:p w14:paraId="3878CEE4">
      <w:pPr>
        <w:snapToGrid w:val="0"/>
        <w:spacing w:line="360" w:lineRule="auto"/>
        <w:textAlignment w:val="bottom"/>
        <w:rPr>
          <w:rFonts w:hint="eastAsia" w:ascii="宋体" w:hAnsi="宋体" w:cs="宋体"/>
          <w:sz w:val="24"/>
          <w:highlight w:val="none"/>
          <w:u w:val="single"/>
        </w:rPr>
      </w:pPr>
      <w:r>
        <w:rPr>
          <w:rFonts w:hint="eastAsia" w:ascii="宋体" w:hAnsi="宋体" w:cs="宋体"/>
          <w:sz w:val="24"/>
          <w:highlight w:val="none"/>
        </w:rPr>
        <w:t xml:space="preserve">    被授权人（代理人）签字：        </w:t>
      </w:r>
    </w:p>
    <w:p w14:paraId="0DA5D666">
      <w:pPr>
        <w:snapToGrid w:val="0"/>
        <w:spacing w:line="360" w:lineRule="auto"/>
        <w:textAlignment w:val="bottom"/>
        <w:rPr>
          <w:rFonts w:hint="eastAsia" w:ascii="宋体" w:hAnsi="宋体" w:cs="宋体"/>
          <w:bCs/>
          <w:sz w:val="24"/>
          <w:highlight w:val="none"/>
        </w:rPr>
      </w:pPr>
    </w:p>
    <w:p w14:paraId="2E1ECB2A">
      <w:pPr>
        <w:snapToGrid w:val="0"/>
        <w:spacing w:line="360" w:lineRule="auto"/>
        <w:textAlignment w:val="bottom"/>
        <w:rPr>
          <w:rFonts w:hint="eastAsia" w:ascii="宋体" w:hAnsi="宋体" w:cs="宋体"/>
          <w:bCs/>
          <w:sz w:val="24"/>
          <w:highlight w:val="none"/>
        </w:rPr>
      </w:pPr>
      <w:r>
        <w:rPr>
          <w:rFonts w:hint="eastAsia" w:ascii="宋体" w:hAnsi="宋体" w:cs="宋体"/>
          <w:sz w:val="24"/>
          <w:highlight w:val="none"/>
        </w:rPr>
        <w:t>附：被授权人身份证正反面复印件</w:t>
      </w:r>
    </w:p>
    <w:p w14:paraId="6E64E85E">
      <w:pPr>
        <w:snapToGrid w:val="0"/>
        <w:spacing w:line="360" w:lineRule="auto"/>
        <w:textAlignment w:val="bottom"/>
        <w:rPr>
          <w:rFonts w:hint="eastAsia" w:ascii="宋体" w:hAnsi="宋体" w:cs="宋体"/>
          <w:bCs/>
          <w:sz w:val="24"/>
          <w:highlight w:val="none"/>
        </w:rPr>
      </w:pPr>
    </w:p>
    <w:p w14:paraId="30333D62">
      <w:pPr>
        <w:snapToGrid w:val="0"/>
        <w:spacing w:line="360" w:lineRule="auto"/>
        <w:textAlignment w:val="bottom"/>
        <w:rPr>
          <w:rFonts w:hint="eastAsia" w:ascii="宋体" w:hAnsi="宋体" w:cs="宋体"/>
          <w:b/>
          <w:bCs/>
          <w:sz w:val="24"/>
          <w:szCs w:val="28"/>
          <w:highlight w:val="none"/>
        </w:rPr>
        <w:sectPr>
          <w:pgSz w:w="11906" w:h="16838"/>
          <w:pgMar w:top="1361" w:right="1304" w:bottom="1247" w:left="1304" w:header="680" w:footer="680" w:gutter="0"/>
          <w:cols w:space="720" w:num="1"/>
          <w:docGrid w:linePitch="312" w:charSpace="0"/>
        </w:sectPr>
      </w:pPr>
    </w:p>
    <w:p w14:paraId="38C6AD59">
      <w:pPr>
        <w:snapToGrid w:val="0"/>
        <w:spacing w:line="360" w:lineRule="auto"/>
        <w:textAlignment w:val="bottom"/>
        <w:rPr>
          <w:rFonts w:hint="eastAsia" w:ascii="宋体" w:hAnsi="宋体" w:cs="宋体"/>
          <w:b/>
          <w:sz w:val="24"/>
          <w:szCs w:val="28"/>
          <w:highlight w:val="none"/>
        </w:rPr>
      </w:pPr>
      <w:r>
        <w:rPr>
          <w:rFonts w:hint="eastAsia" w:ascii="宋体" w:hAnsi="宋体" w:cs="宋体"/>
          <w:b/>
          <w:sz w:val="24"/>
          <w:szCs w:val="28"/>
          <w:highlight w:val="none"/>
        </w:rPr>
        <w:t>格式八：</w:t>
      </w:r>
    </w:p>
    <w:p w14:paraId="38F4F384">
      <w:pPr>
        <w:snapToGrid w:val="0"/>
        <w:spacing w:line="360" w:lineRule="auto"/>
        <w:textAlignment w:val="bottom"/>
        <w:rPr>
          <w:rFonts w:hint="eastAsia" w:ascii="宋体" w:hAnsi="宋体" w:cs="宋体"/>
          <w:b/>
          <w:sz w:val="24"/>
          <w:szCs w:val="28"/>
          <w:highlight w:val="none"/>
        </w:rPr>
      </w:pPr>
    </w:p>
    <w:p w14:paraId="282EF408">
      <w:pPr>
        <w:snapToGrid w:val="0"/>
        <w:spacing w:line="360" w:lineRule="auto"/>
        <w:jc w:val="center"/>
        <w:textAlignment w:val="bottom"/>
        <w:rPr>
          <w:rFonts w:hint="eastAsia" w:ascii="宋体" w:hAnsi="宋体" w:cs="宋体"/>
          <w:b/>
          <w:sz w:val="24"/>
          <w:szCs w:val="28"/>
          <w:highlight w:val="none"/>
        </w:rPr>
      </w:pPr>
      <w:r>
        <w:rPr>
          <w:rFonts w:hint="eastAsia" w:ascii="宋体" w:hAnsi="宋体" w:cs="宋体"/>
          <w:b/>
          <w:sz w:val="24"/>
          <w:szCs w:val="28"/>
          <w:highlight w:val="none"/>
        </w:rPr>
        <w:t>投标人资格证明文件</w:t>
      </w:r>
    </w:p>
    <w:p w14:paraId="2C54B205">
      <w:pPr>
        <w:pStyle w:val="33"/>
        <w:spacing w:line="360" w:lineRule="auto"/>
        <w:outlineLvl w:val="0"/>
        <w:rPr>
          <w:rFonts w:hint="eastAsia" w:ascii="仿宋_GB2312" w:hAnsi="宋体" w:eastAsia="仿宋_GB2312"/>
          <w:szCs w:val="24"/>
          <w:highlight w:val="none"/>
        </w:rPr>
      </w:pPr>
    </w:p>
    <w:p w14:paraId="483E3EDC">
      <w:pPr>
        <w:pStyle w:val="33"/>
        <w:spacing w:line="360" w:lineRule="auto"/>
        <w:ind w:firstLine="480" w:firstLineChars="200"/>
        <w:outlineLvl w:val="0"/>
        <w:rPr>
          <w:rFonts w:hint="eastAsia" w:ascii="宋体" w:hAnsi="宋体" w:cs="宋体"/>
          <w:szCs w:val="24"/>
          <w:highlight w:val="none"/>
        </w:rPr>
      </w:pPr>
      <w:r>
        <w:rPr>
          <w:rFonts w:hint="eastAsia" w:ascii="宋体" w:hAnsi="宋体" w:cs="宋体"/>
          <w:szCs w:val="24"/>
          <w:highlight w:val="none"/>
        </w:rPr>
        <w:t xml:space="preserve"> </w:t>
      </w:r>
      <w:bookmarkStart w:id="97" w:name="_Toc29234"/>
      <w:r>
        <w:rPr>
          <w:rFonts w:hint="eastAsia" w:ascii="宋体" w:hAnsi="宋体" w:cs="宋体"/>
          <w:szCs w:val="24"/>
          <w:highlight w:val="none"/>
        </w:rPr>
        <w:t>谈判文件中要求的资格证明文件。</w:t>
      </w:r>
      <w:bookmarkEnd w:id="97"/>
    </w:p>
    <w:p w14:paraId="16FE5DFC">
      <w:pPr>
        <w:spacing w:line="360" w:lineRule="auto"/>
        <w:ind w:firstLine="480" w:firstLineChars="200"/>
        <w:outlineLvl w:val="0"/>
        <w:rPr>
          <w:rFonts w:hint="eastAsia" w:ascii="宋体" w:hAnsi="宋体" w:cs="宋体"/>
          <w:sz w:val="24"/>
          <w:highlight w:val="none"/>
        </w:rPr>
      </w:pPr>
    </w:p>
    <w:p w14:paraId="37683AC7">
      <w:pPr>
        <w:rPr>
          <w:rFonts w:hint="eastAsia" w:ascii="仿宋_GB2312" w:hAnsi="宋体" w:eastAsia="仿宋_GB2312"/>
          <w:sz w:val="24"/>
          <w:highlight w:val="none"/>
        </w:rPr>
      </w:pPr>
      <w:r>
        <w:rPr>
          <w:rFonts w:ascii="仿宋_GB2312" w:hAnsi="宋体" w:eastAsia="仿宋_GB2312"/>
          <w:sz w:val="24"/>
          <w:highlight w:val="none"/>
        </w:rPr>
        <w:br w:type="page"/>
      </w:r>
    </w:p>
    <w:p w14:paraId="34A3C0E8">
      <w:pPr>
        <w:spacing w:before="143" w:line="219" w:lineRule="auto"/>
        <w:jc w:val="center"/>
        <w:rPr>
          <w:rFonts w:hint="eastAsia" w:ascii="宋体" w:hAnsi="宋体" w:cs="宋体"/>
          <w:sz w:val="44"/>
          <w:szCs w:val="44"/>
          <w:highlight w:val="none"/>
        </w:rPr>
      </w:pPr>
      <w:r>
        <w:rPr>
          <w:rFonts w:ascii="宋体" w:hAnsi="宋体" w:cs="宋体"/>
          <w:b/>
          <w:bCs/>
          <w:spacing w:val="-10"/>
          <w:sz w:val="44"/>
          <w:szCs w:val="44"/>
          <w:highlight w:val="none"/>
        </w:rPr>
        <w:t>资格条件承诺函</w:t>
      </w:r>
    </w:p>
    <w:p w14:paraId="092C4B3E">
      <w:pPr>
        <w:spacing w:line="283" w:lineRule="auto"/>
        <w:rPr>
          <w:rFonts w:ascii="Arial"/>
          <w:highlight w:val="none"/>
        </w:rPr>
      </w:pPr>
    </w:p>
    <w:p w14:paraId="034F3D87">
      <w:pPr>
        <w:spacing w:line="283" w:lineRule="auto"/>
        <w:rPr>
          <w:rFonts w:ascii="Arial"/>
          <w:highlight w:val="none"/>
        </w:rPr>
      </w:pPr>
    </w:p>
    <w:p w14:paraId="11F819C5">
      <w:pPr>
        <w:spacing w:line="284" w:lineRule="auto"/>
        <w:rPr>
          <w:rFonts w:ascii="Arial"/>
          <w:highlight w:val="none"/>
        </w:rPr>
      </w:pPr>
    </w:p>
    <w:p w14:paraId="7601571C">
      <w:pPr>
        <w:spacing w:line="360" w:lineRule="auto"/>
        <w:rPr>
          <w:highlight w:val="none"/>
        </w:rPr>
      </w:pPr>
      <w:r>
        <w:rPr>
          <w:highlight w:val="none"/>
        </w:rPr>
        <w:t>致 ：</w:t>
      </w:r>
      <w:r>
        <w:rPr>
          <w:highlight w:val="none"/>
          <w:u w:val="single"/>
        </w:rPr>
        <w:t xml:space="preserve"> (</w:t>
      </w:r>
      <w:r>
        <w:rPr>
          <w:rFonts w:hint="eastAsia"/>
          <w:highlight w:val="none"/>
          <w:u w:val="single"/>
        </w:rPr>
        <w:t>采购人、采购代理机构</w:t>
      </w:r>
      <w:r>
        <w:rPr>
          <w:highlight w:val="none"/>
          <w:u w:val="single"/>
        </w:rPr>
        <w:t xml:space="preserve"> ) :</w:t>
      </w:r>
    </w:p>
    <w:p w14:paraId="2C77B506">
      <w:pPr>
        <w:spacing w:line="360" w:lineRule="auto"/>
        <w:ind w:firstLine="420" w:firstLineChars="200"/>
        <w:rPr>
          <w:highlight w:val="none"/>
        </w:rPr>
      </w:pPr>
      <w:r>
        <w:rPr>
          <w:highlight w:val="none"/>
        </w:rPr>
        <w:t>我单位</w:t>
      </w:r>
      <w:r>
        <w:rPr>
          <w:highlight w:val="none"/>
          <w:u w:val="single"/>
        </w:rPr>
        <w:t>(公司)</w:t>
      </w:r>
      <w:r>
        <w:rPr>
          <w:highlight w:val="none"/>
        </w:rPr>
        <w:t>参与</w:t>
      </w:r>
      <w:r>
        <w:rPr>
          <w:highlight w:val="none"/>
          <w:u w:val="single"/>
        </w:rPr>
        <w:t xml:space="preserve">    ( 采 购 项目 名 称 </w:t>
      </w:r>
      <w:r>
        <w:rPr>
          <w:rFonts w:hint="eastAsia"/>
          <w:highlight w:val="none"/>
          <w:u w:val="single"/>
        </w:rPr>
        <w:t>、</w:t>
      </w:r>
      <w:r>
        <w:rPr>
          <w:highlight w:val="none"/>
          <w:u w:val="single"/>
        </w:rPr>
        <w:t>项目 编 号 )</w:t>
      </w:r>
      <w:r>
        <w:rPr>
          <w:highlight w:val="none"/>
        </w:rPr>
        <w:t>采购项目的政府采购活动，现承诺如下：</w:t>
      </w:r>
    </w:p>
    <w:p w14:paraId="076877BB">
      <w:pPr>
        <w:spacing w:line="360" w:lineRule="auto"/>
        <w:ind w:firstLine="420" w:firstLineChars="200"/>
        <w:rPr>
          <w:highlight w:val="none"/>
        </w:rPr>
      </w:pPr>
      <w:r>
        <w:rPr>
          <w:highlight w:val="none"/>
        </w:rPr>
        <w:t>1. 具有良好的商业信誉和健全的财务会计制度；</w:t>
      </w:r>
    </w:p>
    <w:p w14:paraId="4DC5FE86">
      <w:pPr>
        <w:spacing w:line="360" w:lineRule="auto"/>
        <w:ind w:firstLine="420" w:firstLineChars="200"/>
        <w:rPr>
          <w:highlight w:val="none"/>
        </w:rPr>
      </w:pPr>
      <w:r>
        <w:rPr>
          <w:highlight w:val="none"/>
        </w:rPr>
        <w:t>2. 具有依法缴纳税收的良好记录；</w:t>
      </w:r>
    </w:p>
    <w:p w14:paraId="3FC2405C">
      <w:pPr>
        <w:spacing w:line="360" w:lineRule="auto"/>
        <w:ind w:firstLine="420" w:firstLineChars="200"/>
        <w:rPr>
          <w:highlight w:val="none"/>
        </w:rPr>
      </w:pPr>
      <w:r>
        <w:rPr>
          <w:highlight w:val="none"/>
        </w:rPr>
        <w:t>3.具有依法缴纳社会保障金的良好记录。</w:t>
      </w:r>
    </w:p>
    <w:p w14:paraId="1A2BCF8F">
      <w:pPr>
        <w:spacing w:line="360" w:lineRule="auto"/>
        <w:ind w:firstLine="420" w:firstLineChars="200"/>
        <w:rPr>
          <w:highlight w:val="none"/>
        </w:rPr>
      </w:pPr>
      <w:r>
        <w:rPr>
          <w:highlight w:val="none"/>
        </w:rPr>
        <w:t>我方在采购项目评审(评标)环节结束后，随时接受采购人、采购代理机构的检查验证，配合提供相关证明材料， 证明符合《中华人民共和国政府采购法》规定的供应商基本资格条件。</w:t>
      </w:r>
    </w:p>
    <w:p w14:paraId="1DC65507">
      <w:pPr>
        <w:spacing w:line="360" w:lineRule="auto"/>
        <w:ind w:firstLine="420" w:firstLineChars="200"/>
        <w:rPr>
          <w:highlight w:val="none"/>
        </w:rPr>
      </w:pPr>
      <w:r>
        <w:rPr>
          <w:highlight w:val="none"/>
        </w:rPr>
        <w:t>我单位(公司)对上述承诺的真实性负责。如有虚假，将依法承担相应责任。</w:t>
      </w:r>
    </w:p>
    <w:p w14:paraId="5CB8AA3C">
      <w:pPr>
        <w:spacing w:line="360" w:lineRule="auto"/>
        <w:ind w:firstLine="420" w:firstLineChars="200"/>
        <w:rPr>
          <w:highlight w:val="none"/>
        </w:rPr>
      </w:pPr>
      <w:r>
        <w:rPr>
          <w:highlight w:val="none"/>
        </w:rPr>
        <w:t>特此承诺。</w:t>
      </w:r>
    </w:p>
    <w:p w14:paraId="33679E95">
      <w:pPr>
        <w:rPr>
          <w:highlight w:val="none"/>
        </w:rPr>
      </w:pPr>
    </w:p>
    <w:p w14:paraId="293B8B5A">
      <w:pPr>
        <w:rPr>
          <w:highlight w:val="none"/>
        </w:rPr>
      </w:pPr>
    </w:p>
    <w:p w14:paraId="6C5DD1A3">
      <w:pPr>
        <w:spacing w:line="259" w:lineRule="auto"/>
        <w:rPr>
          <w:rFonts w:ascii="Arial"/>
          <w:szCs w:val="21"/>
          <w:highlight w:val="none"/>
        </w:rPr>
      </w:pPr>
    </w:p>
    <w:p w14:paraId="6640412A">
      <w:pPr>
        <w:spacing w:before="101" w:line="611" w:lineRule="exact"/>
        <w:ind w:left="4920"/>
        <w:rPr>
          <w:rFonts w:hint="eastAsia" w:ascii="宋体" w:hAnsi="宋体" w:cs="宋体"/>
          <w:szCs w:val="21"/>
          <w:highlight w:val="none"/>
        </w:rPr>
      </w:pPr>
      <w:r>
        <w:rPr>
          <w:rFonts w:ascii="宋体" w:hAnsi="宋体" w:cs="宋体"/>
          <w:spacing w:val="-19"/>
          <w:position w:val="22"/>
          <w:szCs w:val="21"/>
          <w:highlight w:val="none"/>
        </w:rPr>
        <w:t>盖章：</w:t>
      </w:r>
    </w:p>
    <w:p w14:paraId="4A10D846">
      <w:pPr>
        <w:spacing w:line="219" w:lineRule="auto"/>
        <w:ind w:left="4920"/>
        <w:rPr>
          <w:rFonts w:hint="eastAsia" w:ascii="宋体" w:hAnsi="宋体" w:cs="宋体"/>
          <w:szCs w:val="21"/>
          <w:highlight w:val="none"/>
        </w:rPr>
      </w:pPr>
      <w:r>
        <w:rPr>
          <w:rFonts w:ascii="宋体" w:hAnsi="宋体" w:cs="宋体"/>
          <w:spacing w:val="-19"/>
          <w:szCs w:val="21"/>
          <w:highlight w:val="none"/>
        </w:rPr>
        <w:t>签字：</w:t>
      </w:r>
    </w:p>
    <w:p w14:paraId="0345E47A">
      <w:pPr>
        <w:pStyle w:val="5"/>
        <w:rPr>
          <w:rFonts w:hint="eastAsia" w:ascii="宋体" w:hAnsi="宋体" w:eastAsia="宋体" w:cs="宋体"/>
          <w:spacing w:val="-26"/>
          <w:sz w:val="21"/>
          <w:szCs w:val="21"/>
          <w:highlight w:val="none"/>
        </w:rPr>
      </w:pPr>
      <w:r>
        <w:rPr>
          <w:rFonts w:hint="eastAsia" w:ascii="宋体" w:hAnsi="宋体" w:eastAsia="宋体" w:cs="宋体"/>
          <w:spacing w:val="-26"/>
          <w:sz w:val="21"/>
          <w:szCs w:val="21"/>
          <w:highlight w:val="none"/>
        </w:rPr>
        <w:t xml:space="preserve">         </w:t>
      </w:r>
      <w:bookmarkStart w:id="98" w:name="_Toc13451"/>
      <w:r>
        <w:rPr>
          <w:rFonts w:ascii="宋体" w:hAnsi="宋体" w:eastAsia="宋体" w:cs="宋体"/>
          <w:spacing w:val="-26"/>
          <w:sz w:val="21"/>
          <w:szCs w:val="21"/>
          <w:highlight w:val="none"/>
        </w:rPr>
        <w:t>日期</w:t>
      </w:r>
      <w:r>
        <w:rPr>
          <w:rFonts w:hint="eastAsia" w:ascii="宋体" w:hAnsi="宋体" w:eastAsia="宋体" w:cs="宋体"/>
          <w:spacing w:val="-26"/>
          <w:sz w:val="21"/>
          <w:szCs w:val="21"/>
          <w:highlight w:val="none"/>
        </w:rPr>
        <w:t>：</w:t>
      </w:r>
      <w:bookmarkEnd w:id="98"/>
    </w:p>
    <w:p w14:paraId="2B5AD724">
      <w:pPr>
        <w:rPr>
          <w:rFonts w:hint="eastAsia" w:ascii="宋体" w:hAnsi="宋体" w:cs="宋体"/>
          <w:spacing w:val="-26"/>
          <w:szCs w:val="21"/>
          <w:highlight w:val="none"/>
        </w:rPr>
      </w:pPr>
      <w:r>
        <w:rPr>
          <w:rFonts w:hint="eastAsia" w:ascii="宋体" w:hAnsi="宋体" w:cs="宋体"/>
          <w:spacing w:val="-26"/>
          <w:szCs w:val="21"/>
          <w:highlight w:val="none"/>
        </w:rPr>
        <w:br w:type="page"/>
      </w:r>
    </w:p>
    <w:p w14:paraId="56FC4A1C">
      <w:pPr>
        <w:spacing w:line="400" w:lineRule="exact"/>
        <w:jc w:val="center"/>
        <w:rPr>
          <w:rFonts w:hint="eastAsia" w:ascii="宋体" w:hAnsi="宋体" w:cs="宋体"/>
          <w:b/>
          <w:sz w:val="24"/>
          <w:highlight w:val="none"/>
        </w:rPr>
      </w:pPr>
      <w:r>
        <w:rPr>
          <w:rFonts w:hint="eastAsia" w:ascii="宋体" w:hAnsi="宋体" w:cs="宋体"/>
          <w:b/>
          <w:sz w:val="24"/>
          <w:highlight w:val="none"/>
        </w:rPr>
        <w:t>企业近三年已完成类似项目一览表</w:t>
      </w:r>
    </w:p>
    <w:p w14:paraId="27B3F056">
      <w:pPr>
        <w:spacing w:line="400" w:lineRule="exact"/>
        <w:rPr>
          <w:rFonts w:hint="eastAsia" w:ascii="宋体" w:hAnsi="宋体" w:cs="宋体"/>
          <w:szCs w:val="21"/>
          <w:highlight w:val="none"/>
          <w:u w:val="single"/>
        </w:rPr>
      </w:pPr>
    </w:p>
    <w:p w14:paraId="3D17D6C1">
      <w:pPr>
        <w:spacing w:line="400" w:lineRule="exact"/>
        <w:rPr>
          <w:rFonts w:hint="eastAsia" w:ascii="宋体" w:hAnsi="宋体" w:cs="宋体"/>
          <w:sz w:val="24"/>
          <w:highlight w:val="none"/>
        </w:rPr>
      </w:pPr>
      <w:r>
        <w:rPr>
          <w:rFonts w:hint="eastAsia" w:ascii="宋体" w:hAnsi="宋体" w:cs="宋体"/>
          <w:szCs w:val="21"/>
          <w:highlight w:val="none"/>
          <w:u w:val="single"/>
        </w:rPr>
        <w:t>供应商名称：</w:t>
      </w:r>
    </w:p>
    <w:tbl>
      <w:tblPr>
        <w:tblStyle w:val="60"/>
        <w:tblW w:w="0" w:type="auto"/>
        <w:tblInd w:w="-10" w:type="dxa"/>
        <w:tblLayout w:type="fixed"/>
        <w:tblCellMar>
          <w:top w:w="0" w:type="dxa"/>
          <w:left w:w="108" w:type="dxa"/>
          <w:bottom w:w="0" w:type="dxa"/>
          <w:right w:w="108" w:type="dxa"/>
        </w:tblCellMar>
      </w:tblPr>
      <w:tblGrid>
        <w:gridCol w:w="743"/>
        <w:gridCol w:w="5689"/>
        <w:gridCol w:w="3062"/>
      </w:tblGrid>
      <w:tr w14:paraId="0F259BE3">
        <w:tblPrEx>
          <w:tblCellMar>
            <w:top w:w="0" w:type="dxa"/>
            <w:left w:w="108" w:type="dxa"/>
            <w:bottom w:w="0" w:type="dxa"/>
            <w:right w:w="108" w:type="dxa"/>
          </w:tblCellMar>
        </w:tblPrEx>
        <w:trPr>
          <w:cantSplit/>
          <w:trHeight w:val="680" w:hRule="atLeast"/>
        </w:trPr>
        <w:tc>
          <w:tcPr>
            <w:tcW w:w="743" w:type="dxa"/>
            <w:tcBorders>
              <w:top w:val="single" w:color="000000" w:sz="4" w:space="0"/>
              <w:left w:val="single" w:color="000000" w:sz="4" w:space="0"/>
              <w:bottom w:val="single" w:color="000000" w:sz="4" w:space="0"/>
            </w:tcBorders>
            <w:vAlign w:val="center"/>
          </w:tcPr>
          <w:p w14:paraId="569676D7">
            <w:pPr>
              <w:spacing w:line="360" w:lineRule="auto"/>
              <w:jc w:val="center"/>
              <w:rPr>
                <w:rFonts w:hint="eastAsia" w:ascii="宋体" w:hAnsi="宋体" w:cs="宋体"/>
                <w:highlight w:val="none"/>
              </w:rPr>
            </w:pPr>
            <w:r>
              <w:rPr>
                <w:rFonts w:hint="eastAsia" w:ascii="宋体" w:hAnsi="宋体" w:cs="宋体"/>
                <w:bCs/>
                <w:szCs w:val="21"/>
                <w:highlight w:val="none"/>
              </w:rPr>
              <w:t>序号</w:t>
            </w:r>
          </w:p>
        </w:tc>
        <w:tc>
          <w:tcPr>
            <w:tcW w:w="5689" w:type="dxa"/>
            <w:tcBorders>
              <w:top w:val="single" w:color="000000" w:sz="4" w:space="0"/>
              <w:left w:val="single" w:color="000000" w:sz="4" w:space="0"/>
              <w:bottom w:val="single" w:color="000000" w:sz="4" w:space="0"/>
              <w:right w:val="single" w:color="000000" w:sz="4" w:space="0"/>
            </w:tcBorders>
            <w:vAlign w:val="center"/>
          </w:tcPr>
          <w:p w14:paraId="6559EFF1">
            <w:pPr>
              <w:spacing w:line="360" w:lineRule="auto"/>
              <w:jc w:val="center"/>
              <w:rPr>
                <w:rFonts w:hint="eastAsia" w:ascii="宋体" w:hAnsi="宋体" w:cs="宋体"/>
                <w:highlight w:val="none"/>
              </w:rPr>
            </w:pPr>
            <w:r>
              <w:rPr>
                <w:rFonts w:hint="eastAsia" w:ascii="宋体" w:hAnsi="宋体" w:cs="宋体"/>
                <w:bCs/>
                <w:szCs w:val="21"/>
                <w:highlight w:val="none"/>
              </w:rPr>
              <w:t>项目名称</w:t>
            </w:r>
          </w:p>
        </w:tc>
        <w:tc>
          <w:tcPr>
            <w:tcW w:w="3062" w:type="dxa"/>
            <w:tcBorders>
              <w:top w:val="single" w:color="000000" w:sz="4" w:space="0"/>
              <w:left w:val="single" w:color="000000" w:sz="4" w:space="0"/>
              <w:bottom w:val="single" w:color="000000" w:sz="4" w:space="0"/>
              <w:right w:val="single" w:color="000000" w:sz="4" w:space="0"/>
            </w:tcBorders>
            <w:vAlign w:val="center"/>
          </w:tcPr>
          <w:p w14:paraId="4656E896">
            <w:pPr>
              <w:spacing w:line="360" w:lineRule="auto"/>
              <w:jc w:val="center"/>
              <w:rPr>
                <w:rFonts w:hint="eastAsia" w:ascii="宋体" w:hAnsi="宋体" w:cs="宋体"/>
                <w:bCs/>
                <w:szCs w:val="21"/>
                <w:highlight w:val="none"/>
              </w:rPr>
            </w:pPr>
            <w:r>
              <w:rPr>
                <w:rFonts w:hint="eastAsia" w:ascii="宋体" w:hAnsi="宋体" w:cs="宋体"/>
                <w:bCs/>
                <w:szCs w:val="21"/>
                <w:highlight w:val="none"/>
              </w:rPr>
              <w:t>金额</w:t>
            </w:r>
          </w:p>
        </w:tc>
      </w:tr>
      <w:tr w14:paraId="254A16E1">
        <w:tblPrEx>
          <w:tblCellMar>
            <w:top w:w="0" w:type="dxa"/>
            <w:left w:w="108" w:type="dxa"/>
            <w:bottom w:w="0" w:type="dxa"/>
            <w:right w:w="108" w:type="dxa"/>
          </w:tblCellMar>
        </w:tblPrEx>
        <w:trPr>
          <w:trHeight w:val="680" w:hRule="atLeast"/>
        </w:trPr>
        <w:tc>
          <w:tcPr>
            <w:tcW w:w="743" w:type="dxa"/>
            <w:tcBorders>
              <w:top w:val="single" w:color="000000" w:sz="4" w:space="0"/>
              <w:left w:val="single" w:color="000000" w:sz="4" w:space="0"/>
              <w:bottom w:val="single" w:color="000000" w:sz="4" w:space="0"/>
            </w:tcBorders>
            <w:vAlign w:val="center"/>
          </w:tcPr>
          <w:p w14:paraId="30D9FB54">
            <w:pPr>
              <w:snapToGrid w:val="0"/>
              <w:spacing w:line="360" w:lineRule="auto"/>
              <w:jc w:val="center"/>
              <w:rPr>
                <w:rFonts w:hint="eastAsia" w:ascii="宋体" w:hAnsi="宋体" w:cs="宋体"/>
                <w:bCs/>
                <w:szCs w:val="21"/>
                <w:highlight w:val="none"/>
              </w:rPr>
            </w:pPr>
          </w:p>
        </w:tc>
        <w:tc>
          <w:tcPr>
            <w:tcW w:w="5689" w:type="dxa"/>
            <w:tcBorders>
              <w:top w:val="single" w:color="000000" w:sz="4" w:space="0"/>
              <w:left w:val="single" w:color="000000" w:sz="4" w:space="0"/>
              <w:bottom w:val="single" w:color="000000" w:sz="4" w:space="0"/>
              <w:right w:val="single" w:color="000000" w:sz="4" w:space="0"/>
            </w:tcBorders>
            <w:vAlign w:val="center"/>
          </w:tcPr>
          <w:p w14:paraId="358B9145">
            <w:pPr>
              <w:snapToGrid w:val="0"/>
              <w:spacing w:line="360" w:lineRule="auto"/>
              <w:rPr>
                <w:rFonts w:hint="eastAsia" w:ascii="宋体" w:hAnsi="宋体" w:cs="宋体"/>
                <w:bCs/>
                <w:szCs w:val="21"/>
                <w:highlight w:val="none"/>
              </w:rPr>
            </w:pPr>
          </w:p>
        </w:tc>
        <w:tc>
          <w:tcPr>
            <w:tcW w:w="3062" w:type="dxa"/>
            <w:tcBorders>
              <w:top w:val="single" w:color="000000" w:sz="4" w:space="0"/>
              <w:left w:val="single" w:color="000000" w:sz="4" w:space="0"/>
              <w:bottom w:val="single" w:color="000000" w:sz="4" w:space="0"/>
              <w:right w:val="single" w:color="000000" w:sz="4" w:space="0"/>
            </w:tcBorders>
            <w:vAlign w:val="center"/>
          </w:tcPr>
          <w:p w14:paraId="4650D00B">
            <w:pPr>
              <w:snapToGrid w:val="0"/>
              <w:spacing w:line="360" w:lineRule="auto"/>
              <w:rPr>
                <w:rFonts w:hint="eastAsia" w:ascii="宋体" w:hAnsi="宋体" w:cs="宋体"/>
                <w:bCs/>
                <w:szCs w:val="21"/>
                <w:highlight w:val="none"/>
              </w:rPr>
            </w:pPr>
          </w:p>
        </w:tc>
      </w:tr>
      <w:tr w14:paraId="42F96B18">
        <w:tblPrEx>
          <w:tblCellMar>
            <w:top w:w="0" w:type="dxa"/>
            <w:left w:w="108" w:type="dxa"/>
            <w:bottom w:w="0" w:type="dxa"/>
            <w:right w:w="108" w:type="dxa"/>
          </w:tblCellMar>
        </w:tblPrEx>
        <w:trPr>
          <w:trHeight w:val="680" w:hRule="atLeast"/>
        </w:trPr>
        <w:tc>
          <w:tcPr>
            <w:tcW w:w="743" w:type="dxa"/>
            <w:tcBorders>
              <w:top w:val="single" w:color="000000" w:sz="4" w:space="0"/>
              <w:left w:val="single" w:color="000000" w:sz="4" w:space="0"/>
              <w:bottom w:val="single" w:color="000000" w:sz="4" w:space="0"/>
            </w:tcBorders>
            <w:vAlign w:val="center"/>
          </w:tcPr>
          <w:p w14:paraId="265C8A42">
            <w:pPr>
              <w:snapToGrid w:val="0"/>
              <w:spacing w:line="360" w:lineRule="auto"/>
              <w:jc w:val="center"/>
              <w:rPr>
                <w:rFonts w:hint="eastAsia" w:ascii="宋体" w:hAnsi="宋体" w:cs="宋体"/>
                <w:szCs w:val="21"/>
                <w:highlight w:val="none"/>
              </w:rPr>
            </w:pPr>
          </w:p>
        </w:tc>
        <w:tc>
          <w:tcPr>
            <w:tcW w:w="5689" w:type="dxa"/>
            <w:tcBorders>
              <w:top w:val="single" w:color="000000" w:sz="4" w:space="0"/>
              <w:left w:val="single" w:color="000000" w:sz="4" w:space="0"/>
              <w:bottom w:val="single" w:color="000000" w:sz="4" w:space="0"/>
              <w:right w:val="single" w:color="000000" w:sz="4" w:space="0"/>
            </w:tcBorders>
            <w:vAlign w:val="center"/>
          </w:tcPr>
          <w:p w14:paraId="4730DB9F">
            <w:pPr>
              <w:snapToGrid w:val="0"/>
              <w:spacing w:line="360" w:lineRule="auto"/>
              <w:rPr>
                <w:rFonts w:hint="eastAsia" w:ascii="宋体" w:hAnsi="宋体" w:cs="宋体"/>
                <w:szCs w:val="21"/>
                <w:highlight w:val="none"/>
              </w:rPr>
            </w:pPr>
          </w:p>
        </w:tc>
        <w:tc>
          <w:tcPr>
            <w:tcW w:w="3062" w:type="dxa"/>
            <w:tcBorders>
              <w:top w:val="single" w:color="000000" w:sz="4" w:space="0"/>
              <w:left w:val="single" w:color="000000" w:sz="4" w:space="0"/>
              <w:bottom w:val="single" w:color="000000" w:sz="4" w:space="0"/>
              <w:right w:val="single" w:color="000000" w:sz="4" w:space="0"/>
            </w:tcBorders>
            <w:vAlign w:val="center"/>
          </w:tcPr>
          <w:p w14:paraId="38662DD7">
            <w:pPr>
              <w:snapToGrid w:val="0"/>
              <w:spacing w:line="360" w:lineRule="auto"/>
              <w:rPr>
                <w:rFonts w:hint="eastAsia" w:ascii="宋体" w:hAnsi="宋体" w:cs="宋体"/>
                <w:szCs w:val="21"/>
                <w:highlight w:val="none"/>
              </w:rPr>
            </w:pPr>
          </w:p>
        </w:tc>
      </w:tr>
      <w:tr w14:paraId="3C808AF4">
        <w:tblPrEx>
          <w:tblCellMar>
            <w:top w:w="0" w:type="dxa"/>
            <w:left w:w="108" w:type="dxa"/>
            <w:bottom w:w="0" w:type="dxa"/>
            <w:right w:w="108" w:type="dxa"/>
          </w:tblCellMar>
        </w:tblPrEx>
        <w:trPr>
          <w:trHeight w:val="680" w:hRule="atLeast"/>
        </w:trPr>
        <w:tc>
          <w:tcPr>
            <w:tcW w:w="743" w:type="dxa"/>
            <w:tcBorders>
              <w:top w:val="single" w:color="000000" w:sz="4" w:space="0"/>
              <w:left w:val="single" w:color="000000" w:sz="4" w:space="0"/>
              <w:bottom w:val="single" w:color="000000" w:sz="4" w:space="0"/>
            </w:tcBorders>
            <w:vAlign w:val="center"/>
          </w:tcPr>
          <w:p w14:paraId="758E5753">
            <w:pPr>
              <w:snapToGrid w:val="0"/>
              <w:spacing w:line="360" w:lineRule="auto"/>
              <w:jc w:val="center"/>
              <w:rPr>
                <w:rFonts w:hint="eastAsia" w:ascii="宋体" w:hAnsi="宋体" w:cs="宋体"/>
                <w:szCs w:val="21"/>
                <w:highlight w:val="none"/>
              </w:rPr>
            </w:pPr>
          </w:p>
        </w:tc>
        <w:tc>
          <w:tcPr>
            <w:tcW w:w="5689" w:type="dxa"/>
            <w:tcBorders>
              <w:top w:val="single" w:color="000000" w:sz="4" w:space="0"/>
              <w:left w:val="single" w:color="000000" w:sz="4" w:space="0"/>
              <w:bottom w:val="single" w:color="000000" w:sz="4" w:space="0"/>
              <w:right w:val="single" w:color="000000" w:sz="4" w:space="0"/>
            </w:tcBorders>
            <w:vAlign w:val="center"/>
          </w:tcPr>
          <w:p w14:paraId="70B902A9">
            <w:pPr>
              <w:snapToGrid w:val="0"/>
              <w:spacing w:line="360" w:lineRule="auto"/>
              <w:rPr>
                <w:rFonts w:hint="eastAsia" w:ascii="宋体" w:hAnsi="宋体" w:cs="宋体"/>
                <w:szCs w:val="21"/>
                <w:highlight w:val="none"/>
              </w:rPr>
            </w:pPr>
          </w:p>
        </w:tc>
        <w:tc>
          <w:tcPr>
            <w:tcW w:w="3062" w:type="dxa"/>
            <w:tcBorders>
              <w:top w:val="single" w:color="000000" w:sz="4" w:space="0"/>
              <w:left w:val="single" w:color="000000" w:sz="4" w:space="0"/>
              <w:bottom w:val="single" w:color="000000" w:sz="4" w:space="0"/>
              <w:right w:val="single" w:color="000000" w:sz="4" w:space="0"/>
            </w:tcBorders>
            <w:vAlign w:val="center"/>
          </w:tcPr>
          <w:p w14:paraId="04A802D0">
            <w:pPr>
              <w:snapToGrid w:val="0"/>
              <w:spacing w:line="360" w:lineRule="auto"/>
              <w:rPr>
                <w:rFonts w:hint="eastAsia" w:ascii="宋体" w:hAnsi="宋体" w:cs="宋体"/>
                <w:szCs w:val="21"/>
                <w:highlight w:val="none"/>
              </w:rPr>
            </w:pPr>
          </w:p>
        </w:tc>
      </w:tr>
      <w:tr w14:paraId="7B061C7D">
        <w:tblPrEx>
          <w:tblCellMar>
            <w:top w:w="0" w:type="dxa"/>
            <w:left w:w="108" w:type="dxa"/>
            <w:bottom w:w="0" w:type="dxa"/>
            <w:right w:w="108" w:type="dxa"/>
          </w:tblCellMar>
        </w:tblPrEx>
        <w:trPr>
          <w:trHeight w:val="680" w:hRule="atLeast"/>
        </w:trPr>
        <w:tc>
          <w:tcPr>
            <w:tcW w:w="743" w:type="dxa"/>
            <w:tcBorders>
              <w:top w:val="single" w:color="000000" w:sz="4" w:space="0"/>
              <w:left w:val="single" w:color="000000" w:sz="4" w:space="0"/>
              <w:bottom w:val="single" w:color="000000" w:sz="4" w:space="0"/>
            </w:tcBorders>
            <w:vAlign w:val="center"/>
          </w:tcPr>
          <w:p w14:paraId="2A5F7E9F">
            <w:pPr>
              <w:snapToGrid w:val="0"/>
              <w:spacing w:line="360" w:lineRule="auto"/>
              <w:jc w:val="center"/>
              <w:rPr>
                <w:rFonts w:hint="eastAsia" w:ascii="宋体" w:hAnsi="宋体" w:cs="宋体"/>
                <w:szCs w:val="21"/>
                <w:highlight w:val="none"/>
              </w:rPr>
            </w:pPr>
          </w:p>
        </w:tc>
        <w:tc>
          <w:tcPr>
            <w:tcW w:w="5689" w:type="dxa"/>
            <w:tcBorders>
              <w:top w:val="single" w:color="000000" w:sz="4" w:space="0"/>
              <w:left w:val="single" w:color="000000" w:sz="4" w:space="0"/>
              <w:bottom w:val="single" w:color="000000" w:sz="4" w:space="0"/>
              <w:right w:val="single" w:color="000000" w:sz="4" w:space="0"/>
            </w:tcBorders>
            <w:vAlign w:val="center"/>
          </w:tcPr>
          <w:p w14:paraId="2C895448">
            <w:pPr>
              <w:snapToGrid w:val="0"/>
              <w:spacing w:line="360" w:lineRule="auto"/>
              <w:rPr>
                <w:rFonts w:hint="eastAsia" w:ascii="宋体" w:hAnsi="宋体" w:cs="宋体"/>
                <w:szCs w:val="21"/>
                <w:highlight w:val="none"/>
              </w:rPr>
            </w:pPr>
          </w:p>
        </w:tc>
        <w:tc>
          <w:tcPr>
            <w:tcW w:w="3062" w:type="dxa"/>
            <w:tcBorders>
              <w:top w:val="single" w:color="000000" w:sz="4" w:space="0"/>
              <w:left w:val="single" w:color="000000" w:sz="4" w:space="0"/>
              <w:bottom w:val="single" w:color="000000" w:sz="4" w:space="0"/>
              <w:right w:val="single" w:color="000000" w:sz="4" w:space="0"/>
            </w:tcBorders>
            <w:vAlign w:val="center"/>
          </w:tcPr>
          <w:p w14:paraId="2B7322AD">
            <w:pPr>
              <w:snapToGrid w:val="0"/>
              <w:spacing w:line="360" w:lineRule="auto"/>
              <w:rPr>
                <w:rFonts w:hint="eastAsia" w:ascii="宋体" w:hAnsi="宋体" w:cs="宋体"/>
                <w:szCs w:val="21"/>
                <w:highlight w:val="none"/>
              </w:rPr>
            </w:pPr>
          </w:p>
        </w:tc>
      </w:tr>
      <w:tr w14:paraId="5ED98580">
        <w:tblPrEx>
          <w:tblCellMar>
            <w:top w:w="0" w:type="dxa"/>
            <w:left w:w="108" w:type="dxa"/>
            <w:bottom w:w="0" w:type="dxa"/>
            <w:right w:w="108" w:type="dxa"/>
          </w:tblCellMar>
        </w:tblPrEx>
        <w:trPr>
          <w:trHeight w:val="680" w:hRule="atLeast"/>
        </w:trPr>
        <w:tc>
          <w:tcPr>
            <w:tcW w:w="743" w:type="dxa"/>
            <w:tcBorders>
              <w:top w:val="single" w:color="000000" w:sz="4" w:space="0"/>
              <w:left w:val="single" w:color="000000" w:sz="4" w:space="0"/>
              <w:bottom w:val="single" w:color="000000" w:sz="4" w:space="0"/>
            </w:tcBorders>
            <w:vAlign w:val="center"/>
          </w:tcPr>
          <w:p w14:paraId="347FD8DA">
            <w:pPr>
              <w:snapToGrid w:val="0"/>
              <w:spacing w:line="360" w:lineRule="auto"/>
              <w:jc w:val="center"/>
              <w:rPr>
                <w:rFonts w:hint="eastAsia" w:ascii="宋体" w:hAnsi="宋体" w:cs="宋体"/>
                <w:szCs w:val="21"/>
                <w:highlight w:val="none"/>
              </w:rPr>
            </w:pPr>
          </w:p>
        </w:tc>
        <w:tc>
          <w:tcPr>
            <w:tcW w:w="5689" w:type="dxa"/>
            <w:tcBorders>
              <w:top w:val="single" w:color="000000" w:sz="4" w:space="0"/>
              <w:left w:val="single" w:color="000000" w:sz="4" w:space="0"/>
              <w:bottom w:val="single" w:color="000000" w:sz="4" w:space="0"/>
              <w:right w:val="single" w:color="000000" w:sz="4" w:space="0"/>
            </w:tcBorders>
            <w:vAlign w:val="center"/>
          </w:tcPr>
          <w:p w14:paraId="27AEFD56">
            <w:pPr>
              <w:snapToGrid w:val="0"/>
              <w:spacing w:line="360" w:lineRule="auto"/>
              <w:rPr>
                <w:rFonts w:hint="eastAsia" w:ascii="宋体" w:hAnsi="宋体" w:cs="宋体"/>
                <w:szCs w:val="21"/>
                <w:highlight w:val="none"/>
              </w:rPr>
            </w:pPr>
          </w:p>
        </w:tc>
        <w:tc>
          <w:tcPr>
            <w:tcW w:w="3062" w:type="dxa"/>
            <w:tcBorders>
              <w:top w:val="single" w:color="000000" w:sz="4" w:space="0"/>
              <w:left w:val="single" w:color="000000" w:sz="4" w:space="0"/>
              <w:bottom w:val="single" w:color="000000" w:sz="4" w:space="0"/>
              <w:right w:val="single" w:color="000000" w:sz="4" w:space="0"/>
            </w:tcBorders>
            <w:vAlign w:val="center"/>
          </w:tcPr>
          <w:p w14:paraId="7F39936C">
            <w:pPr>
              <w:snapToGrid w:val="0"/>
              <w:spacing w:line="360" w:lineRule="auto"/>
              <w:rPr>
                <w:rFonts w:hint="eastAsia" w:ascii="宋体" w:hAnsi="宋体" w:cs="宋体"/>
                <w:szCs w:val="21"/>
                <w:highlight w:val="none"/>
              </w:rPr>
            </w:pPr>
          </w:p>
        </w:tc>
      </w:tr>
    </w:tbl>
    <w:p w14:paraId="59E375A9">
      <w:pPr>
        <w:spacing w:line="400" w:lineRule="exact"/>
        <w:rPr>
          <w:rFonts w:hint="eastAsia" w:ascii="宋体" w:hAnsi="宋体" w:cs="宋体"/>
          <w:sz w:val="24"/>
          <w:highlight w:val="none"/>
        </w:rPr>
      </w:pPr>
      <w:r>
        <w:rPr>
          <w:rFonts w:hint="eastAsia" w:ascii="宋体" w:hAnsi="宋体" w:cs="宋体"/>
          <w:sz w:val="24"/>
          <w:highlight w:val="none"/>
        </w:rPr>
        <w:t>注：应附合同或中标通知书复印件。</w:t>
      </w:r>
    </w:p>
    <w:p w14:paraId="0625BF65">
      <w:pPr>
        <w:spacing w:line="400" w:lineRule="exact"/>
        <w:rPr>
          <w:rFonts w:hint="eastAsia" w:ascii="宋体" w:hAnsi="宋体" w:cs="宋体"/>
          <w:sz w:val="24"/>
          <w:highlight w:val="none"/>
        </w:rPr>
      </w:pPr>
      <w:r>
        <w:rPr>
          <w:rFonts w:hint="eastAsia" w:ascii="宋体" w:hAnsi="宋体" w:cs="宋体"/>
          <w:sz w:val="24"/>
          <w:highlight w:val="none"/>
        </w:rPr>
        <w:t xml:space="preserve">    近三年指：2023年-至今。</w:t>
      </w:r>
    </w:p>
    <w:p w14:paraId="712C47DA">
      <w:pPr>
        <w:spacing w:line="400" w:lineRule="exact"/>
        <w:jc w:val="center"/>
        <w:rPr>
          <w:rFonts w:hint="eastAsia"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项目配备人员</w:t>
      </w:r>
    </w:p>
    <w:tbl>
      <w:tblPr>
        <w:tblStyle w:val="6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051"/>
        <w:gridCol w:w="669"/>
        <w:gridCol w:w="855"/>
        <w:gridCol w:w="705"/>
        <w:gridCol w:w="1200"/>
        <w:gridCol w:w="784"/>
        <w:gridCol w:w="870"/>
        <w:gridCol w:w="1389"/>
      </w:tblGrid>
      <w:tr w14:paraId="15ADB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66" w:type="dxa"/>
            <w:tcBorders>
              <w:top w:val="single" w:color="auto" w:sz="8" w:space="0"/>
              <w:left w:val="single" w:color="auto" w:sz="8" w:space="0"/>
              <w:bottom w:val="single" w:color="auto" w:sz="4" w:space="0"/>
              <w:right w:val="single" w:color="auto" w:sz="4" w:space="0"/>
            </w:tcBorders>
            <w:vAlign w:val="center"/>
          </w:tcPr>
          <w:p w14:paraId="4ACD5EF2">
            <w:pPr>
              <w:autoSpaceDE w:val="0"/>
              <w:autoSpaceDN w:val="0"/>
              <w:adjustRightInd w:val="0"/>
              <w:jc w:val="center"/>
              <w:rPr>
                <w:rFonts w:hint="eastAsia" w:ascii="宋体" w:hAnsi="宋体" w:cs="宋体"/>
                <w:sz w:val="24"/>
                <w:highlight w:val="none"/>
              </w:rPr>
            </w:pPr>
            <w:r>
              <w:rPr>
                <w:rFonts w:hint="eastAsia" w:ascii="宋体" w:hAnsi="宋体" w:cs="宋体"/>
                <w:sz w:val="24"/>
                <w:highlight w:val="none"/>
              </w:rPr>
              <w:t>序号</w:t>
            </w:r>
          </w:p>
        </w:tc>
        <w:tc>
          <w:tcPr>
            <w:tcW w:w="1051" w:type="dxa"/>
            <w:tcBorders>
              <w:top w:val="single" w:color="auto" w:sz="8" w:space="0"/>
              <w:left w:val="single" w:color="auto" w:sz="4" w:space="0"/>
              <w:bottom w:val="single" w:color="auto" w:sz="4" w:space="0"/>
              <w:right w:val="single" w:color="auto" w:sz="4" w:space="0"/>
            </w:tcBorders>
            <w:vAlign w:val="center"/>
          </w:tcPr>
          <w:p w14:paraId="43C0415B">
            <w:pPr>
              <w:autoSpaceDE w:val="0"/>
              <w:autoSpaceDN w:val="0"/>
              <w:adjustRightInd w:val="0"/>
              <w:jc w:val="center"/>
              <w:rPr>
                <w:rFonts w:hint="eastAsia" w:ascii="宋体" w:hAnsi="宋体" w:cs="宋体"/>
                <w:sz w:val="24"/>
                <w:highlight w:val="none"/>
              </w:rPr>
            </w:pPr>
            <w:r>
              <w:rPr>
                <w:rFonts w:hint="eastAsia" w:ascii="宋体" w:hAnsi="宋体" w:cs="宋体"/>
                <w:sz w:val="24"/>
                <w:highlight w:val="none"/>
              </w:rPr>
              <w:t>姓名</w:t>
            </w:r>
          </w:p>
        </w:tc>
        <w:tc>
          <w:tcPr>
            <w:tcW w:w="669" w:type="dxa"/>
            <w:tcBorders>
              <w:top w:val="single" w:color="auto" w:sz="8" w:space="0"/>
              <w:left w:val="single" w:color="auto" w:sz="4" w:space="0"/>
              <w:bottom w:val="single" w:color="auto" w:sz="4" w:space="0"/>
              <w:right w:val="single" w:color="auto" w:sz="4" w:space="0"/>
            </w:tcBorders>
            <w:vAlign w:val="center"/>
          </w:tcPr>
          <w:p w14:paraId="419818EC">
            <w:pPr>
              <w:autoSpaceDE w:val="0"/>
              <w:autoSpaceDN w:val="0"/>
              <w:adjustRightInd w:val="0"/>
              <w:jc w:val="center"/>
              <w:rPr>
                <w:rFonts w:hint="eastAsia" w:ascii="宋体" w:hAnsi="宋体" w:cs="宋体"/>
                <w:sz w:val="24"/>
                <w:highlight w:val="none"/>
              </w:rPr>
            </w:pPr>
            <w:r>
              <w:rPr>
                <w:rFonts w:hint="eastAsia" w:ascii="宋体" w:hAnsi="宋体" w:cs="宋体"/>
                <w:sz w:val="24"/>
                <w:highlight w:val="none"/>
              </w:rPr>
              <w:t>性别</w:t>
            </w:r>
          </w:p>
        </w:tc>
        <w:tc>
          <w:tcPr>
            <w:tcW w:w="855" w:type="dxa"/>
            <w:tcBorders>
              <w:top w:val="single" w:color="auto" w:sz="8" w:space="0"/>
              <w:left w:val="single" w:color="auto" w:sz="4" w:space="0"/>
              <w:bottom w:val="single" w:color="auto" w:sz="4" w:space="0"/>
              <w:right w:val="single" w:color="auto" w:sz="4" w:space="0"/>
            </w:tcBorders>
            <w:vAlign w:val="center"/>
          </w:tcPr>
          <w:p w14:paraId="0300FFE9">
            <w:pPr>
              <w:autoSpaceDE w:val="0"/>
              <w:autoSpaceDN w:val="0"/>
              <w:adjustRightInd w:val="0"/>
              <w:jc w:val="center"/>
              <w:rPr>
                <w:rFonts w:hint="eastAsia" w:ascii="宋体" w:hAnsi="宋体" w:cs="宋体"/>
                <w:sz w:val="24"/>
                <w:highlight w:val="none"/>
              </w:rPr>
            </w:pPr>
            <w:r>
              <w:rPr>
                <w:rFonts w:hint="eastAsia" w:ascii="宋体" w:hAnsi="宋体" w:cs="宋体"/>
                <w:sz w:val="24"/>
                <w:highlight w:val="none"/>
              </w:rPr>
              <w:t>年龄</w:t>
            </w:r>
          </w:p>
        </w:tc>
        <w:tc>
          <w:tcPr>
            <w:tcW w:w="705" w:type="dxa"/>
            <w:tcBorders>
              <w:top w:val="single" w:color="auto" w:sz="8" w:space="0"/>
              <w:left w:val="single" w:color="auto" w:sz="4" w:space="0"/>
              <w:bottom w:val="single" w:color="auto" w:sz="4" w:space="0"/>
              <w:right w:val="single" w:color="auto" w:sz="4" w:space="0"/>
            </w:tcBorders>
            <w:vAlign w:val="center"/>
          </w:tcPr>
          <w:p w14:paraId="58664FE1">
            <w:pPr>
              <w:autoSpaceDE w:val="0"/>
              <w:autoSpaceDN w:val="0"/>
              <w:adjustRightInd w:val="0"/>
              <w:jc w:val="center"/>
              <w:rPr>
                <w:rFonts w:hint="eastAsia" w:ascii="宋体" w:hAnsi="宋体" w:cs="宋体"/>
                <w:sz w:val="24"/>
                <w:highlight w:val="none"/>
              </w:rPr>
            </w:pPr>
            <w:r>
              <w:rPr>
                <w:rFonts w:hint="eastAsia" w:ascii="宋体" w:hAnsi="宋体" w:cs="宋体"/>
                <w:sz w:val="24"/>
                <w:highlight w:val="none"/>
              </w:rPr>
              <w:t>学历</w:t>
            </w:r>
          </w:p>
        </w:tc>
        <w:tc>
          <w:tcPr>
            <w:tcW w:w="1200" w:type="dxa"/>
            <w:tcBorders>
              <w:top w:val="single" w:color="auto" w:sz="8" w:space="0"/>
              <w:left w:val="single" w:color="auto" w:sz="4" w:space="0"/>
              <w:bottom w:val="single" w:color="auto" w:sz="4" w:space="0"/>
              <w:right w:val="single" w:color="auto" w:sz="4" w:space="0"/>
            </w:tcBorders>
            <w:vAlign w:val="center"/>
          </w:tcPr>
          <w:p w14:paraId="68135A75">
            <w:pPr>
              <w:autoSpaceDE w:val="0"/>
              <w:autoSpaceDN w:val="0"/>
              <w:adjustRightInd w:val="0"/>
              <w:jc w:val="center"/>
              <w:rPr>
                <w:rFonts w:hint="eastAsia" w:ascii="宋体" w:hAnsi="宋体" w:cs="宋体"/>
                <w:sz w:val="24"/>
                <w:highlight w:val="none"/>
              </w:rPr>
            </w:pPr>
            <w:r>
              <w:rPr>
                <w:rFonts w:hint="eastAsia" w:ascii="宋体" w:hAnsi="宋体" w:cs="宋体"/>
                <w:sz w:val="24"/>
                <w:highlight w:val="none"/>
              </w:rPr>
              <w:t>职称/资格</w:t>
            </w:r>
          </w:p>
        </w:tc>
        <w:tc>
          <w:tcPr>
            <w:tcW w:w="784" w:type="dxa"/>
            <w:tcBorders>
              <w:top w:val="single" w:color="auto" w:sz="8" w:space="0"/>
              <w:left w:val="single" w:color="auto" w:sz="4" w:space="0"/>
              <w:bottom w:val="single" w:color="auto" w:sz="4" w:space="0"/>
              <w:right w:val="single" w:color="auto" w:sz="4" w:space="0"/>
            </w:tcBorders>
            <w:vAlign w:val="center"/>
          </w:tcPr>
          <w:p w14:paraId="498224AD">
            <w:pPr>
              <w:autoSpaceDE w:val="0"/>
              <w:autoSpaceDN w:val="0"/>
              <w:adjustRightInd w:val="0"/>
              <w:jc w:val="center"/>
              <w:rPr>
                <w:rFonts w:hint="eastAsia" w:ascii="宋体" w:hAnsi="宋体" w:cs="宋体"/>
                <w:sz w:val="24"/>
                <w:highlight w:val="none"/>
              </w:rPr>
            </w:pPr>
            <w:r>
              <w:rPr>
                <w:rFonts w:hint="eastAsia" w:ascii="宋体" w:hAnsi="宋体" w:cs="宋体"/>
                <w:sz w:val="24"/>
                <w:highlight w:val="none"/>
              </w:rPr>
              <w:t>专业</w:t>
            </w:r>
          </w:p>
        </w:tc>
        <w:tc>
          <w:tcPr>
            <w:tcW w:w="870" w:type="dxa"/>
            <w:tcBorders>
              <w:top w:val="single" w:color="auto" w:sz="8" w:space="0"/>
              <w:left w:val="single" w:color="auto" w:sz="4" w:space="0"/>
              <w:bottom w:val="single" w:color="auto" w:sz="4" w:space="0"/>
              <w:right w:val="single" w:color="auto" w:sz="4" w:space="0"/>
            </w:tcBorders>
            <w:vAlign w:val="center"/>
          </w:tcPr>
          <w:p w14:paraId="20C5E973">
            <w:pPr>
              <w:autoSpaceDE w:val="0"/>
              <w:autoSpaceDN w:val="0"/>
              <w:adjustRightInd w:val="0"/>
              <w:jc w:val="center"/>
              <w:rPr>
                <w:rFonts w:hint="eastAsia" w:ascii="宋体" w:hAnsi="宋体" w:cs="宋体"/>
                <w:sz w:val="24"/>
                <w:highlight w:val="none"/>
              </w:rPr>
            </w:pPr>
            <w:r>
              <w:rPr>
                <w:rFonts w:hint="eastAsia" w:ascii="宋体" w:hAnsi="宋体" w:cs="宋体"/>
                <w:sz w:val="24"/>
                <w:highlight w:val="none"/>
              </w:rPr>
              <w:t>经验</w:t>
            </w:r>
          </w:p>
          <w:p w14:paraId="6399AA21">
            <w:pPr>
              <w:autoSpaceDE w:val="0"/>
              <w:autoSpaceDN w:val="0"/>
              <w:adjustRightInd w:val="0"/>
              <w:jc w:val="center"/>
              <w:rPr>
                <w:rFonts w:hint="eastAsia" w:ascii="宋体" w:hAnsi="宋体" w:cs="宋体"/>
                <w:sz w:val="24"/>
                <w:highlight w:val="none"/>
              </w:rPr>
            </w:pPr>
            <w:r>
              <w:rPr>
                <w:rFonts w:hint="eastAsia" w:ascii="宋体" w:hAnsi="宋体" w:cs="宋体"/>
                <w:sz w:val="24"/>
                <w:highlight w:val="none"/>
              </w:rPr>
              <w:t>年限</w:t>
            </w:r>
          </w:p>
        </w:tc>
        <w:tc>
          <w:tcPr>
            <w:tcW w:w="1389" w:type="dxa"/>
            <w:tcBorders>
              <w:top w:val="single" w:color="auto" w:sz="8" w:space="0"/>
              <w:left w:val="single" w:color="auto" w:sz="4" w:space="0"/>
              <w:bottom w:val="single" w:color="auto" w:sz="4" w:space="0"/>
              <w:right w:val="single" w:color="auto" w:sz="8" w:space="0"/>
            </w:tcBorders>
            <w:vAlign w:val="center"/>
          </w:tcPr>
          <w:p w14:paraId="1920AD86">
            <w:pPr>
              <w:autoSpaceDE w:val="0"/>
              <w:autoSpaceDN w:val="0"/>
              <w:adjustRightInd w:val="0"/>
              <w:jc w:val="center"/>
              <w:rPr>
                <w:rFonts w:hint="eastAsia" w:ascii="宋体" w:hAnsi="宋体" w:cs="宋体"/>
                <w:sz w:val="24"/>
                <w:highlight w:val="none"/>
              </w:rPr>
            </w:pPr>
            <w:r>
              <w:rPr>
                <w:rFonts w:hint="eastAsia" w:ascii="宋体" w:hAnsi="宋体" w:cs="宋体"/>
                <w:sz w:val="24"/>
                <w:highlight w:val="none"/>
              </w:rPr>
              <w:t>在本项目中担任职务</w:t>
            </w:r>
          </w:p>
        </w:tc>
      </w:tr>
      <w:tr w14:paraId="0A5ECC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66" w:type="dxa"/>
            <w:tcBorders>
              <w:top w:val="single" w:color="auto" w:sz="4" w:space="0"/>
              <w:left w:val="single" w:color="auto" w:sz="8" w:space="0"/>
              <w:bottom w:val="single" w:color="auto" w:sz="4" w:space="0"/>
              <w:right w:val="single" w:color="auto" w:sz="4" w:space="0"/>
            </w:tcBorders>
            <w:vAlign w:val="center"/>
          </w:tcPr>
          <w:p w14:paraId="449E6414">
            <w:pPr>
              <w:pStyle w:val="385"/>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1051" w:type="dxa"/>
            <w:tcBorders>
              <w:top w:val="single" w:color="auto" w:sz="4" w:space="0"/>
              <w:left w:val="single" w:color="auto" w:sz="4" w:space="0"/>
              <w:bottom w:val="single" w:color="auto" w:sz="4" w:space="0"/>
              <w:right w:val="single" w:color="auto" w:sz="4" w:space="0"/>
            </w:tcBorders>
            <w:vAlign w:val="center"/>
          </w:tcPr>
          <w:p w14:paraId="0B722684">
            <w:pPr>
              <w:pStyle w:val="385"/>
              <w:rPr>
                <w:rFonts w:hint="eastAsia" w:ascii="宋体" w:hAnsi="宋体" w:cs="宋体"/>
                <w:sz w:val="24"/>
                <w:szCs w:val="24"/>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353C41DD">
            <w:pPr>
              <w:pStyle w:val="385"/>
              <w:rPr>
                <w:rFonts w:hint="eastAsia"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63B77FB1">
            <w:pPr>
              <w:pStyle w:val="385"/>
              <w:rPr>
                <w:rFonts w:hint="eastAsia" w:ascii="宋体" w:hAnsi="宋体" w:cs="宋体"/>
                <w:sz w:val="24"/>
                <w:szCs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11AAA34A">
            <w:pPr>
              <w:pStyle w:val="385"/>
              <w:rPr>
                <w:rFonts w:hint="eastAsia" w:ascii="宋体" w:hAnsi="宋体" w:cs="宋体"/>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5A46F645">
            <w:pPr>
              <w:pStyle w:val="385"/>
              <w:rPr>
                <w:rFonts w:hint="eastAsia" w:ascii="宋体" w:hAnsi="宋体" w:cs="宋体"/>
                <w:sz w:val="24"/>
                <w:szCs w:val="24"/>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6F628B3B">
            <w:pPr>
              <w:pStyle w:val="385"/>
              <w:rPr>
                <w:rFonts w:hint="eastAsia" w:ascii="宋体" w:hAnsi="宋体" w:cs="宋体"/>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3284524B">
            <w:pPr>
              <w:pStyle w:val="385"/>
              <w:rPr>
                <w:rFonts w:hint="eastAsia" w:ascii="宋体" w:hAnsi="宋体" w:cs="宋体"/>
                <w:sz w:val="24"/>
                <w:szCs w:val="24"/>
                <w:highlight w:val="none"/>
              </w:rPr>
            </w:pPr>
          </w:p>
        </w:tc>
        <w:tc>
          <w:tcPr>
            <w:tcW w:w="1389" w:type="dxa"/>
            <w:tcBorders>
              <w:top w:val="single" w:color="auto" w:sz="4" w:space="0"/>
              <w:left w:val="single" w:color="auto" w:sz="4" w:space="0"/>
              <w:bottom w:val="single" w:color="auto" w:sz="4" w:space="0"/>
              <w:right w:val="single" w:color="auto" w:sz="8" w:space="0"/>
            </w:tcBorders>
            <w:vAlign w:val="center"/>
          </w:tcPr>
          <w:p w14:paraId="1955C477">
            <w:pPr>
              <w:pStyle w:val="385"/>
              <w:rPr>
                <w:rFonts w:hint="eastAsia" w:ascii="宋体" w:hAnsi="宋体" w:cs="宋体"/>
                <w:sz w:val="24"/>
                <w:szCs w:val="24"/>
                <w:highlight w:val="none"/>
              </w:rPr>
            </w:pPr>
          </w:p>
        </w:tc>
      </w:tr>
      <w:tr w14:paraId="79F7D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6" w:type="dxa"/>
            <w:tcBorders>
              <w:top w:val="single" w:color="auto" w:sz="4" w:space="0"/>
              <w:left w:val="single" w:color="auto" w:sz="8" w:space="0"/>
              <w:bottom w:val="single" w:color="auto" w:sz="4" w:space="0"/>
              <w:right w:val="single" w:color="auto" w:sz="4" w:space="0"/>
            </w:tcBorders>
            <w:vAlign w:val="center"/>
          </w:tcPr>
          <w:p w14:paraId="71C782E9">
            <w:pPr>
              <w:pStyle w:val="385"/>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1051" w:type="dxa"/>
            <w:tcBorders>
              <w:top w:val="single" w:color="auto" w:sz="4" w:space="0"/>
              <w:left w:val="single" w:color="auto" w:sz="4" w:space="0"/>
              <w:bottom w:val="single" w:color="auto" w:sz="4" w:space="0"/>
              <w:right w:val="single" w:color="auto" w:sz="4" w:space="0"/>
            </w:tcBorders>
            <w:vAlign w:val="center"/>
          </w:tcPr>
          <w:p w14:paraId="0DF62394">
            <w:pPr>
              <w:pStyle w:val="385"/>
              <w:rPr>
                <w:rFonts w:hint="eastAsia" w:ascii="宋体" w:hAnsi="宋体" w:cs="宋体"/>
                <w:sz w:val="24"/>
                <w:szCs w:val="24"/>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36BF8CDA">
            <w:pPr>
              <w:pStyle w:val="385"/>
              <w:rPr>
                <w:rFonts w:hint="eastAsia"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6D8B67DA">
            <w:pPr>
              <w:pStyle w:val="385"/>
              <w:rPr>
                <w:rFonts w:hint="eastAsia" w:ascii="宋体" w:hAnsi="宋体" w:cs="宋体"/>
                <w:sz w:val="24"/>
                <w:szCs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181BFC2D">
            <w:pPr>
              <w:pStyle w:val="385"/>
              <w:rPr>
                <w:rFonts w:hint="eastAsia" w:ascii="宋体" w:hAnsi="宋体" w:cs="宋体"/>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04A60612">
            <w:pPr>
              <w:pStyle w:val="385"/>
              <w:rPr>
                <w:rFonts w:hint="eastAsia" w:ascii="宋体" w:hAnsi="宋体" w:cs="宋体"/>
                <w:sz w:val="24"/>
                <w:szCs w:val="24"/>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70438B19">
            <w:pPr>
              <w:pStyle w:val="385"/>
              <w:rPr>
                <w:rFonts w:hint="eastAsia" w:ascii="宋体" w:hAnsi="宋体" w:cs="宋体"/>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6A3C1E83">
            <w:pPr>
              <w:pStyle w:val="385"/>
              <w:rPr>
                <w:rFonts w:hint="eastAsia" w:ascii="宋体" w:hAnsi="宋体" w:cs="宋体"/>
                <w:sz w:val="24"/>
                <w:szCs w:val="24"/>
                <w:highlight w:val="none"/>
              </w:rPr>
            </w:pPr>
          </w:p>
        </w:tc>
        <w:tc>
          <w:tcPr>
            <w:tcW w:w="1389" w:type="dxa"/>
            <w:tcBorders>
              <w:top w:val="single" w:color="auto" w:sz="4" w:space="0"/>
              <w:left w:val="single" w:color="auto" w:sz="4" w:space="0"/>
              <w:bottom w:val="single" w:color="auto" w:sz="4" w:space="0"/>
              <w:right w:val="single" w:color="auto" w:sz="8" w:space="0"/>
            </w:tcBorders>
            <w:vAlign w:val="center"/>
          </w:tcPr>
          <w:p w14:paraId="1F6B7F1A">
            <w:pPr>
              <w:pStyle w:val="385"/>
              <w:rPr>
                <w:rFonts w:hint="eastAsia" w:ascii="宋体" w:hAnsi="宋体" w:cs="宋体"/>
                <w:sz w:val="24"/>
                <w:szCs w:val="24"/>
                <w:highlight w:val="none"/>
              </w:rPr>
            </w:pPr>
          </w:p>
        </w:tc>
      </w:tr>
      <w:tr w14:paraId="66202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6" w:type="dxa"/>
            <w:tcBorders>
              <w:top w:val="single" w:color="auto" w:sz="4" w:space="0"/>
              <w:left w:val="single" w:color="auto" w:sz="8" w:space="0"/>
              <w:bottom w:val="single" w:color="auto" w:sz="4" w:space="0"/>
              <w:right w:val="single" w:color="auto" w:sz="4" w:space="0"/>
            </w:tcBorders>
            <w:vAlign w:val="center"/>
          </w:tcPr>
          <w:p w14:paraId="34100EF2">
            <w:pPr>
              <w:pStyle w:val="385"/>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1051" w:type="dxa"/>
            <w:tcBorders>
              <w:top w:val="single" w:color="auto" w:sz="4" w:space="0"/>
              <w:left w:val="single" w:color="auto" w:sz="4" w:space="0"/>
              <w:bottom w:val="single" w:color="auto" w:sz="4" w:space="0"/>
              <w:right w:val="single" w:color="auto" w:sz="4" w:space="0"/>
            </w:tcBorders>
            <w:vAlign w:val="center"/>
          </w:tcPr>
          <w:p w14:paraId="671A231E">
            <w:pPr>
              <w:pStyle w:val="385"/>
              <w:rPr>
                <w:rFonts w:hint="eastAsia" w:ascii="宋体" w:hAnsi="宋体" w:cs="宋体"/>
                <w:sz w:val="24"/>
                <w:szCs w:val="24"/>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70C2217E">
            <w:pPr>
              <w:pStyle w:val="385"/>
              <w:rPr>
                <w:rFonts w:hint="eastAsia"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628BD8AE">
            <w:pPr>
              <w:pStyle w:val="385"/>
              <w:rPr>
                <w:rFonts w:hint="eastAsia" w:ascii="宋体" w:hAnsi="宋体" w:cs="宋体"/>
                <w:sz w:val="24"/>
                <w:szCs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2A04796F">
            <w:pPr>
              <w:pStyle w:val="385"/>
              <w:rPr>
                <w:rFonts w:hint="eastAsia" w:ascii="宋体" w:hAnsi="宋体" w:cs="宋体"/>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08B35239">
            <w:pPr>
              <w:pStyle w:val="385"/>
              <w:rPr>
                <w:rFonts w:hint="eastAsia" w:ascii="宋体" w:hAnsi="宋体" w:cs="宋体"/>
                <w:sz w:val="24"/>
                <w:szCs w:val="24"/>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6265FF57">
            <w:pPr>
              <w:pStyle w:val="385"/>
              <w:rPr>
                <w:rFonts w:hint="eastAsia" w:ascii="宋体" w:hAnsi="宋体" w:cs="宋体"/>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7E019401">
            <w:pPr>
              <w:pStyle w:val="385"/>
              <w:rPr>
                <w:rFonts w:hint="eastAsia" w:ascii="宋体" w:hAnsi="宋体" w:cs="宋体"/>
                <w:sz w:val="24"/>
                <w:szCs w:val="24"/>
                <w:highlight w:val="none"/>
              </w:rPr>
            </w:pPr>
          </w:p>
        </w:tc>
        <w:tc>
          <w:tcPr>
            <w:tcW w:w="1389" w:type="dxa"/>
            <w:tcBorders>
              <w:top w:val="single" w:color="auto" w:sz="4" w:space="0"/>
              <w:left w:val="single" w:color="auto" w:sz="4" w:space="0"/>
              <w:bottom w:val="single" w:color="auto" w:sz="4" w:space="0"/>
              <w:right w:val="single" w:color="auto" w:sz="8" w:space="0"/>
            </w:tcBorders>
            <w:vAlign w:val="center"/>
          </w:tcPr>
          <w:p w14:paraId="1D97DDAE">
            <w:pPr>
              <w:pStyle w:val="385"/>
              <w:rPr>
                <w:rFonts w:hint="eastAsia" w:ascii="宋体" w:hAnsi="宋体" w:cs="宋体"/>
                <w:sz w:val="24"/>
                <w:szCs w:val="24"/>
                <w:highlight w:val="none"/>
              </w:rPr>
            </w:pPr>
          </w:p>
        </w:tc>
      </w:tr>
      <w:tr w14:paraId="78C7E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tcBorders>
              <w:top w:val="single" w:color="auto" w:sz="4" w:space="0"/>
              <w:left w:val="single" w:color="auto" w:sz="8" w:space="0"/>
              <w:bottom w:val="single" w:color="auto" w:sz="4" w:space="0"/>
              <w:right w:val="single" w:color="auto" w:sz="4" w:space="0"/>
            </w:tcBorders>
            <w:vAlign w:val="center"/>
          </w:tcPr>
          <w:p w14:paraId="7A2B8065">
            <w:pPr>
              <w:pStyle w:val="385"/>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1051" w:type="dxa"/>
            <w:tcBorders>
              <w:top w:val="single" w:color="auto" w:sz="4" w:space="0"/>
              <w:left w:val="single" w:color="auto" w:sz="4" w:space="0"/>
              <w:bottom w:val="single" w:color="auto" w:sz="4" w:space="0"/>
              <w:right w:val="single" w:color="auto" w:sz="4" w:space="0"/>
            </w:tcBorders>
            <w:vAlign w:val="center"/>
          </w:tcPr>
          <w:p w14:paraId="71E99F72">
            <w:pPr>
              <w:pStyle w:val="385"/>
              <w:rPr>
                <w:rFonts w:hint="eastAsia" w:ascii="宋体" w:hAnsi="宋体" w:cs="宋体"/>
                <w:sz w:val="24"/>
                <w:szCs w:val="24"/>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2A96C2E4">
            <w:pPr>
              <w:pStyle w:val="385"/>
              <w:rPr>
                <w:rFonts w:hint="eastAsia"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74BF5CA6">
            <w:pPr>
              <w:pStyle w:val="385"/>
              <w:rPr>
                <w:rFonts w:hint="eastAsia" w:ascii="宋体" w:hAnsi="宋体" w:cs="宋体"/>
                <w:sz w:val="24"/>
                <w:szCs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6C523281">
            <w:pPr>
              <w:pStyle w:val="385"/>
              <w:rPr>
                <w:rFonts w:hint="eastAsia" w:ascii="宋体" w:hAnsi="宋体" w:cs="宋体"/>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286875C7">
            <w:pPr>
              <w:pStyle w:val="385"/>
              <w:rPr>
                <w:rFonts w:hint="eastAsia" w:ascii="宋体" w:hAnsi="宋体" w:cs="宋体"/>
                <w:sz w:val="24"/>
                <w:szCs w:val="24"/>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4A7B10F5">
            <w:pPr>
              <w:pStyle w:val="385"/>
              <w:rPr>
                <w:rFonts w:hint="eastAsia" w:ascii="宋体" w:hAnsi="宋体" w:cs="宋体"/>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6E4673A6">
            <w:pPr>
              <w:pStyle w:val="385"/>
              <w:rPr>
                <w:rFonts w:hint="eastAsia" w:ascii="宋体" w:hAnsi="宋体" w:cs="宋体"/>
                <w:sz w:val="24"/>
                <w:szCs w:val="24"/>
                <w:highlight w:val="none"/>
              </w:rPr>
            </w:pPr>
          </w:p>
        </w:tc>
        <w:tc>
          <w:tcPr>
            <w:tcW w:w="1389" w:type="dxa"/>
            <w:tcBorders>
              <w:top w:val="single" w:color="auto" w:sz="4" w:space="0"/>
              <w:left w:val="single" w:color="auto" w:sz="4" w:space="0"/>
              <w:bottom w:val="single" w:color="auto" w:sz="4" w:space="0"/>
              <w:right w:val="single" w:color="auto" w:sz="8" w:space="0"/>
            </w:tcBorders>
            <w:vAlign w:val="center"/>
          </w:tcPr>
          <w:p w14:paraId="1FCF8FAF">
            <w:pPr>
              <w:pStyle w:val="385"/>
              <w:rPr>
                <w:rFonts w:hint="eastAsia" w:ascii="宋体" w:hAnsi="宋体" w:cs="宋体"/>
                <w:sz w:val="24"/>
                <w:szCs w:val="24"/>
                <w:highlight w:val="none"/>
              </w:rPr>
            </w:pPr>
          </w:p>
        </w:tc>
      </w:tr>
      <w:tr w14:paraId="564261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tcBorders>
              <w:top w:val="single" w:color="auto" w:sz="4" w:space="0"/>
              <w:left w:val="single" w:color="auto" w:sz="8" w:space="0"/>
              <w:bottom w:val="single" w:color="auto" w:sz="4" w:space="0"/>
              <w:right w:val="single" w:color="auto" w:sz="4" w:space="0"/>
            </w:tcBorders>
            <w:vAlign w:val="center"/>
          </w:tcPr>
          <w:p w14:paraId="27136296">
            <w:pPr>
              <w:pStyle w:val="385"/>
              <w:jc w:val="center"/>
              <w:rPr>
                <w:rFonts w:hint="eastAsia" w:ascii="宋体" w:hAnsi="宋体" w:cs="宋体"/>
                <w:sz w:val="24"/>
                <w:szCs w:val="24"/>
                <w:highlight w:val="none"/>
              </w:rPr>
            </w:pPr>
            <w:r>
              <w:rPr>
                <w:rFonts w:hint="eastAsia" w:ascii="宋体" w:hAnsi="宋体" w:cs="宋体"/>
                <w:sz w:val="24"/>
                <w:szCs w:val="24"/>
                <w:highlight w:val="none"/>
              </w:rPr>
              <w:t>5</w:t>
            </w:r>
          </w:p>
        </w:tc>
        <w:tc>
          <w:tcPr>
            <w:tcW w:w="1051" w:type="dxa"/>
            <w:tcBorders>
              <w:top w:val="single" w:color="auto" w:sz="4" w:space="0"/>
              <w:left w:val="single" w:color="auto" w:sz="4" w:space="0"/>
              <w:bottom w:val="single" w:color="auto" w:sz="4" w:space="0"/>
              <w:right w:val="single" w:color="auto" w:sz="4" w:space="0"/>
            </w:tcBorders>
            <w:vAlign w:val="center"/>
          </w:tcPr>
          <w:p w14:paraId="2DB9DA8D">
            <w:pPr>
              <w:pStyle w:val="385"/>
              <w:rPr>
                <w:rFonts w:hint="eastAsia" w:ascii="宋体" w:hAnsi="宋体" w:cs="宋体"/>
                <w:sz w:val="24"/>
                <w:szCs w:val="24"/>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4E0226B1">
            <w:pPr>
              <w:pStyle w:val="385"/>
              <w:rPr>
                <w:rFonts w:hint="eastAsia"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43933B7A">
            <w:pPr>
              <w:pStyle w:val="385"/>
              <w:rPr>
                <w:rFonts w:hint="eastAsia" w:ascii="宋体" w:hAnsi="宋体" w:cs="宋体"/>
                <w:sz w:val="24"/>
                <w:szCs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025D95BC">
            <w:pPr>
              <w:pStyle w:val="385"/>
              <w:rPr>
                <w:rFonts w:hint="eastAsia" w:ascii="宋体" w:hAnsi="宋体" w:cs="宋体"/>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5B45FBAD">
            <w:pPr>
              <w:pStyle w:val="385"/>
              <w:rPr>
                <w:rFonts w:hint="eastAsia" w:ascii="宋体" w:hAnsi="宋体" w:cs="宋体"/>
                <w:sz w:val="24"/>
                <w:szCs w:val="24"/>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26D50666">
            <w:pPr>
              <w:pStyle w:val="385"/>
              <w:rPr>
                <w:rFonts w:hint="eastAsia" w:ascii="宋体" w:hAnsi="宋体" w:cs="宋体"/>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55634CC6">
            <w:pPr>
              <w:pStyle w:val="385"/>
              <w:rPr>
                <w:rFonts w:hint="eastAsia" w:ascii="宋体" w:hAnsi="宋体" w:cs="宋体"/>
                <w:sz w:val="24"/>
                <w:szCs w:val="24"/>
                <w:highlight w:val="none"/>
              </w:rPr>
            </w:pPr>
          </w:p>
        </w:tc>
        <w:tc>
          <w:tcPr>
            <w:tcW w:w="1389" w:type="dxa"/>
            <w:tcBorders>
              <w:top w:val="single" w:color="auto" w:sz="4" w:space="0"/>
              <w:left w:val="single" w:color="auto" w:sz="4" w:space="0"/>
              <w:bottom w:val="single" w:color="auto" w:sz="4" w:space="0"/>
              <w:right w:val="single" w:color="auto" w:sz="8" w:space="0"/>
            </w:tcBorders>
            <w:vAlign w:val="center"/>
          </w:tcPr>
          <w:p w14:paraId="5D8519FA">
            <w:pPr>
              <w:pStyle w:val="385"/>
              <w:rPr>
                <w:rFonts w:hint="eastAsia" w:ascii="宋体" w:hAnsi="宋体" w:cs="宋体"/>
                <w:sz w:val="24"/>
                <w:szCs w:val="24"/>
                <w:highlight w:val="none"/>
              </w:rPr>
            </w:pPr>
          </w:p>
        </w:tc>
      </w:tr>
      <w:tr w14:paraId="09E87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tcBorders>
              <w:top w:val="single" w:color="auto" w:sz="4" w:space="0"/>
              <w:left w:val="single" w:color="auto" w:sz="8" w:space="0"/>
              <w:bottom w:val="single" w:color="auto" w:sz="4" w:space="0"/>
              <w:right w:val="single" w:color="auto" w:sz="4" w:space="0"/>
            </w:tcBorders>
            <w:vAlign w:val="center"/>
          </w:tcPr>
          <w:p w14:paraId="4BAA7CEC">
            <w:pPr>
              <w:pStyle w:val="385"/>
              <w:jc w:val="center"/>
              <w:rPr>
                <w:rFonts w:hint="eastAsia" w:ascii="宋体" w:hAnsi="宋体" w:cs="宋体"/>
                <w:sz w:val="24"/>
                <w:szCs w:val="24"/>
                <w:highlight w:val="none"/>
              </w:rPr>
            </w:pPr>
            <w:r>
              <w:rPr>
                <w:rFonts w:hint="eastAsia" w:ascii="宋体" w:hAnsi="宋体" w:cs="宋体"/>
                <w:sz w:val="24"/>
                <w:szCs w:val="24"/>
                <w:highlight w:val="none"/>
              </w:rPr>
              <w:t>6</w:t>
            </w:r>
          </w:p>
        </w:tc>
        <w:tc>
          <w:tcPr>
            <w:tcW w:w="1051" w:type="dxa"/>
            <w:tcBorders>
              <w:top w:val="single" w:color="auto" w:sz="4" w:space="0"/>
              <w:left w:val="single" w:color="auto" w:sz="4" w:space="0"/>
              <w:bottom w:val="single" w:color="auto" w:sz="4" w:space="0"/>
              <w:right w:val="single" w:color="auto" w:sz="4" w:space="0"/>
            </w:tcBorders>
            <w:vAlign w:val="center"/>
          </w:tcPr>
          <w:p w14:paraId="6687375C">
            <w:pPr>
              <w:pStyle w:val="385"/>
              <w:rPr>
                <w:rFonts w:hint="eastAsia" w:ascii="宋体" w:hAnsi="宋体" w:cs="宋体"/>
                <w:sz w:val="24"/>
                <w:szCs w:val="24"/>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6C63A527">
            <w:pPr>
              <w:pStyle w:val="385"/>
              <w:rPr>
                <w:rFonts w:hint="eastAsia"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45C3B61D">
            <w:pPr>
              <w:pStyle w:val="385"/>
              <w:rPr>
                <w:rFonts w:hint="eastAsia" w:ascii="宋体" w:hAnsi="宋体" w:cs="宋体"/>
                <w:sz w:val="24"/>
                <w:szCs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002E5493">
            <w:pPr>
              <w:pStyle w:val="385"/>
              <w:rPr>
                <w:rFonts w:hint="eastAsia" w:ascii="宋体" w:hAnsi="宋体" w:cs="宋体"/>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0C6F3D4F">
            <w:pPr>
              <w:pStyle w:val="385"/>
              <w:rPr>
                <w:rFonts w:hint="eastAsia" w:ascii="宋体" w:hAnsi="宋体" w:cs="宋体"/>
                <w:sz w:val="24"/>
                <w:szCs w:val="24"/>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228FB221">
            <w:pPr>
              <w:pStyle w:val="385"/>
              <w:rPr>
                <w:rFonts w:hint="eastAsia" w:ascii="宋体" w:hAnsi="宋体" w:cs="宋体"/>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7DB16734">
            <w:pPr>
              <w:pStyle w:val="385"/>
              <w:rPr>
                <w:rFonts w:hint="eastAsia" w:ascii="宋体" w:hAnsi="宋体" w:cs="宋体"/>
                <w:sz w:val="24"/>
                <w:szCs w:val="24"/>
                <w:highlight w:val="none"/>
              </w:rPr>
            </w:pPr>
          </w:p>
        </w:tc>
        <w:tc>
          <w:tcPr>
            <w:tcW w:w="1389" w:type="dxa"/>
            <w:tcBorders>
              <w:top w:val="single" w:color="auto" w:sz="4" w:space="0"/>
              <w:left w:val="single" w:color="auto" w:sz="4" w:space="0"/>
              <w:bottom w:val="single" w:color="auto" w:sz="4" w:space="0"/>
              <w:right w:val="single" w:color="auto" w:sz="8" w:space="0"/>
            </w:tcBorders>
            <w:vAlign w:val="center"/>
          </w:tcPr>
          <w:p w14:paraId="19D134EF">
            <w:pPr>
              <w:pStyle w:val="385"/>
              <w:rPr>
                <w:rFonts w:hint="eastAsia" w:ascii="宋体" w:hAnsi="宋体" w:cs="宋体"/>
                <w:sz w:val="24"/>
                <w:szCs w:val="24"/>
                <w:highlight w:val="none"/>
              </w:rPr>
            </w:pPr>
          </w:p>
        </w:tc>
      </w:tr>
      <w:tr w14:paraId="0F394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tcBorders>
              <w:top w:val="single" w:color="auto" w:sz="4" w:space="0"/>
              <w:left w:val="single" w:color="auto" w:sz="8" w:space="0"/>
              <w:bottom w:val="single" w:color="auto" w:sz="4" w:space="0"/>
              <w:right w:val="single" w:color="auto" w:sz="4" w:space="0"/>
            </w:tcBorders>
            <w:vAlign w:val="center"/>
          </w:tcPr>
          <w:p w14:paraId="36ADC459">
            <w:pPr>
              <w:pStyle w:val="385"/>
              <w:jc w:val="center"/>
              <w:rPr>
                <w:rFonts w:hint="eastAsia" w:ascii="宋体" w:hAnsi="宋体" w:cs="宋体"/>
                <w:sz w:val="24"/>
                <w:szCs w:val="24"/>
                <w:highlight w:val="none"/>
              </w:rPr>
            </w:pPr>
            <w:r>
              <w:rPr>
                <w:rFonts w:hint="eastAsia" w:ascii="宋体" w:hAnsi="宋体" w:cs="宋体"/>
                <w:sz w:val="24"/>
                <w:szCs w:val="24"/>
                <w:highlight w:val="none"/>
              </w:rPr>
              <w:t>…</w:t>
            </w:r>
          </w:p>
        </w:tc>
        <w:tc>
          <w:tcPr>
            <w:tcW w:w="1051" w:type="dxa"/>
            <w:tcBorders>
              <w:top w:val="single" w:color="auto" w:sz="4" w:space="0"/>
              <w:left w:val="single" w:color="auto" w:sz="4" w:space="0"/>
              <w:bottom w:val="single" w:color="auto" w:sz="4" w:space="0"/>
              <w:right w:val="single" w:color="auto" w:sz="4" w:space="0"/>
            </w:tcBorders>
            <w:vAlign w:val="center"/>
          </w:tcPr>
          <w:p w14:paraId="435263DF">
            <w:pPr>
              <w:pStyle w:val="385"/>
              <w:rPr>
                <w:rFonts w:hint="eastAsia" w:ascii="宋体" w:hAnsi="宋体" w:cs="宋体"/>
                <w:sz w:val="24"/>
                <w:szCs w:val="24"/>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4ACE3E2C">
            <w:pPr>
              <w:pStyle w:val="385"/>
              <w:rPr>
                <w:rFonts w:hint="eastAsia"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653407DB">
            <w:pPr>
              <w:pStyle w:val="385"/>
              <w:rPr>
                <w:rFonts w:hint="eastAsia" w:ascii="宋体" w:hAnsi="宋体" w:cs="宋体"/>
                <w:sz w:val="24"/>
                <w:szCs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181E4FA7">
            <w:pPr>
              <w:pStyle w:val="385"/>
              <w:rPr>
                <w:rFonts w:hint="eastAsia" w:ascii="宋体" w:hAnsi="宋体" w:cs="宋体"/>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5DE26D24">
            <w:pPr>
              <w:pStyle w:val="385"/>
              <w:rPr>
                <w:rFonts w:hint="eastAsia" w:ascii="宋体" w:hAnsi="宋体" w:cs="宋体"/>
                <w:sz w:val="24"/>
                <w:szCs w:val="24"/>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5281F61D">
            <w:pPr>
              <w:pStyle w:val="385"/>
              <w:rPr>
                <w:rFonts w:hint="eastAsia" w:ascii="宋体" w:hAnsi="宋体" w:cs="宋体"/>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5ECB8FEC">
            <w:pPr>
              <w:pStyle w:val="385"/>
              <w:rPr>
                <w:rFonts w:hint="eastAsia" w:ascii="宋体" w:hAnsi="宋体" w:cs="宋体"/>
                <w:sz w:val="24"/>
                <w:szCs w:val="24"/>
                <w:highlight w:val="none"/>
              </w:rPr>
            </w:pPr>
          </w:p>
        </w:tc>
        <w:tc>
          <w:tcPr>
            <w:tcW w:w="1389" w:type="dxa"/>
            <w:tcBorders>
              <w:top w:val="single" w:color="auto" w:sz="4" w:space="0"/>
              <w:left w:val="single" w:color="auto" w:sz="4" w:space="0"/>
              <w:bottom w:val="single" w:color="auto" w:sz="4" w:space="0"/>
              <w:right w:val="single" w:color="auto" w:sz="8" w:space="0"/>
            </w:tcBorders>
            <w:vAlign w:val="center"/>
          </w:tcPr>
          <w:p w14:paraId="425D4553">
            <w:pPr>
              <w:pStyle w:val="385"/>
              <w:rPr>
                <w:rFonts w:hint="eastAsia" w:ascii="宋体" w:hAnsi="宋体" w:cs="宋体"/>
                <w:sz w:val="24"/>
                <w:szCs w:val="24"/>
                <w:highlight w:val="none"/>
              </w:rPr>
            </w:pPr>
          </w:p>
        </w:tc>
      </w:tr>
      <w:tr w14:paraId="2AAA7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tcBorders>
              <w:top w:val="single" w:color="auto" w:sz="4" w:space="0"/>
              <w:left w:val="single" w:color="auto" w:sz="8" w:space="0"/>
              <w:bottom w:val="single" w:color="auto" w:sz="4" w:space="0"/>
              <w:right w:val="single" w:color="auto" w:sz="4" w:space="0"/>
            </w:tcBorders>
            <w:vAlign w:val="center"/>
          </w:tcPr>
          <w:p w14:paraId="24482C43">
            <w:pPr>
              <w:pStyle w:val="385"/>
              <w:rPr>
                <w:rFonts w:hint="eastAsia" w:ascii="宋体" w:hAnsi="宋体" w:cs="宋体"/>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7FD6C0DB">
            <w:pPr>
              <w:pStyle w:val="385"/>
              <w:rPr>
                <w:rFonts w:hint="eastAsia" w:ascii="宋体" w:hAnsi="宋体" w:cs="宋体"/>
                <w:sz w:val="24"/>
                <w:szCs w:val="24"/>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6CB18C70">
            <w:pPr>
              <w:pStyle w:val="385"/>
              <w:rPr>
                <w:rFonts w:hint="eastAsia"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7265A0B1">
            <w:pPr>
              <w:pStyle w:val="385"/>
              <w:rPr>
                <w:rFonts w:hint="eastAsia" w:ascii="宋体" w:hAnsi="宋体" w:cs="宋体"/>
                <w:sz w:val="24"/>
                <w:szCs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3FD297D1">
            <w:pPr>
              <w:pStyle w:val="385"/>
              <w:rPr>
                <w:rFonts w:hint="eastAsia" w:ascii="宋体" w:hAnsi="宋体" w:cs="宋体"/>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0D170DF6">
            <w:pPr>
              <w:pStyle w:val="385"/>
              <w:rPr>
                <w:rFonts w:hint="eastAsia" w:ascii="宋体" w:hAnsi="宋体" w:cs="宋体"/>
                <w:sz w:val="24"/>
                <w:szCs w:val="24"/>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487F5276">
            <w:pPr>
              <w:pStyle w:val="385"/>
              <w:rPr>
                <w:rFonts w:hint="eastAsia" w:ascii="宋体" w:hAnsi="宋体" w:cs="宋体"/>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578B4644">
            <w:pPr>
              <w:pStyle w:val="385"/>
              <w:rPr>
                <w:rFonts w:hint="eastAsia" w:ascii="宋体" w:hAnsi="宋体" w:cs="宋体"/>
                <w:sz w:val="24"/>
                <w:szCs w:val="24"/>
                <w:highlight w:val="none"/>
              </w:rPr>
            </w:pPr>
          </w:p>
        </w:tc>
        <w:tc>
          <w:tcPr>
            <w:tcW w:w="1389" w:type="dxa"/>
            <w:tcBorders>
              <w:top w:val="single" w:color="auto" w:sz="4" w:space="0"/>
              <w:left w:val="single" w:color="auto" w:sz="4" w:space="0"/>
              <w:bottom w:val="single" w:color="auto" w:sz="4" w:space="0"/>
              <w:right w:val="single" w:color="auto" w:sz="8" w:space="0"/>
            </w:tcBorders>
            <w:vAlign w:val="center"/>
          </w:tcPr>
          <w:p w14:paraId="151390E6">
            <w:pPr>
              <w:pStyle w:val="385"/>
              <w:rPr>
                <w:rFonts w:hint="eastAsia" w:ascii="宋体" w:hAnsi="宋体" w:cs="宋体"/>
                <w:sz w:val="24"/>
                <w:szCs w:val="24"/>
                <w:highlight w:val="none"/>
              </w:rPr>
            </w:pPr>
          </w:p>
        </w:tc>
      </w:tr>
      <w:tr w14:paraId="260A9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tcBorders>
              <w:top w:val="single" w:color="auto" w:sz="4" w:space="0"/>
              <w:left w:val="single" w:color="auto" w:sz="8" w:space="0"/>
              <w:bottom w:val="single" w:color="auto" w:sz="4" w:space="0"/>
              <w:right w:val="single" w:color="auto" w:sz="4" w:space="0"/>
            </w:tcBorders>
            <w:vAlign w:val="center"/>
          </w:tcPr>
          <w:p w14:paraId="68363F79">
            <w:pPr>
              <w:pStyle w:val="385"/>
              <w:rPr>
                <w:rFonts w:hint="eastAsia" w:ascii="宋体" w:hAnsi="宋体" w:cs="宋体"/>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042E0038">
            <w:pPr>
              <w:pStyle w:val="385"/>
              <w:rPr>
                <w:rFonts w:hint="eastAsia" w:ascii="宋体" w:hAnsi="宋体" w:cs="宋体"/>
                <w:sz w:val="24"/>
                <w:szCs w:val="24"/>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73CB1019">
            <w:pPr>
              <w:pStyle w:val="385"/>
              <w:rPr>
                <w:rFonts w:hint="eastAsia"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50359248">
            <w:pPr>
              <w:pStyle w:val="385"/>
              <w:rPr>
                <w:rFonts w:hint="eastAsia" w:ascii="宋体" w:hAnsi="宋体" w:cs="宋体"/>
                <w:sz w:val="24"/>
                <w:szCs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3239B018">
            <w:pPr>
              <w:pStyle w:val="385"/>
              <w:rPr>
                <w:rFonts w:hint="eastAsia" w:ascii="宋体" w:hAnsi="宋体" w:cs="宋体"/>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6A255DAF">
            <w:pPr>
              <w:pStyle w:val="385"/>
              <w:rPr>
                <w:rFonts w:hint="eastAsia" w:ascii="宋体" w:hAnsi="宋体" w:cs="宋体"/>
                <w:sz w:val="24"/>
                <w:szCs w:val="24"/>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36880207">
            <w:pPr>
              <w:pStyle w:val="385"/>
              <w:rPr>
                <w:rFonts w:hint="eastAsia" w:ascii="宋体" w:hAnsi="宋体" w:cs="宋体"/>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1AC29F43">
            <w:pPr>
              <w:pStyle w:val="385"/>
              <w:rPr>
                <w:rFonts w:hint="eastAsia" w:ascii="宋体" w:hAnsi="宋体" w:cs="宋体"/>
                <w:sz w:val="24"/>
                <w:szCs w:val="24"/>
                <w:highlight w:val="none"/>
              </w:rPr>
            </w:pPr>
          </w:p>
        </w:tc>
        <w:tc>
          <w:tcPr>
            <w:tcW w:w="1389" w:type="dxa"/>
            <w:tcBorders>
              <w:top w:val="single" w:color="auto" w:sz="4" w:space="0"/>
              <w:left w:val="single" w:color="auto" w:sz="4" w:space="0"/>
              <w:bottom w:val="single" w:color="auto" w:sz="4" w:space="0"/>
              <w:right w:val="single" w:color="auto" w:sz="8" w:space="0"/>
            </w:tcBorders>
            <w:vAlign w:val="center"/>
          </w:tcPr>
          <w:p w14:paraId="37648337">
            <w:pPr>
              <w:pStyle w:val="385"/>
              <w:rPr>
                <w:rFonts w:hint="eastAsia" w:ascii="宋体" w:hAnsi="宋体" w:cs="宋体"/>
                <w:sz w:val="24"/>
                <w:szCs w:val="24"/>
                <w:highlight w:val="none"/>
              </w:rPr>
            </w:pPr>
          </w:p>
        </w:tc>
      </w:tr>
      <w:tr w14:paraId="30EEE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tcBorders>
              <w:top w:val="single" w:color="auto" w:sz="4" w:space="0"/>
              <w:left w:val="single" w:color="auto" w:sz="8" w:space="0"/>
              <w:bottom w:val="single" w:color="auto" w:sz="4" w:space="0"/>
              <w:right w:val="single" w:color="auto" w:sz="4" w:space="0"/>
            </w:tcBorders>
            <w:vAlign w:val="center"/>
          </w:tcPr>
          <w:p w14:paraId="00943A7A">
            <w:pPr>
              <w:pStyle w:val="385"/>
              <w:rPr>
                <w:rFonts w:hint="eastAsia" w:ascii="宋体" w:hAnsi="宋体" w:cs="宋体"/>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51940E2C">
            <w:pPr>
              <w:pStyle w:val="385"/>
              <w:rPr>
                <w:rFonts w:hint="eastAsia" w:ascii="宋体" w:hAnsi="宋体" w:cs="宋体"/>
                <w:sz w:val="24"/>
                <w:szCs w:val="24"/>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37F07C23">
            <w:pPr>
              <w:pStyle w:val="385"/>
              <w:rPr>
                <w:rFonts w:hint="eastAsia"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1FD71AF7">
            <w:pPr>
              <w:pStyle w:val="385"/>
              <w:rPr>
                <w:rFonts w:hint="eastAsia" w:ascii="宋体" w:hAnsi="宋体" w:cs="宋体"/>
                <w:sz w:val="24"/>
                <w:szCs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1A323DD0">
            <w:pPr>
              <w:pStyle w:val="385"/>
              <w:rPr>
                <w:rFonts w:hint="eastAsia" w:ascii="宋体" w:hAnsi="宋体" w:cs="宋体"/>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147A245D">
            <w:pPr>
              <w:pStyle w:val="385"/>
              <w:rPr>
                <w:rFonts w:hint="eastAsia" w:ascii="宋体" w:hAnsi="宋体" w:cs="宋体"/>
                <w:sz w:val="24"/>
                <w:szCs w:val="24"/>
                <w:highlight w:val="none"/>
              </w:rPr>
            </w:pPr>
          </w:p>
        </w:tc>
        <w:tc>
          <w:tcPr>
            <w:tcW w:w="784" w:type="dxa"/>
            <w:tcBorders>
              <w:top w:val="single" w:color="auto" w:sz="4" w:space="0"/>
              <w:left w:val="single" w:color="auto" w:sz="4" w:space="0"/>
              <w:bottom w:val="single" w:color="auto" w:sz="4" w:space="0"/>
              <w:right w:val="single" w:color="auto" w:sz="4" w:space="0"/>
            </w:tcBorders>
            <w:vAlign w:val="center"/>
          </w:tcPr>
          <w:p w14:paraId="2CD1C86C">
            <w:pPr>
              <w:pStyle w:val="385"/>
              <w:rPr>
                <w:rFonts w:hint="eastAsia" w:ascii="宋体" w:hAnsi="宋体" w:cs="宋体"/>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07029966">
            <w:pPr>
              <w:pStyle w:val="385"/>
              <w:rPr>
                <w:rFonts w:hint="eastAsia" w:ascii="宋体" w:hAnsi="宋体" w:cs="宋体"/>
                <w:sz w:val="24"/>
                <w:szCs w:val="24"/>
                <w:highlight w:val="none"/>
              </w:rPr>
            </w:pPr>
          </w:p>
        </w:tc>
        <w:tc>
          <w:tcPr>
            <w:tcW w:w="1389" w:type="dxa"/>
            <w:tcBorders>
              <w:top w:val="single" w:color="auto" w:sz="4" w:space="0"/>
              <w:left w:val="single" w:color="auto" w:sz="4" w:space="0"/>
              <w:bottom w:val="single" w:color="auto" w:sz="4" w:space="0"/>
              <w:right w:val="single" w:color="auto" w:sz="8" w:space="0"/>
            </w:tcBorders>
            <w:vAlign w:val="center"/>
          </w:tcPr>
          <w:p w14:paraId="09C3A072">
            <w:pPr>
              <w:pStyle w:val="385"/>
              <w:rPr>
                <w:rFonts w:hint="eastAsia" w:ascii="宋体" w:hAnsi="宋体" w:cs="宋体"/>
                <w:sz w:val="24"/>
                <w:szCs w:val="24"/>
                <w:highlight w:val="none"/>
              </w:rPr>
            </w:pPr>
          </w:p>
        </w:tc>
      </w:tr>
      <w:tr w14:paraId="443F6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tcBorders>
              <w:top w:val="single" w:color="auto" w:sz="4" w:space="0"/>
              <w:left w:val="single" w:color="auto" w:sz="8" w:space="0"/>
              <w:bottom w:val="single" w:color="auto" w:sz="8" w:space="0"/>
              <w:right w:val="single" w:color="auto" w:sz="4" w:space="0"/>
            </w:tcBorders>
            <w:vAlign w:val="center"/>
          </w:tcPr>
          <w:p w14:paraId="580788E5">
            <w:pPr>
              <w:pStyle w:val="385"/>
              <w:rPr>
                <w:rFonts w:hint="eastAsia" w:ascii="宋体" w:hAnsi="宋体" w:cs="宋体"/>
                <w:sz w:val="24"/>
                <w:szCs w:val="24"/>
                <w:highlight w:val="none"/>
              </w:rPr>
            </w:pPr>
          </w:p>
        </w:tc>
        <w:tc>
          <w:tcPr>
            <w:tcW w:w="1051" w:type="dxa"/>
            <w:tcBorders>
              <w:top w:val="single" w:color="auto" w:sz="4" w:space="0"/>
              <w:left w:val="single" w:color="auto" w:sz="4" w:space="0"/>
              <w:bottom w:val="single" w:color="auto" w:sz="8" w:space="0"/>
              <w:right w:val="single" w:color="auto" w:sz="4" w:space="0"/>
            </w:tcBorders>
            <w:vAlign w:val="center"/>
          </w:tcPr>
          <w:p w14:paraId="341BAB9C">
            <w:pPr>
              <w:pStyle w:val="385"/>
              <w:rPr>
                <w:rFonts w:hint="eastAsia" w:ascii="宋体" w:hAnsi="宋体" w:cs="宋体"/>
                <w:sz w:val="24"/>
                <w:szCs w:val="24"/>
                <w:highlight w:val="none"/>
              </w:rPr>
            </w:pPr>
          </w:p>
        </w:tc>
        <w:tc>
          <w:tcPr>
            <w:tcW w:w="669" w:type="dxa"/>
            <w:tcBorders>
              <w:top w:val="single" w:color="auto" w:sz="4" w:space="0"/>
              <w:left w:val="single" w:color="auto" w:sz="4" w:space="0"/>
              <w:bottom w:val="single" w:color="auto" w:sz="8" w:space="0"/>
              <w:right w:val="single" w:color="auto" w:sz="4" w:space="0"/>
            </w:tcBorders>
            <w:vAlign w:val="center"/>
          </w:tcPr>
          <w:p w14:paraId="24934129">
            <w:pPr>
              <w:pStyle w:val="385"/>
              <w:rPr>
                <w:rFonts w:hint="eastAsia" w:ascii="宋体" w:hAnsi="宋体" w:cs="宋体"/>
                <w:sz w:val="24"/>
                <w:szCs w:val="24"/>
                <w:highlight w:val="none"/>
              </w:rPr>
            </w:pPr>
          </w:p>
        </w:tc>
        <w:tc>
          <w:tcPr>
            <w:tcW w:w="855" w:type="dxa"/>
            <w:tcBorders>
              <w:top w:val="single" w:color="auto" w:sz="4" w:space="0"/>
              <w:left w:val="single" w:color="auto" w:sz="4" w:space="0"/>
              <w:bottom w:val="single" w:color="auto" w:sz="8" w:space="0"/>
              <w:right w:val="single" w:color="auto" w:sz="4" w:space="0"/>
            </w:tcBorders>
            <w:vAlign w:val="center"/>
          </w:tcPr>
          <w:p w14:paraId="4037924B">
            <w:pPr>
              <w:pStyle w:val="385"/>
              <w:rPr>
                <w:rFonts w:hint="eastAsia" w:ascii="宋体" w:hAnsi="宋体" w:cs="宋体"/>
                <w:sz w:val="24"/>
                <w:szCs w:val="24"/>
                <w:highlight w:val="none"/>
              </w:rPr>
            </w:pPr>
          </w:p>
        </w:tc>
        <w:tc>
          <w:tcPr>
            <w:tcW w:w="705" w:type="dxa"/>
            <w:tcBorders>
              <w:top w:val="single" w:color="auto" w:sz="4" w:space="0"/>
              <w:left w:val="single" w:color="auto" w:sz="4" w:space="0"/>
              <w:bottom w:val="single" w:color="auto" w:sz="8" w:space="0"/>
              <w:right w:val="single" w:color="auto" w:sz="4" w:space="0"/>
            </w:tcBorders>
            <w:vAlign w:val="center"/>
          </w:tcPr>
          <w:p w14:paraId="2EF41D44">
            <w:pPr>
              <w:pStyle w:val="385"/>
              <w:rPr>
                <w:rFonts w:hint="eastAsia" w:ascii="宋体" w:hAnsi="宋体" w:cs="宋体"/>
                <w:sz w:val="24"/>
                <w:szCs w:val="24"/>
                <w:highlight w:val="none"/>
              </w:rPr>
            </w:pPr>
          </w:p>
        </w:tc>
        <w:tc>
          <w:tcPr>
            <w:tcW w:w="1200" w:type="dxa"/>
            <w:tcBorders>
              <w:top w:val="single" w:color="auto" w:sz="4" w:space="0"/>
              <w:left w:val="single" w:color="auto" w:sz="4" w:space="0"/>
              <w:bottom w:val="single" w:color="auto" w:sz="8" w:space="0"/>
              <w:right w:val="single" w:color="auto" w:sz="4" w:space="0"/>
            </w:tcBorders>
            <w:vAlign w:val="center"/>
          </w:tcPr>
          <w:p w14:paraId="66138142">
            <w:pPr>
              <w:pStyle w:val="385"/>
              <w:rPr>
                <w:rFonts w:hint="eastAsia" w:ascii="宋体" w:hAnsi="宋体" w:cs="宋体"/>
                <w:sz w:val="24"/>
                <w:szCs w:val="24"/>
                <w:highlight w:val="none"/>
              </w:rPr>
            </w:pPr>
          </w:p>
        </w:tc>
        <w:tc>
          <w:tcPr>
            <w:tcW w:w="784" w:type="dxa"/>
            <w:tcBorders>
              <w:top w:val="single" w:color="auto" w:sz="4" w:space="0"/>
              <w:left w:val="single" w:color="auto" w:sz="4" w:space="0"/>
              <w:bottom w:val="single" w:color="auto" w:sz="8" w:space="0"/>
              <w:right w:val="single" w:color="auto" w:sz="4" w:space="0"/>
            </w:tcBorders>
            <w:vAlign w:val="center"/>
          </w:tcPr>
          <w:p w14:paraId="1552ACBA">
            <w:pPr>
              <w:pStyle w:val="385"/>
              <w:rPr>
                <w:rFonts w:hint="eastAsia" w:ascii="宋体" w:hAnsi="宋体" w:cs="宋体"/>
                <w:sz w:val="24"/>
                <w:szCs w:val="24"/>
                <w:highlight w:val="none"/>
              </w:rPr>
            </w:pPr>
          </w:p>
        </w:tc>
        <w:tc>
          <w:tcPr>
            <w:tcW w:w="870" w:type="dxa"/>
            <w:tcBorders>
              <w:top w:val="single" w:color="auto" w:sz="4" w:space="0"/>
              <w:left w:val="single" w:color="auto" w:sz="4" w:space="0"/>
              <w:bottom w:val="single" w:color="auto" w:sz="8" w:space="0"/>
              <w:right w:val="single" w:color="auto" w:sz="4" w:space="0"/>
            </w:tcBorders>
            <w:vAlign w:val="center"/>
          </w:tcPr>
          <w:p w14:paraId="1FB916B1">
            <w:pPr>
              <w:pStyle w:val="385"/>
              <w:rPr>
                <w:rFonts w:hint="eastAsia" w:ascii="宋体" w:hAnsi="宋体" w:cs="宋体"/>
                <w:sz w:val="24"/>
                <w:szCs w:val="24"/>
                <w:highlight w:val="none"/>
              </w:rPr>
            </w:pPr>
          </w:p>
        </w:tc>
        <w:tc>
          <w:tcPr>
            <w:tcW w:w="1389" w:type="dxa"/>
            <w:tcBorders>
              <w:top w:val="single" w:color="auto" w:sz="4" w:space="0"/>
              <w:left w:val="single" w:color="auto" w:sz="4" w:space="0"/>
              <w:bottom w:val="single" w:color="auto" w:sz="8" w:space="0"/>
              <w:right w:val="single" w:color="auto" w:sz="8" w:space="0"/>
            </w:tcBorders>
            <w:vAlign w:val="center"/>
          </w:tcPr>
          <w:p w14:paraId="1AA843D8">
            <w:pPr>
              <w:pStyle w:val="385"/>
              <w:rPr>
                <w:rFonts w:hint="eastAsia" w:ascii="宋体" w:hAnsi="宋体" w:cs="宋体"/>
                <w:sz w:val="24"/>
                <w:szCs w:val="24"/>
                <w:highlight w:val="none"/>
              </w:rPr>
            </w:pPr>
          </w:p>
        </w:tc>
      </w:tr>
    </w:tbl>
    <w:p w14:paraId="4FD7DB84">
      <w:pPr>
        <w:spacing w:line="400" w:lineRule="exact"/>
        <w:jc w:val="center"/>
        <w:rPr>
          <w:rFonts w:hint="eastAsia" w:ascii="宋体" w:hAnsi="宋体" w:cs="宋体"/>
          <w:sz w:val="24"/>
          <w:highlight w:val="none"/>
        </w:rPr>
      </w:pPr>
    </w:p>
    <w:p w14:paraId="270D3B22">
      <w:pPr>
        <w:rPr>
          <w:highlight w:val="none"/>
        </w:rPr>
      </w:pPr>
    </w:p>
    <w:p w14:paraId="41A25B92">
      <w:pPr>
        <w:spacing w:line="360" w:lineRule="auto"/>
        <w:ind w:firstLine="482" w:firstLineChars="200"/>
        <w:outlineLvl w:val="0"/>
        <w:rPr>
          <w:sz w:val="24"/>
          <w:highlight w:val="none"/>
        </w:rPr>
      </w:pPr>
      <w:r>
        <w:rPr>
          <w:rFonts w:ascii="宋体" w:hAnsi="宋体"/>
          <w:b/>
          <w:sz w:val="24"/>
          <w:highlight w:val="none"/>
        </w:rPr>
        <w:br w:type="page"/>
      </w:r>
    </w:p>
    <w:p w14:paraId="0C9FD02D">
      <w:pPr>
        <w:spacing w:before="240" w:beforeLines="100" w:line="510" w:lineRule="exact"/>
        <w:jc w:val="center"/>
        <w:rPr>
          <w:rFonts w:hint="eastAsia" w:ascii="宋体" w:hAnsi="宋体" w:cs="宋体"/>
          <w:b/>
          <w:bCs/>
          <w:highlight w:val="none"/>
        </w:rPr>
      </w:pPr>
      <w:r>
        <w:rPr>
          <w:rFonts w:hint="eastAsia" w:ascii="宋体" w:hAnsi="宋体"/>
          <w:b/>
          <w:sz w:val="24"/>
          <w:highlight w:val="none"/>
        </w:rPr>
        <w:t>十、谈判文件要求提供的其他文件资料</w:t>
      </w:r>
    </w:p>
    <w:p w14:paraId="6A02038B">
      <w:pPr>
        <w:rPr>
          <w:rFonts w:hint="eastAsia" w:ascii="宋体" w:hAnsi="宋体" w:cs="宋体"/>
          <w:highlight w:val="none"/>
        </w:rPr>
      </w:pPr>
    </w:p>
    <w:p w14:paraId="6A4EEA59">
      <w:pPr>
        <w:rPr>
          <w:rFonts w:hint="eastAsia" w:ascii="宋体" w:hAnsi="宋体" w:cs="宋体"/>
          <w:highlight w:val="none"/>
        </w:rPr>
      </w:pPr>
    </w:p>
    <w:p w14:paraId="70814606">
      <w:pPr>
        <w:spacing w:before="240" w:beforeLines="100" w:line="510" w:lineRule="exact"/>
        <w:jc w:val="center"/>
        <w:rPr>
          <w:rFonts w:hint="eastAsia" w:ascii="宋体" w:hAnsi="宋体"/>
          <w:b/>
          <w:sz w:val="24"/>
          <w:highlight w:val="none"/>
        </w:rPr>
      </w:pPr>
      <w:r>
        <w:rPr>
          <w:rFonts w:ascii="宋体" w:hAnsi="宋体"/>
          <w:szCs w:val="21"/>
          <w:highlight w:val="none"/>
        </w:rPr>
        <w:br w:type="page"/>
      </w:r>
      <w:r>
        <w:rPr>
          <w:rFonts w:hint="eastAsia" w:ascii="宋体" w:hAnsi="宋体"/>
          <w:b/>
          <w:sz w:val="24"/>
          <w:highlight w:val="none"/>
        </w:rPr>
        <w:t>十一、中小企业声明函</w:t>
      </w:r>
    </w:p>
    <w:p w14:paraId="2A685163">
      <w:pPr>
        <w:pStyle w:val="59"/>
        <w:ind w:firstLine="560"/>
        <w:jc w:val="center"/>
        <w:rPr>
          <w:sz w:val="28"/>
          <w:szCs w:val="28"/>
          <w:highlight w:val="none"/>
        </w:rPr>
      </w:pPr>
    </w:p>
    <w:p w14:paraId="7F070A85">
      <w:pPr>
        <w:spacing w:line="312" w:lineRule="auto"/>
        <w:jc w:val="center"/>
        <w:rPr>
          <w:rFonts w:hint="eastAsia" w:ascii="宋体" w:hAnsi="宋体" w:cs="宋体"/>
          <w:szCs w:val="21"/>
          <w:highlight w:val="none"/>
        </w:rPr>
      </w:pPr>
      <w:r>
        <w:rPr>
          <w:rFonts w:hint="eastAsia" w:ascii="宋体" w:hAnsi="宋体" w:cs="宋体"/>
          <w:szCs w:val="21"/>
          <w:highlight w:val="none"/>
        </w:rPr>
        <w:t>中小企业声明函（工程、服务）</w:t>
      </w:r>
    </w:p>
    <w:p w14:paraId="4C2B7C10">
      <w:pPr>
        <w:pStyle w:val="386"/>
        <w:spacing w:line="521" w:lineRule="exact"/>
        <w:ind w:firstLine="680"/>
        <w:rPr>
          <w:rFonts w:hint="eastAsia"/>
          <w:sz w:val="21"/>
          <w:szCs w:val="21"/>
          <w:highlight w:val="none"/>
          <w:lang w:eastAsia="zh-CN"/>
        </w:rPr>
      </w:pPr>
    </w:p>
    <w:p w14:paraId="3B435372">
      <w:pPr>
        <w:pStyle w:val="386"/>
        <w:spacing w:line="521" w:lineRule="exact"/>
        <w:ind w:firstLine="680"/>
        <w:rPr>
          <w:rFonts w:hint="eastAsia"/>
          <w:sz w:val="21"/>
          <w:szCs w:val="21"/>
          <w:highlight w:val="none"/>
          <w:lang w:eastAsia="zh-CN"/>
        </w:rPr>
      </w:pPr>
      <w:r>
        <w:rPr>
          <w:rFonts w:hint="eastAsia"/>
          <w:sz w:val="21"/>
          <w:szCs w:val="21"/>
          <w:highlight w:val="none"/>
          <w:lang w:eastAsia="zh-CN"/>
        </w:rPr>
        <w:t>本公司（联合体）郑重声明，根据《政府采购促进中小 企业发展管理办法》（财库〔</w:t>
      </w:r>
      <w:r>
        <w:rPr>
          <w:rFonts w:hint="eastAsia"/>
          <w:b/>
          <w:bCs/>
          <w:sz w:val="21"/>
          <w:szCs w:val="21"/>
          <w:highlight w:val="none"/>
          <w:lang w:eastAsia="zh-CN"/>
        </w:rPr>
        <w:t>2020</w:t>
      </w:r>
      <w:r>
        <w:rPr>
          <w:rFonts w:hint="eastAsia"/>
          <w:sz w:val="21"/>
          <w:szCs w:val="21"/>
          <w:highlight w:val="none"/>
          <w:lang w:eastAsia="zh-CN"/>
        </w:rPr>
        <w:t>〕</w:t>
      </w:r>
      <w:r>
        <w:rPr>
          <w:rFonts w:hint="eastAsia"/>
          <w:b/>
          <w:bCs/>
          <w:sz w:val="21"/>
          <w:szCs w:val="21"/>
          <w:highlight w:val="none"/>
          <w:lang w:eastAsia="zh-CN"/>
        </w:rPr>
        <w:t>46</w:t>
      </w:r>
      <w:r>
        <w:rPr>
          <w:rFonts w:hint="eastAsia"/>
          <w:sz w:val="21"/>
          <w:szCs w:val="21"/>
          <w:highlight w:val="none"/>
          <w:lang w:eastAsia="zh-CN"/>
        </w:rPr>
        <w:t>号）的规定，本公司 （联合体）参加</w:t>
      </w:r>
      <w:r>
        <w:rPr>
          <w:rFonts w:hint="eastAsia"/>
          <w:sz w:val="21"/>
          <w:szCs w:val="21"/>
          <w:highlight w:val="none"/>
          <w:u w:val="single"/>
          <w:lang w:eastAsia="zh-CN"/>
        </w:rPr>
        <w:t>（单位名称）</w:t>
      </w:r>
      <w:r>
        <w:rPr>
          <w:rFonts w:hint="eastAsia"/>
          <w:sz w:val="21"/>
          <w:szCs w:val="21"/>
          <w:highlight w:val="none"/>
          <w:lang w:eastAsia="zh-CN"/>
        </w:rPr>
        <w:t>的</w:t>
      </w:r>
      <w:r>
        <w:rPr>
          <w:rFonts w:hint="eastAsia"/>
          <w:sz w:val="21"/>
          <w:szCs w:val="21"/>
          <w:highlight w:val="none"/>
          <w:u w:val="single"/>
          <w:lang w:eastAsia="zh-CN"/>
        </w:rPr>
        <w:t>（项目名称）</w:t>
      </w:r>
      <w:r>
        <w:rPr>
          <w:rFonts w:hint="eastAsia"/>
          <w:sz w:val="21"/>
          <w:szCs w:val="21"/>
          <w:highlight w:val="none"/>
          <w:lang w:eastAsia="zh-CN"/>
        </w:rPr>
        <w:t>采购活动，工程的施工单位全部为符合政策要求的中小企业（或者：服务全部由符合政策要求的中小企业承接）。相关企业（含联合体中的中小企业、签订分包意向协议的中小企业）的具体情 况如下：</w:t>
      </w:r>
    </w:p>
    <w:p w14:paraId="20E509E4">
      <w:pPr>
        <w:pStyle w:val="386"/>
        <w:tabs>
          <w:tab w:val="left" w:pos="1291"/>
          <w:tab w:val="left" w:pos="2434"/>
          <w:tab w:val="left" w:pos="7699"/>
        </w:tabs>
        <w:spacing w:line="512" w:lineRule="exact"/>
        <w:ind w:left="704" w:firstLine="680"/>
        <w:rPr>
          <w:rFonts w:hint="eastAsia"/>
          <w:sz w:val="21"/>
          <w:szCs w:val="21"/>
          <w:highlight w:val="none"/>
          <w:lang w:eastAsia="zh-CN"/>
        </w:rPr>
      </w:pPr>
      <w:bookmarkStart w:id="99" w:name="bookmark38"/>
      <w:bookmarkEnd w:id="99"/>
      <w:r>
        <w:rPr>
          <w:rFonts w:hint="eastAsia"/>
          <w:sz w:val="21"/>
          <w:szCs w:val="21"/>
          <w:highlight w:val="none"/>
          <w:lang w:eastAsia="zh-CN"/>
        </w:rPr>
        <w:t>1）</w:t>
      </w:r>
      <w:r>
        <w:rPr>
          <w:rFonts w:hint="eastAsia"/>
          <w:sz w:val="21"/>
          <w:szCs w:val="21"/>
          <w:highlight w:val="none"/>
          <w:u w:val="single"/>
          <w:lang w:eastAsia="zh-CN"/>
        </w:rPr>
        <w:t>（标的名称）</w:t>
      </w:r>
      <w:r>
        <w:rPr>
          <w:rFonts w:hint="eastAsia"/>
          <w:sz w:val="21"/>
          <w:szCs w:val="21"/>
          <w:highlight w:val="none"/>
          <w:lang w:eastAsia="zh-CN"/>
        </w:rPr>
        <w:t>,属于</w:t>
      </w:r>
      <w:r>
        <w:rPr>
          <w:rFonts w:hint="eastAsia"/>
          <w:sz w:val="21"/>
          <w:szCs w:val="21"/>
          <w:highlight w:val="none"/>
          <w:u w:val="single"/>
          <w:lang w:eastAsia="zh-CN"/>
        </w:rPr>
        <w:t xml:space="preserve">（采购文件中明确的所属行业） </w:t>
      </w:r>
      <w:r>
        <w:rPr>
          <w:rFonts w:hint="eastAsia"/>
          <w:sz w:val="21"/>
          <w:szCs w:val="21"/>
          <w:highlight w:val="none"/>
          <w:lang w:eastAsia="zh-CN"/>
        </w:rPr>
        <w:t>行业；承建（承接）企业为</w:t>
      </w:r>
      <w:r>
        <w:rPr>
          <w:rFonts w:hint="eastAsia"/>
          <w:sz w:val="21"/>
          <w:szCs w:val="21"/>
          <w:highlight w:val="none"/>
          <w:u w:val="single"/>
          <w:lang w:eastAsia="zh-CN"/>
        </w:rPr>
        <w:t>（企业名称）</w:t>
      </w:r>
      <w:r>
        <w:rPr>
          <w:rFonts w:hint="eastAsia"/>
          <w:sz w:val="21"/>
          <w:szCs w:val="21"/>
          <w:highlight w:val="none"/>
          <w:lang w:eastAsia="zh-CN"/>
        </w:rPr>
        <w:t>,从业人员</w:t>
      </w:r>
      <w:r>
        <w:rPr>
          <w:rFonts w:hint="eastAsia"/>
          <w:sz w:val="21"/>
          <w:szCs w:val="21"/>
          <w:highlight w:val="none"/>
          <w:u w:val="single"/>
          <w:lang w:eastAsia="zh-CN"/>
        </w:rPr>
        <w:t xml:space="preserve"> </w:t>
      </w:r>
      <w:r>
        <w:rPr>
          <w:rFonts w:hint="eastAsia"/>
          <w:sz w:val="21"/>
          <w:szCs w:val="21"/>
          <w:highlight w:val="none"/>
          <w:u w:val="single"/>
          <w:lang w:eastAsia="zh-CN"/>
        </w:rPr>
        <w:tab/>
      </w:r>
      <w:r>
        <w:rPr>
          <w:rFonts w:hint="eastAsia"/>
          <w:sz w:val="21"/>
          <w:szCs w:val="21"/>
          <w:highlight w:val="none"/>
          <w:lang w:eastAsia="zh-CN"/>
        </w:rPr>
        <w:t>人， 营业收入为</w:t>
      </w:r>
      <w:r>
        <w:rPr>
          <w:rFonts w:hint="eastAsia"/>
          <w:sz w:val="21"/>
          <w:szCs w:val="21"/>
          <w:highlight w:val="none"/>
          <w:u w:val="single"/>
          <w:lang w:eastAsia="zh-CN"/>
        </w:rPr>
        <w:t xml:space="preserve"> </w:t>
      </w:r>
      <w:r>
        <w:rPr>
          <w:rFonts w:hint="eastAsia"/>
          <w:sz w:val="21"/>
          <w:szCs w:val="21"/>
          <w:highlight w:val="none"/>
          <w:u w:val="single"/>
          <w:lang w:val="en-US" w:eastAsia="zh-CN"/>
        </w:rPr>
        <w:t xml:space="preserve">   </w:t>
      </w:r>
      <w:r>
        <w:rPr>
          <w:rFonts w:hint="eastAsia"/>
          <w:sz w:val="21"/>
          <w:szCs w:val="21"/>
          <w:highlight w:val="none"/>
          <w:u w:val="single"/>
          <w:lang w:eastAsia="zh-CN"/>
        </w:rPr>
        <w:tab/>
      </w:r>
      <w:r>
        <w:rPr>
          <w:rFonts w:hint="eastAsia"/>
          <w:sz w:val="21"/>
          <w:szCs w:val="21"/>
          <w:highlight w:val="none"/>
          <w:lang w:eastAsia="zh-CN"/>
        </w:rPr>
        <w:t>万元，资产总额为</w:t>
      </w:r>
      <w:r>
        <w:rPr>
          <w:rFonts w:hint="eastAsia"/>
          <w:sz w:val="21"/>
          <w:szCs w:val="21"/>
          <w:highlight w:val="none"/>
          <w:u w:val="single"/>
          <w:lang w:val="en-US" w:eastAsia="zh-CN" w:bidi="zh-CN"/>
        </w:rPr>
        <w:t xml:space="preserve">      </w:t>
      </w:r>
      <w:r>
        <w:rPr>
          <w:rFonts w:hint="eastAsia"/>
          <w:sz w:val="21"/>
          <w:szCs w:val="21"/>
          <w:highlight w:val="none"/>
          <w:lang w:eastAsia="zh-CN"/>
        </w:rPr>
        <w:t>万元，属于</w:t>
      </w:r>
      <w:r>
        <w:rPr>
          <w:rFonts w:hint="eastAsia"/>
          <w:sz w:val="21"/>
          <w:szCs w:val="21"/>
          <w:highlight w:val="none"/>
          <w:u w:val="single"/>
          <w:lang w:eastAsia="zh-CN"/>
        </w:rPr>
        <w:t>（中型企业、小型企业、微型企业）</w:t>
      </w:r>
      <w:r>
        <w:rPr>
          <w:rFonts w:hint="eastAsia"/>
          <w:sz w:val="21"/>
          <w:szCs w:val="21"/>
          <w:highlight w:val="none"/>
          <w:lang w:eastAsia="zh-CN"/>
        </w:rPr>
        <w:t>，</w:t>
      </w:r>
    </w:p>
    <w:p w14:paraId="0DB942A1">
      <w:pPr>
        <w:pStyle w:val="386"/>
        <w:tabs>
          <w:tab w:val="left" w:pos="1291"/>
          <w:tab w:val="left" w:pos="2458"/>
          <w:tab w:val="left" w:pos="5736"/>
        </w:tabs>
        <w:spacing w:line="518" w:lineRule="exact"/>
        <w:ind w:left="704" w:firstLine="680"/>
        <w:rPr>
          <w:rFonts w:hint="eastAsia"/>
          <w:sz w:val="21"/>
          <w:szCs w:val="21"/>
          <w:highlight w:val="none"/>
          <w:lang w:eastAsia="zh-CN"/>
        </w:rPr>
      </w:pPr>
      <w:bookmarkStart w:id="100" w:name="bookmark39"/>
      <w:bookmarkEnd w:id="100"/>
      <w:r>
        <w:rPr>
          <w:rFonts w:hint="eastAsia"/>
          <w:sz w:val="21"/>
          <w:szCs w:val="21"/>
          <w:highlight w:val="none"/>
          <w:lang w:eastAsia="zh-CN"/>
        </w:rPr>
        <w:t>2）</w:t>
      </w:r>
      <w:r>
        <w:rPr>
          <w:rFonts w:hint="eastAsia"/>
          <w:sz w:val="21"/>
          <w:szCs w:val="21"/>
          <w:highlight w:val="none"/>
          <w:u w:val="single"/>
          <w:lang w:eastAsia="zh-CN"/>
        </w:rPr>
        <w:t>（标的名称）</w:t>
      </w:r>
      <w:r>
        <w:rPr>
          <w:rFonts w:hint="eastAsia"/>
          <w:sz w:val="21"/>
          <w:szCs w:val="21"/>
          <w:highlight w:val="none"/>
          <w:lang w:eastAsia="zh-CN"/>
        </w:rPr>
        <w:t>、属于</w:t>
      </w:r>
      <w:r>
        <w:rPr>
          <w:rFonts w:hint="eastAsia"/>
          <w:sz w:val="21"/>
          <w:szCs w:val="21"/>
          <w:highlight w:val="none"/>
          <w:u w:val="single"/>
          <w:lang w:eastAsia="zh-CN"/>
        </w:rPr>
        <w:t xml:space="preserve">（采购文件中明确的所属行业） </w:t>
      </w:r>
      <w:r>
        <w:rPr>
          <w:rFonts w:hint="eastAsia"/>
          <w:sz w:val="21"/>
          <w:szCs w:val="21"/>
          <w:highlight w:val="none"/>
          <w:lang w:eastAsia="zh-CN"/>
        </w:rPr>
        <w:t>行业；承建（承接）企业为</w:t>
      </w:r>
      <w:r>
        <w:rPr>
          <w:rFonts w:hint="eastAsia"/>
          <w:sz w:val="21"/>
          <w:szCs w:val="21"/>
          <w:highlight w:val="none"/>
          <w:u w:val="single"/>
          <w:lang w:eastAsia="zh-CN"/>
        </w:rPr>
        <w:t>（企业名称）</w:t>
      </w:r>
      <w:r>
        <w:rPr>
          <w:rFonts w:hint="eastAsia"/>
          <w:sz w:val="21"/>
          <w:szCs w:val="21"/>
          <w:highlight w:val="none"/>
          <w:lang w:eastAsia="zh-CN"/>
        </w:rPr>
        <w:t>,从业人员</w:t>
      </w:r>
      <w:r>
        <w:rPr>
          <w:rFonts w:hint="eastAsia"/>
          <w:sz w:val="21"/>
          <w:szCs w:val="21"/>
          <w:highlight w:val="none"/>
          <w:u w:val="single"/>
          <w:lang w:val="en-US" w:eastAsia="zh-CN" w:bidi="zh-CN"/>
        </w:rPr>
        <w:t xml:space="preserve">         </w:t>
      </w:r>
      <w:r>
        <w:rPr>
          <w:rFonts w:hint="eastAsia"/>
          <w:sz w:val="21"/>
          <w:szCs w:val="21"/>
          <w:highlight w:val="none"/>
          <w:lang w:eastAsia="zh-CN"/>
        </w:rPr>
        <w:t>人， 营业收入为</w:t>
      </w:r>
      <w:r>
        <w:rPr>
          <w:rFonts w:hint="eastAsia"/>
          <w:sz w:val="21"/>
          <w:szCs w:val="21"/>
          <w:highlight w:val="none"/>
          <w:u w:val="single"/>
          <w:lang w:eastAsia="zh-CN"/>
        </w:rPr>
        <w:t xml:space="preserve"> </w:t>
      </w:r>
      <w:r>
        <w:rPr>
          <w:rFonts w:hint="eastAsia"/>
          <w:sz w:val="21"/>
          <w:szCs w:val="21"/>
          <w:highlight w:val="none"/>
          <w:u w:val="single"/>
          <w:lang w:val="en-US" w:eastAsia="zh-CN"/>
        </w:rPr>
        <w:t xml:space="preserve">  </w:t>
      </w:r>
      <w:r>
        <w:rPr>
          <w:rFonts w:hint="eastAsia"/>
          <w:sz w:val="21"/>
          <w:szCs w:val="21"/>
          <w:highlight w:val="none"/>
          <w:u w:val="single"/>
          <w:lang w:eastAsia="zh-CN"/>
        </w:rPr>
        <w:tab/>
      </w:r>
      <w:r>
        <w:rPr>
          <w:rFonts w:hint="eastAsia"/>
          <w:sz w:val="21"/>
          <w:szCs w:val="21"/>
          <w:highlight w:val="none"/>
          <w:lang w:eastAsia="zh-CN"/>
        </w:rPr>
        <w:t>万元，资产总额为</w:t>
      </w:r>
      <w:r>
        <w:rPr>
          <w:rFonts w:hint="eastAsia"/>
          <w:sz w:val="21"/>
          <w:szCs w:val="21"/>
          <w:highlight w:val="none"/>
          <w:u w:val="single"/>
          <w:lang w:eastAsia="zh-CN"/>
        </w:rPr>
        <w:t xml:space="preserve"> </w:t>
      </w:r>
      <w:r>
        <w:rPr>
          <w:rFonts w:hint="eastAsia"/>
          <w:sz w:val="21"/>
          <w:szCs w:val="21"/>
          <w:highlight w:val="none"/>
          <w:u w:val="single"/>
          <w:lang w:eastAsia="zh-CN"/>
        </w:rPr>
        <w:tab/>
      </w:r>
      <w:r>
        <w:rPr>
          <w:rFonts w:hint="eastAsia"/>
          <w:sz w:val="21"/>
          <w:szCs w:val="21"/>
          <w:highlight w:val="none"/>
          <w:lang w:eastAsia="zh-CN"/>
        </w:rPr>
        <w:t xml:space="preserve">万元，属于 </w:t>
      </w:r>
      <w:r>
        <w:rPr>
          <w:rFonts w:hint="eastAsia"/>
          <w:sz w:val="21"/>
          <w:szCs w:val="21"/>
          <w:highlight w:val="none"/>
          <w:u w:val="single"/>
          <w:lang w:eastAsia="zh-CN"/>
        </w:rPr>
        <w:t>（中型企业、小型企业、微型企业）</w:t>
      </w:r>
    </w:p>
    <w:p w14:paraId="173DC2F4">
      <w:pPr>
        <w:pStyle w:val="386"/>
        <w:tabs>
          <w:tab w:val="left" w:pos="1291"/>
          <w:tab w:val="left" w:pos="2458"/>
          <w:tab w:val="left" w:pos="5736"/>
        </w:tabs>
        <w:spacing w:line="518" w:lineRule="exact"/>
        <w:ind w:firstLine="630" w:firstLineChars="300"/>
        <w:rPr>
          <w:rFonts w:hint="eastAsia"/>
          <w:sz w:val="21"/>
          <w:szCs w:val="21"/>
          <w:highlight w:val="none"/>
          <w:lang w:eastAsia="zh-CN"/>
        </w:rPr>
      </w:pPr>
      <w:r>
        <w:rPr>
          <w:rFonts w:hint="eastAsia"/>
          <w:sz w:val="21"/>
          <w:szCs w:val="21"/>
          <w:highlight w:val="none"/>
          <w:lang w:val="en-US" w:eastAsia="zh-CN"/>
        </w:rPr>
        <w:t>······</w:t>
      </w:r>
    </w:p>
    <w:p w14:paraId="376CC16A">
      <w:pPr>
        <w:pStyle w:val="386"/>
        <w:spacing w:line="530" w:lineRule="exact"/>
        <w:ind w:firstLine="680"/>
        <w:rPr>
          <w:rFonts w:hint="eastAsia"/>
          <w:sz w:val="21"/>
          <w:szCs w:val="21"/>
          <w:highlight w:val="none"/>
          <w:lang w:eastAsia="zh-CN"/>
        </w:rPr>
      </w:pPr>
      <w:r>
        <w:rPr>
          <w:rFonts w:hint="eastAsia"/>
          <w:sz w:val="21"/>
          <w:szCs w:val="21"/>
          <w:highlight w:val="none"/>
          <w:lang w:eastAsia="zh-CN"/>
        </w:rPr>
        <w:t>以上企业，不属于大企业的分支机构，不存在控股股东为大企业的情形，也不存在与大企业的负责人为同一人的情形。</w:t>
      </w:r>
    </w:p>
    <w:p w14:paraId="6244D0E1">
      <w:pPr>
        <w:pStyle w:val="386"/>
        <w:spacing w:line="514" w:lineRule="exact"/>
        <w:ind w:firstLine="680"/>
        <w:rPr>
          <w:rFonts w:hint="eastAsia"/>
          <w:sz w:val="21"/>
          <w:szCs w:val="21"/>
          <w:highlight w:val="none"/>
          <w:lang w:eastAsia="zh-CN"/>
        </w:rPr>
      </w:pPr>
      <w:r>
        <w:rPr>
          <w:rFonts w:hint="eastAsia"/>
          <w:sz w:val="21"/>
          <w:szCs w:val="21"/>
          <w:highlight w:val="none"/>
          <w:lang w:eastAsia="zh-CN"/>
        </w:rPr>
        <w:t>本企业对上述声明内容的真实性负责。如有虚假，将依法承担相应责任。</w:t>
      </w:r>
    </w:p>
    <w:p w14:paraId="050E2B9F">
      <w:pPr>
        <w:pStyle w:val="386"/>
        <w:spacing w:line="530" w:lineRule="exact"/>
        <w:ind w:left="4240" w:firstLine="0"/>
        <w:jc w:val="left"/>
        <w:rPr>
          <w:rFonts w:hint="eastAsia"/>
          <w:sz w:val="21"/>
          <w:szCs w:val="21"/>
          <w:highlight w:val="none"/>
          <w:lang w:eastAsia="zh-CN"/>
        </w:rPr>
      </w:pPr>
      <w:r>
        <w:rPr>
          <w:rFonts w:hint="eastAsia"/>
          <w:sz w:val="21"/>
          <w:szCs w:val="21"/>
          <w:highlight w:val="none"/>
          <w:lang w:eastAsia="zh-CN"/>
        </w:rPr>
        <w:t>企业名称（盖章）:</w:t>
      </w:r>
    </w:p>
    <w:p w14:paraId="0BAC2B1C">
      <w:pPr>
        <w:pStyle w:val="386"/>
        <w:spacing w:line="530" w:lineRule="exact"/>
        <w:ind w:firstLine="0"/>
        <w:jc w:val="center"/>
        <w:rPr>
          <w:rFonts w:hint="eastAsia"/>
          <w:sz w:val="21"/>
          <w:szCs w:val="21"/>
          <w:highlight w:val="none"/>
          <w:lang w:eastAsia="zh-CN"/>
        </w:rPr>
      </w:pPr>
      <w:r>
        <w:rPr>
          <w:rFonts w:hint="eastAsia"/>
          <w:sz w:val="21"/>
          <w:szCs w:val="21"/>
          <w:highlight w:val="none"/>
          <w:lang w:eastAsia="zh-CN"/>
        </w:rPr>
        <w:t>日期：</w:t>
      </w:r>
    </w:p>
    <w:p w14:paraId="66FE9B6C">
      <w:pPr>
        <w:pStyle w:val="386"/>
        <w:spacing w:line="530" w:lineRule="exact"/>
        <w:ind w:firstLine="0"/>
        <w:jc w:val="center"/>
        <w:rPr>
          <w:rFonts w:hint="eastAsia"/>
          <w:sz w:val="21"/>
          <w:szCs w:val="21"/>
          <w:highlight w:val="none"/>
          <w:lang w:eastAsia="zh-CN"/>
        </w:rPr>
      </w:pPr>
    </w:p>
    <w:p w14:paraId="509D7EA9">
      <w:pPr>
        <w:pStyle w:val="386"/>
        <w:spacing w:line="530" w:lineRule="exact"/>
        <w:ind w:firstLine="0"/>
        <w:jc w:val="center"/>
        <w:rPr>
          <w:rFonts w:hint="eastAsia"/>
          <w:highlight w:val="none"/>
          <w:lang w:eastAsia="zh-CN"/>
        </w:rPr>
      </w:pPr>
    </w:p>
    <w:p w14:paraId="4510FFF9">
      <w:pPr>
        <w:pStyle w:val="386"/>
        <w:spacing w:line="530" w:lineRule="exact"/>
        <w:ind w:firstLine="0"/>
        <w:jc w:val="center"/>
        <w:rPr>
          <w:rFonts w:hint="eastAsia"/>
          <w:highlight w:val="none"/>
          <w:lang w:eastAsia="zh-CN"/>
        </w:rPr>
      </w:pPr>
    </w:p>
    <w:p w14:paraId="3838C07C">
      <w:pPr>
        <w:tabs>
          <w:tab w:val="left" w:pos="3157"/>
        </w:tabs>
        <w:jc w:val="left"/>
        <w:rPr>
          <w:rFonts w:hint="eastAsia" w:ascii="宋体" w:hAnsi="宋体" w:cs="宋体"/>
          <w:sz w:val="18"/>
          <w:szCs w:val="18"/>
          <w:highlight w:val="none"/>
        </w:rPr>
      </w:pPr>
      <w:r>
        <w:rPr>
          <w:rFonts w:hint="eastAsia" w:ascii="宋体" w:hAnsi="宋体" w:cs="宋体"/>
          <w:sz w:val="18"/>
          <w:szCs w:val="18"/>
          <w:highlight w:val="none"/>
          <w:vertAlign w:val="superscript"/>
        </w:rPr>
        <w:t>1</w:t>
      </w:r>
      <w:r>
        <w:rPr>
          <w:rFonts w:hint="eastAsia" w:ascii="宋体" w:hAnsi="宋体" w:cs="宋体"/>
          <w:sz w:val="18"/>
          <w:szCs w:val="18"/>
          <w:highlight w:val="none"/>
        </w:rPr>
        <w:t>从业人员、营业收入、资产总额填报上一年度数据，无上一年度数据的新成立企业可不填报。</w:t>
      </w:r>
    </w:p>
    <w:p w14:paraId="743D2465">
      <w:pPr>
        <w:spacing w:line="360" w:lineRule="auto"/>
        <w:rPr>
          <w:rFonts w:hint="eastAsia" w:ascii="宋体" w:hAnsi="宋体" w:cs="宋体"/>
          <w:b/>
          <w:sz w:val="36"/>
          <w:szCs w:val="36"/>
          <w:highlight w:val="none"/>
        </w:rPr>
      </w:pPr>
    </w:p>
    <w:p w14:paraId="68AA1E3D">
      <w:pPr>
        <w:pStyle w:val="59"/>
        <w:ind w:left="0" w:leftChars="0" w:firstLine="0" w:firstLineChars="0"/>
        <w:jc w:val="center"/>
        <w:rPr>
          <w:sz w:val="28"/>
          <w:szCs w:val="28"/>
          <w:highlight w:val="none"/>
        </w:rPr>
      </w:pPr>
    </w:p>
    <w:sectPr>
      <w:headerReference r:id="rId11" w:type="default"/>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全真中明體">
    <w:altName w:val="微软雅黑"/>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体">
    <w:altName w:val="仿宋"/>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华文细黑">
    <w:panose1 w:val="02010600040101010101"/>
    <w:charset w:val="86"/>
    <w:family w:val="auto"/>
    <w:pitch w:val="default"/>
    <w:sig w:usb0="00000287" w:usb1="080F0000" w:usb2="00000000" w:usb3="00000000" w:csb0="0004009F" w:csb1="DFD70000"/>
  </w:font>
  <w:font w:name="Microsoft Sans Serif">
    <w:panose1 w:val="020B0604020202020204"/>
    <w:charset w:val="00"/>
    <w:family w:val="swiss"/>
    <w:pitch w:val="default"/>
    <w:sig w:usb0="E5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F50E9">
    <w:pPr>
      <w:pStyle w:val="37"/>
      <w:jc w:val="center"/>
    </w:pPr>
    <w:r>
      <w:rPr>
        <w:rFonts w:hint="eastAsia"/>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9B438">
    <w:pPr>
      <w:pStyle w:val="37"/>
      <w:framePr w:wrap="around" w:vAnchor="text" w:hAnchor="margin" w:xAlign="center" w:y="1"/>
      <w:rPr>
        <w:rStyle w:val="65"/>
      </w:rPr>
    </w:pPr>
    <w:r>
      <w:fldChar w:fldCharType="begin"/>
    </w:r>
    <w:r>
      <w:rPr>
        <w:rStyle w:val="65"/>
      </w:rPr>
      <w:instrText xml:space="preserve">PAGE  </w:instrText>
    </w:r>
    <w:r>
      <w:fldChar w:fldCharType="separate"/>
    </w:r>
    <w:r>
      <w:rPr>
        <w:rStyle w:val="65"/>
      </w:rPr>
      <w:t>2</w:t>
    </w:r>
    <w:r>
      <w:fldChar w:fldCharType="end"/>
    </w:r>
  </w:p>
  <w:p w14:paraId="0E33B12C">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17E01">
    <w:pPr>
      <w:pStyle w:val="37"/>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A059">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19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AC726E3">
                          <w:pPr>
                            <w:pStyle w:val="3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1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Du5RrG&#10;7QEAANcDAAAOAAAAAAAAAAEAIAAAAB4BAABkcnMvZTJvRG9jLnhtbFBLBQYAAAAABgAGAFkBAAB9&#10;BQAAAAA=&#10;">
              <v:fill on="f" focussize="0,0"/>
              <v:stroke on="f"/>
              <v:imagedata o:title=""/>
              <o:lock v:ext="edit" aspectratio="f"/>
              <v:textbox inset="0mm,0mm,0mm,0mm" style="mso-fit-shape-to-text:t;">
                <w:txbxContent>
                  <w:p w14:paraId="7AC726E3">
                    <w:pPr>
                      <w:pStyle w:val="3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97AA3">
    <w:pPr>
      <w:pStyle w:val="37"/>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2C951">
                          <w:pPr>
                            <w:pStyle w:val="3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12C951">
                    <w:pPr>
                      <w:pStyle w:val="3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748C2">
    <w:pPr>
      <w:pStyle w:val="37"/>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4C5BF">
                          <w:pPr>
                            <w:pStyle w:val="3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AD4C5BF">
                    <w:pPr>
                      <w:pStyle w:val="3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D4206">
    <w:pPr>
      <w:pStyle w:val="38"/>
      <w:framePr w:wrap="around" w:vAnchor="text" w:hAnchor="margin" w:xAlign="right" w:y="1"/>
      <w:rPr>
        <w:rStyle w:val="65"/>
      </w:rPr>
    </w:pPr>
    <w:r>
      <w:fldChar w:fldCharType="begin"/>
    </w:r>
    <w:r>
      <w:rPr>
        <w:rStyle w:val="65"/>
      </w:rPr>
      <w:instrText xml:space="preserve">PAGE  </w:instrText>
    </w:r>
    <w:r>
      <w:fldChar w:fldCharType="separate"/>
    </w:r>
    <w:r>
      <w:rPr>
        <w:rStyle w:val="65"/>
      </w:rPr>
      <w:t>2</w:t>
    </w:r>
    <w:r>
      <w:fldChar w:fldCharType="end"/>
    </w:r>
  </w:p>
  <w:p w14:paraId="14FAC8A2">
    <w:pPr>
      <w:pStyle w:val="3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7C1BC">
    <w:pPr>
      <w:pStyle w:val="38"/>
      <w:pBdr>
        <w:bottom w:val="none" w:color="auto" w:sz="0" w:space="1"/>
      </w:pBdr>
      <w:tabs>
        <w:tab w:val="center" w:pos="4921"/>
        <w:tab w:val="left" w:pos="5820"/>
      </w:tabs>
      <w:jc w:val="left"/>
    </w:pPr>
    <w:r>
      <w:rPr>
        <w:rFonts w:hint="eastAsia"/>
      </w:rPr>
      <w:tab/>
    </w:r>
    <w:r>
      <w:rPr>
        <w:rFonts w:hint="eastAsia"/>
      </w:rPr>
      <w:tab/>
    </w: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7D8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092B84"/>
    <w:multiLevelType w:val="multilevel"/>
    <w:tmpl w:val="CF092B84"/>
    <w:lvl w:ilvl="0" w:tentative="0">
      <w:start w:val="1"/>
      <w:numFmt w:val="decimal"/>
      <w:pStyle w:val="324"/>
      <w:lvlText w:val="%1）"/>
      <w:lvlJc w:val="left"/>
      <w:pPr>
        <w:tabs>
          <w:tab w:val="left" w:pos="704"/>
        </w:tabs>
        <w:ind w:left="704" w:hanging="420"/>
      </w:pPr>
      <w:rPr>
        <w:rFonts w:hint="eastAsia"/>
      </w:rPr>
    </w:lvl>
    <w:lvl w:ilvl="1" w:tentative="0">
      <w:start w:val="1"/>
      <w:numFmt w:val="lowerLetter"/>
      <w:lvlText w:val="%2)"/>
      <w:lvlJc w:val="left"/>
      <w:pPr>
        <w:tabs>
          <w:tab w:val="left" w:pos="494"/>
        </w:tabs>
        <w:ind w:left="494" w:hanging="420"/>
      </w:pPr>
    </w:lvl>
    <w:lvl w:ilvl="2" w:tentative="0">
      <w:start w:val="1"/>
      <w:numFmt w:val="lowerRoman"/>
      <w:lvlText w:val="%3."/>
      <w:lvlJc w:val="right"/>
      <w:pPr>
        <w:tabs>
          <w:tab w:val="left" w:pos="914"/>
        </w:tabs>
        <w:ind w:left="914" w:hanging="420"/>
      </w:pPr>
    </w:lvl>
    <w:lvl w:ilvl="3" w:tentative="0">
      <w:start w:val="1"/>
      <w:numFmt w:val="decimal"/>
      <w:lvlText w:val="%4."/>
      <w:lvlJc w:val="left"/>
      <w:pPr>
        <w:tabs>
          <w:tab w:val="left" w:pos="1334"/>
        </w:tabs>
        <w:ind w:left="1334" w:hanging="420"/>
      </w:pPr>
    </w:lvl>
    <w:lvl w:ilvl="4" w:tentative="0">
      <w:start w:val="1"/>
      <w:numFmt w:val="lowerLetter"/>
      <w:lvlText w:val="%5)"/>
      <w:lvlJc w:val="left"/>
      <w:pPr>
        <w:tabs>
          <w:tab w:val="left" w:pos="1754"/>
        </w:tabs>
        <w:ind w:left="1754" w:hanging="420"/>
      </w:pPr>
    </w:lvl>
    <w:lvl w:ilvl="5" w:tentative="0">
      <w:start w:val="1"/>
      <w:numFmt w:val="lowerRoman"/>
      <w:lvlText w:val="%6."/>
      <w:lvlJc w:val="right"/>
      <w:pPr>
        <w:tabs>
          <w:tab w:val="left" w:pos="2174"/>
        </w:tabs>
        <w:ind w:left="2174" w:hanging="420"/>
      </w:pPr>
    </w:lvl>
    <w:lvl w:ilvl="6" w:tentative="0">
      <w:start w:val="1"/>
      <w:numFmt w:val="decimal"/>
      <w:lvlText w:val="%7."/>
      <w:lvlJc w:val="left"/>
      <w:pPr>
        <w:tabs>
          <w:tab w:val="left" w:pos="2594"/>
        </w:tabs>
        <w:ind w:left="2594" w:hanging="420"/>
      </w:pPr>
    </w:lvl>
    <w:lvl w:ilvl="7" w:tentative="0">
      <w:start w:val="1"/>
      <w:numFmt w:val="lowerLetter"/>
      <w:lvlText w:val="%8)"/>
      <w:lvlJc w:val="left"/>
      <w:pPr>
        <w:tabs>
          <w:tab w:val="left" w:pos="3014"/>
        </w:tabs>
        <w:ind w:left="3014" w:hanging="420"/>
      </w:pPr>
    </w:lvl>
    <w:lvl w:ilvl="8" w:tentative="0">
      <w:start w:val="1"/>
      <w:numFmt w:val="lowerRoman"/>
      <w:lvlText w:val="%9."/>
      <w:lvlJc w:val="right"/>
      <w:pPr>
        <w:tabs>
          <w:tab w:val="left" w:pos="3434"/>
        </w:tabs>
        <w:ind w:left="3434" w:hanging="420"/>
      </w:pPr>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FFFFFF89"/>
    <w:multiLevelType w:val="singleLevel"/>
    <w:tmpl w:val="FFFFFF89"/>
    <w:lvl w:ilvl="0" w:tentative="0">
      <w:start w:val="1"/>
      <w:numFmt w:val="bullet"/>
      <w:pStyle w:val="128"/>
      <w:lvlText w:val=""/>
      <w:lvlJc w:val="left"/>
      <w:pPr>
        <w:tabs>
          <w:tab w:val="left" w:pos="360"/>
        </w:tabs>
        <w:ind w:left="360" w:hanging="360"/>
      </w:pPr>
      <w:rPr>
        <w:rFonts w:hint="default" w:ascii="Wingdings" w:hAnsi="Wingdings"/>
      </w:rPr>
    </w:lvl>
  </w:abstractNum>
  <w:abstractNum w:abstractNumId="7">
    <w:nsid w:val="00000006"/>
    <w:multiLevelType w:val="multilevel"/>
    <w:tmpl w:val="00000006"/>
    <w:lvl w:ilvl="0" w:tentative="0">
      <w:start w:val="1"/>
      <w:numFmt w:val="none"/>
      <w:pStyle w:val="2"/>
      <w:lvlText w:val=""/>
      <w:lvlJc w:val="left"/>
      <w:pPr>
        <w:tabs>
          <w:tab w:val="left" w:pos="432"/>
        </w:tabs>
        <w:ind w:left="432" w:hanging="432"/>
      </w:pPr>
      <w:rPr>
        <w:rFonts w:hint="eastAsia"/>
      </w:rPr>
    </w:lvl>
    <w:lvl w:ilvl="1" w:tentative="0">
      <w:start w:val="1"/>
      <w:numFmt w:val="none"/>
      <w:pStyle w:val="158"/>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pStyle w:val="362"/>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8">
    <w:nsid w:val="0000000D"/>
    <w:multiLevelType w:val="multilevel"/>
    <w:tmpl w:val="0000000D"/>
    <w:lvl w:ilvl="0" w:tentative="0">
      <w:start w:val="3"/>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217"/>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E"/>
    <w:multiLevelType w:val="multilevel"/>
    <w:tmpl w:val="0000000E"/>
    <w:lvl w:ilvl="0" w:tentative="0">
      <w:start w:val="1"/>
      <w:numFmt w:val="decimal"/>
      <w:pStyle w:val="13"/>
      <w:lvlText w:val="（%1）"/>
      <w:lvlJc w:val="left"/>
      <w:pPr>
        <w:tabs>
          <w:tab w:val="left" w:pos="987"/>
        </w:tabs>
        <w:ind w:left="987"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F"/>
    <w:multiLevelType w:val="multilevel"/>
    <w:tmpl w:val="0000000F"/>
    <w:lvl w:ilvl="0" w:tentative="0">
      <w:start w:val="1"/>
      <w:numFmt w:val="decimal"/>
      <w:pStyle w:val="281"/>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00000010"/>
    <w:multiLevelType w:val="multilevel"/>
    <w:tmpl w:val="00000010"/>
    <w:lvl w:ilvl="0" w:tentative="0">
      <w:start w:val="1"/>
      <w:numFmt w:val="decimal"/>
      <w:pStyle w:val="308"/>
      <w:lvlText w:val="%1）"/>
      <w:lvlJc w:val="left"/>
      <w:pPr>
        <w:tabs>
          <w:tab w:val="left" w:pos="1050"/>
        </w:tabs>
        <w:ind w:left="105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1"/>
    <w:multiLevelType w:val="multilevel"/>
    <w:tmpl w:val="00000011"/>
    <w:lvl w:ilvl="0" w:tentative="0">
      <w:start w:val="1"/>
      <w:numFmt w:val="decimal"/>
      <w:pStyle w:val="265"/>
      <w:lvlText w:val="%1）"/>
      <w:lvlJc w:val="left"/>
      <w:pPr>
        <w:tabs>
          <w:tab w:val="left" w:pos="1050"/>
        </w:tabs>
        <w:ind w:left="105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2"/>
    <w:multiLevelType w:val="multilevel"/>
    <w:tmpl w:val="00000012"/>
    <w:lvl w:ilvl="0" w:tentative="0">
      <w:start w:val="1"/>
      <w:numFmt w:val="decimal"/>
      <w:pStyle w:val="184"/>
      <w:lvlText w:val="%1）"/>
      <w:lvlJc w:val="left"/>
      <w:pPr>
        <w:tabs>
          <w:tab w:val="left" w:pos="1200"/>
        </w:tabs>
        <w:ind w:left="1200" w:hanging="36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4">
    <w:nsid w:val="0DB2D96C"/>
    <w:multiLevelType w:val="singleLevel"/>
    <w:tmpl w:val="0DB2D96C"/>
    <w:lvl w:ilvl="0" w:tentative="0">
      <w:start w:val="5"/>
      <w:numFmt w:val="chineseCounting"/>
      <w:suff w:val="space"/>
      <w:lvlText w:val="第%1章"/>
      <w:lvlJc w:val="left"/>
      <w:rPr>
        <w:rFonts w:hint="eastAsia"/>
      </w:rPr>
    </w:lvl>
  </w:abstractNum>
  <w:abstractNum w:abstractNumId="15">
    <w:nsid w:val="2C5917C3"/>
    <w:multiLevelType w:val="multilevel"/>
    <w:tmpl w:val="2C5917C3"/>
    <w:lvl w:ilvl="0" w:tentative="0">
      <w:start w:val="1"/>
      <w:numFmt w:val="none"/>
      <w:pStyle w:val="318"/>
      <w:suff w:val="nothing"/>
      <w:lvlText w:val="%1——"/>
      <w:lvlJc w:val="left"/>
      <w:pPr>
        <w:ind w:left="1248"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555FE3C7"/>
    <w:multiLevelType w:val="singleLevel"/>
    <w:tmpl w:val="555FE3C7"/>
    <w:lvl w:ilvl="0" w:tentative="0">
      <w:start w:val="2"/>
      <w:numFmt w:val="decimal"/>
      <w:pStyle w:val="297"/>
      <w:suff w:val="nothing"/>
      <w:lvlText w:val="%1、"/>
      <w:lvlJc w:val="left"/>
    </w:lvl>
  </w:abstractNum>
  <w:abstractNum w:abstractNumId="17">
    <w:nsid w:val="7A0F6431"/>
    <w:multiLevelType w:val="singleLevel"/>
    <w:tmpl w:val="7A0F6431"/>
    <w:lvl w:ilvl="0" w:tentative="0">
      <w:start w:val="1"/>
      <w:numFmt w:val="decimal"/>
      <w:suff w:val="space"/>
      <w:lvlText w:val="%1."/>
      <w:lvlJc w:val="left"/>
    </w:lvl>
  </w:abstractNum>
  <w:num w:numId="1">
    <w:abstractNumId w:val="7"/>
  </w:num>
  <w:num w:numId="2">
    <w:abstractNumId w:val="9"/>
  </w:num>
  <w:num w:numId="3">
    <w:abstractNumId w:val="6"/>
  </w:num>
  <w:num w:numId="4">
    <w:abstractNumId w:val="13"/>
  </w:num>
  <w:num w:numId="5">
    <w:abstractNumId w:val="8"/>
  </w:num>
  <w:num w:numId="6">
    <w:abstractNumId w:val="12"/>
  </w:num>
  <w:num w:numId="7">
    <w:abstractNumId w:val="10"/>
    <w:lvlOverride w:ilvl="0">
      <w:startOverride w:val="1"/>
    </w:lvlOverride>
  </w:num>
  <w:num w:numId="8">
    <w:abstractNumId w:val="16"/>
  </w:num>
  <w:num w:numId="9">
    <w:abstractNumId w:val="11"/>
  </w:num>
  <w:num w:numId="10">
    <w:abstractNumId w:val="15"/>
  </w:num>
  <w:num w:numId="11">
    <w:abstractNumId w:val="1"/>
  </w:num>
  <w:num w:numId="12">
    <w:abstractNumId w:val="17"/>
  </w:num>
  <w:num w:numId="13">
    <w:abstractNumId w:val="5"/>
  </w:num>
  <w:num w:numId="14">
    <w:abstractNumId w:val="3"/>
  </w:num>
  <w:num w:numId="15">
    <w:abstractNumId w:val="2"/>
  </w:num>
  <w:num w:numId="16">
    <w:abstractNumId w:val="0"/>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wYmU5MzJjZmUzMWExZjM4YWMyZGJjYjAzOGNkYzMifQ=="/>
  </w:docVars>
  <w:rsids>
    <w:rsidRoot w:val="00172A27"/>
    <w:rsid w:val="00001676"/>
    <w:rsid w:val="00005D05"/>
    <w:rsid w:val="00014AD4"/>
    <w:rsid w:val="00024CF5"/>
    <w:rsid w:val="00026D7B"/>
    <w:rsid w:val="00030711"/>
    <w:rsid w:val="000376FD"/>
    <w:rsid w:val="00040CEF"/>
    <w:rsid w:val="00041016"/>
    <w:rsid w:val="00041F37"/>
    <w:rsid w:val="00042B92"/>
    <w:rsid w:val="000433B9"/>
    <w:rsid w:val="00044D36"/>
    <w:rsid w:val="000473C0"/>
    <w:rsid w:val="00047D73"/>
    <w:rsid w:val="000537A9"/>
    <w:rsid w:val="00053D76"/>
    <w:rsid w:val="0005467B"/>
    <w:rsid w:val="000576B9"/>
    <w:rsid w:val="00070D90"/>
    <w:rsid w:val="000721FD"/>
    <w:rsid w:val="00072599"/>
    <w:rsid w:val="000762C7"/>
    <w:rsid w:val="00080FB7"/>
    <w:rsid w:val="0008235E"/>
    <w:rsid w:val="00083A9D"/>
    <w:rsid w:val="00086196"/>
    <w:rsid w:val="00087162"/>
    <w:rsid w:val="00094239"/>
    <w:rsid w:val="000A073F"/>
    <w:rsid w:val="000A26F8"/>
    <w:rsid w:val="000A4C5D"/>
    <w:rsid w:val="000A5D6A"/>
    <w:rsid w:val="000A7582"/>
    <w:rsid w:val="000A7F0E"/>
    <w:rsid w:val="000B2DDB"/>
    <w:rsid w:val="000B3636"/>
    <w:rsid w:val="000B602E"/>
    <w:rsid w:val="000B6CF2"/>
    <w:rsid w:val="000C0BDF"/>
    <w:rsid w:val="000C2748"/>
    <w:rsid w:val="000C6C3D"/>
    <w:rsid w:val="000D0346"/>
    <w:rsid w:val="000D251F"/>
    <w:rsid w:val="000D5BA3"/>
    <w:rsid w:val="000D6C5E"/>
    <w:rsid w:val="000E16D0"/>
    <w:rsid w:val="000E239E"/>
    <w:rsid w:val="000E2D22"/>
    <w:rsid w:val="000E4CB8"/>
    <w:rsid w:val="000F0A0A"/>
    <w:rsid w:val="000F1814"/>
    <w:rsid w:val="000F2962"/>
    <w:rsid w:val="00101104"/>
    <w:rsid w:val="00102366"/>
    <w:rsid w:val="00102749"/>
    <w:rsid w:val="00103A72"/>
    <w:rsid w:val="00110EFD"/>
    <w:rsid w:val="001145C3"/>
    <w:rsid w:val="00116EC2"/>
    <w:rsid w:val="0011734E"/>
    <w:rsid w:val="00117EEF"/>
    <w:rsid w:val="00121352"/>
    <w:rsid w:val="001238E8"/>
    <w:rsid w:val="00124AD9"/>
    <w:rsid w:val="00124C7C"/>
    <w:rsid w:val="00125E29"/>
    <w:rsid w:val="00126EC9"/>
    <w:rsid w:val="001307BD"/>
    <w:rsid w:val="00134C8A"/>
    <w:rsid w:val="00134D32"/>
    <w:rsid w:val="0014038B"/>
    <w:rsid w:val="001431D1"/>
    <w:rsid w:val="00143B4D"/>
    <w:rsid w:val="001450B1"/>
    <w:rsid w:val="00145B44"/>
    <w:rsid w:val="00145C39"/>
    <w:rsid w:val="001463BE"/>
    <w:rsid w:val="00151B7E"/>
    <w:rsid w:val="00151FE8"/>
    <w:rsid w:val="00153DC9"/>
    <w:rsid w:val="00154784"/>
    <w:rsid w:val="00162D46"/>
    <w:rsid w:val="00166A28"/>
    <w:rsid w:val="00166B93"/>
    <w:rsid w:val="00171C4B"/>
    <w:rsid w:val="00171DA0"/>
    <w:rsid w:val="00172A27"/>
    <w:rsid w:val="00173C00"/>
    <w:rsid w:val="00174B9B"/>
    <w:rsid w:val="0017628A"/>
    <w:rsid w:val="001774CB"/>
    <w:rsid w:val="001812CE"/>
    <w:rsid w:val="00184C02"/>
    <w:rsid w:val="00186D96"/>
    <w:rsid w:val="001870E7"/>
    <w:rsid w:val="00191B33"/>
    <w:rsid w:val="0019258F"/>
    <w:rsid w:val="001948D3"/>
    <w:rsid w:val="00197896"/>
    <w:rsid w:val="001A3DA9"/>
    <w:rsid w:val="001A78EB"/>
    <w:rsid w:val="001B001E"/>
    <w:rsid w:val="001B1E96"/>
    <w:rsid w:val="001B26E8"/>
    <w:rsid w:val="001B7AF8"/>
    <w:rsid w:val="001C1E2E"/>
    <w:rsid w:val="001C51AF"/>
    <w:rsid w:val="001D432C"/>
    <w:rsid w:val="001E266C"/>
    <w:rsid w:val="001E461B"/>
    <w:rsid w:val="001E7DB8"/>
    <w:rsid w:val="001F3533"/>
    <w:rsid w:val="001F4776"/>
    <w:rsid w:val="001F6B15"/>
    <w:rsid w:val="00200985"/>
    <w:rsid w:val="00203561"/>
    <w:rsid w:val="00204AE8"/>
    <w:rsid w:val="00205247"/>
    <w:rsid w:val="00206741"/>
    <w:rsid w:val="0021026B"/>
    <w:rsid w:val="00210833"/>
    <w:rsid w:val="002118C9"/>
    <w:rsid w:val="00213718"/>
    <w:rsid w:val="002164C5"/>
    <w:rsid w:val="00216748"/>
    <w:rsid w:val="00221D49"/>
    <w:rsid w:val="00222EFF"/>
    <w:rsid w:val="00223D4A"/>
    <w:rsid w:val="00234355"/>
    <w:rsid w:val="00236020"/>
    <w:rsid w:val="00240AC1"/>
    <w:rsid w:val="002419E9"/>
    <w:rsid w:val="00245495"/>
    <w:rsid w:val="002509D2"/>
    <w:rsid w:val="00251653"/>
    <w:rsid w:val="00253FAF"/>
    <w:rsid w:val="002566BA"/>
    <w:rsid w:val="002603A9"/>
    <w:rsid w:val="00262519"/>
    <w:rsid w:val="0026303A"/>
    <w:rsid w:val="00263A8D"/>
    <w:rsid w:val="00266037"/>
    <w:rsid w:val="00277ABD"/>
    <w:rsid w:val="00281DE9"/>
    <w:rsid w:val="0028357D"/>
    <w:rsid w:val="00291EBF"/>
    <w:rsid w:val="00291F85"/>
    <w:rsid w:val="002928DA"/>
    <w:rsid w:val="00292EB4"/>
    <w:rsid w:val="00294A7A"/>
    <w:rsid w:val="00295600"/>
    <w:rsid w:val="0029756D"/>
    <w:rsid w:val="002A353A"/>
    <w:rsid w:val="002A401E"/>
    <w:rsid w:val="002B212D"/>
    <w:rsid w:val="002B3075"/>
    <w:rsid w:val="002B4229"/>
    <w:rsid w:val="002B7CA6"/>
    <w:rsid w:val="002C4461"/>
    <w:rsid w:val="002C4628"/>
    <w:rsid w:val="002C7315"/>
    <w:rsid w:val="002C7E64"/>
    <w:rsid w:val="002C7FB6"/>
    <w:rsid w:val="002D0EE1"/>
    <w:rsid w:val="002D243E"/>
    <w:rsid w:val="002D486E"/>
    <w:rsid w:val="002D6E46"/>
    <w:rsid w:val="002D7C26"/>
    <w:rsid w:val="002E31BC"/>
    <w:rsid w:val="002E37E3"/>
    <w:rsid w:val="002E4D07"/>
    <w:rsid w:val="002E60C4"/>
    <w:rsid w:val="002E714E"/>
    <w:rsid w:val="002E763B"/>
    <w:rsid w:val="002F0112"/>
    <w:rsid w:val="0030568F"/>
    <w:rsid w:val="00310DC2"/>
    <w:rsid w:val="003170B4"/>
    <w:rsid w:val="00321E92"/>
    <w:rsid w:val="00324EBB"/>
    <w:rsid w:val="00325207"/>
    <w:rsid w:val="0032545A"/>
    <w:rsid w:val="0032782F"/>
    <w:rsid w:val="003300C2"/>
    <w:rsid w:val="00331408"/>
    <w:rsid w:val="00332925"/>
    <w:rsid w:val="0034278F"/>
    <w:rsid w:val="00342CCA"/>
    <w:rsid w:val="003453ED"/>
    <w:rsid w:val="00345D45"/>
    <w:rsid w:val="00346599"/>
    <w:rsid w:val="003526A0"/>
    <w:rsid w:val="00360C45"/>
    <w:rsid w:val="003650DC"/>
    <w:rsid w:val="00370EC9"/>
    <w:rsid w:val="00371435"/>
    <w:rsid w:val="003719A7"/>
    <w:rsid w:val="00373910"/>
    <w:rsid w:val="003756D9"/>
    <w:rsid w:val="00376EC2"/>
    <w:rsid w:val="00380D79"/>
    <w:rsid w:val="00381986"/>
    <w:rsid w:val="00382F00"/>
    <w:rsid w:val="003841D5"/>
    <w:rsid w:val="003852DA"/>
    <w:rsid w:val="003863A4"/>
    <w:rsid w:val="003923AE"/>
    <w:rsid w:val="00395BE2"/>
    <w:rsid w:val="003A23CD"/>
    <w:rsid w:val="003A4268"/>
    <w:rsid w:val="003A71AB"/>
    <w:rsid w:val="003A7A30"/>
    <w:rsid w:val="003B090B"/>
    <w:rsid w:val="003B1FD1"/>
    <w:rsid w:val="003B3935"/>
    <w:rsid w:val="003C0746"/>
    <w:rsid w:val="003C1938"/>
    <w:rsid w:val="003C2787"/>
    <w:rsid w:val="003D3397"/>
    <w:rsid w:val="003D4D85"/>
    <w:rsid w:val="003D6D00"/>
    <w:rsid w:val="003E12FD"/>
    <w:rsid w:val="003E2A63"/>
    <w:rsid w:val="003E446D"/>
    <w:rsid w:val="003E75AC"/>
    <w:rsid w:val="003F175A"/>
    <w:rsid w:val="003F1882"/>
    <w:rsid w:val="003F1D60"/>
    <w:rsid w:val="003F6830"/>
    <w:rsid w:val="00401670"/>
    <w:rsid w:val="00407CDD"/>
    <w:rsid w:val="0041547B"/>
    <w:rsid w:val="0042171A"/>
    <w:rsid w:val="00422B89"/>
    <w:rsid w:val="004272EF"/>
    <w:rsid w:val="0043459E"/>
    <w:rsid w:val="004402DB"/>
    <w:rsid w:val="00440744"/>
    <w:rsid w:val="004409AE"/>
    <w:rsid w:val="00440FB3"/>
    <w:rsid w:val="004473B7"/>
    <w:rsid w:val="0044789F"/>
    <w:rsid w:val="00452835"/>
    <w:rsid w:val="00453C10"/>
    <w:rsid w:val="004563BB"/>
    <w:rsid w:val="00457090"/>
    <w:rsid w:val="00457EC6"/>
    <w:rsid w:val="004624E4"/>
    <w:rsid w:val="004628DF"/>
    <w:rsid w:val="00464922"/>
    <w:rsid w:val="00464CE3"/>
    <w:rsid w:val="00466AC5"/>
    <w:rsid w:val="00467219"/>
    <w:rsid w:val="00467312"/>
    <w:rsid w:val="0047240F"/>
    <w:rsid w:val="00474E19"/>
    <w:rsid w:val="00474EEF"/>
    <w:rsid w:val="004765EE"/>
    <w:rsid w:val="004845FE"/>
    <w:rsid w:val="00484D12"/>
    <w:rsid w:val="00487C3E"/>
    <w:rsid w:val="00487DC6"/>
    <w:rsid w:val="0049149D"/>
    <w:rsid w:val="004970D6"/>
    <w:rsid w:val="004A0FED"/>
    <w:rsid w:val="004A2557"/>
    <w:rsid w:val="004B4FD2"/>
    <w:rsid w:val="004B7131"/>
    <w:rsid w:val="004C21EC"/>
    <w:rsid w:val="004C4C62"/>
    <w:rsid w:val="004C7B45"/>
    <w:rsid w:val="004D1260"/>
    <w:rsid w:val="004D2188"/>
    <w:rsid w:val="004D2B97"/>
    <w:rsid w:val="004D39E3"/>
    <w:rsid w:val="004D650B"/>
    <w:rsid w:val="004E0BEB"/>
    <w:rsid w:val="004E4AE6"/>
    <w:rsid w:val="004F31A0"/>
    <w:rsid w:val="004F35C1"/>
    <w:rsid w:val="004F40E3"/>
    <w:rsid w:val="004F415D"/>
    <w:rsid w:val="004F4360"/>
    <w:rsid w:val="0050081F"/>
    <w:rsid w:val="0050278B"/>
    <w:rsid w:val="00503034"/>
    <w:rsid w:val="005036E1"/>
    <w:rsid w:val="00504A84"/>
    <w:rsid w:val="00504D19"/>
    <w:rsid w:val="00506BEC"/>
    <w:rsid w:val="00506DFF"/>
    <w:rsid w:val="00510807"/>
    <w:rsid w:val="005159CA"/>
    <w:rsid w:val="00520F6E"/>
    <w:rsid w:val="00522019"/>
    <w:rsid w:val="00522E3D"/>
    <w:rsid w:val="00527C3E"/>
    <w:rsid w:val="00531854"/>
    <w:rsid w:val="00533570"/>
    <w:rsid w:val="00533736"/>
    <w:rsid w:val="00533A46"/>
    <w:rsid w:val="00533E1C"/>
    <w:rsid w:val="00536591"/>
    <w:rsid w:val="00536FD7"/>
    <w:rsid w:val="00537F55"/>
    <w:rsid w:val="00543514"/>
    <w:rsid w:val="00555A30"/>
    <w:rsid w:val="00561638"/>
    <w:rsid w:val="00565684"/>
    <w:rsid w:val="00570258"/>
    <w:rsid w:val="005702BB"/>
    <w:rsid w:val="00570A85"/>
    <w:rsid w:val="00570F77"/>
    <w:rsid w:val="00572190"/>
    <w:rsid w:val="005731A1"/>
    <w:rsid w:val="005734AE"/>
    <w:rsid w:val="00573D62"/>
    <w:rsid w:val="00580ED4"/>
    <w:rsid w:val="00582E42"/>
    <w:rsid w:val="005836E5"/>
    <w:rsid w:val="00586539"/>
    <w:rsid w:val="005937D1"/>
    <w:rsid w:val="005A1088"/>
    <w:rsid w:val="005A4A36"/>
    <w:rsid w:val="005A4D8F"/>
    <w:rsid w:val="005A5B8F"/>
    <w:rsid w:val="005A65BA"/>
    <w:rsid w:val="005A69F3"/>
    <w:rsid w:val="005B1276"/>
    <w:rsid w:val="005C748A"/>
    <w:rsid w:val="005D082E"/>
    <w:rsid w:val="005D2110"/>
    <w:rsid w:val="005D3280"/>
    <w:rsid w:val="005D4D56"/>
    <w:rsid w:val="005D4E5E"/>
    <w:rsid w:val="005E2698"/>
    <w:rsid w:val="005F0399"/>
    <w:rsid w:val="005F0BAC"/>
    <w:rsid w:val="005F5E73"/>
    <w:rsid w:val="005F6A65"/>
    <w:rsid w:val="006010C8"/>
    <w:rsid w:val="00604435"/>
    <w:rsid w:val="0060713E"/>
    <w:rsid w:val="00612051"/>
    <w:rsid w:val="006123DC"/>
    <w:rsid w:val="006201ED"/>
    <w:rsid w:val="00624DD7"/>
    <w:rsid w:val="00624F22"/>
    <w:rsid w:val="00630751"/>
    <w:rsid w:val="0063679D"/>
    <w:rsid w:val="00645004"/>
    <w:rsid w:val="00645AD1"/>
    <w:rsid w:val="00652853"/>
    <w:rsid w:val="00652D0C"/>
    <w:rsid w:val="00660513"/>
    <w:rsid w:val="00662A83"/>
    <w:rsid w:val="00667341"/>
    <w:rsid w:val="006706B4"/>
    <w:rsid w:val="00670C23"/>
    <w:rsid w:val="006731B8"/>
    <w:rsid w:val="00674650"/>
    <w:rsid w:val="00675F36"/>
    <w:rsid w:val="006769A7"/>
    <w:rsid w:val="00682A9D"/>
    <w:rsid w:val="00682F75"/>
    <w:rsid w:val="006840A3"/>
    <w:rsid w:val="00685F68"/>
    <w:rsid w:val="00687121"/>
    <w:rsid w:val="006954B3"/>
    <w:rsid w:val="006968D9"/>
    <w:rsid w:val="006972CA"/>
    <w:rsid w:val="006A2B47"/>
    <w:rsid w:val="006A411D"/>
    <w:rsid w:val="006A65FA"/>
    <w:rsid w:val="006A67F4"/>
    <w:rsid w:val="006B1946"/>
    <w:rsid w:val="006B593F"/>
    <w:rsid w:val="006B7EA4"/>
    <w:rsid w:val="006C3B26"/>
    <w:rsid w:val="006C78D8"/>
    <w:rsid w:val="006D0860"/>
    <w:rsid w:val="006D08E8"/>
    <w:rsid w:val="006D27B0"/>
    <w:rsid w:val="006D2F0B"/>
    <w:rsid w:val="006D4491"/>
    <w:rsid w:val="006E3049"/>
    <w:rsid w:val="006E5467"/>
    <w:rsid w:val="006E54E8"/>
    <w:rsid w:val="006F476E"/>
    <w:rsid w:val="006F7BC6"/>
    <w:rsid w:val="00701177"/>
    <w:rsid w:val="007012AF"/>
    <w:rsid w:val="007024DF"/>
    <w:rsid w:val="00704F8F"/>
    <w:rsid w:val="007058BB"/>
    <w:rsid w:val="00705ADD"/>
    <w:rsid w:val="007073CE"/>
    <w:rsid w:val="0070763A"/>
    <w:rsid w:val="007140A5"/>
    <w:rsid w:val="007140BE"/>
    <w:rsid w:val="0071511C"/>
    <w:rsid w:val="00716AA5"/>
    <w:rsid w:val="00717839"/>
    <w:rsid w:val="00721A21"/>
    <w:rsid w:val="00724FE0"/>
    <w:rsid w:val="00725FB0"/>
    <w:rsid w:val="00730FDB"/>
    <w:rsid w:val="0073119B"/>
    <w:rsid w:val="00734CFE"/>
    <w:rsid w:val="00741A47"/>
    <w:rsid w:val="007429B1"/>
    <w:rsid w:val="00744FCA"/>
    <w:rsid w:val="0074732C"/>
    <w:rsid w:val="00747784"/>
    <w:rsid w:val="007566BF"/>
    <w:rsid w:val="00757FB1"/>
    <w:rsid w:val="007615F3"/>
    <w:rsid w:val="00761B98"/>
    <w:rsid w:val="00762A0A"/>
    <w:rsid w:val="0076423B"/>
    <w:rsid w:val="007642A1"/>
    <w:rsid w:val="00766790"/>
    <w:rsid w:val="00771BAF"/>
    <w:rsid w:val="00771F01"/>
    <w:rsid w:val="0078027C"/>
    <w:rsid w:val="007810C1"/>
    <w:rsid w:val="00785183"/>
    <w:rsid w:val="00793031"/>
    <w:rsid w:val="00796EA7"/>
    <w:rsid w:val="007A20A1"/>
    <w:rsid w:val="007A3AA8"/>
    <w:rsid w:val="007A46BC"/>
    <w:rsid w:val="007A7D95"/>
    <w:rsid w:val="007B1B72"/>
    <w:rsid w:val="007B1C3A"/>
    <w:rsid w:val="007B1C80"/>
    <w:rsid w:val="007B757E"/>
    <w:rsid w:val="007C0B62"/>
    <w:rsid w:val="007C30AC"/>
    <w:rsid w:val="007C449C"/>
    <w:rsid w:val="007D1235"/>
    <w:rsid w:val="007D720C"/>
    <w:rsid w:val="007D79A8"/>
    <w:rsid w:val="007E0EA2"/>
    <w:rsid w:val="007E29FD"/>
    <w:rsid w:val="007E4A27"/>
    <w:rsid w:val="007E6077"/>
    <w:rsid w:val="007E7EAE"/>
    <w:rsid w:val="007F4BCF"/>
    <w:rsid w:val="007F7416"/>
    <w:rsid w:val="00800B79"/>
    <w:rsid w:val="00806E18"/>
    <w:rsid w:val="0081242D"/>
    <w:rsid w:val="00812DA0"/>
    <w:rsid w:val="00814BF0"/>
    <w:rsid w:val="008207C0"/>
    <w:rsid w:val="00821359"/>
    <w:rsid w:val="00824272"/>
    <w:rsid w:val="0082475A"/>
    <w:rsid w:val="00826866"/>
    <w:rsid w:val="00830905"/>
    <w:rsid w:val="008315AB"/>
    <w:rsid w:val="00832F19"/>
    <w:rsid w:val="00834228"/>
    <w:rsid w:val="00837860"/>
    <w:rsid w:val="0084609E"/>
    <w:rsid w:val="0085040D"/>
    <w:rsid w:val="0085276C"/>
    <w:rsid w:val="0085389B"/>
    <w:rsid w:val="00853EEF"/>
    <w:rsid w:val="008574AE"/>
    <w:rsid w:val="008606C9"/>
    <w:rsid w:val="00861E4A"/>
    <w:rsid w:val="0086659D"/>
    <w:rsid w:val="00873993"/>
    <w:rsid w:val="00876B3A"/>
    <w:rsid w:val="008773EC"/>
    <w:rsid w:val="008774D1"/>
    <w:rsid w:val="00877C09"/>
    <w:rsid w:val="00882B85"/>
    <w:rsid w:val="008834E4"/>
    <w:rsid w:val="0089063C"/>
    <w:rsid w:val="00894591"/>
    <w:rsid w:val="008967E0"/>
    <w:rsid w:val="00897511"/>
    <w:rsid w:val="008A03DE"/>
    <w:rsid w:val="008A0715"/>
    <w:rsid w:val="008A2C23"/>
    <w:rsid w:val="008A2D70"/>
    <w:rsid w:val="008A446F"/>
    <w:rsid w:val="008A5EA6"/>
    <w:rsid w:val="008A6F8F"/>
    <w:rsid w:val="008B3BE2"/>
    <w:rsid w:val="008C0655"/>
    <w:rsid w:val="008C06C0"/>
    <w:rsid w:val="008C1C1E"/>
    <w:rsid w:val="008C3E4B"/>
    <w:rsid w:val="008C6768"/>
    <w:rsid w:val="008C69D5"/>
    <w:rsid w:val="008D38AA"/>
    <w:rsid w:val="008D39B4"/>
    <w:rsid w:val="008D52F7"/>
    <w:rsid w:val="008D655A"/>
    <w:rsid w:val="008D6BD4"/>
    <w:rsid w:val="008E0A96"/>
    <w:rsid w:val="008E3091"/>
    <w:rsid w:val="008E3775"/>
    <w:rsid w:val="008E3A5C"/>
    <w:rsid w:val="008F2E21"/>
    <w:rsid w:val="008F437A"/>
    <w:rsid w:val="008F4CEA"/>
    <w:rsid w:val="009007A0"/>
    <w:rsid w:val="0090770C"/>
    <w:rsid w:val="00907B9C"/>
    <w:rsid w:val="00907DAD"/>
    <w:rsid w:val="00912CD4"/>
    <w:rsid w:val="009134DF"/>
    <w:rsid w:val="00917A6C"/>
    <w:rsid w:val="009213EC"/>
    <w:rsid w:val="009222FB"/>
    <w:rsid w:val="00922447"/>
    <w:rsid w:val="0092406C"/>
    <w:rsid w:val="00927080"/>
    <w:rsid w:val="00927D56"/>
    <w:rsid w:val="009300AA"/>
    <w:rsid w:val="00931F83"/>
    <w:rsid w:val="009368BF"/>
    <w:rsid w:val="00940EEC"/>
    <w:rsid w:val="009413BD"/>
    <w:rsid w:val="009438AF"/>
    <w:rsid w:val="00945700"/>
    <w:rsid w:val="00945B97"/>
    <w:rsid w:val="0094759D"/>
    <w:rsid w:val="00951426"/>
    <w:rsid w:val="009522F6"/>
    <w:rsid w:val="009539F3"/>
    <w:rsid w:val="009549AF"/>
    <w:rsid w:val="00960AC7"/>
    <w:rsid w:val="00961C05"/>
    <w:rsid w:val="00970372"/>
    <w:rsid w:val="00971EA4"/>
    <w:rsid w:val="009739FA"/>
    <w:rsid w:val="009770C3"/>
    <w:rsid w:val="009815A4"/>
    <w:rsid w:val="00982407"/>
    <w:rsid w:val="00985BC5"/>
    <w:rsid w:val="00991918"/>
    <w:rsid w:val="00991A18"/>
    <w:rsid w:val="009934D3"/>
    <w:rsid w:val="00993832"/>
    <w:rsid w:val="00995486"/>
    <w:rsid w:val="00995FE4"/>
    <w:rsid w:val="009A2B54"/>
    <w:rsid w:val="009A7030"/>
    <w:rsid w:val="009B1C2B"/>
    <w:rsid w:val="009B4364"/>
    <w:rsid w:val="009B58B7"/>
    <w:rsid w:val="009B70C8"/>
    <w:rsid w:val="009C04D2"/>
    <w:rsid w:val="009C2665"/>
    <w:rsid w:val="009C5202"/>
    <w:rsid w:val="009C6B08"/>
    <w:rsid w:val="009E1F8A"/>
    <w:rsid w:val="009E2262"/>
    <w:rsid w:val="009E40D7"/>
    <w:rsid w:val="009E63FB"/>
    <w:rsid w:val="009F0A0A"/>
    <w:rsid w:val="009F191C"/>
    <w:rsid w:val="009F3194"/>
    <w:rsid w:val="009F5D4F"/>
    <w:rsid w:val="00A024D0"/>
    <w:rsid w:val="00A027F3"/>
    <w:rsid w:val="00A05C41"/>
    <w:rsid w:val="00A06164"/>
    <w:rsid w:val="00A070CD"/>
    <w:rsid w:val="00A12F32"/>
    <w:rsid w:val="00A12F56"/>
    <w:rsid w:val="00A12FC7"/>
    <w:rsid w:val="00A15237"/>
    <w:rsid w:val="00A16FF0"/>
    <w:rsid w:val="00A2052D"/>
    <w:rsid w:val="00A23659"/>
    <w:rsid w:val="00A256C0"/>
    <w:rsid w:val="00A31019"/>
    <w:rsid w:val="00A3114F"/>
    <w:rsid w:val="00A37131"/>
    <w:rsid w:val="00A42B8E"/>
    <w:rsid w:val="00A46839"/>
    <w:rsid w:val="00A4706B"/>
    <w:rsid w:val="00A532F4"/>
    <w:rsid w:val="00A533B9"/>
    <w:rsid w:val="00A5467C"/>
    <w:rsid w:val="00A626BF"/>
    <w:rsid w:val="00A637D7"/>
    <w:rsid w:val="00A711C1"/>
    <w:rsid w:val="00A733D8"/>
    <w:rsid w:val="00A76045"/>
    <w:rsid w:val="00A76C5B"/>
    <w:rsid w:val="00A828AA"/>
    <w:rsid w:val="00A95CF8"/>
    <w:rsid w:val="00AA1AF2"/>
    <w:rsid w:val="00AA2992"/>
    <w:rsid w:val="00AA48A4"/>
    <w:rsid w:val="00AB24D9"/>
    <w:rsid w:val="00AB2C37"/>
    <w:rsid w:val="00AB7063"/>
    <w:rsid w:val="00AC0FC2"/>
    <w:rsid w:val="00AC123C"/>
    <w:rsid w:val="00AD2AFA"/>
    <w:rsid w:val="00AD2F66"/>
    <w:rsid w:val="00AD62B7"/>
    <w:rsid w:val="00AE08D5"/>
    <w:rsid w:val="00AE34CF"/>
    <w:rsid w:val="00AE39E5"/>
    <w:rsid w:val="00AF0544"/>
    <w:rsid w:val="00AF1E81"/>
    <w:rsid w:val="00AF3A88"/>
    <w:rsid w:val="00AF48F8"/>
    <w:rsid w:val="00AF5E8C"/>
    <w:rsid w:val="00B00193"/>
    <w:rsid w:val="00B02053"/>
    <w:rsid w:val="00B03C03"/>
    <w:rsid w:val="00B06E95"/>
    <w:rsid w:val="00B070C6"/>
    <w:rsid w:val="00B10026"/>
    <w:rsid w:val="00B13E98"/>
    <w:rsid w:val="00B16BDC"/>
    <w:rsid w:val="00B2064A"/>
    <w:rsid w:val="00B30549"/>
    <w:rsid w:val="00B318A7"/>
    <w:rsid w:val="00B32B0F"/>
    <w:rsid w:val="00B333CD"/>
    <w:rsid w:val="00B34087"/>
    <w:rsid w:val="00B34D49"/>
    <w:rsid w:val="00B40822"/>
    <w:rsid w:val="00B50685"/>
    <w:rsid w:val="00B51789"/>
    <w:rsid w:val="00B54DAA"/>
    <w:rsid w:val="00B55B76"/>
    <w:rsid w:val="00B56647"/>
    <w:rsid w:val="00B60ADB"/>
    <w:rsid w:val="00B610D4"/>
    <w:rsid w:val="00B672E1"/>
    <w:rsid w:val="00B71036"/>
    <w:rsid w:val="00B759BD"/>
    <w:rsid w:val="00B75D35"/>
    <w:rsid w:val="00B77CC4"/>
    <w:rsid w:val="00B81753"/>
    <w:rsid w:val="00B826E4"/>
    <w:rsid w:val="00B8498C"/>
    <w:rsid w:val="00B84BB1"/>
    <w:rsid w:val="00B8545A"/>
    <w:rsid w:val="00B90F05"/>
    <w:rsid w:val="00B96254"/>
    <w:rsid w:val="00B9634D"/>
    <w:rsid w:val="00BA7415"/>
    <w:rsid w:val="00BB4AA9"/>
    <w:rsid w:val="00BB5535"/>
    <w:rsid w:val="00BB5995"/>
    <w:rsid w:val="00BB5E8C"/>
    <w:rsid w:val="00BB716D"/>
    <w:rsid w:val="00BC1382"/>
    <w:rsid w:val="00BC37CF"/>
    <w:rsid w:val="00BC7889"/>
    <w:rsid w:val="00BD11BD"/>
    <w:rsid w:val="00BD1AD9"/>
    <w:rsid w:val="00BD33F7"/>
    <w:rsid w:val="00BD4612"/>
    <w:rsid w:val="00BD579D"/>
    <w:rsid w:val="00BD5E06"/>
    <w:rsid w:val="00BE1826"/>
    <w:rsid w:val="00BE3911"/>
    <w:rsid w:val="00BE4F7B"/>
    <w:rsid w:val="00BF75CD"/>
    <w:rsid w:val="00C007DB"/>
    <w:rsid w:val="00C02C0F"/>
    <w:rsid w:val="00C0503B"/>
    <w:rsid w:val="00C06AA5"/>
    <w:rsid w:val="00C06F9B"/>
    <w:rsid w:val="00C07037"/>
    <w:rsid w:val="00C07AD6"/>
    <w:rsid w:val="00C10293"/>
    <w:rsid w:val="00C12A30"/>
    <w:rsid w:val="00C1604E"/>
    <w:rsid w:val="00C24A89"/>
    <w:rsid w:val="00C3028A"/>
    <w:rsid w:val="00C321F2"/>
    <w:rsid w:val="00C3600F"/>
    <w:rsid w:val="00C41E72"/>
    <w:rsid w:val="00C46C41"/>
    <w:rsid w:val="00C47D63"/>
    <w:rsid w:val="00C5107D"/>
    <w:rsid w:val="00C51D1B"/>
    <w:rsid w:val="00C52FE5"/>
    <w:rsid w:val="00C54D22"/>
    <w:rsid w:val="00C57C95"/>
    <w:rsid w:val="00C64D0C"/>
    <w:rsid w:val="00C64D3A"/>
    <w:rsid w:val="00C65014"/>
    <w:rsid w:val="00C65EF5"/>
    <w:rsid w:val="00C66DD3"/>
    <w:rsid w:val="00C70DE0"/>
    <w:rsid w:val="00C71521"/>
    <w:rsid w:val="00C71927"/>
    <w:rsid w:val="00C729B9"/>
    <w:rsid w:val="00C84C9F"/>
    <w:rsid w:val="00C87205"/>
    <w:rsid w:val="00C905A6"/>
    <w:rsid w:val="00C9382D"/>
    <w:rsid w:val="00C9788A"/>
    <w:rsid w:val="00CA06A1"/>
    <w:rsid w:val="00CA12FD"/>
    <w:rsid w:val="00CA1E0E"/>
    <w:rsid w:val="00CA742F"/>
    <w:rsid w:val="00CB04D3"/>
    <w:rsid w:val="00CB29AF"/>
    <w:rsid w:val="00CB3D37"/>
    <w:rsid w:val="00CB6B91"/>
    <w:rsid w:val="00CC111C"/>
    <w:rsid w:val="00CC2507"/>
    <w:rsid w:val="00CC2620"/>
    <w:rsid w:val="00CC4317"/>
    <w:rsid w:val="00CC4AD9"/>
    <w:rsid w:val="00CC55F0"/>
    <w:rsid w:val="00CC7ABD"/>
    <w:rsid w:val="00CD6643"/>
    <w:rsid w:val="00CD710C"/>
    <w:rsid w:val="00CE2B36"/>
    <w:rsid w:val="00CE398A"/>
    <w:rsid w:val="00CE4E09"/>
    <w:rsid w:val="00CE70AA"/>
    <w:rsid w:val="00CE7823"/>
    <w:rsid w:val="00CF0465"/>
    <w:rsid w:val="00CF2079"/>
    <w:rsid w:val="00CF2CFE"/>
    <w:rsid w:val="00CF73C0"/>
    <w:rsid w:val="00CF75E8"/>
    <w:rsid w:val="00D067E9"/>
    <w:rsid w:val="00D07220"/>
    <w:rsid w:val="00D1342A"/>
    <w:rsid w:val="00D22014"/>
    <w:rsid w:val="00D2347B"/>
    <w:rsid w:val="00D27884"/>
    <w:rsid w:val="00D30C3E"/>
    <w:rsid w:val="00D31494"/>
    <w:rsid w:val="00D32C6A"/>
    <w:rsid w:val="00D33E58"/>
    <w:rsid w:val="00D36789"/>
    <w:rsid w:val="00D40067"/>
    <w:rsid w:val="00D4059B"/>
    <w:rsid w:val="00D411E4"/>
    <w:rsid w:val="00D41DE1"/>
    <w:rsid w:val="00D43FEA"/>
    <w:rsid w:val="00D459EF"/>
    <w:rsid w:val="00D45F06"/>
    <w:rsid w:val="00D46B9E"/>
    <w:rsid w:val="00D47B63"/>
    <w:rsid w:val="00D51117"/>
    <w:rsid w:val="00D51D51"/>
    <w:rsid w:val="00D52D47"/>
    <w:rsid w:val="00D53CB4"/>
    <w:rsid w:val="00D54103"/>
    <w:rsid w:val="00D54129"/>
    <w:rsid w:val="00D55F24"/>
    <w:rsid w:val="00D57809"/>
    <w:rsid w:val="00D63EFD"/>
    <w:rsid w:val="00D665A7"/>
    <w:rsid w:val="00D666B3"/>
    <w:rsid w:val="00D6678A"/>
    <w:rsid w:val="00D667A7"/>
    <w:rsid w:val="00D66CE7"/>
    <w:rsid w:val="00D750E0"/>
    <w:rsid w:val="00D75C0B"/>
    <w:rsid w:val="00D76D5E"/>
    <w:rsid w:val="00D80007"/>
    <w:rsid w:val="00D81A4C"/>
    <w:rsid w:val="00D84CFA"/>
    <w:rsid w:val="00D84D2F"/>
    <w:rsid w:val="00D8722B"/>
    <w:rsid w:val="00D90420"/>
    <w:rsid w:val="00D91FA5"/>
    <w:rsid w:val="00D9302E"/>
    <w:rsid w:val="00D96A44"/>
    <w:rsid w:val="00D97D0B"/>
    <w:rsid w:val="00DA0537"/>
    <w:rsid w:val="00DA1859"/>
    <w:rsid w:val="00DA212D"/>
    <w:rsid w:val="00DA3979"/>
    <w:rsid w:val="00DA5370"/>
    <w:rsid w:val="00DA6212"/>
    <w:rsid w:val="00DB2809"/>
    <w:rsid w:val="00DB2DDA"/>
    <w:rsid w:val="00DB73DD"/>
    <w:rsid w:val="00DC0D85"/>
    <w:rsid w:val="00DC14FA"/>
    <w:rsid w:val="00DC2245"/>
    <w:rsid w:val="00DC29A4"/>
    <w:rsid w:val="00DC2C58"/>
    <w:rsid w:val="00DC310A"/>
    <w:rsid w:val="00DC35E9"/>
    <w:rsid w:val="00DC5035"/>
    <w:rsid w:val="00DD5708"/>
    <w:rsid w:val="00DD6396"/>
    <w:rsid w:val="00DE0EA4"/>
    <w:rsid w:val="00DE13C4"/>
    <w:rsid w:val="00DE384C"/>
    <w:rsid w:val="00DE408E"/>
    <w:rsid w:val="00DE5D01"/>
    <w:rsid w:val="00DE6D3D"/>
    <w:rsid w:val="00DE7626"/>
    <w:rsid w:val="00DF0238"/>
    <w:rsid w:val="00DF525C"/>
    <w:rsid w:val="00DF6A44"/>
    <w:rsid w:val="00E01481"/>
    <w:rsid w:val="00E02AB5"/>
    <w:rsid w:val="00E0721F"/>
    <w:rsid w:val="00E079EF"/>
    <w:rsid w:val="00E11053"/>
    <w:rsid w:val="00E12C66"/>
    <w:rsid w:val="00E13AAA"/>
    <w:rsid w:val="00E14B5F"/>
    <w:rsid w:val="00E14EA4"/>
    <w:rsid w:val="00E15FF4"/>
    <w:rsid w:val="00E2009F"/>
    <w:rsid w:val="00E2060C"/>
    <w:rsid w:val="00E215D2"/>
    <w:rsid w:val="00E21F50"/>
    <w:rsid w:val="00E2343F"/>
    <w:rsid w:val="00E2714F"/>
    <w:rsid w:val="00E3423C"/>
    <w:rsid w:val="00E43CB6"/>
    <w:rsid w:val="00E46624"/>
    <w:rsid w:val="00E46C25"/>
    <w:rsid w:val="00E47AFC"/>
    <w:rsid w:val="00E5465A"/>
    <w:rsid w:val="00E55F31"/>
    <w:rsid w:val="00E565CD"/>
    <w:rsid w:val="00E572F2"/>
    <w:rsid w:val="00E61991"/>
    <w:rsid w:val="00E64310"/>
    <w:rsid w:val="00E657F9"/>
    <w:rsid w:val="00E7189A"/>
    <w:rsid w:val="00E73A3E"/>
    <w:rsid w:val="00E755C0"/>
    <w:rsid w:val="00E7606E"/>
    <w:rsid w:val="00E76868"/>
    <w:rsid w:val="00E80ECD"/>
    <w:rsid w:val="00E81FF4"/>
    <w:rsid w:val="00E8352C"/>
    <w:rsid w:val="00E83DFB"/>
    <w:rsid w:val="00E86F08"/>
    <w:rsid w:val="00E94C18"/>
    <w:rsid w:val="00E958D8"/>
    <w:rsid w:val="00EA0065"/>
    <w:rsid w:val="00EA0259"/>
    <w:rsid w:val="00EA5787"/>
    <w:rsid w:val="00EB0D46"/>
    <w:rsid w:val="00EB1814"/>
    <w:rsid w:val="00EB1DD7"/>
    <w:rsid w:val="00EB22A4"/>
    <w:rsid w:val="00EB48B5"/>
    <w:rsid w:val="00EB5524"/>
    <w:rsid w:val="00EB5C50"/>
    <w:rsid w:val="00EC068C"/>
    <w:rsid w:val="00EC1961"/>
    <w:rsid w:val="00EC1FB5"/>
    <w:rsid w:val="00EC441C"/>
    <w:rsid w:val="00EC59A3"/>
    <w:rsid w:val="00EC7067"/>
    <w:rsid w:val="00ED00A3"/>
    <w:rsid w:val="00ED181C"/>
    <w:rsid w:val="00ED1947"/>
    <w:rsid w:val="00ED43B7"/>
    <w:rsid w:val="00ED4FDF"/>
    <w:rsid w:val="00ED5305"/>
    <w:rsid w:val="00EE02EF"/>
    <w:rsid w:val="00EE1145"/>
    <w:rsid w:val="00EE28D9"/>
    <w:rsid w:val="00EE6BA9"/>
    <w:rsid w:val="00EF23DF"/>
    <w:rsid w:val="00EF29B4"/>
    <w:rsid w:val="00EF3022"/>
    <w:rsid w:val="00EF548E"/>
    <w:rsid w:val="00F03870"/>
    <w:rsid w:val="00F03A05"/>
    <w:rsid w:val="00F03D35"/>
    <w:rsid w:val="00F075BE"/>
    <w:rsid w:val="00F100EE"/>
    <w:rsid w:val="00F116F2"/>
    <w:rsid w:val="00F11A45"/>
    <w:rsid w:val="00F12527"/>
    <w:rsid w:val="00F16B30"/>
    <w:rsid w:val="00F16CEE"/>
    <w:rsid w:val="00F20581"/>
    <w:rsid w:val="00F208E2"/>
    <w:rsid w:val="00F2096B"/>
    <w:rsid w:val="00F20DBE"/>
    <w:rsid w:val="00F238EF"/>
    <w:rsid w:val="00F25405"/>
    <w:rsid w:val="00F26D64"/>
    <w:rsid w:val="00F30FFC"/>
    <w:rsid w:val="00F40F6C"/>
    <w:rsid w:val="00F47DBA"/>
    <w:rsid w:val="00F51E39"/>
    <w:rsid w:val="00F5484F"/>
    <w:rsid w:val="00F55686"/>
    <w:rsid w:val="00F56F23"/>
    <w:rsid w:val="00F6370B"/>
    <w:rsid w:val="00F646C1"/>
    <w:rsid w:val="00F657D7"/>
    <w:rsid w:val="00F66FC4"/>
    <w:rsid w:val="00F67377"/>
    <w:rsid w:val="00F71042"/>
    <w:rsid w:val="00F71B4F"/>
    <w:rsid w:val="00F73B13"/>
    <w:rsid w:val="00F747D1"/>
    <w:rsid w:val="00F76054"/>
    <w:rsid w:val="00F84053"/>
    <w:rsid w:val="00F91355"/>
    <w:rsid w:val="00F9151E"/>
    <w:rsid w:val="00F91FD8"/>
    <w:rsid w:val="00F92D61"/>
    <w:rsid w:val="00F9490B"/>
    <w:rsid w:val="00FA03EB"/>
    <w:rsid w:val="00FA6376"/>
    <w:rsid w:val="00FA6C69"/>
    <w:rsid w:val="00FB22E9"/>
    <w:rsid w:val="00FB3717"/>
    <w:rsid w:val="00FD32D0"/>
    <w:rsid w:val="00FD3423"/>
    <w:rsid w:val="00FD34D8"/>
    <w:rsid w:val="00FD4FF5"/>
    <w:rsid w:val="00FD6E10"/>
    <w:rsid w:val="00FE005F"/>
    <w:rsid w:val="00FE0725"/>
    <w:rsid w:val="00FE0DFC"/>
    <w:rsid w:val="00FE53FA"/>
    <w:rsid w:val="00FE6C6D"/>
    <w:rsid w:val="00FF1E85"/>
    <w:rsid w:val="00FF26FC"/>
    <w:rsid w:val="00FF33D3"/>
    <w:rsid w:val="00FF372B"/>
    <w:rsid w:val="00FF592A"/>
    <w:rsid w:val="014527E0"/>
    <w:rsid w:val="01A337AB"/>
    <w:rsid w:val="02787333"/>
    <w:rsid w:val="02CF3291"/>
    <w:rsid w:val="032A41AC"/>
    <w:rsid w:val="038502CB"/>
    <w:rsid w:val="04210BC8"/>
    <w:rsid w:val="04EC7E3C"/>
    <w:rsid w:val="052B59B6"/>
    <w:rsid w:val="05DC34CB"/>
    <w:rsid w:val="06191DFB"/>
    <w:rsid w:val="0663122C"/>
    <w:rsid w:val="06652BD7"/>
    <w:rsid w:val="06C918CF"/>
    <w:rsid w:val="06F91628"/>
    <w:rsid w:val="074222A4"/>
    <w:rsid w:val="07665B6F"/>
    <w:rsid w:val="07BB0E93"/>
    <w:rsid w:val="08A57FF3"/>
    <w:rsid w:val="08AA7E65"/>
    <w:rsid w:val="08BC15D3"/>
    <w:rsid w:val="0903379E"/>
    <w:rsid w:val="090C38C7"/>
    <w:rsid w:val="096B2D0D"/>
    <w:rsid w:val="09C46849"/>
    <w:rsid w:val="0A045CA0"/>
    <w:rsid w:val="0B3F384A"/>
    <w:rsid w:val="0B575794"/>
    <w:rsid w:val="0B785D7B"/>
    <w:rsid w:val="0BE34F7F"/>
    <w:rsid w:val="0C4268D3"/>
    <w:rsid w:val="0CB76BF9"/>
    <w:rsid w:val="0CD22A79"/>
    <w:rsid w:val="0D3425FD"/>
    <w:rsid w:val="0DC24FC3"/>
    <w:rsid w:val="0DC3793C"/>
    <w:rsid w:val="0DDC26FB"/>
    <w:rsid w:val="0DEB2E0D"/>
    <w:rsid w:val="0E667FE3"/>
    <w:rsid w:val="0EB67C37"/>
    <w:rsid w:val="0EED7536"/>
    <w:rsid w:val="0F3665D1"/>
    <w:rsid w:val="0F5E3690"/>
    <w:rsid w:val="0F673C46"/>
    <w:rsid w:val="0FCC1F5E"/>
    <w:rsid w:val="100D37BF"/>
    <w:rsid w:val="10574C37"/>
    <w:rsid w:val="10D93AAC"/>
    <w:rsid w:val="10E222BE"/>
    <w:rsid w:val="110055AB"/>
    <w:rsid w:val="110918A3"/>
    <w:rsid w:val="118372E2"/>
    <w:rsid w:val="119B74C2"/>
    <w:rsid w:val="11C33882"/>
    <w:rsid w:val="121221CA"/>
    <w:rsid w:val="126661AD"/>
    <w:rsid w:val="126D1541"/>
    <w:rsid w:val="13425328"/>
    <w:rsid w:val="13586823"/>
    <w:rsid w:val="1462574B"/>
    <w:rsid w:val="14FC5054"/>
    <w:rsid w:val="15442DA1"/>
    <w:rsid w:val="15E35E93"/>
    <w:rsid w:val="15E87297"/>
    <w:rsid w:val="15F23DFA"/>
    <w:rsid w:val="167854A6"/>
    <w:rsid w:val="169858E2"/>
    <w:rsid w:val="16AF10CE"/>
    <w:rsid w:val="16FC296F"/>
    <w:rsid w:val="18772AB2"/>
    <w:rsid w:val="18EC0B49"/>
    <w:rsid w:val="190904B7"/>
    <w:rsid w:val="19417543"/>
    <w:rsid w:val="19461009"/>
    <w:rsid w:val="196B3644"/>
    <w:rsid w:val="1A2602E0"/>
    <w:rsid w:val="1A36019D"/>
    <w:rsid w:val="1A3E2A84"/>
    <w:rsid w:val="1B265808"/>
    <w:rsid w:val="1B6110DF"/>
    <w:rsid w:val="1BE04E91"/>
    <w:rsid w:val="1C084A4A"/>
    <w:rsid w:val="1C9033DD"/>
    <w:rsid w:val="1CA5637A"/>
    <w:rsid w:val="1CCB6F60"/>
    <w:rsid w:val="1CFD21C8"/>
    <w:rsid w:val="1D9C115F"/>
    <w:rsid w:val="1DDD2E13"/>
    <w:rsid w:val="1DE52562"/>
    <w:rsid w:val="1E3C221B"/>
    <w:rsid w:val="1EC54290"/>
    <w:rsid w:val="1F823770"/>
    <w:rsid w:val="1FC13BBD"/>
    <w:rsid w:val="1FD40FEC"/>
    <w:rsid w:val="205C2EB0"/>
    <w:rsid w:val="20E97464"/>
    <w:rsid w:val="20FE3E75"/>
    <w:rsid w:val="210E3DD8"/>
    <w:rsid w:val="216735CD"/>
    <w:rsid w:val="21E95146"/>
    <w:rsid w:val="223B310A"/>
    <w:rsid w:val="2249462E"/>
    <w:rsid w:val="22DA25A8"/>
    <w:rsid w:val="22E34230"/>
    <w:rsid w:val="23243857"/>
    <w:rsid w:val="23963EB1"/>
    <w:rsid w:val="241E2E43"/>
    <w:rsid w:val="247C6164"/>
    <w:rsid w:val="24A02EF1"/>
    <w:rsid w:val="24AB2DD2"/>
    <w:rsid w:val="24DC3351"/>
    <w:rsid w:val="25145EDF"/>
    <w:rsid w:val="25222439"/>
    <w:rsid w:val="25553965"/>
    <w:rsid w:val="25CC026B"/>
    <w:rsid w:val="26970ECD"/>
    <w:rsid w:val="26D53519"/>
    <w:rsid w:val="279665EE"/>
    <w:rsid w:val="2810657F"/>
    <w:rsid w:val="28A06A9C"/>
    <w:rsid w:val="28C32429"/>
    <w:rsid w:val="2947553A"/>
    <w:rsid w:val="29B04D1C"/>
    <w:rsid w:val="2A545A70"/>
    <w:rsid w:val="2B00187A"/>
    <w:rsid w:val="2B2112CD"/>
    <w:rsid w:val="2B6D70C3"/>
    <w:rsid w:val="2BFA0D29"/>
    <w:rsid w:val="2C2A40C6"/>
    <w:rsid w:val="2C493B09"/>
    <w:rsid w:val="2C6F12E0"/>
    <w:rsid w:val="2C9E75B1"/>
    <w:rsid w:val="2CC74563"/>
    <w:rsid w:val="2CEC36FF"/>
    <w:rsid w:val="2D1E5F41"/>
    <w:rsid w:val="2D6E2351"/>
    <w:rsid w:val="2E5E294A"/>
    <w:rsid w:val="2EB0719E"/>
    <w:rsid w:val="2ED0395B"/>
    <w:rsid w:val="2FB47B8C"/>
    <w:rsid w:val="2FEA55D8"/>
    <w:rsid w:val="2FF43C7D"/>
    <w:rsid w:val="302B2851"/>
    <w:rsid w:val="30AB4AB5"/>
    <w:rsid w:val="31FD1B5B"/>
    <w:rsid w:val="32995B4A"/>
    <w:rsid w:val="32A23007"/>
    <w:rsid w:val="330D0FFC"/>
    <w:rsid w:val="33484762"/>
    <w:rsid w:val="33E737C4"/>
    <w:rsid w:val="33FB0CD1"/>
    <w:rsid w:val="345750F6"/>
    <w:rsid w:val="346E675C"/>
    <w:rsid w:val="348667C6"/>
    <w:rsid w:val="34C958DE"/>
    <w:rsid w:val="3598339F"/>
    <w:rsid w:val="35A0120E"/>
    <w:rsid w:val="35AB1013"/>
    <w:rsid w:val="35E8763C"/>
    <w:rsid w:val="36143DF1"/>
    <w:rsid w:val="362121F3"/>
    <w:rsid w:val="36305F22"/>
    <w:rsid w:val="36550212"/>
    <w:rsid w:val="36E87E7E"/>
    <w:rsid w:val="37023A96"/>
    <w:rsid w:val="37A5642C"/>
    <w:rsid w:val="37AB1D5F"/>
    <w:rsid w:val="37C7155B"/>
    <w:rsid w:val="38123949"/>
    <w:rsid w:val="38344560"/>
    <w:rsid w:val="384707F2"/>
    <w:rsid w:val="399017B1"/>
    <w:rsid w:val="39F523EB"/>
    <w:rsid w:val="3A4B0EBC"/>
    <w:rsid w:val="3B402B61"/>
    <w:rsid w:val="3B561269"/>
    <w:rsid w:val="3C9E35F6"/>
    <w:rsid w:val="3CDC5632"/>
    <w:rsid w:val="3D494E46"/>
    <w:rsid w:val="3DEE5DE4"/>
    <w:rsid w:val="3E7371D0"/>
    <w:rsid w:val="3E927592"/>
    <w:rsid w:val="3EE53602"/>
    <w:rsid w:val="3F2E774C"/>
    <w:rsid w:val="3F314B5A"/>
    <w:rsid w:val="400E0542"/>
    <w:rsid w:val="404843AC"/>
    <w:rsid w:val="405939A2"/>
    <w:rsid w:val="410021C0"/>
    <w:rsid w:val="4125226D"/>
    <w:rsid w:val="41C71187"/>
    <w:rsid w:val="42683CC4"/>
    <w:rsid w:val="44223EF1"/>
    <w:rsid w:val="446F58A2"/>
    <w:rsid w:val="44C65FDB"/>
    <w:rsid w:val="451C32BA"/>
    <w:rsid w:val="456C34FD"/>
    <w:rsid w:val="45C103FA"/>
    <w:rsid w:val="46492C2C"/>
    <w:rsid w:val="467537CA"/>
    <w:rsid w:val="47013F96"/>
    <w:rsid w:val="474B44CF"/>
    <w:rsid w:val="47890B69"/>
    <w:rsid w:val="47C536AE"/>
    <w:rsid w:val="483C48CB"/>
    <w:rsid w:val="48C64D38"/>
    <w:rsid w:val="490D72E2"/>
    <w:rsid w:val="492A4B05"/>
    <w:rsid w:val="49E541CC"/>
    <w:rsid w:val="49FD3F1B"/>
    <w:rsid w:val="4A552157"/>
    <w:rsid w:val="4A676B32"/>
    <w:rsid w:val="4B500246"/>
    <w:rsid w:val="4BB37E9F"/>
    <w:rsid w:val="4D1D4D9C"/>
    <w:rsid w:val="4D553270"/>
    <w:rsid w:val="4DB2690D"/>
    <w:rsid w:val="4DB47415"/>
    <w:rsid w:val="4DC8725E"/>
    <w:rsid w:val="4E353D7D"/>
    <w:rsid w:val="4E5B3D91"/>
    <w:rsid w:val="4E8C0240"/>
    <w:rsid w:val="4EAB3463"/>
    <w:rsid w:val="4ED4585D"/>
    <w:rsid w:val="4F296373"/>
    <w:rsid w:val="4F3E5DD2"/>
    <w:rsid w:val="4F465D07"/>
    <w:rsid w:val="4F824456"/>
    <w:rsid w:val="502C6A85"/>
    <w:rsid w:val="51344E8B"/>
    <w:rsid w:val="514A5AB7"/>
    <w:rsid w:val="51DE2DB5"/>
    <w:rsid w:val="51E875CC"/>
    <w:rsid w:val="52B61649"/>
    <w:rsid w:val="538A0FE1"/>
    <w:rsid w:val="538F4671"/>
    <w:rsid w:val="54117CCE"/>
    <w:rsid w:val="5436542E"/>
    <w:rsid w:val="547A234E"/>
    <w:rsid w:val="549432F3"/>
    <w:rsid w:val="54BC281B"/>
    <w:rsid w:val="55325094"/>
    <w:rsid w:val="559E76C2"/>
    <w:rsid w:val="55B86025"/>
    <w:rsid w:val="570930BE"/>
    <w:rsid w:val="58450B68"/>
    <w:rsid w:val="5878286A"/>
    <w:rsid w:val="5A014F01"/>
    <w:rsid w:val="5A147BD3"/>
    <w:rsid w:val="5A1F3FB5"/>
    <w:rsid w:val="5A513FBA"/>
    <w:rsid w:val="5ACC2204"/>
    <w:rsid w:val="5B127639"/>
    <w:rsid w:val="5B172DD0"/>
    <w:rsid w:val="5BAA6672"/>
    <w:rsid w:val="5BCC3B73"/>
    <w:rsid w:val="5C1E381B"/>
    <w:rsid w:val="5DC53A5F"/>
    <w:rsid w:val="5DDD0DFB"/>
    <w:rsid w:val="5DFC3976"/>
    <w:rsid w:val="5E021BE6"/>
    <w:rsid w:val="5E0E6961"/>
    <w:rsid w:val="5E8D6A26"/>
    <w:rsid w:val="5F25251D"/>
    <w:rsid w:val="5F290047"/>
    <w:rsid w:val="5FBC3CBA"/>
    <w:rsid w:val="60211A04"/>
    <w:rsid w:val="613E0FF9"/>
    <w:rsid w:val="61D959FB"/>
    <w:rsid w:val="622814F0"/>
    <w:rsid w:val="634E0140"/>
    <w:rsid w:val="635152AF"/>
    <w:rsid w:val="63640C4D"/>
    <w:rsid w:val="639037F0"/>
    <w:rsid w:val="640434C5"/>
    <w:rsid w:val="64872A0B"/>
    <w:rsid w:val="65492F3A"/>
    <w:rsid w:val="65E31B7E"/>
    <w:rsid w:val="65E77101"/>
    <w:rsid w:val="6615515D"/>
    <w:rsid w:val="66554AC7"/>
    <w:rsid w:val="66574403"/>
    <w:rsid w:val="665C6655"/>
    <w:rsid w:val="6687730C"/>
    <w:rsid w:val="66E76187"/>
    <w:rsid w:val="6722729E"/>
    <w:rsid w:val="67B80BA6"/>
    <w:rsid w:val="6817733D"/>
    <w:rsid w:val="68366320"/>
    <w:rsid w:val="69051484"/>
    <w:rsid w:val="69295441"/>
    <w:rsid w:val="6937294D"/>
    <w:rsid w:val="69842496"/>
    <w:rsid w:val="69B9330D"/>
    <w:rsid w:val="6A215EAC"/>
    <w:rsid w:val="6AFA6936"/>
    <w:rsid w:val="6BE91B18"/>
    <w:rsid w:val="6BF24048"/>
    <w:rsid w:val="6D8D5DF7"/>
    <w:rsid w:val="6D8E34D5"/>
    <w:rsid w:val="6DF02F16"/>
    <w:rsid w:val="6E0459D4"/>
    <w:rsid w:val="6E5A7AD8"/>
    <w:rsid w:val="7016053D"/>
    <w:rsid w:val="702F5048"/>
    <w:rsid w:val="70C50924"/>
    <w:rsid w:val="70E85971"/>
    <w:rsid w:val="70EF1B31"/>
    <w:rsid w:val="72155AC0"/>
    <w:rsid w:val="727067FE"/>
    <w:rsid w:val="72945590"/>
    <w:rsid w:val="72AD2792"/>
    <w:rsid w:val="73732679"/>
    <w:rsid w:val="73E926EA"/>
    <w:rsid w:val="7419047F"/>
    <w:rsid w:val="741C22A7"/>
    <w:rsid w:val="742A0B3D"/>
    <w:rsid w:val="7451187B"/>
    <w:rsid w:val="74D3353D"/>
    <w:rsid w:val="754A6DEF"/>
    <w:rsid w:val="76001E7E"/>
    <w:rsid w:val="760469CA"/>
    <w:rsid w:val="76873154"/>
    <w:rsid w:val="769E35AF"/>
    <w:rsid w:val="76BF15AD"/>
    <w:rsid w:val="76D31075"/>
    <w:rsid w:val="76D7773F"/>
    <w:rsid w:val="77412895"/>
    <w:rsid w:val="775D32D7"/>
    <w:rsid w:val="77801669"/>
    <w:rsid w:val="778415CC"/>
    <w:rsid w:val="77853BCD"/>
    <w:rsid w:val="78651075"/>
    <w:rsid w:val="7878030A"/>
    <w:rsid w:val="78A00EE8"/>
    <w:rsid w:val="78A04C79"/>
    <w:rsid w:val="78AB20E3"/>
    <w:rsid w:val="78BC23CA"/>
    <w:rsid w:val="78D34E3C"/>
    <w:rsid w:val="796405D3"/>
    <w:rsid w:val="796B4582"/>
    <w:rsid w:val="7A207DC9"/>
    <w:rsid w:val="7A6317B1"/>
    <w:rsid w:val="7A796FC7"/>
    <w:rsid w:val="7AA71D6B"/>
    <w:rsid w:val="7C0C2E41"/>
    <w:rsid w:val="7C58761B"/>
    <w:rsid w:val="7C684971"/>
    <w:rsid w:val="7CFF7057"/>
    <w:rsid w:val="7D1D205E"/>
    <w:rsid w:val="7D3548D6"/>
    <w:rsid w:val="7D364AB6"/>
    <w:rsid w:val="7D5A175C"/>
    <w:rsid w:val="7D6448C8"/>
    <w:rsid w:val="7D9A06F1"/>
    <w:rsid w:val="7DDC7906"/>
    <w:rsid w:val="7E25100A"/>
    <w:rsid w:val="7EA01209"/>
    <w:rsid w:val="7EA52F61"/>
    <w:rsid w:val="7F9A2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link w:val="82"/>
    <w:autoRedefine/>
    <w:qFormat/>
    <w:uiPriority w:val="0"/>
    <w:pPr>
      <w:keepNext/>
      <w:keepLines/>
      <w:widowControl/>
      <w:spacing w:line="360" w:lineRule="auto"/>
      <w:jc w:val="center"/>
      <w:outlineLvl w:val="1"/>
    </w:pPr>
    <w:rPr>
      <w:rFonts w:ascii="宋体" w:hAnsi="宋体"/>
      <w:b/>
      <w:color w:val="000000"/>
      <w:kern w:val="0"/>
      <w:sz w:val="44"/>
      <w:szCs w:val="20"/>
    </w:rPr>
  </w:style>
  <w:style w:type="paragraph" w:styleId="4">
    <w:name w:val="heading 3"/>
    <w:basedOn w:val="1"/>
    <w:next w:val="1"/>
    <w:link w:val="83"/>
    <w:autoRedefine/>
    <w:qFormat/>
    <w:uiPriority w:val="0"/>
    <w:pPr>
      <w:keepNext/>
      <w:keepLines/>
      <w:widowControl/>
      <w:numPr>
        <w:ilvl w:val="2"/>
        <w:numId w:val="1"/>
      </w:numPr>
      <w:spacing w:before="120" w:after="120" w:line="360" w:lineRule="auto"/>
      <w:jc w:val="center"/>
      <w:outlineLvl w:val="2"/>
    </w:pPr>
    <w:rPr>
      <w:b/>
      <w:sz w:val="32"/>
    </w:rPr>
  </w:style>
  <w:style w:type="paragraph" w:styleId="5">
    <w:name w:val="heading 4"/>
    <w:basedOn w:val="1"/>
    <w:next w:val="1"/>
    <w:link w:val="84"/>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85"/>
    <w:autoRedefine/>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86"/>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87"/>
    <w:autoRedefine/>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8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8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toc 7"/>
    <w:basedOn w:val="1"/>
    <w:next w:val="1"/>
    <w:autoRedefine/>
    <w:qFormat/>
    <w:uiPriority w:val="0"/>
    <w:pPr>
      <w:ind w:left="1260"/>
      <w:jc w:val="left"/>
    </w:pPr>
    <w:rPr>
      <w:sz w:val="18"/>
      <w:szCs w:val="18"/>
    </w:rPr>
  </w:style>
  <w:style w:type="paragraph" w:styleId="13">
    <w:name w:val="List Number 2"/>
    <w:basedOn w:val="1"/>
    <w:autoRedefine/>
    <w:qFormat/>
    <w:uiPriority w:val="0"/>
    <w:pPr>
      <w:numPr>
        <w:ilvl w:val="0"/>
        <w:numId w:val="2"/>
      </w:numPr>
      <w:tabs>
        <w:tab w:val="left" w:pos="780"/>
      </w:tabs>
      <w:autoSpaceDE w:val="0"/>
      <w:autoSpaceDN w:val="0"/>
      <w:adjustRightInd w:val="0"/>
      <w:spacing w:line="360" w:lineRule="auto"/>
      <w:textAlignment w:val="baseline"/>
    </w:pPr>
    <w:rPr>
      <w:sz w:val="28"/>
      <w:szCs w:val="20"/>
    </w:rPr>
  </w:style>
  <w:style w:type="paragraph" w:styleId="14">
    <w:name w:val="index 8"/>
    <w:basedOn w:val="1"/>
    <w:next w:val="1"/>
    <w:autoRedefine/>
    <w:qFormat/>
    <w:uiPriority w:val="0"/>
    <w:pPr>
      <w:autoSpaceDE w:val="0"/>
      <w:autoSpaceDN w:val="0"/>
      <w:spacing w:line="360" w:lineRule="auto"/>
      <w:ind w:left="1400" w:leftChars="1400"/>
    </w:pPr>
    <w:rPr>
      <w:sz w:val="24"/>
    </w:rPr>
  </w:style>
  <w:style w:type="paragraph" w:styleId="15">
    <w:name w:val="Normal Indent"/>
    <w:basedOn w:val="1"/>
    <w:next w:val="16"/>
    <w:autoRedefine/>
    <w:qFormat/>
    <w:uiPriority w:val="0"/>
    <w:pPr>
      <w:widowControl/>
      <w:ind w:firstLine="420"/>
      <w:jc w:val="left"/>
    </w:pPr>
    <w:rPr>
      <w:kern w:val="0"/>
      <w:sz w:val="20"/>
      <w:szCs w:val="20"/>
    </w:rPr>
  </w:style>
  <w:style w:type="paragraph" w:styleId="16">
    <w:name w:val="toc 2"/>
    <w:basedOn w:val="1"/>
    <w:next w:val="1"/>
    <w:autoRedefine/>
    <w:qFormat/>
    <w:uiPriority w:val="0"/>
    <w:pPr>
      <w:tabs>
        <w:tab w:val="right" w:leader="dot" w:pos="9345"/>
      </w:tabs>
      <w:ind w:left="210"/>
      <w:jc w:val="left"/>
    </w:pPr>
    <w:rPr>
      <w:b/>
      <w:smallCaps/>
      <w:sz w:val="32"/>
      <w:szCs w:val="32"/>
    </w:rPr>
  </w:style>
  <w:style w:type="paragraph" w:styleId="17">
    <w:name w:val="caption"/>
    <w:basedOn w:val="1"/>
    <w:next w:val="1"/>
    <w:autoRedefine/>
    <w:qFormat/>
    <w:uiPriority w:val="0"/>
    <w:pPr>
      <w:spacing w:before="152" w:after="160"/>
    </w:pPr>
    <w:rPr>
      <w:rFonts w:ascii="Arial" w:hAnsi="Arial" w:eastAsia="黑体" w:cs="Arial"/>
      <w:sz w:val="20"/>
      <w:szCs w:val="20"/>
    </w:rPr>
  </w:style>
  <w:style w:type="paragraph" w:styleId="18">
    <w:name w:val="index 5"/>
    <w:basedOn w:val="1"/>
    <w:next w:val="1"/>
    <w:autoRedefine/>
    <w:qFormat/>
    <w:uiPriority w:val="0"/>
    <w:pPr>
      <w:autoSpaceDE w:val="0"/>
      <w:autoSpaceDN w:val="0"/>
      <w:spacing w:line="360" w:lineRule="auto"/>
      <w:ind w:left="800" w:leftChars="800"/>
    </w:pPr>
    <w:rPr>
      <w:sz w:val="24"/>
    </w:rPr>
  </w:style>
  <w:style w:type="paragraph" w:styleId="19">
    <w:name w:val="List Bullet"/>
    <w:basedOn w:val="1"/>
    <w:autoRedefine/>
    <w:qFormat/>
    <w:uiPriority w:val="0"/>
    <w:pPr>
      <w:contextualSpacing/>
    </w:pPr>
  </w:style>
  <w:style w:type="paragraph" w:styleId="20">
    <w:name w:val="Document Map"/>
    <w:basedOn w:val="1"/>
    <w:link w:val="90"/>
    <w:autoRedefine/>
    <w:qFormat/>
    <w:uiPriority w:val="0"/>
    <w:pPr>
      <w:widowControl/>
      <w:shd w:val="clear" w:color="auto" w:fill="000080"/>
      <w:jc w:val="left"/>
    </w:pPr>
    <w:rPr>
      <w:kern w:val="0"/>
      <w:sz w:val="20"/>
      <w:szCs w:val="20"/>
    </w:rPr>
  </w:style>
  <w:style w:type="paragraph" w:styleId="21">
    <w:name w:val="annotation text"/>
    <w:basedOn w:val="1"/>
    <w:link w:val="91"/>
    <w:autoRedefine/>
    <w:qFormat/>
    <w:uiPriority w:val="0"/>
    <w:pPr>
      <w:adjustRightInd w:val="0"/>
      <w:spacing w:line="360" w:lineRule="atLeast"/>
      <w:jc w:val="left"/>
      <w:textAlignment w:val="baseline"/>
    </w:pPr>
    <w:rPr>
      <w:kern w:val="0"/>
      <w:sz w:val="24"/>
      <w:szCs w:val="20"/>
    </w:rPr>
  </w:style>
  <w:style w:type="paragraph" w:styleId="22">
    <w:name w:val="index 6"/>
    <w:basedOn w:val="1"/>
    <w:next w:val="1"/>
    <w:autoRedefine/>
    <w:qFormat/>
    <w:uiPriority w:val="0"/>
    <w:pPr>
      <w:autoSpaceDE w:val="0"/>
      <w:autoSpaceDN w:val="0"/>
      <w:spacing w:line="360" w:lineRule="auto"/>
      <w:ind w:left="1000" w:leftChars="1000"/>
    </w:pPr>
    <w:rPr>
      <w:sz w:val="24"/>
    </w:rPr>
  </w:style>
  <w:style w:type="paragraph" w:styleId="23">
    <w:name w:val="Body Text 3"/>
    <w:basedOn w:val="1"/>
    <w:link w:val="92"/>
    <w:autoRedefine/>
    <w:qFormat/>
    <w:uiPriority w:val="0"/>
    <w:pPr>
      <w:widowControl/>
      <w:spacing w:after="120"/>
      <w:jc w:val="center"/>
    </w:pPr>
    <w:rPr>
      <w:b/>
      <w:kern w:val="0"/>
      <w:sz w:val="16"/>
      <w:szCs w:val="16"/>
    </w:rPr>
  </w:style>
  <w:style w:type="paragraph" w:styleId="24">
    <w:name w:val="Body Text"/>
    <w:basedOn w:val="1"/>
    <w:next w:val="1"/>
    <w:link w:val="93"/>
    <w:autoRedefine/>
    <w:qFormat/>
    <w:uiPriority w:val="0"/>
    <w:pPr>
      <w:spacing w:line="0" w:lineRule="atLeast"/>
    </w:pPr>
    <w:rPr>
      <w:sz w:val="30"/>
      <w:szCs w:val="20"/>
    </w:rPr>
  </w:style>
  <w:style w:type="paragraph" w:styleId="25">
    <w:name w:val="Body Text Indent"/>
    <w:basedOn w:val="1"/>
    <w:link w:val="79"/>
    <w:autoRedefine/>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26">
    <w:name w:val="Block Text"/>
    <w:basedOn w:val="1"/>
    <w:autoRedefine/>
    <w:qFormat/>
    <w:uiPriority w:val="0"/>
    <w:pPr>
      <w:adjustRightInd w:val="0"/>
      <w:ind w:left="420" w:right="33"/>
      <w:jc w:val="left"/>
      <w:textAlignment w:val="baseline"/>
    </w:pPr>
    <w:rPr>
      <w:kern w:val="0"/>
      <w:sz w:val="24"/>
      <w:szCs w:val="20"/>
    </w:rPr>
  </w:style>
  <w:style w:type="paragraph" w:styleId="27">
    <w:name w:val="index 4"/>
    <w:basedOn w:val="1"/>
    <w:next w:val="1"/>
    <w:autoRedefine/>
    <w:qFormat/>
    <w:uiPriority w:val="0"/>
    <w:pPr>
      <w:autoSpaceDE w:val="0"/>
      <w:autoSpaceDN w:val="0"/>
      <w:spacing w:line="360" w:lineRule="auto"/>
      <w:ind w:left="600" w:leftChars="600"/>
    </w:pPr>
    <w:rPr>
      <w:sz w:val="24"/>
    </w:rPr>
  </w:style>
  <w:style w:type="paragraph" w:styleId="28">
    <w:name w:val="toc 5"/>
    <w:basedOn w:val="1"/>
    <w:next w:val="1"/>
    <w:autoRedefine/>
    <w:qFormat/>
    <w:uiPriority w:val="0"/>
    <w:pPr>
      <w:ind w:left="840"/>
      <w:jc w:val="left"/>
    </w:pPr>
    <w:rPr>
      <w:sz w:val="18"/>
      <w:szCs w:val="18"/>
    </w:rPr>
  </w:style>
  <w:style w:type="paragraph" w:styleId="29">
    <w:name w:val="toc 3"/>
    <w:basedOn w:val="1"/>
    <w:next w:val="1"/>
    <w:autoRedefine/>
    <w:qFormat/>
    <w:uiPriority w:val="39"/>
    <w:pPr>
      <w:tabs>
        <w:tab w:val="right" w:leader="dot" w:pos="9345"/>
      </w:tabs>
      <w:spacing w:line="480" w:lineRule="auto"/>
    </w:pPr>
    <w:rPr>
      <w:i/>
      <w:iCs/>
      <w:sz w:val="20"/>
      <w:szCs w:val="20"/>
    </w:rPr>
  </w:style>
  <w:style w:type="paragraph" w:styleId="30">
    <w:name w:val="Plain Text"/>
    <w:basedOn w:val="1"/>
    <w:link w:val="94"/>
    <w:autoRedefine/>
    <w:qFormat/>
    <w:uiPriority w:val="0"/>
    <w:rPr>
      <w:rFonts w:ascii="宋体" w:hAnsi="Courier New"/>
      <w:szCs w:val="20"/>
    </w:rPr>
  </w:style>
  <w:style w:type="paragraph" w:styleId="31">
    <w:name w:val="toc 8"/>
    <w:basedOn w:val="1"/>
    <w:next w:val="1"/>
    <w:autoRedefine/>
    <w:qFormat/>
    <w:uiPriority w:val="0"/>
    <w:pPr>
      <w:ind w:left="1470"/>
      <w:jc w:val="left"/>
    </w:pPr>
    <w:rPr>
      <w:sz w:val="18"/>
      <w:szCs w:val="18"/>
    </w:rPr>
  </w:style>
  <w:style w:type="paragraph" w:styleId="32">
    <w:name w:val="index 3"/>
    <w:basedOn w:val="1"/>
    <w:next w:val="1"/>
    <w:autoRedefine/>
    <w:qFormat/>
    <w:uiPriority w:val="0"/>
    <w:pPr>
      <w:autoSpaceDE w:val="0"/>
      <w:autoSpaceDN w:val="0"/>
      <w:spacing w:line="360" w:lineRule="auto"/>
      <w:ind w:left="400" w:leftChars="400"/>
    </w:pPr>
    <w:rPr>
      <w:sz w:val="24"/>
    </w:rPr>
  </w:style>
  <w:style w:type="paragraph" w:styleId="33">
    <w:name w:val="Date"/>
    <w:basedOn w:val="1"/>
    <w:next w:val="1"/>
    <w:link w:val="95"/>
    <w:autoRedefine/>
    <w:qFormat/>
    <w:uiPriority w:val="99"/>
    <w:rPr>
      <w:sz w:val="24"/>
      <w:szCs w:val="20"/>
    </w:rPr>
  </w:style>
  <w:style w:type="paragraph" w:styleId="34">
    <w:name w:val="Body Text Indent 2"/>
    <w:basedOn w:val="1"/>
    <w:link w:val="96"/>
    <w:autoRedefine/>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35">
    <w:name w:val="endnote text"/>
    <w:basedOn w:val="1"/>
    <w:autoRedefine/>
    <w:qFormat/>
    <w:uiPriority w:val="0"/>
    <w:pPr>
      <w:widowControl/>
      <w:snapToGrid w:val="0"/>
      <w:jc w:val="left"/>
    </w:pPr>
    <w:rPr>
      <w:kern w:val="0"/>
      <w:sz w:val="20"/>
      <w:szCs w:val="20"/>
    </w:rPr>
  </w:style>
  <w:style w:type="paragraph" w:styleId="36">
    <w:name w:val="Balloon Text"/>
    <w:basedOn w:val="1"/>
    <w:link w:val="97"/>
    <w:autoRedefine/>
    <w:qFormat/>
    <w:uiPriority w:val="0"/>
    <w:pPr>
      <w:widowControl/>
      <w:jc w:val="left"/>
    </w:pPr>
    <w:rPr>
      <w:kern w:val="0"/>
      <w:sz w:val="18"/>
      <w:szCs w:val="18"/>
    </w:rPr>
  </w:style>
  <w:style w:type="paragraph" w:styleId="37">
    <w:name w:val="footer"/>
    <w:basedOn w:val="1"/>
    <w:link w:val="98"/>
    <w:autoRedefine/>
    <w:qFormat/>
    <w:uiPriority w:val="0"/>
    <w:pPr>
      <w:widowControl/>
      <w:tabs>
        <w:tab w:val="center" w:pos="4153"/>
        <w:tab w:val="right" w:pos="8306"/>
      </w:tabs>
      <w:snapToGrid w:val="0"/>
      <w:jc w:val="left"/>
    </w:pPr>
    <w:rPr>
      <w:kern w:val="0"/>
      <w:sz w:val="18"/>
      <w:szCs w:val="20"/>
    </w:rPr>
  </w:style>
  <w:style w:type="paragraph" w:styleId="38">
    <w:name w:val="header"/>
    <w:basedOn w:val="1"/>
    <w:link w:val="99"/>
    <w:autoRedefine/>
    <w:qFormat/>
    <w:uiPriority w:val="99"/>
    <w:pPr>
      <w:widowControl/>
      <w:pBdr>
        <w:bottom w:val="single" w:color="auto" w:sz="6" w:space="1"/>
      </w:pBdr>
      <w:tabs>
        <w:tab w:val="center" w:pos="4153"/>
        <w:tab w:val="right" w:pos="8306"/>
      </w:tabs>
      <w:snapToGrid w:val="0"/>
      <w:jc w:val="center"/>
    </w:pPr>
    <w:rPr>
      <w:kern w:val="0"/>
      <w:sz w:val="18"/>
      <w:szCs w:val="20"/>
    </w:rPr>
  </w:style>
  <w:style w:type="paragraph" w:styleId="39">
    <w:name w:val="toc 1"/>
    <w:basedOn w:val="1"/>
    <w:next w:val="1"/>
    <w:autoRedefine/>
    <w:qFormat/>
    <w:uiPriority w:val="39"/>
    <w:pPr>
      <w:spacing w:before="120" w:after="120"/>
      <w:jc w:val="left"/>
    </w:pPr>
    <w:rPr>
      <w:b/>
      <w:bCs/>
      <w:caps/>
      <w:sz w:val="20"/>
      <w:szCs w:val="20"/>
    </w:rPr>
  </w:style>
  <w:style w:type="paragraph" w:styleId="40">
    <w:name w:val="toc 4"/>
    <w:basedOn w:val="1"/>
    <w:next w:val="1"/>
    <w:autoRedefine/>
    <w:qFormat/>
    <w:uiPriority w:val="0"/>
    <w:pPr>
      <w:ind w:left="630"/>
      <w:jc w:val="left"/>
    </w:pPr>
    <w:rPr>
      <w:sz w:val="18"/>
      <w:szCs w:val="18"/>
    </w:rPr>
  </w:style>
  <w:style w:type="paragraph" w:styleId="41">
    <w:name w:val="index heading"/>
    <w:basedOn w:val="1"/>
    <w:next w:val="42"/>
    <w:autoRedefine/>
    <w:qFormat/>
    <w:uiPriority w:val="0"/>
    <w:pPr>
      <w:autoSpaceDE w:val="0"/>
      <w:autoSpaceDN w:val="0"/>
      <w:spacing w:line="360" w:lineRule="auto"/>
    </w:pPr>
    <w:rPr>
      <w:sz w:val="24"/>
    </w:rPr>
  </w:style>
  <w:style w:type="paragraph" w:styleId="42">
    <w:name w:val="index 1"/>
    <w:basedOn w:val="1"/>
    <w:next w:val="1"/>
    <w:autoRedefine/>
    <w:qFormat/>
    <w:uiPriority w:val="0"/>
    <w:pPr>
      <w:spacing w:line="220" w:lineRule="exact"/>
      <w:jc w:val="center"/>
    </w:pPr>
    <w:rPr>
      <w:rFonts w:ascii="仿宋_GB2312" w:eastAsia="仿宋_GB2312"/>
      <w:szCs w:val="21"/>
    </w:rPr>
  </w:style>
  <w:style w:type="paragraph" w:styleId="43">
    <w:name w:val="Subtitle"/>
    <w:basedOn w:val="1"/>
    <w:link w:val="100"/>
    <w:autoRedefine/>
    <w:qFormat/>
    <w:uiPriority w:val="0"/>
    <w:pPr>
      <w:spacing w:before="240" w:after="60" w:line="312" w:lineRule="auto"/>
      <w:jc w:val="center"/>
      <w:outlineLvl w:val="1"/>
    </w:pPr>
    <w:rPr>
      <w:rFonts w:eastAsia="华文新魏"/>
      <w:b/>
      <w:bCs/>
      <w:kern w:val="28"/>
      <w:sz w:val="52"/>
      <w:szCs w:val="32"/>
    </w:rPr>
  </w:style>
  <w:style w:type="paragraph" w:styleId="44">
    <w:name w:val="List"/>
    <w:basedOn w:val="1"/>
    <w:autoRedefine/>
    <w:qFormat/>
    <w:uiPriority w:val="0"/>
    <w:pPr>
      <w:ind w:left="200" w:hanging="200" w:hangingChars="200"/>
    </w:pPr>
    <w:rPr>
      <w:szCs w:val="22"/>
    </w:rPr>
  </w:style>
  <w:style w:type="paragraph" w:styleId="45">
    <w:name w:val="footnote text"/>
    <w:basedOn w:val="1"/>
    <w:link w:val="101"/>
    <w:autoRedefine/>
    <w:qFormat/>
    <w:uiPriority w:val="0"/>
    <w:pPr>
      <w:adjustRightInd w:val="0"/>
      <w:spacing w:line="312" w:lineRule="atLeast"/>
      <w:jc w:val="left"/>
      <w:textAlignment w:val="baseline"/>
    </w:pPr>
    <w:rPr>
      <w:kern w:val="0"/>
      <w:sz w:val="18"/>
      <w:szCs w:val="20"/>
    </w:rPr>
  </w:style>
  <w:style w:type="paragraph" w:styleId="46">
    <w:name w:val="toc 6"/>
    <w:basedOn w:val="1"/>
    <w:next w:val="1"/>
    <w:autoRedefine/>
    <w:qFormat/>
    <w:uiPriority w:val="0"/>
    <w:pPr>
      <w:ind w:left="1050"/>
      <w:jc w:val="left"/>
    </w:pPr>
    <w:rPr>
      <w:sz w:val="18"/>
      <w:szCs w:val="18"/>
    </w:rPr>
  </w:style>
  <w:style w:type="paragraph" w:styleId="47">
    <w:name w:val="Body Text Indent 3"/>
    <w:basedOn w:val="1"/>
    <w:link w:val="102"/>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48">
    <w:name w:val="index 7"/>
    <w:basedOn w:val="1"/>
    <w:next w:val="1"/>
    <w:autoRedefine/>
    <w:qFormat/>
    <w:uiPriority w:val="0"/>
    <w:pPr>
      <w:autoSpaceDE w:val="0"/>
      <w:autoSpaceDN w:val="0"/>
      <w:spacing w:line="360" w:lineRule="auto"/>
      <w:ind w:left="1200" w:leftChars="1200"/>
    </w:pPr>
    <w:rPr>
      <w:sz w:val="24"/>
    </w:rPr>
  </w:style>
  <w:style w:type="paragraph" w:styleId="49">
    <w:name w:val="index 9"/>
    <w:basedOn w:val="1"/>
    <w:next w:val="1"/>
    <w:autoRedefine/>
    <w:qFormat/>
    <w:uiPriority w:val="0"/>
    <w:pPr>
      <w:autoSpaceDE w:val="0"/>
      <w:autoSpaceDN w:val="0"/>
      <w:spacing w:line="360" w:lineRule="auto"/>
      <w:ind w:left="1600" w:leftChars="1600"/>
    </w:pPr>
    <w:rPr>
      <w:sz w:val="24"/>
    </w:rPr>
  </w:style>
  <w:style w:type="paragraph" w:styleId="50">
    <w:name w:val="table of figures"/>
    <w:basedOn w:val="1"/>
    <w:next w:val="1"/>
    <w:autoRedefine/>
    <w:qFormat/>
    <w:uiPriority w:val="0"/>
    <w:pPr>
      <w:ind w:left="200" w:leftChars="200" w:hanging="200" w:hangingChars="200"/>
    </w:pPr>
  </w:style>
  <w:style w:type="paragraph" w:styleId="51">
    <w:name w:val="toc 9"/>
    <w:basedOn w:val="1"/>
    <w:next w:val="1"/>
    <w:autoRedefine/>
    <w:qFormat/>
    <w:uiPriority w:val="0"/>
    <w:pPr>
      <w:ind w:left="1680"/>
      <w:jc w:val="left"/>
    </w:pPr>
    <w:rPr>
      <w:sz w:val="18"/>
      <w:szCs w:val="18"/>
    </w:rPr>
  </w:style>
  <w:style w:type="paragraph" w:styleId="52">
    <w:name w:val="Body Text 2"/>
    <w:basedOn w:val="1"/>
    <w:link w:val="103"/>
    <w:autoRedefine/>
    <w:qFormat/>
    <w:uiPriority w:val="0"/>
    <w:pPr>
      <w:widowControl/>
      <w:spacing w:after="120" w:line="480" w:lineRule="auto"/>
      <w:jc w:val="left"/>
    </w:pPr>
    <w:rPr>
      <w:kern w:val="0"/>
      <w:sz w:val="20"/>
      <w:szCs w:val="20"/>
    </w:rPr>
  </w:style>
  <w:style w:type="paragraph" w:styleId="53">
    <w:name w:val="HTML Preformatted"/>
    <w:basedOn w:val="1"/>
    <w:link w:val="10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olor w:val="000000"/>
      <w:kern w:val="0"/>
      <w:sz w:val="20"/>
      <w:szCs w:val="20"/>
    </w:rPr>
  </w:style>
  <w:style w:type="paragraph" w:styleId="54">
    <w:name w:val="Normal (Web)"/>
    <w:basedOn w:val="1"/>
    <w:autoRedefine/>
    <w:qFormat/>
    <w:uiPriority w:val="0"/>
    <w:pPr>
      <w:widowControl/>
      <w:spacing w:before="100" w:beforeAutospacing="1" w:after="100" w:afterAutospacing="1"/>
      <w:jc w:val="left"/>
    </w:pPr>
    <w:rPr>
      <w:rFonts w:hint="eastAsia" w:ascii="宋体" w:hAnsi="宋体"/>
      <w:kern w:val="0"/>
      <w:sz w:val="24"/>
    </w:rPr>
  </w:style>
  <w:style w:type="paragraph" w:styleId="55">
    <w:name w:val="index 2"/>
    <w:basedOn w:val="1"/>
    <w:next w:val="1"/>
    <w:autoRedefine/>
    <w:qFormat/>
    <w:uiPriority w:val="0"/>
    <w:pPr>
      <w:autoSpaceDE w:val="0"/>
      <w:autoSpaceDN w:val="0"/>
      <w:spacing w:line="360" w:lineRule="auto"/>
      <w:ind w:left="200" w:leftChars="200"/>
    </w:pPr>
    <w:rPr>
      <w:sz w:val="24"/>
    </w:rPr>
  </w:style>
  <w:style w:type="paragraph" w:styleId="56">
    <w:name w:val="Title"/>
    <w:basedOn w:val="1"/>
    <w:next w:val="1"/>
    <w:link w:val="105"/>
    <w:autoRedefine/>
    <w:qFormat/>
    <w:uiPriority w:val="99"/>
    <w:pPr>
      <w:widowControl/>
      <w:spacing w:before="240" w:after="60"/>
      <w:jc w:val="center"/>
      <w:outlineLvl w:val="0"/>
    </w:pPr>
    <w:rPr>
      <w:rFonts w:ascii="Arial" w:hAnsi="Arial" w:cs="Arial"/>
      <w:b/>
      <w:bCs/>
      <w:kern w:val="0"/>
      <w:sz w:val="44"/>
      <w:szCs w:val="32"/>
    </w:rPr>
  </w:style>
  <w:style w:type="paragraph" w:styleId="57">
    <w:name w:val="annotation subject"/>
    <w:basedOn w:val="21"/>
    <w:next w:val="21"/>
    <w:link w:val="106"/>
    <w:autoRedefine/>
    <w:qFormat/>
    <w:uiPriority w:val="0"/>
    <w:pPr>
      <w:adjustRightInd/>
      <w:spacing w:line="360" w:lineRule="auto"/>
      <w:textAlignment w:val="auto"/>
    </w:pPr>
    <w:rPr>
      <w:b/>
      <w:bCs/>
      <w:kern w:val="2"/>
    </w:rPr>
  </w:style>
  <w:style w:type="paragraph" w:styleId="58">
    <w:name w:val="Body Text First Indent"/>
    <w:basedOn w:val="1"/>
    <w:link w:val="107"/>
    <w:autoRedefine/>
    <w:qFormat/>
    <w:uiPriority w:val="0"/>
    <w:pPr>
      <w:spacing w:line="312" w:lineRule="auto"/>
      <w:ind w:firstLine="420"/>
    </w:pPr>
    <w:rPr>
      <w:sz w:val="24"/>
    </w:rPr>
  </w:style>
  <w:style w:type="paragraph" w:styleId="59">
    <w:name w:val="Body Text First Indent 2"/>
    <w:basedOn w:val="25"/>
    <w:next w:val="1"/>
    <w:link w:val="80"/>
    <w:autoRedefine/>
    <w:qFormat/>
    <w:uiPriority w:val="0"/>
    <w:pPr>
      <w:widowControl w:val="0"/>
      <w:overflowPunct/>
      <w:autoSpaceDE/>
      <w:autoSpaceDN/>
      <w:adjustRightInd/>
      <w:spacing w:after="120" w:line="240" w:lineRule="auto"/>
      <w:ind w:left="420" w:leftChars="200" w:firstLine="420" w:firstLineChars="200"/>
      <w:textAlignment w:val="auto"/>
    </w:pPr>
    <w:rPr>
      <w:rFonts w:ascii="Calibri" w:hAnsi="Calibri" w:eastAsia="仿宋_GB2312" w:cs="Calibri"/>
      <w:spacing w:val="0"/>
      <w:kern w:val="2"/>
      <w:sz w:val="21"/>
      <w:szCs w:val="24"/>
    </w:rPr>
  </w:style>
  <w:style w:type="table" w:styleId="61">
    <w:name w:val="Table Grid"/>
    <w:basedOn w:val="60"/>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autoRedefine/>
    <w:qFormat/>
    <w:uiPriority w:val="0"/>
    <w:rPr>
      <w:b/>
      <w:bCs/>
    </w:rPr>
  </w:style>
  <w:style w:type="character" w:styleId="64">
    <w:name w:val="endnote reference"/>
    <w:autoRedefine/>
    <w:qFormat/>
    <w:uiPriority w:val="0"/>
    <w:rPr>
      <w:vertAlign w:val="superscript"/>
    </w:rPr>
  </w:style>
  <w:style w:type="character" w:styleId="65">
    <w:name w:val="page number"/>
    <w:basedOn w:val="62"/>
    <w:autoRedefine/>
    <w:qFormat/>
    <w:uiPriority w:val="0"/>
  </w:style>
  <w:style w:type="character" w:styleId="66">
    <w:name w:val="FollowedHyperlink"/>
    <w:basedOn w:val="62"/>
    <w:autoRedefine/>
    <w:qFormat/>
    <w:uiPriority w:val="0"/>
    <w:rPr>
      <w:color w:val="800080"/>
      <w:u w:val="none"/>
    </w:rPr>
  </w:style>
  <w:style w:type="character" w:styleId="67">
    <w:name w:val="Emphasis"/>
    <w:autoRedefine/>
    <w:qFormat/>
    <w:uiPriority w:val="0"/>
    <w:rPr>
      <w:i/>
      <w:iCs/>
    </w:rPr>
  </w:style>
  <w:style w:type="character" w:styleId="68">
    <w:name w:val="HTML Definition"/>
    <w:basedOn w:val="62"/>
    <w:autoRedefine/>
    <w:qFormat/>
    <w:uiPriority w:val="0"/>
  </w:style>
  <w:style w:type="character" w:styleId="69">
    <w:name w:val="HTML Typewriter"/>
    <w:basedOn w:val="62"/>
    <w:autoRedefine/>
    <w:qFormat/>
    <w:uiPriority w:val="0"/>
    <w:rPr>
      <w:rFonts w:hint="default" w:ascii="monospace" w:hAnsi="monospace" w:eastAsia="monospace" w:cs="monospace"/>
      <w:sz w:val="20"/>
    </w:rPr>
  </w:style>
  <w:style w:type="character" w:styleId="70">
    <w:name w:val="HTML Acronym"/>
    <w:basedOn w:val="62"/>
    <w:autoRedefine/>
    <w:qFormat/>
    <w:uiPriority w:val="0"/>
  </w:style>
  <w:style w:type="character" w:styleId="71">
    <w:name w:val="HTML Variable"/>
    <w:basedOn w:val="62"/>
    <w:autoRedefine/>
    <w:qFormat/>
    <w:uiPriority w:val="0"/>
  </w:style>
  <w:style w:type="character" w:styleId="72">
    <w:name w:val="Hyperlink"/>
    <w:basedOn w:val="62"/>
    <w:autoRedefine/>
    <w:qFormat/>
    <w:uiPriority w:val="99"/>
    <w:rPr>
      <w:color w:val="0000FF"/>
      <w:u w:val="none"/>
    </w:rPr>
  </w:style>
  <w:style w:type="character" w:styleId="73">
    <w:name w:val="HTML Code"/>
    <w:basedOn w:val="62"/>
    <w:autoRedefine/>
    <w:qFormat/>
    <w:uiPriority w:val="0"/>
    <w:rPr>
      <w:rFonts w:hint="default" w:ascii="monospace" w:hAnsi="monospace" w:eastAsia="monospace" w:cs="monospace"/>
      <w:sz w:val="20"/>
    </w:rPr>
  </w:style>
  <w:style w:type="character" w:styleId="74">
    <w:name w:val="annotation reference"/>
    <w:autoRedefine/>
    <w:qFormat/>
    <w:uiPriority w:val="0"/>
    <w:rPr>
      <w:sz w:val="21"/>
      <w:szCs w:val="21"/>
    </w:rPr>
  </w:style>
  <w:style w:type="character" w:styleId="75">
    <w:name w:val="HTML Cite"/>
    <w:basedOn w:val="62"/>
    <w:autoRedefine/>
    <w:qFormat/>
    <w:uiPriority w:val="0"/>
  </w:style>
  <w:style w:type="character" w:styleId="76">
    <w:name w:val="footnote reference"/>
    <w:autoRedefine/>
    <w:qFormat/>
    <w:uiPriority w:val="0"/>
    <w:rPr>
      <w:vertAlign w:val="superscript"/>
    </w:rPr>
  </w:style>
  <w:style w:type="character" w:styleId="77">
    <w:name w:val="HTML Keyboard"/>
    <w:basedOn w:val="62"/>
    <w:autoRedefine/>
    <w:qFormat/>
    <w:uiPriority w:val="0"/>
    <w:rPr>
      <w:rFonts w:hint="default" w:ascii="monospace" w:hAnsi="monospace" w:eastAsia="monospace" w:cs="monospace"/>
      <w:sz w:val="20"/>
    </w:rPr>
  </w:style>
  <w:style w:type="character" w:styleId="78">
    <w:name w:val="HTML Sample"/>
    <w:basedOn w:val="62"/>
    <w:autoRedefine/>
    <w:qFormat/>
    <w:uiPriority w:val="0"/>
    <w:rPr>
      <w:rFonts w:ascii="monospace" w:hAnsi="monospace" w:eastAsia="monospace" w:cs="monospace"/>
    </w:rPr>
  </w:style>
  <w:style w:type="character" w:customStyle="1" w:styleId="79">
    <w:name w:val="正文文本缩进 字符"/>
    <w:link w:val="25"/>
    <w:autoRedefine/>
    <w:qFormat/>
    <w:uiPriority w:val="0"/>
    <w:rPr>
      <w:rFonts w:ascii="宋体" w:hAnsi="MS Sans Serif"/>
      <w:spacing w:val="12"/>
      <w:sz w:val="24"/>
    </w:rPr>
  </w:style>
  <w:style w:type="character" w:customStyle="1" w:styleId="80">
    <w:name w:val="正文文本首行缩进 2 字符"/>
    <w:link w:val="59"/>
    <w:autoRedefine/>
    <w:qFormat/>
    <w:locked/>
    <w:uiPriority w:val="0"/>
    <w:rPr>
      <w:rFonts w:ascii="Calibri" w:hAnsi="Calibri" w:eastAsia="仿宋_GB2312" w:cs="Calibri"/>
      <w:kern w:val="2"/>
      <w:sz w:val="21"/>
      <w:szCs w:val="24"/>
      <w:lang w:val="en-US" w:eastAsia="zh-CN" w:bidi="ar-SA"/>
    </w:rPr>
  </w:style>
  <w:style w:type="character" w:customStyle="1" w:styleId="81">
    <w:name w:val="标题 1 字符"/>
    <w:link w:val="2"/>
    <w:autoRedefine/>
    <w:qFormat/>
    <w:uiPriority w:val="0"/>
    <w:rPr>
      <w:rFonts w:ascii="黑体" w:eastAsia="黑体"/>
      <w:sz w:val="52"/>
    </w:rPr>
  </w:style>
  <w:style w:type="character" w:customStyle="1" w:styleId="82">
    <w:name w:val="标题 2 字符"/>
    <w:link w:val="3"/>
    <w:autoRedefine/>
    <w:qFormat/>
    <w:uiPriority w:val="0"/>
    <w:rPr>
      <w:rFonts w:ascii="宋体" w:hAnsi="宋体"/>
      <w:b/>
      <w:color w:val="000000"/>
      <w:sz w:val="44"/>
    </w:rPr>
  </w:style>
  <w:style w:type="character" w:customStyle="1" w:styleId="83">
    <w:name w:val="标题 3 字符"/>
    <w:link w:val="4"/>
    <w:autoRedefine/>
    <w:qFormat/>
    <w:uiPriority w:val="0"/>
    <w:rPr>
      <w:b/>
      <w:kern w:val="2"/>
      <w:sz w:val="32"/>
      <w:szCs w:val="24"/>
    </w:rPr>
  </w:style>
  <w:style w:type="character" w:customStyle="1" w:styleId="84">
    <w:name w:val="标题 4 字符"/>
    <w:link w:val="5"/>
    <w:autoRedefine/>
    <w:qFormat/>
    <w:uiPriority w:val="0"/>
    <w:rPr>
      <w:rFonts w:ascii="Arial" w:hAnsi="Arial" w:eastAsia="黑体"/>
      <w:sz w:val="28"/>
    </w:rPr>
  </w:style>
  <w:style w:type="character" w:customStyle="1" w:styleId="85">
    <w:name w:val="标题 5 字符"/>
    <w:link w:val="6"/>
    <w:autoRedefine/>
    <w:qFormat/>
    <w:uiPriority w:val="0"/>
    <w:rPr>
      <w:rFonts w:ascii="宋体" w:hAnsi="宋体"/>
      <w:b/>
      <w:sz w:val="24"/>
    </w:rPr>
  </w:style>
  <w:style w:type="character" w:customStyle="1" w:styleId="86">
    <w:name w:val="标题 6 字符"/>
    <w:link w:val="7"/>
    <w:autoRedefine/>
    <w:qFormat/>
    <w:locked/>
    <w:uiPriority w:val="0"/>
    <w:rPr>
      <w:rFonts w:ascii="Arial" w:hAnsi="Arial" w:eastAsia="黑体"/>
      <w:b/>
      <w:bCs/>
      <w:sz w:val="24"/>
      <w:szCs w:val="24"/>
    </w:rPr>
  </w:style>
  <w:style w:type="character" w:customStyle="1" w:styleId="87">
    <w:name w:val="标题 7 字符"/>
    <w:link w:val="8"/>
    <w:autoRedefine/>
    <w:qFormat/>
    <w:locked/>
    <w:uiPriority w:val="0"/>
    <w:rPr>
      <w:b/>
      <w:bCs/>
      <w:sz w:val="24"/>
      <w:szCs w:val="24"/>
    </w:rPr>
  </w:style>
  <w:style w:type="character" w:customStyle="1" w:styleId="88">
    <w:name w:val="标题 8 字符"/>
    <w:link w:val="9"/>
    <w:autoRedefine/>
    <w:qFormat/>
    <w:locked/>
    <w:uiPriority w:val="0"/>
    <w:rPr>
      <w:rFonts w:ascii="Arial" w:hAnsi="Arial" w:eastAsia="黑体"/>
      <w:sz w:val="24"/>
      <w:szCs w:val="24"/>
    </w:rPr>
  </w:style>
  <w:style w:type="character" w:customStyle="1" w:styleId="89">
    <w:name w:val="标题 9 字符"/>
    <w:link w:val="10"/>
    <w:autoRedefine/>
    <w:qFormat/>
    <w:locked/>
    <w:uiPriority w:val="0"/>
    <w:rPr>
      <w:rFonts w:ascii="Arial" w:hAnsi="Arial" w:eastAsia="黑体"/>
      <w:sz w:val="21"/>
      <w:szCs w:val="21"/>
    </w:rPr>
  </w:style>
  <w:style w:type="character" w:customStyle="1" w:styleId="90">
    <w:name w:val="文档结构图 字符"/>
    <w:link w:val="20"/>
    <w:autoRedefine/>
    <w:qFormat/>
    <w:uiPriority w:val="0"/>
    <w:rPr>
      <w:shd w:val="clear" w:color="auto" w:fill="000080"/>
    </w:rPr>
  </w:style>
  <w:style w:type="character" w:customStyle="1" w:styleId="91">
    <w:name w:val="批注文字 字符"/>
    <w:link w:val="21"/>
    <w:autoRedefine/>
    <w:qFormat/>
    <w:uiPriority w:val="0"/>
    <w:rPr>
      <w:sz w:val="24"/>
    </w:rPr>
  </w:style>
  <w:style w:type="character" w:customStyle="1" w:styleId="92">
    <w:name w:val="正文文本 3 字符"/>
    <w:link w:val="23"/>
    <w:autoRedefine/>
    <w:qFormat/>
    <w:uiPriority w:val="0"/>
    <w:rPr>
      <w:b/>
      <w:sz w:val="16"/>
      <w:szCs w:val="16"/>
    </w:rPr>
  </w:style>
  <w:style w:type="character" w:customStyle="1" w:styleId="93">
    <w:name w:val="正文文本 字符"/>
    <w:link w:val="24"/>
    <w:autoRedefine/>
    <w:qFormat/>
    <w:uiPriority w:val="0"/>
    <w:rPr>
      <w:kern w:val="2"/>
      <w:sz w:val="30"/>
    </w:rPr>
  </w:style>
  <w:style w:type="character" w:customStyle="1" w:styleId="94">
    <w:name w:val="纯文本 字符"/>
    <w:link w:val="30"/>
    <w:autoRedefine/>
    <w:qFormat/>
    <w:uiPriority w:val="0"/>
    <w:rPr>
      <w:rFonts w:ascii="宋体" w:hAnsi="Courier New"/>
      <w:kern w:val="2"/>
      <w:sz w:val="21"/>
    </w:rPr>
  </w:style>
  <w:style w:type="character" w:customStyle="1" w:styleId="95">
    <w:name w:val="日期 字符"/>
    <w:link w:val="33"/>
    <w:autoRedefine/>
    <w:qFormat/>
    <w:locked/>
    <w:uiPriority w:val="99"/>
    <w:rPr>
      <w:kern w:val="2"/>
      <w:sz w:val="24"/>
    </w:rPr>
  </w:style>
  <w:style w:type="character" w:customStyle="1" w:styleId="96">
    <w:name w:val="正文文本缩进 2 字符"/>
    <w:link w:val="34"/>
    <w:autoRedefine/>
    <w:qFormat/>
    <w:locked/>
    <w:uiPriority w:val="0"/>
    <w:rPr>
      <w:rFonts w:ascii="宋体" w:hAnsi="MS Sans Serif"/>
      <w:spacing w:val="12"/>
      <w:sz w:val="24"/>
    </w:rPr>
  </w:style>
  <w:style w:type="character" w:customStyle="1" w:styleId="97">
    <w:name w:val="批注框文本 字符"/>
    <w:link w:val="36"/>
    <w:autoRedefine/>
    <w:qFormat/>
    <w:uiPriority w:val="0"/>
    <w:rPr>
      <w:sz w:val="18"/>
      <w:szCs w:val="18"/>
    </w:rPr>
  </w:style>
  <w:style w:type="character" w:customStyle="1" w:styleId="98">
    <w:name w:val="页脚 字符"/>
    <w:link w:val="37"/>
    <w:autoRedefine/>
    <w:qFormat/>
    <w:uiPriority w:val="0"/>
    <w:rPr>
      <w:rFonts w:eastAsia="宋体"/>
      <w:sz w:val="18"/>
      <w:lang w:val="en-US" w:eastAsia="zh-CN" w:bidi="ar-SA"/>
    </w:rPr>
  </w:style>
  <w:style w:type="character" w:customStyle="1" w:styleId="99">
    <w:name w:val="页眉 字符"/>
    <w:link w:val="38"/>
    <w:autoRedefine/>
    <w:qFormat/>
    <w:uiPriority w:val="99"/>
    <w:rPr>
      <w:rFonts w:eastAsia="宋体"/>
      <w:sz w:val="18"/>
      <w:lang w:val="en-US" w:eastAsia="zh-CN" w:bidi="ar-SA"/>
    </w:rPr>
  </w:style>
  <w:style w:type="character" w:customStyle="1" w:styleId="100">
    <w:name w:val="副标题 字符"/>
    <w:link w:val="43"/>
    <w:autoRedefine/>
    <w:qFormat/>
    <w:locked/>
    <w:uiPriority w:val="0"/>
    <w:rPr>
      <w:rFonts w:ascii="Calibri" w:hAnsi="Calibri" w:eastAsia="华文新魏" w:cs="Arial"/>
      <w:b/>
      <w:bCs/>
      <w:kern w:val="28"/>
      <w:sz w:val="52"/>
      <w:szCs w:val="32"/>
    </w:rPr>
  </w:style>
  <w:style w:type="character" w:customStyle="1" w:styleId="101">
    <w:name w:val="脚注文本 字符"/>
    <w:link w:val="45"/>
    <w:autoRedefine/>
    <w:qFormat/>
    <w:locked/>
    <w:uiPriority w:val="0"/>
    <w:rPr>
      <w:sz w:val="18"/>
    </w:rPr>
  </w:style>
  <w:style w:type="character" w:customStyle="1" w:styleId="102">
    <w:name w:val="正文文本缩进 3 字符"/>
    <w:link w:val="47"/>
    <w:autoRedefine/>
    <w:qFormat/>
    <w:locked/>
    <w:uiPriority w:val="0"/>
    <w:rPr>
      <w:rFonts w:ascii="宋体" w:hAnsi="MS Sans Serif"/>
      <w:color w:val="000000"/>
      <w:sz w:val="24"/>
    </w:rPr>
  </w:style>
  <w:style w:type="character" w:customStyle="1" w:styleId="103">
    <w:name w:val="正文文本 2 字符"/>
    <w:basedOn w:val="62"/>
    <w:link w:val="52"/>
    <w:autoRedefine/>
    <w:qFormat/>
    <w:locked/>
    <w:uiPriority w:val="0"/>
  </w:style>
  <w:style w:type="character" w:customStyle="1" w:styleId="104">
    <w:name w:val="HTML 预设格式 字符"/>
    <w:link w:val="53"/>
    <w:autoRedefine/>
    <w:qFormat/>
    <w:locked/>
    <w:uiPriority w:val="0"/>
    <w:rPr>
      <w:rFonts w:ascii="Arial Unicode MS" w:hAnsi="Arial Unicode MS" w:cs="Arial Unicode MS"/>
      <w:color w:val="000000"/>
    </w:rPr>
  </w:style>
  <w:style w:type="character" w:customStyle="1" w:styleId="105">
    <w:name w:val="标题 字符"/>
    <w:link w:val="56"/>
    <w:autoRedefine/>
    <w:qFormat/>
    <w:uiPriority w:val="99"/>
    <w:rPr>
      <w:rFonts w:ascii="Arial" w:hAnsi="Arial" w:eastAsia="宋体" w:cs="Arial"/>
      <w:b/>
      <w:bCs/>
      <w:sz w:val="44"/>
      <w:szCs w:val="32"/>
      <w:lang w:val="en-US" w:eastAsia="zh-CN" w:bidi="ar-SA"/>
    </w:rPr>
  </w:style>
  <w:style w:type="character" w:customStyle="1" w:styleId="106">
    <w:name w:val="批注主题 字符"/>
    <w:link w:val="57"/>
    <w:autoRedefine/>
    <w:qFormat/>
    <w:uiPriority w:val="0"/>
    <w:rPr>
      <w:b/>
      <w:bCs/>
      <w:kern w:val="2"/>
      <w:sz w:val="24"/>
    </w:rPr>
  </w:style>
  <w:style w:type="character" w:customStyle="1" w:styleId="107">
    <w:name w:val="正文文本首行缩进 字符"/>
    <w:basedOn w:val="108"/>
    <w:link w:val="58"/>
    <w:autoRedefine/>
    <w:qFormat/>
    <w:uiPriority w:val="0"/>
    <w:rPr>
      <w:rFonts w:eastAsia="宋体" w:cs="Times New Roman"/>
      <w:kern w:val="2"/>
      <w:sz w:val="24"/>
      <w:szCs w:val="24"/>
      <w:lang w:val="en-US" w:eastAsia="zh-CN" w:bidi="ar-SA"/>
    </w:rPr>
  </w:style>
  <w:style w:type="character" w:customStyle="1" w:styleId="108">
    <w:name w:val="正文文本 Char"/>
    <w:autoRedefine/>
    <w:qFormat/>
    <w:uiPriority w:val="0"/>
    <w:rPr>
      <w:rFonts w:eastAsia="宋体" w:cs="Times New Roman"/>
      <w:kern w:val="2"/>
      <w:sz w:val="24"/>
      <w:szCs w:val="24"/>
      <w:lang w:val="en-US" w:eastAsia="zh-CN" w:bidi="ar-SA"/>
    </w:rPr>
  </w:style>
  <w:style w:type="character" w:customStyle="1" w:styleId="109">
    <w:name w:val="批注框文本 Char1"/>
    <w:autoRedefine/>
    <w:qFormat/>
    <w:uiPriority w:val="0"/>
    <w:rPr>
      <w:kern w:val="2"/>
      <w:sz w:val="18"/>
      <w:szCs w:val="18"/>
    </w:rPr>
  </w:style>
  <w:style w:type="character" w:customStyle="1" w:styleId="110">
    <w:name w:val="正文首行缩进 Char1"/>
    <w:basedOn w:val="93"/>
    <w:autoRedefine/>
    <w:qFormat/>
    <w:uiPriority w:val="0"/>
    <w:rPr>
      <w:kern w:val="2"/>
      <w:sz w:val="30"/>
    </w:rPr>
  </w:style>
  <w:style w:type="character" w:customStyle="1" w:styleId="111">
    <w:name w:val="引用 字符"/>
    <w:link w:val="112"/>
    <w:autoRedefine/>
    <w:qFormat/>
    <w:uiPriority w:val="0"/>
    <w:rPr>
      <w:i/>
      <w:iCs/>
      <w:color w:val="000000"/>
      <w:kern w:val="2"/>
      <w:sz w:val="21"/>
      <w:szCs w:val="22"/>
    </w:rPr>
  </w:style>
  <w:style w:type="paragraph" w:styleId="112">
    <w:name w:val="Quote"/>
    <w:basedOn w:val="1"/>
    <w:next w:val="1"/>
    <w:link w:val="111"/>
    <w:autoRedefine/>
    <w:qFormat/>
    <w:uiPriority w:val="0"/>
    <w:rPr>
      <w:i/>
      <w:iCs/>
      <w:color w:val="000000"/>
      <w:szCs w:val="22"/>
    </w:rPr>
  </w:style>
  <w:style w:type="character" w:customStyle="1" w:styleId="113">
    <w:name w:val="Char Char"/>
    <w:autoRedefine/>
    <w:qFormat/>
    <w:uiPriority w:val="0"/>
    <w:rPr>
      <w:rFonts w:ascii="Arial" w:hAnsi="Arial" w:eastAsia="黑体"/>
      <w:b/>
      <w:bCs/>
      <w:kern w:val="2"/>
      <w:sz w:val="32"/>
      <w:szCs w:val="32"/>
      <w:lang w:val="en-US" w:eastAsia="zh-CN" w:bidi="ar-SA"/>
    </w:rPr>
  </w:style>
  <w:style w:type="character" w:customStyle="1" w:styleId="114">
    <w:name w:val="五号正文（标准） Char Char"/>
    <w:link w:val="115"/>
    <w:autoRedefine/>
    <w:qFormat/>
    <w:locked/>
    <w:uiPriority w:val="0"/>
    <w:rPr>
      <w:rFonts w:ascii="宋体" w:hAnsi="宋体"/>
      <w:sz w:val="24"/>
      <w:szCs w:val="24"/>
    </w:rPr>
  </w:style>
  <w:style w:type="paragraph" w:customStyle="1" w:styleId="115">
    <w:name w:val="五号正文（标准）"/>
    <w:basedOn w:val="1"/>
    <w:link w:val="114"/>
    <w:autoRedefine/>
    <w:qFormat/>
    <w:uiPriority w:val="0"/>
    <w:pPr>
      <w:spacing w:line="360" w:lineRule="auto"/>
      <w:ind w:firstLine="360" w:firstLineChars="150"/>
    </w:pPr>
    <w:rPr>
      <w:rFonts w:ascii="宋体" w:hAnsi="宋体"/>
      <w:kern w:val="0"/>
      <w:sz w:val="24"/>
    </w:rPr>
  </w:style>
  <w:style w:type="character" w:customStyle="1" w:styleId="116">
    <w:name w:val="正文首行缩进 2 Char1"/>
    <w:basedOn w:val="79"/>
    <w:autoRedefine/>
    <w:qFormat/>
    <w:uiPriority w:val="0"/>
    <w:rPr>
      <w:rFonts w:ascii="宋体" w:hAnsi="MS Sans Serif"/>
      <w:spacing w:val="12"/>
      <w:sz w:val="24"/>
    </w:rPr>
  </w:style>
  <w:style w:type="character" w:customStyle="1" w:styleId="117">
    <w:name w:val="内容 Char Char"/>
    <w:link w:val="118"/>
    <w:autoRedefine/>
    <w:qFormat/>
    <w:locked/>
    <w:uiPriority w:val="0"/>
    <w:rPr>
      <w:sz w:val="24"/>
      <w:szCs w:val="24"/>
    </w:rPr>
  </w:style>
  <w:style w:type="paragraph" w:customStyle="1" w:styleId="118">
    <w:name w:val="内容"/>
    <w:basedOn w:val="1"/>
    <w:link w:val="117"/>
    <w:autoRedefine/>
    <w:qFormat/>
    <w:uiPriority w:val="0"/>
    <w:pPr>
      <w:spacing w:line="360" w:lineRule="auto"/>
      <w:ind w:firstLine="480" w:firstLineChars="200"/>
    </w:pPr>
    <w:rPr>
      <w:kern w:val="0"/>
      <w:sz w:val="24"/>
    </w:rPr>
  </w:style>
  <w:style w:type="character" w:customStyle="1" w:styleId="119">
    <w:name w:val="apple-style-span"/>
    <w:autoRedefine/>
    <w:qFormat/>
    <w:uiPriority w:val="0"/>
  </w:style>
  <w:style w:type="character" w:customStyle="1" w:styleId="120">
    <w:name w:val="副标题 Char1"/>
    <w:autoRedefine/>
    <w:qFormat/>
    <w:uiPriority w:val="0"/>
    <w:rPr>
      <w:rFonts w:ascii="Cambria" w:hAnsi="Cambria" w:cs="Times New Roman"/>
      <w:b/>
      <w:bCs/>
      <w:kern w:val="28"/>
      <w:sz w:val="32"/>
      <w:szCs w:val="32"/>
    </w:rPr>
  </w:style>
  <w:style w:type="character" w:customStyle="1" w:styleId="121">
    <w:name w:val="textcontents"/>
    <w:autoRedefine/>
    <w:qFormat/>
    <w:uiPriority w:val="0"/>
    <w:rPr>
      <w:rFonts w:cs="Times New Roman"/>
    </w:rPr>
  </w:style>
  <w:style w:type="character" w:customStyle="1" w:styleId="122">
    <w:name w:val="Table Text Char Char"/>
    <w:link w:val="123"/>
    <w:autoRedefine/>
    <w:qFormat/>
    <w:locked/>
    <w:uiPriority w:val="0"/>
    <w:rPr>
      <w:rFonts w:ascii="Arial" w:hAnsi="Arial" w:eastAsia="Times New Roman"/>
      <w:kern w:val="2"/>
      <w:sz w:val="18"/>
      <w:szCs w:val="18"/>
      <w:lang w:val="en-US" w:eastAsia="zh-CN" w:bidi="ar-SA"/>
    </w:rPr>
  </w:style>
  <w:style w:type="paragraph" w:customStyle="1" w:styleId="123">
    <w:name w:val="Table Text"/>
    <w:link w:val="122"/>
    <w:autoRedefine/>
    <w:qFormat/>
    <w:uiPriority w:val="0"/>
    <w:pPr>
      <w:snapToGrid w:val="0"/>
      <w:spacing w:before="80" w:after="80"/>
    </w:pPr>
    <w:rPr>
      <w:rFonts w:ascii="Arial" w:hAnsi="Arial" w:eastAsia="Times New Roman" w:cs="Times New Roman"/>
      <w:kern w:val="2"/>
      <w:sz w:val="18"/>
      <w:szCs w:val="18"/>
      <w:lang w:val="en-US" w:eastAsia="zh-CN" w:bidi="ar-SA"/>
    </w:rPr>
  </w:style>
  <w:style w:type="character" w:customStyle="1" w:styleId="124">
    <w:name w:val="标题4 Char Char"/>
    <w:link w:val="125"/>
    <w:autoRedefine/>
    <w:qFormat/>
    <w:uiPriority w:val="0"/>
    <w:rPr>
      <w:rFonts w:ascii="Arial" w:hAnsi="Arial"/>
      <w:b/>
      <w:bCs/>
      <w:sz w:val="24"/>
      <w:szCs w:val="32"/>
    </w:rPr>
  </w:style>
  <w:style w:type="paragraph" w:customStyle="1" w:styleId="125">
    <w:name w:val="标题4"/>
    <w:basedOn w:val="3"/>
    <w:next w:val="27"/>
    <w:link w:val="124"/>
    <w:autoRedefine/>
    <w:qFormat/>
    <w:uiPriority w:val="0"/>
    <w:pPr>
      <w:widowControl w:val="0"/>
      <w:spacing w:before="260" w:after="260" w:line="413" w:lineRule="auto"/>
    </w:pPr>
    <w:rPr>
      <w:rFonts w:ascii="Arial" w:hAnsi="Arial"/>
      <w:bCs/>
      <w:color w:val="auto"/>
      <w:sz w:val="24"/>
      <w:szCs w:val="32"/>
    </w:rPr>
  </w:style>
  <w:style w:type="character" w:customStyle="1" w:styleId="126">
    <w:name w:val="书籍标题1"/>
    <w:autoRedefine/>
    <w:qFormat/>
    <w:uiPriority w:val="0"/>
    <w:rPr>
      <w:b/>
      <w:bCs/>
      <w:smallCaps/>
      <w:spacing w:val="5"/>
    </w:rPr>
  </w:style>
  <w:style w:type="character" w:customStyle="1" w:styleId="127">
    <w:name w:val="正文仿宋小四 Char Char"/>
    <w:link w:val="128"/>
    <w:autoRedefine/>
    <w:qFormat/>
    <w:locked/>
    <w:uiPriority w:val="0"/>
    <w:rPr>
      <w:rFonts w:eastAsia="仿宋_GB2312"/>
      <w:sz w:val="24"/>
      <w:szCs w:val="24"/>
    </w:rPr>
  </w:style>
  <w:style w:type="paragraph" w:customStyle="1" w:styleId="128">
    <w:name w:val="正文仿宋小四"/>
    <w:basedOn w:val="1"/>
    <w:link w:val="127"/>
    <w:autoRedefine/>
    <w:qFormat/>
    <w:uiPriority w:val="0"/>
    <w:pPr>
      <w:numPr>
        <w:ilvl w:val="0"/>
        <w:numId w:val="3"/>
      </w:numPr>
      <w:tabs>
        <w:tab w:val="clear" w:pos="360"/>
      </w:tabs>
      <w:spacing w:line="360" w:lineRule="auto"/>
      <w:ind w:left="0" w:firstLine="480" w:firstLineChars="200"/>
    </w:pPr>
    <w:rPr>
      <w:rFonts w:eastAsia="仿宋_GB2312"/>
      <w:kern w:val="0"/>
      <w:sz w:val="24"/>
    </w:rPr>
  </w:style>
  <w:style w:type="character" w:customStyle="1" w:styleId="129">
    <w:name w:val="样式 标题 2 + 小三 Char Char Char"/>
    <w:link w:val="130"/>
    <w:autoRedefine/>
    <w:qFormat/>
    <w:locked/>
    <w:uiPriority w:val="0"/>
    <w:rPr>
      <w:rFonts w:ascii="Arial" w:hAnsi="Arial" w:eastAsia="黑体"/>
      <w:b/>
      <w:bCs/>
      <w:sz w:val="32"/>
      <w:szCs w:val="32"/>
    </w:rPr>
  </w:style>
  <w:style w:type="paragraph" w:customStyle="1" w:styleId="130">
    <w:name w:val="样式 标题 2 + 小三 Char"/>
    <w:basedOn w:val="3"/>
    <w:link w:val="129"/>
    <w:autoRedefine/>
    <w:qFormat/>
    <w:uiPriority w:val="0"/>
    <w:pPr>
      <w:widowControl w:val="0"/>
      <w:spacing w:before="260" w:after="260" w:line="413" w:lineRule="auto"/>
    </w:pPr>
    <w:rPr>
      <w:rFonts w:ascii="Arial" w:hAnsi="Arial" w:eastAsia="黑体"/>
      <w:bCs/>
      <w:color w:val="auto"/>
      <w:sz w:val="32"/>
      <w:szCs w:val="32"/>
    </w:rPr>
  </w:style>
  <w:style w:type="character" w:customStyle="1" w:styleId="131">
    <w:name w:val="HTML 预设格式 Char1"/>
    <w:autoRedefine/>
    <w:qFormat/>
    <w:uiPriority w:val="0"/>
    <w:rPr>
      <w:rFonts w:ascii="Courier New" w:hAnsi="Courier New" w:cs="Courier New"/>
      <w:kern w:val="2"/>
    </w:rPr>
  </w:style>
  <w:style w:type="character" w:customStyle="1" w:styleId="132">
    <w:name w:val="A正文 Char Char1"/>
    <w:link w:val="133"/>
    <w:autoRedefine/>
    <w:qFormat/>
    <w:locked/>
    <w:uiPriority w:val="0"/>
    <w:rPr>
      <w:sz w:val="24"/>
      <w:szCs w:val="24"/>
    </w:rPr>
  </w:style>
  <w:style w:type="paragraph" w:customStyle="1" w:styleId="133">
    <w:name w:val="A正文 Char"/>
    <w:basedOn w:val="1"/>
    <w:link w:val="132"/>
    <w:autoRedefine/>
    <w:qFormat/>
    <w:uiPriority w:val="0"/>
    <w:pPr>
      <w:spacing w:line="360" w:lineRule="auto"/>
      <w:ind w:left="840" w:leftChars="400" w:firstLine="480" w:firstLineChars="200"/>
    </w:pPr>
    <w:rPr>
      <w:kern w:val="0"/>
      <w:sz w:val="24"/>
    </w:rPr>
  </w:style>
  <w:style w:type="character" w:customStyle="1" w:styleId="134">
    <w:name w:val="Char Char8"/>
    <w:autoRedefine/>
    <w:qFormat/>
    <w:uiPriority w:val="0"/>
    <w:rPr>
      <w:rFonts w:ascii="Arial" w:hAnsi="Arial" w:eastAsia="黑体"/>
      <w:b/>
      <w:bCs/>
      <w:kern w:val="2"/>
      <w:sz w:val="32"/>
      <w:szCs w:val="32"/>
      <w:lang w:val="en-US" w:eastAsia="zh-CN" w:bidi="ar-SA"/>
    </w:rPr>
  </w:style>
  <w:style w:type="character" w:customStyle="1" w:styleId="135">
    <w:name w:val="标五 Char Char"/>
    <w:link w:val="136"/>
    <w:autoRedefine/>
    <w:qFormat/>
    <w:locked/>
    <w:uiPriority w:val="0"/>
    <w:rPr>
      <w:rFonts w:ascii="宋体" w:eastAsia="Times New Roman"/>
      <w:kern w:val="2"/>
      <w:sz w:val="24"/>
      <w:szCs w:val="24"/>
      <w:lang w:val="en-US" w:eastAsia="zh-CN" w:bidi="ar-SA"/>
    </w:rPr>
  </w:style>
  <w:style w:type="paragraph" w:customStyle="1" w:styleId="136">
    <w:name w:val="标五"/>
    <w:next w:val="1"/>
    <w:link w:val="135"/>
    <w:autoRedefine/>
    <w:qFormat/>
    <w:uiPriority w:val="0"/>
    <w:pPr>
      <w:tabs>
        <w:tab w:val="left" w:pos="421"/>
      </w:tabs>
      <w:spacing w:line="360" w:lineRule="auto"/>
      <w:ind w:left="421" w:hanging="420"/>
      <w:outlineLvl w:val="4"/>
    </w:pPr>
    <w:rPr>
      <w:rFonts w:ascii="宋体" w:hAnsi="Times New Roman" w:eastAsia="Times New Roman" w:cs="Times New Roman"/>
      <w:kern w:val="2"/>
      <w:sz w:val="24"/>
      <w:szCs w:val="24"/>
      <w:lang w:val="en-US" w:eastAsia="zh-CN" w:bidi="ar-SA"/>
    </w:rPr>
  </w:style>
  <w:style w:type="character" w:customStyle="1" w:styleId="137">
    <w:name w:val="批注主题 Char2"/>
    <w:basedOn w:val="91"/>
    <w:autoRedefine/>
    <w:qFormat/>
    <w:uiPriority w:val="0"/>
    <w:rPr>
      <w:kern w:val="2"/>
      <w:sz w:val="21"/>
      <w:szCs w:val="24"/>
    </w:rPr>
  </w:style>
  <w:style w:type="character" w:customStyle="1" w:styleId="138">
    <w:name w:val="正文内容首行缩进2字符 Char Char"/>
    <w:link w:val="139"/>
    <w:autoRedefine/>
    <w:qFormat/>
    <w:locked/>
    <w:uiPriority w:val="0"/>
    <w:rPr>
      <w:rFonts w:ascii="Arial" w:hAnsi="Arial"/>
      <w:sz w:val="24"/>
      <w:szCs w:val="24"/>
      <w:shd w:val="solid" w:color="F6FBFE" w:fill="auto"/>
    </w:rPr>
  </w:style>
  <w:style w:type="paragraph" w:customStyle="1" w:styleId="139">
    <w:name w:val="正文内容首行缩进2字符"/>
    <w:basedOn w:val="1"/>
    <w:link w:val="138"/>
    <w:autoRedefine/>
    <w:qFormat/>
    <w:uiPriority w:val="0"/>
    <w:pPr>
      <w:widowControl/>
      <w:pBdr>
        <w:top w:val="none" w:color="000000" w:sz="0" w:space="0"/>
        <w:left w:val="none" w:color="000000" w:sz="0" w:space="0"/>
        <w:bottom w:val="none" w:color="000000" w:sz="0" w:space="0"/>
        <w:right w:val="none" w:color="000000" w:sz="0" w:space="0"/>
      </w:pBdr>
      <w:shd w:val="solid" w:color="F6FBFE" w:fill="auto"/>
      <w:wordWrap w:val="0"/>
      <w:overflowPunct w:val="0"/>
      <w:autoSpaceDN w:val="0"/>
      <w:adjustRightInd w:val="0"/>
      <w:spacing w:before="225" w:line="460" w:lineRule="exact"/>
      <w:ind w:firstLine="480" w:firstLineChars="200"/>
      <w:textAlignment w:val="baseline"/>
    </w:pPr>
    <w:rPr>
      <w:rFonts w:ascii="Arial" w:hAnsi="Arial"/>
      <w:kern w:val="0"/>
      <w:sz w:val="24"/>
      <w:shd w:val="solid" w:color="F6FBFE" w:fill="auto"/>
    </w:rPr>
  </w:style>
  <w:style w:type="character" w:customStyle="1" w:styleId="140">
    <w:name w:val="文档结构图 Char1"/>
    <w:autoRedefine/>
    <w:qFormat/>
    <w:uiPriority w:val="0"/>
    <w:rPr>
      <w:rFonts w:ascii="宋体"/>
      <w:kern w:val="2"/>
      <w:sz w:val="18"/>
      <w:szCs w:val="18"/>
    </w:rPr>
  </w:style>
  <w:style w:type="character" w:customStyle="1" w:styleId="141">
    <w:name w:val="tytytyty Char Char"/>
    <w:basedOn w:val="142"/>
    <w:link w:val="143"/>
    <w:autoRedefine/>
    <w:qFormat/>
    <w:locked/>
    <w:uiPriority w:val="0"/>
    <w:rPr>
      <w:rFonts w:eastAsia="宋体"/>
      <w:kern w:val="2"/>
      <w:sz w:val="24"/>
      <w:szCs w:val="24"/>
      <w:lang w:val="en-US" w:eastAsia="zh-CN"/>
    </w:rPr>
  </w:style>
  <w:style w:type="character" w:customStyle="1" w:styleId="142">
    <w:name w:val="A正文 Char Char Char"/>
    <w:autoRedefine/>
    <w:qFormat/>
    <w:uiPriority w:val="0"/>
    <w:rPr>
      <w:rFonts w:eastAsia="宋体"/>
      <w:kern w:val="2"/>
      <w:sz w:val="24"/>
      <w:szCs w:val="24"/>
      <w:lang w:val="en-US" w:eastAsia="zh-CN"/>
    </w:rPr>
  </w:style>
  <w:style w:type="paragraph" w:customStyle="1" w:styleId="143">
    <w:name w:val="tytytyty"/>
    <w:basedOn w:val="133"/>
    <w:link w:val="141"/>
    <w:autoRedefine/>
    <w:qFormat/>
    <w:uiPriority w:val="0"/>
    <w:pPr>
      <w:ind w:left="359" w:leftChars="171"/>
    </w:pPr>
    <w:rPr>
      <w:kern w:val="2"/>
    </w:rPr>
  </w:style>
  <w:style w:type="character" w:customStyle="1" w:styleId="144">
    <w:name w:val="Char Char2"/>
    <w:autoRedefine/>
    <w:qFormat/>
    <w:uiPriority w:val="0"/>
    <w:rPr>
      <w:rFonts w:eastAsia="宋体"/>
      <w:kern w:val="2"/>
      <w:sz w:val="21"/>
      <w:szCs w:val="24"/>
      <w:lang w:val="en-US" w:eastAsia="zh-CN" w:bidi="ar-SA"/>
    </w:rPr>
  </w:style>
  <w:style w:type="character" w:customStyle="1" w:styleId="145">
    <w:name w:val="日期 Char1"/>
    <w:autoRedefine/>
    <w:qFormat/>
    <w:uiPriority w:val="0"/>
    <w:rPr>
      <w:kern w:val="2"/>
      <w:sz w:val="21"/>
      <w:szCs w:val="22"/>
    </w:rPr>
  </w:style>
  <w:style w:type="character" w:customStyle="1" w:styleId="146">
    <w:name w:val="标三 Char Char"/>
    <w:link w:val="147"/>
    <w:autoRedefine/>
    <w:qFormat/>
    <w:locked/>
    <w:uiPriority w:val="0"/>
    <w:rPr>
      <w:rFonts w:ascii="宋体" w:eastAsia="Times New Roman"/>
      <w:kern w:val="2"/>
      <w:sz w:val="32"/>
      <w:szCs w:val="32"/>
      <w:lang w:val="en-US" w:eastAsia="zh-CN" w:bidi="ar-SA"/>
    </w:rPr>
  </w:style>
  <w:style w:type="paragraph" w:customStyle="1" w:styleId="147">
    <w:name w:val="标三"/>
    <w:next w:val="1"/>
    <w:link w:val="146"/>
    <w:autoRedefine/>
    <w:qFormat/>
    <w:uiPriority w:val="0"/>
    <w:pPr>
      <w:ind w:left="1260" w:leftChars="600" w:firstLine="314" w:firstLineChars="98"/>
      <w:outlineLvl w:val="2"/>
    </w:pPr>
    <w:rPr>
      <w:rFonts w:ascii="宋体" w:hAnsi="Times New Roman" w:eastAsia="Times New Roman" w:cs="Times New Roman"/>
      <w:kern w:val="2"/>
      <w:sz w:val="32"/>
      <w:szCs w:val="32"/>
      <w:lang w:val="en-US" w:eastAsia="zh-CN" w:bidi="ar-SA"/>
    </w:rPr>
  </w:style>
  <w:style w:type="character" w:customStyle="1" w:styleId="148">
    <w:name w:val="批注主题 Char1"/>
    <w:autoRedefine/>
    <w:qFormat/>
    <w:uiPriority w:val="0"/>
    <w:rPr>
      <w:b/>
      <w:bCs/>
      <w:kern w:val="2"/>
      <w:sz w:val="21"/>
      <w:szCs w:val="22"/>
    </w:rPr>
  </w:style>
  <w:style w:type="character" w:customStyle="1" w:styleId="149">
    <w:name w:val="不明显强调1"/>
    <w:autoRedefine/>
    <w:qFormat/>
    <w:uiPriority w:val="0"/>
    <w:rPr>
      <w:i/>
      <w:iCs/>
      <w:color w:val="808080"/>
    </w:rPr>
  </w:style>
  <w:style w:type="character" w:customStyle="1" w:styleId="150">
    <w:name w:val="不明显参考1"/>
    <w:autoRedefine/>
    <w:qFormat/>
    <w:uiPriority w:val="0"/>
    <w:rPr>
      <w:smallCaps/>
      <w:color w:val="C0504D"/>
      <w:u w:val="single"/>
    </w:rPr>
  </w:style>
  <w:style w:type="character" w:customStyle="1" w:styleId="151">
    <w:name w:val="明显参考1"/>
    <w:autoRedefine/>
    <w:qFormat/>
    <w:uiPriority w:val="0"/>
    <w:rPr>
      <w:b/>
      <w:bCs/>
      <w:smallCaps/>
      <w:color w:val="C0504D"/>
      <w:spacing w:val="5"/>
      <w:u w:val="single"/>
    </w:rPr>
  </w:style>
  <w:style w:type="character" w:customStyle="1" w:styleId="152">
    <w:name w:val="明显强调1"/>
    <w:autoRedefine/>
    <w:qFormat/>
    <w:uiPriority w:val="0"/>
    <w:rPr>
      <w:b/>
      <w:bCs/>
      <w:i/>
      <w:iCs/>
      <w:color w:val="4F81BD"/>
    </w:rPr>
  </w:style>
  <w:style w:type="character" w:customStyle="1" w:styleId="153">
    <w:name w:val="明显引用 Char1"/>
    <w:autoRedefine/>
    <w:qFormat/>
    <w:uiPriority w:val="99"/>
    <w:rPr>
      <w:b/>
      <w:bCs/>
      <w:i/>
      <w:iCs/>
      <w:color w:val="4F81BD"/>
      <w:kern w:val="2"/>
      <w:sz w:val="21"/>
      <w:szCs w:val="24"/>
    </w:rPr>
  </w:style>
  <w:style w:type="character" w:customStyle="1" w:styleId="154">
    <w:name w:val="Para head"/>
    <w:autoRedefine/>
    <w:qFormat/>
    <w:uiPriority w:val="0"/>
    <w:rPr>
      <w:rFonts w:ascii="Arial" w:hAnsi="Arial" w:eastAsia="Times New Roman"/>
      <w:sz w:val="20"/>
    </w:rPr>
  </w:style>
  <w:style w:type="character" w:customStyle="1" w:styleId="155">
    <w:name w:val="引用 Char1"/>
    <w:autoRedefine/>
    <w:qFormat/>
    <w:uiPriority w:val="99"/>
    <w:rPr>
      <w:i/>
      <w:iCs/>
      <w:color w:val="000000"/>
      <w:kern w:val="2"/>
      <w:sz w:val="21"/>
      <w:szCs w:val="24"/>
    </w:rPr>
  </w:style>
  <w:style w:type="character" w:customStyle="1" w:styleId="156">
    <w:name w:val="批注文字 Char"/>
    <w:autoRedefine/>
    <w:qFormat/>
    <w:uiPriority w:val="0"/>
    <w:rPr>
      <w:rFonts w:eastAsia="宋体"/>
      <w:kern w:val="2"/>
      <w:sz w:val="21"/>
      <w:szCs w:val="24"/>
      <w:lang w:val="en-US" w:eastAsia="zh-CN" w:bidi="ar-SA"/>
    </w:rPr>
  </w:style>
  <w:style w:type="character" w:customStyle="1" w:styleId="157">
    <w:name w:val="标二 Char Char"/>
    <w:link w:val="158"/>
    <w:autoRedefine/>
    <w:qFormat/>
    <w:locked/>
    <w:uiPriority w:val="0"/>
    <w:rPr>
      <w:rFonts w:ascii="宋体" w:eastAsia="Times New Roman"/>
      <w:b/>
      <w:bCs/>
      <w:spacing w:val="20"/>
      <w:kern w:val="2"/>
      <w:sz w:val="24"/>
      <w:szCs w:val="24"/>
      <w:lang w:val="en-US" w:eastAsia="zh-CN" w:bidi="ar-SA"/>
    </w:rPr>
  </w:style>
  <w:style w:type="paragraph" w:customStyle="1" w:styleId="158">
    <w:name w:val="标二"/>
    <w:next w:val="1"/>
    <w:link w:val="157"/>
    <w:autoRedefine/>
    <w:qFormat/>
    <w:uiPriority w:val="0"/>
    <w:pPr>
      <w:numPr>
        <w:ilvl w:val="1"/>
        <w:numId w:val="1"/>
      </w:numPr>
      <w:tabs>
        <w:tab w:val="left" w:pos="0"/>
      </w:tabs>
      <w:ind w:left="567" w:hanging="567"/>
      <w:outlineLvl w:val="1"/>
    </w:pPr>
    <w:rPr>
      <w:rFonts w:ascii="宋体" w:hAnsi="Times New Roman" w:eastAsia="Times New Roman" w:cs="Times New Roman"/>
      <w:b/>
      <w:bCs/>
      <w:spacing w:val="20"/>
      <w:kern w:val="2"/>
      <w:sz w:val="24"/>
      <w:szCs w:val="24"/>
      <w:lang w:val="en-US" w:eastAsia="zh-CN" w:bidi="ar-SA"/>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4"/>
    <w:link w:val="159"/>
    <w:autoRedefine/>
    <w:qFormat/>
    <w:uiPriority w:val="0"/>
    <w:pPr>
      <w:widowControl w:val="0"/>
      <w:numPr>
        <w:ilvl w:val="0"/>
        <w:numId w:val="0"/>
      </w:numPr>
      <w:tabs>
        <w:tab w:val="clear" w:pos="720"/>
      </w:tabs>
      <w:spacing w:before="260" w:after="260" w:line="413" w:lineRule="auto"/>
      <w:jc w:val="both"/>
    </w:pPr>
    <w:rPr>
      <w:rFonts w:ascii="Arial" w:hAnsi="Arial"/>
      <w:bCs/>
      <w:kern w:val="0"/>
      <w:sz w:val="24"/>
      <w:szCs w:val="32"/>
    </w:rPr>
  </w:style>
  <w:style w:type="character" w:customStyle="1" w:styleId="161">
    <w:name w:val="标四 Char Char"/>
    <w:link w:val="162"/>
    <w:autoRedefine/>
    <w:qFormat/>
    <w:locked/>
    <w:uiPriority w:val="0"/>
    <w:rPr>
      <w:rFonts w:ascii="仿宋_GB2312" w:eastAsia="仿宋_GB2312"/>
      <w:kern w:val="2"/>
      <w:sz w:val="24"/>
      <w:szCs w:val="24"/>
      <w:lang w:val="en-US" w:eastAsia="zh-CN" w:bidi="ar-SA"/>
    </w:rPr>
  </w:style>
  <w:style w:type="paragraph" w:customStyle="1" w:styleId="162">
    <w:name w:val="标四"/>
    <w:next w:val="1"/>
    <w:link w:val="161"/>
    <w:autoRedefine/>
    <w:qFormat/>
    <w:uiPriority w:val="0"/>
    <w:pPr>
      <w:tabs>
        <w:tab w:val="left" w:pos="420"/>
      </w:tabs>
      <w:spacing w:line="360" w:lineRule="auto"/>
      <w:ind w:firstLine="214" w:firstLineChars="89"/>
      <w:outlineLvl w:val="3"/>
    </w:pPr>
    <w:rPr>
      <w:rFonts w:ascii="仿宋_GB2312" w:hAnsi="Times New Roman" w:eastAsia="仿宋_GB2312" w:cs="Times New Roman"/>
      <w:kern w:val="2"/>
      <w:sz w:val="24"/>
      <w:szCs w:val="24"/>
      <w:lang w:val="en-US" w:eastAsia="zh-CN" w:bidi="ar-SA"/>
    </w:rPr>
  </w:style>
  <w:style w:type="character" w:customStyle="1" w:styleId="163">
    <w:name w:val="正文文本缩进 Char"/>
    <w:autoRedefine/>
    <w:qFormat/>
    <w:locked/>
    <w:uiPriority w:val="0"/>
    <w:rPr>
      <w:rFonts w:eastAsia="宋体"/>
      <w:kern w:val="2"/>
      <w:sz w:val="21"/>
      <w:szCs w:val="24"/>
      <w:lang w:val="en-US" w:eastAsia="zh-CN" w:bidi="ar-SA"/>
    </w:rPr>
  </w:style>
  <w:style w:type="character" w:customStyle="1" w:styleId="164">
    <w:name w:val="Char Char7"/>
    <w:autoRedefine/>
    <w:qFormat/>
    <w:uiPriority w:val="0"/>
    <w:rPr>
      <w:rFonts w:ascii="Arial" w:hAnsi="Arial" w:eastAsia="黑体"/>
      <w:b/>
      <w:bCs/>
      <w:kern w:val="2"/>
      <w:sz w:val="32"/>
      <w:szCs w:val="32"/>
      <w:lang w:val="en-US" w:eastAsia="zh-CN" w:bidi="ar-SA"/>
    </w:rPr>
  </w:style>
  <w:style w:type="character" w:customStyle="1" w:styleId="165">
    <w:name w:val="4正文 Char"/>
    <w:link w:val="166"/>
    <w:autoRedefine/>
    <w:qFormat/>
    <w:uiPriority w:val="0"/>
    <w:rPr>
      <w:rFonts w:hAnsi="宋体"/>
      <w:spacing w:val="30"/>
      <w:kern w:val="2"/>
      <w:sz w:val="24"/>
      <w:szCs w:val="24"/>
      <w:lang w:val="en-GB"/>
    </w:rPr>
  </w:style>
  <w:style w:type="paragraph" w:customStyle="1" w:styleId="166">
    <w:name w:val="4正文"/>
    <w:basedOn w:val="24"/>
    <w:link w:val="165"/>
    <w:autoRedefine/>
    <w:qFormat/>
    <w:uiPriority w:val="0"/>
    <w:pPr>
      <w:tabs>
        <w:tab w:val="left" w:pos="432"/>
        <w:tab w:val="left" w:pos="1758"/>
      </w:tabs>
      <w:adjustRightInd w:val="0"/>
      <w:snapToGrid w:val="0"/>
      <w:spacing w:before="218" w:beforeLines="70" w:after="218" w:afterLines="70" w:line="360" w:lineRule="exact"/>
      <w:ind w:left="432" w:hanging="432"/>
      <w:textAlignment w:val="baseline"/>
    </w:pPr>
    <w:rPr>
      <w:rFonts w:hAnsi="宋体"/>
      <w:spacing w:val="30"/>
      <w:sz w:val="24"/>
      <w:szCs w:val="24"/>
      <w:lang w:val="en-GB"/>
    </w:rPr>
  </w:style>
  <w:style w:type="character" w:customStyle="1" w:styleId="167">
    <w:name w:val="五号正文项目（标准） Char Char"/>
    <w:link w:val="168"/>
    <w:autoRedefine/>
    <w:qFormat/>
    <w:locked/>
    <w:uiPriority w:val="0"/>
    <w:rPr>
      <w:rFonts w:ascii="仿宋_GB2312" w:hAnsi="宋体" w:eastAsia="仿宋_GB2312"/>
      <w:color w:val="000000"/>
      <w:sz w:val="24"/>
      <w:szCs w:val="24"/>
    </w:rPr>
  </w:style>
  <w:style w:type="paragraph" w:customStyle="1" w:styleId="168">
    <w:name w:val="五号正文项目（标准）"/>
    <w:basedOn w:val="1"/>
    <w:link w:val="167"/>
    <w:autoRedefine/>
    <w:qFormat/>
    <w:uiPriority w:val="0"/>
    <w:pPr>
      <w:spacing w:line="400" w:lineRule="exact"/>
      <w:jc w:val="left"/>
    </w:pPr>
    <w:rPr>
      <w:rFonts w:ascii="仿宋_GB2312" w:hAnsi="宋体" w:eastAsia="仿宋_GB2312"/>
      <w:color w:val="000000"/>
      <w:kern w:val="0"/>
      <w:sz w:val="24"/>
    </w:rPr>
  </w:style>
  <w:style w:type="character" w:customStyle="1" w:styleId="169">
    <w:name w:val="明显引用 字符"/>
    <w:link w:val="170"/>
    <w:autoRedefine/>
    <w:qFormat/>
    <w:uiPriority w:val="0"/>
    <w:rPr>
      <w:b/>
      <w:bCs/>
      <w:i/>
      <w:iCs/>
      <w:color w:val="4F81BD"/>
      <w:kern w:val="2"/>
      <w:sz w:val="21"/>
      <w:szCs w:val="22"/>
    </w:rPr>
  </w:style>
  <w:style w:type="paragraph" w:styleId="170">
    <w:name w:val="Intense Quote"/>
    <w:basedOn w:val="1"/>
    <w:next w:val="1"/>
    <w:link w:val="169"/>
    <w:autoRedefine/>
    <w:qFormat/>
    <w:uiPriority w:val="0"/>
    <w:pPr>
      <w:pBdr>
        <w:bottom w:val="single" w:color="4F81BD" w:sz="4" w:space="4"/>
      </w:pBdr>
      <w:spacing w:before="200" w:after="280"/>
      <w:ind w:left="936" w:right="936"/>
    </w:pPr>
    <w:rPr>
      <w:b/>
      <w:bCs/>
      <w:i/>
      <w:iCs/>
      <w:color w:val="4F81BD"/>
      <w:szCs w:val="22"/>
    </w:rPr>
  </w:style>
  <w:style w:type="character" w:customStyle="1" w:styleId="171">
    <w:name w:val="font161"/>
    <w:autoRedefine/>
    <w:qFormat/>
    <w:uiPriority w:val="0"/>
    <w:rPr>
      <w:b/>
      <w:bCs/>
      <w:sz w:val="32"/>
      <w:szCs w:val="32"/>
    </w:rPr>
  </w:style>
  <w:style w:type="character" w:customStyle="1" w:styleId="172">
    <w:name w:val="批注文字 Char Char"/>
    <w:autoRedefine/>
    <w:qFormat/>
    <w:uiPriority w:val="0"/>
    <w:rPr>
      <w:rFonts w:ascii="宋体" w:hAnsi="Times New Roman" w:eastAsia="宋体" w:cs="Times New Roman"/>
      <w:sz w:val="28"/>
      <w:szCs w:val="20"/>
    </w:rPr>
  </w:style>
  <w:style w:type="character" w:customStyle="1" w:styleId="173">
    <w:name w:val="样式3 Char Char"/>
    <w:link w:val="174"/>
    <w:autoRedefine/>
    <w:qFormat/>
    <w:locked/>
    <w:uiPriority w:val="0"/>
    <w:rPr>
      <w:rFonts w:eastAsia="Arial"/>
      <w:b/>
      <w:bCs/>
      <w:kern w:val="2"/>
      <w:sz w:val="32"/>
      <w:szCs w:val="32"/>
    </w:rPr>
  </w:style>
  <w:style w:type="paragraph" w:customStyle="1" w:styleId="174">
    <w:name w:val="样式3"/>
    <w:basedOn w:val="4"/>
    <w:link w:val="173"/>
    <w:autoRedefine/>
    <w:qFormat/>
    <w:uiPriority w:val="0"/>
    <w:pPr>
      <w:widowControl w:val="0"/>
      <w:numPr>
        <w:ilvl w:val="0"/>
        <w:numId w:val="0"/>
      </w:numPr>
      <w:tabs>
        <w:tab w:val="clear" w:pos="720"/>
      </w:tabs>
      <w:spacing w:before="260" w:after="260" w:line="415" w:lineRule="auto"/>
      <w:jc w:val="both"/>
    </w:pPr>
    <w:rPr>
      <w:rFonts w:eastAsia="Arial"/>
      <w:bCs/>
      <w:szCs w:val="32"/>
    </w:rPr>
  </w:style>
  <w:style w:type="paragraph" w:customStyle="1" w:styleId="175">
    <w:name w:val="标准文件-表标题"/>
    <w:basedOn w:val="1"/>
    <w:next w:val="1"/>
    <w:autoRedefine/>
    <w:qFormat/>
    <w:uiPriority w:val="0"/>
    <w:pPr>
      <w:widowControl/>
      <w:tabs>
        <w:tab w:val="left" w:pos="425"/>
      </w:tabs>
      <w:adjustRightInd w:val="0"/>
      <w:snapToGrid w:val="0"/>
      <w:spacing w:line="300" w:lineRule="auto"/>
      <w:ind w:left="425" w:hanging="425"/>
      <w:jc w:val="center"/>
    </w:pPr>
    <w:rPr>
      <w:rFonts w:ascii="黑体" w:eastAsia="黑体" w:cs="黑体"/>
      <w:color w:val="000000"/>
      <w:spacing w:val="2"/>
      <w:kern w:val="0"/>
      <w:sz w:val="24"/>
    </w:rPr>
  </w:style>
  <w:style w:type="paragraph" w:customStyle="1" w:styleId="176">
    <w:name w:val="段"/>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77">
    <w:name w:val="默认段落字体 Para Char Char Char Char"/>
    <w:basedOn w:val="1"/>
    <w:autoRedefine/>
    <w:qFormat/>
    <w:uiPriority w:val="0"/>
  </w:style>
  <w:style w:type="paragraph" w:customStyle="1" w:styleId="178">
    <w:name w:val="P1"/>
    <w:autoRedefine/>
    <w:qFormat/>
    <w:uiPriority w:val="0"/>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20"/>
      <w:sz w:val="24"/>
      <w:szCs w:val="24"/>
      <w:lang w:val="en-GB" w:eastAsia="zh-TW" w:bidi="ar-SA"/>
    </w:rPr>
  </w:style>
  <w:style w:type="paragraph" w:customStyle="1" w:styleId="179">
    <w:name w:val="xl34"/>
    <w:basedOn w:val="1"/>
    <w:autoRedefine/>
    <w:qFormat/>
    <w:uiPriority w:val="0"/>
    <w:pPr>
      <w:widowControl/>
      <w:spacing w:before="100" w:beforeAutospacing="1" w:after="100" w:afterAutospacing="1"/>
      <w:jc w:val="center"/>
    </w:pPr>
    <w:rPr>
      <w:rFonts w:ascii="Arial Unicode MS" w:hAnsi="Arial Unicode MS" w:eastAsia="Arial Unicode MS" w:cs="Arial Unicode MS"/>
      <w:kern w:val="0"/>
      <w:sz w:val="36"/>
      <w:szCs w:val="36"/>
    </w:rPr>
  </w:style>
  <w:style w:type="paragraph" w:customStyle="1" w:styleId="180">
    <w:name w:val="List1"/>
    <w:basedOn w:val="1"/>
    <w:autoRedefine/>
    <w:qFormat/>
    <w:uiPriority w:val="0"/>
    <w:pPr>
      <w:widowControl/>
      <w:tabs>
        <w:tab w:val="left" w:pos="630"/>
      </w:tabs>
      <w:spacing w:after="120"/>
      <w:ind w:left="630" w:hanging="270"/>
    </w:pPr>
    <w:rPr>
      <w:rFonts w:ascii="仿宋体" w:eastAsia="仿宋体" w:cs="仿宋体"/>
      <w:kern w:val="0"/>
      <w:sz w:val="26"/>
      <w:szCs w:val="26"/>
    </w:rPr>
  </w:style>
  <w:style w:type="paragraph" w:customStyle="1" w:styleId="181">
    <w:name w:val="redfine"/>
    <w:basedOn w:val="1"/>
    <w:autoRedefine/>
    <w:qFormat/>
    <w:uiPriority w:val="0"/>
    <w:pPr>
      <w:widowControl/>
      <w:spacing w:before="100" w:beforeAutospacing="1" w:after="100" w:afterAutospacing="1"/>
      <w:jc w:val="left"/>
    </w:pPr>
    <w:rPr>
      <w:rFonts w:ascii="Arial" w:hAnsi="Arial" w:cs="Arial"/>
      <w:color w:val="FF0000"/>
      <w:kern w:val="0"/>
      <w:sz w:val="16"/>
      <w:szCs w:val="16"/>
    </w:rPr>
  </w:style>
  <w:style w:type="paragraph" w:styleId="182">
    <w:name w:val="List Paragraph"/>
    <w:basedOn w:val="1"/>
    <w:link w:val="376"/>
    <w:autoRedefine/>
    <w:qFormat/>
    <w:uiPriority w:val="34"/>
    <w:pPr>
      <w:ind w:firstLine="420" w:firstLineChars="200"/>
    </w:pPr>
    <w:rPr>
      <w:rFonts w:ascii="Calibri" w:hAnsi="Calibri"/>
      <w:szCs w:val="22"/>
    </w:rPr>
  </w:style>
  <w:style w:type="paragraph" w:customStyle="1" w:styleId="183">
    <w:name w:val="正文 New New"/>
    <w:autoRedefine/>
    <w:qFormat/>
    <w:uiPriority w:val="0"/>
    <w:pPr>
      <w:widowControl w:val="0"/>
      <w:jc w:val="both"/>
    </w:pPr>
    <w:rPr>
      <w:rFonts w:ascii="Times New Roman" w:hAnsi="Times New Roman" w:eastAsia="宋体" w:cs="Times New Roman"/>
      <w:lang w:val="en-US" w:eastAsia="zh-CN" w:bidi="ar-SA"/>
    </w:rPr>
  </w:style>
  <w:style w:type="paragraph" w:customStyle="1" w:styleId="184">
    <w:name w:val="项目1"/>
    <w:basedOn w:val="1"/>
    <w:autoRedefine/>
    <w:qFormat/>
    <w:uiPriority w:val="0"/>
    <w:pPr>
      <w:numPr>
        <w:ilvl w:val="0"/>
        <w:numId w:val="4"/>
      </w:numPr>
      <w:tabs>
        <w:tab w:val="left" w:pos="840"/>
      </w:tabs>
      <w:spacing w:line="360" w:lineRule="auto"/>
    </w:pPr>
    <w:rPr>
      <w:szCs w:val="22"/>
    </w:rPr>
  </w:style>
  <w:style w:type="paragraph" w:customStyle="1" w:styleId="185">
    <w:name w:val="biaoti2"/>
    <w:basedOn w:val="3"/>
    <w:autoRedefine/>
    <w:qFormat/>
    <w:uiPriority w:val="0"/>
    <w:pPr>
      <w:widowControl w:val="0"/>
      <w:tabs>
        <w:tab w:val="left" w:pos="3096"/>
      </w:tabs>
      <w:spacing w:before="260" w:after="260"/>
      <w:ind w:left="3096" w:hanging="576"/>
    </w:pPr>
    <w:rPr>
      <w:rFonts w:ascii="Arial" w:hAnsi="Arial" w:eastAsia="黑体" w:cs="Arial"/>
      <w:bCs/>
      <w:color w:val="auto"/>
      <w:kern w:val="2"/>
      <w:sz w:val="28"/>
      <w:szCs w:val="32"/>
    </w:rPr>
  </w:style>
  <w:style w:type="paragraph" w:customStyle="1" w:styleId="186">
    <w:name w:val="标准"/>
    <w:basedOn w:val="1"/>
    <w:autoRedefine/>
    <w:qFormat/>
    <w:uiPriority w:val="0"/>
    <w:pPr>
      <w:overflowPunct w:val="0"/>
      <w:autoSpaceDE w:val="0"/>
      <w:autoSpaceDN w:val="0"/>
      <w:adjustRightInd w:val="0"/>
      <w:spacing w:line="240" w:lineRule="atLeast"/>
    </w:pPr>
    <w:rPr>
      <w:rFonts w:eastAsia="楷体_GB2312"/>
      <w:kern w:val="0"/>
      <w:sz w:val="24"/>
      <w:szCs w:val="22"/>
    </w:rPr>
  </w:style>
  <w:style w:type="paragraph" w:customStyle="1" w:styleId="187">
    <w:name w:val="xl4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cs="Arial Unicode MS"/>
      <w:b/>
      <w:bCs/>
      <w:kern w:val="0"/>
      <w:sz w:val="24"/>
    </w:rPr>
  </w:style>
  <w:style w:type="paragraph" w:customStyle="1" w:styleId="188">
    <w:name w:val="全段标号"/>
    <w:basedOn w:val="1"/>
    <w:autoRedefine/>
    <w:qFormat/>
    <w:uiPriority w:val="0"/>
    <w:pPr>
      <w:tabs>
        <w:tab w:val="left" w:pos="720"/>
      </w:tabs>
      <w:suppressAutoHyphens/>
      <w:topLinePunct/>
      <w:adjustRightInd w:val="0"/>
      <w:spacing w:line="360" w:lineRule="auto"/>
      <w:ind w:left="360" w:right="298" w:hanging="360"/>
    </w:pPr>
    <w:rPr>
      <w:rFonts w:ascii="宋体" w:cs="宋体"/>
      <w:kern w:val="0"/>
      <w:sz w:val="24"/>
    </w:rPr>
  </w:style>
  <w:style w:type="paragraph" w:customStyle="1" w:styleId="189">
    <w:name w:val="菲页2"/>
    <w:basedOn w:val="4"/>
    <w:autoRedefine/>
    <w:qFormat/>
    <w:uiPriority w:val="0"/>
    <w:rPr>
      <w:rFonts w:ascii="黑体" w:hAnsi="宋体" w:eastAsia="黑体"/>
      <w:b w:val="0"/>
      <w:sz w:val="44"/>
    </w:rPr>
  </w:style>
  <w:style w:type="paragraph" w:customStyle="1" w:styleId="190">
    <w:name w:val="签字"/>
    <w:basedOn w:val="1"/>
    <w:autoRedefine/>
    <w:qFormat/>
    <w:uiPriority w:val="0"/>
    <w:pPr>
      <w:spacing w:beforeLines="50"/>
      <w:jc w:val="left"/>
    </w:pPr>
    <w:rPr>
      <w:rFonts w:ascii="宋体" w:hAnsi="宋体" w:cs="宋体"/>
      <w:sz w:val="32"/>
      <w:szCs w:val="32"/>
    </w:rPr>
  </w:style>
  <w:style w:type="paragraph" w:customStyle="1" w:styleId="191">
    <w:name w:val="标准文件_一级条标题"/>
    <w:basedOn w:val="192"/>
    <w:next w:val="1"/>
    <w:autoRedefine/>
    <w:qFormat/>
    <w:uiPriority w:val="0"/>
    <w:pPr>
      <w:tabs>
        <w:tab w:val="left" w:pos="425"/>
      </w:tabs>
      <w:spacing w:before="0" w:after="0"/>
      <w:jc w:val="left"/>
      <w:outlineLvl w:val="2"/>
    </w:pPr>
    <w:rPr>
      <w:rFonts w:hAnsi="宋体"/>
      <w:color w:val="000000"/>
      <w:sz w:val="24"/>
      <w:szCs w:val="24"/>
      <w:lang w:val="zh-CN"/>
    </w:rPr>
  </w:style>
  <w:style w:type="paragraph" w:customStyle="1" w:styleId="192">
    <w:name w:val="标准文件_章标题"/>
    <w:next w:val="1"/>
    <w:autoRedefine/>
    <w:qFormat/>
    <w:uiPriority w:val="0"/>
    <w:pPr>
      <w:tabs>
        <w:tab w:val="left" w:pos="425"/>
      </w:tabs>
      <w:adjustRightInd w:val="0"/>
      <w:snapToGrid w:val="0"/>
      <w:spacing w:before="240" w:after="240" w:line="300" w:lineRule="auto"/>
      <w:ind w:left="425" w:hanging="425"/>
      <w:jc w:val="center"/>
      <w:outlineLvl w:val="1"/>
    </w:pPr>
    <w:rPr>
      <w:rFonts w:ascii="黑体" w:hAnsi="Times New Roman" w:eastAsia="黑体" w:cs="黑体"/>
      <w:spacing w:val="2"/>
      <w:sz w:val="44"/>
      <w:szCs w:val="44"/>
      <w:lang w:val="en-US" w:eastAsia="zh-CN" w:bidi="ar-SA"/>
    </w:rPr>
  </w:style>
  <w:style w:type="paragraph" w:customStyle="1" w:styleId="193">
    <w:name w:val="封面标注"/>
    <w:basedOn w:val="1"/>
    <w:next w:val="1"/>
    <w:autoRedefine/>
    <w:qFormat/>
    <w:uiPriority w:val="0"/>
    <w:pPr>
      <w:spacing w:beforeLines="50"/>
      <w:ind w:firstLine="2600" w:firstLineChars="2600"/>
    </w:pPr>
    <w:rPr>
      <w:rFonts w:eastAsia="黑体"/>
      <w:b/>
      <w:bCs/>
      <w:szCs w:val="21"/>
    </w:rPr>
  </w:style>
  <w:style w:type="paragraph" w:customStyle="1" w:styleId="194">
    <w:name w:val="xl24"/>
    <w:basedOn w:val="1"/>
    <w:autoRedefine/>
    <w:qFormat/>
    <w:uiPriority w:val="0"/>
    <w:pPr>
      <w:widowControl/>
      <w:spacing w:before="100" w:beforeAutospacing="1" w:after="100" w:afterAutospacing="1"/>
      <w:jc w:val="center"/>
    </w:pPr>
    <w:rPr>
      <w:rFonts w:ascii="Arial Unicode MS" w:hAnsi="Arial Unicode MS" w:eastAsia="Arial Unicode MS" w:cs="Arial Unicode MS"/>
      <w:kern w:val="0"/>
      <w:sz w:val="44"/>
      <w:szCs w:val="44"/>
    </w:rPr>
  </w:style>
  <w:style w:type="paragraph" w:customStyle="1" w:styleId="195">
    <w:name w:val="标准文件_五级条标题"/>
    <w:basedOn w:val="192"/>
    <w:next w:val="1"/>
    <w:autoRedefine/>
    <w:qFormat/>
    <w:uiPriority w:val="0"/>
    <w:pPr>
      <w:spacing w:before="0" w:after="0"/>
      <w:jc w:val="left"/>
      <w:outlineLvl w:val="6"/>
    </w:pPr>
    <w:rPr>
      <w:sz w:val="24"/>
      <w:szCs w:val="24"/>
    </w:rPr>
  </w:style>
  <w:style w:type="paragraph" w:customStyle="1" w:styleId="196">
    <w:name w:val="font9"/>
    <w:basedOn w:val="1"/>
    <w:autoRedefine/>
    <w:qFormat/>
    <w:uiPriority w:val="0"/>
    <w:pPr>
      <w:widowControl/>
      <w:spacing w:before="100" w:beforeAutospacing="1" w:after="100" w:afterAutospacing="1"/>
      <w:jc w:val="left"/>
    </w:pPr>
    <w:rPr>
      <w:rFonts w:hint="eastAsia" w:ascii="宋体" w:hAnsi="宋体" w:cs="Arial Unicode MS"/>
      <w:b/>
      <w:bCs/>
      <w:kern w:val="0"/>
      <w:sz w:val="24"/>
    </w:rPr>
  </w:style>
  <w:style w:type="paragraph" w:customStyle="1" w:styleId="197">
    <w:name w:val="small"/>
    <w:basedOn w:val="1"/>
    <w:autoRedefine/>
    <w:qFormat/>
    <w:uiPriority w:val="0"/>
    <w:pPr>
      <w:widowControl/>
      <w:spacing w:before="100" w:beforeAutospacing="1" w:after="100" w:afterAutospacing="1"/>
      <w:jc w:val="left"/>
    </w:pPr>
    <w:rPr>
      <w:rFonts w:ascii="Arial" w:hAnsi="Arial" w:cs="Arial"/>
      <w:kern w:val="0"/>
      <w:sz w:val="16"/>
      <w:szCs w:val="16"/>
    </w:rPr>
  </w:style>
  <w:style w:type="paragraph" w:customStyle="1" w:styleId="198">
    <w:name w:val="Char Char1"/>
    <w:basedOn w:val="1"/>
    <w:autoRedefine/>
    <w:qFormat/>
    <w:uiPriority w:val="0"/>
    <w:rPr>
      <w:rFonts w:ascii="仿宋_GB2312" w:eastAsia="仿宋_GB2312"/>
      <w:b/>
      <w:sz w:val="32"/>
      <w:szCs w:val="32"/>
    </w:rPr>
  </w:style>
  <w:style w:type="paragraph" w:customStyle="1" w:styleId="199">
    <w:name w:val="我的标题4"/>
    <w:basedOn w:val="200"/>
    <w:next w:val="200"/>
    <w:autoRedefine/>
    <w:qFormat/>
    <w:uiPriority w:val="0"/>
    <w:pPr>
      <w:tabs>
        <w:tab w:val="left" w:pos="864"/>
        <w:tab w:val="left" w:pos="900"/>
      </w:tabs>
      <w:spacing w:before="100" w:beforeAutospacing="1" w:after="100" w:afterAutospacing="1"/>
      <w:ind w:left="900" w:hanging="900" w:firstLineChars="0"/>
      <w:jc w:val="left"/>
      <w:outlineLvl w:val="3"/>
    </w:pPr>
    <w:rPr>
      <w:rFonts w:eastAsia="黑体"/>
      <w:sz w:val="28"/>
      <w:szCs w:val="28"/>
    </w:rPr>
  </w:style>
  <w:style w:type="paragraph" w:customStyle="1" w:styleId="200">
    <w:name w:val="我的正文"/>
    <w:basedOn w:val="1"/>
    <w:autoRedefine/>
    <w:qFormat/>
    <w:uiPriority w:val="0"/>
    <w:pPr>
      <w:spacing w:line="360" w:lineRule="auto"/>
      <w:ind w:firstLine="200" w:firstLineChars="200"/>
    </w:pPr>
    <w:rPr>
      <w:szCs w:val="21"/>
      <w:lang w:val="zh-CN"/>
    </w:rPr>
  </w:style>
  <w:style w:type="paragraph" w:customStyle="1" w:styleId="201">
    <w:name w:val="defaultblue"/>
    <w:basedOn w:val="1"/>
    <w:autoRedefine/>
    <w:qFormat/>
    <w:uiPriority w:val="0"/>
    <w:pPr>
      <w:widowControl/>
      <w:spacing w:before="100" w:beforeAutospacing="1" w:after="100" w:afterAutospacing="1"/>
      <w:jc w:val="left"/>
    </w:pPr>
    <w:rPr>
      <w:rFonts w:ascii="Arial" w:hAnsi="Arial" w:cs="Arial"/>
      <w:b/>
      <w:bCs/>
      <w:color w:val="003366"/>
      <w:kern w:val="0"/>
      <w:sz w:val="20"/>
      <w:szCs w:val="20"/>
    </w:rPr>
  </w:style>
  <w:style w:type="paragraph" w:customStyle="1" w:styleId="202">
    <w:name w:val="样式4"/>
    <w:basedOn w:val="4"/>
    <w:autoRedefine/>
    <w:qFormat/>
    <w:uiPriority w:val="0"/>
    <w:pPr>
      <w:widowControl w:val="0"/>
      <w:numPr>
        <w:ilvl w:val="0"/>
        <w:numId w:val="0"/>
      </w:numPr>
      <w:tabs>
        <w:tab w:val="clear" w:pos="720"/>
      </w:tabs>
      <w:spacing w:before="260" w:after="260" w:line="415" w:lineRule="auto"/>
      <w:jc w:val="both"/>
    </w:pPr>
    <w:rPr>
      <w:rFonts w:eastAsia="Arial"/>
      <w:bCs/>
      <w:szCs w:val="32"/>
    </w:rPr>
  </w:style>
  <w:style w:type="paragraph" w:customStyle="1" w:styleId="203">
    <w:name w:val="我的标题3 Char"/>
    <w:basedOn w:val="200"/>
    <w:next w:val="200"/>
    <w:autoRedefine/>
    <w:qFormat/>
    <w:uiPriority w:val="0"/>
    <w:pPr>
      <w:tabs>
        <w:tab w:val="left" w:pos="720"/>
        <w:tab w:val="left" w:pos="1506"/>
      </w:tabs>
      <w:spacing w:before="100" w:beforeAutospacing="1" w:after="100" w:afterAutospacing="1"/>
      <w:ind w:left="720" w:hanging="720" w:firstLineChars="0"/>
      <w:jc w:val="left"/>
      <w:outlineLvl w:val="2"/>
    </w:pPr>
    <w:rPr>
      <w:rFonts w:eastAsia="黑体"/>
      <w:sz w:val="32"/>
      <w:szCs w:val="32"/>
      <w:lang w:val="en-US"/>
    </w:rPr>
  </w:style>
  <w:style w:type="paragraph" w:customStyle="1" w:styleId="204">
    <w:name w:val="subhead"/>
    <w:basedOn w:val="1"/>
    <w:autoRedefine/>
    <w:qFormat/>
    <w:uiPriority w:val="0"/>
    <w:pPr>
      <w:widowControl/>
      <w:spacing w:before="100" w:beforeAutospacing="1" w:after="100" w:afterAutospacing="1"/>
      <w:jc w:val="left"/>
    </w:pPr>
    <w:rPr>
      <w:rFonts w:ascii="Helvetica" w:hAnsi="Helvetica" w:cs="Helvetica"/>
      <w:b/>
      <w:bCs/>
      <w:color w:val="003366"/>
      <w:kern w:val="0"/>
      <w:sz w:val="26"/>
      <w:szCs w:val="26"/>
    </w:rPr>
  </w:style>
  <w:style w:type="paragraph" w:customStyle="1" w:styleId="205">
    <w:name w:val="font6"/>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20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07">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08">
    <w:name w:val="Char Char Char Char Char Char Char"/>
    <w:basedOn w:val="1"/>
    <w:autoRedefine/>
    <w:qFormat/>
    <w:uiPriority w:val="0"/>
    <w:pPr>
      <w:widowControl/>
      <w:autoSpaceDE w:val="0"/>
      <w:autoSpaceDN w:val="0"/>
      <w:snapToGrid w:val="0"/>
      <w:spacing w:after="160" w:line="360" w:lineRule="auto"/>
      <w:jc w:val="left"/>
    </w:pPr>
    <w:rPr>
      <w:rFonts w:ascii="宋体" w:hAnsi="宋体" w:cs="宋体"/>
      <w:b/>
      <w:bCs/>
      <w:color w:val="000000"/>
      <w:kern w:val="0"/>
      <w:sz w:val="24"/>
    </w:rPr>
  </w:style>
  <w:style w:type="paragraph" w:customStyle="1" w:styleId="209">
    <w:name w:val="xl44"/>
    <w:basedOn w:val="1"/>
    <w:autoRedefine/>
    <w:qFormat/>
    <w:uiPriority w:val="0"/>
    <w:pPr>
      <w:widowControl/>
      <w:spacing w:before="100" w:beforeAutospacing="1" w:after="100" w:afterAutospacing="1"/>
      <w:jc w:val="center"/>
    </w:pPr>
    <w:rPr>
      <w:rFonts w:ascii="Arial Unicode MS" w:hAnsi="Arial Unicode MS" w:eastAsia="Arial Unicode MS" w:cs="Arial Unicode MS"/>
      <w:kern w:val="0"/>
      <w:sz w:val="40"/>
      <w:szCs w:val="40"/>
    </w:rPr>
  </w:style>
  <w:style w:type="paragraph" w:customStyle="1" w:styleId="210">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21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12">
    <w:name w:val="xl32"/>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213">
    <w:name w:val="标准正文"/>
    <w:basedOn w:val="25"/>
    <w:autoRedefine/>
    <w:qFormat/>
    <w:uiPriority w:val="0"/>
    <w:pPr>
      <w:widowControl w:val="0"/>
      <w:overflowPunct/>
      <w:autoSpaceDE/>
      <w:autoSpaceDN/>
      <w:adjustRightInd/>
      <w:spacing w:before="60" w:after="60"/>
      <w:ind w:firstLine="482"/>
      <w:textAlignment w:val="auto"/>
    </w:pPr>
    <w:rPr>
      <w:rFonts w:ascii="Arial" w:hAnsi="Arial" w:eastAsia="仿宋_GB2312"/>
      <w:spacing w:val="0"/>
      <w:kern w:val="2"/>
    </w:rPr>
  </w:style>
  <w:style w:type="paragraph" w:customStyle="1" w:styleId="214">
    <w:name w:val="正文段"/>
    <w:basedOn w:val="1"/>
    <w:autoRedefine/>
    <w:qFormat/>
    <w:uiPriority w:val="0"/>
    <w:pPr>
      <w:snapToGrid w:val="0"/>
      <w:spacing w:after="240" w:line="240" w:lineRule="atLeast"/>
      <w:ind w:firstLine="425"/>
    </w:pPr>
    <w:rPr>
      <w:rFonts w:ascii="宋体"/>
      <w:sz w:val="24"/>
      <w:szCs w:val="20"/>
    </w:rPr>
  </w:style>
  <w:style w:type="paragraph" w:customStyle="1" w:styleId="215">
    <w:name w:val="line1"/>
    <w:basedOn w:val="56"/>
    <w:next w:val="216"/>
    <w:autoRedefine/>
    <w:qFormat/>
    <w:uiPriority w:val="0"/>
    <w:pPr>
      <w:pBdr>
        <w:top w:val="single" w:color="auto" w:sz="36" w:space="1"/>
      </w:pBdr>
      <w:spacing w:after="0"/>
      <w:jc w:val="right"/>
      <w:outlineLvl w:val="9"/>
    </w:pPr>
    <w:rPr>
      <w:kern w:val="28"/>
      <w:sz w:val="40"/>
      <w:szCs w:val="40"/>
    </w:rPr>
  </w:style>
  <w:style w:type="paragraph" w:customStyle="1" w:styleId="216">
    <w:name w:val="line2"/>
    <w:basedOn w:val="215"/>
    <w:autoRedefine/>
    <w:qFormat/>
    <w:uiPriority w:val="0"/>
    <w:pPr>
      <w:pBdr>
        <w:top w:val="thickThinSmallGap" w:color="auto" w:sz="18" w:space="1"/>
      </w:pBdr>
      <w:spacing w:before="156"/>
    </w:pPr>
  </w:style>
  <w:style w:type="paragraph" w:customStyle="1" w:styleId="217">
    <w:name w:val="章标题"/>
    <w:basedOn w:val="1"/>
    <w:autoRedefine/>
    <w:qFormat/>
    <w:uiPriority w:val="0"/>
    <w:pPr>
      <w:numPr>
        <w:ilvl w:val="2"/>
        <w:numId w:val="5"/>
      </w:numPr>
    </w:pPr>
    <w:rPr>
      <w:szCs w:val="22"/>
    </w:rPr>
  </w:style>
  <w:style w:type="paragraph" w:customStyle="1" w:styleId="218">
    <w:name w:val="title1"/>
    <w:basedOn w:val="1"/>
    <w:autoRedefine/>
    <w:qFormat/>
    <w:uiPriority w:val="0"/>
    <w:pPr>
      <w:widowControl/>
      <w:spacing w:before="100" w:beforeAutospacing="1" w:after="100" w:afterAutospacing="1"/>
      <w:jc w:val="left"/>
    </w:pPr>
    <w:rPr>
      <w:rFonts w:ascii="Arial Unicode MS" w:hAnsi="Arial Unicode MS" w:eastAsia="Arial Unicode MS"/>
      <w:kern w:val="0"/>
      <w:szCs w:val="21"/>
    </w:rPr>
  </w:style>
  <w:style w:type="paragraph" w:customStyle="1" w:styleId="219">
    <w:name w:val="xl4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20">
    <w:name w:val="defaultbold"/>
    <w:basedOn w:val="1"/>
    <w:autoRedefine/>
    <w:qFormat/>
    <w:uiPriority w:val="0"/>
    <w:pPr>
      <w:widowControl/>
      <w:spacing w:before="100" w:beforeAutospacing="1" w:after="100" w:afterAutospacing="1"/>
      <w:jc w:val="left"/>
    </w:pPr>
    <w:rPr>
      <w:rFonts w:ascii="Arial" w:hAnsi="Arial" w:cs="Arial"/>
      <w:b/>
      <w:bCs/>
      <w:kern w:val="0"/>
      <w:sz w:val="20"/>
      <w:szCs w:val="20"/>
    </w:rPr>
  </w:style>
  <w:style w:type="paragraph" w:customStyle="1" w:styleId="221">
    <w:name w:val="样式 underline + 无下划线"/>
    <w:basedOn w:val="1"/>
    <w:autoRedefine/>
    <w:qFormat/>
    <w:uiPriority w:val="0"/>
    <w:pPr>
      <w:pBdr>
        <w:bottom w:val="single" w:color="auto" w:sz="4" w:space="1"/>
      </w:pBdr>
      <w:spacing w:line="288" w:lineRule="auto"/>
    </w:pPr>
    <w:rPr>
      <w:rFonts w:ascii="宋体" w:hAnsi="宋体" w:cs="宋体"/>
      <w:b/>
      <w:bCs/>
      <w:sz w:val="28"/>
      <w:szCs w:val="28"/>
    </w:rPr>
  </w:style>
  <w:style w:type="paragraph" w:customStyle="1" w:styleId="222">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23">
    <w:name w:val="white"/>
    <w:basedOn w:val="1"/>
    <w:autoRedefine/>
    <w:qFormat/>
    <w:uiPriority w:val="0"/>
    <w:pPr>
      <w:widowControl/>
      <w:spacing w:before="100" w:beforeAutospacing="1" w:after="100" w:afterAutospacing="1"/>
      <w:jc w:val="left"/>
    </w:pPr>
    <w:rPr>
      <w:rFonts w:ascii="Arial" w:hAnsi="Arial" w:cs="Arial"/>
      <w:color w:val="FFFFFF"/>
      <w:kern w:val="0"/>
      <w:sz w:val="20"/>
      <w:szCs w:val="20"/>
    </w:rPr>
  </w:style>
  <w:style w:type="paragraph" w:customStyle="1" w:styleId="224">
    <w:name w:val="New 文章正文"/>
    <w:basedOn w:val="1"/>
    <w:autoRedefine/>
    <w:qFormat/>
    <w:uiPriority w:val="0"/>
    <w:pPr>
      <w:ind w:firstLine="480" w:firstLineChars="200"/>
    </w:pPr>
    <w:rPr>
      <w:rFonts w:cs="宋体"/>
      <w:szCs w:val="22"/>
    </w:rPr>
  </w:style>
  <w:style w:type="paragraph" w:customStyle="1" w:styleId="225">
    <w:name w:val="大标题"/>
    <w:basedOn w:val="2"/>
    <w:autoRedefine/>
    <w:qFormat/>
    <w:uiPriority w:val="0"/>
    <w:pPr>
      <w:keepNext w:val="0"/>
      <w:widowControl w:val="0"/>
      <w:numPr>
        <w:numId w:val="0"/>
      </w:numPr>
      <w:outlineLvl w:val="9"/>
    </w:pPr>
    <w:rPr>
      <w:rFonts w:ascii="Times New Roman" w:eastAsia="隶书"/>
      <w:b/>
      <w:bCs/>
      <w:kern w:val="2"/>
      <w:sz w:val="44"/>
      <w:szCs w:val="44"/>
    </w:rPr>
  </w:style>
  <w:style w:type="paragraph" w:customStyle="1" w:styleId="226">
    <w:name w:val="reader-word-layer reader-word-s14-1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27">
    <w:name w:val="xl41"/>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28">
    <w:name w:val="Char"/>
    <w:basedOn w:val="1"/>
    <w:autoRedefine/>
    <w:qFormat/>
    <w:uiPriority w:val="0"/>
    <w:pPr>
      <w:tabs>
        <w:tab w:val="left" w:pos="360"/>
      </w:tabs>
    </w:pPr>
    <w:rPr>
      <w:sz w:val="24"/>
    </w:rPr>
  </w:style>
  <w:style w:type="paragraph" w:customStyle="1" w:styleId="229">
    <w:name w:val="contentnoteheader"/>
    <w:basedOn w:val="1"/>
    <w:autoRedefine/>
    <w:qFormat/>
    <w:uiPriority w:val="0"/>
    <w:pPr>
      <w:widowControl/>
      <w:spacing w:before="30" w:after="100" w:afterAutospacing="1"/>
      <w:ind w:left="90"/>
      <w:jc w:val="left"/>
    </w:pPr>
    <w:rPr>
      <w:rFonts w:ascii="Arial Unicode MS" w:hAnsi="Arial Unicode MS" w:cs="Arial Unicode MS"/>
      <w:b/>
      <w:bCs/>
      <w:color w:val="990000"/>
      <w:kern w:val="0"/>
      <w:sz w:val="18"/>
      <w:szCs w:val="18"/>
    </w:rPr>
  </w:style>
  <w:style w:type="paragraph" w:customStyle="1" w:styleId="23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缩进"/>
    <w:basedOn w:val="1"/>
    <w:autoRedefine/>
    <w:qFormat/>
    <w:uiPriority w:val="0"/>
    <w:pPr>
      <w:adjustRightInd w:val="0"/>
      <w:snapToGrid w:val="0"/>
      <w:spacing w:before="156" w:beforeLines="50" w:after="156" w:afterLines="50" w:line="360" w:lineRule="auto"/>
      <w:ind w:firstLine="480" w:firstLineChars="200"/>
    </w:pPr>
    <w:rPr>
      <w:rFonts w:ascii="Verdana" w:hAnsi="Verdana"/>
      <w:sz w:val="24"/>
      <w:szCs w:val="22"/>
    </w:rPr>
  </w:style>
  <w:style w:type="paragraph" w:styleId="232">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3">
    <w:name w:val="Char Char2 Char"/>
    <w:basedOn w:val="1"/>
    <w:autoRedefine/>
    <w:qFormat/>
    <w:uiPriority w:val="0"/>
    <w:pPr>
      <w:keepNext/>
      <w:keepLines/>
      <w:pageBreakBefore/>
      <w:tabs>
        <w:tab w:val="left" w:pos="390"/>
      </w:tabs>
      <w:ind w:left="390" w:hanging="390"/>
    </w:pPr>
    <w:rPr>
      <w:rFonts w:ascii="Tahoma" w:hAnsi="Tahoma"/>
      <w:sz w:val="24"/>
      <w:szCs w:val="20"/>
    </w:rPr>
  </w:style>
  <w:style w:type="paragraph" w:customStyle="1" w:styleId="234">
    <w:name w:val="正文文本首行缩进1"/>
    <w:basedOn w:val="24"/>
    <w:autoRedefine/>
    <w:qFormat/>
    <w:uiPriority w:val="0"/>
    <w:pPr>
      <w:spacing w:after="120" w:line="240" w:lineRule="auto"/>
      <w:ind w:firstLine="420" w:firstLineChars="100"/>
    </w:pPr>
    <w:rPr>
      <w:sz w:val="21"/>
      <w:szCs w:val="24"/>
    </w:rPr>
  </w:style>
  <w:style w:type="paragraph" w:customStyle="1" w:styleId="235">
    <w:name w:val="xl3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36">
    <w:name w:val="bianhao4"/>
    <w:basedOn w:val="237"/>
    <w:autoRedefine/>
    <w:qFormat/>
    <w:uiPriority w:val="0"/>
    <w:pPr>
      <w:tabs>
        <w:tab w:val="left" w:pos="425"/>
      </w:tabs>
      <w:ind w:left="1260"/>
    </w:pPr>
  </w:style>
  <w:style w:type="paragraph" w:customStyle="1" w:styleId="237">
    <w:name w:val="bianhao5"/>
    <w:basedOn w:val="143"/>
    <w:autoRedefine/>
    <w:qFormat/>
    <w:uiPriority w:val="0"/>
    <w:pPr>
      <w:tabs>
        <w:tab w:val="left" w:pos="425"/>
      </w:tabs>
      <w:ind w:left="425" w:leftChars="0" w:hanging="425" w:firstLineChars="0"/>
    </w:pPr>
  </w:style>
  <w:style w:type="paragraph" w:customStyle="1" w:styleId="238">
    <w:name w:val="表格文字"/>
    <w:basedOn w:val="1"/>
    <w:autoRedefine/>
    <w:qFormat/>
    <w:uiPriority w:val="0"/>
    <w:pPr>
      <w:adjustRightInd w:val="0"/>
      <w:spacing w:line="420" w:lineRule="atLeast"/>
      <w:jc w:val="left"/>
      <w:textAlignment w:val="baseline"/>
    </w:pPr>
    <w:rPr>
      <w:kern w:val="0"/>
      <w:szCs w:val="20"/>
    </w:rPr>
  </w:style>
  <w:style w:type="paragraph" w:customStyle="1" w:styleId="239">
    <w:name w:val="1 Char Char Char Char"/>
    <w:basedOn w:val="1"/>
    <w:autoRedefine/>
    <w:qFormat/>
    <w:uiPriority w:val="0"/>
    <w:rPr>
      <w:rFonts w:ascii="Tahoma" w:hAnsi="Tahoma"/>
      <w:sz w:val="24"/>
      <w:szCs w:val="20"/>
    </w:rPr>
  </w:style>
  <w:style w:type="paragraph" w:customStyle="1" w:styleId="240">
    <w:name w:val="xl43"/>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241">
    <w:name w:val="标准文件_三级条标题"/>
    <w:basedOn w:val="192"/>
    <w:next w:val="1"/>
    <w:autoRedefine/>
    <w:qFormat/>
    <w:uiPriority w:val="0"/>
    <w:pPr>
      <w:spacing w:before="0" w:after="0"/>
      <w:jc w:val="left"/>
      <w:outlineLvl w:val="4"/>
    </w:pPr>
    <w:rPr>
      <w:sz w:val="24"/>
      <w:szCs w:val="24"/>
    </w:rPr>
  </w:style>
  <w:style w:type="paragraph" w:customStyle="1" w:styleId="242">
    <w:name w:val="1"/>
    <w:basedOn w:val="1"/>
    <w:next w:val="1"/>
    <w:autoRedefine/>
    <w:qFormat/>
    <w:uiPriority w:val="0"/>
  </w:style>
  <w:style w:type="paragraph" w:customStyle="1" w:styleId="243">
    <w:name w:val="fine"/>
    <w:basedOn w:val="1"/>
    <w:autoRedefine/>
    <w:qFormat/>
    <w:uiPriority w:val="0"/>
    <w:pPr>
      <w:widowControl/>
      <w:spacing w:before="100" w:beforeAutospacing="1" w:after="100" w:afterAutospacing="1"/>
      <w:jc w:val="left"/>
    </w:pPr>
    <w:rPr>
      <w:rFonts w:ascii="Arial" w:hAnsi="Arial" w:cs="Arial"/>
      <w:kern w:val="0"/>
      <w:sz w:val="16"/>
      <w:szCs w:val="16"/>
    </w:rPr>
  </w:style>
  <w:style w:type="paragraph" w:customStyle="1" w:styleId="244">
    <w:name w:val="font8"/>
    <w:basedOn w:val="1"/>
    <w:autoRedefine/>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245">
    <w:name w:val="p0"/>
    <w:basedOn w:val="1"/>
    <w:autoRedefine/>
    <w:qFormat/>
    <w:uiPriority w:val="0"/>
    <w:pPr>
      <w:widowControl/>
      <w:jc w:val="center"/>
    </w:pPr>
    <w:rPr>
      <w:b/>
      <w:bCs/>
      <w:kern w:val="0"/>
      <w:sz w:val="44"/>
      <w:szCs w:val="44"/>
    </w:rPr>
  </w:style>
  <w:style w:type="paragraph" w:customStyle="1" w:styleId="246">
    <w:name w:val="Char2"/>
    <w:basedOn w:val="1"/>
    <w:autoRedefine/>
    <w:qFormat/>
    <w:uiPriority w:val="0"/>
    <w:pPr>
      <w:tabs>
        <w:tab w:val="left" w:pos="360"/>
      </w:tabs>
    </w:pPr>
    <w:rPr>
      <w:sz w:val="24"/>
    </w:rPr>
  </w:style>
  <w:style w:type="paragraph" w:customStyle="1" w:styleId="247">
    <w:name w:val="样式 标题 3 + (中文) 黑体 小四 非加粗 段前: 7.8 磅 段后: 0 磅 行距: 固定值 20 磅"/>
    <w:basedOn w:val="4"/>
    <w:autoRedefine/>
    <w:qFormat/>
    <w:uiPriority w:val="0"/>
    <w:pPr>
      <w:widowControl w:val="0"/>
      <w:numPr>
        <w:ilvl w:val="0"/>
        <w:numId w:val="0"/>
      </w:numPr>
      <w:tabs>
        <w:tab w:val="clear" w:pos="720"/>
      </w:tabs>
      <w:spacing w:before="0" w:after="0" w:line="400" w:lineRule="exact"/>
      <w:jc w:val="both"/>
    </w:pPr>
    <w:rPr>
      <w:rFonts w:eastAsia="黑体" w:cs="宋体"/>
      <w:b w:val="0"/>
      <w:sz w:val="24"/>
      <w:szCs w:val="20"/>
    </w:rPr>
  </w:style>
  <w:style w:type="paragraph" w:customStyle="1" w:styleId="248">
    <w:name w:val="Char1"/>
    <w:basedOn w:val="1"/>
    <w:autoRedefine/>
    <w:qFormat/>
    <w:uiPriority w:val="0"/>
    <w:pPr>
      <w:tabs>
        <w:tab w:val="left" w:pos="360"/>
      </w:tabs>
    </w:pPr>
    <w:rPr>
      <w:sz w:val="24"/>
    </w:rPr>
  </w:style>
  <w:style w:type="paragraph" w:customStyle="1" w:styleId="249">
    <w:name w:val="default"/>
    <w:basedOn w:val="1"/>
    <w:autoRedefine/>
    <w:qFormat/>
    <w:uiPriority w:val="0"/>
    <w:pPr>
      <w:widowControl/>
      <w:spacing w:before="100" w:beforeAutospacing="1" w:after="100" w:afterAutospacing="1"/>
      <w:jc w:val="left"/>
    </w:pPr>
    <w:rPr>
      <w:rFonts w:ascii="Arial" w:hAnsi="Arial" w:cs="Arial"/>
      <w:kern w:val="0"/>
      <w:sz w:val="20"/>
      <w:szCs w:val="20"/>
    </w:rPr>
  </w:style>
  <w:style w:type="paragraph" w:customStyle="1" w:styleId="250">
    <w:name w:val="普通(网站)1"/>
    <w:basedOn w:val="1"/>
    <w:autoRedefine/>
    <w:qFormat/>
    <w:uiPriority w:val="0"/>
    <w:rPr>
      <w:szCs w:val="22"/>
    </w:rPr>
  </w:style>
  <w:style w:type="paragraph" w:customStyle="1" w:styleId="251">
    <w:name w:val="bianhao1"/>
    <w:basedOn w:val="143"/>
    <w:autoRedefine/>
    <w:qFormat/>
    <w:uiPriority w:val="0"/>
    <w:pPr>
      <w:tabs>
        <w:tab w:val="left" w:pos="0"/>
      </w:tabs>
      <w:ind w:left="1385" w:leftChars="0" w:hanging="425" w:firstLineChars="0"/>
    </w:pPr>
  </w:style>
  <w:style w:type="paragraph" w:customStyle="1" w:styleId="252">
    <w:name w:val="_Style 5"/>
    <w:basedOn w:val="1"/>
    <w:autoRedefine/>
    <w:qFormat/>
    <w:uiPriority w:val="0"/>
    <w:pPr>
      <w:spacing w:line="360" w:lineRule="auto"/>
      <w:ind w:firstLine="200" w:firstLineChars="200"/>
    </w:pPr>
  </w:style>
  <w:style w:type="paragraph" w:customStyle="1" w:styleId="253">
    <w:name w:val="样式 标题 3 + 宋体 小四 行距: 固定值 22 磅"/>
    <w:basedOn w:val="4"/>
    <w:autoRedefine/>
    <w:qFormat/>
    <w:uiPriority w:val="0"/>
    <w:pPr>
      <w:widowControl w:val="0"/>
      <w:numPr>
        <w:numId w:val="0"/>
      </w:numPr>
      <w:tabs>
        <w:tab w:val="left" w:pos="1004"/>
      </w:tabs>
      <w:spacing w:line="440" w:lineRule="exact"/>
      <w:jc w:val="both"/>
    </w:pPr>
    <w:rPr>
      <w:rFonts w:ascii="宋体" w:hAnsi="宋体" w:cs="宋体"/>
      <w:sz w:val="24"/>
      <w:szCs w:val="32"/>
    </w:rPr>
  </w:style>
  <w:style w:type="paragraph" w:customStyle="1" w:styleId="254">
    <w:name w:val="xl30"/>
    <w:basedOn w:val="1"/>
    <w:autoRedefine/>
    <w:qFormat/>
    <w:uiPriority w:val="0"/>
    <w:pPr>
      <w:widowControl/>
      <w:spacing w:before="100" w:beforeAutospacing="1" w:after="100" w:afterAutospacing="1"/>
      <w:jc w:val="center"/>
    </w:pPr>
    <w:rPr>
      <w:rFonts w:ascii="Arial Unicode MS" w:hAnsi="Arial Unicode MS" w:eastAsia="Arial Unicode MS" w:cs="Arial Unicode MS"/>
      <w:b/>
      <w:bCs/>
      <w:kern w:val="0"/>
      <w:sz w:val="48"/>
      <w:szCs w:val="48"/>
    </w:rPr>
  </w:style>
  <w:style w:type="paragraph" w:customStyle="1" w:styleId="255">
    <w:name w:val="样式 居中"/>
    <w:basedOn w:val="1"/>
    <w:autoRedefine/>
    <w:qFormat/>
    <w:uiPriority w:val="0"/>
    <w:pPr>
      <w:autoSpaceDE w:val="0"/>
      <w:autoSpaceDN w:val="0"/>
      <w:spacing w:line="353" w:lineRule="auto"/>
      <w:jc w:val="center"/>
    </w:pPr>
    <w:rPr>
      <w:sz w:val="24"/>
    </w:rPr>
  </w:style>
  <w:style w:type="paragraph" w:customStyle="1" w:styleId="256">
    <w:name w:val="标准文件_二级条标题"/>
    <w:basedOn w:val="1"/>
    <w:next w:val="1"/>
    <w:autoRedefine/>
    <w:qFormat/>
    <w:uiPriority w:val="0"/>
    <w:pPr>
      <w:widowControl/>
      <w:tabs>
        <w:tab w:val="left" w:pos="425"/>
      </w:tabs>
      <w:wordWrap w:val="0"/>
      <w:overflowPunct w:val="0"/>
      <w:autoSpaceDE w:val="0"/>
      <w:adjustRightInd w:val="0"/>
      <w:snapToGrid w:val="0"/>
      <w:spacing w:line="300" w:lineRule="auto"/>
      <w:ind w:left="425" w:hanging="425"/>
      <w:jc w:val="left"/>
      <w:textAlignment w:val="baseline"/>
      <w:outlineLvl w:val="3"/>
    </w:pPr>
    <w:rPr>
      <w:rFonts w:ascii="黑体" w:hAnsi="宋体" w:eastAsia="黑体" w:cs="黑体"/>
      <w:color w:val="000000"/>
      <w:spacing w:val="2"/>
      <w:kern w:val="0"/>
      <w:sz w:val="24"/>
      <w:lang w:val="zh-CN"/>
    </w:rPr>
  </w:style>
  <w:style w:type="paragraph" w:customStyle="1" w:styleId="257">
    <w:name w:val="缺省文本"/>
    <w:basedOn w:val="1"/>
    <w:autoRedefine/>
    <w:qFormat/>
    <w:uiPriority w:val="0"/>
    <w:pPr>
      <w:autoSpaceDE w:val="0"/>
      <w:autoSpaceDN w:val="0"/>
      <w:adjustRightInd w:val="0"/>
      <w:jc w:val="left"/>
    </w:pPr>
    <w:rPr>
      <w:kern w:val="0"/>
      <w:sz w:val="20"/>
      <w:szCs w:val="20"/>
    </w:rPr>
  </w:style>
  <w:style w:type="paragraph" w:customStyle="1" w:styleId="258">
    <w:name w:val="正文点列"/>
    <w:basedOn w:val="1"/>
    <w:autoRedefine/>
    <w:qFormat/>
    <w:uiPriority w:val="0"/>
    <w:pPr>
      <w:keepLines/>
      <w:tabs>
        <w:tab w:val="left" w:pos="0"/>
      </w:tabs>
      <w:spacing w:after="120" w:line="360" w:lineRule="auto"/>
      <w:ind w:left="1385" w:hanging="425"/>
    </w:pPr>
    <w:rPr>
      <w:rFonts w:ascii="宋体" w:cs="宋体"/>
      <w:kern w:val="0"/>
      <w:sz w:val="24"/>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60">
    <w:name w:val="样式1"/>
    <w:basedOn w:val="1"/>
    <w:autoRedefine/>
    <w:qFormat/>
    <w:uiPriority w:val="0"/>
    <w:pPr>
      <w:spacing w:before="120" w:after="120" w:line="300" w:lineRule="auto"/>
    </w:pPr>
    <w:rPr>
      <w:rFonts w:ascii="宋体" w:hAnsi="宋体"/>
      <w:b/>
      <w:sz w:val="24"/>
      <w:szCs w:val="20"/>
    </w:rPr>
  </w:style>
  <w:style w:type="paragraph" w:customStyle="1" w:styleId="261">
    <w:name w:val="redsmall"/>
    <w:basedOn w:val="1"/>
    <w:autoRedefine/>
    <w:qFormat/>
    <w:uiPriority w:val="0"/>
    <w:pPr>
      <w:widowControl/>
      <w:spacing w:before="100" w:beforeAutospacing="1" w:after="100" w:afterAutospacing="1"/>
      <w:jc w:val="left"/>
    </w:pPr>
    <w:rPr>
      <w:rFonts w:ascii="Arial" w:hAnsi="Arial" w:cs="Arial"/>
      <w:color w:val="FF0000"/>
      <w:kern w:val="0"/>
      <w:sz w:val="16"/>
      <w:szCs w:val="16"/>
    </w:rPr>
  </w:style>
  <w:style w:type="paragraph" w:customStyle="1" w:styleId="262">
    <w:name w:val="List Paragraph1"/>
    <w:basedOn w:val="1"/>
    <w:autoRedefine/>
    <w:qFormat/>
    <w:uiPriority w:val="0"/>
    <w:pPr>
      <w:autoSpaceDE w:val="0"/>
      <w:autoSpaceDN w:val="0"/>
      <w:spacing w:line="360" w:lineRule="auto"/>
      <w:ind w:left="720"/>
    </w:pPr>
    <w:rPr>
      <w:sz w:val="24"/>
    </w:rPr>
  </w:style>
  <w:style w:type="paragraph" w:customStyle="1" w:styleId="263">
    <w:name w:val="contentlabel"/>
    <w:basedOn w:val="1"/>
    <w:autoRedefine/>
    <w:qFormat/>
    <w:uiPriority w:val="0"/>
    <w:pPr>
      <w:widowControl/>
      <w:spacing w:before="30" w:after="100" w:afterAutospacing="1"/>
      <w:ind w:left="90"/>
      <w:jc w:val="left"/>
    </w:pPr>
    <w:rPr>
      <w:rFonts w:ascii="Arial Unicode MS" w:hAnsi="Arial Unicode MS" w:cs="Arial Unicode MS"/>
      <w:color w:val="336666"/>
      <w:kern w:val="0"/>
      <w:sz w:val="18"/>
      <w:szCs w:val="18"/>
    </w:rPr>
  </w:style>
  <w:style w:type="paragraph" w:customStyle="1" w:styleId="26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265">
    <w:name w:val="表标题"/>
    <w:basedOn w:val="1"/>
    <w:next w:val="1"/>
    <w:autoRedefine/>
    <w:qFormat/>
    <w:uiPriority w:val="0"/>
    <w:pPr>
      <w:keepNext/>
      <w:numPr>
        <w:ilvl w:val="0"/>
        <w:numId w:val="6"/>
      </w:numPr>
      <w:tabs>
        <w:tab w:val="left" w:pos="567"/>
      </w:tabs>
      <w:adjustRightInd w:val="0"/>
      <w:snapToGrid w:val="0"/>
      <w:spacing w:before="312" w:beforeLines="100" w:after="156" w:afterLines="50"/>
    </w:pPr>
    <w:rPr>
      <w:rFonts w:ascii="Tahoma" w:hAnsi="Tahoma" w:eastAsia="黑体"/>
      <w:b/>
      <w:szCs w:val="22"/>
    </w:rPr>
  </w:style>
  <w:style w:type="paragraph" w:customStyle="1" w:styleId="266">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68">
    <w:name w:val="正文1)"/>
    <w:basedOn w:val="1"/>
    <w:autoRedefine/>
    <w:qFormat/>
    <w:uiPriority w:val="0"/>
    <w:pPr>
      <w:tabs>
        <w:tab w:val="left" w:pos="-120"/>
        <w:tab w:val="left" w:pos="0"/>
        <w:tab w:val="left" w:pos="120"/>
        <w:tab w:val="left" w:pos="425"/>
      </w:tabs>
      <w:spacing w:line="360" w:lineRule="auto"/>
      <w:ind w:left="425" w:hanging="425"/>
      <w:jc w:val="left"/>
    </w:pPr>
    <w:rPr>
      <w:rFonts w:ascii="宋体" w:hAnsi="Arial" w:cs="宋体"/>
      <w:smallCaps/>
      <w:spacing w:val="-20"/>
      <w:sz w:val="24"/>
    </w:rPr>
  </w:style>
  <w:style w:type="paragraph" w:customStyle="1" w:styleId="269">
    <w:name w:val="Appendix 2"/>
    <w:next w:val="1"/>
    <w:autoRedefine/>
    <w:qFormat/>
    <w:uiPriority w:val="0"/>
    <w:pPr>
      <w:tabs>
        <w:tab w:val="left" w:pos="425"/>
      </w:tabs>
      <w:ind w:left="425" w:hanging="425"/>
    </w:pPr>
    <w:rPr>
      <w:rFonts w:ascii="Times New Roman" w:hAnsi="Times New Roman" w:eastAsia="宋体" w:cs="Times New Roman"/>
      <w:sz w:val="21"/>
      <w:szCs w:val="21"/>
      <w:lang w:val="en-US" w:eastAsia="zh-CN" w:bidi="ar-SA"/>
    </w:rPr>
  </w:style>
  <w:style w:type="paragraph" w:customStyle="1" w:styleId="270">
    <w:name w:val="defaultred"/>
    <w:basedOn w:val="1"/>
    <w:autoRedefine/>
    <w:qFormat/>
    <w:uiPriority w:val="0"/>
    <w:pPr>
      <w:widowControl/>
      <w:spacing w:before="100" w:beforeAutospacing="1" w:after="100" w:afterAutospacing="1"/>
      <w:jc w:val="left"/>
    </w:pPr>
    <w:rPr>
      <w:rFonts w:ascii="Arial" w:hAnsi="Arial" w:cs="Arial"/>
      <w:b/>
      <w:bCs/>
      <w:color w:val="FF0000"/>
      <w:kern w:val="0"/>
      <w:sz w:val="20"/>
      <w:szCs w:val="20"/>
    </w:rPr>
  </w:style>
  <w:style w:type="paragraph" w:customStyle="1" w:styleId="271">
    <w:name w:val="默认段落字体 Char Char Char"/>
    <w:basedOn w:val="37"/>
    <w:qFormat/>
    <w:uiPriority w:val="0"/>
    <w:pPr>
      <w:widowControl w:val="0"/>
    </w:pPr>
    <w:rPr>
      <w:szCs w:val="18"/>
    </w:rPr>
  </w:style>
  <w:style w:type="paragraph" w:customStyle="1" w:styleId="272">
    <w:name w:val="font7"/>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273">
    <w:name w:val="Style Left:  2.25 cm"/>
    <w:basedOn w:val="1"/>
    <w:autoRedefine/>
    <w:qFormat/>
    <w:uiPriority w:val="0"/>
    <w:pPr>
      <w:spacing w:after="120"/>
      <w:ind w:left="992"/>
    </w:pPr>
    <w:rPr>
      <w:rFonts w:ascii="Arial" w:hAnsi="Arial" w:cs="Arial"/>
      <w:szCs w:val="21"/>
    </w:rPr>
  </w:style>
  <w:style w:type="paragraph" w:customStyle="1" w:styleId="274">
    <w:name w:val="我的顺序表"/>
    <w:basedOn w:val="1"/>
    <w:autoRedefine/>
    <w:qFormat/>
    <w:uiPriority w:val="0"/>
    <w:pPr>
      <w:tabs>
        <w:tab w:val="left" w:pos="839"/>
      </w:tabs>
      <w:spacing w:line="360" w:lineRule="auto"/>
      <w:ind w:left="839" w:hanging="419"/>
    </w:pPr>
    <w:rPr>
      <w:szCs w:val="21"/>
    </w:rPr>
  </w:style>
  <w:style w:type="paragraph" w:customStyle="1" w:styleId="275">
    <w:name w:val="我的标题1"/>
    <w:basedOn w:val="200"/>
    <w:next w:val="200"/>
    <w:qFormat/>
    <w:uiPriority w:val="0"/>
    <w:pPr>
      <w:tabs>
        <w:tab w:val="left" w:pos="432"/>
      </w:tabs>
      <w:spacing w:before="100" w:beforeAutospacing="1" w:after="100" w:afterAutospacing="1" w:line="720" w:lineRule="auto"/>
      <w:ind w:left="432" w:hanging="432" w:firstLineChars="0"/>
      <w:outlineLvl w:val="0"/>
    </w:pPr>
    <w:rPr>
      <w:rFonts w:eastAsia="黑体"/>
      <w:sz w:val="44"/>
      <w:szCs w:val="44"/>
      <w:lang w:val="en-US"/>
    </w:rPr>
  </w:style>
  <w:style w:type="paragraph" w:customStyle="1" w:styleId="276">
    <w:name w:val="l18"/>
    <w:basedOn w:val="1"/>
    <w:autoRedefine/>
    <w:qFormat/>
    <w:uiPriority w:val="0"/>
    <w:pPr>
      <w:widowControl/>
      <w:spacing w:before="30" w:after="100" w:afterAutospacing="1" w:line="270" w:lineRule="atLeast"/>
      <w:ind w:left="90"/>
      <w:jc w:val="left"/>
    </w:pPr>
    <w:rPr>
      <w:rFonts w:ascii="Arial Unicode MS" w:hAnsi="Arial Unicode MS" w:cs="Arial Unicode MS"/>
      <w:color w:val="000000"/>
      <w:kern w:val="0"/>
      <w:sz w:val="18"/>
      <w:szCs w:val="18"/>
    </w:rPr>
  </w:style>
  <w:style w:type="paragraph" w:customStyle="1" w:styleId="277">
    <w:name w:val="medium"/>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278">
    <w:name w:val="正文2"/>
    <w:basedOn w:val="1"/>
    <w:autoRedefine/>
    <w:qFormat/>
    <w:uiPriority w:val="0"/>
    <w:pPr>
      <w:keepLines/>
      <w:widowControl/>
      <w:adjustRightInd w:val="0"/>
      <w:snapToGrid w:val="0"/>
      <w:spacing w:before="218" w:beforeLines="70" w:after="218" w:afterLines="70" w:line="360" w:lineRule="exact"/>
      <w:ind w:left="1247"/>
      <w:textAlignment w:val="baseline"/>
    </w:pPr>
    <w:rPr>
      <w:rFonts w:cs="Arial"/>
      <w:snapToGrid w:val="0"/>
      <w:spacing w:val="30"/>
      <w:kern w:val="0"/>
      <w:sz w:val="24"/>
      <w:lang w:val="en-GB"/>
    </w:rPr>
  </w:style>
  <w:style w:type="paragraph" w:customStyle="1" w:styleId="279">
    <w:name w:val="mediumbold"/>
    <w:basedOn w:val="1"/>
    <w:autoRedefine/>
    <w:qFormat/>
    <w:uiPriority w:val="0"/>
    <w:pPr>
      <w:widowControl/>
      <w:spacing w:before="100" w:beforeAutospacing="1" w:after="100" w:afterAutospacing="1"/>
      <w:jc w:val="left"/>
    </w:pPr>
    <w:rPr>
      <w:rFonts w:ascii="Arial" w:hAnsi="Arial" w:cs="Arial"/>
      <w:b/>
      <w:bCs/>
      <w:kern w:val="0"/>
      <w:sz w:val="18"/>
      <w:szCs w:val="18"/>
    </w:rPr>
  </w:style>
  <w:style w:type="paragraph" w:customStyle="1" w:styleId="280">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szCs w:val="20"/>
    </w:rPr>
  </w:style>
  <w:style w:type="paragraph" w:customStyle="1" w:styleId="281">
    <w:name w:val="Style Left:  1.5 cm Hanging:  0.75 cm"/>
    <w:basedOn w:val="1"/>
    <w:autoRedefine/>
    <w:qFormat/>
    <w:uiPriority w:val="0"/>
    <w:pPr>
      <w:numPr>
        <w:ilvl w:val="0"/>
        <w:numId w:val="7"/>
      </w:numPr>
      <w:tabs>
        <w:tab w:val="left" w:pos="992"/>
      </w:tabs>
      <w:spacing w:after="120"/>
      <w:ind w:left="1134"/>
    </w:pPr>
    <w:rPr>
      <w:rFonts w:ascii="Arial" w:hAnsi="Arial" w:cs="Arial"/>
      <w:szCs w:val="21"/>
    </w:rPr>
  </w:style>
  <w:style w:type="paragraph" w:customStyle="1" w:styleId="282">
    <w:name w:val="标题1"/>
    <w:basedOn w:val="1"/>
    <w:autoRedefine/>
    <w:qFormat/>
    <w:uiPriority w:val="0"/>
    <w:pPr>
      <w:widowControl/>
      <w:spacing w:before="100" w:beforeAutospacing="1" w:after="100" w:afterAutospacing="1"/>
      <w:jc w:val="left"/>
    </w:pPr>
    <w:rPr>
      <w:rFonts w:ascii="Helvetica" w:hAnsi="Helvetica" w:cs="Helvetica"/>
      <w:b/>
      <w:bCs/>
      <w:kern w:val="0"/>
      <w:sz w:val="36"/>
      <w:szCs w:val="36"/>
    </w:rPr>
  </w:style>
  <w:style w:type="paragraph" w:customStyle="1" w:styleId="283">
    <w:name w:val="Style 文章正文 + First line:  2 ch"/>
    <w:basedOn w:val="1"/>
    <w:autoRedefine/>
    <w:qFormat/>
    <w:uiPriority w:val="0"/>
    <w:pPr>
      <w:ind w:firstLine="200" w:firstLineChars="200"/>
    </w:pPr>
    <w:rPr>
      <w:rFonts w:cs="宋体"/>
      <w:szCs w:val="20"/>
    </w:rPr>
  </w:style>
  <w:style w:type="paragraph" w:customStyle="1" w:styleId="284">
    <w:name w:val="Char Char 字元 字元 字元 Char Char Char Char"/>
    <w:basedOn w:val="1"/>
    <w:autoRedefine/>
    <w:qFormat/>
    <w:uiPriority w:val="0"/>
    <w:pPr>
      <w:adjustRightInd w:val="0"/>
      <w:spacing w:line="360" w:lineRule="auto"/>
    </w:pPr>
    <w:rPr>
      <w:kern w:val="0"/>
      <w:sz w:val="24"/>
      <w:szCs w:val="20"/>
    </w:rPr>
  </w:style>
  <w:style w:type="paragraph" w:customStyle="1" w:styleId="285">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cs="Arial Unicode MS"/>
      <w:b/>
      <w:bCs/>
      <w:kern w:val="0"/>
      <w:sz w:val="20"/>
      <w:szCs w:val="20"/>
    </w:rPr>
  </w:style>
  <w:style w:type="paragraph" w:customStyle="1" w:styleId="286">
    <w:name w:val="xl36"/>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28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88">
    <w:name w:val="focus"/>
    <w:basedOn w:val="1"/>
    <w:qFormat/>
    <w:uiPriority w:val="0"/>
    <w:pPr>
      <w:widowControl/>
      <w:shd w:val="clear" w:color="auto" w:fill="003366"/>
      <w:spacing w:before="100" w:beforeAutospacing="1" w:after="100" w:afterAutospacing="1"/>
      <w:jc w:val="left"/>
    </w:pPr>
    <w:rPr>
      <w:rFonts w:ascii="Arial" w:hAnsi="Arial" w:cs="Arial"/>
      <w:b/>
      <w:bCs/>
      <w:color w:val="FFFFFF"/>
      <w:kern w:val="0"/>
      <w:sz w:val="16"/>
      <w:szCs w:val="16"/>
    </w:rPr>
  </w:style>
  <w:style w:type="paragraph" w:customStyle="1" w:styleId="289">
    <w:name w:val="biaoti1"/>
    <w:basedOn w:val="2"/>
    <w:autoRedefine/>
    <w:qFormat/>
    <w:uiPriority w:val="0"/>
    <w:pPr>
      <w:keepLines/>
      <w:widowControl w:val="0"/>
      <w:numPr>
        <w:numId w:val="0"/>
      </w:numPr>
      <w:spacing w:before="340" w:after="330" w:line="360" w:lineRule="auto"/>
      <w:ind w:left="431" w:hanging="431"/>
      <w:jc w:val="both"/>
    </w:pPr>
    <w:rPr>
      <w:rFonts w:ascii="Times New Roman" w:eastAsia="宋体"/>
      <w:b/>
      <w:bCs/>
      <w:kern w:val="44"/>
      <w:sz w:val="44"/>
      <w:szCs w:val="44"/>
    </w:rPr>
  </w:style>
  <w:style w:type="paragraph" w:customStyle="1" w:styleId="290">
    <w:name w:val="fieldnames"/>
    <w:basedOn w:val="1"/>
    <w:autoRedefine/>
    <w:qFormat/>
    <w:uiPriority w:val="0"/>
    <w:pPr>
      <w:widowControl/>
      <w:spacing w:before="100" w:beforeAutospacing="1" w:after="100" w:afterAutospacing="1"/>
      <w:jc w:val="left"/>
    </w:pPr>
    <w:rPr>
      <w:rFonts w:ascii="Helvetica" w:hAnsi="Helvetica" w:cs="Helvetica"/>
      <w:b/>
      <w:bCs/>
      <w:kern w:val="0"/>
      <w:sz w:val="22"/>
      <w:szCs w:val="22"/>
    </w:rPr>
  </w:style>
  <w:style w:type="paragraph" w:customStyle="1" w:styleId="291">
    <w:name w:val="Char1 Char Char Char"/>
    <w:basedOn w:val="1"/>
    <w:autoRedefine/>
    <w:qFormat/>
    <w:uiPriority w:val="0"/>
    <w:rPr>
      <w:rFonts w:ascii="Tahoma" w:hAnsi="Tahoma"/>
      <w:sz w:val="24"/>
      <w:szCs w:val="20"/>
    </w:rPr>
  </w:style>
  <w:style w:type="paragraph" w:customStyle="1" w:styleId="292">
    <w:name w:val="xl31"/>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293">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294">
    <w:name w:val="Pa6"/>
    <w:basedOn w:val="1"/>
    <w:next w:val="1"/>
    <w:autoRedefine/>
    <w:qFormat/>
    <w:uiPriority w:val="0"/>
    <w:pPr>
      <w:autoSpaceDE w:val="0"/>
      <w:autoSpaceDN w:val="0"/>
      <w:adjustRightInd w:val="0"/>
      <w:spacing w:line="160" w:lineRule="atLeast"/>
      <w:jc w:val="left"/>
    </w:pPr>
    <w:rPr>
      <w:rFonts w:ascii="黑体" w:eastAsia="黑体"/>
      <w:kern w:val="0"/>
      <w:sz w:val="24"/>
    </w:rPr>
  </w:style>
  <w:style w:type="paragraph" w:customStyle="1" w:styleId="295">
    <w:name w:val="Date1"/>
    <w:basedOn w:val="1"/>
    <w:next w:val="1"/>
    <w:autoRedefine/>
    <w:qFormat/>
    <w:uiPriority w:val="0"/>
    <w:pPr>
      <w:adjustRightInd w:val="0"/>
      <w:snapToGrid w:val="0"/>
      <w:spacing w:beforeLines="50" w:line="312" w:lineRule="atLeast"/>
      <w:textAlignment w:val="baseline"/>
    </w:pPr>
    <w:rPr>
      <w:kern w:val="0"/>
      <w:sz w:val="24"/>
    </w:rPr>
  </w:style>
  <w:style w:type="paragraph" w:customStyle="1" w:styleId="296">
    <w:name w:val="defaultwhite"/>
    <w:basedOn w:val="1"/>
    <w:autoRedefine/>
    <w:qFormat/>
    <w:uiPriority w:val="0"/>
    <w:pPr>
      <w:widowControl/>
      <w:spacing w:before="100" w:beforeAutospacing="1" w:after="100" w:afterAutospacing="1"/>
      <w:jc w:val="left"/>
    </w:pPr>
    <w:rPr>
      <w:rFonts w:ascii="Arial" w:hAnsi="Arial" w:cs="Arial"/>
      <w:b/>
      <w:bCs/>
      <w:color w:val="FFFFFF"/>
      <w:kern w:val="0"/>
      <w:sz w:val="20"/>
      <w:szCs w:val="20"/>
    </w:rPr>
  </w:style>
  <w:style w:type="paragraph" w:customStyle="1" w:styleId="297">
    <w:name w:val="Char Char Char Char Char Char"/>
    <w:basedOn w:val="2"/>
    <w:autoRedefine/>
    <w:qFormat/>
    <w:uiPriority w:val="0"/>
    <w:pPr>
      <w:widowControl w:val="0"/>
      <w:numPr>
        <w:numId w:val="8"/>
      </w:numPr>
      <w:tabs>
        <w:tab w:val="left" w:pos="887"/>
      </w:tabs>
      <w:snapToGrid w:val="0"/>
      <w:spacing w:line="360" w:lineRule="auto"/>
      <w:ind w:left="887" w:firstLine="200" w:firstLineChars="200"/>
    </w:pPr>
    <w:rPr>
      <w:rFonts w:hAnsi="BatangChe"/>
      <w:kern w:val="2"/>
      <w:sz w:val="32"/>
      <w:szCs w:val="32"/>
    </w:rPr>
  </w:style>
  <w:style w:type="paragraph" w:customStyle="1" w:styleId="298">
    <w:name w:val="NW正文"/>
    <w:basedOn w:val="25"/>
    <w:autoRedefine/>
    <w:qFormat/>
    <w:uiPriority w:val="0"/>
    <w:pPr>
      <w:widowControl w:val="0"/>
      <w:overflowPunct/>
      <w:autoSpaceDE/>
      <w:autoSpaceDN/>
      <w:adjustRightInd/>
      <w:spacing w:before="120" w:line="240" w:lineRule="auto"/>
      <w:ind w:left="420" w:firstLine="425"/>
      <w:textAlignment w:val="auto"/>
    </w:pPr>
    <w:rPr>
      <w:rFonts w:ascii="Arial" w:hAnsi="Arial" w:cs="Arial"/>
      <w:spacing w:val="0"/>
      <w:szCs w:val="24"/>
    </w:rPr>
  </w:style>
  <w:style w:type="paragraph" w:customStyle="1" w:styleId="299">
    <w:name w:val="xl38"/>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0">
    <w:name w:val="LJT加重"/>
    <w:next w:val="1"/>
    <w:autoRedefine/>
    <w:qFormat/>
    <w:uiPriority w:val="0"/>
    <w:pPr>
      <w:keepNext/>
      <w:spacing w:before="240" w:after="120"/>
    </w:pPr>
    <w:rPr>
      <w:rFonts w:ascii="Times New Roman" w:hAnsi="Times New Roman" w:eastAsia="宋体" w:cs="Times New Roman"/>
      <w:b/>
      <w:bCs/>
      <w:sz w:val="24"/>
      <w:szCs w:val="24"/>
      <w:lang w:val="en-US" w:eastAsia="zh-CN" w:bidi="ar-SA"/>
    </w:rPr>
  </w:style>
  <w:style w:type="paragraph" w:customStyle="1" w:styleId="301">
    <w:name w:val="样式2"/>
    <w:basedOn w:val="4"/>
    <w:autoRedefine/>
    <w:qFormat/>
    <w:uiPriority w:val="0"/>
    <w:pPr>
      <w:widowControl w:val="0"/>
      <w:numPr>
        <w:ilvl w:val="0"/>
        <w:numId w:val="0"/>
      </w:numPr>
      <w:tabs>
        <w:tab w:val="clear" w:pos="720"/>
      </w:tabs>
      <w:spacing w:before="260" w:after="260" w:line="415" w:lineRule="auto"/>
      <w:jc w:val="both"/>
    </w:pPr>
    <w:rPr>
      <w:bCs/>
      <w:szCs w:val="32"/>
    </w:rPr>
  </w:style>
  <w:style w:type="paragraph" w:customStyle="1" w:styleId="302">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03">
    <w:name w:val="默认段落字体 Para Char"/>
    <w:basedOn w:val="1"/>
    <w:autoRedefine/>
    <w:qFormat/>
    <w:uiPriority w:val="0"/>
    <w:pPr>
      <w:adjustRightInd w:val="0"/>
      <w:spacing w:line="360" w:lineRule="auto"/>
    </w:pPr>
    <w:rPr>
      <w:kern w:val="0"/>
      <w:sz w:val="24"/>
      <w:szCs w:val="20"/>
    </w:rPr>
  </w:style>
  <w:style w:type="paragraph" w:customStyle="1" w:styleId="304">
    <w:name w:val="xl35"/>
    <w:basedOn w:val="1"/>
    <w:autoRedefine/>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36"/>
      <w:szCs w:val="36"/>
    </w:rPr>
  </w:style>
  <w:style w:type="paragraph" w:customStyle="1" w:styleId="305">
    <w:name w:val="ulshort"/>
    <w:basedOn w:val="1"/>
    <w:autoRedefine/>
    <w:qFormat/>
    <w:uiPriority w:val="0"/>
    <w:pPr>
      <w:widowControl/>
      <w:spacing w:before="75" w:after="100" w:afterAutospacing="1"/>
      <w:jc w:val="left"/>
    </w:pPr>
    <w:rPr>
      <w:rFonts w:ascii="Arial Unicode MS" w:hAnsi="Arial Unicode MS" w:cs="Arial Unicode MS"/>
      <w:kern w:val="0"/>
      <w:sz w:val="24"/>
    </w:rPr>
  </w:style>
  <w:style w:type="paragraph" w:customStyle="1" w:styleId="306">
    <w:name w:val="xl33"/>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07">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cs="Arial Unicode MS"/>
      <w:b/>
      <w:bCs/>
      <w:kern w:val="0"/>
      <w:sz w:val="24"/>
    </w:rPr>
  </w:style>
  <w:style w:type="paragraph" w:customStyle="1" w:styleId="308">
    <w:name w:val="列表文字"/>
    <w:basedOn w:val="1"/>
    <w:autoRedefine/>
    <w:qFormat/>
    <w:uiPriority w:val="0"/>
    <w:pPr>
      <w:numPr>
        <w:ilvl w:val="0"/>
        <w:numId w:val="9"/>
      </w:numPr>
      <w:tabs>
        <w:tab w:val="left" w:pos="885"/>
      </w:tabs>
    </w:pPr>
  </w:style>
  <w:style w:type="paragraph" w:customStyle="1" w:styleId="309">
    <w:name w:val="标准文件_四级条标题"/>
    <w:basedOn w:val="192"/>
    <w:next w:val="1"/>
    <w:autoRedefine/>
    <w:qFormat/>
    <w:uiPriority w:val="0"/>
    <w:pPr>
      <w:spacing w:before="0" w:after="0"/>
      <w:jc w:val="left"/>
      <w:outlineLvl w:val="5"/>
    </w:pPr>
    <w:rPr>
      <w:sz w:val="24"/>
      <w:szCs w:val="24"/>
    </w:rPr>
  </w:style>
  <w:style w:type="paragraph" w:customStyle="1" w:styleId="310">
    <w:name w:val="图样式"/>
    <w:basedOn w:val="1"/>
    <w:autoRedefine/>
    <w:qFormat/>
    <w:uiPriority w:val="0"/>
    <w:pPr>
      <w:keepNext/>
      <w:widowControl/>
      <w:spacing w:before="80" w:after="80"/>
      <w:jc w:val="center"/>
    </w:pPr>
    <w:rPr>
      <w:szCs w:val="22"/>
    </w:rPr>
  </w:style>
  <w:style w:type="paragraph" w:customStyle="1" w:styleId="311">
    <w:name w:val="font5"/>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312">
    <w:name w:val="big"/>
    <w:basedOn w:val="1"/>
    <w:autoRedefine/>
    <w:qFormat/>
    <w:uiPriority w:val="0"/>
    <w:pPr>
      <w:widowControl/>
      <w:spacing w:before="100" w:beforeAutospacing="1" w:after="100" w:afterAutospacing="1"/>
      <w:jc w:val="left"/>
    </w:pPr>
    <w:rPr>
      <w:rFonts w:ascii="Helvetica" w:hAnsi="Helvetica" w:cs="Helvetica"/>
      <w:b/>
      <w:bCs/>
      <w:color w:val="000000"/>
      <w:kern w:val="0"/>
      <w:sz w:val="26"/>
      <w:szCs w:val="26"/>
    </w:rPr>
  </w:style>
  <w:style w:type="paragraph" w:customStyle="1" w:styleId="313">
    <w:name w:val="样式 标题 2 + 宋体 四号 行距: 固定值 22 磅"/>
    <w:basedOn w:val="3"/>
    <w:autoRedefine/>
    <w:qFormat/>
    <w:uiPriority w:val="0"/>
    <w:pPr>
      <w:widowControl w:val="0"/>
      <w:tabs>
        <w:tab w:val="left" w:pos="0"/>
      </w:tabs>
      <w:spacing w:before="120" w:after="120" w:line="440" w:lineRule="exact"/>
      <w:ind w:left="420" w:hanging="420"/>
    </w:pPr>
    <w:rPr>
      <w:rFonts w:eastAsia="黑体" w:cs="宋体"/>
      <w:color w:val="auto"/>
      <w:kern w:val="2"/>
      <w:sz w:val="28"/>
      <w:szCs w:val="32"/>
    </w:rPr>
  </w:style>
  <w:style w:type="paragraph" w:customStyle="1" w:styleId="314">
    <w:name w:val="List Paragraph2"/>
    <w:basedOn w:val="1"/>
    <w:autoRedefine/>
    <w:qFormat/>
    <w:uiPriority w:val="0"/>
    <w:pPr>
      <w:ind w:firstLine="420" w:firstLineChars="200"/>
    </w:pPr>
    <w:rPr>
      <w:szCs w:val="22"/>
    </w:rPr>
  </w:style>
  <w:style w:type="paragraph" w:customStyle="1" w:styleId="315">
    <w:name w:val="Char3"/>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6">
    <w:name w:val="正文文档"/>
    <w:basedOn w:val="1"/>
    <w:autoRedefine/>
    <w:qFormat/>
    <w:uiPriority w:val="0"/>
    <w:pPr>
      <w:spacing w:line="360" w:lineRule="auto"/>
      <w:ind w:left="840" w:leftChars="400" w:right="210" w:rightChars="100"/>
    </w:pPr>
    <w:rPr>
      <w:rFonts w:ascii="宋体" w:hAnsi="宋体" w:cs="宋体"/>
      <w:sz w:val="24"/>
    </w:rPr>
  </w:style>
  <w:style w:type="paragraph" w:customStyle="1" w:styleId="317">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318">
    <w:name w:val="列项——（一级）"/>
    <w:autoRedefine/>
    <w:qFormat/>
    <w:uiPriority w:val="0"/>
    <w:pPr>
      <w:widowControl w:val="0"/>
      <w:numPr>
        <w:ilvl w:val="0"/>
        <w:numId w:val="10"/>
      </w:numPr>
      <w:jc w:val="both"/>
    </w:pPr>
    <w:rPr>
      <w:rFonts w:ascii="宋体" w:hAnsi="Times New Roman" w:eastAsia="宋体" w:cs="Times New Roman"/>
      <w:sz w:val="21"/>
      <w:szCs w:val="22"/>
      <w:lang w:val="en-US" w:eastAsia="zh-CN" w:bidi="ar-SA"/>
    </w:rPr>
  </w:style>
  <w:style w:type="paragraph" w:customStyle="1" w:styleId="319">
    <w:name w:val="xl25"/>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320">
    <w:name w:val="xl65"/>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lang w:eastAsia="en-US"/>
    </w:rPr>
  </w:style>
  <w:style w:type="paragraph" w:customStyle="1" w:styleId="321">
    <w:name w:val="Char11"/>
    <w:basedOn w:val="1"/>
    <w:autoRedefine/>
    <w:qFormat/>
    <w:uiPriority w:val="0"/>
    <w:pPr>
      <w:widowControl/>
      <w:spacing w:after="160" w:line="240" w:lineRule="exact"/>
      <w:jc w:val="left"/>
    </w:pPr>
    <w:rPr>
      <w:szCs w:val="20"/>
    </w:rPr>
  </w:style>
  <w:style w:type="paragraph" w:customStyle="1" w:styleId="322">
    <w:name w:val="bianhao3"/>
    <w:basedOn w:val="323"/>
    <w:autoRedefine/>
    <w:qFormat/>
    <w:uiPriority w:val="0"/>
    <w:pPr>
      <w:tabs>
        <w:tab w:val="left" w:pos="425"/>
      </w:tabs>
    </w:pPr>
  </w:style>
  <w:style w:type="paragraph" w:customStyle="1" w:styleId="323">
    <w:name w:val="bianhao2"/>
    <w:basedOn w:val="251"/>
    <w:autoRedefine/>
    <w:qFormat/>
    <w:uiPriority w:val="0"/>
    <w:pPr>
      <w:tabs>
        <w:tab w:val="left" w:pos="425"/>
        <w:tab w:val="clear" w:pos="0"/>
      </w:tabs>
      <w:ind w:left="425"/>
    </w:pPr>
  </w:style>
  <w:style w:type="paragraph" w:customStyle="1" w:styleId="324">
    <w:name w:val="样式6"/>
    <w:basedOn w:val="1"/>
    <w:autoRedefine/>
    <w:qFormat/>
    <w:uiPriority w:val="0"/>
    <w:pPr>
      <w:numPr>
        <w:ilvl w:val="0"/>
        <w:numId w:val="11"/>
      </w:numPr>
      <w:tabs>
        <w:tab w:val="left" w:pos="1050"/>
      </w:tabs>
      <w:spacing w:line="360" w:lineRule="auto"/>
    </w:pPr>
    <w:rPr>
      <w:sz w:val="24"/>
    </w:rPr>
  </w:style>
  <w:style w:type="paragraph" w:customStyle="1" w:styleId="325">
    <w:name w:val="NW加重项"/>
    <w:next w:val="298"/>
    <w:autoRedefine/>
    <w:qFormat/>
    <w:uiPriority w:val="0"/>
    <w:pPr>
      <w:keepNext/>
      <w:spacing w:before="240" w:after="120"/>
    </w:pPr>
    <w:rPr>
      <w:rFonts w:ascii="Times New Roman" w:hAnsi="Times New Roman" w:eastAsia="宋体" w:cs="Times New Roman"/>
      <w:b/>
      <w:bCs/>
      <w:sz w:val="24"/>
      <w:szCs w:val="24"/>
      <w:lang w:val="en-US" w:eastAsia="zh-CN" w:bidi="ar-SA"/>
    </w:rPr>
  </w:style>
  <w:style w:type="paragraph" w:customStyle="1" w:styleId="326">
    <w:name w:val="表格"/>
    <w:basedOn w:val="1"/>
    <w:autoRedefine/>
    <w:qFormat/>
    <w:uiPriority w:val="0"/>
    <w:pPr>
      <w:jc w:val="center"/>
      <w:textAlignment w:val="center"/>
    </w:pPr>
    <w:rPr>
      <w:rFonts w:ascii="华文细黑" w:hAnsi="华文细黑"/>
      <w:kern w:val="0"/>
      <w:szCs w:val="20"/>
    </w:rPr>
  </w:style>
  <w:style w:type="paragraph" w:customStyle="1" w:styleId="327">
    <w:name w:val="默认段落字体 Para Char Char Char Char Char Char Char"/>
    <w:basedOn w:val="1"/>
    <w:autoRedefine/>
    <w:qFormat/>
    <w:uiPriority w:val="0"/>
    <w:pPr>
      <w:adjustRightInd w:val="0"/>
      <w:spacing w:line="360" w:lineRule="auto"/>
    </w:pPr>
    <w:rPr>
      <w:kern w:val="0"/>
      <w:sz w:val="24"/>
      <w:szCs w:val="20"/>
    </w:rPr>
  </w:style>
  <w:style w:type="paragraph" w:customStyle="1" w:styleId="328">
    <w:name w:val="Section2"/>
    <w:basedOn w:val="1"/>
    <w:autoRedefine/>
    <w:qFormat/>
    <w:uiPriority w:val="0"/>
    <w:pPr>
      <w:widowControl/>
      <w:tabs>
        <w:tab w:val="left" w:pos="720"/>
      </w:tabs>
      <w:spacing w:after="120"/>
      <w:ind w:left="360" w:hanging="360"/>
    </w:pPr>
    <w:rPr>
      <w:rFonts w:ascii="仿宋体" w:eastAsia="仿宋体" w:cs="仿宋体"/>
      <w:b/>
      <w:bCs/>
      <w:kern w:val="0"/>
      <w:sz w:val="26"/>
      <w:szCs w:val="26"/>
    </w:rPr>
  </w:style>
  <w:style w:type="paragraph" w:customStyle="1" w:styleId="329">
    <w:name w:val="extrafine"/>
    <w:basedOn w:val="1"/>
    <w:autoRedefine/>
    <w:qFormat/>
    <w:uiPriority w:val="0"/>
    <w:pPr>
      <w:widowControl/>
      <w:spacing w:before="100" w:beforeAutospacing="1" w:after="100" w:afterAutospacing="1"/>
      <w:jc w:val="left"/>
    </w:pPr>
    <w:rPr>
      <w:rFonts w:ascii="Arial" w:hAnsi="Arial" w:cs="Arial"/>
      <w:kern w:val="0"/>
      <w:sz w:val="2"/>
      <w:szCs w:val="2"/>
    </w:rPr>
  </w:style>
  <w:style w:type="paragraph" w:customStyle="1" w:styleId="330">
    <w:name w:val="样式 正文首行缩进 + 首行缩进:  2 字符"/>
    <w:basedOn w:val="234"/>
    <w:autoRedefine/>
    <w:qFormat/>
    <w:uiPriority w:val="0"/>
    <w:pPr>
      <w:spacing w:after="0"/>
      <w:ind w:firstLine="480" w:firstLineChars="200"/>
    </w:pPr>
    <w:rPr>
      <w:rFonts w:ascii="Tahoma" w:hAnsi="Tahoma" w:cs="宋体"/>
      <w:szCs w:val="20"/>
    </w:rPr>
  </w:style>
  <w:style w:type="paragraph" w:customStyle="1" w:styleId="331">
    <w:name w:val="listheader"/>
    <w:basedOn w:val="1"/>
    <w:autoRedefine/>
    <w:qFormat/>
    <w:uiPriority w:val="0"/>
    <w:pPr>
      <w:widowControl/>
      <w:spacing w:before="100" w:beforeAutospacing="1" w:after="100" w:afterAutospacing="1"/>
      <w:jc w:val="left"/>
    </w:pPr>
    <w:rPr>
      <w:rFonts w:ascii="Arial" w:hAnsi="Arial" w:cs="Arial"/>
      <w:b/>
      <w:bCs/>
      <w:color w:val="FFFFFF"/>
      <w:kern w:val="0"/>
      <w:sz w:val="20"/>
      <w:szCs w:val="20"/>
    </w:rPr>
  </w:style>
  <w:style w:type="paragraph" w:customStyle="1" w:styleId="332">
    <w:name w:val="目录"/>
    <w:basedOn w:val="1"/>
    <w:autoRedefine/>
    <w:qFormat/>
    <w:uiPriority w:val="0"/>
    <w:pPr>
      <w:widowControl/>
      <w:jc w:val="center"/>
    </w:pPr>
    <w:rPr>
      <w:rFonts w:ascii="宋体"/>
      <w:b/>
      <w:kern w:val="0"/>
      <w:sz w:val="36"/>
      <w:szCs w:val="20"/>
    </w:rPr>
  </w:style>
  <w:style w:type="paragraph" w:customStyle="1" w:styleId="333">
    <w:name w:val="Char Char Char Char"/>
    <w:basedOn w:val="1"/>
    <w:autoRedefine/>
    <w:qFormat/>
    <w:uiPriority w:val="0"/>
    <w:pPr>
      <w:widowControl/>
    </w:pPr>
    <w:rPr>
      <w:rFonts w:ascii="Tahoma" w:hAnsi="Tahoma" w:cs="Tahoma"/>
      <w:kern w:val="0"/>
      <w:sz w:val="24"/>
    </w:rPr>
  </w:style>
  <w:style w:type="paragraph" w:customStyle="1" w:styleId="33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335">
    <w:name w:val="标准文件-图标题"/>
    <w:basedOn w:val="1"/>
    <w:next w:val="1"/>
    <w:autoRedefine/>
    <w:qFormat/>
    <w:uiPriority w:val="0"/>
    <w:pPr>
      <w:widowControl/>
      <w:tabs>
        <w:tab w:val="left" w:pos="425"/>
      </w:tabs>
      <w:adjustRightInd w:val="0"/>
      <w:snapToGrid w:val="0"/>
      <w:spacing w:line="300" w:lineRule="auto"/>
      <w:ind w:left="425" w:hanging="425"/>
      <w:jc w:val="center"/>
    </w:pPr>
    <w:rPr>
      <w:rFonts w:ascii="黑体" w:hAnsi="宋体" w:eastAsia="黑体" w:cs="黑体"/>
      <w:color w:val="000000"/>
      <w:spacing w:val="2"/>
      <w:kern w:val="0"/>
      <w:sz w:val="24"/>
    </w:rPr>
  </w:style>
  <w:style w:type="paragraph" w:customStyle="1" w:styleId="33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37">
    <w:name w:val="bluesmall"/>
    <w:basedOn w:val="1"/>
    <w:autoRedefine/>
    <w:qFormat/>
    <w:uiPriority w:val="0"/>
    <w:pPr>
      <w:widowControl/>
      <w:spacing w:before="100" w:beforeAutospacing="1" w:after="100" w:afterAutospacing="1"/>
      <w:jc w:val="left"/>
    </w:pPr>
    <w:rPr>
      <w:rFonts w:ascii="Arial" w:hAnsi="Arial" w:cs="Arial"/>
      <w:color w:val="003366"/>
      <w:kern w:val="0"/>
      <w:sz w:val="16"/>
      <w:szCs w:val="16"/>
    </w:rPr>
  </w:style>
  <w:style w:type="paragraph" w:customStyle="1" w:styleId="33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39">
    <w:name w:val="TOC 标题1"/>
    <w:basedOn w:val="2"/>
    <w:next w:val="1"/>
    <w:autoRedefine/>
    <w:qFormat/>
    <w:uiPriority w:val="0"/>
    <w:pPr>
      <w:keepLines/>
      <w:widowControl w:val="0"/>
      <w:numPr>
        <w:numId w:val="0"/>
      </w:numPr>
      <w:spacing w:before="340" w:after="330" w:line="576" w:lineRule="auto"/>
      <w:jc w:val="both"/>
      <w:outlineLvl w:val="9"/>
    </w:pPr>
    <w:rPr>
      <w:rFonts w:ascii="Calibri" w:hAnsi="Calibri" w:eastAsia="宋体"/>
      <w:b/>
      <w:bCs/>
      <w:kern w:val="44"/>
      <w:sz w:val="44"/>
      <w:szCs w:val="44"/>
    </w:rPr>
  </w:style>
  <w:style w:type="paragraph" w:customStyle="1" w:styleId="340">
    <w:name w:val="1.1.1.1B"/>
    <w:basedOn w:val="5"/>
    <w:autoRedefine/>
    <w:qFormat/>
    <w:uiPriority w:val="0"/>
    <w:pPr>
      <w:keepLines w:val="0"/>
      <w:tabs>
        <w:tab w:val="left" w:pos="851"/>
      </w:tabs>
      <w:spacing w:before="240" w:after="240" w:line="240" w:lineRule="auto"/>
      <w:ind w:left="851" w:hanging="851"/>
      <w:jc w:val="left"/>
    </w:pPr>
    <w:rPr>
      <w:rFonts w:ascii="Microsoft Sans Serif" w:hAnsi="Microsoft Sans Serif" w:eastAsia="仿宋_GB2312" w:cs="Microsoft Sans Serif"/>
      <w:sz w:val="24"/>
      <w:szCs w:val="28"/>
      <w:u w:val="single"/>
    </w:rPr>
  </w:style>
  <w:style w:type="paragraph" w:customStyle="1" w:styleId="341">
    <w:name w:val="样式 标题 2 + Times New Roman 四号 非加粗 段前: 5 磅 段后: 0 磅 行距: 固定值 20..."/>
    <w:basedOn w:val="3"/>
    <w:autoRedefine/>
    <w:qFormat/>
    <w:uiPriority w:val="0"/>
    <w:pPr>
      <w:widowControl w:val="0"/>
      <w:spacing w:before="100" w:line="400" w:lineRule="exact"/>
      <w:jc w:val="both"/>
    </w:pPr>
    <w:rPr>
      <w:rFonts w:ascii="Times New Roman" w:hAnsi="Times New Roman" w:eastAsia="黑体" w:cs="宋体"/>
      <w:b w:val="0"/>
      <w:color w:val="auto"/>
      <w:kern w:val="2"/>
      <w:sz w:val="28"/>
    </w:rPr>
  </w:style>
  <w:style w:type="paragraph" w:customStyle="1" w:styleId="342">
    <w:name w:val="列出段落1"/>
    <w:basedOn w:val="1"/>
    <w:autoRedefine/>
    <w:qFormat/>
    <w:uiPriority w:val="99"/>
    <w:pPr>
      <w:ind w:firstLine="420" w:firstLineChars="200"/>
    </w:pPr>
    <w:rPr>
      <w:rFonts w:ascii="Calibri" w:hAnsi="Calibri"/>
      <w:szCs w:val="21"/>
    </w:rPr>
  </w:style>
  <w:style w:type="paragraph" w:customStyle="1" w:styleId="343">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4"/>
    </w:rPr>
  </w:style>
  <w:style w:type="paragraph" w:customStyle="1" w:styleId="344">
    <w:name w:val="样式10"/>
    <w:basedOn w:val="1"/>
    <w:autoRedefine/>
    <w:qFormat/>
    <w:uiPriority w:val="0"/>
    <w:pPr>
      <w:widowControl/>
      <w:spacing w:before="120" w:after="120" w:line="360" w:lineRule="auto"/>
    </w:pPr>
    <w:rPr>
      <w:rFonts w:ascii="仿宋_GB2312" w:eastAsia="仿宋_GB2312" w:cs="仿宋_GB2312"/>
      <w:spacing w:val="20"/>
      <w:kern w:val="0"/>
      <w:sz w:val="24"/>
    </w:rPr>
  </w:style>
  <w:style w:type="paragraph" w:customStyle="1" w:styleId="345">
    <w:name w:val="Char Char Char1 Char Char Char Char Char Char Char"/>
    <w:basedOn w:val="1"/>
    <w:autoRedefine/>
    <w:qFormat/>
    <w:uiPriority w:val="0"/>
    <w:rPr>
      <w:szCs w:val="22"/>
    </w:rPr>
  </w:style>
  <w:style w:type="paragraph" w:customStyle="1" w:styleId="346">
    <w:name w:val="Char Char Char"/>
    <w:basedOn w:val="1"/>
    <w:autoRedefine/>
    <w:qFormat/>
    <w:uiPriority w:val="0"/>
    <w:pPr>
      <w:snapToGrid w:val="0"/>
    </w:pPr>
    <w:rPr>
      <w:rFonts w:ascii="Tahoma" w:hAnsi="Tahoma" w:eastAsia="仿宋_GB2312"/>
      <w:kern w:val="0"/>
      <w:sz w:val="24"/>
      <w:szCs w:val="20"/>
    </w:rPr>
  </w:style>
  <w:style w:type="paragraph" w:customStyle="1" w:styleId="34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348">
    <w:name w:val="Char Char Char Char1"/>
    <w:basedOn w:val="1"/>
    <w:autoRedefine/>
    <w:qFormat/>
    <w:uiPriority w:val="0"/>
  </w:style>
  <w:style w:type="paragraph" w:customStyle="1" w:styleId="349">
    <w:name w:val="正文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0">
    <w:name w:val="我的标题2"/>
    <w:basedOn w:val="200"/>
    <w:next w:val="200"/>
    <w:autoRedefine/>
    <w:qFormat/>
    <w:uiPriority w:val="0"/>
    <w:pPr>
      <w:tabs>
        <w:tab w:val="left" w:pos="576"/>
        <w:tab w:val="left" w:pos="630"/>
      </w:tabs>
      <w:spacing w:before="100" w:beforeAutospacing="1" w:after="100" w:afterAutospacing="1"/>
      <w:ind w:left="576" w:hanging="576" w:firstLineChars="0"/>
      <w:jc w:val="left"/>
      <w:outlineLvl w:val="1"/>
    </w:pPr>
    <w:rPr>
      <w:rFonts w:eastAsia="黑体"/>
      <w:sz w:val="36"/>
      <w:szCs w:val="36"/>
      <w:lang w:val="en-US"/>
    </w:rPr>
  </w:style>
  <w:style w:type="paragraph" w:customStyle="1" w:styleId="351">
    <w:name w:val="标一"/>
    <w:next w:val="1"/>
    <w:autoRedefine/>
    <w:qFormat/>
    <w:uiPriority w:val="0"/>
    <w:pPr>
      <w:pageBreakBefore/>
      <w:pBdr>
        <w:bottom w:val="single" w:color="auto" w:sz="4" w:space="6"/>
      </w:pBdr>
      <w:spacing w:afterLines="150" w:line="360" w:lineRule="auto"/>
      <w:ind w:left="794" w:hanging="794"/>
      <w:outlineLvl w:val="0"/>
    </w:pPr>
    <w:rPr>
      <w:rFonts w:ascii="宋体" w:hAnsi="宋体" w:eastAsia="宋体" w:cs="宋体"/>
      <w:b/>
      <w:bCs/>
      <w:kern w:val="44"/>
      <w:sz w:val="24"/>
      <w:szCs w:val="24"/>
      <w:lang w:val="en-US" w:eastAsia="zh-CN" w:bidi="ar-SA"/>
    </w:rPr>
  </w:style>
  <w:style w:type="paragraph" w:customStyle="1" w:styleId="352">
    <w:name w:val="刊登"/>
    <w:basedOn w:val="1"/>
    <w:autoRedefine/>
    <w:qFormat/>
    <w:uiPriority w:val="0"/>
    <w:pPr>
      <w:ind w:firstLine="588"/>
    </w:pPr>
    <w:rPr>
      <w:sz w:val="30"/>
    </w:rPr>
  </w:style>
  <w:style w:type="paragraph" w:customStyle="1" w:styleId="353">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54">
    <w:name w:val="菲页1"/>
    <w:basedOn w:val="3"/>
    <w:autoRedefine/>
    <w:qFormat/>
    <w:uiPriority w:val="0"/>
    <w:rPr>
      <w:rFonts w:ascii="黑体"/>
      <w:b w:val="0"/>
      <w:sz w:val="52"/>
    </w:rPr>
  </w:style>
  <w:style w:type="paragraph" w:customStyle="1" w:styleId="355">
    <w:name w:val="bigred"/>
    <w:basedOn w:val="1"/>
    <w:autoRedefine/>
    <w:qFormat/>
    <w:uiPriority w:val="0"/>
    <w:pPr>
      <w:widowControl/>
      <w:spacing w:before="100" w:beforeAutospacing="1" w:after="100" w:afterAutospacing="1"/>
      <w:jc w:val="left"/>
    </w:pPr>
    <w:rPr>
      <w:rFonts w:ascii="Helvetica" w:hAnsi="Helvetica" w:cs="Helvetica"/>
      <w:b/>
      <w:bCs/>
      <w:color w:val="FF0000"/>
      <w:kern w:val="0"/>
      <w:sz w:val="26"/>
      <w:szCs w:val="26"/>
    </w:rPr>
  </w:style>
  <w:style w:type="paragraph" w:customStyle="1" w:styleId="356">
    <w:name w:val="subwhite"/>
    <w:basedOn w:val="1"/>
    <w:autoRedefine/>
    <w:qFormat/>
    <w:uiPriority w:val="0"/>
    <w:pPr>
      <w:widowControl/>
      <w:spacing w:before="100" w:beforeAutospacing="1" w:after="100" w:afterAutospacing="1"/>
      <w:jc w:val="left"/>
    </w:pPr>
    <w:rPr>
      <w:rFonts w:ascii="Helvetica" w:hAnsi="Helvetica" w:cs="Helvetica"/>
      <w:b/>
      <w:bCs/>
      <w:color w:val="FFFFFF"/>
      <w:kern w:val="0"/>
      <w:sz w:val="26"/>
      <w:szCs w:val="26"/>
    </w:rPr>
  </w:style>
  <w:style w:type="paragraph" w:customStyle="1" w:styleId="357">
    <w:name w:val="封面标题"/>
    <w:basedOn w:val="1"/>
    <w:autoRedefine/>
    <w:qFormat/>
    <w:uiPriority w:val="0"/>
    <w:pPr>
      <w:spacing w:beforeLines="50"/>
      <w:jc w:val="center"/>
    </w:pPr>
    <w:rPr>
      <w:rFonts w:eastAsia="黑体"/>
      <w:szCs w:val="21"/>
    </w:rPr>
  </w:style>
  <w:style w:type="paragraph" w:customStyle="1" w:styleId="358">
    <w:name w:val="shoppingcart"/>
    <w:basedOn w:val="1"/>
    <w:autoRedefine/>
    <w:qFormat/>
    <w:uiPriority w:val="0"/>
    <w:pPr>
      <w:widowControl/>
      <w:spacing w:before="100" w:beforeAutospacing="1" w:after="100" w:afterAutospacing="1"/>
      <w:jc w:val="left"/>
    </w:pPr>
    <w:rPr>
      <w:rFonts w:ascii="Arial" w:hAnsi="Arial" w:cs="Arial"/>
      <w:b/>
      <w:bCs/>
      <w:kern w:val="0"/>
      <w:sz w:val="15"/>
      <w:szCs w:val="15"/>
    </w:rPr>
  </w:style>
  <w:style w:type="paragraph" w:customStyle="1" w:styleId="359">
    <w:name w:val="font10"/>
    <w:basedOn w:val="1"/>
    <w:autoRedefine/>
    <w:qFormat/>
    <w:uiPriority w:val="0"/>
    <w:pPr>
      <w:widowControl/>
      <w:spacing w:before="100" w:beforeAutospacing="1" w:after="100" w:afterAutospacing="1"/>
      <w:jc w:val="left"/>
    </w:pPr>
    <w:rPr>
      <w:rFonts w:eastAsia="Arial Unicode MS"/>
      <w:b/>
      <w:bCs/>
      <w:kern w:val="0"/>
      <w:sz w:val="24"/>
    </w:rPr>
  </w:style>
  <w:style w:type="paragraph" w:customStyle="1" w:styleId="360">
    <w:name w:val="whitesmall"/>
    <w:basedOn w:val="1"/>
    <w:autoRedefine/>
    <w:qFormat/>
    <w:uiPriority w:val="0"/>
    <w:pPr>
      <w:widowControl/>
      <w:spacing w:before="100" w:beforeAutospacing="1" w:after="100" w:afterAutospacing="1"/>
      <w:jc w:val="left"/>
    </w:pPr>
    <w:rPr>
      <w:rFonts w:ascii="Arial" w:hAnsi="Arial" w:cs="Arial"/>
      <w:color w:val="FFFFFF"/>
      <w:kern w:val="0"/>
      <w:sz w:val="16"/>
      <w:szCs w:val="16"/>
    </w:rPr>
  </w:style>
  <w:style w:type="paragraph" w:customStyle="1" w:styleId="361">
    <w:name w:val="Char Char Char1"/>
    <w:basedOn w:val="1"/>
    <w:autoRedefine/>
    <w:qFormat/>
    <w:uiPriority w:val="0"/>
    <w:rPr>
      <w:szCs w:val="22"/>
    </w:rPr>
  </w:style>
  <w:style w:type="paragraph" w:customStyle="1" w:styleId="362">
    <w:name w:val="样式 标题 4 + (西文) Times New Roman (中文) 宋体 (复杂脚本) Times New Roman..."/>
    <w:basedOn w:val="5"/>
    <w:autoRedefine/>
    <w:qFormat/>
    <w:uiPriority w:val="0"/>
    <w:pPr>
      <w:keepLines w:val="0"/>
      <w:numPr>
        <w:ilvl w:val="3"/>
        <w:numId w:val="1"/>
      </w:numPr>
      <w:tabs>
        <w:tab w:val="left" w:pos="1224"/>
      </w:tabs>
      <w:spacing w:before="60" w:line="377" w:lineRule="auto"/>
      <w:jc w:val="left"/>
    </w:pPr>
    <w:rPr>
      <w:rFonts w:ascii="Times New Roman" w:hAnsi="Times New Roman" w:eastAsia="仿宋_GB2312"/>
      <w:b/>
      <w:bCs/>
      <w:kern w:val="2"/>
      <w:sz w:val="24"/>
      <w:szCs w:val="28"/>
      <w:u w:val="single"/>
    </w:rPr>
  </w:style>
  <w:style w:type="paragraph" w:customStyle="1" w:styleId="363">
    <w:name w:val="样式 标题 1 + 黑体 三号 非加粗 居中 段前: 6 磅 段后: 6 磅 行距: 固定值 20 磅"/>
    <w:basedOn w:val="2"/>
    <w:autoRedefine/>
    <w:qFormat/>
    <w:uiPriority w:val="0"/>
    <w:pPr>
      <w:keepLines/>
      <w:widowControl w:val="0"/>
      <w:numPr>
        <w:numId w:val="0"/>
      </w:numPr>
      <w:spacing w:before="120" w:after="120" w:line="400" w:lineRule="exact"/>
    </w:pPr>
    <w:rPr>
      <w:rFonts w:hAnsi="黑体" w:cs="宋体"/>
      <w:kern w:val="44"/>
      <w:sz w:val="32"/>
    </w:rPr>
  </w:style>
  <w:style w:type="paragraph" w:customStyle="1" w:styleId="364">
    <w:name w:val="red"/>
    <w:basedOn w:val="1"/>
    <w:autoRedefine/>
    <w:qFormat/>
    <w:uiPriority w:val="0"/>
    <w:pPr>
      <w:widowControl/>
      <w:spacing w:before="100" w:beforeAutospacing="1" w:after="100" w:afterAutospacing="1"/>
      <w:jc w:val="left"/>
    </w:pPr>
    <w:rPr>
      <w:rFonts w:ascii="Arial" w:hAnsi="Arial" w:cs="Arial"/>
      <w:color w:val="FF0000"/>
      <w:kern w:val="0"/>
      <w:sz w:val="20"/>
      <w:szCs w:val="20"/>
    </w:rPr>
  </w:style>
  <w:style w:type="paragraph" w:customStyle="1" w:styleId="365">
    <w:name w:val="xl22"/>
    <w:basedOn w:val="1"/>
    <w:autoRedefine/>
    <w:qFormat/>
    <w:uiPriority w:val="0"/>
    <w:pPr>
      <w:widowControl/>
      <w:spacing w:before="100" w:beforeAutospacing="1" w:after="100" w:afterAutospacing="1"/>
      <w:jc w:val="center"/>
    </w:pPr>
    <w:rPr>
      <w:rFonts w:ascii="Arial Unicode MS" w:hAnsi="Arial Unicode MS" w:eastAsia="Arial Unicode MS" w:cs="Arial Unicode MS"/>
      <w:kern w:val="0"/>
      <w:sz w:val="32"/>
      <w:szCs w:val="32"/>
    </w:rPr>
  </w:style>
  <w:style w:type="paragraph" w:customStyle="1" w:styleId="366">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36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68">
    <w:name w:val="菲页(卷)"/>
    <w:basedOn w:val="2"/>
    <w:next w:val="206"/>
    <w:autoRedefine/>
    <w:qFormat/>
    <w:uiPriority w:val="0"/>
    <w:pPr>
      <w:outlineLvl w:val="1"/>
    </w:pPr>
  </w:style>
  <w:style w:type="paragraph" w:customStyle="1" w:styleId="369">
    <w:name w:val="xl39"/>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70">
    <w:name w:val="Revision1"/>
    <w:autoRedefine/>
    <w:qFormat/>
    <w:uiPriority w:val="0"/>
    <w:rPr>
      <w:rFonts w:ascii="Times New Roman" w:hAnsi="Times New Roman" w:eastAsia="宋体" w:cs="Times New Roman"/>
      <w:kern w:val="2"/>
      <w:sz w:val="21"/>
      <w:szCs w:val="24"/>
      <w:lang w:val="en-US" w:eastAsia="zh-CN" w:bidi="ar-SA"/>
    </w:rPr>
  </w:style>
  <w:style w:type="table" w:customStyle="1" w:styleId="371">
    <w:name w:val="网格型1"/>
    <w:basedOn w:val="60"/>
    <w:autoRedefine/>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72">
    <w:name w:val="hover24"/>
    <w:basedOn w:val="62"/>
    <w:autoRedefine/>
    <w:qFormat/>
    <w:uiPriority w:val="0"/>
  </w:style>
  <w:style w:type="character" w:customStyle="1" w:styleId="373">
    <w:name w:val="hover25"/>
    <w:basedOn w:val="62"/>
    <w:autoRedefine/>
    <w:qFormat/>
    <w:uiPriority w:val="0"/>
    <w:rPr>
      <w:color w:val="315EFB"/>
    </w:rPr>
  </w:style>
  <w:style w:type="character" w:customStyle="1" w:styleId="374">
    <w:name w:val="hover26"/>
    <w:basedOn w:val="62"/>
    <w:autoRedefine/>
    <w:qFormat/>
    <w:uiPriority w:val="0"/>
    <w:rPr>
      <w:color w:val="315EFB"/>
      <w:shd w:val="clear" w:color="auto" w:fill="F0F3FD"/>
    </w:rPr>
  </w:style>
  <w:style w:type="character" w:customStyle="1" w:styleId="375">
    <w:name w:val="c-icon28"/>
    <w:basedOn w:val="62"/>
    <w:autoRedefine/>
    <w:qFormat/>
    <w:uiPriority w:val="0"/>
  </w:style>
  <w:style w:type="character" w:customStyle="1" w:styleId="376">
    <w:name w:val="列表段落 字符"/>
    <w:basedOn w:val="62"/>
    <w:link w:val="182"/>
    <w:autoRedefine/>
    <w:qFormat/>
    <w:uiPriority w:val="34"/>
    <w:rPr>
      <w:rFonts w:ascii="Calibri" w:hAnsi="Calibri"/>
      <w:kern w:val="2"/>
      <w:sz w:val="21"/>
      <w:szCs w:val="22"/>
    </w:rPr>
  </w:style>
  <w:style w:type="paragraph" w:customStyle="1" w:styleId="377">
    <w:name w:val="Normal_0"/>
    <w:autoRedefine/>
    <w:qFormat/>
    <w:uiPriority w:val="0"/>
    <w:pPr>
      <w:widowControl w:val="0"/>
      <w:jc w:val="both"/>
    </w:pPr>
    <w:rPr>
      <w:rFonts w:ascii="Calibri" w:hAnsi="Calibri" w:eastAsia="宋体" w:cs="Times New Roman"/>
      <w:lang w:val="en-US" w:eastAsia="zh-CN" w:bidi="ar-SA"/>
    </w:rPr>
  </w:style>
  <w:style w:type="paragraph" w:customStyle="1" w:styleId="378">
    <w:name w:val="Normal_212"/>
    <w:autoRedefine/>
    <w:qFormat/>
    <w:uiPriority w:val="0"/>
    <w:pPr>
      <w:widowControl w:val="0"/>
      <w:jc w:val="both"/>
    </w:pPr>
    <w:rPr>
      <w:rFonts w:ascii="Times New Roman" w:hAnsi="Times New Roman" w:eastAsia="宋体" w:cs="Times New Roman"/>
      <w:szCs w:val="21"/>
      <w:lang w:val="en-US" w:eastAsia="zh-CN" w:bidi="ar-SA"/>
    </w:rPr>
  </w:style>
  <w:style w:type="paragraph" w:customStyle="1" w:styleId="379">
    <w:name w:val="Normal_213"/>
    <w:autoRedefine/>
    <w:qFormat/>
    <w:uiPriority w:val="0"/>
    <w:pPr>
      <w:widowControl w:val="0"/>
      <w:jc w:val="both"/>
    </w:pPr>
    <w:rPr>
      <w:rFonts w:ascii="Times New Roman" w:hAnsi="Times New Roman" w:eastAsia="宋体" w:cs="Times New Roman"/>
      <w:szCs w:val="21"/>
      <w:lang w:val="en-US" w:eastAsia="zh-CN" w:bidi="ar-SA"/>
    </w:rPr>
  </w:style>
  <w:style w:type="paragraph" w:customStyle="1" w:styleId="380">
    <w:name w:val="Normal_214"/>
    <w:autoRedefine/>
    <w:qFormat/>
    <w:uiPriority w:val="0"/>
    <w:pPr>
      <w:widowControl w:val="0"/>
      <w:jc w:val="both"/>
    </w:pPr>
    <w:rPr>
      <w:rFonts w:ascii="Times New Roman" w:hAnsi="Times New Roman" w:eastAsia="宋体" w:cs="Times New Roman"/>
      <w:szCs w:val="21"/>
      <w:lang w:val="en-US" w:eastAsia="zh-CN" w:bidi="ar-SA"/>
    </w:rPr>
  </w:style>
  <w:style w:type="paragraph" w:customStyle="1" w:styleId="381">
    <w:name w:val="Normal_215"/>
    <w:autoRedefine/>
    <w:qFormat/>
    <w:uiPriority w:val="0"/>
    <w:pPr>
      <w:widowControl w:val="0"/>
      <w:jc w:val="both"/>
    </w:pPr>
    <w:rPr>
      <w:rFonts w:ascii="Times New Roman" w:hAnsi="Times New Roman" w:eastAsia="宋体" w:cs="Times New Roman"/>
      <w:szCs w:val="21"/>
      <w:lang w:val="en-US" w:eastAsia="zh-CN" w:bidi="ar-SA"/>
    </w:rPr>
  </w:style>
  <w:style w:type="paragraph" w:customStyle="1" w:styleId="382">
    <w:name w:val="Normal_216"/>
    <w:autoRedefine/>
    <w:qFormat/>
    <w:uiPriority w:val="0"/>
    <w:pPr>
      <w:widowControl w:val="0"/>
      <w:jc w:val="both"/>
    </w:pPr>
    <w:rPr>
      <w:rFonts w:ascii="Times New Roman" w:hAnsi="Times New Roman" w:eastAsia="宋体" w:cs="Times New Roman"/>
      <w:szCs w:val="21"/>
      <w:lang w:val="en-US" w:eastAsia="zh-CN" w:bidi="ar-SA"/>
    </w:rPr>
  </w:style>
  <w:style w:type="paragraph" w:customStyle="1" w:styleId="383">
    <w:name w:val="Normal_217"/>
    <w:autoRedefine/>
    <w:qFormat/>
    <w:uiPriority w:val="0"/>
    <w:pPr>
      <w:widowControl w:val="0"/>
      <w:jc w:val="both"/>
    </w:pPr>
    <w:rPr>
      <w:rFonts w:ascii="Times New Roman" w:hAnsi="Times New Roman" w:eastAsia="宋体" w:cs="Times New Roman"/>
      <w:szCs w:val="21"/>
      <w:lang w:val="en-US" w:eastAsia="zh-CN" w:bidi="ar-SA"/>
    </w:rPr>
  </w:style>
  <w:style w:type="paragraph" w:customStyle="1" w:styleId="384">
    <w:name w:val="Normal_218"/>
    <w:autoRedefine/>
    <w:qFormat/>
    <w:uiPriority w:val="0"/>
    <w:pPr>
      <w:widowControl w:val="0"/>
      <w:jc w:val="both"/>
    </w:pPr>
    <w:rPr>
      <w:rFonts w:ascii="Times New Roman" w:hAnsi="Times New Roman" w:eastAsia="宋体" w:cs="Times New Roman"/>
      <w:szCs w:val="21"/>
      <w:lang w:val="en-US" w:eastAsia="zh-CN" w:bidi="ar-SA"/>
    </w:rPr>
  </w:style>
  <w:style w:type="paragraph" w:customStyle="1" w:styleId="385">
    <w:name w:val="正文_16"/>
    <w:basedOn w:val="1"/>
    <w:autoRedefine/>
    <w:qFormat/>
    <w:uiPriority w:val="0"/>
    <w:pPr>
      <w:widowControl/>
      <w:jc w:val="left"/>
    </w:pPr>
    <w:rPr>
      <w:kern w:val="0"/>
      <w:szCs w:val="21"/>
    </w:rPr>
  </w:style>
  <w:style w:type="paragraph" w:customStyle="1" w:styleId="386">
    <w:name w:val="Body text|1"/>
    <w:basedOn w:val="1"/>
    <w:autoRedefine/>
    <w:qFormat/>
    <w:uiPriority w:val="0"/>
    <w:pPr>
      <w:spacing w:line="420" w:lineRule="auto"/>
      <w:ind w:firstLine="400"/>
    </w:pPr>
    <w:rPr>
      <w:rFonts w:ascii="宋体" w:hAnsi="宋体" w:cs="宋体"/>
      <w:sz w:val="30"/>
      <w:szCs w:val="30"/>
      <w:lang w:val="zh-TW" w:eastAsia="zh-TW" w:bidi="zh-TW"/>
    </w:rPr>
  </w:style>
  <w:style w:type="paragraph" w:customStyle="1" w:styleId="387">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47D10-25A8-4839-B41F-42D2DF1157E8}">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69</Pages>
  <Words>16136</Words>
  <Characters>17068</Characters>
  <Lines>1616</Lines>
  <Paragraphs>1691</Paragraphs>
  <TotalTime>36</TotalTime>
  <ScaleCrop>false</ScaleCrop>
  <LinksUpToDate>false</LinksUpToDate>
  <CharactersWithSpaces>17283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2023-08-04T06:05:00Z</dcterms:created>
  <dc:creator>MC SYSTEM</dc:creator>
  <cp:lastModifiedBy>Lenovo</cp:lastModifiedBy>
  <cp:lastPrinted>2017-05-19T08:16:00Z</cp:lastPrinted>
  <dcterms:modified xsi:type="dcterms:W3CDTF">2026-05-19T04:38:59Z</dcterms:modified>
  <dc:title>一、什么是竞争性谈判</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5EB852EA3098428EB341A822D3D827B9</vt:lpwstr>
  </property>
  <property fmtid="{D5CDD505-2E9C-101B-9397-08002B2CF9AE}" pid="4" name="KSOTemplateDocerSaveRecord">
    <vt:lpwstr>eyJoZGlkIjoiMWU5MjkxYWNmMzRmODk3NDc2ZDUxYzYxYjc5YzYyMjUiLCJ1c2VySWQiOiIyODk0NTQ5MjkifQ==</vt:lpwstr>
  </property>
</Properties>
</file>