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6C5D9F4">
      <w:pPr>
        <w:jc w:val="center"/>
        <w:rPr>
          <w:rFonts w:hint="eastAsia" w:ascii="华文中宋" w:hAnsi="华文中宋" w:eastAsia="华文中宋" w:cs="华文中宋"/>
          <w:b/>
          <w:color w:val="auto"/>
          <w:spacing w:val="-20"/>
          <w:sz w:val="40"/>
          <w:szCs w:val="40"/>
        </w:rPr>
      </w:pPr>
    </w:p>
    <w:p w14:paraId="1D5B9D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b/>
          <w:color w:val="auto"/>
          <w:spacing w:val="0"/>
          <w:sz w:val="36"/>
          <w:szCs w:val="44"/>
          <w:lang w:eastAsia="zh-CN"/>
        </w:rPr>
      </w:pPr>
      <w:r>
        <w:rPr>
          <w:rFonts w:hint="eastAsia" w:ascii="华文中宋" w:hAnsi="华文中宋" w:eastAsia="华文中宋" w:cs="华文中宋"/>
          <w:b/>
          <w:color w:val="auto"/>
          <w:spacing w:val="0"/>
          <w:sz w:val="40"/>
          <w:szCs w:val="48"/>
          <w:lang w:eastAsia="zh-CN"/>
        </w:rPr>
        <w:t>运城市公安局运城经济技术开发区分局执法办案管理中心提质增效项目</w:t>
      </w:r>
    </w:p>
    <w:p w14:paraId="26CAA4EB">
      <w:pPr>
        <w:spacing w:line="720" w:lineRule="auto"/>
        <w:jc w:val="center"/>
        <w:rPr>
          <w:rFonts w:hint="eastAsia" w:ascii="华文中宋" w:hAnsi="华文中宋" w:eastAsia="华文中宋" w:cs="华文中宋"/>
          <w:b/>
          <w:color w:val="auto"/>
          <w:sz w:val="32"/>
          <w:szCs w:val="32"/>
          <w:lang w:eastAsia="zh-CN"/>
        </w:rPr>
      </w:pPr>
      <w:r>
        <w:rPr>
          <w:rFonts w:hint="eastAsia" w:ascii="华文中宋" w:hAnsi="华文中宋" w:eastAsia="华文中宋" w:cs="华文中宋"/>
          <w:b/>
          <w:color w:val="auto"/>
          <w:sz w:val="44"/>
          <w:szCs w:val="44"/>
          <w:lang w:eastAsia="zh-CN"/>
        </w:rPr>
        <w:t>（</w:t>
      </w:r>
      <w:r>
        <w:rPr>
          <w:rFonts w:hint="eastAsia" w:ascii="华文中宋" w:hAnsi="华文中宋" w:eastAsia="华文中宋" w:cs="华文中宋"/>
          <w:b/>
          <w:color w:val="auto"/>
          <w:sz w:val="32"/>
          <w:szCs w:val="32"/>
        </w:rPr>
        <w:t>项目编号:</w:t>
      </w:r>
      <w:r>
        <w:rPr>
          <w:rFonts w:hint="eastAsia" w:ascii="华文中宋" w:hAnsi="华文中宋" w:eastAsia="华文中宋" w:cs="华文中宋"/>
          <w:b/>
          <w:color w:val="auto"/>
          <w:sz w:val="32"/>
          <w:szCs w:val="32"/>
          <w:lang w:eastAsia="zh-CN"/>
        </w:rPr>
        <w:t>1408832026AGK00018</w:t>
      </w:r>
      <w:r>
        <w:rPr>
          <w:rFonts w:hint="eastAsia" w:ascii="华文中宋" w:hAnsi="华文中宋" w:eastAsia="华文中宋" w:cs="华文中宋"/>
          <w:b/>
          <w:color w:val="auto"/>
          <w:sz w:val="44"/>
          <w:szCs w:val="44"/>
          <w:lang w:eastAsia="zh-CN"/>
        </w:rPr>
        <w:t>）</w:t>
      </w:r>
    </w:p>
    <w:p w14:paraId="79DEF229">
      <w:pPr>
        <w:pStyle w:val="13"/>
        <w:rPr>
          <w:rFonts w:hint="eastAsia" w:ascii="华文中宋" w:hAnsi="华文中宋" w:eastAsia="华文中宋" w:cs="华文中宋"/>
          <w:color w:val="auto"/>
        </w:rPr>
      </w:pPr>
    </w:p>
    <w:p w14:paraId="7EC2D6BE">
      <w:pPr>
        <w:jc w:val="center"/>
        <w:rPr>
          <w:rFonts w:hint="eastAsia" w:ascii="华文中宋" w:hAnsi="华文中宋" w:eastAsia="华文中宋" w:cs="华文中宋"/>
          <w:b/>
          <w:color w:val="auto"/>
          <w:sz w:val="72"/>
          <w:szCs w:val="72"/>
        </w:rPr>
      </w:pPr>
      <w:r>
        <w:rPr>
          <w:rFonts w:hint="eastAsia" w:ascii="华文中宋" w:hAnsi="华文中宋" w:eastAsia="华文中宋" w:cs="华文中宋"/>
          <w:b/>
          <w:color w:val="auto"/>
          <w:sz w:val="72"/>
          <w:szCs w:val="72"/>
        </w:rPr>
        <w:t>招</w:t>
      </w:r>
    </w:p>
    <w:p w14:paraId="192C01BC">
      <w:pPr>
        <w:jc w:val="center"/>
        <w:rPr>
          <w:rFonts w:hint="eastAsia" w:ascii="华文中宋" w:hAnsi="华文中宋" w:eastAsia="华文中宋" w:cs="华文中宋"/>
          <w:b/>
          <w:color w:val="auto"/>
          <w:sz w:val="72"/>
          <w:szCs w:val="72"/>
        </w:rPr>
      </w:pPr>
      <w:r>
        <w:rPr>
          <w:rFonts w:hint="eastAsia" w:ascii="华文中宋" w:hAnsi="华文中宋" w:eastAsia="华文中宋" w:cs="华文中宋"/>
          <w:b/>
          <w:color w:val="auto"/>
          <w:sz w:val="72"/>
          <w:szCs w:val="72"/>
        </w:rPr>
        <w:t>标</w:t>
      </w:r>
    </w:p>
    <w:p w14:paraId="65F59449">
      <w:pPr>
        <w:jc w:val="center"/>
        <w:rPr>
          <w:rFonts w:hint="eastAsia" w:ascii="华文中宋" w:hAnsi="华文中宋" w:eastAsia="华文中宋" w:cs="华文中宋"/>
          <w:b/>
          <w:color w:val="auto"/>
          <w:sz w:val="72"/>
          <w:szCs w:val="72"/>
        </w:rPr>
      </w:pPr>
      <w:r>
        <w:rPr>
          <w:rFonts w:hint="eastAsia" w:ascii="华文中宋" w:hAnsi="华文中宋" w:eastAsia="华文中宋" w:cs="华文中宋"/>
          <w:b/>
          <w:color w:val="auto"/>
          <w:sz w:val="72"/>
          <w:szCs w:val="72"/>
        </w:rPr>
        <w:t>文</w:t>
      </w:r>
    </w:p>
    <w:p w14:paraId="0895ADB2">
      <w:pPr>
        <w:jc w:val="center"/>
        <w:rPr>
          <w:rFonts w:hint="eastAsia" w:ascii="华文中宋" w:hAnsi="华文中宋" w:eastAsia="华文中宋" w:cs="华文中宋"/>
          <w:b/>
          <w:color w:val="auto"/>
          <w:sz w:val="72"/>
          <w:szCs w:val="72"/>
        </w:rPr>
      </w:pPr>
      <w:r>
        <w:rPr>
          <w:rFonts w:hint="eastAsia" w:ascii="华文中宋" w:hAnsi="华文中宋" w:eastAsia="华文中宋" w:cs="华文中宋"/>
          <w:b/>
          <w:color w:val="auto"/>
          <w:sz w:val="72"/>
          <w:szCs w:val="72"/>
        </w:rPr>
        <w:t>件</w:t>
      </w:r>
    </w:p>
    <w:p w14:paraId="03B635F7">
      <w:pPr>
        <w:jc w:val="center"/>
        <w:rPr>
          <w:rFonts w:hint="eastAsia" w:ascii="华文中宋" w:hAnsi="华文中宋" w:eastAsia="华文中宋" w:cs="华文中宋"/>
          <w:b/>
          <w:color w:val="auto"/>
          <w:sz w:val="36"/>
          <w:szCs w:val="36"/>
        </w:rPr>
      </w:pPr>
    </w:p>
    <w:p w14:paraId="51511B68">
      <w:pPr>
        <w:keepNext w:val="0"/>
        <w:keepLines w:val="0"/>
        <w:pageBreakBefore w:val="0"/>
        <w:widowControl w:val="0"/>
        <w:kinsoku/>
        <w:wordWrap/>
        <w:overflowPunct/>
        <w:topLinePunct w:val="0"/>
        <w:autoSpaceDE/>
        <w:autoSpaceDN/>
        <w:bidi w:val="0"/>
        <w:adjustRightInd/>
        <w:snapToGrid/>
        <w:ind w:firstLine="1922" w:firstLineChars="600"/>
        <w:jc w:val="both"/>
        <w:textAlignment w:val="auto"/>
        <w:rPr>
          <w:rFonts w:hint="eastAsia" w:ascii="华文中宋" w:hAnsi="华文中宋" w:eastAsia="华文中宋" w:cs="华文中宋"/>
          <w:b/>
          <w:color w:val="auto"/>
          <w:sz w:val="32"/>
          <w:szCs w:val="32"/>
        </w:rPr>
      </w:pPr>
    </w:p>
    <w:p w14:paraId="5EA7AA25">
      <w:pPr>
        <w:keepNext w:val="0"/>
        <w:keepLines w:val="0"/>
        <w:pageBreakBefore w:val="0"/>
        <w:widowControl w:val="0"/>
        <w:kinsoku/>
        <w:wordWrap/>
        <w:overflowPunct/>
        <w:topLinePunct w:val="0"/>
        <w:autoSpaceDE/>
        <w:autoSpaceDN/>
        <w:bidi w:val="0"/>
        <w:adjustRightInd/>
        <w:snapToGrid/>
        <w:ind w:firstLine="961" w:firstLineChars="300"/>
        <w:jc w:val="both"/>
        <w:textAlignment w:val="auto"/>
        <w:rPr>
          <w:rFonts w:hint="eastAsia" w:ascii="华文中宋" w:hAnsi="华文中宋" w:eastAsia="华文中宋" w:cs="华文中宋"/>
          <w:b/>
          <w:color w:val="auto"/>
          <w:sz w:val="32"/>
          <w:szCs w:val="32"/>
        </w:rPr>
      </w:pPr>
    </w:p>
    <w:p w14:paraId="3BDF37CA">
      <w:pPr>
        <w:keepNext w:val="0"/>
        <w:keepLines w:val="0"/>
        <w:pageBreakBefore w:val="0"/>
        <w:widowControl w:val="0"/>
        <w:kinsoku/>
        <w:wordWrap/>
        <w:overflowPunct/>
        <w:topLinePunct w:val="0"/>
        <w:autoSpaceDE/>
        <w:autoSpaceDN/>
        <w:bidi w:val="0"/>
        <w:adjustRightInd/>
        <w:snapToGrid/>
        <w:ind w:firstLine="961" w:firstLineChars="300"/>
        <w:jc w:val="both"/>
        <w:textAlignment w:val="auto"/>
        <w:rPr>
          <w:rFonts w:hint="eastAsia" w:ascii="华文中宋" w:hAnsi="华文中宋" w:eastAsia="华文中宋" w:cs="华文中宋"/>
          <w:b/>
          <w:color w:val="auto"/>
          <w:sz w:val="32"/>
          <w:szCs w:val="32"/>
        </w:rPr>
      </w:pPr>
    </w:p>
    <w:p w14:paraId="4D1B8D56">
      <w:pPr>
        <w:keepNext w:val="0"/>
        <w:keepLines w:val="0"/>
        <w:pageBreakBefore w:val="0"/>
        <w:widowControl w:val="0"/>
        <w:kinsoku/>
        <w:wordWrap/>
        <w:overflowPunct/>
        <w:topLinePunct w:val="0"/>
        <w:autoSpaceDE/>
        <w:autoSpaceDN/>
        <w:bidi w:val="0"/>
        <w:adjustRightInd/>
        <w:snapToGrid/>
        <w:ind w:firstLine="961" w:firstLineChars="300"/>
        <w:jc w:val="both"/>
        <w:textAlignment w:val="auto"/>
        <w:rPr>
          <w:rFonts w:hint="eastAsia" w:ascii="华文中宋" w:hAnsi="华文中宋" w:eastAsia="华文中宋" w:cs="华文中宋"/>
          <w:b/>
          <w:color w:val="auto"/>
          <w:sz w:val="32"/>
          <w:szCs w:val="32"/>
          <w:lang w:eastAsia="zh-CN"/>
        </w:rPr>
      </w:pPr>
      <w:r>
        <w:rPr>
          <w:rFonts w:hint="eastAsia" w:ascii="华文中宋" w:hAnsi="华文中宋" w:eastAsia="华文中宋" w:cs="华文中宋"/>
          <w:b/>
          <w:color w:val="auto"/>
          <w:sz w:val="32"/>
          <w:szCs w:val="32"/>
        </w:rPr>
        <w:t>采</w:t>
      </w:r>
      <w:r>
        <w:rPr>
          <w:rFonts w:hint="eastAsia" w:ascii="华文中宋" w:hAnsi="华文中宋" w:eastAsia="华文中宋" w:cs="华文中宋"/>
          <w:b/>
          <w:color w:val="auto"/>
          <w:sz w:val="32"/>
          <w:szCs w:val="32"/>
          <w:lang w:val="en-US" w:eastAsia="zh-CN"/>
        </w:rPr>
        <w:t xml:space="preserve">   </w:t>
      </w:r>
      <w:r>
        <w:rPr>
          <w:rFonts w:hint="eastAsia" w:ascii="华文中宋" w:hAnsi="华文中宋" w:eastAsia="华文中宋" w:cs="华文中宋"/>
          <w:b/>
          <w:color w:val="auto"/>
          <w:sz w:val="32"/>
          <w:szCs w:val="32"/>
        </w:rPr>
        <w:t>购</w:t>
      </w:r>
      <w:r>
        <w:rPr>
          <w:rFonts w:hint="eastAsia" w:ascii="华文中宋" w:hAnsi="华文中宋" w:eastAsia="华文中宋" w:cs="华文中宋"/>
          <w:b/>
          <w:color w:val="auto"/>
          <w:sz w:val="32"/>
          <w:szCs w:val="32"/>
          <w:lang w:val="en-US" w:eastAsia="zh-CN"/>
        </w:rPr>
        <w:t xml:space="preserve">   </w:t>
      </w:r>
      <w:r>
        <w:rPr>
          <w:rFonts w:hint="eastAsia" w:ascii="华文中宋" w:hAnsi="华文中宋" w:eastAsia="华文中宋" w:cs="华文中宋"/>
          <w:b/>
          <w:color w:val="auto"/>
          <w:sz w:val="32"/>
          <w:szCs w:val="32"/>
        </w:rPr>
        <w:t>人：</w:t>
      </w:r>
      <w:r>
        <w:rPr>
          <w:rFonts w:hint="eastAsia" w:ascii="华文中宋" w:hAnsi="华文中宋" w:eastAsia="华文中宋" w:cs="华文中宋"/>
          <w:b/>
          <w:color w:val="auto"/>
          <w:sz w:val="32"/>
          <w:szCs w:val="32"/>
          <w:lang w:eastAsia="zh-CN"/>
        </w:rPr>
        <w:t>运城市公安局运城经济技术开发区分局</w:t>
      </w:r>
    </w:p>
    <w:p w14:paraId="2E7BC09C">
      <w:pPr>
        <w:keepNext w:val="0"/>
        <w:keepLines w:val="0"/>
        <w:pageBreakBefore w:val="0"/>
        <w:widowControl w:val="0"/>
        <w:kinsoku/>
        <w:wordWrap/>
        <w:overflowPunct/>
        <w:topLinePunct w:val="0"/>
        <w:autoSpaceDE/>
        <w:autoSpaceDN/>
        <w:bidi w:val="0"/>
        <w:adjustRightInd/>
        <w:snapToGrid/>
        <w:ind w:firstLine="1922" w:firstLineChars="600"/>
        <w:textAlignment w:val="auto"/>
        <w:rPr>
          <w:rFonts w:hint="eastAsia" w:ascii="华文中宋" w:hAnsi="华文中宋" w:eastAsia="华文中宋" w:cs="华文中宋"/>
          <w:b/>
          <w:color w:val="auto"/>
          <w:sz w:val="32"/>
          <w:szCs w:val="32"/>
        </w:rPr>
      </w:pPr>
    </w:p>
    <w:p w14:paraId="7B36343A">
      <w:pPr>
        <w:keepNext w:val="0"/>
        <w:keepLines w:val="0"/>
        <w:pageBreakBefore w:val="0"/>
        <w:widowControl w:val="0"/>
        <w:kinsoku/>
        <w:wordWrap/>
        <w:overflowPunct/>
        <w:topLinePunct w:val="0"/>
        <w:autoSpaceDE/>
        <w:autoSpaceDN/>
        <w:bidi w:val="0"/>
        <w:adjustRightInd/>
        <w:snapToGrid/>
        <w:ind w:firstLine="961" w:firstLineChars="300"/>
        <w:textAlignment w:val="auto"/>
        <w:rPr>
          <w:rFonts w:hint="eastAsia" w:ascii="华文中宋" w:hAnsi="华文中宋" w:eastAsia="华文中宋" w:cs="华文中宋"/>
          <w:b/>
          <w:color w:val="auto"/>
          <w:sz w:val="32"/>
          <w:szCs w:val="32"/>
          <w:lang w:eastAsia="zh-CN"/>
        </w:rPr>
      </w:pPr>
      <w:r>
        <w:rPr>
          <w:rFonts w:hint="eastAsia" w:ascii="华文中宋" w:hAnsi="华文中宋" w:eastAsia="华文中宋" w:cs="华文中宋"/>
          <w:b/>
          <w:color w:val="auto"/>
          <w:sz w:val="32"/>
          <w:szCs w:val="32"/>
        </w:rPr>
        <w:t>采购代理机构：</w:t>
      </w:r>
      <w:r>
        <w:rPr>
          <w:rFonts w:hint="eastAsia" w:ascii="华文中宋" w:hAnsi="华文中宋" w:eastAsia="华文中宋" w:cs="华文中宋"/>
          <w:b/>
          <w:color w:val="auto"/>
          <w:sz w:val="32"/>
          <w:szCs w:val="32"/>
          <w:lang w:eastAsia="zh-CN"/>
        </w:rPr>
        <w:t>山西蒙鸿招标代理有限公司</w:t>
      </w:r>
    </w:p>
    <w:p w14:paraId="13EBD9FB">
      <w:pPr>
        <w:keepNext w:val="0"/>
        <w:keepLines w:val="0"/>
        <w:pageBreakBefore w:val="0"/>
        <w:widowControl w:val="0"/>
        <w:kinsoku/>
        <w:wordWrap/>
        <w:overflowPunct/>
        <w:topLinePunct w:val="0"/>
        <w:autoSpaceDE/>
        <w:autoSpaceDN/>
        <w:bidi w:val="0"/>
        <w:adjustRightInd/>
        <w:snapToGrid/>
        <w:ind w:firstLine="1922" w:firstLineChars="600"/>
        <w:textAlignment w:val="auto"/>
        <w:rPr>
          <w:rFonts w:hint="eastAsia" w:ascii="华文中宋" w:hAnsi="华文中宋" w:eastAsia="华文中宋" w:cs="华文中宋"/>
          <w:b/>
          <w:color w:val="auto"/>
          <w:sz w:val="32"/>
          <w:szCs w:val="32"/>
        </w:rPr>
      </w:pPr>
    </w:p>
    <w:p w14:paraId="379B12A7">
      <w:pPr>
        <w:keepNext w:val="0"/>
        <w:keepLines w:val="0"/>
        <w:pageBreakBefore w:val="0"/>
        <w:widowControl w:val="0"/>
        <w:kinsoku/>
        <w:wordWrap/>
        <w:overflowPunct/>
        <w:topLinePunct w:val="0"/>
        <w:autoSpaceDE/>
        <w:autoSpaceDN/>
        <w:bidi w:val="0"/>
        <w:adjustRightInd/>
        <w:snapToGrid/>
        <w:ind w:firstLine="961" w:firstLineChars="300"/>
        <w:textAlignment w:val="auto"/>
        <w:rPr>
          <w:rFonts w:hint="eastAsia" w:ascii="华文中宋" w:hAnsi="华文中宋" w:eastAsia="华文中宋" w:cs="华文中宋"/>
          <w:b/>
          <w:color w:val="auto"/>
          <w:sz w:val="32"/>
          <w:szCs w:val="32"/>
        </w:rPr>
      </w:pPr>
      <w:r>
        <w:rPr>
          <w:rFonts w:hint="eastAsia" w:ascii="华文中宋" w:hAnsi="华文中宋" w:eastAsia="华文中宋" w:cs="华文中宋"/>
          <w:b/>
          <w:color w:val="auto"/>
          <w:sz w:val="32"/>
          <w:szCs w:val="32"/>
        </w:rPr>
        <w:t>日        期：二0二</w:t>
      </w:r>
      <w:r>
        <w:rPr>
          <w:rFonts w:hint="eastAsia" w:ascii="华文中宋" w:hAnsi="华文中宋" w:eastAsia="华文中宋" w:cs="华文中宋"/>
          <w:b/>
          <w:color w:val="auto"/>
          <w:sz w:val="32"/>
          <w:szCs w:val="32"/>
          <w:lang w:val="en-US" w:eastAsia="zh-CN"/>
        </w:rPr>
        <w:t>六</w:t>
      </w:r>
      <w:r>
        <w:rPr>
          <w:rFonts w:hint="eastAsia" w:ascii="华文中宋" w:hAnsi="华文中宋" w:eastAsia="华文中宋" w:cs="华文中宋"/>
          <w:b/>
          <w:color w:val="auto"/>
          <w:sz w:val="32"/>
          <w:szCs w:val="32"/>
        </w:rPr>
        <w:t>年</w:t>
      </w:r>
      <w:r>
        <w:rPr>
          <w:rFonts w:hint="eastAsia" w:ascii="华文中宋" w:hAnsi="华文中宋" w:eastAsia="华文中宋" w:cs="华文中宋"/>
          <w:b/>
          <w:color w:val="auto"/>
          <w:sz w:val="32"/>
          <w:szCs w:val="32"/>
          <w:lang w:val="en-US" w:eastAsia="zh-CN"/>
        </w:rPr>
        <w:t>四</w:t>
      </w:r>
      <w:r>
        <w:rPr>
          <w:rFonts w:hint="eastAsia" w:ascii="华文中宋" w:hAnsi="华文中宋" w:eastAsia="华文中宋" w:cs="华文中宋"/>
          <w:b/>
          <w:color w:val="auto"/>
          <w:sz w:val="32"/>
          <w:szCs w:val="32"/>
        </w:rPr>
        <w:t>月</w:t>
      </w:r>
    </w:p>
    <w:p w14:paraId="4EC2BD6A">
      <w:pPr>
        <w:rPr>
          <w:rFonts w:hint="eastAsia" w:ascii="宋体" w:hAnsi="宋体" w:cs="宋体"/>
          <w:b/>
          <w:color w:val="auto"/>
          <w:sz w:val="32"/>
          <w:szCs w:val="32"/>
        </w:rPr>
      </w:pPr>
      <w:r>
        <w:rPr>
          <w:rFonts w:hint="eastAsia" w:ascii="宋体" w:hAnsi="宋体" w:cs="宋体"/>
          <w:b/>
          <w:color w:val="auto"/>
          <w:sz w:val="32"/>
          <w:szCs w:val="32"/>
        </w:rPr>
        <w:br w:type="page"/>
      </w:r>
    </w:p>
    <w:p w14:paraId="5E408C29">
      <w:pPr>
        <w:pStyle w:val="26"/>
        <w:rPr>
          <w:color w:val="auto"/>
        </w:rPr>
      </w:pPr>
    </w:p>
    <w:p w14:paraId="30DB8144">
      <w:pPr>
        <w:spacing w:line="800" w:lineRule="exact"/>
        <w:jc w:val="center"/>
        <w:rPr>
          <w:rFonts w:ascii="宋体" w:hAnsi="宋体"/>
          <w:color w:val="auto"/>
          <w:sz w:val="21"/>
        </w:rPr>
        <w:sectPr>
          <w:headerReference r:id="rId5" w:type="first"/>
          <w:headerReference r:id="rId3" w:type="default"/>
          <w:footerReference r:id="rId6" w:type="default"/>
          <w:headerReference r:id="rId4" w:type="even"/>
          <w:footerReference r:id="rId7" w:type="even"/>
          <w:pgSz w:w="11907" w:h="16840"/>
          <w:pgMar w:top="1440" w:right="1080" w:bottom="1440" w:left="1080" w:header="850" w:footer="850" w:gutter="0"/>
          <w:pgBorders>
            <w:top w:val="none" w:sz="0" w:space="0"/>
            <w:left w:val="none" w:sz="0" w:space="0"/>
            <w:bottom w:val="none" w:sz="0" w:space="0"/>
            <w:right w:val="none" w:sz="0" w:space="0"/>
          </w:pgBorders>
          <w:pgNumType w:fmt="numberInDash" w:start="1"/>
          <w:cols w:space="720" w:num="1"/>
          <w:titlePg/>
          <w:docGrid w:linePitch="312" w:charSpace="0"/>
        </w:sectPr>
      </w:pPr>
    </w:p>
    <w:sdt>
      <w:sdtPr>
        <w:rPr>
          <w:rFonts w:ascii="宋体" w:hAnsi="宋体"/>
          <w:color w:val="auto"/>
          <w:sz w:val="21"/>
        </w:rPr>
        <w:id w:val="147483600"/>
        <w:docPartObj>
          <w:docPartGallery w:val="Table of Contents"/>
          <w:docPartUnique/>
        </w:docPartObj>
      </w:sdtPr>
      <w:sdtEndPr>
        <w:rPr>
          <w:rFonts w:ascii="宋体" w:hAnsi="宋体" w:cs="宋体"/>
          <w:color w:val="auto"/>
          <w:spacing w:val="20"/>
          <w:sz w:val="28"/>
          <w:szCs w:val="32"/>
        </w:rPr>
      </w:sdtEndPr>
      <w:sdtContent>
        <w:p w14:paraId="014090CC">
          <w:pPr>
            <w:spacing w:line="800" w:lineRule="exact"/>
            <w:jc w:val="center"/>
            <w:rPr>
              <w:rFonts w:hint="eastAsia" w:ascii="华文中宋" w:hAnsi="华文中宋" w:eastAsia="华文中宋" w:cs="华文中宋"/>
              <w:b/>
              <w:bCs/>
              <w:color w:val="auto"/>
              <w:sz w:val="32"/>
              <w:szCs w:val="32"/>
            </w:rPr>
          </w:pPr>
          <w:r>
            <w:rPr>
              <w:rFonts w:hint="eastAsia" w:ascii="华文中宋" w:hAnsi="华文中宋" w:eastAsia="华文中宋" w:cs="华文中宋"/>
              <w:b/>
              <w:bCs/>
              <w:color w:val="auto"/>
              <w:sz w:val="32"/>
              <w:szCs w:val="32"/>
            </w:rPr>
            <w:t>目  录</w:t>
          </w:r>
        </w:p>
        <w:p w14:paraId="33D4639E">
          <w:pPr>
            <w:pStyle w:val="22"/>
            <w:tabs>
              <w:tab w:val="right" w:leader="hyphen" w:pos="9737"/>
            </w:tabs>
            <w:spacing w:line="600" w:lineRule="auto"/>
            <w:rPr>
              <w:rFonts w:hint="eastAsia" w:ascii="华文中宋" w:hAnsi="华文中宋" w:eastAsia="华文中宋" w:cs="华文中宋"/>
              <w:color w:val="auto"/>
              <w:sz w:val="21"/>
              <w:szCs w:val="22"/>
            </w:rPr>
          </w:pPr>
          <w:r>
            <w:rPr>
              <w:rFonts w:hint="eastAsia" w:ascii="华文中宋" w:hAnsi="华文中宋" w:eastAsia="华文中宋" w:cs="华文中宋"/>
              <w:color w:val="auto"/>
              <w:spacing w:val="20"/>
              <w:sz w:val="32"/>
              <w:szCs w:val="32"/>
            </w:rPr>
            <w:fldChar w:fldCharType="begin"/>
          </w:r>
          <w:r>
            <w:rPr>
              <w:rFonts w:hint="eastAsia" w:ascii="华文中宋" w:hAnsi="华文中宋" w:eastAsia="华文中宋" w:cs="华文中宋"/>
              <w:color w:val="auto"/>
              <w:spacing w:val="20"/>
              <w:sz w:val="32"/>
              <w:szCs w:val="32"/>
            </w:rPr>
            <w:instrText xml:space="preserve">TOC \o "1-3" \h \u </w:instrText>
          </w:r>
          <w:r>
            <w:rPr>
              <w:rFonts w:hint="eastAsia" w:ascii="华文中宋" w:hAnsi="华文中宋" w:eastAsia="华文中宋" w:cs="华文中宋"/>
              <w:color w:val="auto"/>
              <w:spacing w:val="20"/>
              <w:sz w:val="32"/>
              <w:szCs w:val="32"/>
            </w:rPr>
            <w:fldChar w:fldCharType="separate"/>
          </w:r>
          <w:r>
            <w:rPr>
              <w:rFonts w:hint="eastAsia" w:ascii="华文中宋" w:hAnsi="华文中宋" w:eastAsia="华文中宋" w:cs="华文中宋"/>
              <w:color w:val="auto"/>
            </w:rPr>
            <w:fldChar w:fldCharType="begin"/>
          </w:r>
          <w:r>
            <w:rPr>
              <w:rFonts w:hint="eastAsia" w:ascii="华文中宋" w:hAnsi="华文中宋" w:eastAsia="华文中宋" w:cs="华文中宋"/>
              <w:color w:val="auto"/>
            </w:rPr>
            <w:instrText xml:space="preserve"> HYPERLINK \l "_Toc100594735" </w:instrText>
          </w:r>
          <w:r>
            <w:rPr>
              <w:rFonts w:hint="eastAsia" w:ascii="华文中宋" w:hAnsi="华文中宋" w:eastAsia="华文中宋" w:cs="华文中宋"/>
              <w:color w:val="auto"/>
            </w:rPr>
            <w:fldChar w:fldCharType="separate"/>
          </w:r>
          <w:r>
            <w:rPr>
              <w:rStyle w:val="44"/>
              <w:rFonts w:hint="eastAsia" w:ascii="华文中宋" w:hAnsi="华文中宋" w:eastAsia="华文中宋" w:cs="华文中宋"/>
              <w:b/>
              <w:bCs/>
              <w:color w:val="auto"/>
            </w:rPr>
            <w:t>第一章  招标公告</w:t>
          </w:r>
          <w:r>
            <w:rPr>
              <w:rFonts w:hint="eastAsia" w:ascii="华文中宋" w:hAnsi="华文中宋" w:eastAsia="华文中宋" w:cs="华文中宋"/>
              <w:color w:val="auto"/>
            </w:rPr>
            <w:tab/>
          </w:r>
          <w:r>
            <w:rPr>
              <w:rFonts w:hint="eastAsia" w:ascii="华文中宋" w:hAnsi="华文中宋" w:eastAsia="华文中宋" w:cs="华文中宋"/>
              <w:color w:val="auto"/>
            </w:rPr>
            <w:fldChar w:fldCharType="begin"/>
          </w:r>
          <w:r>
            <w:rPr>
              <w:rFonts w:hint="eastAsia" w:ascii="华文中宋" w:hAnsi="华文中宋" w:eastAsia="华文中宋" w:cs="华文中宋"/>
              <w:color w:val="auto"/>
            </w:rPr>
            <w:instrText xml:space="preserve"> PAGEREF _Toc100594735 \h </w:instrText>
          </w:r>
          <w:r>
            <w:rPr>
              <w:rFonts w:hint="eastAsia" w:ascii="华文中宋" w:hAnsi="华文中宋" w:eastAsia="华文中宋" w:cs="华文中宋"/>
              <w:color w:val="auto"/>
            </w:rPr>
            <w:fldChar w:fldCharType="separate"/>
          </w:r>
          <w:r>
            <w:rPr>
              <w:rFonts w:hint="eastAsia" w:ascii="华文中宋" w:hAnsi="华文中宋" w:eastAsia="华文中宋" w:cs="华文中宋"/>
              <w:color w:val="auto"/>
            </w:rPr>
            <w:t>2</w:t>
          </w:r>
          <w:r>
            <w:rPr>
              <w:rFonts w:hint="eastAsia" w:ascii="华文中宋" w:hAnsi="华文中宋" w:eastAsia="华文中宋" w:cs="华文中宋"/>
              <w:color w:val="auto"/>
            </w:rPr>
            <w:fldChar w:fldCharType="end"/>
          </w:r>
          <w:r>
            <w:rPr>
              <w:rFonts w:hint="eastAsia" w:ascii="华文中宋" w:hAnsi="华文中宋" w:eastAsia="华文中宋" w:cs="华文中宋"/>
              <w:color w:val="auto"/>
            </w:rPr>
            <w:fldChar w:fldCharType="end"/>
          </w:r>
        </w:p>
        <w:p w14:paraId="1782DC28">
          <w:pPr>
            <w:pStyle w:val="22"/>
            <w:tabs>
              <w:tab w:val="right" w:leader="hyphen" w:pos="9737"/>
            </w:tabs>
            <w:spacing w:line="600" w:lineRule="auto"/>
            <w:rPr>
              <w:rFonts w:hint="eastAsia" w:ascii="华文中宋" w:hAnsi="华文中宋" w:eastAsia="华文中宋" w:cs="华文中宋"/>
              <w:color w:val="auto"/>
              <w:sz w:val="21"/>
              <w:szCs w:val="22"/>
            </w:rPr>
          </w:pPr>
          <w:r>
            <w:rPr>
              <w:rFonts w:hint="eastAsia" w:ascii="华文中宋" w:hAnsi="华文中宋" w:eastAsia="华文中宋" w:cs="华文中宋"/>
              <w:color w:val="auto"/>
            </w:rPr>
            <w:fldChar w:fldCharType="begin"/>
          </w:r>
          <w:r>
            <w:rPr>
              <w:rFonts w:hint="eastAsia" w:ascii="华文中宋" w:hAnsi="华文中宋" w:eastAsia="华文中宋" w:cs="华文中宋"/>
              <w:color w:val="auto"/>
            </w:rPr>
            <w:instrText xml:space="preserve"> HYPERLINK \l "_Toc100594736" </w:instrText>
          </w:r>
          <w:r>
            <w:rPr>
              <w:rFonts w:hint="eastAsia" w:ascii="华文中宋" w:hAnsi="华文中宋" w:eastAsia="华文中宋" w:cs="华文中宋"/>
              <w:color w:val="auto"/>
            </w:rPr>
            <w:fldChar w:fldCharType="separate"/>
          </w:r>
          <w:r>
            <w:rPr>
              <w:rStyle w:val="44"/>
              <w:rFonts w:hint="eastAsia" w:ascii="华文中宋" w:hAnsi="华文中宋" w:eastAsia="华文中宋" w:cs="华文中宋"/>
              <w:b/>
              <w:bCs/>
              <w:color w:val="auto"/>
            </w:rPr>
            <w:t>第二章  投标须知</w:t>
          </w:r>
          <w:r>
            <w:rPr>
              <w:rFonts w:hint="eastAsia" w:ascii="华文中宋" w:hAnsi="华文中宋" w:eastAsia="华文中宋" w:cs="华文中宋"/>
              <w:color w:val="auto"/>
            </w:rPr>
            <w:tab/>
          </w:r>
          <w:r>
            <w:rPr>
              <w:rFonts w:hint="eastAsia" w:ascii="华文中宋" w:hAnsi="华文中宋" w:eastAsia="华文中宋" w:cs="华文中宋"/>
              <w:color w:val="auto"/>
            </w:rPr>
            <w:fldChar w:fldCharType="begin"/>
          </w:r>
          <w:r>
            <w:rPr>
              <w:rFonts w:hint="eastAsia" w:ascii="华文中宋" w:hAnsi="华文中宋" w:eastAsia="华文中宋" w:cs="华文中宋"/>
              <w:color w:val="auto"/>
            </w:rPr>
            <w:instrText xml:space="preserve"> PAGEREF _Toc100594736 \h </w:instrText>
          </w:r>
          <w:r>
            <w:rPr>
              <w:rFonts w:hint="eastAsia" w:ascii="华文中宋" w:hAnsi="华文中宋" w:eastAsia="华文中宋" w:cs="华文中宋"/>
              <w:color w:val="auto"/>
            </w:rPr>
            <w:fldChar w:fldCharType="separate"/>
          </w:r>
          <w:r>
            <w:rPr>
              <w:rFonts w:hint="eastAsia" w:ascii="华文中宋" w:hAnsi="华文中宋" w:eastAsia="华文中宋" w:cs="华文中宋"/>
              <w:color w:val="auto"/>
            </w:rPr>
            <w:t>5</w:t>
          </w:r>
          <w:r>
            <w:rPr>
              <w:rFonts w:hint="eastAsia" w:ascii="华文中宋" w:hAnsi="华文中宋" w:eastAsia="华文中宋" w:cs="华文中宋"/>
              <w:color w:val="auto"/>
            </w:rPr>
            <w:fldChar w:fldCharType="end"/>
          </w:r>
          <w:r>
            <w:rPr>
              <w:rFonts w:hint="eastAsia" w:ascii="华文中宋" w:hAnsi="华文中宋" w:eastAsia="华文中宋" w:cs="华文中宋"/>
              <w:color w:val="auto"/>
            </w:rPr>
            <w:fldChar w:fldCharType="end"/>
          </w:r>
        </w:p>
        <w:p w14:paraId="726BF8CF">
          <w:pPr>
            <w:pStyle w:val="22"/>
            <w:tabs>
              <w:tab w:val="right" w:leader="hyphen" w:pos="9737"/>
            </w:tabs>
            <w:spacing w:line="600" w:lineRule="auto"/>
            <w:rPr>
              <w:rFonts w:hint="eastAsia" w:ascii="华文中宋" w:hAnsi="华文中宋" w:eastAsia="华文中宋" w:cs="华文中宋"/>
              <w:color w:val="auto"/>
              <w:sz w:val="21"/>
              <w:szCs w:val="22"/>
            </w:rPr>
          </w:pPr>
          <w:r>
            <w:rPr>
              <w:rFonts w:hint="eastAsia" w:ascii="华文中宋" w:hAnsi="华文中宋" w:eastAsia="华文中宋" w:cs="华文中宋"/>
              <w:color w:val="auto"/>
            </w:rPr>
            <w:fldChar w:fldCharType="begin"/>
          </w:r>
          <w:r>
            <w:rPr>
              <w:rFonts w:hint="eastAsia" w:ascii="华文中宋" w:hAnsi="华文中宋" w:eastAsia="华文中宋" w:cs="华文中宋"/>
              <w:color w:val="auto"/>
            </w:rPr>
            <w:instrText xml:space="preserve"> HYPERLINK \l "_Toc100594740" </w:instrText>
          </w:r>
          <w:r>
            <w:rPr>
              <w:rFonts w:hint="eastAsia" w:ascii="华文中宋" w:hAnsi="华文中宋" w:eastAsia="华文中宋" w:cs="华文中宋"/>
              <w:color w:val="auto"/>
            </w:rPr>
            <w:fldChar w:fldCharType="separate"/>
          </w:r>
          <w:r>
            <w:rPr>
              <w:rStyle w:val="44"/>
              <w:rFonts w:hint="eastAsia" w:ascii="华文中宋" w:hAnsi="华文中宋" w:eastAsia="华文中宋" w:cs="华文中宋"/>
              <w:b/>
              <w:bCs/>
              <w:color w:val="auto"/>
            </w:rPr>
            <w:t>第三章  评标标准和评标方法</w:t>
          </w:r>
          <w:r>
            <w:rPr>
              <w:rFonts w:hint="eastAsia" w:ascii="华文中宋" w:hAnsi="华文中宋" w:eastAsia="华文中宋" w:cs="华文中宋"/>
              <w:color w:val="auto"/>
            </w:rPr>
            <w:tab/>
          </w:r>
          <w:r>
            <w:rPr>
              <w:rFonts w:hint="eastAsia" w:ascii="华文中宋" w:hAnsi="华文中宋" w:eastAsia="华文中宋" w:cs="华文中宋"/>
              <w:color w:val="auto"/>
            </w:rPr>
            <w:fldChar w:fldCharType="begin"/>
          </w:r>
          <w:r>
            <w:rPr>
              <w:rFonts w:hint="eastAsia" w:ascii="华文中宋" w:hAnsi="华文中宋" w:eastAsia="华文中宋" w:cs="华文中宋"/>
              <w:color w:val="auto"/>
            </w:rPr>
            <w:instrText xml:space="preserve"> PAGEREF _Toc100594740 \h </w:instrText>
          </w:r>
          <w:r>
            <w:rPr>
              <w:rFonts w:hint="eastAsia" w:ascii="华文中宋" w:hAnsi="华文中宋" w:eastAsia="华文中宋" w:cs="华文中宋"/>
              <w:color w:val="auto"/>
            </w:rPr>
            <w:fldChar w:fldCharType="separate"/>
          </w:r>
          <w:r>
            <w:rPr>
              <w:rFonts w:hint="eastAsia" w:ascii="华文中宋" w:hAnsi="华文中宋" w:eastAsia="华文中宋" w:cs="华文中宋"/>
              <w:color w:val="auto"/>
            </w:rPr>
            <w:t>32</w:t>
          </w:r>
          <w:r>
            <w:rPr>
              <w:rFonts w:hint="eastAsia" w:ascii="华文中宋" w:hAnsi="华文中宋" w:eastAsia="华文中宋" w:cs="华文中宋"/>
              <w:color w:val="auto"/>
            </w:rPr>
            <w:fldChar w:fldCharType="end"/>
          </w:r>
          <w:r>
            <w:rPr>
              <w:rFonts w:hint="eastAsia" w:ascii="华文中宋" w:hAnsi="华文中宋" w:eastAsia="华文中宋" w:cs="华文中宋"/>
              <w:color w:val="auto"/>
            </w:rPr>
            <w:fldChar w:fldCharType="end"/>
          </w:r>
        </w:p>
        <w:p w14:paraId="4A8AA259">
          <w:pPr>
            <w:pStyle w:val="22"/>
            <w:tabs>
              <w:tab w:val="right" w:leader="hyphen" w:pos="9737"/>
            </w:tabs>
            <w:spacing w:line="600" w:lineRule="auto"/>
            <w:rPr>
              <w:rFonts w:hint="eastAsia" w:ascii="华文中宋" w:hAnsi="华文中宋" w:eastAsia="华文中宋" w:cs="华文中宋"/>
              <w:color w:val="auto"/>
              <w:sz w:val="21"/>
              <w:szCs w:val="22"/>
            </w:rPr>
          </w:pPr>
          <w:r>
            <w:rPr>
              <w:rFonts w:hint="eastAsia" w:ascii="华文中宋" w:hAnsi="华文中宋" w:eastAsia="华文中宋" w:cs="华文中宋"/>
              <w:color w:val="auto"/>
            </w:rPr>
            <w:fldChar w:fldCharType="begin"/>
          </w:r>
          <w:r>
            <w:rPr>
              <w:rFonts w:hint="eastAsia" w:ascii="华文中宋" w:hAnsi="华文中宋" w:eastAsia="华文中宋" w:cs="华文中宋"/>
              <w:color w:val="auto"/>
            </w:rPr>
            <w:instrText xml:space="preserve"> HYPERLINK \l "_Toc100594741" </w:instrText>
          </w:r>
          <w:r>
            <w:rPr>
              <w:rFonts w:hint="eastAsia" w:ascii="华文中宋" w:hAnsi="华文中宋" w:eastAsia="华文中宋" w:cs="华文中宋"/>
              <w:color w:val="auto"/>
            </w:rPr>
            <w:fldChar w:fldCharType="separate"/>
          </w:r>
          <w:r>
            <w:rPr>
              <w:rStyle w:val="44"/>
              <w:rFonts w:hint="eastAsia" w:ascii="华文中宋" w:hAnsi="华文中宋" w:eastAsia="华文中宋" w:cs="华文中宋"/>
              <w:b/>
              <w:bCs/>
              <w:color w:val="auto"/>
            </w:rPr>
            <w:t>第四章  商务技术要求</w:t>
          </w:r>
          <w:r>
            <w:rPr>
              <w:rFonts w:hint="eastAsia" w:ascii="华文中宋" w:hAnsi="华文中宋" w:eastAsia="华文中宋" w:cs="华文中宋"/>
              <w:color w:val="auto"/>
            </w:rPr>
            <w:tab/>
          </w:r>
          <w:r>
            <w:rPr>
              <w:rFonts w:hint="eastAsia" w:ascii="华文中宋" w:hAnsi="华文中宋" w:eastAsia="华文中宋" w:cs="华文中宋"/>
              <w:color w:val="auto"/>
            </w:rPr>
            <w:fldChar w:fldCharType="begin"/>
          </w:r>
          <w:r>
            <w:rPr>
              <w:rFonts w:hint="eastAsia" w:ascii="华文中宋" w:hAnsi="华文中宋" w:eastAsia="华文中宋" w:cs="华文中宋"/>
              <w:color w:val="auto"/>
            </w:rPr>
            <w:instrText xml:space="preserve"> PAGEREF _Toc100594741 \h </w:instrText>
          </w:r>
          <w:r>
            <w:rPr>
              <w:rFonts w:hint="eastAsia" w:ascii="华文中宋" w:hAnsi="华文中宋" w:eastAsia="华文中宋" w:cs="华文中宋"/>
              <w:color w:val="auto"/>
            </w:rPr>
            <w:fldChar w:fldCharType="separate"/>
          </w:r>
          <w:r>
            <w:rPr>
              <w:rFonts w:hint="eastAsia" w:ascii="华文中宋" w:hAnsi="华文中宋" w:eastAsia="华文中宋" w:cs="华文中宋"/>
              <w:color w:val="auto"/>
            </w:rPr>
            <w:t>35</w:t>
          </w:r>
          <w:r>
            <w:rPr>
              <w:rFonts w:hint="eastAsia" w:ascii="华文中宋" w:hAnsi="华文中宋" w:eastAsia="华文中宋" w:cs="华文中宋"/>
              <w:color w:val="auto"/>
            </w:rPr>
            <w:fldChar w:fldCharType="end"/>
          </w:r>
          <w:r>
            <w:rPr>
              <w:rFonts w:hint="eastAsia" w:ascii="华文中宋" w:hAnsi="华文中宋" w:eastAsia="华文中宋" w:cs="华文中宋"/>
              <w:color w:val="auto"/>
            </w:rPr>
            <w:fldChar w:fldCharType="end"/>
          </w:r>
        </w:p>
        <w:p w14:paraId="5399C363">
          <w:pPr>
            <w:pStyle w:val="22"/>
            <w:tabs>
              <w:tab w:val="right" w:leader="hyphen" w:pos="9737"/>
            </w:tabs>
            <w:spacing w:line="600" w:lineRule="auto"/>
            <w:rPr>
              <w:rFonts w:hint="eastAsia" w:ascii="华文中宋" w:hAnsi="华文中宋" w:eastAsia="华文中宋" w:cs="华文中宋"/>
              <w:color w:val="auto"/>
              <w:sz w:val="21"/>
              <w:szCs w:val="22"/>
            </w:rPr>
          </w:pPr>
          <w:r>
            <w:rPr>
              <w:rFonts w:hint="eastAsia" w:ascii="华文中宋" w:hAnsi="华文中宋" w:eastAsia="华文中宋" w:cs="华文中宋"/>
              <w:color w:val="auto"/>
            </w:rPr>
            <w:fldChar w:fldCharType="begin"/>
          </w:r>
          <w:r>
            <w:rPr>
              <w:rFonts w:hint="eastAsia" w:ascii="华文中宋" w:hAnsi="华文中宋" w:eastAsia="华文中宋" w:cs="华文中宋"/>
              <w:color w:val="auto"/>
            </w:rPr>
            <w:instrText xml:space="preserve"> HYPERLINK \l "_Toc100594742" </w:instrText>
          </w:r>
          <w:r>
            <w:rPr>
              <w:rFonts w:hint="eastAsia" w:ascii="华文中宋" w:hAnsi="华文中宋" w:eastAsia="华文中宋" w:cs="华文中宋"/>
              <w:color w:val="auto"/>
            </w:rPr>
            <w:fldChar w:fldCharType="separate"/>
          </w:r>
          <w:r>
            <w:rPr>
              <w:rStyle w:val="44"/>
              <w:rFonts w:hint="eastAsia" w:ascii="华文中宋" w:hAnsi="华文中宋" w:eastAsia="华文中宋" w:cs="华文中宋"/>
              <w:b/>
              <w:bCs/>
              <w:color w:val="auto"/>
            </w:rPr>
            <w:t>第五章：合同原则</w:t>
          </w:r>
          <w:r>
            <w:rPr>
              <w:rFonts w:hint="eastAsia" w:ascii="华文中宋" w:hAnsi="华文中宋" w:eastAsia="华文中宋" w:cs="华文中宋"/>
              <w:color w:val="auto"/>
            </w:rPr>
            <w:tab/>
          </w:r>
          <w:r>
            <w:rPr>
              <w:rFonts w:hint="eastAsia" w:ascii="华文中宋" w:hAnsi="华文中宋" w:eastAsia="华文中宋" w:cs="华文中宋"/>
              <w:color w:val="auto"/>
            </w:rPr>
            <w:fldChar w:fldCharType="begin"/>
          </w:r>
          <w:r>
            <w:rPr>
              <w:rFonts w:hint="eastAsia" w:ascii="华文中宋" w:hAnsi="华文中宋" w:eastAsia="华文中宋" w:cs="华文中宋"/>
              <w:color w:val="auto"/>
            </w:rPr>
            <w:instrText xml:space="preserve"> PAGEREF _Toc100594742 \h </w:instrText>
          </w:r>
          <w:r>
            <w:rPr>
              <w:rFonts w:hint="eastAsia" w:ascii="华文中宋" w:hAnsi="华文中宋" w:eastAsia="华文中宋" w:cs="华文中宋"/>
              <w:color w:val="auto"/>
            </w:rPr>
            <w:fldChar w:fldCharType="separate"/>
          </w:r>
          <w:r>
            <w:rPr>
              <w:rFonts w:hint="eastAsia" w:ascii="华文中宋" w:hAnsi="华文中宋" w:eastAsia="华文中宋" w:cs="华文中宋"/>
              <w:color w:val="auto"/>
            </w:rPr>
            <w:t>68</w:t>
          </w:r>
          <w:r>
            <w:rPr>
              <w:rFonts w:hint="eastAsia" w:ascii="华文中宋" w:hAnsi="华文中宋" w:eastAsia="华文中宋" w:cs="华文中宋"/>
              <w:color w:val="auto"/>
            </w:rPr>
            <w:fldChar w:fldCharType="end"/>
          </w:r>
          <w:r>
            <w:rPr>
              <w:rFonts w:hint="eastAsia" w:ascii="华文中宋" w:hAnsi="华文中宋" w:eastAsia="华文中宋" w:cs="华文中宋"/>
              <w:color w:val="auto"/>
            </w:rPr>
            <w:fldChar w:fldCharType="end"/>
          </w:r>
        </w:p>
        <w:p w14:paraId="36894C98">
          <w:pPr>
            <w:pStyle w:val="22"/>
            <w:tabs>
              <w:tab w:val="right" w:leader="hyphen" w:pos="9737"/>
            </w:tabs>
            <w:spacing w:line="600" w:lineRule="auto"/>
            <w:rPr>
              <w:rFonts w:hint="eastAsia" w:ascii="华文中宋" w:hAnsi="华文中宋" w:eastAsia="华文中宋" w:cs="华文中宋"/>
              <w:color w:val="auto"/>
              <w:sz w:val="21"/>
              <w:szCs w:val="22"/>
            </w:rPr>
          </w:pPr>
          <w:r>
            <w:rPr>
              <w:rFonts w:hint="eastAsia" w:ascii="华文中宋" w:hAnsi="华文中宋" w:eastAsia="华文中宋" w:cs="华文中宋"/>
              <w:color w:val="auto"/>
            </w:rPr>
            <w:fldChar w:fldCharType="begin"/>
          </w:r>
          <w:r>
            <w:rPr>
              <w:rFonts w:hint="eastAsia" w:ascii="华文中宋" w:hAnsi="华文中宋" w:eastAsia="华文中宋" w:cs="华文中宋"/>
              <w:color w:val="auto"/>
            </w:rPr>
            <w:instrText xml:space="preserve"> HYPERLINK \l "_Toc100594743" </w:instrText>
          </w:r>
          <w:r>
            <w:rPr>
              <w:rFonts w:hint="eastAsia" w:ascii="华文中宋" w:hAnsi="华文中宋" w:eastAsia="华文中宋" w:cs="华文中宋"/>
              <w:color w:val="auto"/>
            </w:rPr>
            <w:fldChar w:fldCharType="separate"/>
          </w:r>
          <w:r>
            <w:rPr>
              <w:rStyle w:val="44"/>
              <w:rFonts w:hint="eastAsia" w:ascii="华文中宋" w:hAnsi="华文中宋" w:eastAsia="华文中宋" w:cs="华文中宋"/>
              <w:b/>
              <w:color w:val="auto"/>
              <w:kern w:val="44"/>
            </w:rPr>
            <w:t>第六章  投标文件格式</w:t>
          </w:r>
          <w:r>
            <w:rPr>
              <w:rFonts w:hint="eastAsia" w:ascii="华文中宋" w:hAnsi="华文中宋" w:eastAsia="华文中宋" w:cs="华文中宋"/>
              <w:color w:val="auto"/>
            </w:rPr>
            <w:tab/>
          </w:r>
          <w:r>
            <w:rPr>
              <w:rFonts w:hint="eastAsia" w:ascii="华文中宋" w:hAnsi="华文中宋" w:eastAsia="华文中宋" w:cs="华文中宋"/>
              <w:color w:val="auto"/>
            </w:rPr>
            <w:fldChar w:fldCharType="begin"/>
          </w:r>
          <w:r>
            <w:rPr>
              <w:rFonts w:hint="eastAsia" w:ascii="华文中宋" w:hAnsi="华文中宋" w:eastAsia="华文中宋" w:cs="华文中宋"/>
              <w:color w:val="auto"/>
            </w:rPr>
            <w:instrText xml:space="preserve"> PAGEREF _Toc100594743 \h </w:instrText>
          </w:r>
          <w:r>
            <w:rPr>
              <w:rFonts w:hint="eastAsia" w:ascii="华文中宋" w:hAnsi="华文中宋" w:eastAsia="华文中宋" w:cs="华文中宋"/>
              <w:color w:val="auto"/>
            </w:rPr>
            <w:fldChar w:fldCharType="separate"/>
          </w:r>
          <w:r>
            <w:rPr>
              <w:rFonts w:hint="eastAsia" w:ascii="华文中宋" w:hAnsi="华文中宋" w:eastAsia="华文中宋" w:cs="华文中宋"/>
              <w:color w:val="auto"/>
            </w:rPr>
            <w:t>83</w:t>
          </w:r>
          <w:r>
            <w:rPr>
              <w:rFonts w:hint="eastAsia" w:ascii="华文中宋" w:hAnsi="华文中宋" w:eastAsia="华文中宋" w:cs="华文中宋"/>
              <w:color w:val="auto"/>
            </w:rPr>
            <w:fldChar w:fldCharType="end"/>
          </w:r>
          <w:r>
            <w:rPr>
              <w:rFonts w:hint="eastAsia" w:ascii="华文中宋" w:hAnsi="华文中宋" w:eastAsia="华文中宋" w:cs="华文中宋"/>
              <w:color w:val="auto"/>
            </w:rPr>
            <w:fldChar w:fldCharType="end"/>
          </w:r>
        </w:p>
        <w:p w14:paraId="104B17AB">
          <w:pPr>
            <w:widowControl/>
            <w:tabs>
              <w:tab w:val="left" w:pos="2070"/>
              <w:tab w:val="center" w:pos="4365"/>
            </w:tabs>
            <w:snapToGrid w:val="0"/>
            <w:spacing w:line="800" w:lineRule="exact"/>
            <w:jc w:val="center"/>
            <w:rPr>
              <w:rFonts w:ascii="宋体" w:hAnsi="宋体" w:cs="宋体"/>
              <w:color w:val="auto"/>
              <w:spacing w:val="20"/>
              <w:sz w:val="32"/>
              <w:szCs w:val="32"/>
            </w:rPr>
          </w:pPr>
          <w:r>
            <w:rPr>
              <w:rFonts w:hint="eastAsia" w:ascii="华文中宋" w:hAnsi="华文中宋" w:eastAsia="华文中宋" w:cs="华文中宋"/>
              <w:color w:val="auto"/>
              <w:spacing w:val="20"/>
              <w:sz w:val="32"/>
              <w:szCs w:val="32"/>
            </w:rPr>
            <w:fldChar w:fldCharType="end"/>
          </w:r>
        </w:p>
      </w:sdtContent>
    </w:sdt>
    <w:p w14:paraId="11D0BB53">
      <w:pPr>
        <w:rPr>
          <w:color w:val="auto"/>
        </w:rPr>
      </w:pPr>
    </w:p>
    <w:p w14:paraId="580B1CBE">
      <w:pPr>
        <w:widowControl/>
        <w:snapToGrid w:val="0"/>
        <w:spacing w:line="360" w:lineRule="auto"/>
        <w:jc w:val="center"/>
        <w:rPr>
          <w:rFonts w:ascii="宋体" w:hAnsi="宋体" w:cs="宋体"/>
          <w:b/>
          <w:color w:val="auto"/>
          <w:spacing w:val="20"/>
          <w:kern w:val="0"/>
          <w:sz w:val="56"/>
          <w:szCs w:val="56"/>
        </w:rPr>
        <w:sectPr>
          <w:footerReference r:id="rId9" w:type="first"/>
          <w:footerReference r:id="rId8" w:type="default"/>
          <w:pgSz w:w="11907" w:h="16840"/>
          <w:pgMar w:top="1440" w:right="1080" w:bottom="1440" w:left="1080" w:header="850" w:footer="850" w:gutter="0"/>
          <w:pgBorders>
            <w:top w:val="none" w:sz="0" w:space="0"/>
            <w:left w:val="none" w:sz="0" w:space="0"/>
            <w:bottom w:val="none" w:sz="0" w:space="0"/>
            <w:right w:val="none" w:sz="0" w:space="0"/>
          </w:pgBorders>
          <w:pgNumType w:fmt="decimal" w:start="1"/>
          <w:cols w:space="720" w:num="1"/>
          <w:docGrid w:linePitch="312" w:charSpace="0"/>
        </w:sectPr>
      </w:pPr>
    </w:p>
    <w:p w14:paraId="1FF8619D">
      <w:pPr>
        <w:jc w:val="center"/>
        <w:outlineLvl w:val="0"/>
        <w:rPr>
          <w:rFonts w:ascii="宋体" w:hAnsi="宋体" w:cs="宋体"/>
          <w:b/>
          <w:bCs/>
          <w:color w:val="auto"/>
          <w:sz w:val="32"/>
          <w:szCs w:val="28"/>
        </w:rPr>
      </w:pPr>
      <w:bookmarkStart w:id="0" w:name="_Toc100594735"/>
      <w:bookmarkStart w:id="1" w:name="_Toc15847"/>
      <w:r>
        <w:rPr>
          <w:rFonts w:hint="eastAsia" w:ascii="宋体" w:hAnsi="宋体" w:cs="宋体"/>
          <w:b/>
          <w:bCs/>
          <w:color w:val="auto"/>
          <w:sz w:val="32"/>
          <w:szCs w:val="28"/>
        </w:rPr>
        <w:t>第一章  招标公告</w:t>
      </w:r>
      <w:bookmarkEnd w:id="0"/>
      <w:bookmarkEnd w:id="1"/>
    </w:p>
    <w:p w14:paraId="59753886">
      <w:pPr>
        <w:keepNext w:val="0"/>
        <w:keepLines w:val="0"/>
        <w:pageBreakBefore w:val="0"/>
        <w:widowControl/>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val="0"/>
        <w:spacing w:line="520" w:lineRule="exact"/>
        <w:ind w:firstLine="482" w:firstLineChars="200"/>
        <w:textAlignment w:val="baseline"/>
        <w:rPr>
          <w:rStyle w:val="80"/>
          <w:rFonts w:asciiTheme="minorEastAsia" w:hAnsiTheme="minorEastAsia" w:eastAsiaTheme="minorEastAsia" w:cstheme="minorEastAsia"/>
          <w:b/>
          <w:bCs/>
          <w:color w:val="auto"/>
          <w:sz w:val="24"/>
        </w:rPr>
      </w:pPr>
      <w:r>
        <w:rPr>
          <w:rStyle w:val="80"/>
          <w:rFonts w:hint="eastAsia" w:asciiTheme="minorEastAsia" w:hAnsiTheme="minorEastAsia" w:eastAsiaTheme="minorEastAsia" w:cstheme="minorEastAsia"/>
          <w:b/>
          <w:bCs/>
          <w:color w:val="auto"/>
          <w:sz w:val="24"/>
        </w:rPr>
        <w:t>项目概况</w:t>
      </w:r>
    </w:p>
    <w:p w14:paraId="34D5BA23">
      <w:pPr>
        <w:keepNext w:val="0"/>
        <w:keepLines w:val="0"/>
        <w:pageBreakBefore w:val="0"/>
        <w:widowControl/>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val="0"/>
        <w:spacing w:line="520" w:lineRule="exact"/>
        <w:ind w:firstLine="480" w:firstLineChars="200"/>
        <w:textAlignment w:val="baseline"/>
        <w:rPr>
          <w:rStyle w:val="80"/>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eastAsia="zh-CN"/>
        </w:rPr>
        <w:t>运城市公安局运城经济技术开发区分局执法办案管理中心提质增效项目</w:t>
      </w:r>
      <w:r>
        <w:rPr>
          <w:rStyle w:val="80"/>
          <w:rFonts w:hint="eastAsia" w:asciiTheme="minorEastAsia" w:hAnsiTheme="minorEastAsia" w:eastAsiaTheme="minorEastAsia" w:cstheme="minorEastAsia"/>
          <w:color w:val="auto"/>
          <w:sz w:val="24"/>
        </w:rPr>
        <w:t>的潜在投标人应在政采云平台</w:t>
      </w:r>
      <w:r>
        <w:rPr>
          <w:rFonts w:hint="eastAsia" w:asciiTheme="minorEastAsia" w:hAnsiTheme="minorEastAsia" w:eastAsiaTheme="minorEastAsia" w:cstheme="minorEastAsia"/>
          <w:color w:val="auto"/>
          <w:sz w:val="24"/>
          <w:u w:val="none"/>
        </w:rPr>
        <w:t>线上获取招标文件，并于</w:t>
      </w:r>
      <w:r>
        <w:rPr>
          <w:rFonts w:hint="eastAsia" w:asciiTheme="minorEastAsia" w:hAnsiTheme="minorEastAsia" w:eastAsiaTheme="minorEastAsia" w:cstheme="minorEastAsia"/>
          <w:color w:val="auto"/>
          <w:sz w:val="24"/>
          <w:u w:val="none"/>
          <w:lang w:eastAsia="zh-CN"/>
        </w:rPr>
        <w:t>2026年05月18日15:00（北京时间）</w:t>
      </w:r>
      <w:r>
        <w:rPr>
          <w:rStyle w:val="80"/>
          <w:rFonts w:hint="eastAsia" w:asciiTheme="minorEastAsia" w:hAnsiTheme="minorEastAsia" w:eastAsiaTheme="minorEastAsia" w:cstheme="minorEastAsia"/>
          <w:color w:val="auto"/>
          <w:sz w:val="24"/>
        </w:rPr>
        <w:t>前递交投标文件。</w:t>
      </w:r>
    </w:p>
    <w:p w14:paraId="6FD6F025">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lang w:bidi="ar"/>
        </w:rPr>
        <w:t>一、项目基本情况</w:t>
      </w:r>
    </w:p>
    <w:p w14:paraId="0863692E">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eastAsia="zh-CN" w:bidi="ar"/>
        </w:rPr>
      </w:pPr>
      <w:r>
        <w:rPr>
          <w:rFonts w:hint="eastAsia" w:asciiTheme="minorEastAsia" w:hAnsiTheme="minorEastAsia" w:eastAsiaTheme="minorEastAsia" w:cstheme="minorEastAsia"/>
          <w:color w:val="auto"/>
          <w:sz w:val="24"/>
          <w:lang w:eastAsia="zh-CN" w:bidi="ar"/>
        </w:rPr>
        <w:t>项目编号：1408832026AGK00018</w:t>
      </w:r>
    </w:p>
    <w:p w14:paraId="58797CB0">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kern w:val="0"/>
          <w:sz w:val="24"/>
          <w:lang w:eastAsia="zh-CN"/>
        </w:rPr>
      </w:pPr>
      <w:r>
        <w:rPr>
          <w:rFonts w:hint="eastAsia" w:asciiTheme="minorEastAsia" w:hAnsiTheme="minorEastAsia" w:eastAsiaTheme="minorEastAsia" w:cstheme="minorEastAsia"/>
          <w:color w:val="auto"/>
          <w:sz w:val="24"/>
          <w:lang w:bidi="ar"/>
        </w:rPr>
        <w:t>项目名称：</w:t>
      </w:r>
      <w:r>
        <w:rPr>
          <w:rFonts w:hint="eastAsia" w:asciiTheme="minorEastAsia" w:hAnsiTheme="minorEastAsia" w:eastAsiaTheme="minorEastAsia" w:cstheme="minorEastAsia"/>
          <w:color w:val="auto"/>
          <w:sz w:val="24"/>
          <w:lang w:eastAsia="zh-CN" w:bidi="ar"/>
        </w:rPr>
        <w:t>运城市公安局运城经济技术开发区分局执法办案管理中心提质增效项目</w:t>
      </w:r>
    </w:p>
    <w:p w14:paraId="432DDAB7">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bidi="ar"/>
        </w:rPr>
        <w:t>预算金额</w:t>
      </w:r>
      <w:r>
        <w:rPr>
          <w:rFonts w:hint="eastAsia" w:asciiTheme="minorEastAsia" w:hAnsiTheme="minorEastAsia" w:eastAsiaTheme="minorEastAsia" w:cstheme="minorEastAsia"/>
          <w:color w:val="auto"/>
          <w:sz w:val="24"/>
          <w:lang w:eastAsia="zh-CN" w:bidi="ar"/>
        </w:rPr>
        <w:t>（</w:t>
      </w:r>
      <w:r>
        <w:rPr>
          <w:rFonts w:hint="eastAsia" w:asciiTheme="minorEastAsia" w:hAnsiTheme="minorEastAsia" w:eastAsiaTheme="minorEastAsia" w:cstheme="minorEastAsia"/>
          <w:color w:val="auto"/>
          <w:sz w:val="24"/>
          <w:lang w:val="en-US" w:eastAsia="zh-CN" w:bidi="ar"/>
        </w:rPr>
        <w:t>元</w:t>
      </w:r>
      <w:r>
        <w:rPr>
          <w:rFonts w:hint="eastAsia" w:asciiTheme="minorEastAsia" w:hAnsiTheme="minorEastAsia" w:eastAsiaTheme="minorEastAsia" w:cstheme="minorEastAsia"/>
          <w:color w:val="auto"/>
          <w:sz w:val="24"/>
          <w:lang w:eastAsia="zh-CN" w:bidi="ar"/>
        </w:rPr>
        <w:t>）</w:t>
      </w:r>
      <w:r>
        <w:rPr>
          <w:rFonts w:hint="eastAsia" w:asciiTheme="minorEastAsia" w:hAnsiTheme="minorEastAsia" w:eastAsiaTheme="minorEastAsia" w:cstheme="minorEastAsia"/>
          <w:color w:val="auto"/>
          <w:sz w:val="24"/>
          <w:lang w:bidi="ar"/>
        </w:rPr>
        <w:t>：</w:t>
      </w:r>
      <w:r>
        <w:rPr>
          <w:rFonts w:hint="eastAsia" w:asciiTheme="minorEastAsia" w:hAnsiTheme="minorEastAsia" w:eastAsiaTheme="minorEastAsia" w:cstheme="minorEastAsia"/>
          <w:color w:val="auto"/>
          <w:sz w:val="24"/>
          <w:lang w:val="en-US" w:eastAsia="zh-CN" w:bidi="ar"/>
        </w:rPr>
        <w:t>2184798.56</w:t>
      </w:r>
    </w:p>
    <w:p w14:paraId="4AF44839">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val="en-US" w:eastAsia="zh-CN" w:bidi="ar"/>
        </w:rPr>
        <w:t>最高限价（元）：2184798.56</w:t>
      </w:r>
    </w:p>
    <w:p w14:paraId="6D7395CB">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bidi="ar"/>
        </w:rPr>
      </w:pPr>
      <w:r>
        <w:rPr>
          <w:rFonts w:hint="eastAsia" w:asciiTheme="minorEastAsia" w:hAnsiTheme="minorEastAsia" w:eastAsiaTheme="minorEastAsia" w:cstheme="minorEastAsia"/>
          <w:color w:val="auto"/>
          <w:sz w:val="24"/>
          <w:lang w:bidi="ar"/>
        </w:rPr>
        <w:t>采购需求：</w:t>
      </w:r>
    </w:p>
    <w:p w14:paraId="48419188">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eastAsia="zh-CN" w:bidi="ar"/>
        </w:rPr>
      </w:pPr>
      <w:r>
        <w:rPr>
          <w:rFonts w:hint="eastAsia" w:asciiTheme="minorEastAsia" w:hAnsiTheme="minorEastAsia" w:eastAsiaTheme="minorEastAsia" w:cstheme="minorEastAsia"/>
          <w:color w:val="auto"/>
          <w:sz w:val="24"/>
          <w:lang w:bidi="ar"/>
        </w:rPr>
        <w:t>标项名称:</w:t>
      </w:r>
      <w:r>
        <w:rPr>
          <w:rFonts w:hint="eastAsia" w:asciiTheme="minorEastAsia" w:hAnsiTheme="minorEastAsia" w:eastAsiaTheme="minorEastAsia" w:cstheme="minorEastAsia"/>
          <w:color w:val="auto"/>
          <w:sz w:val="24"/>
          <w:lang w:eastAsia="zh-CN" w:bidi="ar"/>
        </w:rPr>
        <w:t>运城市公安局运城经济技术开发区分局执法办案管理中心提质增效项目</w:t>
      </w:r>
    </w:p>
    <w:p w14:paraId="0BBBCA5E">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bidi="ar"/>
        </w:rPr>
      </w:pPr>
      <w:r>
        <w:rPr>
          <w:rFonts w:hint="eastAsia" w:asciiTheme="minorEastAsia" w:hAnsiTheme="minorEastAsia" w:eastAsiaTheme="minorEastAsia" w:cstheme="minorEastAsia"/>
          <w:color w:val="auto"/>
          <w:sz w:val="24"/>
          <w:lang w:bidi="ar"/>
        </w:rPr>
        <w:t>数量:</w:t>
      </w:r>
    </w:p>
    <w:p w14:paraId="15AF9892">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bidi="ar"/>
        </w:rPr>
      </w:pPr>
      <w:r>
        <w:rPr>
          <w:rFonts w:hint="eastAsia" w:asciiTheme="minorEastAsia" w:hAnsiTheme="minorEastAsia" w:eastAsiaTheme="minorEastAsia" w:cstheme="minorEastAsia"/>
          <w:color w:val="auto"/>
          <w:sz w:val="24"/>
          <w:lang w:bidi="ar"/>
        </w:rPr>
        <w:t>预算金额（元）：</w:t>
      </w:r>
      <w:r>
        <w:rPr>
          <w:rFonts w:hint="eastAsia" w:asciiTheme="minorEastAsia" w:hAnsiTheme="minorEastAsia" w:eastAsiaTheme="minorEastAsia" w:cstheme="minorEastAsia"/>
          <w:color w:val="auto"/>
          <w:sz w:val="24"/>
          <w:lang w:val="en-US" w:eastAsia="zh-CN" w:bidi="ar"/>
        </w:rPr>
        <w:t>2184798.56</w:t>
      </w:r>
    </w:p>
    <w:p w14:paraId="721C11F9">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bidi="ar"/>
        </w:rPr>
        <w:t>简要规格描述或项目基本概况介绍、用途：</w:t>
      </w:r>
      <w:r>
        <w:rPr>
          <w:rFonts w:hint="eastAsia" w:asciiTheme="minorEastAsia" w:hAnsiTheme="minorEastAsia" w:eastAsiaTheme="minorEastAsia" w:cstheme="minorEastAsia"/>
          <w:color w:val="auto"/>
          <w:sz w:val="24"/>
          <w:lang w:eastAsia="zh-CN" w:bidi="ar"/>
        </w:rPr>
        <w:t>运城市公安局运城经济技术开发区分局执法办案管理中心提质增效项目，</w:t>
      </w:r>
      <w:r>
        <w:rPr>
          <w:rFonts w:hint="eastAsia" w:asciiTheme="minorEastAsia" w:hAnsiTheme="minorEastAsia" w:eastAsiaTheme="minorEastAsia" w:cstheme="minorEastAsia"/>
          <w:color w:val="auto"/>
          <w:sz w:val="24"/>
          <w:lang w:val="en-US" w:eastAsia="zh-CN" w:bidi="ar"/>
        </w:rPr>
        <w:t>建设内容包括智慧法制一体化管理系统和执法办案中心装修两部分，其中智慧法制一体化管理系统部分包含执法办案区管理系统设备、案卷管理系统设备、机房设备购置及安装；执法办案中心装修部分共涉及装修面积767.3㎡，包括拆除工程、土建改造工程、装修改造工程、安装改造工程。</w:t>
      </w:r>
    </w:p>
    <w:p w14:paraId="70820592">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default"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val="en-US" w:eastAsia="zh-CN" w:bidi="ar"/>
        </w:rPr>
        <w:t>采购范围包含货物的购置、运输、安装、调试、培训和售后服务等，以及图纸及工程量清单范围内的全部内容，具体采购范围、报价范围以招标文件中商务技术要求的内容为准。</w:t>
      </w:r>
    </w:p>
    <w:p w14:paraId="062937C3">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default"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val="en-US" w:eastAsia="zh-CN" w:bidi="ar"/>
        </w:rPr>
        <w:t>备注：无</w:t>
      </w:r>
    </w:p>
    <w:p w14:paraId="5ACF2052">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eastAsia="zh-CN" w:bidi="ar"/>
        </w:rPr>
      </w:pPr>
      <w:r>
        <w:rPr>
          <w:rFonts w:hint="eastAsia" w:asciiTheme="minorEastAsia" w:hAnsiTheme="minorEastAsia" w:eastAsiaTheme="minorEastAsia" w:cstheme="minorEastAsia"/>
          <w:color w:val="auto"/>
          <w:sz w:val="24"/>
          <w:lang w:bidi="ar"/>
        </w:rPr>
        <w:t>合同履约期限：标项1，</w:t>
      </w:r>
      <w:r>
        <w:rPr>
          <w:rFonts w:hint="eastAsia" w:asciiTheme="minorEastAsia" w:hAnsiTheme="minorEastAsia" w:eastAsiaTheme="minorEastAsia" w:cstheme="minorEastAsia"/>
          <w:color w:val="auto"/>
          <w:sz w:val="24"/>
          <w:lang w:eastAsia="zh-CN" w:bidi="ar"/>
        </w:rPr>
        <w:t>50天</w:t>
      </w:r>
    </w:p>
    <w:p w14:paraId="7E39F19C">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b w:val="0"/>
          <w:bCs w:val="0"/>
          <w:color w:val="auto"/>
          <w:sz w:val="24"/>
          <w:lang w:bidi="ar"/>
        </w:rPr>
        <w:t>本项目（否）接受联合体投标。</w:t>
      </w:r>
    </w:p>
    <w:p w14:paraId="5C99993D">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lang w:bidi="ar"/>
        </w:rPr>
        <w:t>二、申请人的资格要求：</w:t>
      </w:r>
    </w:p>
    <w:p w14:paraId="28DE84F7">
      <w:pPr>
        <w:keepNext w:val="0"/>
        <w:keepLines w:val="0"/>
        <w:pageBreakBefore w:val="0"/>
        <w:widowControl/>
        <w:kinsoku/>
        <w:wordWrap w:val="0"/>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bidi="ar"/>
        </w:rPr>
        <w:t>1.满足《中华人民共和国政府采购法》第二十二条规定</w:t>
      </w:r>
      <w:r>
        <w:rPr>
          <w:rFonts w:hint="eastAsia" w:asciiTheme="minorEastAsia" w:hAnsiTheme="minorEastAsia" w:eastAsiaTheme="minorEastAsia" w:cstheme="minorEastAsia"/>
          <w:color w:val="auto"/>
          <w:sz w:val="24"/>
          <w:lang w:eastAsia="zh-CN" w:bidi="ar"/>
        </w:rPr>
        <w:t>。</w:t>
      </w:r>
    </w:p>
    <w:p w14:paraId="06523FFA">
      <w:pPr>
        <w:keepNext w:val="0"/>
        <w:keepLines w:val="0"/>
        <w:pageBreakBefore w:val="0"/>
        <w:widowControl/>
        <w:kinsoku/>
        <w:wordWrap w:val="0"/>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eastAsia="zh-CN" w:bidi="ar"/>
        </w:rPr>
      </w:pPr>
      <w:r>
        <w:rPr>
          <w:rFonts w:hint="eastAsia" w:asciiTheme="minorEastAsia" w:hAnsiTheme="minorEastAsia" w:eastAsiaTheme="minorEastAsia" w:cstheme="minorEastAsia"/>
          <w:color w:val="auto"/>
          <w:sz w:val="24"/>
          <w:lang w:bidi="ar"/>
        </w:rPr>
        <w:t>2.落实政府采购政策需满足的资格要求：</w:t>
      </w:r>
      <w:r>
        <w:rPr>
          <w:rFonts w:hint="eastAsia" w:asciiTheme="minorEastAsia" w:hAnsiTheme="minorEastAsia" w:eastAsiaTheme="minorEastAsia" w:cstheme="minorEastAsia"/>
          <w:color w:val="auto"/>
          <w:sz w:val="24"/>
          <w:lang w:val="en-US" w:eastAsia="zh-CN" w:bidi="ar"/>
        </w:rPr>
        <w:t>无</w:t>
      </w:r>
      <w:r>
        <w:rPr>
          <w:rFonts w:hint="eastAsia" w:asciiTheme="minorEastAsia" w:hAnsiTheme="minorEastAsia" w:eastAsiaTheme="minorEastAsia" w:cstheme="minorEastAsia"/>
          <w:color w:val="auto"/>
          <w:sz w:val="24"/>
          <w:lang w:eastAsia="zh-CN" w:bidi="ar"/>
        </w:rPr>
        <w:t>。</w:t>
      </w:r>
    </w:p>
    <w:p w14:paraId="21DC6BB7">
      <w:pPr>
        <w:keepNext w:val="0"/>
        <w:keepLines w:val="0"/>
        <w:pageBreakBefore w:val="0"/>
        <w:widowControl w:val="0"/>
        <w:kinsoku/>
        <w:wordWrap w:val="0"/>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bidi="ar"/>
        </w:rPr>
      </w:pPr>
      <w:r>
        <w:rPr>
          <w:rFonts w:hint="eastAsia" w:asciiTheme="minorEastAsia" w:hAnsiTheme="minorEastAsia" w:eastAsiaTheme="minorEastAsia" w:cstheme="minorEastAsia"/>
          <w:color w:val="auto"/>
          <w:sz w:val="24"/>
          <w:lang w:bidi="ar"/>
        </w:rPr>
        <w:t>3.本项目的特定资格要求：</w:t>
      </w:r>
    </w:p>
    <w:p w14:paraId="60AC640E">
      <w:pPr>
        <w:keepNext w:val="0"/>
        <w:keepLines w:val="0"/>
        <w:pageBreakBefore w:val="0"/>
        <w:widowControl w:val="0"/>
        <w:kinsoku/>
        <w:wordWrap w:val="0"/>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bidi="ar"/>
        </w:rPr>
      </w:pPr>
      <w:r>
        <w:rPr>
          <w:rFonts w:hint="eastAsia" w:asciiTheme="minorEastAsia" w:hAnsiTheme="minorEastAsia" w:eastAsiaTheme="minorEastAsia" w:cstheme="minorEastAsia"/>
          <w:color w:val="auto"/>
          <w:sz w:val="24"/>
          <w:lang w:bidi="ar"/>
        </w:rPr>
        <w:t>【标项1】</w:t>
      </w:r>
    </w:p>
    <w:p w14:paraId="4514DF99">
      <w:pPr>
        <w:keepNext w:val="0"/>
        <w:keepLines w:val="0"/>
        <w:pageBreakBefore w:val="0"/>
        <w:widowControl w:val="0"/>
        <w:kinsoku/>
        <w:wordWrap w:val="0"/>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eastAsia="zh-CN" w:bidi="ar"/>
        </w:rPr>
      </w:pPr>
      <w:r>
        <w:rPr>
          <w:rFonts w:hint="eastAsia" w:asciiTheme="minorEastAsia" w:hAnsiTheme="minorEastAsia" w:eastAsiaTheme="minorEastAsia" w:cstheme="minorEastAsia"/>
          <w:color w:val="auto"/>
          <w:sz w:val="24"/>
          <w:lang w:eastAsia="zh-CN" w:bidi="ar"/>
        </w:rPr>
        <w:t>无。</w:t>
      </w:r>
    </w:p>
    <w:p w14:paraId="1C9D585E">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lang w:bidi="ar"/>
        </w:rPr>
        <w:t>三、获取招标文件</w:t>
      </w:r>
    </w:p>
    <w:p w14:paraId="4D6D652E">
      <w:pPr>
        <w:keepNext w:val="0"/>
        <w:keepLines w:val="0"/>
        <w:pageBreakBefore w:val="0"/>
        <w:widowControl/>
        <w:kinsoku/>
        <w:wordWrap/>
        <w:overflowPunct/>
        <w:topLinePunct w:val="0"/>
        <w:autoSpaceDE/>
        <w:autoSpaceDN/>
        <w:bidi w:val="0"/>
        <w:adjustRightInd/>
        <w:spacing w:line="520" w:lineRule="exact"/>
        <w:ind w:firstLine="480" w:firstLineChars="200"/>
        <w:textAlignment w:val="center"/>
        <w:rPr>
          <w:rFonts w:hint="eastAsia" w:asciiTheme="minorEastAsia" w:hAnsiTheme="minorEastAsia" w:eastAsiaTheme="minorEastAsia" w:cstheme="minorEastAsia"/>
          <w:color w:val="auto"/>
          <w:sz w:val="24"/>
          <w:lang w:bidi="ar"/>
        </w:rPr>
      </w:pPr>
      <w:r>
        <w:rPr>
          <w:rFonts w:hint="eastAsia" w:asciiTheme="minorEastAsia" w:hAnsiTheme="minorEastAsia" w:eastAsiaTheme="minorEastAsia" w:cstheme="minorEastAsia"/>
          <w:color w:val="auto"/>
          <w:sz w:val="24"/>
          <w:lang w:bidi="ar"/>
        </w:rPr>
        <w:t>时间：202</w:t>
      </w:r>
      <w:r>
        <w:rPr>
          <w:rFonts w:hint="eastAsia" w:asciiTheme="minorEastAsia" w:hAnsiTheme="minorEastAsia" w:eastAsiaTheme="minorEastAsia" w:cstheme="minorEastAsia"/>
          <w:color w:val="auto"/>
          <w:sz w:val="24"/>
          <w:lang w:val="en-US" w:eastAsia="zh-CN" w:bidi="ar"/>
        </w:rPr>
        <w:t>6</w:t>
      </w:r>
      <w:r>
        <w:rPr>
          <w:rFonts w:hint="eastAsia" w:asciiTheme="minorEastAsia" w:hAnsiTheme="minorEastAsia" w:eastAsiaTheme="minorEastAsia" w:cstheme="minorEastAsia"/>
          <w:color w:val="auto"/>
          <w:sz w:val="24"/>
          <w:lang w:bidi="ar"/>
        </w:rPr>
        <w:t>年</w:t>
      </w:r>
      <w:r>
        <w:rPr>
          <w:rFonts w:hint="eastAsia" w:asciiTheme="minorEastAsia" w:hAnsiTheme="minorEastAsia" w:eastAsiaTheme="minorEastAsia" w:cstheme="minorEastAsia"/>
          <w:color w:val="auto"/>
          <w:sz w:val="24"/>
          <w:lang w:val="en-US" w:eastAsia="zh-CN" w:bidi="ar"/>
        </w:rPr>
        <w:t>04</w:t>
      </w:r>
      <w:r>
        <w:rPr>
          <w:rFonts w:hint="eastAsia" w:asciiTheme="minorEastAsia" w:hAnsiTheme="minorEastAsia" w:eastAsiaTheme="minorEastAsia" w:cstheme="minorEastAsia"/>
          <w:color w:val="auto"/>
          <w:sz w:val="24"/>
          <w:lang w:bidi="ar"/>
        </w:rPr>
        <w:t>月</w:t>
      </w:r>
      <w:r>
        <w:rPr>
          <w:rFonts w:hint="eastAsia" w:asciiTheme="minorEastAsia" w:hAnsiTheme="minorEastAsia" w:eastAsiaTheme="minorEastAsia" w:cstheme="minorEastAsia"/>
          <w:color w:val="auto"/>
          <w:sz w:val="24"/>
          <w:lang w:val="en-US" w:eastAsia="zh-CN" w:bidi="ar"/>
        </w:rPr>
        <w:t>25</w:t>
      </w:r>
      <w:r>
        <w:rPr>
          <w:rFonts w:hint="eastAsia" w:asciiTheme="minorEastAsia" w:hAnsiTheme="minorEastAsia" w:eastAsiaTheme="minorEastAsia" w:cstheme="minorEastAsia"/>
          <w:color w:val="auto"/>
          <w:sz w:val="24"/>
          <w:lang w:bidi="ar"/>
        </w:rPr>
        <w:t>日至202</w:t>
      </w:r>
      <w:r>
        <w:rPr>
          <w:rFonts w:hint="eastAsia" w:asciiTheme="minorEastAsia" w:hAnsiTheme="minorEastAsia" w:eastAsiaTheme="minorEastAsia" w:cstheme="minorEastAsia"/>
          <w:color w:val="auto"/>
          <w:sz w:val="24"/>
          <w:lang w:val="en-US" w:eastAsia="zh-CN" w:bidi="ar"/>
        </w:rPr>
        <w:t>6</w:t>
      </w:r>
      <w:r>
        <w:rPr>
          <w:rFonts w:hint="eastAsia" w:asciiTheme="minorEastAsia" w:hAnsiTheme="minorEastAsia" w:eastAsiaTheme="minorEastAsia" w:cstheme="minorEastAsia"/>
          <w:color w:val="auto"/>
          <w:sz w:val="24"/>
          <w:lang w:bidi="ar"/>
        </w:rPr>
        <w:t>年</w:t>
      </w:r>
      <w:r>
        <w:rPr>
          <w:rFonts w:hint="eastAsia" w:asciiTheme="minorEastAsia" w:hAnsiTheme="minorEastAsia" w:eastAsiaTheme="minorEastAsia" w:cstheme="minorEastAsia"/>
          <w:color w:val="auto"/>
          <w:sz w:val="24"/>
          <w:lang w:val="en-US" w:eastAsia="zh-CN" w:bidi="ar"/>
        </w:rPr>
        <w:t>05</w:t>
      </w:r>
      <w:r>
        <w:rPr>
          <w:rFonts w:hint="eastAsia" w:asciiTheme="minorEastAsia" w:hAnsiTheme="minorEastAsia" w:eastAsiaTheme="minorEastAsia" w:cstheme="minorEastAsia"/>
          <w:color w:val="auto"/>
          <w:sz w:val="24"/>
          <w:lang w:bidi="ar"/>
        </w:rPr>
        <w:t>月</w:t>
      </w:r>
      <w:r>
        <w:rPr>
          <w:rFonts w:hint="eastAsia" w:asciiTheme="minorEastAsia" w:hAnsiTheme="minorEastAsia" w:eastAsiaTheme="minorEastAsia" w:cstheme="minorEastAsia"/>
          <w:color w:val="auto"/>
          <w:sz w:val="24"/>
          <w:lang w:val="en-US" w:eastAsia="zh-CN" w:bidi="ar"/>
        </w:rPr>
        <w:t>06</w:t>
      </w:r>
      <w:r>
        <w:rPr>
          <w:rFonts w:hint="eastAsia" w:asciiTheme="minorEastAsia" w:hAnsiTheme="minorEastAsia" w:eastAsiaTheme="minorEastAsia" w:cstheme="minorEastAsia"/>
          <w:color w:val="auto"/>
          <w:sz w:val="24"/>
          <w:lang w:bidi="ar"/>
        </w:rPr>
        <w:t>日，每天上午00</w:t>
      </w:r>
      <w:r>
        <w:rPr>
          <w:rFonts w:hint="eastAsia" w:asciiTheme="minorEastAsia" w:hAnsiTheme="minorEastAsia" w:eastAsiaTheme="minorEastAsia" w:cstheme="minorEastAsia"/>
          <w:color w:val="auto"/>
          <w:sz w:val="24"/>
          <w:lang w:eastAsia="zh-CN" w:bidi="ar"/>
        </w:rPr>
        <w:t>：</w:t>
      </w:r>
      <w:r>
        <w:rPr>
          <w:rFonts w:hint="eastAsia" w:asciiTheme="minorEastAsia" w:hAnsiTheme="minorEastAsia" w:eastAsiaTheme="minorEastAsia" w:cstheme="minorEastAsia"/>
          <w:color w:val="auto"/>
          <w:sz w:val="24"/>
          <w:lang w:bidi="ar"/>
        </w:rPr>
        <w:t>00至12</w:t>
      </w:r>
      <w:r>
        <w:rPr>
          <w:rFonts w:hint="eastAsia" w:asciiTheme="minorEastAsia" w:hAnsiTheme="minorEastAsia" w:eastAsiaTheme="minorEastAsia" w:cstheme="minorEastAsia"/>
          <w:color w:val="auto"/>
          <w:sz w:val="24"/>
          <w:lang w:eastAsia="zh-CN" w:bidi="ar"/>
        </w:rPr>
        <w:t>：</w:t>
      </w:r>
      <w:r>
        <w:rPr>
          <w:rFonts w:hint="eastAsia" w:asciiTheme="minorEastAsia" w:hAnsiTheme="minorEastAsia" w:eastAsiaTheme="minorEastAsia" w:cstheme="minorEastAsia"/>
          <w:color w:val="auto"/>
          <w:sz w:val="24"/>
          <w:lang w:bidi="ar"/>
        </w:rPr>
        <w:t>00，下午12:00至23:59。</w:t>
      </w:r>
    </w:p>
    <w:p w14:paraId="0FDFFCD7">
      <w:pPr>
        <w:keepNext w:val="0"/>
        <w:keepLines w:val="0"/>
        <w:pageBreakBefore w:val="0"/>
        <w:widowControl/>
        <w:kinsoku/>
        <w:wordWrap/>
        <w:overflowPunct/>
        <w:topLinePunct w:val="0"/>
        <w:autoSpaceDE/>
        <w:autoSpaceDN/>
        <w:bidi w:val="0"/>
        <w:adjustRightInd/>
        <w:spacing w:line="520" w:lineRule="exact"/>
        <w:ind w:firstLine="480" w:firstLineChars="200"/>
        <w:textAlignment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bidi="ar"/>
        </w:rPr>
        <w:t>地点：政采云平台线上获取</w:t>
      </w:r>
    </w:p>
    <w:p w14:paraId="7D5B56B1">
      <w:pPr>
        <w:keepNext w:val="0"/>
        <w:keepLines w:val="0"/>
        <w:pageBreakBefore w:val="0"/>
        <w:widowControl/>
        <w:kinsoku/>
        <w:wordWrap/>
        <w:overflowPunct/>
        <w:topLinePunct w:val="0"/>
        <w:autoSpaceDE/>
        <w:autoSpaceDN/>
        <w:bidi w:val="0"/>
        <w:adjustRightInd/>
        <w:spacing w:line="520" w:lineRule="exact"/>
        <w:ind w:firstLine="480" w:firstLineChars="200"/>
        <w:textAlignment w:val="center"/>
        <w:rPr>
          <w:rFonts w:asciiTheme="minorEastAsia" w:hAnsiTheme="minorEastAsia" w:eastAsiaTheme="minorEastAsia" w:cstheme="minorEastAsia"/>
          <w:color w:val="auto"/>
          <w:sz w:val="24"/>
          <w:lang w:bidi="ar"/>
        </w:rPr>
      </w:pPr>
      <w:r>
        <w:rPr>
          <w:rFonts w:hint="eastAsia" w:asciiTheme="minorEastAsia" w:hAnsiTheme="minorEastAsia" w:eastAsiaTheme="minorEastAsia" w:cstheme="minorEastAsia"/>
          <w:color w:val="auto"/>
          <w:sz w:val="24"/>
          <w:lang w:bidi="ar"/>
        </w:rPr>
        <w:t>方式：在线获取</w:t>
      </w:r>
    </w:p>
    <w:p w14:paraId="0A21CA3D">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bidi="ar"/>
        </w:rPr>
        <w:t>售价</w:t>
      </w:r>
      <w:r>
        <w:rPr>
          <w:rFonts w:hint="eastAsia" w:asciiTheme="minorEastAsia" w:hAnsiTheme="minorEastAsia" w:eastAsiaTheme="minorEastAsia" w:cstheme="minorEastAsia"/>
          <w:color w:val="auto"/>
          <w:sz w:val="24"/>
          <w:lang w:eastAsia="zh-CN" w:bidi="ar"/>
        </w:rPr>
        <w:t>（</w:t>
      </w:r>
      <w:r>
        <w:rPr>
          <w:rFonts w:hint="eastAsia" w:asciiTheme="minorEastAsia" w:hAnsiTheme="minorEastAsia" w:eastAsiaTheme="minorEastAsia" w:cstheme="minorEastAsia"/>
          <w:color w:val="auto"/>
          <w:sz w:val="24"/>
          <w:lang w:val="en-US" w:eastAsia="zh-CN" w:bidi="ar"/>
        </w:rPr>
        <w:t>元</w:t>
      </w:r>
      <w:r>
        <w:rPr>
          <w:rFonts w:hint="eastAsia" w:asciiTheme="minorEastAsia" w:hAnsiTheme="minorEastAsia" w:eastAsiaTheme="minorEastAsia" w:cstheme="minorEastAsia"/>
          <w:color w:val="auto"/>
          <w:sz w:val="24"/>
          <w:lang w:eastAsia="zh-CN" w:bidi="ar"/>
        </w:rPr>
        <w:t>）</w:t>
      </w:r>
      <w:r>
        <w:rPr>
          <w:rFonts w:hint="eastAsia" w:asciiTheme="minorEastAsia" w:hAnsiTheme="minorEastAsia" w:eastAsiaTheme="minorEastAsia" w:cstheme="minorEastAsia"/>
          <w:color w:val="auto"/>
          <w:sz w:val="24"/>
          <w:lang w:bidi="ar"/>
        </w:rPr>
        <w:t>：</w:t>
      </w:r>
      <w:r>
        <w:rPr>
          <w:rFonts w:hint="eastAsia" w:asciiTheme="minorEastAsia" w:hAnsiTheme="minorEastAsia" w:eastAsiaTheme="minorEastAsia" w:cstheme="minorEastAsia"/>
          <w:color w:val="auto"/>
          <w:sz w:val="24"/>
          <w:lang w:val="en-US" w:eastAsia="zh-CN" w:bidi="ar"/>
        </w:rPr>
        <w:t>0</w:t>
      </w:r>
    </w:p>
    <w:p w14:paraId="38955817">
      <w:pPr>
        <w:keepNext w:val="0"/>
        <w:keepLines w:val="0"/>
        <w:pageBreakBefore w:val="0"/>
        <w:widowControl/>
        <w:kinsoku/>
        <w:wordWrap/>
        <w:overflowPunct/>
        <w:topLinePunct w:val="0"/>
        <w:autoSpaceDE/>
        <w:autoSpaceDN/>
        <w:bidi w:val="0"/>
        <w:adjustRightInd/>
        <w:spacing w:line="520" w:lineRule="exact"/>
        <w:ind w:firstLine="482" w:firstLineChars="200"/>
        <w:textAlignment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lang w:bidi="ar"/>
        </w:rPr>
        <w:t>四、提交投标文件截止时间、开标时间和地点</w:t>
      </w:r>
    </w:p>
    <w:p w14:paraId="791ECA5A">
      <w:pPr>
        <w:keepNext w:val="0"/>
        <w:keepLines w:val="0"/>
        <w:pageBreakBefore w:val="0"/>
        <w:widowControl/>
        <w:kinsoku/>
        <w:wordWrap/>
        <w:overflowPunct/>
        <w:topLinePunct w:val="0"/>
        <w:autoSpaceDE/>
        <w:autoSpaceDN/>
        <w:bidi w:val="0"/>
        <w:adjustRightInd/>
        <w:spacing w:line="520" w:lineRule="exact"/>
        <w:ind w:firstLine="480" w:firstLineChars="200"/>
        <w:textAlignment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bidi="ar"/>
        </w:rPr>
        <w:t>提交投标文件截止时间：</w:t>
      </w:r>
      <w:r>
        <w:rPr>
          <w:rFonts w:hint="eastAsia" w:asciiTheme="minorEastAsia" w:hAnsiTheme="minorEastAsia" w:eastAsiaTheme="minorEastAsia" w:cstheme="minorEastAsia"/>
          <w:color w:val="auto"/>
          <w:sz w:val="24"/>
          <w:lang w:eastAsia="zh-CN" w:bidi="ar"/>
        </w:rPr>
        <w:t>2026年05月18日15:00（北京时间）</w:t>
      </w:r>
    </w:p>
    <w:p w14:paraId="743D203B">
      <w:pPr>
        <w:keepNext w:val="0"/>
        <w:keepLines w:val="0"/>
        <w:pageBreakBefore w:val="0"/>
        <w:widowControl/>
        <w:kinsoku/>
        <w:wordWrap/>
        <w:overflowPunct/>
        <w:topLinePunct w:val="0"/>
        <w:autoSpaceDE/>
        <w:autoSpaceDN/>
        <w:bidi w:val="0"/>
        <w:adjustRightInd/>
        <w:spacing w:line="520" w:lineRule="exact"/>
        <w:ind w:firstLine="480" w:firstLineChars="200"/>
        <w:textAlignment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bidi="ar"/>
        </w:rPr>
        <w:t>投标地点（网址）：请登录政采云投标客户端投标</w:t>
      </w:r>
    </w:p>
    <w:p w14:paraId="3AAC2C81">
      <w:pPr>
        <w:keepNext w:val="0"/>
        <w:keepLines w:val="0"/>
        <w:pageBreakBefore w:val="0"/>
        <w:widowControl/>
        <w:kinsoku/>
        <w:wordWrap/>
        <w:overflowPunct/>
        <w:topLinePunct w:val="0"/>
        <w:autoSpaceDE/>
        <w:autoSpaceDN/>
        <w:bidi w:val="0"/>
        <w:adjustRightInd/>
        <w:spacing w:line="520" w:lineRule="exact"/>
        <w:ind w:firstLine="480" w:firstLineChars="200"/>
        <w:textAlignment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bidi="ar"/>
        </w:rPr>
        <w:t>开标时间：</w:t>
      </w:r>
      <w:r>
        <w:rPr>
          <w:rFonts w:hint="eastAsia" w:asciiTheme="minorEastAsia" w:hAnsiTheme="minorEastAsia" w:eastAsiaTheme="minorEastAsia" w:cstheme="minorEastAsia"/>
          <w:color w:val="auto"/>
          <w:sz w:val="24"/>
          <w:lang w:eastAsia="zh-CN" w:bidi="ar"/>
        </w:rPr>
        <w:t>2026年05月18日15:00</w:t>
      </w:r>
    </w:p>
    <w:p w14:paraId="35B7C1E1">
      <w:pPr>
        <w:keepNext w:val="0"/>
        <w:keepLines w:val="0"/>
        <w:pageBreakBefore w:val="0"/>
        <w:widowControl/>
        <w:kinsoku/>
        <w:wordWrap/>
        <w:overflowPunct/>
        <w:topLinePunct w:val="0"/>
        <w:autoSpaceDE/>
        <w:autoSpaceDN/>
        <w:bidi w:val="0"/>
        <w:adjustRightInd/>
        <w:spacing w:line="520" w:lineRule="exact"/>
        <w:ind w:firstLine="480" w:firstLineChars="200"/>
        <w:textAlignment w:val="center"/>
        <w:rPr>
          <w:rFonts w:hint="eastAsia"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val="en-US" w:eastAsia="zh-CN" w:bidi="ar"/>
        </w:rPr>
        <w:t>开标地点</w:t>
      </w:r>
      <w:r>
        <w:rPr>
          <w:rFonts w:hint="eastAsia" w:asciiTheme="minorEastAsia" w:hAnsiTheme="minorEastAsia" w:eastAsiaTheme="minorEastAsia" w:cstheme="minorEastAsia"/>
          <w:color w:val="auto"/>
          <w:sz w:val="24"/>
          <w:lang w:val="en-US" w:bidi="ar"/>
        </w:rPr>
        <w:t>：</w:t>
      </w:r>
      <w:r>
        <w:rPr>
          <w:rFonts w:hint="eastAsia" w:asciiTheme="minorEastAsia" w:hAnsiTheme="minorEastAsia" w:eastAsiaTheme="minorEastAsia" w:cstheme="minorEastAsia"/>
          <w:color w:val="auto"/>
          <w:sz w:val="24"/>
          <w:lang w:val="en-US" w:eastAsia="zh-CN" w:bidi="ar"/>
        </w:rPr>
        <w:t>山西蒙鸿招标代理有限公司运城办事处（运城市盐湖区铺安街1159-20号）</w:t>
      </w:r>
      <w:r>
        <w:rPr>
          <w:rFonts w:hint="eastAsia" w:asciiTheme="minorEastAsia" w:hAnsiTheme="minorEastAsia" w:eastAsiaTheme="minorEastAsia" w:cstheme="minorEastAsia"/>
          <w:color w:val="auto"/>
          <w:sz w:val="24"/>
          <w:lang w:val="en-US" w:bidi="ar"/>
        </w:rPr>
        <w:t>。</w:t>
      </w:r>
    </w:p>
    <w:p w14:paraId="346AEA73">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lang w:bidi="ar"/>
        </w:rPr>
        <w:t>五、公告期限</w:t>
      </w:r>
    </w:p>
    <w:p w14:paraId="186208C8">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bidi="ar"/>
        </w:rPr>
        <w:t>自本公告发布之日起5个工作日。</w:t>
      </w:r>
    </w:p>
    <w:p w14:paraId="4AD9DC23">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lang w:bidi="ar"/>
        </w:rPr>
        <w:t>六、其他补充事宜</w:t>
      </w:r>
    </w:p>
    <w:p w14:paraId="4114FB81">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val="en-US"/>
        </w:rPr>
      </w:pPr>
      <w:r>
        <w:rPr>
          <w:rFonts w:hint="eastAsia" w:asciiTheme="minorEastAsia" w:hAnsiTheme="minorEastAsia" w:eastAsiaTheme="minorEastAsia" w:cstheme="minorEastAsia"/>
          <w:color w:val="auto"/>
          <w:sz w:val="24"/>
          <w:lang w:val="en-US"/>
        </w:rPr>
        <w:t>针对本项目的质疑需一次性提出，多次提出将不予受理。供应商参与山西省政府采购项目时，符合法定质疑条件的，通过政府采购平台进入“项目质疑管理”栏目向采购人、采购代理机构在线提起质疑。</w:t>
      </w:r>
    </w:p>
    <w:p w14:paraId="4387D484">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val="en-US"/>
        </w:rPr>
      </w:pPr>
      <w:r>
        <w:rPr>
          <w:rFonts w:hint="eastAsia" w:asciiTheme="minorEastAsia" w:hAnsiTheme="minorEastAsia" w:eastAsiaTheme="minorEastAsia" w:cstheme="minorEastAsia"/>
          <w:color w:val="auto"/>
          <w:sz w:val="24"/>
          <w:lang w:val="en-US"/>
        </w:rPr>
        <w:t>代理费支付方式：供应商支付</w:t>
      </w:r>
    </w:p>
    <w:p w14:paraId="4E62176B">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rPr>
        <w:t>代理费收费标准：</w:t>
      </w:r>
      <w:r>
        <w:rPr>
          <w:rFonts w:hint="eastAsia" w:asciiTheme="minorEastAsia" w:hAnsiTheme="minorEastAsia" w:eastAsiaTheme="minorEastAsia" w:cstheme="minorEastAsia"/>
          <w:color w:val="auto"/>
          <w:sz w:val="24"/>
          <w:lang w:val="en-US" w:eastAsia="zh-CN"/>
        </w:rPr>
        <w:t>参照国家发展和改革委员会计价格【2002】1980号和发改办价格【2011】534号文件规定的收费标准。</w:t>
      </w:r>
    </w:p>
    <w:p w14:paraId="5D161471">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default" w:asciiTheme="minorEastAsia" w:hAnsiTheme="minorEastAsia" w:eastAsiaTheme="minorEastAsia" w:cstheme="minorEastAsia"/>
          <w:b/>
          <w:bCs/>
          <w:color w:val="auto"/>
          <w:sz w:val="24"/>
          <w:lang w:val="en-US" w:eastAsia="zh-CN" w:bidi="ar"/>
        </w:rPr>
      </w:pPr>
      <w:r>
        <w:rPr>
          <w:rFonts w:hint="eastAsia" w:asciiTheme="minorEastAsia" w:hAnsiTheme="minorEastAsia" w:eastAsiaTheme="minorEastAsia" w:cstheme="minorEastAsia"/>
          <w:color w:val="auto"/>
          <w:sz w:val="24"/>
          <w:lang w:val="en-US"/>
        </w:rPr>
        <w:t>代理费收费金额（元）：</w:t>
      </w:r>
      <w:r>
        <w:rPr>
          <w:rFonts w:hint="eastAsia" w:asciiTheme="minorEastAsia" w:hAnsiTheme="minorEastAsia" w:eastAsiaTheme="minorEastAsia" w:cstheme="minorEastAsia"/>
          <w:color w:val="auto"/>
          <w:sz w:val="24"/>
          <w:lang w:val="en-US" w:eastAsia="zh-CN"/>
        </w:rPr>
        <w:t>22000元</w:t>
      </w:r>
    </w:p>
    <w:p w14:paraId="2A1BBFFC">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lang w:bidi="ar"/>
        </w:rPr>
        <w:t>七、对本次招标提出询问，请按以下方式联系。</w:t>
      </w:r>
    </w:p>
    <w:p w14:paraId="303AD3D6">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eastAsia="zh-CN" w:bidi="ar"/>
        </w:rPr>
      </w:pPr>
      <w:r>
        <w:rPr>
          <w:rFonts w:hint="eastAsia" w:asciiTheme="minorEastAsia" w:hAnsiTheme="minorEastAsia" w:eastAsiaTheme="minorEastAsia" w:cstheme="minorEastAsia"/>
          <w:color w:val="auto"/>
          <w:sz w:val="24"/>
          <w:lang w:bidi="ar"/>
        </w:rPr>
        <w:t>1.采 购 人：</w:t>
      </w:r>
      <w:r>
        <w:rPr>
          <w:rFonts w:hint="eastAsia" w:asciiTheme="minorEastAsia" w:hAnsiTheme="minorEastAsia" w:eastAsiaTheme="minorEastAsia" w:cstheme="minorEastAsia"/>
          <w:color w:val="auto"/>
          <w:sz w:val="24"/>
          <w:lang w:eastAsia="zh-CN" w:bidi="ar"/>
        </w:rPr>
        <w:t>运城市公安局运城经济技术开发区分局</w:t>
      </w:r>
    </w:p>
    <w:p w14:paraId="72F79C3F">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eastAsia="zh-CN" w:bidi="ar"/>
        </w:rPr>
      </w:pPr>
      <w:r>
        <w:rPr>
          <w:rFonts w:hint="eastAsia" w:asciiTheme="minorEastAsia" w:hAnsiTheme="minorEastAsia" w:eastAsiaTheme="minorEastAsia" w:cstheme="minorEastAsia"/>
          <w:color w:val="auto"/>
          <w:sz w:val="24"/>
          <w:lang w:bidi="ar"/>
        </w:rPr>
        <w:t>地    址：</w:t>
      </w:r>
      <w:r>
        <w:rPr>
          <w:rFonts w:hint="eastAsia" w:asciiTheme="minorEastAsia" w:hAnsiTheme="minorEastAsia" w:eastAsiaTheme="minorEastAsia" w:cstheme="minorEastAsia"/>
          <w:color w:val="auto"/>
          <w:sz w:val="24"/>
          <w:lang w:eastAsia="zh-CN" w:bidi="ar"/>
        </w:rPr>
        <w:t>运城经济技术开发区纬四路</w:t>
      </w:r>
    </w:p>
    <w:p w14:paraId="30C8AFD0">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default"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eastAsia="zh-CN" w:bidi="ar"/>
        </w:rPr>
        <w:t>联 系 人：</w:t>
      </w:r>
      <w:r>
        <w:rPr>
          <w:rFonts w:hint="eastAsia" w:asciiTheme="minorEastAsia" w:hAnsiTheme="minorEastAsia" w:eastAsiaTheme="minorEastAsia" w:cstheme="minorEastAsia"/>
          <w:color w:val="auto"/>
          <w:sz w:val="24"/>
          <w:lang w:val="en-US" w:eastAsia="zh-CN" w:bidi="ar"/>
        </w:rPr>
        <w:t>刘先生</w:t>
      </w:r>
    </w:p>
    <w:p w14:paraId="64FD64E2">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default"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eastAsia="zh-CN" w:bidi="ar"/>
        </w:rPr>
        <w:t>电    话：</w:t>
      </w:r>
      <w:r>
        <w:rPr>
          <w:rFonts w:hint="eastAsia" w:asciiTheme="minorEastAsia" w:hAnsiTheme="minorEastAsia" w:eastAsiaTheme="minorEastAsia" w:cstheme="minorEastAsia"/>
          <w:color w:val="auto"/>
          <w:sz w:val="24"/>
          <w:lang w:val="en-US" w:eastAsia="zh-CN" w:bidi="ar"/>
        </w:rPr>
        <w:t>0359-2561816</w:t>
      </w:r>
    </w:p>
    <w:p w14:paraId="5DE0C919">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bidi="ar"/>
        </w:rPr>
        <w:t>2.采购代理机构：</w:t>
      </w:r>
      <w:r>
        <w:rPr>
          <w:rFonts w:hint="eastAsia" w:asciiTheme="minorEastAsia" w:hAnsiTheme="minorEastAsia" w:eastAsiaTheme="minorEastAsia" w:cstheme="minorEastAsia"/>
          <w:color w:val="auto"/>
          <w:sz w:val="24"/>
          <w:lang w:eastAsia="zh-CN" w:bidi="ar"/>
        </w:rPr>
        <w:t>山西蒙鸿招标代理有限公司</w:t>
      </w:r>
    </w:p>
    <w:p w14:paraId="0A321507">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eastAsia="zh-CN" w:bidi="ar"/>
        </w:rPr>
      </w:pPr>
      <w:r>
        <w:rPr>
          <w:rFonts w:hint="eastAsia" w:asciiTheme="minorEastAsia" w:hAnsiTheme="minorEastAsia" w:eastAsiaTheme="minorEastAsia" w:cstheme="minorEastAsia"/>
          <w:color w:val="auto"/>
          <w:sz w:val="24"/>
          <w:lang w:bidi="ar"/>
        </w:rPr>
        <w:t>地  址：</w:t>
      </w:r>
      <w:r>
        <w:rPr>
          <w:rFonts w:hint="eastAsia" w:asciiTheme="minorEastAsia" w:hAnsiTheme="minorEastAsia" w:eastAsiaTheme="minorEastAsia" w:cstheme="minorEastAsia"/>
          <w:color w:val="auto"/>
          <w:sz w:val="24"/>
          <w:lang w:eastAsia="zh-CN" w:bidi="ar"/>
        </w:rPr>
        <w:t>山西转型综合改革示范区唐槐产业园武洛街6号生产中心大楼5层518室</w:t>
      </w:r>
    </w:p>
    <w:p w14:paraId="6CC5B516">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eastAsia="zh-CN" w:bidi="ar"/>
        </w:rPr>
      </w:pPr>
      <w:r>
        <w:rPr>
          <w:rFonts w:hint="eastAsia" w:asciiTheme="minorEastAsia" w:hAnsiTheme="minorEastAsia" w:eastAsiaTheme="minorEastAsia" w:cstheme="minorEastAsia"/>
          <w:color w:val="auto"/>
          <w:sz w:val="24"/>
          <w:lang w:eastAsia="zh-CN" w:bidi="ar"/>
        </w:rPr>
        <w:t>电    话：13068006323</w:t>
      </w:r>
    </w:p>
    <w:p w14:paraId="54BE3A43">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eastAsia="zh-CN" w:bidi="ar"/>
        </w:rPr>
      </w:pPr>
      <w:r>
        <w:rPr>
          <w:rFonts w:hint="eastAsia" w:asciiTheme="minorEastAsia" w:hAnsiTheme="minorEastAsia" w:eastAsiaTheme="minorEastAsia" w:cstheme="minorEastAsia"/>
          <w:color w:val="auto"/>
          <w:sz w:val="24"/>
          <w:lang w:eastAsia="zh-CN" w:bidi="ar"/>
        </w:rPr>
        <w:t>3.项目联系方式</w:t>
      </w:r>
    </w:p>
    <w:p w14:paraId="3472C5E7">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eastAsia="zh-CN" w:bidi="ar"/>
        </w:rPr>
      </w:pPr>
      <w:r>
        <w:rPr>
          <w:rFonts w:hint="eastAsia" w:asciiTheme="minorEastAsia" w:hAnsiTheme="minorEastAsia" w:eastAsiaTheme="minorEastAsia" w:cstheme="minorEastAsia"/>
          <w:color w:val="auto"/>
          <w:sz w:val="24"/>
          <w:lang w:eastAsia="zh-CN" w:bidi="ar"/>
        </w:rPr>
        <w:t>项目联系人：</w:t>
      </w:r>
      <w:r>
        <w:rPr>
          <w:rFonts w:hint="eastAsia" w:asciiTheme="minorEastAsia" w:hAnsiTheme="minorEastAsia" w:eastAsiaTheme="minorEastAsia" w:cstheme="minorEastAsia"/>
          <w:color w:val="auto"/>
          <w:sz w:val="24"/>
          <w:lang w:val="en-US" w:eastAsia="zh-CN" w:bidi="ar"/>
        </w:rPr>
        <w:t>高文辉</w:t>
      </w:r>
    </w:p>
    <w:p w14:paraId="6FA0605A">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Fonts w:hint="eastAsia" w:asciiTheme="minorEastAsia" w:hAnsiTheme="minorEastAsia" w:eastAsiaTheme="minorEastAsia" w:cstheme="minorEastAsia"/>
          <w:color w:val="auto"/>
          <w:sz w:val="24"/>
          <w:lang w:eastAsia="zh-CN" w:bidi="ar"/>
        </w:rPr>
      </w:pPr>
      <w:r>
        <w:rPr>
          <w:rFonts w:hint="eastAsia" w:asciiTheme="minorEastAsia" w:hAnsiTheme="minorEastAsia" w:eastAsiaTheme="minorEastAsia" w:cstheme="minorEastAsia"/>
          <w:color w:val="auto"/>
          <w:sz w:val="24"/>
          <w:lang w:eastAsia="zh-CN" w:bidi="ar"/>
        </w:rPr>
        <w:t>电　话：13068006323</w:t>
      </w:r>
    </w:p>
    <w:p w14:paraId="3F5C67FE">
      <w:pPr>
        <w:widowControl/>
        <w:snapToGrid w:val="0"/>
        <w:spacing w:line="600" w:lineRule="exact"/>
        <w:ind w:firstLine="480" w:firstLineChars="200"/>
        <w:jc w:val="both"/>
        <w:textAlignment w:val="center"/>
        <w:rPr>
          <w:rFonts w:asciiTheme="minorEastAsia" w:hAnsiTheme="minorEastAsia" w:eastAsiaTheme="minorEastAsia" w:cstheme="minorEastAsia"/>
          <w:color w:val="auto"/>
          <w:sz w:val="24"/>
          <w:lang w:bidi="ar"/>
        </w:rPr>
      </w:pPr>
      <w:r>
        <w:rPr>
          <w:rFonts w:hint="eastAsia" w:asciiTheme="minorEastAsia" w:hAnsiTheme="minorEastAsia" w:eastAsiaTheme="minorEastAsia" w:cstheme="minorEastAsia"/>
          <w:color w:val="auto"/>
          <w:sz w:val="24"/>
          <w:lang w:bidi="ar"/>
        </w:rPr>
        <w:br w:type="page"/>
      </w:r>
    </w:p>
    <w:p w14:paraId="5102328A">
      <w:pPr>
        <w:jc w:val="center"/>
        <w:outlineLvl w:val="0"/>
        <w:rPr>
          <w:rFonts w:ascii="宋体" w:hAnsi="宋体" w:cs="宋体"/>
          <w:b/>
          <w:bCs/>
          <w:color w:val="auto"/>
          <w:sz w:val="32"/>
          <w:szCs w:val="28"/>
        </w:rPr>
      </w:pPr>
      <w:bookmarkStart w:id="2" w:name="_Toc100594736"/>
      <w:bookmarkStart w:id="3" w:name="_Toc21975"/>
      <w:r>
        <w:rPr>
          <w:rFonts w:hint="eastAsia" w:ascii="宋体" w:hAnsi="宋体" w:cs="宋体"/>
          <w:b/>
          <w:bCs/>
          <w:color w:val="auto"/>
          <w:sz w:val="32"/>
          <w:szCs w:val="28"/>
        </w:rPr>
        <w:t>第二章  投标须知</w:t>
      </w:r>
      <w:bookmarkEnd w:id="2"/>
      <w:bookmarkEnd w:id="3"/>
    </w:p>
    <w:p w14:paraId="39AC325D">
      <w:pPr>
        <w:widowControl/>
        <w:tabs>
          <w:tab w:val="left" w:pos="2070"/>
          <w:tab w:val="center" w:pos="4365"/>
        </w:tabs>
        <w:snapToGrid w:val="0"/>
        <w:spacing w:after="120" w:afterLines="50" w:line="300" w:lineRule="exact"/>
        <w:jc w:val="center"/>
        <w:outlineLvl w:val="1"/>
        <w:rPr>
          <w:rStyle w:val="86"/>
          <w:rFonts w:ascii="宋体" w:hAnsi="宋体" w:eastAsia="宋体" w:cs="宋体"/>
          <w:b/>
          <w:bCs w:val="0"/>
          <w:color w:val="auto"/>
          <w:sz w:val="28"/>
          <w:szCs w:val="28"/>
        </w:rPr>
      </w:pPr>
      <w:bookmarkStart w:id="4" w:name="_Toc100594737"/>
      <w:bookmarkStart w:id="5" w:name="_Toc86202581"/>
      <w:r>
        <w:rPr>
          <w:rStyle w:val="86"/>
          <w:rFonts w:hint="eastAsia" w:ascii="宋体" w:hAnsi="宋体" w:eastAsia="宋体" w:cs="宋体"/>
          <w:b/>
          <w:bCs w:val="0"/>
          <w:color w:val="auto"/>
          <w:sz w:val="28"/>
          <w:szCs w:val="28"/>
        </w:rPr>
        <w:t>投标须知前附表</w:t>
      </w:r>
      <w:bookmarkEnd w:id="4"/>
    </w:p>
    <w:tbl>
      <w:tblPr>
        <w:tblStyle w:val="33"/>
        <w:tblW w:w="10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2004"/>
        <w:gridCol w:w="7296"/>
      </w:tblGrid>
      <w:tr w14:paraId="57CC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5BEF9F8B">
            <w:pPr>
              <w:keepNext w:val="0"/>
              <w:keepLines w:val="0"/>
              <w:pageBreakBefore w:val="0"/>
              <w:kinsoku/>
              <w:wordWrap/>
              <w:overflowPunct/>
              <w:topLinePunct w:val="0"/>
              <w:autoSpaceDE/>
              <w:autoSpaceDN/>
              <w:bidi w:val="0"/>
              <w:adjustRightInd/>
              <w:spacing w:line="440" w:lineRule="exact"/>
              <w:jc w:val="center"/>
              <w:rPr>
                <w:rFonts w:ascii="宋体" w:hAnsi="宋体" w:cs="宋体"/>
                <w:b/>
                <w:bCs/>
                <w:color w:val="auto"/>
                <w:sz w:val="24"/>
              </w:rPr>
            </w:pPr>
            <w:r>
              <w:rPr>
                <w:rFonts w:hint="eastAsia" w:ascii="宋体" w:hAnsi="宋体" w:cs="宋体"/>
                <w:b/>
                <w:bCs/>
                <w:color w:val="auto"/>
                <w:sz w:val="24"/>
              </w:rPr>
              <w:t>条款号</w:t>
            </w:r>
          </w:p>
        </w:tc>
        <w:tc>
          <w:tcPr>
            <w:tcW w:w="2004" w:type="dxa"/>
            <w:vAlign w:val="center"/>
          </w:tcPr>
          <w:p w14:paraId="0BE83EEB">
            <w:pPr>
              <w:keepNext w:val="0"/>
              <w:keepLines w:val="0"/>
              <w:pageBreakBefore w:val="0"/>
              <w:kinsoku/>
              <w:wordWrap/>
              <w:overflowPunct/>
              <w:topLinePunct w:val="0"/>
              <w:autoSpaceDE/>
              <w:autoSpaceDN/>
              <w:bidi w:val="0"/>
              <w:adjustRightInd/>
              <w:spacing w:line="440" w:lineRule="exact"/>
              <w:jc w:val="center"/>
              <w:rPr>
                <w:rFonts w:ascii="宋体" w:hAnsi="宋体" w:cs="宋体"/>
                <w:b/>
                <w:bCs/>
                <w:color w:val="auto"/>
                <w:sz w:val="24"/>
              </w:rPr>
            </w:pPr>
            <w:r>
              <w:rPr>
                <w:rFonts w:hint="eastAsia" w:ascii="宋体" w:hAnsi="宋体" w:cs="宋体"/>
                <w:b/>
                <w:bCs/>
                <w:color w:val="auto"/>
                <w:sz w:val="24"/>
              </w:rPr>
              <w:t>条款名称</w:t>
            </w:r>
          </w:p>
        </w:tc>
        <w:tc>
          <w:tcPr>
            <w:tcW w:w="7296" w:type="dxa"/>
            <w:vAlign w:val="center"/>
          </w:tcPr>
          <w:p w14:paraId="36226C37">
            <w:pPr>
              <w:keepNext w:val="0"/>
              <w:keepLines w:val="0"/>
              <w:pageBreakBefore w:val="0"/>
              <w:kinsoku/>
              <w:wordWrap/>
              <w:overflowPunct/>
              <w:topLinePunct w:val="0"/>
              <w:autoSpaceDE/>
              <w:autoSpaceDN/>
              <w:bidi w:val="0"/>
              <w:adjustRightInd/>
              <w:spacing w:line="440" w:lineRule="exact"/>
              <w:jc w:val="center"/>
              <w:rPr>
                <w:rFonts w:ascii="宋体" w:hAnsi="宋体" w:cs="宋体"/>
                <w:b/>
                <w:bCs/>
                <w:color w:val="auto"/>
                <w:sz w:val="24"/>
              </w:rPr>
            </w:pPr>
            <w:r>
              <w:rPr>
                <w:rFonts w:hint="eastAsia" w:ascii="宋体" w:hAnsi="宋体" w:cs="宋体"/>
                <w:b/>
                <w:bCs/>
                <w:color w:val="auto"/>
                <w:sz w:val="24"/>
              </w:rPr>
              <w:t>编列内容规定</w:t>
            </w:r>
          </w:p>
        </w:tc>
      </w:tr>
      <w:tr w14:paraId="7F87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2" w:type="dxa"/>
            <w:vAlign w:val="center"/>
          </w:tcPr>
          <w:p w14:paraId="24D3535D">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1</w:t>
            </w:r>
          </w:p>
        </w:tc>
        <w:tc>
          <w:tcPr>
            <w:tcW w:w="2004" w:type="dxa"/>
            <w:vAlign w:val="center"/>
          </w:tcPr>
          <w:p w14:paraId="1ED452EE">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采购项目</w:t>
            </w:r>
          </w:p>
        </w:tc>
        <w:tc>
          <w:tcPr>
            <w:tcW w:w="7296" w:type="dxa"/>
            <w:vAlign w:val="center"/>
          </w:tcPr>
          <w:p w14:paraId="1F67DC62">
            <w:pPr>
              <w:keepNext w:val="0"/>
              <w:keepLines w:val="0"/>
              <w:pageBreakBefore w:val="0"/>
              <w:kinsoku/>
              <w:wordWrap/>
              <w:overflowPunct/>
              <w:topLinePunct w:val="0"/>
              <w:autoSpaceDE/>
              <w:autoSpaceDN/>
              <w:bidi w:val="0"/>
              <w:adjustRightInd/>
              <w:spacing w:line="420" w:lineRule="exact"/>
              <w:rPr>
                <w:rFonts w:hint="eastAsia" w:ascii="宋体" w:hAnsi="宋体" w:eastAsia="宋体" w:cs="宋体"/>
                <w:color w:val="auto"/>
                <w:sz w:val="24"/>
                <w:lang w:eastAsia="zh-CN"/>
              </w:rPr>
            </w:pPr>
            <w:r>
              <w:rPr>
                <w:rFonts w:hint="eastAsia" w:ascii="宋体" w:hAnsi="宋体" w:cs="宋体"/>
                <w:color w:val="auto"/>
                <w:kern w:val="0"/>
                <w:sz w:val="24"/>
                <w:lang w:eastAsia="zh-CN" w:bidi="ar"/>
              </w:rPr>
              <w:t>运城市公安局运城经济技术开发区分局执法办案管理中心提质增效项目</w:t>
            </w:r>
          </w:p>
        </w:tc>
      </w:tr>
      <w:tr w14:paraId="2FD1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02" w:type="dxa"/>
            <w:vAlign w:val="center"/>
          </w:tcPr>
          <w:p w14:paraId="63B2ABDF">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2</w:t>
            </w:r>
          </w:p>
        </w:tc>
        <w:tc>
          <w:tcPr>
            <w:tcW w:w="2004" w:type="dxa"/>
            <w:vAlign w:val="center"/>
          </w:tcPr>
          <w:p w14:paraId="6E9F21B0">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采 购 人</w:t>
            </w:r>
          </w:p>
        </w:tc>
        <w:tc>
          <w:tcPr>
            <w:tcW w:w="7296" w:type="dxa"/>
            <w:vAlign w:val="center"/>
          </w:tcPr>
          <w:p w14:paraId="07E1FCD4">
            <w:pPr>
              <w:keepNext w:val="0"/>
              <w:keepLines w:val="0"/>
              <w:pageBreakBefore w:val="0"/>
              <w:kinsoku/>
              <w:wordWrap/>
              <w:overflowPunct/>
              <w:topLinePunct w:val="0"/>
              <w:autoSpaceDE/>
              <w:autoSpaceDN/>
              <w:bidi w:val="0"/>
              <w:adjustRightInd/>
              <w:spacing w:line="420" w:lineRule="exact"/>
              <w:rPr>
                <w:rFonts w:hint="eastAsia" w:ascii="宋体" w:hAnsi="宋体" w:cs="宋体"/>
                <w:color w:val="auto"/>
                <w:kern w:val="0"/>
                <w:sz w:val="24"/>
                <w:lang w:eastAsia="zh-CN" w:bidi="ar"/>
              </w:rPr>
            </w:pPr>
            <w:r>
              <w:rPr>
                <w:rFonts w:hint="eastAsia" w:ascii="宋体" w:hAnsi="宋体" w:cs="宋体"/>
                <w:color w:val="auto"/>
                <w:kern w:val="0"/>
                <w:sz w:val="24"/>
                <w:lang w:eastAsia="zh-CN" w:bidi="ar"/>
              </w:rPr>
              <w:t>采 购 人：运城市公安局运城经济技术开发区分局</w:t>
            </w:r>
          </w:p>
          <w:p w14:paraId="5B664F9D">
            <w:pPr>
              <w:keepNext w:val="0"/>
              <w:keepLines w:val="0"/>
              <w:pageBreakBefore w:val="0"/>
              <w:kinsoku/>
              <w:wordWrap/>
              <w:overflowPunct/>
              <w:topLinePunct w:val="0"/>
              <w:autoSpaceDE/>
              <w:autoSpaceDN/>
              <w:bidi w:val="0"/>
              <w:adjustRightInd/>
              <w:spacing w:line="420" w:lineRule="exact"/>
              <w:rPr>
                <w:rFonts w:hint="eastAsia" w:ascii="宋体" w:hAnsi="宋体" w:cs="宋体"/>
                <w:color w:val="auto"/>
                <w:kern w:val="0"/>
                <w:sz w:val="24"/>
                <w:lang w:eastAsia="zh-CN" w:bidi="ar"/>
              </w:rPr>
            </w:pPr>
            <w:r>
              <w:rPr>
                <w:rFonts w:hint="eastAsia" w:ascii="宋体" w:hAnsi="宋体" w:cs="宋体"/>
                <w:color w:val="auto"/>
                <w:kern w:val="0"/>
                <w:sz w:val="24"/>
                <w:lang w:eastAsia="zh-CN" w:bidi="ar"/>
              </w:rPr>
              <w:t>地    址：</w:t>
            </w:r>
            <w:r>
              <w:rPr>
                <w:rFonts w:hint="eastAsia" w:ascii="宋体" w:hAnsi="宋体" w:cs="宋体"/>
                <w:color w:val="auto"/>
                <w:sz w:val="24"/>
                <w:lang w:val="en-US" w:eastAsia="zh-CN"/>
              </w:rPr>
              <w:t>运城经济技术开发区纬四路</w:t>
            </w:r>
          </w:p>
          <w:p w14:paraId="1229B871">
            <w:pPr>
              <w:keepNext w:val="0"/>
              <w:keepLines w:val="0"/>
              <w:pageBreakBefore w:val="0"/>
              <w:kinsoku/>
              <w:wordWrap/>
              <w:overflowPunct/>
              <w:topLinePunct w:val="0"/>
              <w:autoSpaceDE/>
              <w:autoSpaceDN/>
              <w:bidi w:val="0"/>
              <w:adjustRightInd/>
              <w:spacing w:line="420" w:lineRule="exact"/>
              <w:rPr>
                <w:rFonts w:hint="eastAsia" w:ascii="宋体" w:hAnsi="宋体" w:eastAsia="宋体" w:cs="宋体"/>
                <w:color w:val="auto"/>
                <w:kern w:val="0"/>
                <w:sz w:val="24"/>
                <w:lang w:val="en-US" w:eastAsia="zh-CN" w:bidi="ar"/>
              </w:rPr>
            </w:pPr>
            <w:r>
              <w:rPr>
                <w:rFonts w:hint="eastAsia" w:ascii="宋体" w:hAnsi="宋体" w:cs="宋体"/>
                <w:color w:val="auto"/>
                <w:kern w:val="0"/>
                <w:sz w:val="24"/>
                <w:lang w:eastAsia="zh-CN" w:bidi="ar"/>
              </w:rPr>
              <w:t>联 系 人：</w:t>
            </w:r>
            <w:r>
              <w:rPr>
                <w:rFonts w:hint="eastAsia" w:ascii="宋体" w:hAnsi="宋体" w:cs="宋体"/>
                <w:i w:val="0"/>
                <w:iCs w:val="0"/>
                <w:caps w:val="0"/>
                <w:color w:val="auto"/>
                <w:spacing w:val="0"/>
                <w:sz w:val="24"/>
                <w:szCs w:val="24"/>
                <w:lang w:val="en-US" w:eastAsia="zh-CN"/>
              </w:rPr>
              <w:t>刘先生</w:t>
            </w:r>
          </w:p>
          <w:p w14:paraId="6906AFFE">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kern w:val="0"/>
                <w:sz w:val="24"/>
                <w:lang w:eastAsia="zh-CN" w:bidi="ar"/>
              </w:rPr>
              <w:t>电    话：</w:t>
            </w:r>
            <w:r>
              <w:rPr>
                <w:rFonts w:hint="eastAsia" w:ascii="宋体" w:hAnsi="宋体" w:cs="宋体"/>
                <w:color w:val="auto"/>
                <w:kern w:val="0"/>
                <w:sz w:val="24"/>
                <w:lang w:val="en-US" w:eastAsia="zh-CN" w:bidi="ar"/>
              </w:rPr>
              <w:t>0359-2561816</w:t>
            </w:r>
          </w:p>
        </w:tc>
      </w:tr>
      <w:tr w14:paraId="6E43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902" w:type="dxa"/>
            <w:vAlign w:val="center"/>
          </w:tcPr>
          <w:p w14:paraId="6243575E">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3</w:t>
            </w:r>
          </w:p>
        </w:tc>
        <w:tc>
          <w:tcPr>
            <w:tcW w:w="2004" w:type="dxa"/>
            <w:vAlign w:val="center"/>
          </w:tcPr>
          <w:p w14:paraId="347290F0">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采购代理</w:t>
            </w:r>
          </w:p>
          <w:p w14:paraId="2F29E189">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机构</w:t>
            </w:r>
          </w:p>
        </w:tc>
        <w:tc>
          <w:tcPr>
            <w:tcW w:w="7296" w:type="dxa"/>
            <w:vAlign w:val="center"/>
          </w:tcPr>
          <w:p w14:paraId="791E055A">
            <w:pPr>
              <w:keepNext w:val="0"/>
              <w:keepLines w:val="0"/>
              <w:pageBreakBefore w:val="0"/>
              <w:kinsoku/>
              <w:wordWrap/>
              <w:overflowPunct/>
              <w:topLinePunct w:val="0"/>
              <w:autoSpaceDE/>
              <w:autoSpaceDN/>
              <w:bidi w:val="0"/>
              <w:adjustRightInd/>
              <w:spacing w:line="420" w:lineRule="exact"/>
              <w:rPr>
                <w:rFonts w:hint="eastAsia" w:ascii="宋体" w:hAnsi="宋体" w:eastAsia="宋体" w:cs="宋体"/>
                <w:color w:val="auto"/>
                <w:sz w:val="24"/>
                <w:lang w:eastAsia="zh-CN"/>
              </w:rPr>
            </w:pPr>
            <w:r>
              <w:rPr>
                <w:rFonts w:hint="eastAsia" w:ascii="宋体" w:hAnsi="宋体" w:cs="宋体"/>
                <w:color w:val="auto"/>
                <w:sz w:val="24"/>
              </w:rPr>
              <w:t>代理机构：</w:t>
            </w:r>
            <w:r>
              <w:rPr>
                <w:rFonts w:hint="eastAsia" w:ascii="宋体" w:hAnsi="宋体" w:cs="宋体"/>
                <w:color w:val="auto"/>
                <w:sz w:val="24"/>
                <w:lang w:eastAsia="zh-CN"/>
              </w:rPr>
              <w:t>山西蒙鸿招标代理有限公司</w:t>
            </w:r>
          </w:p>
          <w:p w14:paraId="3AB1933B">
            <w:pPr>
              <w:keepNext w:val="0"/>
              <w:keepLines w:val="0"/>
              <w:pageBreakBefore w:val="0"/>
              <w:kinsoku/>
              <w:wordWrap/>
              <w:overflowPunct/>
              <w:topLinePunct w:val="0"/>
              <w:autoSpaceDE/>
              <w:autoSpaceDN/>
              <w:bidi w:val="0"/>
              <w:adjustRightInd/>
              <w:spacing w:line="420" w:lineRule="exact"/>
              <w:rPr>
                <w:rFonts w:hint="eastAsia" w:ascii="宋体" w:hAnsi="宋体" w:eastAsia="宋体" w:cs="宋体"/>
                <w:color w:val="auto"/>
                <w:sz w:val="24"/>
                <w:lang w:eastAsia="zh-CN"/>
              </w:rPr>
            </w:pPr>
            <w:r>
              <w:rPr>
                <w:rFonts w:hint="eastAsia" w:ascii="宋体" w:hAnsi="宋体" w:cs="宋体"/>
                <w:color w:val="auto"/>
                <w:sz w:val="24"/>
              </w:rPr>
              <w:t>地  址：</w:t>
            </w:r>
            <w:r>
              <w:rPr>
                <w:rFonts w:hint="eastAsia" w:ascii="宋体" w:hAnsi="宋体" w:cs="宋体"/>
                <w:color w:val="auto"/>
                <w:sz w:val="24"/>
                <w:lang w:eastAsia="zh-CN"/>
              </w:rPr>
              <w:t>山西转型综合改革示范区唐槐产业园武洛街6号生产中心大楼5层518室</w:t>
            </w:r>
          </w:p>
          <w:p w14:paraId="767E0D99">
            <w:pPr>
              <w:keepNext w:val="0"/>
              <w:keepLines w:val="0"/>
              <w:pageBreakBefore w:val="0"/>
              <w:kinsoku/>
              <w:wordWrap/>
              <w:overflowPunct/>
              <w:topLinePunct w:val="0"/>
              <w:autoSpaceDE/>
              <w:autoSpaceDN/>
              <w:bidi w:val="0"/>
              <w:adjustRightInd/>
              <w:spacing w:line="420" w:lineRule="exact"/>
              <w:rPr>
                <w:rFonts w:hint="eastAsia" w:ascii="宋体" w:hAnsi="宋体" w:eastAsia="宋体" w:cs="宋体"/>
                <w:color w:val="auto"/>
                <w:sz w:val="24"/>
                <w:lang w:eastAsia="zh-CN"/>
              </w:rPr>
            </w:pPr>
            <w:r>
              <w:rPr>
                <w:rFonts w:hint="eastAsia" w:ascii="宋体" w:hAnsi="宋体" w:cs="宋体"/>
                <w:color w:val="auto"/>
                <w:sz w:val="24"/>
              </w:rPr>
              <w:t>联 系 人：</w:t>
            </w:r>
            <w:r>
              <w:rPr>
                <w:rFonts w:hint="eastAsia" w:ascii="宋体" w:hAnsi="宋体" w:cs="宋体"/>
                <w:color w:val="auto"/>
                <w:sz w:val="24"/>
                <w:lang w:val="en-US" w:eastAsia="zh-CN"/>
              </w:rPr>
              <w:t>高文辉</w:t>
            </w:r>
          </w:p>
          <w:p w14:paraId="4AF9A27A">
            <w:pPr>
              <w:keepNext w:val="0"/>
              <w:keepLines w:val="0"/>
              <w:pageBreakBefore w:val="0"/>
              <w:kinsoku/>
              <w:wordWrap/>
              <w:overflowPunct/>
              <w:topLinePunct w:val="0"/>
              <w:autoSpaceDE/>
              <w:autoSpaceDN/>
              <w:bidi w:val="0"/>
              <w:adjustRightInd/>
              <w:spacing w:line="420" w:lineRule="exact"/>
              <w:rPr>
                <w:rFonts w:hint="eastAsia" w:ascii="宋体" w:hAnsi="宋体" w:eastAsia="宋体" w:cs="宋体"/>
                <w:color w:val="auto"/>
                <w:sz w:val="24"/>
                <w:lang w:eastAsia="zh-CN"/>
              </w:rPr>
            </w:pPr>
            <w:r>
              <w:rPr>
                <w:rFonts w:hint="eastAsia" w:ascii="宋体" w:hAnsi="宋体" w:cs="宋体"/>
                <w:color w:val="auto"/>
                <w:sz w:val="24"/>
              </w:rPr>
              <w:t>电    话：</w:t>
            </w:r>
            <w:r>
              <w:rPr>
                <w:rFonts w:hint="eastAsia" w:asciiTheme="minorEastAsia" w:hAnsiTheme="minorEastAsia" w:eastAsiaTheme="minorEastAsia" w:cstheme="minorEastAsia"/>
                <w:color w:val="auto"/>
                <w:sz w:val="24"/>
                <w:lang w:eastAsia="zh-CN" w:bidi="ar"/>
              </w:rPr>
              <w:t>13068006323</w:t>
            </w:r>
          </w:p>
        </w:tc>
      </w:tr>
      <w:tr w14:paraId="6D64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02" w:type="dxa"/>
            <w:vAlign w:val="center"/>
          </w:tcPr>
          <w:p w14:paraId="4899B39B">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4</w:t>
            </w:r>
          </w:p>
        </w:tc>
        <w:tc>
          <w:tcPr>
            <w:tcW w:w="2004" w:type="dxa"/>
            <w:vAlign w:val="center"/>
          </w:tcPr>
          <w:p w14:paraId="1F0C45FD">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采购方式</w:t>
            </w:r>
          </w:p>
        </w:tc>
        <w:tc>
          <w:tcPr>
            <w:tcW w:w="7296" w:type="dxa"/>
            <w:vAlign w:val="center"/>
          </w:tcPr>
          <w:p w14:paraId="2B575560">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公开招标</w:t>
            </w:r>
          </w:p>
        </w:tc>
      </w:tr>
      <w:tr w14:paraId="5A35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02" w:type="dxa"/>
            <w:vAlign w:val="center"/>
          </w:tcPr>
          <w:p w14:paraId="4D0E910F">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5</w:t>
            </w:r>
          </w:p>
        </w:tc>
        <w:tc>
          <w:tcPr>
            <w:tcW w:w="2004" w:type="dxa"/>
            <w:vAlign w:val="center"/>
          </w:tcPr>
          <w:p w14:paraId="060FF5B2">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资金来源</w:t>
            </w:r>
          </w:p>
        </w:tc>
        <w:tc>
          <w:tcPr>
            <w:tcW w:w="7296" w:type="dxa"/>
            <w:vAlign w:val="center"/>
          </w:tcPr>
          <w:p w14:paraId="71EE2D67">
            <w:pPr>
              <w:keepNext w:val="0"/>
              <w:keepLines w:val="0"/>
              <w:pageBreakBefore w:val="0"/>
              <w:kinsoku/>
              <w:wordWrap/>
              <w:overflowPunct/>
              <w:topLinePunct w:val="0"/>
              <w:autoSpaceDE/>
              <w:autoSpaceDN/>
              <w:bidi w:val="0"/>
              <w:adjustRightInd/>
              <w:spacing w:line="420" w:lineRule="exact"/>
              <w:rPr>
                <w:rFonts w:hint="default" w:ascii="宋体" w:hAnsi="宋体" w:cs="宋体"/>
                <w:color w:val="auto"/>
                <w:sz w:val="24"/>
                <w:lang w:val="en-US"/>
              </w:rPr>
            </w:pPr>
            <w:r>
              <w:rPr>
                <w:rFonts w:hint="eastAsia" w:ascii="宋体" w:hAnsi="宋体" w:cs="宋体"/>
                <w:color w:val="auto"/>
                <w:sz w:val="24"/>
                <w:lang w:val="en-US" w:eastAsia="zh-CN"/>
              </w:rPr>
              <w:t>财政资金</w:t>
            </w:r>
          </w:p>
        </w:tc>
      </w:tr>
      <w:tr w14:paraId="7230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02" w:type="dxa"/>
            <w:vAlign w:val="center"/>
          </w:tcPr>
          <w:p w14:paraId="17C7FD96">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6</w:t>
            </w:r>
          </w:p>
        </w:tc>
        <w:tc>
          <w:tcPr>
            <w:tcW w:w="2004" w:type="dxa"/>
            <w:vAlign w:val="center"/>
          </w:tcPr>
          <w:p w14:paraId="05B715BD">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采购范围</w:t>
            </w:r>
          </w:p>
        </w:tc>
        <w:tc>
          <w:tcPr>
            <w:tcW w:w="7296" w:type="dxa"/>
            <w:vAlign w:val="center"/>
          </w:tcPr>
          <w:p w14:paraId="0FEBFE19">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Theme="minorEastAsia" w:hAnsiTheme="minorEastAsia" w:eastAsiaTheme="minorEastAsia" w:cstheme="minorEastAsia"/>
                <w:color w:val="auto"/>
                <w:kern w:val="0"/>
                <w:sz w:val="24"/>
                <w:lang w:val="en-US" w:eastAsia="zh-CN" w:bidi="ar"/>
              </w:rPr>
              <w:t>包含货物的购置、运输、安装、调试、培训和售后服务等，以及图纸及工程量清单范围内的全部内容</w:t>
            </w:r>
            <w:r>
              <w:rPr>
                <w:rFonts w:hint="eastAsia" w:asciiTheme="minorEastAsia" w:hAnsiTheme="minorEastAsia" w:eastAsiaTheme="minorEastAsia" w:cstheme="minorEastAsia"/>
                <w:color w:val="auto"/>
                <w:kern w:val="0"/>
                <w:sz w:val="24"/>
                <w:lang w:bidi="ar"/>
              </w:rPr>
              <w:t>。</w:t>
            </w:r>
          </w:p>
        </w:tc>
      </w:tr>
      <w:tr w14:paraId="0386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vAlign w:val="center"/>
          </w:tcPr>
          <w:p w14:paraId="3A1A4EDB">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7</w:t>
            </w:r>
          </w:p>
        </w:tc>
        <w:tc>
          <w:tcPr>
            <w:tcW w:w="2004" w:type="dxa"/>
            <w:vAlign w:val="center"/>
          </w:tcPr>
          <w:p w14:paraId="62769CFD">
            <w:pPr>
              <w:keepNext w:val="0"/>
              <w:keepLines w:val="0"/>
              <w:pageBreakBefore w:val="0"/>
              <w:kinsoku/>
              <w:wordWrap/>
              <w:overflowPunct/>
              <w:topLinePunct w:val="0"/>
              <w:autoSpaceDE/>
              <w:autoSpaceDN/>
              <w:bidi w:val="0"/>
              <w:adjustRightInd/>
              <w:spacing w:line="420" w:lineRule="exact"/>
              <w:jc w:val="center"/>
              <w:rPr>
                <w:rFonts w:ascii="宋体" w:hAnsi="宋体" w:cs="宋体"/>
                <w:b/>
                <w:bCs w:val="0"/>
                <w:color w:val="auto"/>
                <w:sz w:val="24"/>
                <w:lang w:val="zh-CN"/>
              </w:rPr>
            </w:pPr>
            <w:r>
              <w:rPr>
                <w:rFonts w:hint="eastAsia" w:ascii="宋体" w:hAnsi="宋体" w:cs="宋体"/>
                <w:b/>
                <w:bCs w:val="0"/>
                <w:color w:val="auto"/>
                <w:sz w:val="24"/>
                <w:lang w:val="zh-CN"/>
              </w:rPr>
              <w:t>合同履约期限（供货期限）</w:t>
            </w:r>
          </w:p>
        </w:tc>
        <w:tc>
          <w:tcPr>
            <w:tcW w:w="7296" w:type="dxa"/>
            <w:vAlign w:val="center"/>
          </w:tcPr>
          <w:p w14:paraId="4F1578ED">
            <w:pPr>
              <w:keepNext w:val="0"/>
              <w:keepLines w:val="0"/>
              <w:pageBreakBefore w:val="0"/>
              <w:kinsoku/>
              <w:wordWrap/>
              <w:overflowPunct/>
              <w:topLinePunct w:val="0"/>
              <w:autoSpaceDE/>
              <w:autoSpaceDN/>
              <w:bidi w:val="0"/>
              <w:adjustRightInd/>
              <w:spacing w:line="420" w:lineRule="exact"/>
              <w:rPr>
                <w:rFonts w:ascii="宋体" w:hAnsi="宋体" w:cs="宋体"/>
                <w:bCs/>
                <w:color w:val="auto"/>
                <w:sz w:val="24"/>
                <w:lang w:val="zh-CN"/>
              </w:rPr>
            </w:pPr>
            <w:r>
              <w:rPr>
                <w:rFonts w:hint="eastAsia" w:ascii="宋体" w:hAnsi="宋体" w:cs="宋体"/>
                <w:bCs/>
                <w:color w:val="auto"/>
                <w:sz w:val="24"/>
                <w:lang w:val="zh-CN"/>
              </w:rPr>
              <w:t>50天</w:t>
            </w:r>
          </w:p>
        </w:tc>
      </w:tr>
      <w:tr w14:paraId="0D33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vAlign w:val="center"/>
          </w:tcPr>
          <w:p w14:paraId="208C5C65">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8</w:t>
            </w:r>
          </w:p>
        </w:tc>
        <w:tc>
          <w:tcPr>
            <w:tcW w:w="2004" w:type="dxa"/>
            <w:vAlign w:val="center"/>
          </w:tcPr>
          <w:p w14:paraId="41C9590C">
            <w:pPr>
              <w:keepNext w:val="0"/>
              <w:keepLines w:val="0"/>
              <w:pageBreakBefore w:val="0"/>
              <w:kinsoku/>
              <w:wordWrap/>
              <w:overflowPunct/>
              <w:topLinePunct w:val="0"/>
              <w:autoSpaceDE/>
              <w:autoSpaceDN/>
              <w:bidi w:val="0"/>
              <w:adjustRightInd/>
              <w:spacing w:line="420" w:lineRule="exact"/>
              <w:jc w:val="center"/>
              <w:rPr>
                <w:rFonts w:ascii="宋体" w:hAnsi="宋体" w:cs="宋体"/>
                <w:b/>
                <w:bCs w:val="0"/>
                <w:color w:val="auto"/>
                <w:sz w:val="24"/>
              </w:rPr>
            </w:pPr>
            <w:r>
              <w:rPr>
                <w:rFonts w:hint="eastAsia" w:ascii="宋体" w:hAnsi="宋体" w:cs="宋体"/>
                <w:b/>
                <w:bCs w:val="0"/>
                <w:color w:val="auto"/>
                <w:sz w:val="24"/>
              </w:rPr>
              <w:t>质量标准</w:t>
            </w:r>
          </w:p>
        </w:tc>
        <w:tc>
          <w:tcPr>
            <w:tcW w:w="7296" w:type="dxa"/>
            <w:vAlign w:val="center"/>
          </w:tcPr>
          <w:p w14:paraId="6A472591">
            <w:pPr>
              <w:keepNext w:val="0"/>
              <w:keepLines w:val="0"/>
              <w:pageBreakBefore w:val="0"/>
              <w:kinsoku/>
              <w:wordWrap/>
              <w:overflowPunct/>
              <w:topLinePunct w:val="0"/>
              <w:autoSpaceDE/>
              <w:autoSpaceDN/>
              <w:bidi w:val="0"/>
              <w:adjustRightInd/>
              <w:spacing w:line="420" w:lineRule="exact"/>
              <w:rPr>
                <w:rFonts w:hint="eastAsia" w:ascii="宋体" w:hAnsi="宋体" w:eastAsia="宋体" w:cs="宋体"/>
                <w:bCs/>
                <w:color w:val="auto"/>
                <w:sz w:val="24"/>
                <w:lang w:val="zh-CN" w:eastAsia="zh-CN"/>
              </w:rPr>
            </w:pPr>
            <w:r>
              <w:rPr>
                <w:rFonts w:hint="eastAsia" w:ascii="宋体" w:hAnsi="宋体" w:cs="宋体"/>
                <w:bCs/>
                <w:color w:val="auto"/>
                <w:sz w:val="24"/>
                <w:lang w:eastAsia="zh-CN"/>
              </w:rPr>
              <w:t>符合国家相关强制性规定标准，合格。</w:t>
            </w:r>
          </w:p>
        </w:tc>
      </w:tr>
      <w:tr w14:paraId="3629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 w:type="dxa"/>
            <w:vAlign w:val="center"/>
          </w:tcPr>
          <w:p w14:paraId="33516729">
            <w:pPr>
              <w:keepNext w:val="0"/>
              <w:keepLines w:val="0"/>
              <w:pageBreakBefore w:val="0"/>
              <w:kinsoku/>
              <w:wordWrap/>
              <w:overflowPunct/>
              <w:topLinePunct w:val="0"/>
              <w:autoSpaceDE/>
              <w:autoSpaceDN/>
              <w:bidi w:val="0"/>
              <w:adjustRightInd/>
              <w:spacing w:line="42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w:t>
            </w:r>
          </w:p>
        </w:tc>
        <w:tc>
          <w:tcPr>
            <w:tcW w:w="2004" w:type="dxa"/>
            <w:vAlign w:val="center"/>
          </w:tcPr>
          <w:p w14:paraId="057D625C">
            <w:pPr>
              <w:keepNext w:val="0"/>
              <w:keepLines w:val="0"/>
              <w:pageBreakBefore w:val="0"/>
              <w:kinsoku/>
              <w:wordWrap/>
              <w:overflowPunct/>
              <w:topLinePunct w:val="0"/>
              <w:autoSpaceDE/>
              <w:autoSpaceDN/>
              <w:bidi w:val="0"/>
              <w:adjustRightInd/>
              <w:spacing w:line="420" w:lineRule="exact"/>
              <w:jc w:val="center"/>
              <w:rPr>
                <w:rFonts w:hint="eastAsia" w:ascii="宋体" w:hAnsi="宋体" w:eastAsia="宋体" w:cs="宋体"/>
                <w:b/>
                <w:bCs w:val="0"/>
                <w:color w:val="auto"/>
                <w:sz w:val="24"/>
                <w:lang w:val="en-US" w:eastAsia="zh-CN"/>
              </w:rPr>
            </w:pPr>
            <w:r>
              <w:rPr>
                <w:rFonts w:hint="eastAsia" w:ascii="宋体" w:hAnsi="宋体" w:cs="宋体"/>
                <w:b/>
                <w:bCs w:val="0"/>
                <w:color w:val="auto"/>
                <w:sz w:val="24"/>
                <w:lang w:val="en-US" w:eastAsia="zh-CN"/>
              </w:rPr>
              <w:t>质保期</w:t>
            </w:r>
          </w:p>
        </w:tc>
        <w:tc>
          <w:tcPr>
            <w:tcW w:w="7296" w:type="dxa"/>
            <w:vAlign w:val="center"/>
          </w:tcPr>
          <w:p w14:paraId="309CDFE0">
            <w:pPr>
              <w:keepNext w:val="0"/>
              <w:keepLines w:val="0"/>
              <w:pageBreakBefore w:val="0"/>
              <w:kinsoku/>
              <w:wordWrap/>
              <w:overflowPunct/>
              <w:topLinePunct w:val="0"/>
              <w:autoSpaceDE/>
              <w:autoSpaceDN/>
              <w:bidi w:val="0"/>
              <w:adjustRightInd/>
              <w:spacing w:line="420" w:lineRule="exact"/>
              <w:rPr>
                <w:rFonts w:hint="default" w:ascii="宋体" w:hAnsi="宋体" w:cs="宋体"/>
                <w:bCs/>
                <w:color w:val="auto"/>
                <w:sz w:val="24"/>
                <w:lang w:val="en-US" w:eastAsia="zh-CN"/>
              </w:rPr>
            </w:pPr>
            <w:r>
              <w:rPr>
                <w:rFonts w:hint="eastAsia" w:ascii="宋体" w:hAnsi="宋体" w:cs="宋体"/>
                <w:bCs/>
                <w:color w:val="auto"/>
                <w:sz w:val="24"/>
                <w:lang w:val="en-US" w:eastAsia="zh-CN"/>
              </w:rPr>
              <w:t>1年</w:t>
            </w:r>
          </w:p>
        </w:tc>
      </w:tr>
      <w:tr w14:paraId="0A15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02" w:type="dxa"/>
            <w:vAlign w:val="center"/>
          </w:tcPr>
          <w:p w14:paraId="324BA5E3">
            <w:pPr>
              <w:keepNext w:val="0"/>
              <w:keepLines w:val="0"/>
              <w:pageBreakBefore w:val="0"/>
              <w:kinsoku/>
              <w:wordWrap/>
              <w:overflowPunct/>
              <w:topLinePunct w:val="0"/>
              <w:autoSpaceDE/>
              <w:autoSpaceDN/>
              <w:bidi w:val="0"/>
              <w:adjustRightInd/>
              <w:spacing w:line="42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2004" w:type="dxa"/>
            <w:vAlign w:val="center"/>
          </w:tcPr>
          <w:p w14:paraId="5DB9417B">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b/>
                <w:bCs/>
                <w:color w:val="auto"/>
                <w:sz w:val="24"/>
                <w:lang w:val="en-US" w:eastAsia="zh-CN"/>
              </w:rPr>
              <w:t>投标人</w:t>
            </w:r>
            <w:r>
              <w:rPr>
                <w:rFonts w:hint="eastAsia" w:ascii="宋体" w:hAnsi="宋体" w:cs="宋体"/>
                <w:b/>
                <w:bCs/>
                <w:color w:val="auto"/>
                <w:sz w:val="24"/>
              </w:rPr>
              <w:t>资格条件</w:t>
            </w:r>
          </w:p>
        </w:tc>
        <w:tc>
          <w:tcPr>
            <w:tcW w:w="7296" w:type="dxa"/>
            <w:vAlign w:val="center"/>
          </w:tcPr>
          <w:p w14:paraId="25EDAB1B">
            <w:pPr>
              <w:keepNext w:val="0"/>
              <w:keepLines w:val="0"/>
              <w:pageBreakBefore w:val="0"/>
              <w:kinsoku/>
              <w:wordWrap/>
              <w:overflowPunct/>
              <w:topLinePunct w:val="0"/>
              <w:autoSpaceDE/>
              <w:autoSpaceDN/>
              <w:bidi w:val="0"/>
              <w:adjustRightInd/>
              <w:spacing w:line="420" w:lineRule="exact"/>
              <w:rPr>
                <w:rFonts w:hint="eastAsia" w:ascii="宋体" w:hAnsi="宋体" w:eastAsia="宋体" w:cs="宋体"/>
                <w:color w:val="auto"/>
                <w:sz w:val="24"/>
                <w:lang w:eastAsia="zh-CN"/>
              </w:rPr>
            </w:pPr>
            <w:r>
              <w:rPr>
                <w:rFonts w:hint="eastAsia" w:ascii="宋体" w:hAnsi="宋体" w:cs="宋体"/>
                <w:color w:val="auto"/>
                <w:sz w:val="24"/>
              </w:rPr>
              <w:t>1.满足《中华人民共和国政府采购法》第二十二条规定</w:t>
            </w:r>
            <w:r>
              <w:rPr>
                <w:rFonts w:hint="eastAsia" w:ascii="宋体" w:hAnsi="宋体" w:cs="宋体"/>
                <w:color w:val="auto"/>
                <w:sz w:val="24"/>
                <w:lang w:eastAsia="zh-CN"/>
              </w:rPr>
              <w:t>。</w:t>
            </w:r>
          </w:p>
          <w:p w14:paraId="03BB0022">
            <w:pPr>
              <w:keepNext w:val="0"/>
              <w:keepLines w:val="0"/>
              <w:pageBreakBefore w:val="0"/>
              <w:kinsoku/>
              <w:wordWrap/>
              <w:overflowPunct/>
              <w:topLinePunct w:val="0"/>
              <w:autoSpaceDE/>
              <w:autoSpaceDN/>
              <w:bidi w:val="0"/>
              <w:adjustRightInd/>
              <w:spacing w:line="420" w:lineRule="exact"/>
              <w:rPr>
                <w:rFonts w:hint="eastAsia" w:ascii="宋体" w:hAnsi="宋体" w:eastAsia="宋体" w:cs="宋体"/>
                <w:b/>
                <w:bCs/>
                <w:i w:val="0"/>
                <w:iCs w:val="0"/>
                <w:color w:val="auto"/>
                <w:sz w:val="24"/>
                <w:lang w:val="en-US" w:eastAsia="zh-CN"/>
              </w:rPr>
            </w:pPr>
            <w:r>
              <w:rPr>
                <w:rFonts w:hint="eastAsia" w:ascii="宋体" w:hAnsi="宋体" w:cs="宋体"/>
                <w:color w:val="auto"/>
                <w:sz w:val="24"/>
              </w:rPr>
              <w:t>2.落实政府采购政策需满足的资格要求：</w:t>
            </w:r>
            <w:r>
              <w:rPr>
                <w:rFonts w:hint="eastAsia" w:ascii="宋体" w:hAnsi="宋体" w:cs="宋体"/>
                <w:color w:val="auto"/>
                <w:sz w:val="24"/>
                <w:lang w:val="en-US" w:eastAsia="zh-CN"/>
              </w:rPr>
              <w:t>无</w:t>
            </w:r>
          </w:p>
          <w:p w14:paraId="674C7D00">
            <w:pPr>
              <w:keepNext w:val="0"/>
              <w:keepLines w:val="0"/>
              <w:pageBreakBefore w:val="0"/>
              <w:kinsoku/>
              <w:wordWrap/>
              <w:overflowPunct/>
              <w:topLinePunct w:val="0"/>
              <w:autoSpaceDE/>
              <w:autoSpaceDN/>
              <w:bidi w:val="0"/>
              <w:adjustRightInd/>
              <w:spacing w:line="420" w:lineRule="exact"/>
              <w:rPr>
                <w:rFonts w:hint="eastAsia" w:ascii="宋体" w:hAnsi="宋体" w:eastAsia="宋体" w:cs="宋体"/>
                <w:color w:val="auto"/>
                <w:sz w:val="24"/>
                <w:lang w:val="en-US" w:eastAsia="zh-CN"/>
              </w:rPr>
            </w:pPr>
            <w:r>
              <w:rPr>
                <w:rFonts w:hint="eastAsia" w:ascii="宋体" w:hAnsi="宋体" w:cs="宋体"/>
                <w:color w:val="auto"/>
                <w:sz w:val="24"/>
              </w:rPr>
              <w:t>3.本项目的特定资格要求：</w:t>
            </w:r>
            <w:r>
              <w:rPr>
                <w:rFonts w:hint="eastAsia" w:ascii="宋体" w:hAnsi="宋体" w:cs="宋体"/>
                <w:color w:val="auto"/>
                <w:sz w:val="24"/>
                <w:lang w:eastAsia="zh-CN"/>
              </w:rPr>
              <w:t>无</w:t>
            </w:r>
            <w:r>
              <w:rPr>
                <w:rFonts w:hint="eastAsia" w:ascii="宋体" w:hAnsi="宋体" w:cs="宋体"/>
                <w:color w:val="auto"/>
                <w:sz w:val="24"/>
                <w:lang w:bidi="ar"/>
              </w:rPr>
              <w:t>。</w:t>
            </w:r>
          </w:p>
          <w:p w14:paraId="26F01478">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供应商</w:t>
            </w:r>
            <w:r>
              <w:rPr>
                <w:rFonts w:hint="eastAsia" w:ascii="宋体" w:hAnsi="宋体" w:cs="宋体"/>
                <w:color w:val="auto"/>
                <w:sz w:val="24"/>
              </w:rPr>
              <w:t>不得为“信用中国”网站（www.creditchina.gov.cn）中列入失信被执行人和重大税收违法失信主体的投标人，不得为“中国政府采购网”（www.ccgp.gov.cn）政府采购严重违法失信行为名单中被财政部门禁止参加政府采购活动的投标人。</w:t>
            </w:r>
          </w:p>
          <w:p w14:paraId="4292FBF0">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lang w:val="zh-CN"/>
              </w:rPr>
            </w:pPr>
            <w:r>
              <w:rPr>
                <w:rFonts w:hint="eastAsia" w:ascii="宋体" w:hAnsi="宋体" w:cs="宋体"/>
                <w:color w:val="auto"/>
                <w:sz w:val="24"/>
              </w:rPr>
              <w:t>5.单位负责人为同一人或存在控股、管理关系的不同单位不得同时参加投标。</w:t>
            </w:r>
          </w:p>
        </w:tc>
      </w:tr>
      <w:tr w14:paraId="5C91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02" w:type="dxa"/>
            <w:vAlign w:val="center"/>
          </w:tcPr>
          <w:p w14:paraId="41C93509">
            <w:pPr>
              <w:keepNext w:val="0"/>
              <w:keepLines w:val="0"/>
              <w:pageBreakBefore w:val="0"/>
              <w:kinsoku/>
              <w:wordWrap/>
              <w:overflowPunct/>
              <w:topLinePunct w:val="0"/>
              <w:autoSpaceDE/>
              <w:autoSpaceDN/>
              <w:bidi w:val="0"/>
              <w:adjustRightInd/>
              <w:spacing w:line="42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11</w:t>
            </w:r>
          </w:p>
        </w:tc>
        <w:tc>
          <w:tcPr>
            <w:tcW w:w="2004" w:type="dxa"/>
            <w:vAlign w:val="center"/>
          </w:tcPr>
          <w:p w14:paraId="1FFAD8F5">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联合体投标</w:t>
            </w:r>
          </w:p>
        </w:tc>
        <w:tc>
          <w:tcPr>
            <w:tcW w:w="7296" w:type="dxa"/>
            <w:vAlign w:val="center"/>
          </w:tcPr>
          <w:p w14:paraId="0A8B1F2A">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lang w:val="en-US" w:eastAsia="zh-CN"/>
              </w:rPr>
              <w:t>不</w:t>
            </w:r>
            <w:r>
              <w:rPr>
                <w:rFonts w:hint="eastAsia" w:ascii="宋体" w:hAnsi="宋体" w:cs="宋体"/>
                <w:color w:val="auto"/>
                <w:sz w:val="24"/>
              </w:rPr>
              <w:t>接受</w:t>
            </w:r>
          </w:p>
        </w:tc>
      </w:tr>
      <w:tr w14:paraId="6FD8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02" w:type="dxa"/>
            <w:vAlign w:val="center"/>
          </w:tcPr>
          <w:p w14:paraId="7DAB30B3">
            <w:pPr>
              <w:keepNext w:val="0"/>
              <w:keepLines w:val="0"/>
              <w:pageBreakBefore w:val="0"/>
              <w:kinsoku/>
              <w:wordWrap/>
              <w:overflowPunct/>
              <w:topLinePunct w:val="0"/>
              <w:autoSpaceDE/>
              <w:autoSpaceDN/>
              <w:bidi w:val="0"/>
              <w:adjustRightInd/>
              <w:spacing w:line="42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12</w:t>
            </w:r>
          </w:p>
        </w:tc>
        <w:tc>
          <w:tcPr>
            <w:tcW w:w="2004" w:type="dxa"/>
            <w:vAlign w:val="center"/>
          </w:tcPr>
          <w:p w14:paraId="72268D84">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招标文件的提供期限</w:t>
            </w:r>
          </w:p>
        </w:tc>
        <w:tc>
          <w:tcPr>
            <w:tcW w:w="7296" w:type="dxa"/>
            <w:vAlign w:val="center"/>
          </w:tcPr>
          <w:p w14:paraId="1ECD83C2">
            <w:pPr>
              <w:keepNext w:val="0"/>
              <w:keepLines w:val="0"/>
              <w:pageBreakBefore w:val="0"/>
              <w:kinsoku/>
              <w:wordWrap/>
              <w:overflowPunct/>
              <w:topLinePunct w:val="0"/>
              <w:autoSpaceDE/>
              <w:autoSpaceDN/>
              <w:bidi w:val="0"/>
              <w:adjustRightInd/>
              <w:snapToGrid w:val="0"/>
              <w:spacing w:line="420" w:lineRule="exact"/>
              <w:rPr>
                <w:rFonts w:ascii="宋体" w:hAnsi="宋体" w:cs="宋体"/>
                <w:color w:val="auto"/>
                <w:sz w:val="24"/>
              </w:rPr>
            </w:pPr>
            <w:r>
              <w:rPr>
                <w:rFonts w:hint="eastAsia" w:ascii="宋体" w:hAnsi="宋体" w:cs="宋体"/>
                <w:color w:val="auto"/>
                <w:sz w:val="24"/>
              </w:rPr>
              <w:t>见招标公告</w:t>
            </w:r>
          </w:p>
        </w:tc>
      </w:tr>
      <w:tr w14:paraId="5DBF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2" w:type="dxa"/>
            <w:vAlign w:val="center"/>
          </w:tcPr>
          <w:p w14:paraId="2777E902">
            <w:pPr>
              <w:keepNext w:val="0"/>
              <w:keepLines w:val="0"/>
              <w:pageBreakBefore w:val="0"/>
              <w:kinsoku/>
              <w:wordWrap/>
              <w:overflowPunct/>
              <w:topLinePunct w:val="0"/>
              <w:autoSpaceDE/>
              <w:autoSpaceDN/>
              <w:bidi w:val="0"/>
              <w:adjustRightInd/>
              <w:spacing w:line="42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13</w:t>
            </w:r>
          </w:p>
        </w:tc>
        <w:tc>
          <w:tcPr>
            <w:tcW w:w="2004" w:type="dxa"/>
            <w:vAlign w:val="center"/>
          </w:tcPr>
          <w:p w14:paraId="2E63729F">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bCs/>
                <w:color w:val="auto"/>
                <w:sz w:val="24"/>
              </w:rPr>
              <w:t>现场考察与标前答疑会</w:t>
            </w:r>
          </w:p>
        </w:tc>
        <w:tc>
          <w:tcPr>
            <w:tcW w:w="7296" w:type="dxa"/>
            <w:vAlign w:val="center"/>
          </w:tcPr>
          <w:p w14:paraId="313B800C">
            <w:pPr>
              <w:keepNext w:val="0"/>
              <w:keepLines w:val="0"/>
              <w:pageBreakBefore w:val="0"/>
              <w:kinsoku/>
              <w:wordWrap/>
              <w:overflowPunct/>
              <w:topLinePunct w:val="0"/>
              <w:autoSpaceDE/>
              <w:autoSpaceDN/>
              <w:bidi w:val="0"/>
              <w:adjustRightInd/>
              <w:snapToGrid w:val="0"/>
              <w:spacing w:line="420" w:lineRule="exact"/>
              <w:rPr>
                <w:rFonts w:ascii="宋体" w:hAnsi="宋体" w:cs="宋体"/>
                <w:color w:val="auto"/>
                <w:sz w:val="24"/>
              </w:rPr>
            </w:pPr>
            <w:r>
              <w:rPr>
                <w:rFonts w:hint="eastAsia" w:ascii="宋体" w:hAnsi="宋体" w:cs="宋体"/>
                <w:color w:val="auto"/>
                <w:sz w:val="24"/>
              </w:rPr>
              <w:t>☑不组织</w:t>
            </w:r>
          </w:p>
          <w:p w14:paraId="6A2859F1">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□组织</w:t>
            </w:r>
          </w:p>
        </w:tc>
      </w:tr>
      <w:tr w14:paraId="0075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2" w:type="dxa"/>
            <w:vAlign w:val="center"/>
          </w:tcPr>
          <w:p w14:paraId="6EF7EA26">
            <w:pPr>
              <w:keepNext w:val="0"/>
              <w:keepLines w:val="0"/>
              <w:pageBreakBefore w:val="0"/>
              <w:kinsoku/>
              <w:wordWrap/>
              <w:overflowPunct/>
              <w:topLinePunct w:val="0"/>
              <w:autoSpaceDE/>
              <w:autoSpaceDN/>
              <w:bidi w:val="0"/>
              <w:adjustRightInd/>
              <w:spacing w:line="42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14</w:t>
            </w:r>
          </w:p>
        </w:tc>
        <w:tc>
          <w:tcPr>
            <w:tcW w:w="2004" w:type="dxa"/>
            <w:vAlign w:val="center"/>
          </w:tcPr>
          <w:p w14:paraId="0594DB09">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投标截止时间</w:t>
            </w:r>
          </w:p>
        </w:tc>
        <w:tc>
          <w:tcPr>
            <w:tcW w:w="7296" w:type="dxa"/>
            <w:vAlign w:val="center"/>
          </w:tcPr>
          <w:p w14:paraId="6E08582E">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见招标公告</w:t>
            </w:r>
          </w:p>
        </w:tc>
      </w:tr>
      <w:tr w14:paraId="4F99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dxa"/>
            <w:vAlign w:val="center"/>
          </w:tcPr>
          <w:p w14:paraId="204E6845">
            <w:pPr>
              <w:keepNext w:val="0"/>
              <w:keepLines w:val="0"/>
              <w:pageBreakBefore w:val="0"/>
              <w:kinsoku/>
              <w:wordWrap/>
              <w:overflowPunct/>
              <w:topLinePunct w:val="0"/>
              <w:autoSpaceDE/>
              <w:autoSpaceDN/>
              <w:bidi w:val="0"/>
              <w:adjustRightInd/>
              <w:spacing w:line="42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1</w:t>
            </w:r>
            <w:r>
              <w:rPr>
                <w:rFonts w:hint="eastAsia" w:ascii="宋体" w:hAnsi="宋体" w:cs="宋体"/>
                <w:color w:val="auto"/>
                <w:sz w:val="24"/>
                <w:lang w:val="en-US" w:eastAsia="zh-CN"/>
              </w:rPr>
              <w:t>5</w:t>
            </w:r>
          </w:p>
        </w:tc>
        <w:tc>
          <w:tcPr>
            <w:tcW w:w="2004" w:type="dxa"/>
            <w:vAlign w:val="center"/>
          </w:tcPr>
          <w:p w14:paraId="79E1B0A9">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备选方案</w:t>
            </w:r>
          </w:p>
        </w:tc>
        <w:tc>
          <w:tcPr>
            <w:tcW w:w="7296" w:type="dxa"/>
            <w:vAlign w:val="center"/>
          </w:tcPr>
          <w:p w14:paraId="3D7B0004">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不接受</w:t>
            </w:r>
          </w:p>
        </w:tc>
      </w:tr>
      <w:tr w14:paraId="79FC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2" w:type="dxa"/>
            <w:vAlign w:val="center"/>
          </w:tcPr>
          <w:p w14:paraId="22B467E0">
            <w:pPr>
              <w:keepNext w:val="0"/>
              <w:keepLines w:val="0"/>
              <w:pageBreakBefore w:val="0"/>
              <w:kinsoku/>
              <w:wordWrap/>
              <w:overflowPunct/>
              <w:topLinePunct w:val="0"/>
              <w:autoSpaceDE/>
              <w:autoSpaceDN/>
              <w:bidi w:val="0"/>
              <w:adjustRightInd/>
              <w:spacing w:line="42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16</w:t>
            </w:r>
          </w:p>
        </w:tc>
        <w:tc>
          <w:tcPr>
            <w:tcW w:w="2004" w:type="dxa"/>
            <w:vAlign w:val="center"/>
          </w:tcPr>
          <w:p w14:paraId="56EFF2B3">
            <w:pPr>
              <w:keepNext w:val="0"/>
              <w:keepLines w:val="0"/>
              <w:pageBreakBefore w:val="0"/>
              <w:kinsoku/>
              <w:wordWrap/>
              <w:overflowPunct/>
              <w:topLinePunct w:val="0"/>
              <w:autoSpaceDE/>
              <w:autoSpaceDN/>
              <w:bidi w:val="0"/>
              <w:adjustRightInd/>
              <w:spacing w:line="420" w:lineRule="exact"/>
              <w:jc w:val="center"/>
              <w:rPr>
                <w:rFonts w:hint="eastAsia" w:ascii="宋体" w:hAnsi="宋体" w:cs="宋体"/>
                <w:b/>
                <w:bCs/>
                <w:color w:val="auto"/>
                <w:sz w:val="24"/>
              </w:rPr>
            </w:pPr>
            <w:r>
              <w:rPr>
                <w:rFonts w:hint="eastAsia" w:ascii="宋体" w:hAnsi="宋体" w:cs="宋体"/>
                <w:b/>
                <w:bCs/>
                <w:color w:val="auto"/>
                <w:sz w:val="24"/>
              </w:rPr>
              <w:t>采购预算</w:t>
            </w:r>
          </w:p>
          <w:p w14:paraId="3FC7A325">
            <w:pPr>
              <w:keepNext w:val="0"/>
              <w:keepLines w:val="0"/>
              <w:pageBreakBefore w:val="0"/>
              <w:kinsoku/>
              <w:wordWrap/>
              <w:overflowPunct/>
              <w:topLinePunct w:val="0"/>
              <w:autoSpaceDE/>
              <w:autoSpaceDN/>
              <w:bidi w:val="0"/>
              <w:adjustRightInd/>
              <w:spacing w:line="420" w:lineRule="exact"/>
              <w:jc w:val="center"/>
              <w:rPr>
                <w:rFonts w:hint="eastAsia" w:ascii="宋体" w:hAnsi="宋体" w:cs="宋体"/>
                <w:color w:val="auto"/>
                <w:sz w:val="24"/>
                <w:lang w:eastAsia="zh-CN"/>
              </w:rPr>
            </w:pPr>
            <w:r>
              <w:rPr>
                <w:rFonts w:hint="eastAsia" w:ascii="宋体" w:hAnsi="宋体" w:cs="宋体"/>
                <w:b/>
                <w:bCs/>
                <w:color w:val="auto"/>
                <w:sz w:val="24"/>
                <w:lang w:eastAsia="zh-CN"/>
              </w:rPr>
              <w:t>（</w:t>
            </w:r>
            <w:r>
              <w:rPr>
                <w:rFonts w:hint="eastAsia" w:ascii="宋体" w:hAnsi="宋体" w:cs="宋体"/>
                <w:b/>
                <w:bCs/>
                <w:color w:val="auto"/>
                <w:sz w:val="24"/>
                <w:lang w:val="en-US" w:eastAsia="zh-CN"/>
              </w:rPr>
              <w:t>最高限价</w:t>
            </w:r>
            <w:r>
              <w:rPr>
                <w:rFonts w:hint="eastAsia" w:ascii="宋体" w:hAnsi="宋体" w:cs="宋体"/>
                <w:b/>
                <w:bCs/>
                <w:color w:val="auto"/>
                <w:sz w:val="24"/>
                <w:lang w:eastAsia="zh-CN"/>
              </w:rPr>
              <w:t>）</w:t>
            </w:r>
          </w:p>
        </w:tc>
        <w:tc>
          <w:tcPr>
            <w:tcW w:w="7296" w:type="dxa"/>
            <w:vAlign w:val="center"/>
          </w:tcPr>
          <w:p w14:paraId="500CE6AA">
            <w:pPr>
              <w:keepNext w:val="0"/>
              <w:keepLines w:val="0"/>
              <w:pageBreakBefore w:val="0"/>
              <w:kinsoku/>
              <w:wordWrap/>
              <w:overflowPunct/>
              <w:topLinePunct w:val="0"/>
              <w:autoSpaceDE/>
              <w:autoSpaceDN/>
              <w:bidi w:val="0"/>
              <w:adjustRightInd/>
              <w:spacing w:line="420" w:lineRule="exact"/>
              <w:jc w:val="left"/>
              <w:rPr>
                <w:rFonts w:hint="eastAsia" w:ascii="宋体" w:hAnsi="宋体" w:cs="宋体"/>
                <w:color w:val="auto"/>
                <w:sz w:val="24"/>
              </w:rPr>
            </w:pPr>
            <w:r>
              <w:rPr>
                <w:rFonts w:hint="eastAsia" w:asciiTheme="minorEastAsia" w:hAnsiTheme="minorEastAsia" w:eastAsiaTheme="minorEastAsia" w:cstheme="minorEastAsia"/>
                <w:color w:val="auto"/>
                <w:sz w:val="24"/>
                <w:lang w:val="en-US" w:eastAsia="zh-CN" w:bidi="ar"/>
              </w:rPr>
              <w:t>2184798.56元（其中智慧法制一体化管理系统：1513539.00元；执法办案中心装修：671259.56）</w:t>
            </w:r>
            <w:r>
              <w:rPr>
                <w:rFonts w:hint="eastAsia" w:asciiTheme="minorEastAsia" w:hAnsiTheme="minorEastAsia" w:eastAsiaTheme="minorEastAsia" w:cstheme="minorEastAsia"/>
                <w:color w:val="auto"/>
                <w:sz w:val="24"/>
                <w:lang w:bidi="ar"/>
              </w:rPr>
              <w:t>。</w:t>
            </w:r>
          </w:p>
          <w:p w14:paraId="3F935CBB">
            <w:pPr>
              <w:keepNext w:val="0"/>
              <w:keepLines w:val="0"/>
              <w:pageBreakBefore w:val="0"/>
              <w:kinsoku/>
              <w:wordWrap/>
              <w:overflowPunct/>
              <w:topLinePunct w:val="0"/>
              <w:autoSpaceDE/>
              <w:autoSpaceDN/>
              <w:bidi w:val="0"/>
              <w:adjustRightInd/>
              <w:spacing w:line="420" w:lineRule="exact"/>
              <w:jc w:val="left"/>
              <w:rPr>
                <w:rFonts w:hint="eastAsia" w:ascii="宋体" w:hAnsi="宋体" w:cs="宋体"/>
                <w:color w:val="auto"/>
                <w:sz w:val="24"/>
              </w:rPr>
            </w:pPr>
            <w:r>
              <w:rPr>
                <w:rFonts w:hint="eastAsia" w:ascii="宋体" w:hAnsi="宋体" w:cs="宋体"/>
                <w:color w:val="auto"/>
                <w:sz w:val="24"/>
              </w:rPr>
              <w:t>投标报价不得超过</w:t>
            </w:r>
            <w:r>
              <w:rPr>
                <w:rFonts w:hint="eastAsia" w:ascii="宋体" w:hAnsi="宋体" w:cs="宋体"/>
                <w:color w:val="auto"/>
                <w:sz w:val="24"/>
                <w:lang w:val="en-US" w:eastAsia="zh-CN"/>
              </w:rPr>
              <w:t>最高限</w:t>
            </w:r>
            <w:r>
              <w:rPr>
                <w:rFonts w:hint="eastAsia" w:ascii="宋体" w:hAnsi="宋体" w:cs="宋体"/>
                <w:color w:val="auto"/>
                <w:sz w:val="24"/>
              </w:rPr>
              <w:t>价</w:t>
            </w:r>
            <w:r>
              <w:rPr>
                <w:rFonts w:hint="eastAsia" w:ascii="宋体" w:hAnsi="宋体" w:cs="宋体"/>
                <w:color w:val="auto"/>
                <w:sz w:val="24"/>
                <w:lang w:val="en-US" w:eastAsia="zh-CN"/>
              </w:rPr>
              <w:t>总价</w:t>
            </w:r>
            <w:r>
              <w:rPr>
                <w:rFonts w:hint="eastAsia" w:ascii="宋体" w:hAnsi="宋体" w:cs="宋体"/>
                <w:color w:val="auto"/>
                <w:sz w:val="24"/>
              </w:rPr>
              <w:t>，超过者视为无效投标。</w:t>
            </w:r>
          </w:p>
        </w:tc>
      </w:tr>
      <w:tr w14:paraId="00F6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02" w:type="dxa"/>
            <w:vAlign w:val="center"/>
          </w:tcPr>
          <w:p w14:paraId="6B54C87D">
            <w:pPr>
              <w:keepNext w:val="0"/>
              <w:keepLines w:val="0"/>
              <w:pageBreakBefore w:val="0"/>
              <w:kinsoku/>
              <w:wordWrap/>
              <w:overflowPunct/>
              <w:topLinePunct w:val="0"/>
              <w:autoSpaceDE/>
              <w:autoSpaceDN/>
              <w:bidi w:val="0"/>
              <w:adjustRightInd/>
              <w:spacing w:line="42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17</w:t>
            </w:r>
          </w:p>
        </w:tc>
        <w:tc>
          <w:tcPr>
            <w:tcW w:w="2004" w:type="dxa"/>
            <w:vAlign w:val="center"/>
          </w:tcPr>
          <w:p w14:paraId="3F6025E5">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highlight w:val="none"/>
              </w:rPr>
            </w:pPr>
            <w:r>
              <w:rPr>
                <w:rFonts w:hint="eastAsia" w:ascii="宋体" w:hAnsi="宋体" w:cs="宋体"/>
                <w:b/>
                <w:bCs/>
                <w:color w:val="auto"/>
                <w:sz w:val="24"/>
                <w:highlight w:val="none"/>
              </w:rPr>
              <w:t>资格审查资料</w:t>
            </w:r>
          </w:p>
        </w:tc>
        <w:tc>
          <w:tcPr>
            <w:tcW w:w="7296" w:type="dxa"/>
            <w:vAlign w:val="center"/>
          </w:tcPr>
          <w:p w14:paraId="4A409C48">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若为法定代表人须提供法定代表人身份证明书及身份证；若为授权委托代理人需提交法定代表人身份证明书及身份证、法定代表人授权书、委托代理人身份证；</w:t>
            </w:r>
          </w:p>
          <w:p w14:paraId="2FB1185E">
            <w:pPr>
              <w:keepNext w:val="0"/>
              <w:keepLines w:val="0"/>
              <w:pageBreakBefore w:val="0"/>
              <w:kinsoku/>
              <w:wordWrap/>
              <w:overflowPunct/>
              <w:topLinePunct w:val="0"/>
              <w:autoSpaceDE/>
              <w:autoSpaceDN/>
              <w:bidi w:val="0"/>
              <w:adjustRightInd/>
              <w:spacing w:line="420" w:lineRule="exac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营业执照副本</w:t>
            </w:r>
            <w:r>
              <w:rPr>
                <w:rFonts w:hint="eastAsia" w:ascii="宋体" w:hAnsi="宋体" w:cs="宋体"/>
                <w:color w:val="auto"/>
                <w:sz w:val="24"/>
                <w:highlight w:val="none"/>
              </w:rPr>
              <w:t>；</w:t>
            </w:r>
          </w:p>
          <w:p w14:paraId="23B3239E">
            <w:pPr>
              <w:keepNext w:val="0"/>
              <w:keepLines w:val="0"/>
              <w:pageBreakBefore w:val="0"/>
              <w:kinsoku/>
              <w:wordWrap/>
              <w:overflowPunct/>
              <w:topLinePunct w:val="0"/>
              <w:autoSpaceDE/>
              <w:autoSpaceDN/>
              <w:bidi w:val="0"/>
              <w:adjustRightInd/>
              <w:spacing w:line="420" w:lineRule="exact"/>
              <w:rPr>
                <w:rFonts w:hint="eastAsia" w:ascii="宋体" w:hAnsi="宋体" w:cs="宋体"/>
                <w:color w:val="auto"/>
                <w:sz w:val="24"/>
                <w:highlight w:val="none"/>
              </w:rPr>
            </w:pPr>
            <w:r>
              <w:rPr>
                <w:rFonts w:hint="eastAsia" w:ascii="宋体" w:hAnsi="宋体" w:cs="宋体"/>
                <w:color w:val="auto"/>
                <w:sz w:val="24"/>
                <w:highlight w:val="none"/>
              </w:rPr>
              <w:t>3.银行基本账户开户许可证或基本存款账户信息；</w:t>
            </w:r>
          </w:p>
          <w:p w14:paraId="6C8D617D">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具有独立承担民事责任的能力</w:t>
            </w:r>
            <w:r>
              <w:rPr>
                <w:rFonts w:hint="eastAsia" w:ascii="宋体" w:hAnsi="宋体" w:cs="宋体"/>
                <w:color w:val="auto"/>
                <w:sz w:val="24"/>
                <w:highlight w:val="none"/>
              </w:rPr>
              <w:t>；</w:t>
            </w:r>
          </w:p>
          <w:p w14:paraId="3F1236FB">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有依法缴纳税收和社会保障资金的良好记录</w:t>
            </w:r>
            <w:r>
              <w:rPr>
                <w:rFonts w:hint="eastAsia" w:ascii="宋体" w:hAnsi="宋体" w:cs="宋体"/>
                <w:color w:val="auto"/>
                <w:sz w:val="24"/>
                <w:highlight w:val="none"/>
              </w:rPr>
              <w:t>；</w:t>
            </w:r>
          </w:p>
          <w:p w14:paraId="163CC3C3">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eastAsia="zh-CN"/>
              </w:rPr>
              <w:t>具有履行合同所必需的设备和专业技术能力</w:t>
            </w:r>
            <w:r>
              <w:rPr>
                <w:rFonts w:hint="eastAsia" w:ascii="宋体" w:hAnsi="宋体" w:cs="宋体"/>
                <w:color w:val="auto"/>
                <w:sz w:val="24"/>
                <w:highlight w:val="none"/>
              </w:rPr>
              <w:t>；</w:t>
            </w:r>
          </w:p>
          <w:p w14:paraId="74E891B5">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eastAsia="zh-CN"/>
              </w:rPr>
              <w:t>具有良好的商业信誉和健全的财务会计制度</w:t>
            </w:r>
            <w:r>
              <w:rPr>
                <w:rFonts w:hint="eastAsia" w:ascii="宋体" w:hAnsi="宋体" w:cs="宋体"/>
                <w:color w:val="auto"/>
                <w:sz w:val="24"/>
                <w:highlight w:val="none"/>
              </w:rPr>
              <w:t>；</w:t>
            </w:r>
          </w:p>
          <w:p w14:paraId="4B396020">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参加政府采购活动前三年内，在经营活动中没有重大违法记录</w:t>
            </w:r>
            <w:r>
              <w:rPr>
                <w:rFonts w:hint="eastAsia" w:ascii="宋体" w:hAnsi="宋体" w:cs="宋体"/>
                <w:color w:val="auto"/>
                <w:sz w:val="24"/>
                <w:highlight w:val="none"/>
              </w:rPr>
              <w:t>；</w:t>
            </w:r>
          </w:p>
          <w:p w14:paraId="0384A5FA">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.诚信投标承诺书；</w:t>
            </w:r>
          </w:p>
          <w:p w14:paraId="3F7DC6A6">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.信用中国网站（www.creditchina.gov.cn）“</w:t>
            </w:r>
            <w:r>
              <w:rPr>
                <w:rFonts w:hint="eastAsia" w:ascii="宋体" w:hAnsi="宋体" w:cs="宋体"/>
                <w:color w:val="auto"/>
                <w:sz w:val="24"/>
                <w:highlight w:val="none"/>
                <w:lang w:eastAsia="zh-CN"/>
              </w:rPr>
              <w:t>信息公示或者专项查询</w:t>
            </w:r>
            <w:r>
              <w:rPr>
                <w:rFonts w:hint="eastAsia" w:ascii="宋体" w:hAnsi="宋体" w:cs="宋体"/>
                <w:color w:val="auto"/>
                <w:sz w:val="24"/>
                <w:highlight w:val="none"/>
              </w:rPr>
              <w:t>”（包括“失信被执行人”及“重大税收违法失信主体”）查询结果以及中国政府采购网（www.ccgp.gov.cn）“政府采购严重违法失信行为记录名单”查询结果；</w:t>
            </w:r>
          </w:p>
          <w:p w14:paraId="4A1D12CD">
            <w:pPr>
              <w:keepNext w:val="0"/>
              <w:keepLines w:val="0"/>
              <w:pageBreakBefore w:val="0"/>
              <w:kinsoku/>
              <w:wordWrap/>
              <w:overflowPunct/>
              <w:topLinePunct w:val="0"/>
              <w:autoSpaceDE/>
              <w:autoSpaceDN/>
              <w:bidi w:val="0"/>
              <w:adjustRightInd/>
              <w:spacing w:line="420" w:lineRule="exac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.投标保证金缴纳凭证</w:t>
            </w:r>
            <w:r>
              <w:rPr>
                <w:rFonts w:hint="eastAsia" w:ascii="宋体" w:hAnsi="宋体" w:cs="宋体"/>
                <w:color w:val="auto"/>
                <w:sz w:val="24"/>
                <w:highlight w:val="none"/>
                <w:lang w:eastAsia="zh-CN"/>
              </w:rPr>
              <w:t>；</w:t>
            </w:r>
          </w:p>
          <w:p w14:paraId="5323E6F3">
            <w:pPr>
              <w:keepNext w:val="0"/>
              <w:keepLines w:val="0"/>
              <w:pageBreakBefore w:val="0"/>
              <w:kinsoku/>
              <w:wordWrap/>
              <w:overflowPunct/>
              <w:topLinePunct w:val="0"/>
              <w:autoSpaceDE/>
              <w:autoSpaceDN/>
              <w:bidi w:val="0"/>
              <w:adjustRightInd/>
              <w:spacing w:line="420" w:lineRule="exact"/>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注：</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eastAsia="zh-CN"/>
              </w:rPr>
              <w:t>以上材料扫描件均要求清晰可见，因投标人原因导致电子投标文件不清晰致使审核人员无法确定是否符合招标文件要求的，后果由投标人自行承担。</w:t>
            </w:r>
          </w:p>
          <w:p w14:paraId="1F7CFDBD">
            <w:pPr>
              <w:keepNext w:val="0"/>
              <w:keepLines w:val="0"/>
              <w:pageBreakBefore w:val="0"/>
              <w:kinsoku/>
              <w:wordWrap/>
              <w:overflowPunct/>
              <w:topLinePunct w:val="0"/>
              <w:autoSpaceDE/>
              <w:autoSpaceDN/>
              <w:bidi w:val="0"/>
              <w:adjustRightInd/>
              <w:spacing w:line="420" w:lineRule="exact"/>
              <w:rPr>
                <w:rFonts w:hint="eastAsia" w:ascii="宋体" w:hAnsi="宋体" w:eastAsia="宋体" w:cs="宋体"/>
                <w:color w:val="auto"/>
                <w:sz w:val="24"/>
                <w:highlight w:val="none"/>
                <w:lang w:val="zh-CN" w:eastAsia="zh-CN"/>
              </w:rPr>
            </w:pPr>
            <w:r>
              <w:rPr>
                <w:rFonts w:hint="eastAsia" w:ascii="宋体" w:hAnsi="宋体" w:cs="宋体"/>
                <w:b/>
                <w:bCs/>
                <w:color w:val="auto"/>
                <w:sz w:val="24"/>
                <w:highlight w:val="none"/>
                <w:lang w:val="en-US" w:eastAsia="zh-CN"/>
              </w:rPr>
              <w:t>（2）投标人</w:t>
            </w:r>
            <w:r>
              <w:rPr>
                <w:rFonts w:hint="eastAsia" w:ascii="宋体" w:hAnsi="宋体" w:cs="宋体"/>
                <w:b/>
                <w:bCs/>
                <w:color w:val="auto"/>
                <w:sz w:val="24"/>
                <w:highlight w:val="none"/>
              </w:rPr>
              <w:t>应对上述资料的真实性、</w:t>
            </w:r>
            <w:r>
              <w:rPr>
                <w:rFonts w:hint="eastAsia" w:ascii="宋体" w:hAnsi="宋体" w:cs="宋体"/>
                <w:b/>
                <w:bCs/>
                <w:color w:val="auto"/>
                <w:sz w:val="24"/>
                <w:highlight w:val="none"/>
                <w:lang w:val="en-US" w:eastAsia="zh-CN"/>
              </w:rPr>
              <w:t>合法性、</w:t>
            </w:r>
            <w:r>
              <w:rPr>
                <w:rFonts w:hint="eastAsia" w:ascii="宋体" w:hAnsi="宋体" w:cs="宋体"/>
                <w:b/>
                <w:bCs/>
                <w:color w:val="auto"/>
                <w:sz w:val="24"/>
                <w:highlight w:val="none"/>
              </w:rPr>
              <w:t>有效性负责</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若发现</w:t>
            </w:r>
            <w:r>
              <w:rPr>
                <w:rFonts w:hint="eastAsia" w:ascii="宋体" w:hAnsi="宋体" w:cs="宋体"/>
                <w:b/>
                <w:bCs/>
                <w:color w:val="auto"/>
                <w:sz w:val="24"/>
                <w:highlight w:val="none"/>
                <w:lang w:val="en-US" w:eastAsia="zh-CN"/>
              </w:rPr>
              <w:t>投标人</w:t>
            </w:r>
            <w:r>
              <w:rPr>
                <w:rFonts w:hint="eastAsia" w:ascii="宋体" w:hAnsi="宋体" w:cs="宋体"/>
                <w:b/>
                <w:bCs/>
                <w:color w:val="auto"/>
                <w:sz w:val="24"/>
                <w:highlight w:val="none"/>
              </w:rPr>
              <w:t>有提供虚假、伪造资料的，不仅其投标将被否决，</w:t>
            </w:r>
            <w:r>
              <w:rPr>
                <w:rFonts w:hint="eastAsia" w:ascii="宋体" w:hAnsi="宋体" w:cs="宋体"/>
                <w:b/>
                <w:bCs/>
                <w:color w:val="auto"/>
                <w:sz w:val="24"/>
                <w:highlight w:val="none"/>
                <w:lang w:val="en-US" w:eastAsia="zh-CN"/>
              </w:rPr>
              <w:t>还将</w:t>
            </w:r>
            <w:r>
              <w:rPr>
                <w:rFonts w:hint="eastAsia" w:ascii="宋体" w:hAnsi="宋体" w:cs="宋体"/>
                <w:b/>
                <w:bCs/>
                <w:color w:val="auto"/>
                <w:sz w:val="24"/>
                <w:highlight w:val="none"/>
              </w:rPr>
              <w:t>依法追究其责任</w:t>
            </w:r>
            <w:r>
              <w:rPr>
                <w:rFonts w:hint="eastAsia" w:ascii="宋体" w:hAnsi="宋体" w:cs="宋体"/>
                <w:b/>
                <w:bCs/>
                <w:color w:val="auto"/>
                <w:sz w:val="24"/>
                <w:highlight w:val="none"/>
                <w:lang w:eastAsia="zh-CN"/>
              </w:rPr>
              <w:t>。</w:t>
            </w:r>
          </w:p>
        </w:tc>
      </w:tr>
      <w:tr w14:paraId="0B40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02" w:type="dxa"/>
            <w:vAlign w:val="center"/>
          </w:tcPr>
          <w:p w14:paraId="3A1B7CD8">
            <w:pPr>
              <w:keepNext w:val="0"/>
              <w:keepLines w:val="0"/>
              <w:pageBreakBefore w:val="0"/>
              <w:kinsoku/>
              <w:wordWrap/>
              <w:overflowPunct/>
              <w:topLinePunct w:val="0"/>
              <w:autoSpaceDE/>
              <w:autoSpaceDN/>
              <w:bidi w:val="0"/>
              <w:adjustRightInd/>
              <w:spacing w:line="42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18</w:t>
            </w:r>
          </w:p>
        </w:tc>
        <w:tc>
          <w:tcPr>
            <w:tcW w:w="2004" w:type="dxa"/>
            <w:vAlign w:val="center"/>
          </w:tcPr>
          <w:p w14:paraId="55CEA3DE">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投标保证金</w:t>
            </w:r>
          </w:p>
        </w:tc>
        <w:tc>
          <w:tcPr>
            <w:tcW w:w="7296" w:type="dxa"/>
            <w:vAlign w:val="center"/>
          </w:tcPr>
          <w:p w14:paraId="64F0CF3A">
            <w:pPr>
              <w:keepNext w:val="0"/>
              <w:keepLines w:val="0"/>
              <w:pageBreakBefore w:val="0"/>
              <w:kinsoku/>
              <w:wordWrap/>
              <w:overflowPunct/>
              <w:topLinePunct w:val="0"/>
              <w:autoSpaceDE/>
              <w:autoSpaceDN/>
              <w:bidi w:val="0"/>
              <w:adjustRightInd/>
              <w:spacing w:line="420" w:lineRule="exact"/>
              <w:rPr>
                <w:rFonts w:hint="eastAsia" w:ascii="宋体" w:hAnsi="宋体" w:eastAsia="宋体" w:cs="宋体"/>
                <w:color w:val="auto"/>
                <w:sz w:val="24"/>
                <w:lang w:eastAsia="zh-CN"/>
              </w:rPr>
            </w:pPr>
            <w:r>
              <w:rPr>
                <w:rFonts w:hint="eastAsia" w:ascii="宋体" w:hAnsi="宋体" w:cs="宋体"/>
                <w:color w:val="auto"/>
                <w:sz w:val="24"/>
              </w:rPr>
              <w:t>（1）投标保证金的形式：</w:t>
            </w:r>
            <w:r>
              <w:rPr>
                <w:rFonts w:hint="eastAsia" w:ascii="宋体" w:hAnsi="宋体" w:cs="宋体"/>
                <w:color w:val="auto"/>
                <w:sz w:val="24"/>
                <w:lang w:eastAsia="zh-CN"/>
              </w:rPr>
              <w:t>通过本单位基本银行账户电汇、银行保函、电子保函、支票、汇票、本票或金融机构、担保机构出具的保函等非现金形式提交。</w:t>
            </w:r>
          </w:p>
          <w:p w14:paraId="493EEB19">
            <w:pPr>
              <w:keepNext w:val="0"/>
              <w:keepLines w:val="0"/>
              <w:pageBreakBefore w:val="0"/>
              <w:kinsoku/>
              <w:wordWrap/>
              <w:overflowPunct/>
              <w:topLinePunct w:val="0"/>
              <w:autoSpaceDE/>
              <w:autoSpaceDN/>
              <w:bidi w:val="0"/>
              <w:adjustRightInd/>
              <w:spacing w:line="420" w:lineRule="exact"/>
              <w:rPr>
                <w:rFonts w:hint="eastAsia" w:ascii="宋体" w:hAnsi="宋体" w:cs="宋体"/>
                <w:color w:val="auto"/>
                <w:sz w:val="24"/>
              </w:rPr>
            </w:pPr>
            <w:r>
              <w:rPr>
                <w:rFonts w:hint="eastAsia" w:ascii="宋体" w:hAnsi="宋体" w:cs="宋体"/>
                <w:color w:val="auto"/>
                <w:sz w:val="24"/>
              </w:rPr>
              <w:t>（2）投标保证金金额为：</w:t>
            </w:r>
            <w:r>
              <w:rPr>
                <w:rFonts w:hint="eastAsia" w:ascii="宋体" w:hAnsi="宋体" w:cs="宋体"/>
                <w:color w:val="auto"/>
                <w:sz w:val="24"/>
                <w:lang w:val="en-US"/>
              </w:rPr>
              <w:t>人民币</w:t>
            </w:r>
            <w:r>
              <w:rPr>
                <w:rFonts w:hint="eastAsia" w:ascii="宋体" w:hAnsi="宋体" w:cs="宋体"/>
                <w:color w:val="auto"/>
                <w:sz w:val="24"/>
                <w:lang w:val="en-US" w:eastAsia="zh-CN"/>
              </w:rPr>
              <w:t>贰万元</w:t>
            </w:r>
            <w:r>
              <w:rPr>
                <w:rFonts w:hint="eastAsia" w:ascii="宋体" w:hAnsi="宋体" w:cs="宋体"/>
                <w:color w:val="auto"/>
                <w:sz w:val="24"/>
                <w:lang w:val="en-US"/>
              </w:rPr>
              <w:t>整（￥</w:t>
            </w:r>
            <w:r>
              <w:rPr>
                <w:rFonts w:hint="eastAsia" w:ascii="宋体" w:hAnsi="宋体" w:cs="宋体"/>
                <w:color w:val="auto"/>
                <w:sz w:val="24"/>
                <w:lang w:val="en-US" w:eastAsia="zh-CN"/>
              </w:rPr>
              <w:t>20000.00</w:t>
            </w:r>
            <w:r>
              <w:rPr>
                <w:rFonts w:hint="eastAsia" w:ascii="宋体" w:hAnsi="宋体" w:cs="宋体"/>
                <w:color w:val="auto"/>
                <w:sz w:val="24"/>
                <w:lang w:val="en-US"/>
              </w:rPr>
              <w:t>元）</w:t>
            </w:r>
            <w:r>
              <w:rPr>
                <w:rFonts w:hint="eastAsia" w:ascii="宋体" w:hAnsi="宋体" w:cs="宋体"/>
                <w:color w:val="auto"/>
                <w:sz w:val="24"/>
              </w:rPr>
              <w:t>。保证金在投标文件的有效期内保持有效。</w:t>
            </w:r>
          </w:p>
          <w:p w14:paraId="61AA9D33">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（3）投标保证金的递交截止时间：投标截止时间之前（以银行到</w:t>
            </w:r>
            <w:r>
              <w:rPr>
                <w:rFonts w:hint="eastAsia" w:ascii="宋体" w:hAnsi="宋体" w:cs="宋体"/>
                <w:color w:val="auto"/>
                <w:sz w:val="24"/>
                <w:lang w:eastAsia="zh-CN"/>
              </w:rPr>
              <w:t>账</w:t>
            </w:r>
            <w:r>
              <w:rPr>
                <w:rFonts w:hint="eastAsia" w:ascii="宋体" w:hAnsi="宋体" w:cs="宋体"/>
                <w:color w:val="auto"/>
                <w:sz w:val="24"/>
              </w:rPr>
              <w:t>时间为准）。</w:t>
            </w:r>
          </w:p>
          <w:p w14:paraId="0A170CC0">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投标保证金由</w:t>
            </w:r>
            <w:r>
              <w:rPr>
                <w:rFonts w:hint="eastAsia" w:ascii="宋体" w:hAnsi="宋体" w:cs="宋体"/>
                <w:color w:val="auto"/>
                <w:sz w:val="24"/>
                <w:lang w:val="en-US" w:eastAsia="zh-CN"/>
              </w:rPr>
              <w:t>投标人</w:t>
            </w:r>
            <w:r>
              <w:rPr>
                <w:rFonts w:hint="eastAsia" w:ascii="宋体" w:hAnsi="宋体" w:cs="宋体"/>
                <w:color w:val="auto"/>
                <w:sz w:val="24"/>
              </w:rPr>
              <w:t>的基本账户一次性汇入采购人以下指定账户。</w:t>
            </w:r>
          </w:p>
          <w:p w14:paraId="34A5B784">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账户名称：</w:t>
            </w:r>
            <w:r>
              <w:rPr>
                <w:rFonts w:hint="eastAsia" w:ascii="宋体" w:hAnsi="宋体" w:cs="宋体"/>
                <w:color w:val="auto"/>
                <w:sz w:val="24"/>
                <w:lang w:eastAsia="zh-CN"/>
              </w:rPr>
              <w:t>山西蒙鸿招标代理有限公司</w:t>
            </w:r>
          </w:p>
          <w:p w14:paraId="245B5F1C">
            <w:pPr>
              <w:keepNext w:val="0"/>
              <w:keepLines w:val="0"/>
              <w:pageBreakBefore w:val="0"/>
              <w:kinsoku/>
              <w:wordWrap/>
              <w:overflowPunct/>
              <w:topLinePunct w:val="0"/>
              <w:autoSpaceDE/>
              <w:autoSpaceDN/>
              <w:bidi w:val="0"/>
              <w:adjustRightInd/>
              <w:spacing w:line="420" w:lineRule="exact"/>
              <w:rPr>
                <w:rFonts w:hint="eastAsia" w:ascii="宋体" w:hAnsi="宋体" w:cs="宋体"/>
                <w:color w:val="auto"/>
                <w:sz w:val="24"/>
                <w:lang w:val="en-US" w:eastAsia="zh-CN"/>
              </w:rPr>
            </w:pPr>
            <w:r>
              <w:rPr>
                <w:rFonts w:hint="eastAsia" w:ascii="宋体" w:hAnsi="宋体" w:cs="宋体"/>
                <w:color w:val="auto"/>
                <w:sz w:val="24"/>
                <w:lang w:val="en-US" w:eastAsia="zh-CN"/>
              </w:rPr>
              <w:t>开户银行名称：中国民生银行股份有限公司太原体育南路支行</w:t>
            </w:r>
          </w:p>
          <w:p w14:paraId="6C46114B">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lang w:val="en-US" w:eastAsia="zh-CN"/>
              </w:rPr>
              <w:t>账    号：643639330</w:t>
            </w:r>
          </w:p>
          <w:p w14:paraId="3187AE18">
            <w:pPr>
              <w:keepNext w:val="0"/>
              <w:keepLines w:val="0"/>
              <w:pageBreakBefore w:val="0"/>
              <w:kinsoku/>
              <w:wordWrap/>
              <w:overflowPunct/>
              <w:topLinePunct w:val="0"/>
              <w:autoSpaceDE/>
              <w:autoSpaceDN/>
              <w:bidi w:val="0"/>
              <w:adjustRightInd/>
              <w:spacing w:line="420" w:lineRule="exact"/>
              <w:rPr>
                <w:rFonts w:hint="eastAsia" w:ascii="宋体" w:hAnsi="宋体" w:cs="宋体"/>
                <w:color w:val="auto"/>
                <w:sz w:val="24"/>
              </w:rPr>
            </w:pPr>
            <w:r>
              <w:rPr>
                <w:rFonts w:hint="eastAsia" w:ascii="宋体" w:hAnsi="宋体" w:cs="宋体"/>
                <w:color w:val="auto"/>
                <w:sz w:val="24"/>
              </w:rPr>
              <w:t>（注：交纳保证金时需注明项目名称）</w:t>
            </w:r>
          </w:p>
          <w:p w14:paraId="31AF749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cs="宋体"/>
                <w:color w:val="auto"/>
                <w:sz w:val="24"/>
              </w:rPr>
            </w:pPr>
            <w:r>
              <w:rPr>
                <w:rFonts w:hint="eastAsia" w:ascii="宋体" w:hAnsi="宋体" w:cs="宋体"/>
                <w:color w:val="auto"/>
                <w:sz w:val="24"/>
              </w:rPr>
              <w:t>（4）投标人的投标保证金退还方式和时间：按递交方式退还。发出</w:t>
            </w:r>
            <w:r>
              <w:rPr>
                <w:rFonts w:hint="eastAsia" w:ascii="宋体" w:hAnsi="宋体" w:cs="宋体"/>
                <w:color w:val="auto"/>
                <w:sz w:val="24"/>
                <w:lang w:eastAsia="zh-CN"/>
              </w:rPr>
              <w:t>成交通知书</w:t>
            </w:r>
            <w:r>
              <w:rPr>
                <w:rFonts w:hint="eastAsia" w:ascii="宋体" w:hAnsi="宋体" w:cs="宋体"/>
                <w:color w:val="auto"/>
                <w:sz w:val="24"/>
              </w:rPr>
              <w:t>后5个工作日内向未</w:t>
            </w:r>
            <w:r>
              <w:rPr>
                <w:rFonts w:hint="eastAsia" w:ascii="宋体" w:hAnsi="宋体" w:cs="宋体"/>
                <w:color w:val="auto"/>
                <w:sz w:val="24"/>
                <w:lang w:eastAsia="zh-CN"/>
              </w:rPr>
              <w:t>成交</w:t>
            </w:r>
            <w:r>
              <w:rPr>
                <w:rFonts w:hint="eastAsia" w:ascii="宋体" w:hAnsi="宋体" w:cs="宋体"/>
                <w:color w:val="auto"/>
                <w:sz w:val="24"/>
              </w:rPr>
              <w:t>的投标人退还投标保证金；</w:t>
            </w:r>
            <w:r>
              <w:rPr>
                <w:rFonts w:hint="eastAsia" w:ascii="宋体" w:hAnsi="宋体" w:cs="宋体"/>
                <w:color w:val="auto"/>
                <w:sz w:val="24"/>
                <w:lang w:eastAsia="zh-CN"/>
              </w:rPr>
              <w:t>采购人</w:t>
            </w:r>
            <w:r>
              <w:rPr>
                <w:rFonts w:hint="eastAsia" w:ascii="宋体" w:hAnsi="宋体" w:cs="宋体"/>
                <w:color w:val="auto"/>
                <w:sz w:val="24"/>
              </w:rPr>
              <w:t>与</w:t>
            </w:r>
            <w:r>
              <w:rPr>
                <w:rFonts w:hint="eastAsia" w:ascii="宋体" w:hAnsi="宋体" w:cs="宋体"/>
                <w:color w:val="auto"/>
                <w:sz w:val="24"/>
                <w:lang w:eastAsia="zh-CN"/>
              </w:rPr>
              <w:t>成交</w:t>
            </w:r>
            <w:r>
              <w:rPr>
                <w:rFonts w:hint="eastAsia" w:ascii="宋体" w:hAnsi="宋体" w:cs="宋体"/>
                <w:color w:val="auto"/>
                <w:sz w:val="24"/>
              </w:rPr>
              <w:t>人签订合同后5个工作日内向</w:t>
            </w:r>
            <w:r>
              <w:rPr>
                <w:rFonts w:hint="eastAsia" w:ascii="宋体" w:hAnsi="宋体" w:cs="宋体"/>
                <w:color w:val="auto"/>
                <w:sz w:val="24"/>
                <w:lang w:eastAsia="zh-CN"/>
              </w:rPr>
              <w:t>成交</w:t>
            </w:r>
            <w:r>
              <w:rPr>
                <w:rFonts w:hint="eastAsia" w:ascii="宋体" w:hAnsi="宋体" w:cs="宋体"/>
                <w:color w:val="auto"/>
                <w:sz w:val="24"/>
              </w:rPr>
              <w:t>人退还投标保证金。</w:t>
            </w:r>
          </w:p>
          <w:p w14:paraId="00FF060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cs="宋体"/>
                <w:color w:val="auto"/>
                <w:sz w:val="24"/>
              </w:rPr>
            </w:pPr>
            <w:r>
              <w:rPr>
                <w:rFonts w:hint="eastAsia" w:ascii="宋体" w:hAnsi="宋体" w:cs="宋体"/>
                <w:color w:val="auto"/>
                <w:sz w:val="24"/>
                <w:lang w:val="en-US" w:eastAsia="zh-CN"/>
              </w:rPr>
              <w:t>（5）采用电汇形式的，必须从其基本账户转出。除电汇形式递交外，其它形式</w:t>
            </w:r>
            <w:r>
              <w:rPr>
                <w:rFonts w:hint="eastAsia" w:ascii="宋体" w:hAnsi="宋体" w:cs="宋体"/>
                <w:color w:val="auto"/>
                <w:sz w:val="24"/>
                <w:highlight w:val="none"/>
                <w:lang w:val="en-US" w:eastAsia="zh-CN"/>
              </w:rPr>
              <w:t>递交的投标保证金投标人必须在开标截止前的工作日时间内将本项目投标保证金递交的凭证扫描件及时上传至邮箱（</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"mailto:mengengongsi@163.com"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sxmhzbcg@163.com</w:t>
            </w:r>
            <w:r>
              <w:rPr>
                <w:rFonts w:hint="eastAsia" w:ascii="宋体" w:hAnsi="宋体" w:cs="宋体"/>
                <w:color w:val="auto"/>
                <w:sz w:val="24"/>
                <w:highlight w:val="none"/>
                <w:lang w:val="en-US" w:eastAsia="zh-CN"/>
              </w:rPr>
              <w:fldChar w:fldCharType="end"/>
            </w:r>
            <w:r>
              <w:rPr>
                <w:rFonts w:hint="eastAsia" w:ascii="宋体" w:hAnsi="宋体" w:cs="宋体"/>
                <w:color w:val="auto"/>
                <w:sz w:val="24"/>
                <w:highlight w:val="none"/>
                <w:lang w:val="en-US" w:eastAsia="zh-CN"/>
              </w:rPr>
              <w:t>），邮件标题格式为：项目名称+公司名称</w:t>
            </w:r>
            <w:r>
              <w:rPr>
                <w:rFonts w:hint="eastAsia" w:ascii="宋体" w:hAnsi="宋体" w:cs="宋体"/>
                <w:color w:val="auto"/>
                <w:sz w:val="24"/>
                <w:lang w:val="en-US" w:eastAsia="zh-CN"/>
              </w:rPr>
              <w:t>，若投标人自身原因造成的失误的一切后果由投标人自行承担。</w:t>
            </w:r>
          </w:p>
        </w:tc>
      </w:tr>
      <w:tr w14:paraId="1527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02" w:type="dxa"/>
            <w:vAlign w:val="center"/>
          </w:tcPr>
          <w:p w14:paraId="7C5C7950">
            <w:pPr>
              <w:keepNext w:val="0"/>
              <w:keepLines w:val="0"/>
              <w:pageBreakBefore w:val="0"/>
              <w:kinsoku/>
              <w:wordWrap/>
              <w:overflowPunct/>
              <w:topLinePunct w:val="0"/>
              <w:autoSpaceDE/>
              <w:autoSpaceDN/>
              <w:bidi w:val="0"/>
              <w:adjustRightInd/>
              <w:spacing w:line="42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19</w:t>
            </w:r>
          </w:p>
        </w:tc>
        <w:tc>
          <w:tcPr>
            <w:tcW w:w="2004" w:type="dxa"/>
            <w:vAlign w:val="center"/>
          </w:tcPr>
          <w:p w14:paraId="30788C25">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分  包</w:t>
            </w:r>
          </w:p>
        </w:tc>
        <w:tc>
          <w:tcPr>
            <w:tcW w:w="7296" w:type="dxa"/>
            <w:vAlign w:val="center"/>
          </w:tcPr>
          <w:p w14:paraId="0B91254F">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不允许</w:t>
            </w:r>
          </w:p>
          <w:p w14:paraId="42BD15F7">
            <w:pPr>
              <w:keepNext w:val="0"/>
              <w:keepLines w:val="0"/>
              <w:pageBreakBefore w:val="0"/>
              <w:kinsoku/>
              <w:wordWrap/>
              <w:overflowPunct/>
              <w:topLinePunct w:val="0"/>
              <w:autoSpaceDE/>
              <w:autoSpaceDN/>
              <w:bidi w:val="0"/>
              <w:adjustRightInd/>
              <w:spacing w:line="420" w:lineRule="exact"/>
              <w:rPr>
                <w:rFonts w:hint="default" w:ascii="宋体" w:hAnsi="宋体" w:eastAsia="宋体" w:cs="宋体"/>
                <w:color w:val="auto"/>
                <w:sz w:val="24"/>
                <w:lang w:val="en-US" w:eastAsia="zh-CN"/>
              </w:rPr>
            </w:pPr>
            <w:r>
              <w:rPr>
                <w:rFonts w:hint="eastAsia" w:ascii="宋体" w:hAnsi="宋体" w:cs="宋体"/>
                <w:color w:val="auto"/>
                <w:sz w:val="24"/>
                <w:lang w:eastAsia="zh-CN"/>
              </w:rPr>
              <w:t>☑</w:t>
            </w:r>
            <w:r>
              <w:rPr>
                <w:rFonts w:hint="eastAsia" w:ascii="宋体" w:hAnsi="宋体" w:cs="宋体"/>
                <w:color w:val="auto"/>
                <w:sz w:val="24"/>
              </w:rPr>
              <w:t>允许</w:t>
            </w:r>
            <w:r>
              <w:rPr>
                <w:rFonts w:hint="eastAsia" w:ascii="宋体" w:hAnsi="宋体" w:cs="宋体"/>
                <w:color w:val="auto"/>
                <w:sz w:val="24"/>
                <w:lang w:eastAsia="zh-CN"/>
              </w:rPr>
              <w:t>，</w:t>
            </w:r>
            <w:r>
              <w:rPr>
                <w:rFonts w:hint="eastAsia" w:ascii="宋体" w:hAnsi="宋体" w:cs="宋体"/>
                <w:color w:val="auto"/>
                <w:sz w:val="24"/>
                <w:lang w:val="en-US" w:eastAsia="zh-CN"/>
              </w:rPr>
              <w:t>主体设备不允许分包，非主体项分包应符合国家、行业相关规定、资质要求。</w:t>
            </w:r>
          </w:p>
        </w:tc>
      </w:tr>
      <w:tr w14:paraId="12E9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02" w:type="dxa"/>
            <w:vAlign w:val="center"/>
          </w:tcPr>
          <w:p w14:paraId="389E8FC6">
            <w:pPr>
              <w:keepNext w:val="0"/>
              <w:keepLines w:val="0"/>
              <w:pageBreakBefore w:val="0"/>
              <w:kinsoku/>
              <w:wordWrap/>
              <w:overflowPunct/>
              <w:topLinePunct w:val="0"/>
              <w:autoSpaceDE/>
              <w:autoSpaceDN/>
              <w:bidi w:val="0"/>
              <w:adjustRightInd/>
              <w:spacing w:line="42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20</w:t>
            </w:r>
          </w:p>
        </w:tc>
        <w:tc>
          <w:tcPr>
            <w:tcW w:w="2004" w:type="dxa"/>
            <w:vAlign w:val="center"/>
          </w:tcPr>
          <w:p w14:paraId="6259A97B">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构成招标文件</w:t>
            </w:r>
          </w:p>
          <w:p w14:paraId="3868334A">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的其他材料</w:t>
            </w:r>
          </w:p>
        </w:tc>
        <w:tc>
          <w:tcPr>
            <w:tcW w:w="7296" w:type="dxa"/>
            <w:vAlign w:val="center"/>
          </w:tcPr>
          <w:p w14:paraId="75AD7922">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□无</w:t>
            </w:r>
          </w:p>
          <w:p w14:paraId="34AAB636">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☑有  招标文件澄清、修改等内容，通过平台发布（如有）</w:t>
            </w:r>
          </w:p>
        </w:tc>
      </w:tr>
      <w:tr w14:paraId="4E7E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02" w:type="dxa"/>
            <w:vAlign w:val="center"/>
          </w:tcPr>
          <w:p w14:paraId="4CB42775">
            <w:pPr>
              <w:keepNext w:val="0"/>
              <w:keepLines w:val="0"/>
              <w:pageBreakBefore w:val="0"/>
              <w:kinsoku/>
              <w:wordWrap/>
              <w:overflowPunct/>
              <w:topLinePunct w:val="0"/>
              <w:autoSpaceDE/>
              <w:autoSpaceDN/>
              <w:bidi w:val="0"/>
              <w:adjustRightInd/>
              <w:spacing w:line="42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21</w:t>
            </w:r>
          </w:p>
        </w:tc>
        <w:tc>
          <w:tcPr>
            <w:tcW w:w="2004" w:type="dxa"/>
            <w:vAlign w:val="center"/>
          </w:tcPr>
          <w:p w14:paraId="5BA39EEB">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投标有效期</w:t>
            </w:r>
          </w:p>
        </w:tc>
        <w:tc>
          <w:tcPr>
            <w:tcW w:w="7296" w:type="dxa"/>
            <w:vAlign w:val="center"/>
          </w:tcPr>
          <w:p w14:paraId="4D19B7BF">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90日历天</w:t>
            </w:r>
          </w:p>
        </w:tc>
      </w:tr>
      <w:tr w14:paraId="2172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02" w:type="dxa"/>
            <w:vAlign w:val="center"/>
          </w:tcPr>
          <w:p w14:paraId="6BFCD4FE">
            <w:pPr>
              <w:keepNext w:val="0"/>
              <w:keepLines w:val="0"/>
              <w:pageBreakBefore w:val="0"/>
              <w:kinsoku/>
              <w:wordWrap/>
              <w:overflowPunct/>
              <w:topLinePunct w:val="0"/>
              <w:autoSpaceDE/>
              <w:autoSpaceDN/>
              <w:bidi w:val="0"/>
              <w:adjustRightInd/>
              <w:spacing w:line="42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22</w:t>
            </w:r>
          </w:p>
        </w:tc>
        <w:tc>
          <w:tcPr>
            <w:tcW w:w="2004" w:type="dxa"/>
            <w:vAlign w:val="center"/>
          </w:tcPr>
          <w:p w14:paraId="4AEEAD48">
            <w:pPr>
              <w:keepNext w:val="0"/>
              <w:keepLines w:val="0"/>
              <w:pageBreakBefore w:val="0"/>
              <w:widowControl/>
              <w:tabs>
                <w:tab w:val="left" w:pos="420"/>
              </w:tabs>
              <w:kinsoku/>
              <w:wordWrap/>
              <w:overflowPunct/>
              <w:topLinePunct w:val="0"/>
              <w:autoSpaceDE/>
              <w:autoSpaceDN/>
              <w:bidi w:val="0"/>
              <w:adjustRightInd/>
              <w:snapToGrid w:val="0"/>
              <w:spacing w:line="420" w:lineRule="exact"/>
              <w:jc w:val="center"/>
              <w:textAlignment w:val="baseline"/>
              <w:rPr>
                <w:rStyle w:val="80"/>
                <w:rFonts w:hint="eastAsia" w:ascii="宋体" w:hAnsi="宋体" w:cs="宋体"/>
                <w:color w:val="auto"/>
                <w:spacing w:val="10"/>
                <w:kern w:val="0"/>
                <w:sz w:val="24"/>
              </w:rPr>
            </w:pPr>
            <w:r>
              <w:rPr>
                <w:rStyle w:val="80"/>
                <w:rFonts w:hint="eastAsia" w:ascii="宋体" w:hAnsi="宋体" w:cs="宋体"/>
                <w:color w:val="auto"/>
                <w:spacing w:val="10"/>
                <w:kern w:val="0"/>
                <w:sz w:val="24"/>
              </w:rPr>
              <w:t>投标文件递交的截止时间</w:t>
            </w:r>
          </w:p>
          <w:p w14:paraId="2AA5E69F">
            <w:pPr>
              <w:keepNext w:val="0"/>
              <w:keepLines w:val="0"/>
              <w:pageBreakBefore w:val="0"/>
              <w:widowControl/>
              <w:tabs>
                <w:tab w:val="left" w:pos="420"/>
              </w:tabs>
              <w:kinsoku/>
              <w:wordWrap/>
              <w:overflowPunct/>
              <w:topLinePunct w:val="0"/>
              <w:autoSpaceDE/>
              <w:autoSpaceDN/>
              <w:bidi w:val="0"/>
              <w:adjustRightInd/>
              <w:snapToGrid w:val="0"/>
              <w:spacing w:line="420" w:lineRule="exact"/>
              <w:jc w:val="center"/>
              <w:textAlignment w:val="baseline"/>
              <w:rPr>
                <w:rFonts w:ascii="宋体" w:hAnsi="宋体" w:cs="宋体"/>
                <w:color w:val="auto"/>
                <w:sz w:val="24"/>
              </w:rPr>
            </w:pPr>
            <w:r>
              <w:rPr>
                <w:rStyle w:val="80"/>
                <w:rFonts w:hint="eastAsia" w:ascii="宋体" w:hAnsi="宋体" w:cs="宋体"/>
                <w:color w:val="auto"/>
                <w:spacing w:val="10"/>
                <w:kern w:val="0"/>
                <w:sz w:val="24"/>
              </w:rPr>
              <w:t>（</w:t>
            </w:r>
            <w:r>
              <w:rPr>
                <w:rStyle w:val="80"/>
                <w:rFonts w:hint="eastAsia" w:ascii="宋体" w:hAnsi="宋体" w:cs="宋体"/>
                <w:color w:val="auto"/>
                <w:spacing w:val="10"/>
                <w:kern w:val="0"/>
                <w:sz w:val="24"/>
                <w:lang w:val="en-US"/>
              </w:rPr>
              <w:t>同开标时间</w:t>
            </w:r>
            <w:r>
              <w:rPr>
                <w:rStyle w:val="80"/>
                <w:rFonts w:hint="eastAsia" w:ascii="宋体" w:hAnsi="宋体" w:cs="宋体"/>
                <w:color w:val="auto"/>
                <w:spacing w:val="10"/>
                <w:kern w:val="0"/>
                <w:sz w:val="24"/>
              </w:rPr>
              <w:t>）</w:t>
            </w:r>
          </w:p>
        </w:tc>
        <w:tc>
          <w:tcPr>
            <w:tcW w:w="7296" w:type="dxa"/>
            <w:vAlign w:val="center"/>
          </w:tcPr>
          <w:p w14:paraId="3C35361B">
            <w:pPr>
              <w:keepNext w:val="0"/>
              <w:keepLines w:val="0"/>
              <w:pageBreakBefore w:val="0"/>
              <w:widowControl/>
              <w:tabs>
                <w:tab w:val="left" w:pos="420"/>
              </w:tabs>
              <w:kinsoku/>
              <w:wordWrap/>
              <w:overflowPunct/>
              <w:topLinePunct w:val="0"/>
              <w:autoSpaceDE/>
              <w:autoSpaceDN/>
              <w:bidi w:val="0"/>
              <w:adjustRightInd/>
              <w:snapToGrid w:val="0"/>
              <w:spacing w:line="420" w:lineRule="exact"/>
              <w:textAlignment w:val="baseline"/>
              <w:rPr>
                <w:rFonts w:ascii="宋体" w:hAnsi="宋体" w:cs="宋体"/>
                <w:color w:val="auto"/>
                <w:sz w:val="24"/>
              </w:rPr>
            </w:pPr>
            <w:r>
              <w:rPr>
                <w:rFonts w:hint="eastAsia" w:ascii="宋体" w:hAnsi="宋体" w:cs="宋体"/>
                <w:color w:val="auto"/>
                <w:sz w:val="24"/>
              </w:rPr>
              <w:t>见招标公告</w:t>
            </w:r>
          </w:p>
        </w:tc>
      </w:tr>
      <w:tr w14:paraId="7D4B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02" w:type="dxa"/>
            <w:vAlign w:val="center"/>
          </w:tcPr>
          <w:p w14:paraId="7A262FE0">
            <w:pPr>
              <w:keepNext w:val="0"/>
              <w:keepLines w:val="0"/>
              <w:pageBreakBefore w:val="0"/>
              <w:widowControl/>
              <w:kinsoku/>
              <w:wordWrap/>
              <w:overflowPunct/>
              <w:topLinePunct w:val="0"/>
              <w:autoSpaceDE/>
              <w:autoSpaceDN/>
              <w:bidi w:val="0"/>
              <w:adjustRightInd/>
              <w:snapToGrid w:val="0"/>
              <w:spacing w:line="420" w:lineRule="exact"/>
              <w:jc w:val="center"/>
              <w:textAlignment w:val="baseline"/>
              <w:rPr>
                <w:rFonts w:hint="default" w:ascii="宋体" w:hAnsi="宋体" w:eastAsia="宋体" w:cs="宋体"/>
                <w:color w:val="auto"/>
                <w:kern w:val="2"/>
                <w:sz w:val="24"/>
                <w:szCs w:val="24"/>
                <w:lang w:val="en-US" w:eastAsia="zh-CN" w:bidi="ar-SA"/>
              </w:rPr>
            </w:pPr>
            <w:r>
              <w:rPr>
                <w:rStyle w:val="80"/>
                <w:rFonts w:hint="eastAsia" w:ascii="宋体" w:hAnsi="宋体" w:cs="宋体"/>
                <w:color w:val="auto"/>
                <w:sz w:val="24"/>
                <w:lang w:val="en-US"/>
              </w:rPr>
              <w:t>23</w:t>
            </w:r>
          </w:p>
        </w:tc>
        <w:tc>
          <w:tcPr>
            <w:tcW w:w="2004" w:type="dxa"/>
            <w:vAlign w:val="center"/>
          </w:tcPr>
          <w:p w14:paraId="6613F1FC">
            <w:pPr>
              <w:keepNext w:val="0"/>
              <w:keepLines w:val="0"/>
              <w:pageBreakBefore w:val="0"/>
              <w:widowControl/>
              <w:kinsoku/>
              <w:wordWrap/>
              <w:overflowPunct/>
              <w:topLinePunct w:val="0"/>
              <w:autoSpaceDE/>
              <w:autoSpaceDN/>
              <w:bidi w:val="0"/>
              <w:adjustRightInd/>
              <w:snapToGrid w:val="0"/>
              <w:spacing w:line="420" w:lineRule="exact"/>
              <w:jc w:val="center"/>
              <w:textAlignment w:val="baseline"/>
              <w:rPr>
                <w:rFonts w:ascii="宋体" w:hAnsi="宋体" w:cs="宋体"/>
                <w:color w:val="auto"/>
                <w:sz w:val="24"/>
              </w:rPr>
            </w:pPr>
            <w:r>
              <w:rPr>
                <w:rStyle w:val="80"/>
                <w:rFonts w:hint="eastAsia" w:ascii="宋体" w:hAnsi="宋体" w:cs="宋体"/>
                <w:b/>
                <w:bCs/>
                <w:color w:val="auto"/>
                <w:spacing w:val="10"/>
                <w:kern w:val="0"/>
                <w:sz w:val="24"/>
              </w:rPr>
              <w:t>投标文件递交</w:t>
            </w:r>
          </w:p>
        </w:tc>
        <w:tc>
          <w:tcPr>
            <w:tcW w:w="7296" w:type="dxa"/>
            <w:vAlign w:val="center"/>
          </w:tcPr>
          <w:p w14:paraId="452F2431">
            <w:pPr>
              <w:keepNext w:val="0"/>
              <w:keepLines w:val="0"/>
              <w:pageBreakBefore w:val="0"/>
              <w:kinsoku/>
              <w:wordWrap/>
              <w:overflowPunct/>
              <w:topLinePunct w:val="0"/>
              <w:autoSpaceDE/>
              <w:autoSpaceDN/>
              <w:bidi w:val="0"/>
              <w:adjustRightInd/>
              <w:spacing w:line="420" w:lineRule="exact"/>
              <w:rPr>
                <w:rFonts w:hint="eastAsia"/>
                <w:b/>
                <w:bCs/>
                <w:color w:val="auto"/>
                <w:sz w:val="24"/>
                <w:lang w:val="en-US" w:eastAsia="zh-CN"/>
              </w:rPr>
            </w:pPr>
            <w:r>
              <w:rPr>
                <w:rFonts w:hint="eastAsia"/>
                <w:b/>
                <w:bCs/>
                <w:color w:val="auto"/>
                <w:sz w:val="24"/>
                <w:lang w:val="en-US" w:eastAsia="zh-CN"/>
              </w:rPr>
              <w:t>本项目为全流程电子化招投标。</w:t>
            </w:r>
          </w:p>
          <w:p w14:paraId="6AC0C54A">
            <w:pPr>
              <w:keepNext w:val="0"/>
              <w:keepLines w:val="0"/>
              <w:pageBreakBefore w:val="0"/>
              <w:kinsoku/>
              <w:wordWrap/>
              <w:overflowPunct/>
              <w:topLinePunct w:val="0"/>
              <w:autoSpaceDE/>
              <w:autoSpaceDN/>
              <w:bidi w:val="0"/>
              <w:adjustRightInd/>
              <w:spacing w:line="420" w:lineRule="exact"/>
              <w:rPr>
                <w:rFonts w:hint="eastAsia"/>
                <w:color w:val="auto"/>
                <w:sz w:val="24"/>
                <w:lang w:val="en-US"/>
              </w:rPr>
            </w:pPr>
            <w:r>
              <w:rPr>
                <w:rFonts w:hint="eastAsia"/>
                <w:color w:val="auto"/>
                <w:sz w:val="24"/>
                <w:lang w:val="en-US"/>
              </w:rPr>
              <w:t>电子</w:t>
            </w:r>
            <w:r>
              <w:rPr>
                <w:rFonts w:hint="eastAsia"/>
                <w:color w:val="auto"/>
                <w:sz w:val="24"/>
                <w:lang w:val="en-US" w:eastAsia="zh-CN"/>
              </w:rPr>
              <w:t>投标</w:t>
            </w:r>
            <w:r>
              <w:rPr>
                <w:rFonts w:hint="eastAsia"/>
                <w:color w:val="auto"/>
                <w:sz w:val="24"/>
                <w:lang w:val="en-US"/>
              </w:rPr>
              <w:t>文件请通过山西省政府采购网下载电子投标文件制作工具进行制作</w:t>
            </w:r>
            <w:r>
              <w:rPr>
                <w:rFonts w:hint="eastAsia"/>
                <w:color w:val="auto"/>
                <w:sz w:val="24"/>
                <w:lang w:val="en-US" w:eastAsia="zh-CN"/>
              </w:rPr>
              <w:t>并按要求进行签章、加密、上传</w:t>
            </w:r>
            <w:r>
              <w:rPr>
                <w:rFonts w:hint="eastAsia"/>
                <w:color w:val="auto"/>
                <w:sz w:val="24"/>
                <w:lang w:val="en-US"/>
              </w:rPr>
              <w:t>。</w:t>
            </w:r>
          </w:p>
          <w:p w14:paraId="3AF3E6B9">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color w:val="auto"/>
                <w:sz w:val="24"/>
                <w:lang w:val="en-US"/>
              </w:rPr>
              <w:t>逾期未上传或未</w:t>
            </w:r>
            <w:r>
              <w:rPr>
                <w:rFonts w:hint="eastAsia"/>
                <w:color w:val="auto"/>
                <w:sz w:val="24"/>
                <w:lang w:val="en-US" w:eastAsia="zh-CN"/>
              </w:rPr>
              <w:t>按要求</w:t>
            </w:r>
            <w:r>
              <w:rPr>
                <w:rFonts w:hint="eastAsia"/>
                <w:color w:val="auto"/>
                <w:sz w:val="24"/>
                <w:lang w:val="en-US"/>
              </w:rPr>
              <w:t>上传</w:t>
            </w:r>
            <w:r>
              <w:rPr>
                <w:rFonts w:hint="eastAsia"/>
                <w:color w:val="auto"/>
                <w:sz w:val="24"/>
                <w:lang w:val="en-US" w:eastAsia="zh-CN"/>
              </w:rPr>
              <w:t>的投标</w:t>
            </w:r>
            <w:r>
              <w:rPr>
                <w:rFonts w:hint="eastAsia"/>
                <w:color w:val="auto"/>
                <w:sz w:val="24"/>
                <w:lang w:val="en-US"/>
              </w:rPr>
              <w:t>文件，采购人不予受理。</w:t>
            </w:r>
          </w:p>
        </w:tc>
      </w:tr>
      <w:tr w14:paraId="0506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02" w:type="dxa"/>
            <w:vAlign w:val="center"/>
          </w:tcPr>
          <w:p w14:paraId="79720A7F">
            <w:pPr>
              <w:keepNext w:val="0"/>
              <w:keepLines w:val="0"/>
              <w:pageBreakBefore w:val="0"/>
              <w:widowControl/>
              <w:kinsoku/>
              <w:wordWrap/>
              <w:overflowPunct/>
              <w:topLinePunct w:val="0"/>
              <w:autoSpaceDE/>
              <w:autoSpaceDN/>
              <w:bidi w:val="0"/>
              <w:adjustRightInd/>
              <w:snapToGrid w:val="0"/>
              <w:spacing w:line="420" w:lineRule="exact"/>
              <w:jc w:val="center"/>
              <w:textAlignment w:val="baseline"/>
              <w:rPr>
                <w:rFonts w:hint="default" w:ascii="宋体" w:hAnsi="宋体" w:eastAsia="宋体" w:cs="宋体"/>
                <w:color w:val="auto"/>
                <w:kern w:val="2"/>
                <w:sz w:val="24"/>
                <w:szCs w:val="24"/>
                <w:lang w:val="en-US" w:eastAsia="zh-CN" w:bidi="ar-SA"/>
              </w:rPr>
            </w:pPr>
            <w:r>
              <w:rPr>
                <w:rStyle w:val="80"/>
                <w:rFonts w:hint="eastAsia" w:ascii="宋体" w:hAnsi="宋体" w:cs="宋体"/>
                <w:color w:val="auto"/>
                <w:sz w:val="24"/>
                <w:lang w:val="en-US"/>
              </w:rPr>
              <w:t>24</w:t>
            </w:r>
          </w:p>
        </w:tc>
        <w:tc>
          <w:tcPr>
            <w:tcW w:w="2004" w:type="dxa"/>
            <w:vAlign w:val="center"/>
          </w:tcPr>
          <w:p w14:paraId="2EBCB565">
            <w:pPr>
              <w:keepNext w:val="0"/>
              <w:keepLines w:val="0"/>
              <w:pageBreakBefore w:val="0"/>
              <w:widowControl/>
              <w:kinsoku/>
              <w:wordWrap/>
              <w:overflowPunct/>
              <w:topLinePunct w:val="0"/>
              <w:autoSpaceDE/>
              <w:autoSpaceDN/>
              <w:bidi w:val="0"/>
              <w:adjustRightInd/>
              <w:snapToGrid w:val="0"/>
              <w:spacing w:line="420" w:lineRule="exact"/>
              <w:jc w:val="center"/>
              <w:textAlignment w:val="baseline"/>
              <w:rPr>
                <w:rFonts w:ascii="宋体" w:hAnsi="宋体" w:cs="宋体"/>
                <w:color w:val="auto"/>
                <w:sz w:val="24"/>
              </w:rPr>
            </w:pPr>
            <w:r>
              <w:rPr>
                <w:rStyle w:val="80"/>
                <w:rFonts w:hint="eastAsia" w:ascii="宋体" w:hAnsi="宋体" w:cs="宋体"/>
                <w:color w:val="auto"/>
                <w:spacing w:val="10"/>
                <w:kern w:val="0"/>
                <w:sz w:val="24"/>
              </w:rPr>
              <w:t>评标委员会的组建</w:t>
            </w:r>
          </w:p>
        </w:tc>
        <w:tc>
          <w:tcPr>
            <w:tcW w:w="7296" w:type="dxa"/>
            <w:vAlign w:val="center"/>
          </w:tcPr>
          <w:p w14:paraId="5E199788">
            <w:pPr>
              <w:keepNext w:val="0"/>
              <w:keepLines w:val="0"/>
              <w:pageBreakBefore w:val="0"/>
              <w:widowControl/>
              <w:kinsoku/>
              <w:wordWrap/>
              <w:overflowPunct/>
              <w:topLinePunct w:val="0"/>
              <w:autoSpaceDE/>
              <w:autoSpaceDN/>
              <w:bidi w:val="0"/>
              <w:adjustRightInd/>
              <w:snapToGrid w:val="0"/>
              <w:spacing w:line="420" w:lineRule="exact"/>
              <w:textAlignment w:val="baseline"/>
              <w:rPr>
                <w:rFonts w:ascii="宋体" w:hAnsi="宋体" w:cs="宋体"/>
                <w:color w:val="auto"/>
                <w:sz w:val="24"/>
              </w:rPr>
            </w:pPr>
            <w:r>
              <w:rPr>
                <w:rStyle w:val="80"/>
                <w:rFonts w:hint="eastAsia" w:ascii="宋体" w:hAnsi="宋体" w:cs="宋体"/>
                <w:color w:val="auto"/>
                <w:spacing w:val="10"/>
                <w:kern w:val="0"/>
                <w:sz w:val="24"/>
              </w:rPr>
              <w:t>评标委员会构成：5人；其中采购人代表1人、山西省政府采购网专家库随机抽取专家4人；</w:t>
            </w:r>
          </w:p>
        </w:tc>
      </w:tr>
      <w:tr w14:paraId="25E5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902" w:type="dxa"/>
            <w:vAlign w:val="center"/>
          </w:tcPr>
          <w:p w14:paraId="271E064C">
            <w:pPr>
              <w:keepNext w:val="0"/>
              <w:keepLines w:val="0"/>
              <w:pageBreakBefore w:val="0"/>
              <w:widowControl/>
              <w:kinsoku/>
              <w:wordWrap/>
              <w:overflowPunct/>
              <w:topLinePunct w:val="0"/>
              <w:autoSpaceDE/>
              <w:autoSpaceDN/>
              <w:bidi w:val="0"/>
              <w:adjustRightInd/>
              <w:snapToGrid w:val="0"/>
              <w:spacing w:line="420" w:lineRule="exact"/>
              <w:jc w:val="center"/>
              <w:textAlignment w:val="baseline"/>
              <w:rPr>
                <w:rFonts w:hint="default" w:ascii="宋体" w:hAnsi="宋体" w:eastAsia="宋体" w:cs="宋体"/>
                <w:color w:val="auto"/>
                <w:kern w:val="2"/>
                <w:sz w:val="24"/>
                <w:szCs w:val="24"/>
                <w:lang w:val="en-US" w:eastAsia="zh-CN" w:bidi="ar-SA"/>
              </w:rPr>
            </w:pPr>
            <w:r>
              <w:rPr>
                <w:rStyle w:val="80"/>
                <w:rFonts w:hint="eastAsia" w:ascii="宋体" w:hAnsi="宋体" w:cs="宋体"/>
                <w:color w:val="auto"/>
                <w:spacing w:val="10"/>
                <w:kern w:val="0"/>
                <w:sz w:val="24"/>
                <w:lang w:val="en-US"/>
              </w:rPr>
              <w:t>25</w:t>
            </w:r>
          </w:p>
        </w:tc>
        <w:tc>
          <w:tcPr>
            <w:tcW w:w="2004" w:type="dxa"/>
            <w:vAlign w:val="center"/>
          </w:tcPr>
          <w:p w14:paraId="0412270C">
            <w:pPr>
              <w:keepNext w:val="0"/>
              <w:keepLines w:val="0"/>
              <w:pageBreakBefore w:val="0"/>
              <w:widowControl/>
              <w:kinsoku/>
              <w:wordWrap/>
              <w:overflowPunct/>
              <w:topLinePunct w:val="0"/>
              <w:autoSpaceDE/>
              <w:autoSpaceDN/>
              <w:bidi w:val="0"/>
              <w:adjustRightInd/>
              <w:snapToGrid w:val="0"/>
              <w:spacing w:line="420" w:lineRule="exact"/>
              <w:jc w:val="center"/>
              <w:textAlignment w:val="baseline"/>
              <w:rPr>
                <w:rFonts w:ascii="宋体" w:hAnsi="宋体" w:cs="宋体"/>
                <w:color w:val="auto"/>
                <w:sz w:val="24"/>
              </w:rPr>
            </w:pPr>
            <w:r>
              <w:rPr>
                <w:rStyle w:val="80"/>
                <w:rFonts w:hint="eastAsia" w:ascii="宋体" w:hAnsi="宋体" w:cs="宋体"/>
                <w:b/>
                <w:bCs/>
                <w:color w:val="auto"/>
                <w:sz w:val="24"/>
              </w:rPr>
              <w:t>电子投标文件编制及开标解密</w:t>
            </w:r>
          </w:p>
        </w:tc>
        <w:tc>
          <w:tcPr>
            <w:tcW w:w="7296" w:type="dxa"/>
            <w:vAlign w:val="center"/>
          </w:tcPr>
          <w:p w14:paraId="7305122C">
            <w:pPr>
              <w:pStyle w:val="112"/>
              <w:keepNext w:val="0"/>
              <w:keepLines w:val="0"/>
              <w:pageBreakBefore w:val="0"/>
              <w:widowControl/>
              <w:kinsoku/>
              <w:wordWrap/>
              <w:overflowPunct/>
              <w:topLinePunct w:val="0"/>
              <w:autoSpaceDE/>
              <w:autoSpaceDN/>
              <w:bidi w:val="0"/>
              <w:adjustRightInd/>
              <w:snapToGrid w:val="0"/>
              <w:spacing w:line="420" w:lineRule="exact"/>
              <w:ind w:left="0" w:leftChars="0"/>
              <w:jc w:val="left"/>
              <w:rPr>
                <w:rStyle w:val="80"/>
                <w:rFonts w:ascii="宋体" w:hAnsi="宋体" w:cs="宋体"/>
                <w:color w:val="auto"/>
                <w:sz w:val="24"/>
              </w:rPr>
            </w:pPr>
            <w:r>
              <w:rPr>
                <w:rStyle w:val="80"/>
                <w:rFonts w:hint="eastAsia" w:ascii="宋体" w:hAnsi="宋体" w:cs="宋体"/>
                <w:color w:val="auto"/>
                <w:sz w:val="24"/>
              </w:rPr>
              <w:t>1、电子</w:t>
            </w:r>
            <w:r>
              <w:rPr>
                <w:rStyle w:val="80"/>
                <w:rFonts w:hint="eastAsia" w:ascii="宋体" w:hAnsi="宋体" w:cs="宋体"/>
                <w:color w:val="auto"/>
                <w:sz w:val="24"/>
                <w:lang w:val="en-US"/>
              </w:rPr>
              <w:t>投标</w:t>
            </w:r>
            <w:r>
              <w:rPr>
                <w:rStyle w:val="80"/>
                <w:rFonts w:hint="eastAsia" w:ascii="宋体" w:hAnsi="宋体" w:cs="宋体"/>
                <w:color w:val="auto"/>
                <w:sz w:val="24"/>
              </w:rPr>
              <w:t>文件须使用山西省政府采购平台提供的投标文件编制工具编制完成，投标截止时间前在山西省政府采购平台（http://www.ccgp-shanxi.gov.cn/home.html）上传经过CA签章的加密的电子投标文件。</w:t>
            </w:r>
          </w:p>
          <w:p w14:paraId="081F4530">
            <w:pPr>
              <w:pStyle w:val="112"/>
              <w:keepNext w:val="0"/>
              <w:keepLines w:val="0"/>
              <w:pageBreakBefore w:val="0"/>
              <w:widowControl/>
              <w:kinsoku/>
              <w:wordWrap/>
              <w:overflowPunct/>
              <w:topLinePunct w:val="0"/>
              <w:autoSpaceDE/>
              <w:autoSpaceDN/>
              <w:bidi w:val="0"/>
              <w:adjustRightInd/>
              <w:snapToGrid w:val="0"/>
              <w:spacing w:line="420" w:lineRule="exact"/>
              <w:ind w:left="0" w:leftChars="0"/>
              <w:jc w:val="left"/>
              <w:rPr>
                <w:rStyle w:val="80"/>
                <w:rFonts w:ascii="宋体" w:hAnsi="宋体" w:cs="宋体"/>
                <w:color w:val="auto"/>
                <w:sz w:val="24"/>
              </w:rPr>
            </w:pPr>
            <w:r>
              <w:rPr>
                <w:rStyle w:val="80"/>
                <w:rFonts w:hint="eastAsia" w:ascii="宋体" w:hAnsi="宋体" w:cs="宋体"/>
                <w:color w:val="auto"/>
                <w:sz w:val="24"/>
              </w:rPr>
              <w:t>2、逾期未上传或未按要求上传加密的投标文件，</w:t>
            </w:r>
            <w:r>
              <w:rPr>
                <w:rFonts w:hint="eastAsia"/>
                <w:color w:val="auto"/>
                <w:sz w:val="24"/>
                <w:lang w:val="en-US"/>
              </w:rPr>
              <w:t>采购人不予受理。</w:t>
            </w:r>
          </w:p>
          <w:p w14:paraId="1771681E">
            <w:pPr>
              <w:pStyle w:val="112"/>
              <w:keepNext w:val="0"/>
              <w:keepLines w:val="0"/>
              <w:pageBreakBefore w:val="0"/>
              <w:widowControl/>
              <w:kinsoku/>
              <w:wordWrap/>
              <w:overflowPunct/>
              <w:topLinePunct w:val="0"/>
              <w:autoSpaceDE/>
              <w:autoSpaceDN/>
              <w:bidi w:val="0"/>
              <w:adjustRightInd/>
              <w:snapToGrid w:val="0"/>
              <w:spacing w:line="420" w:lineRule="exact"/>
              <w:ind w:left="0" w:leftChars="0"/>
              <w:jc w:val="left"/>
              <w:rPr>
                <w:rStyle w:val="80"/>
                <w:rFonts w:hint="eastAsia" w:ascii="宋体" w:hAnsi="宋体" w:cs="宋体"/>
                <w:color w:val="auto"/>
                <w:sz w:val="24"/>
              </w:rPr>
            </w:pPr>
            <w:r>
              <w:rPr>
                <w:rStyle w:val="80"/>
                <w:rFonts w:hint="eastAsia" w:ascii="宋体" w:hAnsi="宋体" w:cs="宋体"/>
                <w:color w:val="auto"/>
                <w:sz w:val="24"/>
              </w:rPr>
              <w:t>3、投标文件电子版的解密：</w:t>
            </w:r>
            <w:r>
              <w:rPr>
                <w:rStyle w:val="80"/>
                <w:rFonts w:hint="eastAsia" w:ascii="宋体" w:hAnsi="宋体" w:cs="宋体"/>
                <w:b/>
                <w:bCs/>
                <w:color w:val="auto"/>
                <w:sz w:val="24"/>
              </w:rPr>
              <w:t>本项目为全流程电子标</w:t>
            </w:r>
            <w:r>
              <w:rPr>
                <w:rStyle w:val="80"/>
                <w:rFonts w:hint="eastAsia" w:ascii="宋体" w:hAnsi="宋体" w:cs="宋体"/>
                <w:color w:val="auto"/>
                <w:sz w:val="24"/>
              </w:rPr>
              <w:t>，投标人需在规定的投标截止时间(开标时间)后30分钟内通过山西省政府采购平台（http://www.ccgp-shanxi.gov.cn/home.html）</w:t>
            </w:r>
            <w:r>
              <w:rPr>
                <w:rStyle w:val="80"/>
                <w:rFonts w:hint="eastAsia" w:ascii="宋体" w:hAnsi="宋体" w:cs="宋体"/>
                <w:color w:val="auto"/>
                <w:sz w:val="24"/>
                <w:lang w:val="en-US"/>
              </w:rPr>
              <w:t>投标人</w:t>
            </w:r>
            <w:r>
              <w:rPr>
                <w:rStyle w:val="80"/>
                <w:rFonts w:hint="eastAsia" w:ascii="宋体" w:hAnsi="宋体" w:cs="宋体"/>
                <w:color w:val="auto"/>
                <w:sz w:val="24"/>
              </w:rPr>
              <w:t>账户对所提交的加密的电子投标文件进行解密操作，超过规定的解密时间将无法解密、将失去投标资格。</w:t>
            </w:r>
          </w:p>
          <w:p w14:paraId="5ABFABB9">
            <w:pPr>
              <w:pStyle w:val="112"/>
              <w:keepNext w:val="0"/>
              <w:keepLines w:val="0"/>
              <w:pageBreakBefore w:val="0"/>
              <w:widowControl/>
              <w:kinsoku/>
              <w:wordWrap/>
              <w:overflowPunct/>
              <w:topLinePunct w:val="0"/>
              <w:autoSpaceDE/>
              <w:autoSpaceDN/>
              <w:bidi w:val="0"/>
              <w:adjustRightInd/>
              <w:snapToGrid w:val="0"/>
              <w:spacing w:line="420" w:lineRule="exact"/>
              <w:ind w:left="0" w:leftChars="0"/>
              <w:jc w:val="left"/>
              <w:rPr>
                <w:rFonts w:hint="default" w:ascii="宋体" w:hAnsi="宋体" w:cs="宋体"/>
                <w:color w:val="auto"/>
                <w:sz w:val="24"/>
                <w:lang w:val="en-US"/>
              </w:rPr>
            </w:pPr>
            <w:r>
              <w:rPr>
                <w:rStyle w:val="80"/>
                <w:rFonts w:hint="eastAsia" w:ascii="宋体" w:hAnsi="宋体" w:cs="宋体"/>
                <w:color w:val="auto"/>
                <w:sz w:val="24"/>
              </w:rPr>
              <w:t>（</w:t>
            </w:r>
            <w:r>
              <w:rPr>
                <w:rStyle w:val="80"/>
                <w:rFonts w:hint="eastAsia" w:ascii="宋体" w:hAnsi="宋体" w:cs="宋体"/>
                <w:color w:val="auto"/>
                <w:sz w:val="24"/>
                <w:lang w:val="en-US"/>
              </w:rPr>
              <w:t>注意：</w:t>
            </w:r>
            <w:r>
              <w:rPr>
                <w:rStyle w:val="80"/>
                <w:rFonts w:hint="eastAsia" w:ascii="宋体" w:hAnsi="宋体" w:cs="宋体"/>
                <w:color w:val="auto"/>
                <w:sz w:val="24"/>
              </w:rPr>
              <w:t>加密、解密必须使用同一 CA 数字证书）。</w:t>
            </w:r>
          </w:p>
        </w:tc>
      </w:tr>
      <w:tr w14:paraId="6A8A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902" w:type="dxa"/>
            <w:vAlign w:val="center"/>
          </w:tcPr>
          <w:p w14:paraId="336A15D9">
            <w:pPr>
              <w:keepNext w:val="0"/>
              <w:keepLines w:val="0"/>
              <w:pageBreakBefore w:val="0"/>
              <w:widowControl/>
              <w:kinsoku/>
              <w:wordWrap/>
              <w:overflowPunct/>
              <w:topLinePunct w:val="0"/>
              <w:autoSpaceDE/>
              <w:autoSpaceDN/>
              <w:bidi w:val="0"/>
              <w:adjustRightInd/>
              <w:snapToGrid w:val="0"/>
              <w:spacing w:line="420" w:lineRule="exact"/>
              <w:jc w:val="center"/>
              <w:textAlignment w:val="baseline"/>
              <w:rPr>
                <w:rFonts w:hint="default" w:ascii="宋体" w:hAnsi="宋体" w:eastAsia="宋体" w:cs="宋体"/>
                <w:color w:val="auto"/>
                <w:kern w:val="2"/>
                <w:sz w:val="24"/>
                <w:szCs w:val="24"/>
                <w:lang w:val="en-US" w:eastAsia="zh-CN" w:bidi="ar-SA"/>
              </w:rPr>
            </w:pPr>
            <w:r>
              <w:rPr>
                <w:rStyle w:val="80"/>
                <w:rFonts w:hint="eastAsia" w:ascii="宋体" w:hAnsi="宋体" w:cs="宋体"/>
                <w:color w:val="auto"/>
                <w:sz w:val="24"/>
                <w:lang w:val="en-US"/>
              </w:rPr>
              <w:t>26</w:t>
            </w:r>
          </w:p>
        </w:tc>
        <w:tc>
          <w:tcPr>
            <w:tcW w:w="2004" w:type="dxa"/>
            <w:vAlign w:val="center"/>
          </w:tcPr>
          <w:p w14:paraId="292AB6E9">
            <w:pPr>
              <w:keepNext w:val="0"/>
              <w:keepLines w:val="0"/>
              <w:pageBreakBefore w:val="0"/>
              <w:kinsoku/>
              <w:wordWrap/>
              <w:overflowPunct/>
              <w:topLinePunct w:val="0"/>
              <w:autoSpaceDE/>
              <w:autoSpaceDN/>
              <w:bidi w:val="0"/>
              <w:adjustRightInd/>
              <w:spacing w:line="420" w:lineRule="exact"/>
              <w:jc w:val="center"/>
              <w:rPr>
                <w:rFonts w:ascii="宋体" w:hAnsi="宋体" w:cs="宋体"/>
                <w:bCs/>
                <w:color w:val="auto"/>
                <w:sz w:val="24"/>
              </w:rPr>
            </w:pPr>
            <w:r>
              <w:rPr>
                <w:rFonts w:hint="eastAsia" w:ascii="宋体" w:hAnsi="宋体" w:cs="宋体"/>
                <w:bCs/>
                <w:color w:val="auto"/>
                <w:sz w:val="24"/>
              </w:rPr>
              <w:t>签字、盖章要求</w:t>
            </w:r>
          </w:p>
        </w:tc>
        <w:tc>
          <w:tcPr>
            <w:tcW w:w="7296" w:type="dxa"/>
            <w:vAlign w:val="center"/>
          </w:tcPr>
          <w:p w14:paraId="779F90B1">
            <w:pPr>
              <w:keepNext w:val="0"/>
              <w:keepLines w:val="0"/>
              <w:pageBreakBefore w:val="0"/>
              <w:kinsoku/>
              <w:wordWrap/>
              <w:overflowPunct/>
              <w:topLinePunct w:val="0"/>
              <w:autoSpaceDE/>
              <w:autoSpaceDN/>
              <w:bidi w:val="0"/>
              <w:adjustRightInd/>
              <w:spacing w:line="420" w:lineRule="exact"/>
              <w:rPr>
                <w:rFonts w:ascii="宋体" w:hAnsi="宋体" w:cs="宋体"/>
                <w:bCs/>
                <w:color w:val="auto"/>
                <w:sz w:val="24"/>
              </w:rPr>
            </w:pPr>
            <w:r>
              <w:rPr>
                <w:rFonts w:hint="eastAsia" w:ascii="宋体" w:hAnsi="宋体" w:cs="宋体"/>
                <w:bCs/>
                <w:color w:val="auto"/>
                <w:sz w:val="24"/>
              </w:rPr>
              <w:t>投标文件应按招标文件要求签章处盖单位公章和由法定代表人或其委托代理人签字</w:t>
            </w:r>
            <w:r>
              <w:rPr>
                <w:rFonts w:hint="eastAsia" w:ascii="宋体" w:hAnsi="宋体" w:cs="宋体"/>
                <w:bCs/>
                <w:color w:val="auto"/>
                <w:sz w:val="24"/>
                <w:lang w:val="en-US" w:eastAsia="zh-CN"/>
              </w:rPr>
              <w:t>或盖章</w:t>
            </w:r>
            <w:r>
              <w:rPr>
                <w:rFonts w:hint="eastAsia" w:ascii="宋体" w:hAnsi="宋体" w:cs="宋体"/>
                <w:bCs/>
                <w:color w:val="auto"/>
                <w:sz w:val="24"/>
              </w:rPr>
              <w:t>，签字不得用签名章代替，单位公章不得使用单位其他专用章代替。</w:t>
            </w:r>
          </w:p>
        </w:tc>
      </w:tr>
      <w:tr w14:paraId="67B8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902" w:type="dxa"/>
            <w:vAlign w:val="center"/>
          </w:tcPr>
          <w:p w14:paraId="23714E86">
            <w:pPr>
              <w:keepNext w:val="0"/>
              <w:keepLines w:val="0"/>
              <w:pageBreakBefore w:val="0"/>
              <w:kinsoku/>
              <w:wordWrap/>
              <w:overflowPunct/>
              <w:topLinePunct w:val="0"/>
              <w:autoSpaceDE/>
              <w:autoSpaceDN/>
              <w:bidi w:val="0"/>
              <w:adjustRightInd/>
              <w:spacing w:line="42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27</w:t>
            </w:r>
          </w:p>
        </w:tc>
        <w:tc>
          <w:tcPr>
            <w:tcW w:w="2004" w:type="dxa"/>
            <w:vAlign w:val="center"/>
          </w:tcPr>
          <w:p w14:paraId="32432D26">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b/>
                <w:bCs/>
                <w:color w:val="auto"/>
                <w:sz w:val="24"/>
                <w:lang w:val="en-US" w:eastAsia="zh-CN"/>
              </w:rPr>
              <w:t>投标人</w:t>
            </w:r>
            <w:r>
              <w:rPr>
                <w:rFonts w:hint="eastAsia" w:ascii="宋体" w:hAnsi="宋体" w:cs="宋体"/>
                <w:b/>
                <w:bCs/>
                <w:color w:val="auto"/>
                <w:sz w:val="24"/>
              </w:rPr>
              <w:t>代表</w:t>
            </w:r>
            <w:r>
              <w:rPr>
                <w:rFonts w:hint="eastAsia" w:ascii="宋体" w:hAnsi="宋体" w:cs="宋体"/>
                <w:b/>
                <w:bCs/>
                <w:color w:val="auto"/>
                <w:sz w:val="24"/>
                <w:lang w:val="en-US" w:eastAsia="zh-CN"/>
              </w:rPr>
              <w:t>参加</w:t>
            </w:r>
            <w:r>
              <w:rPr>
                <w:rFonts w:hint="eastAsia" w:ascii="宋体" w:hAnsi="宋体" w:cs="宋体"/>
                <w:b/>
                <w:bCs/>
                <w:color w:val="auto"/>
                <w:sz w:val="24"/>
              </w:rPr>
              <w:t>开标会</w:t>
            </w:r>
          </w:p>
        </w:tc>
        <w:tc>
          <w:tcPr>
            <w:tcW w:w="7296" w:type="dxa"/>
            <w:vAlign w:val="center"/>
          </w:tcPr>
          <w:p w14:paraId="4B03D6A0">
            <w:pPr>
              <w:keepNext w:val="0"/>
              <w:keepLines w:val="0"/>
              <w:pageBreakBefore w:val="0"/>
              <w:kinsoku/>
              <w:wordWrap/>
              <w:overflowPunct/>
              <w:topLinePunct w:val="0"/>
              <w:autoSpaceDE/>
              <w:autoSpaceDN/>
              <w:bidi w:val="0"/>
              <w:adjustRightInd/>
              <w:spacing w:line="420" w:lineRule="exact"/>
              <w:rPr>
                <w:rFonts w:hint="eastAsia" w:ascii="宋体" w:hAnsi="宋体" w:cs="宋体"/>
                <w:b/>
                <w:bCs/>
                <w:color w:val="auto"/>
                <w:sz w:val="24"/>
              </w:rPr>
            </w:pPr>
            <w:r>
              <w:rPr>
                <w:rFonts w:hint="eastAsia" w:ascii="宋体" w:hAnsi="宋体" w:cs="宋体"/>
                <w:b/>
                <w:bCs/>
                <w:color w:val="auto"/>
                <w:sz w:val="24"/>
                <w:lang w:val="en-US" w:eastAsia="zh-CN"/>
              </w:rPr>
              <w:t>投标人</w:t>
            </w:r>
            <w:r>
              <w:rPr>
                <w:rFonts w:hint="eastAsia" w:ascii="宋体" w:hAnsi="宋体" w:cs="宋体"/>
                <w:b/>
                <w:bCs/>
                <w:color w:val="auto"/>
                <w:sz w:val="24"/>
              </w:rPr>
              <w:t>的法定代表人或其授权委托代理人应当按时</w:t>
            </w:r>
            <w:r>
              <w:rPr>
                <w:rFonts w:hint="eastAsia" w:ascii="宋体" w:hAnsi="宋体" w:cs="宋体"/>
                <w:b/>
                <w:bCs/>
                <w:color w:val="auto"/>
                <w:sz w:val="24"/>
                <w:lang w:val="en-US" w:eastAsia="zh-CN"/>
              </w:rPr>
              <w:t>登录政采云客户端</w:t>
            </w:r>
            <w:r>
              <w:rPr>
                <w:rFonts w:hint="eastAsia" w:ascii="宋体" w:hAnsi="宋体" w:cs="宋体"/>
                <w:b/>
                <w:bCs/>
                <w:color w:val="auto"/>
                <w:sz w:val="24"/>
              </w:rPr>
              <w:t>参加开标会。</w:t>
            </w:r>
          </w:p>
          <w:p w14:paraId="2D12D638">
            <w:pPr>
              <w:keepNext w:val="0"/>
              <w:keepLines w:val="0"/>
              <w:pageBreakBefore w:val="0"/>
              <w:kinsoku/>
              <w:wordWrap/>
              <w:overflowPunct/>
              <w:topLinePunct w:val="0"/>
              <w:autoSpaceDE/>
              <w:autoSpaceDN/>
              <w:bidi w:val="0"/>
              <w:adjustRightInd/>
              <w:spacing w:line="420" w:lineRule="exact"/>
              <w:rPr>
                <w:rFonts w:hint="default" w:ascii="宋体" w:hAnsi="宋体" w:eastAsia="宋体" w:cs="宋体"/>
                <w:color w:val="auto"/>
                <w:sz w:val="24"/>
                <w:lang w:val="en-US" w:eastAsia="zh-CN"/>
              </w:rPr>
            </w:pPr>
            <w:r>
              <w:rPr>
                <w:rFonts w:hint="eastAsia" w:ascii="宋体" w:hAnsi="宋体" w:cs="宋体"/>
                <w:b/>
                <w:bCs/>
                <w:color w:val="auto"/>
                <w:sz w:val="24"/>
                <w:lang w:val="en-US" w:eastAsia="zh-CN"/>
              </w:rPr>
              <w:t>本次采购不要求投标人到场。</w:t>
            </w:r>
          </w:p>
        </w:tc>
      </w:tr>
      <w:tr w14:paraId="02C7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902" w:type="dxa"/>
            <w:vAlign w:val="center"/>
          </w:tcPr>
          <w:p w14:paraId="121F50EE">
            <w:pPr>
              <w:keepNext w:val="0"/>
              <w:keepLines w:val="0"/>
              <w:pageBreakBefore w:val="0"/>
              <w:kinsoku/>
              <w:wordWrap/>
              <w:overflowPunct/>
              <w:topLinePunct w:val="0"/>
              <w:autoSpaceDE/>
              <w:autoSpaceDN/>
              <w:bidi w:val="0"/>
              <w:adjustRightInd/>
              <w:spacing w:line="420" w:lineRule="exact"/>
              <w:jc w:val="center"/>
              <w:rPr>
                <w:rFonts w:hint="default" w:ascii="宋体" w:hAnsi="宋体" w:cs="宋体"/>
                <w:color w:val="auto"/>
                <w:sz w:val="24"/>
                <w:lang w:val="en-US" w:eastAsia="zh-CN"/>
              </w:rPr>
            </w:pPr>
            <w:r>
              <w:rPr>
                <w:rFonts w:hint="eastAsia" w:ascii="宋体" w:hAnsi="宋体" w:cs="宋体"/>
                <w:color w:val="auto"/>
                <w:sz w:val="24"/>
                <w:lang w:val="en-US" w:eastAsia="zh-CN"/>
              </w:rPr>
              <w:t>28</w:t>
            </w:r>
          </w:p>
        </w:tc>
        <w:tc>
          <w:tcPr>
            <w:tcW w:w="2004" w:type="dxa"/>
            <w:vAlign w:val="center"/>
          </w:tcPr>
          <w:p w14:paraId="69C0D07B">
            <w:pPr>
              <w:keepNext w:val="0"/>
              <w:keepLines w:val="0"/>
              <w:pageBreakBefore w:val="0"/>
              <w:kinsoku/>
              <w:wordWrap/>
              <w:overflowPunct/>
              <w:topLinePunct w:val="0"/>
              <w:autoSpaceDE/>
              <w:autoSpaceDN/>
              <w:bidi w:val="0"/>
              <w:adjustRightInd/>
              <w:spacing w:line="440" w:lineRule="exact"/>
              <w:jc w:val="center"/>
              <w:rPr>
                <w:rFonts w:hint="eastAsia" w:ascii="宋体" w:hAnsi="宋体" w:cs="宋体"/>
                <w:b/>
                <w:bCs/>
                <w:color w:val="auto"/>
                <w:sz w:val="24"/>
                <w:lang w:val="en-US" w:eastAsia="zh-CN"/>
              </w:rPr>
            </w:pPr>
            <w:r>
              <w:rPr>
                <w:rFonts w:hint="eastAsia" w:ascii="宋体" w:hAnsi="宋体" w:cs="宋体"/>
                <w:b/>
                <w:bCs/>
                <w:color w:val="auto"/>
                <w:sz w:val="24"/>
                <w:lang w:val="en-US" w:eastAsia="zh-CN"/>
              </w:rPr>
              <w:t>本项目所属行业</w:t>
            </w:r>
          </w:p>
        </w:tc>
        <w:tc>
          <w:tcPr>
            <w:tcW w:w="7296" w:type="dxa"/>
            <w:vAlign w:val="center"/>
          </w:tcPr>
          <w:p w14:paraId="4E0A5B83">
            <w:pPr>
              <w:keepNext w:val="0"/>
              <w:keepLines w:val="0"/>
              <w:pageBreakBefore w:val="0"/>
              <w:kinsoku/>
              <w:wordWrap/>
              <w:overflowPunct/>
              <w:topLinePunct w:val="0"/>
              <w:autoSpaceDE/>
              <w:autoSpaceDN/>
              <w:bidi w:val="0"/>
              <w:adjustRightInd/>
              <w:spacing w:line="440" w:lineRule="exact"/>
              <w:rPr>
                <w:rFonts w:hint="eastAsia" w:ascii="宋体" w:hAnsi="宋体" w:cs="宋体"/>
                <w:b/>
                <w:bCs/>
                <w:color w:val="auto"/>
                <w:sz w:val="24"/>
                <w:lang w:val="en-US" w:eastAsia="zh-CN"/>
              </w:rPr>
            </w:pPr>
            <w:r>
              <w:rPr>
                <w:rFonts w:hint="eastAsia" w:ascii="宋体" w:hAnsi="宋体" w:cs="宋体"/>
                <w:b/>
                <w:bCs/>
                <w:color w:val="auto"/>
                <w:sz w:val="24"/>
                <w:lang w:val="en-US" w:eastAsia="zh-CN"/>
              </w:rPr>
              <w:t>工业</w:t>
            </w:r>
          </w:p>
        </w:tc>
      </w:tr>
      <w:tr w14:paraId="772B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02" w:type="dxa"/>
            <w:vAlign w:val="center"/>
          </w:tcPr>
          <w:p w14:paraId="3ACB0F5D">
            <w:pPr>
              <w:keepNext w:val="0"/>
              <w:keepLines w:val="0"/>
              <w:pageBreakBefore w:val="0"/>
              <w:kinsoku/>
              <w:wordWrap/>
              <w:overflowPunct/>
              <w:topLinePunct w:val="0"/>
              <w:autoSpaceDE/>
              <w:autoSpaceDN/>
              <w:bidi w:val="0"/>
              <w:adjustRightInd/>
              <w:spacing w:line="42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29</w:t>
            </w:r>
          </w:p>
        </w:tc>
        <w:tc>
          <w:tcPr>
            <w:tcW w:w="2004" w:type="dxa"/>
            <w:vAlign w:val="center"/>
          </w:tcPr>
          <w:p w14:paraId="06F2FA0E">
            <w:pPr>
              <w:keepNext w:val="0"/>
              <w:keepLines w:val="0"/>
              <w:pageBreakBefore w:val="0"/>
              <w:kinsoku/>
              <w:wordWrap/>
              <w:overflowPunct/>
              <w:topLinePunct w:val="0"/>
              <w:autoSpaceDE/>
              <w:autoSpaceDN/>
              <w:bidi w:val="0"/>
              <w:adjustRightInd/>
              <w:spacing w:line="420" w:lineRule="exact"/>
              <w:jc w:val="center"/>
              <w:rPr>
                <w:rFonts w:ascii="宋体" w:hAnsi="宋体" w:cs="宋体"/>
                <w:color w:val="auto"/>
                <w:sz w:val="24"/>
              </w:rPr>
            </w:pPr>
            <w:r>
              <w:rPr>
                <w:rFonts w:hint="eastAsia" w:ascii="宋体" w:hAnsi="宋体" w:cs="宋体"/>
                <w:color w:val="auto"/>
                <w:sz w:val="24"/>
              </w:rPr>
              <w:t>招标代理服务费</w:t>
            </w:r>
          </w:p>
        </w:tc>
        <w:tc>
          <w:tcPr>
            <w:tcW w:w="7296" w:type="dxa"/>
            <w:vAlign w:val="center"/>
          </w:tcPr>
          <w:p w14:paraId="5B2DB77C">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是否由</w:t>
            </w:r>
            <w:r>
              <w:rPr>
                <w:rFonts w:hint="eastAsia" w:ascii="宋体" w:hAnsi="宋体" w:cs="宋体"/>
                <w:color w:val="auto"/>
                <w:sz w:val="24"/>
                <w:lang w:eastAsia="zh-CN"/>
              </w:rPr>
              <w:t>成交</w:t>
            </w:r>
            <w:r>
              <w:rPr>
                <w:rFonts w:hint="eastAsia" w:ascii="宋体" w:hAnsi="宋体" w:cs="宋体"/>
                <w:color w:val="auto"/>
                <w:sz w:val="24"/>
                <w:lang w:val="en-US" w:eastAsia="zh-CN"/>
              </w:rPr>
              <w:t>人</w:t>
            </w:r>
            <w:r>
              <w:rPr>
                <w:rFonts w:hint="eastAsia" w:ascii="宋体" w:hAnsi="宋体" w:cs="宋体"/>
                <w:color w:val="auto"/>
                <w:sz w:val="24"/>
              </w:rPr>
              <w:t>缴纳招标代理费：</w:t>
            </w:r>
            <w:r>
              <w:rPr>
                <w:rFonts w:hint="eastAsia" w:ascii="宋体" w:hAnsi="宋体" w:cs="宋体"/>
                <w:color w:val="auto"/>
                <w:sz w:val="24"/>
                <w:u w:val="single"/>
              </w:rPr>
              <w:t xml:space="preserve">   是  </w:t>
            </w:r>
            <w:r>
              <w:rPr>
                <w:rFonts w:hint="eastAsia" w:ascii="宋体" w:hAnsi="宋体" w:cs="宋体"/>
                <w:color w:val="auto"/>
                <w:sz w:val="24"/>
              </w:rPr>
              <w:t>（是、否）</w:t>
            </w:r>
          </w:p>
          <w:p w14:paraId="1ED89F96">
            <w:pPr>
              <w:keepNext w:val="0"/>
              <w:keepLines w:val="0"/>
              <w:pageBreakBefore w:val="0"/>
              <w:kinsoku/>
              <w:wordWrap/>
              <w:overflowPunct/>
              <w:topLinePunct w:val="0"/>
              <w:autoSpaceDE/>
              <w:autoSpaceDN/>
              <w:bidi w:val="0"/>
              <w:adjustRightInd/>
              <w:spacing w:line="420" w:lineRule="exact"/>
              <w:rPr>
                <w:rFonts w:hint="eastAsia" w:ascii="宋体" w:hAnsi="宋体" w:eastAsia="宋体" w:cs="宋体"/>
                <w:color w:val="auto"/>
                <w:sz w:val="24"/>
                <w:lang w:val="en-US" w:eastAsia="zh-CN"/>
              </w:rPr>
            </w:pPr>
            <w:r>
              <w:rPr>
                <w:rFonts w:hint="eastAsia" w:ascii="宋体" w:hAnsi="宋体" w:cs="宋体"/>
                <w:color w:val="auto"/>
                <w:sz w:val="24"/>
              </w:rPr>
              <w:t>招标代理费：</w:t>
            </w:r>
            <w:r>
              <w:rPr>
                <w:rFonts w:hint="eastAsia" w:ascii="宋体" w:hAnsi="宋体" w:cs="宋体"/>
                <w:color w:val="auto"/>
                <w:sz w:val="24"/>
                <w:lang w:val="en-US" w:eastAsia="zh-CN"/>
              </w:rPr>
              <w:t>参照国家发展和改革委员会计价格【2002】1980号和发改办价格【2011】534号文件规定的收费标准，经与采购人协商，金额为22000元。</w:t>
            </w:r>
          </w:p>
          <w:p w14:paraId="0EAC844B">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支付形式：现金或转账（人民币）。</w:t>
            </w:r>
          </w:p>
          <w:p w14:paraId="052F05EF">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支付时间：</w:t>
            </w:r>
            <w:r>
              <w:rPr>
                <w:rFonts w:hint="eastAsia" w:ascii="宋体" w:hAnsi="宋体" w:cs="宋体"/>
                <w:color w:val="auto"/>
                <w:sz w:val="24"/>
                <w:lang w:eastAsia="zh-CN"/>
              </w:rPr>
              <w:t>成交</w:t>
            </w:r>
            <w:r>
              <w:rPr>
                <w:rFonts w:hint="eastAsia" w:ascii="宋体" w:hAnsi="宋体" w:cs="宋体"/>
                <w:color w:val="auto"/>
                <w:sz w:val="24"/>
              </w:rPr>
              <w:t>人在领取</w:t>
            </w:r>
            <w:r>
              <w:rPr>
                <w:rFonts w:hint="eastAsia" w:ascii="宋体" w:hAnsi="宋体" w:cs="宋体"/>
                <w:color w:val="auto"/>
                <w:sz w:val="24"/>
                <w:lang w:eastAsia="zh-CN"/>
              </w:rPr>
              <w:t>成交通知书</w:t>
            </w:r>
            <w:r>
              <w:rPr>
                <w:rFonts w:hint="eastAsia" w:ascii="宋体" w:hAnsi="宋体" w:cs="宋体"/>
                <w:color w:val="auto"/>
                <w:sz w:val="24"/>
              </w:rPr>
              <w:t>时一次付清。</w:t>
            </w:r>
          </w:p>
        </w:tc>
      </w:tr>
      <w:tr w14:paraId="6D03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2" w:type="dxa"/>
            <w:vMerge w:val="restart"/>
            <w:vAlign w:val="center"/>
          </w:tcPr>
          <w:p w14:paraId="5504AE24">
            <w:pPr>
              <w:keepNext w:val="0"/>
              <w:keepLines w:val="0"/>
              <w:pageBreakBefore w:val="0"/>
              <w:kinsoku/>
              <w:wordWrap/>
              <w:overflowPunct/>
              <w:topLinePunct w:val="0"/>
              <w:autoSpaceDE/>
              <w:autoSpaceDN/>
              <w:bidi w:val="0"/>
              <w:adjustRightInd/>
              <w:spacing w:line="42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30</w:t>
            </w:r>
          </w:p>
        </w:tc>
        <w:tc>
          <w:tcPr>
            <w:tcW w:w="2004" w:type="dxa"/>
            <w:vAlign w:val="center"/>
          </w:tcPr>
          <w:p w14:paraId="6B7F93BC">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政府采购支持中小微型企业发展</w:t>
            </w:r>
          </w:p>
        </w:tc>
        <w:tc>
          <w:tcPr>
            <w:tcW w:w="7296" w:type="dxa"/>
            <w:vAlign w:val="center"/>
          </w:tcPr>
          <w:p w14:paraId="4F0829BB">
            <w:pPr>
              <w:keepNext w:val="0"/>
              <w:keepLines w:val="0"/>
              <w:pageBreakBefore w:val="0"/>
              <w:kinsoku/>
              <w:wordWrap/>
              <w:overflowPunct/>
              <w:topLinePunct w:val="0"/>
              <w:autoSpaceDE/>
              <w:autoSpaceDN/>
              <w:bidi w:val="0"/>
              <w:adjustRightInd/>
              <w:spacing w:line="420" w:lineRule="exact"/>
              <w:rPr>
                <w:rFonts w:hint="eastAsia" w:ascii="宋体" w:hAnsi="宋体" w:eastAsia="宋体" w:cs="宋体"/>
                <w:color w:val="auto"/>
                <w:sz w:val="24"/>
              </w:rPr>
            </w:pPr>
            <w:r>
              <w:rPr>
                <w:rFonts w:hint="eastAsia" w:ascii="宋体" w:hAnsi="宋体" w:eastAsia="宋体" w:cs="宋体"/>
                <w:color w:val="auto"/>
                <w:sz w:val="24"/>
              </w:rPr>
              <w:t>根据财库【2020】46号、财库【2022】19 号</w:t>
            </w:r>
            <w:r>
              <w:rPr>
                <w:rFonts w:hint="eastAsia" w:ascii="宋体" w:hAnsi="宋体" w:eastAsia="宋体" w:cs="宋体"/>
                <w:color w:val="auto"/>
                <w:sz w:val="24"/>
                <w:lang w:eastAsia="zh-CN"/>
              </w:rPr>
              <w:t>、晋财购【2022】6号</w:t>
            </w:r>
            <w:r>
              <w:rPr>
                <w:rFonts w:hint="eastAsia" w:ascii="宋体" w:hAnsi="宋体" w:eastAsia="宋体" w:cs="宋体"/>
                <w:color w:val="auto"/>
                <w:sz w:val="24"/>
              </w:rPr>
              <w:t>文件规定，对符合本办法规定的小型和微型企业报价给予</w:t>
            </w:r>
            <w:r>
              <w:rPr>
                <w:rFonts w:hint="eastAsia" w:ascii="宋体" w:hAnsi="宋体" w:eastAsia="宋体" w:cs="宋体"/>
                <w:color w:val="auto"/>
                <w:sz w:val="24"/>
                <w:lang w:val="en-US" w:eastAsia="zh-CN"/>
              </w:rPr>
              <w:t>15</w:t>
            </w:r>
            <w:r>
              <w:rPr>
                <w:rFonts w:hint="eastAsia" w:ascii="宋体" w:hAnsi="宋体" w:eastAsia="宋体" w:cs="宋体"/>
                <w:color w:val="auto"/>
                <w:sz w:val="24"/>
              </w:rPr>
              <w:t>%的扣除，用扣除后的价格参与评审</w:t>
            </w:r>
            <w:r>
              <w:rPr>
                <w:rFonts w:hint="eastAsia" w:ascii="宋体" w:hAnsi="宋体" w:cs="宋体"/>
                <w:color w:val="auto"/>
                <w:sz w:val="24"/>
                <w:lang w:eastAsia="zh-CN"/>
              </w:rPr>
              <w:t>，</w:t>
            </w:r>
            <w:r>
              <w:rPr>
                <w:rFonts w:hint="eastAsia" w:ascii="宋体" w:hAnsi="宋体" w:eastAsia="宋体" w:cs="宋体"/>
                <w:color w:val="auto"/>
                <w:sz w:val="24"/>
              </w:rPr>
              <w:t>。</w:t>
            </w:r>
          </w:p>
          <w:p w14:paraId="66989A3B">
            <w:pPr>
              <w:keepNext w:val="0"/>
              <w:keepLines w:val="0"/>
              <w:pageBreakBefore w:val="0"/>
              <w:kinsoku/>
              <w:wordWrap/>
              <w:overflowPunct/>
              <w:topLinePunct w:val="0"/>
              <w:autoSpaceDE/>
              <w:autoSpaceDN/>
              <w:bidi w:val="0"/>
              <w:adjustRightInd/>
              <w:spacing w:line="420" w:lineRule="exact"/>
              <w:rPr>
                <w:rFonts w:hint="default" w:ascii="宋体" w:hAnsi="宋体" w:eastAsia="宋体" w:cs="宋体"/>
                <w:color w:val="auto"/>
                <w:sz w:val="24"/>
                <w:lang w:val="en-US" w:eastAsia="zh-CN"/>
              </w:rPr>
            </w:pPr>
            <w:r>
              <w:rPr>
                <w:rFonts w:hint="eastAsia" w:ascii="宋体" w:hAnsi="宋体" w:eastAsia="宋体" w:cs="宋体"/>
                <w:color w:val="auto"/>
                <w:sz w:val="24"/>
              </w:rPr>
              <w:t>参加政府采购活动的中小企业应当提供本办法规定的《中小企业声明函》（见附件）。</w:t>
            </w:r>
          </w:p>
        </w:tc>
      </w:tr>
      <w:tr w14:paraId="29C8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02" w:type="dxa"/>
            <w:vMerge w:val="continue"/>
            <w:vAlign w:val="center"/>
          </w:tcPr>
          <w:p w14:paraId="3DF3CB5D">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p>
        </w:tc>
        <w:tc>
          <w:tcPr>
            <w:tcW w:w="2004" w:type="dxa"/>
            <w:vAlign w:val="center"/>
          </w:tcPr>
          <w:p w14:paraId="4C97D319">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政府采购支持残疾人福利性单位</w:t>
            </w:r>
          </w:p>
        </w:tc>
        <w:tc>
          <w:tcPr>
            <w:tcW w:w="7296" w:type="dxa"/>
            <w:vAlign w:val="center"/>
          </w:tcPr>
          <w:p w14:paraId="153A3C37">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根据财库【2017】141号文件规定，残疾人福利性单位视同小型、微型企业，享受预留份额、评审中价格折扣等促进中小企业发展的政府采购政策。</w:t>
            </w:r>
          </w:p>
          <w:p w14:paraId="1A2C678C">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参加政府采购活动的残疾人福利性单位应当提供本办法规定的《残疾人福利性单位声明函》（见附件）</w:t>
            </w:r>
          </w:p>
        </w:tc>
      </w:tr>
      <w:tr w14:paraId="6DF6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902" w:type="dxa"/>
            <w:vMerge w:val="continue"/>
            <w:vAlign w:val="center"/>
          </w:tcPr>
          <w:p w14:paraId="1F6DD681">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p>
        </w:tc>
        <w:tc>
          <w:tcPr>
            <w:tcW w:w="2004" w:type="dxa"/>
            <w:vAlign w:val="center"/>
          </w:tcPr>
          <w:p w14:paraId="543BD275">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color w:val="auto"/>
                <w:sz w:val="24"/>
              </w:rPr>
              <w:t>政府采购支持监狱企业发展</w:t>
            </w:r>
          </w:p>
        </w:tc>
        <w:tc>
          <w:tcPr>
            <w:tcW w:w="7296" w:type="dxa"/>
            <w:vAlign w:val="center"/>
          </w:tcPr>
          <w:p w14:paraId="78218A2B">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根据财库【2014】68号文件规定，监狱企业视同小型、微型企业，享受预留份额、评审中价格扣除等政府采购促进中小企业发展的政府采购政策。</w:t>
            </w:r>
          </w:p>
          <w:p w14:paraId="44038B79">
            <w:pPr>
              <w:pStyle w:val="13"/>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参加政府采购活动的监狱企业应当提供本办法规定的《监狱企业声明函》（见附件）</w:t>
            </w:r>
          </w:p>
        </w:tc>
      </w:tr>
      <w:tr w14:paraId="3B36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902" w:type="dxa"/>
            <w:vMerge w:val="continue"/>
            <w:vAlign w:val="center"/>
          </w:tcPr>
          <w:p w14:paraId="51805B53">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p>
        </w:tc>
        <w:tc>
          <w:tcPr>
            <w:tcW w:w="2004" w:type="dxa"/>
            <w:vAlign w:val="center"/>
          </w:tcPr>
          <w:p w14:paraId="56F4B20F">
            <w:pPr>
              <w:keepNext w:val="0"/>
              <w:keepLines w:val="0"/>
              <w:pageBreakBefore w:val="0"/>
              <w:kinsoku/>
              <w:wordWrap/>
              <w:overflowPunct/>
              <w:topLinePunct w:val="0"/>
              <w:autoSpaceDE/>
              <w:autoSpaceDN/>
              <w:bidi w:val="0"/>
              <w:adjustRightInd/>
              <w:spacing w:line="400" w:lineRule="exact"/>
              <w:jc w:val="center"/>
              <w:rPr>
                <w:rFonts w:ascii="宋体" w:hAnsi="宋体" w:cs="宋体"/>
                <w:color w:val="auto"/>
                <w:sz w:val="24"/>
              </w:rPr>
            </w:pPr>
            <w:r>
              <w:rPr>
                <w:rFonts w:hint="eastAsia" w:ascii="宋体" w:hAnsi="宋体" w:cs="宋体"/>
                <w:color w:val="auto"/>
                <w:spacing w:val="0"/>
                <w:sz w:val="24"/>
              </w:rPr>
              <w:t>政府采购强制采购节能产品</w:t>
            </w:r>
          </w:p>
        </w:tc>
        <w:tc>
          <w:tcPr>
            <w:tcW w:w="7296" w:type="dxa"/>
            <w:vAlign w:val="center"/>
          </w:tcPr>
          <w:p w14:paraId="277F5FDC">
            <w:pPr>
              <w:keepNext w:val="0"/>
              <w:keepLines w:val="0"/>
              <w:pageBreakBefore w:val="0"/>
              <w:kinsoku/>
              <w:wordWrap/>
              <w:overflowPunct/>
              <w:topLinePunct w:val="0"/>
              <w:autoSpaceDE/>
              <w:autoSpaceDN/>
              <w:bidi w:val="0"/>
              <w:adjustRightInd/>
              <w:spacing w:line="400" w:lineRule="exact"/>
              <w:rPr>
                <w:rFonts w:ascii="宋体" w:hAnsi="宋体" w:cs="宋体"/>
                <w:color w:val="auto"/>
                <w:sz w:val="24"/>
              </w:rPr>
            </w:pPr>
            <w:r>
              <w:rPr>
                <w:rFonts w:hint="eastAsia" w:ascii="宋体" w:hAnsi="宋体" w:cs="宋体"/>
                <w:color w:val="auto"/>
                <w:sz w:val="24"/>
              </w:rPr>
              <w:t>属于政府强制采购产品的，投标产品必须为财库[2019]19号《关于印发节能产品政府采购品目清单的通知》--“附件：节能产品政府采购品目清单”中的产品</w:t>
            </w:r>
            <w:r>
              <w:rPr>
                <w:rFonts w:hint="eastAsia" w:ascii="宋体" w:hAnsi="宋体" w:cs="宋体"/>
                <w:color w:val="auto"/>
                <w:sz w:val="24"/>
                <w:lang w:eastAsia="zh-CN"/>
              </w:rPr>
              <w:t>，</w:t>
            </w:r>
            <w:r>
              <w:rPr>
                <w:rFonts w:hint="eastAsia" w:ascii="宋体" w:hAnsi="宋体" w:cs="宋体"/>
                <w:color w:val="auto"/>
                <w:sz w:val="24"/>
              </w:rPr>
              <w:t>须提供处于有效期之内的节能产品认证证书扫描件</w:t>
            </w:r>
            <w:r>
              <w:rPr>
                <w:rFonts w:hint="eastAsia" w:ascii="宋体" w:hAnsi="宋体" w:cs="宋体"/>
                <w:color w:val="auto"/>
                <w:sz w:val="24"/>
                <w:lang w:eastAsia="zh-CN"/>
              </w:rPr>
              <w:t>。</w:t>
            </w:r>
            <w:r>
              <w:rPr>
                <w:rFonts w:hint="eastAsia" w:ascii="宋体" w:hAnsi="宋体" w:cs="宋体"/>
                <w:color w:val="auto"/>
                <w:sz w:val="24"/>
              </w:rPr>
              <w:t>属于政府优先采购产品且投标产品为“附件：节能产品政府采购品目清单”中的产品的，在同等条件下优先采购，并将政府强制采购产品如实填写到《政府强制采购产品明细表》。</w:t>
            </w:r>
          </w:p>
        </w:tc>
      </w:tr>
      <w:tr w14:paraId="4D5B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902" w:type="dxa"/>
            <w:vMerge w:val="continue"/>
            <w:vAlign w:val="center"/>
          </w:tcPr>
          <w:p w14:paraId="5CF316D6">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p>
        </w:tc>
        <w:tc>
          <w:tcPr>
            <w:tcW w:w="2004" w:type="dxa"/>
            <w:vAlign w:val="center"/>
          </w:tcPr>
          <w:p w14:paraId="4C0382EC">
            <w:pPr>
              <w:keepNext w:val="0"/>
              <w:keepLines w:val="0"/>
              <w:pageBreakBefore w:val="0"/>
              <w:kinsoku/>
              <w:wordWrap/>
              <w:overflowPunct/>
              <w:topLinePunct w:val="0"/>
              <w:autoSpaceDE/>
              <w:autoSpaceDN/>
              <w:bidi w:val="0"/>
              <w:adjustRightInd/>
              <w:spacing w:line="400" w:lineRule="exact"/>
              <w:jc w:val="center"/>
              <w:rPr>
                <w:rFonts w:ascii="宋体" w:hAnsi="宋体" w:cs="宋体"/>
                <w:color w:val="auto"/>
                <w:sz w:val="24"/>
              </w:rPr>
            </w:pPr>
            <w:r>
              <w:rPr>
                <w:rFonts w:hint="eastAsia" w:ascii="宋体" w:hAnsi="宋体" w:cs="宋体"/>
                <w:color w:val="auto"/>
                <w:spacing w:val="0"/>
                <w:sz w:val="24"/>
              </w:rPr>
              <w:t>政府采购优先采购环境标志产品</w:t>
            </w:r>
          </w:p>
        </w:tc>
        <w:tc>
          <w:tcPr>
            <w:tcW w:w="7296" w:type="dxa"/>
            <w:vAlign w:val="center"/>
          </w:tcPr>
          <w:p w14:paraId="016DA1D8">
            <w:pPr>
              <w:keepNext w:val="0"/>
              <w:keepLines w:val="0"/>
              <w:pageBreakBefore w:val="0"/>
              <w:kinsoku/>
              <w:wordWrap/>
              <w:overflowPunct/>
              <w:topLinePunct w:val="0"/>
              <w:autoSpaceDE/>
              <w:autoSpaceDN/>
              <w:bidi w:val="0"/>
              <w:adjustRightInd/>
              <w:spacing w:line="400" w:lineRule="exact"/>
              <w:rPr>
                <w:rFonts w:ascii="宋体" w:hAnsi="宋体" w:cs="宋体"/>
                <w:color w:val="auto"/>
                <w:sz w:val="24"/>
              </w:rPr>
            </w:pPr>
            <w:r>
              <w:rPr>
                <w:rFonts w:hint="eastAsia" w:ascii="宋体" w:hAnsi="宋体" w:cs="宋体"/>
                <w:color w:val="auto"/>
                <w:sz w:val="24"/>
              </w:rPr>
              <w:t>属于政府优先采购产品，投标产品为财库[2019]18号《关于印发环境标志产品政府采购品目清单的通知》--“附件：环境标志产品政府采购品目清单”中的产品的，在同等条件下优先采购。</w:t>
            </w:r>
          </w:p>
        </w:tc>
      </w:tr>
      <w:tr w14:paraId="783E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902" w:type="dxa"/>
            <w:vMerge w:val="continue"/>
            <w:vAlign w:val="center"/>
          </w:tcPr>
          <w:p w14:paraId="6B30FD4E">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p>
        </w:tc>
        <w:tc>
          <w:tcPr>
            <w:tcW w:w="2004" w:type="dxa"/>
            <w:vAlign w:val="center"/>
          </w:tcPr>
          <w:p w14:paraId="13EFBC4F">
            <w:pPr>
              <w:keepNext w:val="0"/>
              <w:keepLines w:val="0"/>
              <w:pageBreakBefore w:val="0"/>
              <w:kinsoku/>
              <w:wordWrap/>
              <w:overflowPunct/>
              <w:topLinePunct w:val="0"/>
              <w:autoSpaceDE/>
              <w:autoSpaceDN/>
              <w:bidi w:val="0"/>
              <w:adjustRightInd/>
              <w:spacing w:line="400" w:lineRule="exact"/>
              <w:jc w:val="center"/>
              <w:rPr>
                <w:rFonts w:hint="eastAsia" w:ascii="宋体" w:hAnsi="宋体" w:cs="宋体"/>
                <w:color w:val="auto"/>
                <w:spacing w:val="0"/>
                <w:sz w:val="24"/>
              </w:rPr>
            </w:pPr>
            <w:r>
              <w:rPr>
                <w:rFonts w:hint="eastAsia" w:ascii="宋体" w:hAnsi="宋体" w:cs="宋体"/>
                <w:color w:val="auto"/>
                <w:spacing w:val="0"/>
                <w:sz w:val="24"/>
              </w:rPr>
              <w:t>涉及创新产品、创新服务的</w:t>
            </w:r>
          </w:p>
        </w:tc>
        <w:tc>
          <w:tcPr>
            <w:tcW w:w="7296" w:type="dxa"/>
            <w:vAlign w:val="center"/>
          </w:tcPr>
          <w:p w14:paraId="48C3022E">
            <w:pPr>
              <w:keepNext w:val="0"/>
              <w:keepLines w:val="0"/>
              <w:pageBreakBefore w:val="0"/>
              <w:kinsoku/>
              <w:wordWrap/>
              <w:overflowPunct/>
              <w:topLinePunct w:val="0"/>
              <w:autoSpaceDE/>
              <w:autoSpaceDN/>
              <w:bidi w:val="0"/>
              <w:adjustRightInd/>
              <w:spacing w:line="400" w:lineRule="exact"/>
              <w:rPr>
                <w:rFonts w:hint="eastAsia" w:ascii="宋体" w:hAnsi="宋体" w:cs="宋体"/>
                <w:color w:val="auto"/>
                <w:sz w:val="24"/>
              </w:rPr>
            </w:pPr>
            <w:r>
              <w:rPr>
                <w:rFonts w:hint="eastAsia" w:ascii="宋体" w:hAnsi="宋体" w:cs="宋体"/>
                <w:color w:val="auto"/>
                <w:sz w:val="24"/>
              </w:rPr>
              <w:t>（1）供应商所报产品或服务属于《山西省创新产品和服务推荐清单》中创新产品或创新服务的，在评审时，享受所报产品或服务（6%）价格折扣，以折扣后的价格参与评审。</w:t>
            </w:r>
          </w:p>
          <w:p w14:paraId="0B71B2F4">
            <w:pPr>
              <w:keepNext w:val="0"/>
              <w:keepLines w:val="0"/>
              <w:pageBreakBefore w:val="0"/>
              <w:kinsoku/>
              <w:wordWrap/>
              <w:overflowPunct/>
              <w:topLinePunct w:val="0"/>
              <w:autoSpaceDE/>
              <w:autoSpaceDN/>
              <w:bidi w:val="0"/>
              <w:adjustRightInd/>
              <w:spacing w:line="400" w:lineRule="exact"/>
              <w:rPr>
                <w:rFonts w:hint="eastAsia" w:ascii="宋体" w:hAnsi="宋体" w:cs="宋体"/>
                <w:color w:val="auto"/>
                <w:sz w:val="24"/>
              </w:rPr>
            </w:pPr>
            <w:r>
              <w:rPr>
                <w:rFonts w:hint="eastAsia" w:ascii="宋体" w:hAnsi="宋体" w:cs="宋体"/>
                <w:color w:val="auto"/>
                <w:sz w:val="24"/>
              </w:rPr>
              <w:t>（2）供应商所报创新产品或创新服务的，应在响应文件中提供《山西省创新产品和服务推荐清单》，并填写《创新产品或创新服务明细表》。</w:t>
            </w:r>
          </w:p>
          <w:p w14:paraId="305DF13A">
            <w:pPr>
              <w:keepNext w:val="0"/>
              <w:keepLines w:val="0"/>
              <w:pageBreakBefore w:val="0"/>
              <w:kinsoku/>
              <w:wordWrap/>
              <w:overflowPunct/>
              <w:topLinePunct w:val="0"/>
              <w:autoSpaceDE/>
              <w:autoSpaceDN/>
              <w:bidi w:val="0"/>
              <w:adjustRightInd/>
              <w:spacing w:line="400" w:lineRule="exact"/>
              <w:rPr>
                <w:rFonts w:hint="eastAsia" w:ascii="宋体" w:hAnsi="宋体" w:cs="宋体"/>
                <w:color w:val="auto"/>
                <w:sz w:val="24"/>
              </w:rPr>
            </w:pPr>
            <w:r>
              <w:rPr>
                <w:rFonts w:hint="eastAsia" w:ascii="宋体" w:hAnsi="宋体" w:cs="宋体"/>
                <w:color w:val="auto"/>
                <w:sz w:val="24"/>
              </w:rPr>
              <w:t>（3）创新产品或创新服务的价格折扣政策可与其他政府采购政策叠加。</w:t>
            </w:r>
          </w:p>
        </w:tc>
      </w:tr>
      <w:tr w14:paraId="05D3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902" w:type="dxa"/>
            <w:vMerge w:val="continue"/>
            <w:vAlign w:val="center"/>
          </w:tcPr>
          <w:p w14:paraId="5EFF23AD">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p>
        </w:tc>
        <w:tc>
          <w:tcPr>
            <w:tcW w:w="2004" w:type="dxa"/>
            <w:vAlign w:val="center"/>
          </w:tcPr>
          <w:p w14:paraId="3405661C">
            <w:pPr>
              <w:keepNext w:val="0"/>
              <w:keepLines w:val="0"/>
              <w:pageBreakBefore w:val="0"/>
              <w:kinsoku/>
              <w:wordWrap/>
              <w:overflowPunct/>
              <w:topLinePunct w:val="0"/>
              <w:autoSpaceDE/>
              <w:autoSpaceDN/>
              <w:bidi w:val="0"/>
              <w:adjustRightInd/>
              <w:spacing w:line="400" w:lineRule="exact"/>
              <w:jc w:val="center"/>
              <w:rPr>
                <w:rFonts w:hint="eastAsia" w:ascii="宋体" w:hAnsi="宋体" w:cs="宋体"/>
                <w:color w:val="auto"/>
                <w:spacing w:val="0"/>
                <w:sz w:val="24"/>
              </w:rPr>
            </w:pPr>
            <w:r>
              <w:rPr>
                <w:rFonts w:hint="eastAsia" w:ascii="宋体" w:hAnsi="宋体" w:eastAsia="宋体" w:cs="宋体"/>
                <w:color w:val="auto"/>
                <w:spacing w:val="0"/>
                <w:sz w:val="24"/>
              </w:rPr>
              <w:t>涉及商品包装和快递包装的</w:t>
            </w:r>
          </w:p>
        </w:tc>
        <w:tc>
          <w:tcPr>
            <w:tcW w:w="7296" w:type="dxa"/>
            <w:vAlign w:val="center"/>
          </w:tcPr>
          <w:p w14:paraId="439C11F2">
            <w:pPr>
              <w:keepNext w:val="0"/>
              <w:keepLines w:val="0"/>
              <w:pageBreakBefore w:val="0"/>
              <w:kinsoku/>
              <w:wordWrap/>
              <w:overflowPunct/>
              <w:topLinePunct w:val="0"/>
              <w:autoSpaceDE/>
              <w:autoSpaceDN/>
              <w:bidi w:val="0"/>
              <w:adjustRightInd/>
              <w:spacing w:line="400" w:lineRule="exact"/>
              <w:rPr>
                <w:rFonts w:hint="eastAsia" w:ascii="宋体" w:hAnsi="宋体" w:cs="宋体"/>
                <w:color w:val="auto"/>
                <w:sz w:val="24"/>
              </w:rPr>
            </w:pPr>
            <w:r>
              <w:rPr>
                <w:rFonts w:hint="eastAsia" w:ascii="宋体" w:hAnsi="宋体" w:cs="宋体"/>
                <w:color w:val="auto"/>
                <w:sz w:val="24"/>
              </w:rPr>
              <w:t>本文件列出商品包装和快递包装要求的，供应商应承诺商品包装符合《商品包装政府采购需求标准（试行）》，快递包装符合《快递包装政府采购需求标准（试行）》。</w:t>
            </w:r>
          </w:p>
        </w:tc>
      </w:tr>
      <w:tr w14:paraId="17AF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902" w:type="dxa"/>
            <w:vMerge w:val="continue"/>
            <w:vAlign w:val="center"/>
          </w:tcPr>
          <w:p w14:paraId="10E4DDB3">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p>
        </w:tc>
        <w:tc>
          <w:tcPr>
            <w:tcW w:w="2004" w:type="dxa"/>
            <w:vAlign w:val="center"/>
          </w:tcPr>
          <w:p w14:paraId="3335AB55">
            <w:pPr>
              <w:keepNext w:val="0"/>
              <w:keepLines w:val="0"/>
              <w:widowControl/>
              <w:suppressLineNumbers w:val="0"/>
              <w:jc w:val="center"/>
              <w:rPr>
                <w:rFonts w:hint="eastAsia" w:ascii="宋体" w:hAnsi="宋体" w:eastAsia="宋体" w:cs="宋体"/>
                <w:color w:val="auto"/>
                <w:spacing w:val="0"/>
                <w:sz w:val="24"/>
              </w:rPr>
            </w:pPr>
            <w:r>
              <w:rPr>
                <w:rFonts w:hint="eastAsia" w:ascii="宋体" w:hAnsi="宋体" w:eastAsia="宋体" w:cs="宋体"/>
                <w:color w:val="auto"/>
                <w:kern w:val="0"/>
                <w:sz w:val="24"/>
                <w:szCs w:val="24"/>
                <w:lang w:val="en-US" w:eastAsia="zh-CN" w:bidi="ar"/>
              </w:rPr>
              <w:t>正版软件</w:t>
            </w:r>
          </w:p>
        </w:tc>
        <w:tc>
          <w:tcPr>
            <w:tcW w:w="7296" w:type="dxa"/>
            <w:vAlign w:val="center"/>
          </w:tcPr>
          <w:p w14:paraId="5408B6D6">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color w:val="auto"/>
              </w:rPr>
            </w:pPr>
            <w:r>
              <w:rPr>
                <w:rFonts w:hint="eastAsia" w:ascii="宋体" w:hAnsi="宋体" w:eastAsia="宋体" w:cs="宋体"/>
                <w:color w:val="auto"/>
                <w:kern w:val="0"/>
                <w:sz w:val="24"/>
                <w:szCs w:val="24"/>
                <w:lang w:val="en-US" w:eastAsia="zh-CN" w:bidi="ar"/>
              </w:rPr>
              <w:t xml:space="preserve">本项目所采购的货物中如包含计算机，必须预装正版操作系统软件产 </w:t>
            </w:r>
          </w:p>
          <w:p w14:paraId="79806D70">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cs="宋体"/>
                <w:color w:val="auto"/>
                <w:sz w:val="24"/>
              </w:rPr>
            </w:pPr>
            <w:r>
              <w:rPr>
                <w:rFonts w:hint="eastAsia" w:ascii="宋体" w:hAnsi="宋体" w:eastAsia="宋体" w:cs="宋体"/>
                <w:color w:val="auto"/>
                <w:kern w:val="0"/>
                <w:sz w:val="24"/>
                <w:szCs w:val="24"/>
                <w:lang w:val="en-US" w:eastAsia="zh-CN" w:bidi="ar"/>
              </w:rPr>
              <w:t>品；所采购的其它软件必须为正版软件。</w:t>
            </w:r>
          </w:p>
        </w:tc>
      </w:tr>
      <w:tr w14:paraId="2584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902" w:type="dxa"/>
            <w:vMerge w:val="continue"/>
            <w:vAlign w:val="center"/>
          </w:tcPr>
          <w:p w14:paraId="157B4D27">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p>
        </w:tc>
        <w:tc>
          <w:tcPr>
            <w:tcW w:w="2004" w:type="dxa"/>
            <w:vAlign w:val="center"/>
          </w:tcPr>
          <w:p w14:paraId="192B91C7">
            <w:pPr>
              <w:keepNext w:val="0"/>
              <w:keepLines w:val="0"/>
              <w:widowControl/>
              <w:suppressLineNumbers w:val="0"/>
              <w:jc w:val="center"/>
              <w:rPr>
                <w:color w:val="auto"/>
              </w:rPr>
            </w:pPr>
            <w:r>
              <w:rPr>
                <w:rFonts w:hint="eastAsia" w:ascii="宋体" w:hAnsi="宋体" w:eastAsia="宋体" w:cs="宋体"/>
                <w:color w:val="auto"/>
                <w:kern w:val="0"/>
                <w:sz w:val="24"/>
                <w:szCs w:val="24"/>
                <w:lang w:val="en-US" w:eastAsia="zh-CN" w:bidi="ar"/>
              </w:rPr>
              <w:t>涉及信息安全产</w:t>
            </w:r>
          </w:p>
          <w:p w14:paraId="65BEF3A5">
            <w:pPr>
              <w:keepNext w:val="0"/>
              <w:keepLines w:val="0"/>
              <w:widowControl/>
              <w:suppressLineNumbers w:val="0"/>
              <w:jc w:val="center"/>
              <w:rPr>
                <w:rFonts w:hint="eastAsia" w:ascii="宋体" w:hAnsi="宋体" w:eastAsia="宋体" w:cs="宋体"/>
                <w:color w:val="auto"/>
                <w:spacing w:val="0"/>
                <w:sz w:val="24"/>
              </w:rPr>
            </w:pPr>
            <w:r>
              <w:rPr>
                <w:rFonts w:hint="eastAsia" w:ascii="宋体" w:hAnsi="宋体" w:eastAsia="宋体" w:cs="宋体"/>
                <w:color w:val="auto"/>
                <w:kern w:val="0"/>
                <w:sz w:val="24"/>
                <w:szCs w:val="24"/>
                <w:lang w:val="en-US" w:eastAsia="zh-CN" w:bidi="ar"/>
              </w:rPr>
              <w:t>品的</w:t>
            </w:r>
          </w:p>
        </w:tc>
        <w:tc>
          <w:tcPr>
            <w:tcW w:w="7296" w:type="dxa"/>
            <w:vAlign w:val="center"/>
          </w:tcPr>
          <w:p w14:paraId="40B74DE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color w:val="auto"/>
              </w:rPr>
            </w:pPr>
            <w:r>
              <w:rPr>
                <w:rFonts w:hint="eastAsia" w:ascii="宋体" w:hAnsi="宋体" w:eastAsia="宋体" w:cs="宋体"/>
                <w:color w:val="auto"/>
                <w:kern w:val="0"/>
                <w:sz w:val="24"/>
                <w:szCs w:val="24"/>
                <w:lang w:val="en-US" w:eastAsia="zh-CN" w:bidi="ar"/>
              </w:rPr>
              <w:t xml:space="preserve">供应商提供货物中如含有财政部会同有关部门制定下发的《信息安全 </w:t>
            </w:r>
          </w:p>
          <w:p w14:paraId="7EE1C03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color w:val="auto"/>
              </w:rPr>
            </w:pPr>
            <w:r>
              <w:rPr>
                <w:rFonts w:hint="eastAsia" w:ascii="宋体" w:hAnsi="宋体" w:eastAsia="宋体" w:cs="宋体"/>
                <w:color w:val="auto"/>
                <w:kern w:val="0"/>
                <w:sz w:val="24"/>
                <w:szCs w:val="24"/>
                <w:lang w:val="en-US" w:eastAsia="zh-CN" w:bidi="ar"/>
              </w:rPr>
              <w:t xml:space="preserve">产品强制性认证目录》中的产品，须提供中国信息安全认证中心按国 </w:t>
            </w:r>
          </w:p>
          <w:p w14:paraId="1D46488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color w:val="auto"/>
              </w:rPr>
            </w:pPr>
            <w:r>
              <w:rPr>
                <w:rFonts w:hint="eastAsia" w:ascii="宋体" w:hAnsi="宋体" w:eastAsia="宋体" w:cs="宋体"/>
                <w:color w:val="auto"/>
                <w:kern w:val="0"/>
                <w:sz w:val="24"/>
                <w:szCs w:val="24"/>
                <w:lang w:val="en-US" w:eastAsia="zh-CN" w:bidi="ar"/>
              </w:rPr>
              <w:t xml:space="preserve">家标准认证颁发的有效认证证书。未附有效认证证书，将有可能导致 </w:t>
            </w:r>
          </w:p>
          <w:p w14:paraId="5142E926">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cs="宋体"/>
                <w:color w:val="auto"/>
                <w:sz w:val="24"/>
              </w:rPr>
            </w:pPr>
            <w:r>
              <w:rPr>
                <w:rFonts w:hint="eastAsia" w:ascii="宋体" w:hAnsi="宋体" w:eastAsia="宋体" w:cs="宋体"/>
                <w:color w:val="auto"/>
                <w:kern w:val="0"/>
                <w:sz w:val="24"/>
                <w:szCs w:val="24"/>
                <w:lang w:val="en-US" w:eastAsia="zh-CN" w:bidi="ar"/>
              </w:rPr>
              <w:t>响应文件无效。</w:t>
            </w:r>
          </w:p>
        </w:tc>
      </w:tr>
      <w:tr w14:paraId="5E45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902" w:type="dxa"/>
            <w:vMerge w:val="continue"/>
            <w:vAlign w:val="center"/>
          </w:tcPr>
          <w:p w14:paraId="59AD05D1">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p>
        </w:tc>
        <w:tc>
          <w:tcPr>
            <w:tcW w:w="2004" w:type="dxa"/>
            <w:vAlign w:val="center"/>
          </w:tcPr>
          <w:p w14:paraId="39373B58">
            <w:pPr>
              <w:keepNext w:val="0"/>
              <w:keepLines w:val="0"/>
              <w:widowControl/>
              <w:suppressLineNumbers w:val="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对本国产品的支持政策</w:t>
            </w:r>
          </w:p>
        </w:tc>
        <w:tc>
          <w:tcPr>
            <w:tcW w:w="7296" w:type="dxa"/>
            <w:vAlign w:val="center"/>
          </w:tcPr>
          <w:p w14:paraId="61551649">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政府采购活动中既有本国产品又有非本国产品参与竞争的，依法对本国产品给予价格评审优惠，对本国产品的报价给予20%的价格扣除，用扣除后的价格参与评审。</w:t>
            </w:r>
          </w:p>
          <w:p w14:paraId="1B712CF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B6D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902" w:type="dxa"/>
            <w:vAlign w:val="center"/>
          </w:tcPr>
          <w:p w14:paraId="0BDFB52F">
            <w:pPr>
              <w:keepNext w:val="0"/>
              <w:keepLines w:val="0"/>
              <w:pageBreakBefore w:val="0"/>
              <w:kinsoku/>
              <w:wordWrap/>
              <w:overflowPunct/>
              <w:topLinePunct w:val="0"/>
              <w:autoSpaceDE/>
              <w:autoSpaceDN/>
              <w:bidi w:val="0"/>
              <w:adjustRightInd/>
              <w:spacing w:line="440" w:lineRule="exact"/>
              <w:jc w:val="center"/>
              <w:rPr>
                <w:rFonts w:hint="default" w:ascii="宋体" w:hAnsi="宋体" w:cs="宋体"/>
                <w:color w:val="auto"/>
                <w:sz w:val="24"/>
                <w:lang w:val="en-US"/>
              </w:rPr>
            </w:pPr>
            <w:r>
              <w:rPr>
                <w:rFonts w:hint="eastAsia" w:ascii="宋体" w:hAnsi="宋体" w:cs="宋体"/>
                <w:color w:val="auto"/>
                <w:sz w:val="24"/>
                <w:lang w:val="en-US" w:eastAsia="zh-CN"/>
              </w:rPr>
              <w:t>31</w:t>
            </w:r>
          </w:p>
        </w:tc>
        <w:tc>
          <w:tcPr>
            <w:tcW w:w="2004" w:type="dxa"/>
            <w:vAlign w:val="center"/>
          </w:tcPr>
          <w:p w14:paraId="5B01FE5A">
            <w:pPr>
              <w:keepNext w:val="0"/>
              <w:keepLines w:val="0"/>
              <w:pageBreakBefore w:val="0"/>
              <w:kinsoku/>
              <w:wordWrap/>
              <w:overflowPunct/>
              <w:topLinePunct w:val="0"/>
              <w:autoSpaceDE/>
              <w:autoSpaceDN/>
              <w:bidi w:val="0"/>
              <w:adjustRightInd/>
              <w:spacing w:line="440" w:lineRule="exact"/>
              <w:jc w:val="center"/>
              <w:rPr>
                <w:rFonts w:hint="eastAsia" w:ascii="宋体" w:hAnsi="宋体" w:cs="宋体"/>
                <w:color w:val="auto"/>
                <w:sz w:val="24"/>
                <w:lang w:val="en-US" w:eastAsia="zh-CN"/>
              </w:rPr>
            </w:pPr>
            <w:r>
              <w:rPr>
                <w:rFonts w:hint="eastAsia" w:ascii="宋体" w:hAnsi="宋体" w:cs="宋体"/>
                <w:color w:val="auto"/>
                <w:sz w:val="24"/>
                <w:lang w:val="en-US" w:eastAsia="zh-CN"/>
              </w:rPr>
              <w:t>本采购项目</w:t>
            </w:r>
          </w:p>
          <w:p w14:paraId="1CB9DB61">
            <w:pPr>
              <w:keepNext w:val="0"/>
              <w:keepLines w:val="0"/>
              <w:pageBreakBefore w:val="0"/>
              <w:kinsoku/>
              <w:wordWrap/>
              <w:overflowPunct/>
              <w:topLinePunct w:val="0"/>
              <w:autoSpaceDE/>
              <w:autoSpaceDN/>
              <w:bidi w:val="0"/>
              <w:adjustRightInd/>
              <w:spacing w:line="440" w:lineRule="exact"/>
              <w:jc w:val="center"/>
              <w:rPr>
                <w:rFonts w:hint="eastAsia" w:ascii="宋体" w:hAnsi="宋体" w:eastAsia="宋体" w:cs="宋体"/>
                <w:color w:val="auto"/>
                <w:kern w:val="0"/>
                <w:sz w:val="24"/>
                <w:szCs w:val="24"/>
                <w:lang w:val="en-US" w:eastAsia="zh-CN" w:bidi="ar"/>
              </w:rPr>
            </w:pPr>
            <w:r>
              <w:rPr>
                <w:rFonts w:hint="eastAsia" w:ascii="宋体" w:hAnsi="宋体" w:cs="宋体"/>
                <w:color w:val="auto"/>
                <w:sz w:val="24"/>
                <w:lang w:val="en-US" w:eastAsia="zh-CN"/>
              </w:rPr>
              <w:t>核心产品</w:t>
            </w:r>
          </w:p>
        </w:tc>
        <w:tc>
          <w:tcPr>
            <w:tcW w:w="7296" w:type="dxa"/>
            <w:vAlign w:val="center"/>
          </w:tcPr>
          <w:p w14:paraId="3E081A4A">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color w:val="auto"/>
                <w:sz w:val="24"/>
              </w:rPr>
            </w:pPr>
            <w:r>
              <w:rPr>
                <w:rFonts w:hint="eastAsia" w:ascii="宋体" w:hAnsi="宋体" w:eastAsia="宋体" w:cs="宋体"/>
                <w:color w:val="auto"/>
                <w:sz w:val="24"/>
              </w:rPr>
              <w:t>非单一产品采购项目，采购人应当根据采购项目技术构成、产品价格比重等合理确定核心产品，并在招标文件中载明。</w:t>
            </w:r>
          </w:p>
          <w:p w14:paraId="0D55AC12">
            <w:pPr>
              <w:keepNext w:val="0"/>
              <w:keepLines w:val="0"/>
              <w:pageBreakBefore w:val="0"/>
              <w:kinsoku/>
              <w:wordWrap/>
              <w:overflowPunct/>
              <w:topLinePunct w:val="0"/>
              <w:autoSpaceDE/>
              <w:autoSpaceDN/>
              <w:bidi w:val="0"/>
              <w:adjustRightInd/>
              <w:spacing w:line="440" w:lineRule="exact"/>
              <w:rPr>
                <w:rFonts w:hint="eastAsia" w:ascii="宋体" w:hAnsi="宋体" w:cs="宋体"/>
                <w:b/>
                <w:bCs/>
                <w:color w:val="auto"/>
                <w:sz w:val="24"/>
                <w:lang w:val="en-US" w:eastAsia="zh-CN"/>
              </w:rPr>
            </w:pPr>
            <w:r>
              <w:rPr>
                <w:rFonts w:hint="eastAsia" w:ascii="宋体" w:hAnsi="宋体" w:cs="宋体"/>
                <w:b/>
                <w:bCs/>
                <w:color w:val="auto"/>
                <w:sz w:val="24"/>
                <w:lang w:val="en-US" w:eastAsia="zh-CN"/>
              </w:rPr>
              <w:t>本采购项目核心产品：智能一体化讯问设备、公安审讯主机。</w:t>
            </w:r>
          </w:p>
          <w:p w14:paraId="22B0AE48">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color w:val="auto"/>
                <w:kern w:val="0"/>
                <w:sz w:val="24"/>
                <w:szCs w:val="24"/>
                <w:lang w:val="en-US" w:eastAsia="zh-CN" w:bidi="ar"/>
              </w:rPr>
            </w:pPr>
            <w:r>
              <w:rPr>
                <w:rFonts w:hint="eastAsia" w:ascii="宋体" w:hAnsi="宋体" w:cs="宋体"/>
                <w:color w:val="auto"/>
                <w:sz w:val="24"/>
                <w:szCs w:val="24"/>
                <w:vertAlign w:val="baseline"/>
                <w:lang w:val="en-US" w:eastAsia="zh-CN"/>
              </w:rPr>
              <w:t>说明：</w:t>
            </w:r>
            <w:r>
              <w:rPr>
                <w:rFonts w:hint="eastAsia" w:ascii="宋体" w:hAnsi="宋体" w:cs="宋体"/>
                <w:color w:val="auto"/>
                <w:sz w:val="24"/>
              </w:rPr>
              <w:t>使用综合评分法的采购项目，提供相同品牌</w:t>
            </w:r>
            <w:r>
              <w:rPr>
                <w:rFonts w:hint="eastAsia" w:ascii="宋体" w:hAnsi="宋体" w:cs="宋体"/>
                <w:color w:val="auto"/>
                <w:sz w:val="24"/>
                <w:lang w:val="en-US" w:eastAsia="zh-CN"/>
              </w:rPr>
              <w:t>核心</w:t>
            </w:r>
            <w:r>
              <w:rPr>
                <w:rFonts w:hint="eastAsia" w:ascii="宋体" w:hAnsi="宋体" w:cs="宋体"/>
                <w:color w:val="auto"/>
                <w:sz w:val="24"/>
              </w:rPr>
              <w:t>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他同品牌投标人不作为中标候选人。</w:t>
            </w:r>
          </w:p>
        </w:tc>
      </w:tr>
    </w:tbl>
    <w:p w14:paraId="7E802FF2">
      <w:pPr>
        <w:spacing w:line="400" w:lineRule="exact"/>
        <w:jc w:val="center"/>
        <w:outlineLvl w:val="1"/>
        <w:rPr>
          <w:rFonts w:ascii="宋体" w:hAnsi="宋体" w:cs="宋体"/>
          <w:color w:val="auto"/>
          <w:spacing w:val="10"/>
          <w:kern w:val="0"/>
          <w:szCs w:val="28"/>
        </w:rPr>
      </w:pPr>
      <w:r>
        <w:rPr>
          <w:rFonts w:hint="eastAsia" w:ascii="宋体" w:hAnsi="宋体" w:cs="宋体"/>
          <w:color w:val="auto"/>
          <w:sz w:val="24"/>
        </w:rPr>
        <w:br w:type="page"/>
      </w:r>
      <w:bookmarkEnd w:id="5"/>
      <w:bookmarkStart w:id="6" w:name="_Toc100594738"/>
      <w:bookmarkStart w:id="7" w:name="_Toc175644026"/>
      <w:r>
        <w:rPr>
          <w:rStyle w:val="86"/>
          <w:rFonts w:hint="eastAsia" w:ascii="宋体" w:hAnsi="宋体" w:eastAsia="宋体" w:cs="宋体"/>
          <w:b/>
          <w:bCs w:val="0"/>
          <w:color w:val="auto"/>
          <w:sz w:val="28"/>
          <w:szCs w:val="28"/>
        </w:rPr>
        <w:t>投标须知正文</w:t>
      </w:r>
      <w:bookmarkEnd w:id="6"/>
    </w:p>
    <w:p w14:paraId="0CDDFAEB">
      <w:pPr>
        <w:spacing w:line="480" w:lineRule="exact"/>
        <w:jc w:val="center"/>
        <w:rPr>
          <w:rFonts w:ascii="宋体" w:hAnsi="宋体" w:cs="宋体"/>
          <w:b/>
          <w:bCs/>
          <w:color w:val="auto"/>
          <w:sz w:val="24"/>
        </w:rPr>
      </w:pPr>
      <w:r>
        <w:rPr>
          <w:rFonts w:hint="eastAsia" w:ascii="宋体" w:hAnsi="宋体" w:cs="宋体"/>
          <w:b/>
          <w:bCs/>
          <w:color w:val="auto"/>
          <w:sz w:val="24"/>
        </w:rPr>
        <w:t>一、总则</w:t>
      </w:r>
    </w:p>
    <w:p w14:paraId="7E224EB8">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1、适用范围</w:t>
      </w:r>
    </w:p>
    <w:p w14:paraId="76B7C6ED">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本招标文件适用于本次招标活动的全过程。</w:t>
      </w:r>
    </w:p>
    <w:p w14:paraId="51AFC57A">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2、定义</w:t>
      </w:r>
    </w:p>
    <w:p w14:paraId="0C9BEFDA">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en-US" w:eastAsia="zh-CN"/>
        </w:rPr>
        <w:t>设备</w:t>
      </w:r>
      <w:r>
        <w:rPr>
          <w:rFonts w:hint="eastAsia" w:ascii="宋体" w:hAnsi="宋体" w:cs="宋体"/>
          <w:color w:val="auto"/>
          <w:sz w:val="24"/>
        </w:rPr>
        <w:t>”指投标人制造或组织符合本招标文件要求的</w:t>
      </w:r>
      <w:r>
        <w:rPr>
          <w:rFonts w:hint="eastAsia" w:ascii="宋体" w:hAnsi="宋体" w:cs="宋体"/>
          <w:color w:val="auto"/>
          <w:sz w:val="24"/>
          <w:lang w:val="en-US" w:eastAsia="zh-CN"/>
        </w:rPr>
        <w:t>货物</w:t>
      </w:r>
      <w:r>
        <w:rPr>
          <w:rFonts w:hint="eastAsia" w:ascii="宋体" w:hAnsi="宋体" w:cs="宋体"/>
          <w:color w:val="auto"/>
          <w:sz w:val="24"/>
        </w:rPr>
        <w:t>。按照财政部《政府采购进口产品管理办法》（财库[2007]119号）的有关规定，</w:t>
      </w:r>
      <w:r>
        <w:rPr>
          <w:rFonts w:hint="eastAsia" w:ascii="宋体" w:hAnsi="宋体" w:eastAsia="宋体" w:cs="宋体"/>
          <w:color w:val="auto"/>
          <w:sz w:val="24"/>
        </w:rPr>
        <w:t>本招标文件涉及的所有采购内容除特别标注为“进口产品”外，均采购国产产品。进口产品特指</w:t>
      </w:r>
      <w:r>
        <w:rPr>
          <w:rFonts w:hint="eastAsia" w:ascii="宋体" w:hAnsi="宋体" w:cs="宋体"/>
          <w:color w:val="auto"/>
          <w:sz w:val="24"/>
        </w:rPr>
        <w:t>“通过中国海关报关验放进入中国境内且产自关境外的产品”。</w:t>
      </w:r>
    </w:p>
    <w:p w14:paraId="0BAA440A">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2.2“节能产品”或者“环保产品”是指财政部发布的《节能产品政府采购品目清单》或者《环境标志产品政府采购品目清单》的产品。</w:t>
      </w:r>
    </w:p>
    <w:p w14:paraId="23705019">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2.3 “服务”指除货物以外规定由投标人承担的与货物有关的辅助服务，比如运输、保险以及其他的伴随服务，比如安装、调试、技术援助、培训和合同中规定由投标人承担的其他义务。</w:t>
      </w:r>
    </w:p>
    <w:p w14:paraId="1A65B936">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2.4“潜在投标人”指符合本招标文件各项规定的合格投标人。</w:t>
      </w:r>
    </w:p>
    <w:p w14:paraId="3FA2C10B">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2.5“投标人”指符合本招标文件规定并参加投标的投标人。</w:t>
      </w:r>
    </w:p>
    <w:p w14:paraId="60C7F3F1">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3、 项目概况</w:t>
      </w:r>
    </w:p>
    <w:p w14:paraId="60C23612">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3.1根据《中华人民共和国政府采购法》、《中华人民共和国政府采购法实施条例》、《政府采购货物和服务招标投标管理办法》、《中华人民共和国招标投标法》、《中华人民共和国招标投标法实施条例》等有关法律、法规和规章的规定，本招标项目已具备招标条件，现对该项目进行招标。</w:t>
      </w:r>
    </w:p>
    <w:p w14:paraId="7B3F8434">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bookmarkStart w:id="8" w:name="_Toc507877341"/>
      <w:r>
        <w:rPr>
          <w:rFonts w:hint="eastAsia" w:ascii="宋体" w:hAnsi="宋体" w:cs="宋体"/>
          <w:color w:val="auto"/>
          <w:sz w:val="24"/>
        </w:rPr>
        <w:t>3.2采购人：见投标人须知前附表。</w:t>
      </w:r>
      <w:bookmarkEnd w:id="8"/>
    </w:p>
    <w:p w14:paraId="52036688">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3.3采购代理机构：见投标人须知前附表。</w:t>
      </w:r>
    </w:p>
    <w:p w14:paraId="333E4938">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3.4项目名称：见投标人须知前附表。</w:t>
      </w:r>
    </w:p>
    <w:p w14:paraId="715D203A">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3.5项目地点：见投标人须知前附表。</w:t>
      </w:r>
    </w:p>
    <w:p w14:paraId="35D642C8">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3.6项目的资金来源：见投标人须知前附表。</w:t>
      </w:r>
    </w:p>
    <w:p w14:paraId="345243F2">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4、采购范围、供货期限和质量标准</w:t>
      </w:r>
    </w:p>
    <w:p w14:paraId="7363750C">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4.1采购范围：见投标人须知前附表。</w:t>
      </w:r>
    </w:p>
    <w:p w14:paraId="21EA814C">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4.2供货期限：见投标人须知前附表。</w:t>
      </w:r>
    </w:p>
    <w:p w14:paraId="12AFBF2B">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4.3质量标准：见投标人须知前附表。</w:t>
      </w:r>
    </w:p>
    <w:p w14:paraId="45573A45">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5、投标人资格要求</w:t>
      </w:r>
    </w:p>
    <w:p w14:paraId="2BBE75A8">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5.1具有本项目实施能力，符合、承认并承诺履行本招标文件各项规定的国内供应商。</w:t>
      </w:r>
    </w:p>
    <w:p w14:paraId="30521CE2">
      <w:pPr>
        <w:keepNext w:val="0"/>
        <w:keepLines w:val="0"/>
        <w:pageBreakBefore w:val="0"/>
        <w:kinsoku/>
        <w:wordWrap/>
        <w:overflowPunct/>
        <w:topLinePunct w:val="0"/>
        <w:autoSpaceDE/>
        <w:autoSpaceDN/>
        <w:bidi w:val="0"/>
        <w:spacing w:line="460" w:lineRule="exact"/>
        <w:ind w:left="140" w:leftChars="50" w:firstLine="360" w:firstLineChars="150"/>
        <w:rPr>
          <w:rFonts w:ascii="宋体" w:hAnsi="宋体" w:cs="宋体"/>
          <w:color w:val="auto"/>
          <w:sz w:val="24"/>
        </w:rPr>
      </w:pPr>
      <w:r>
        <w:rPr>
          <w:rFonts w:hint="eastAsia" w:ascii="宋体" w:hAnsi="宋体" w:cs="宋体"/>
          <w:color w:val="auto"/>
          <w:sz w:val="24"/>
        </w:rPr>
        <w:t>5.2 投标人必须是已在中国境内依法登记注册并仍有效存续的供应商，并且其所持有的由工商行政管理局所核发的有效的营业执照上所载明的营业期限余额应当不少于本次采购的相关合同基本义务履行所需期限。投标企业营业执照经营期限余额少于本次采购的相关合同基本义务履行所需期限的，由投标企业声明期限截止前及时到所在工商行政管理局换证续期，否则由此造成的一切后果由投标企业承担。</w:t>
      </w:r>
    </w:p>
    <w:p w14:paraId="61F8FDF5">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5.3投标人应遵守有关的国家法律、法规和条例，具备《中华人民共和国政府采购法》第二十二条规定的条件和本项目所需的特定条件，具体为：</w:t>
      </w:r>
    </w:p>
    <w:p w14:paraId="6FF50F06">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（1）具有独立承担民事责任的能力；</w:t>
      </w:r>
    </w:p>
    <w:p w14:paraId="5B12480E">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（2）具有良好的商业信誉和健全的财务会计制度；</w:t>
      </w:r>
    </w:p>
    <w:p w14:paraId="060CA746">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14:paraId="0F3F9F2C">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（4）具有依法缴纳税收和社会保障资金的良好记录；</w:t>
      </w:r>
    </w:p>
    <w:p w14:paraId="3ED99A42">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（5）参加此项采购活动前三年内，在经营活动中没有重大违法记录；</w:t>
      </w:r>
    </w:p>
    <w:p w14:paraId="5DB4CA31">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（6）法律、行政法规规定的其他条件；</w:t>
      </w:r>
    </w:p>
    <w:p w14:paraId="35511282">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（7）未被中国政府采购网或信用中国网站列入失信被执行人名单</w:t>
      </w:r>
      <w:r>
        <w:rPr>
          <w:rFonts w:hint="eastAsia" w:ascii="宋体" w:hAnsi="宋体" w:cs="宋体"/>
          <w:color w:val="auto"/>
          <w:sz w:val="24"/>
          <w:lang w:eastAsia="zh-CN"/>
        </w:rPr>
        <w:t>。</w:t>
      </w:r>
    </w:p>
    <w:p w14:paraId="4C778608">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5.4投标人</w:t>
      </w:r>
      <w:r>
        <w:rPr>
          <w:rFonts w:hint="eastAsia" w:ascii="宋体" w:hAnsi="宋体" w:cs="宋体"/>
          <w:color w:val="auto"/>
          <w:sz w:val="24"/>
          <w:lang w:val="en-US" w:eastAsia="zh-CN"/>
        </w:rPr>
        <w:t>获取</w:t>
      </w:r>
      <w:r>
        <w:rPr>
          <w:rFonts w:hint="eastAsia" w:ascii="宋体" w:hAnsi="宋体" w:cs="宋体"/>
          <w:color w:val="auto"/>
          <w:sz w:val="24"/>
        </w:rPr>
        <w:t>招标文件时应登记备案，并提供有效联系方式。</w:t>
      </w:r>
    </w:p>
    <w:p w14:paraId="25B35996">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5.5如投标人代表不是法定代表人，须持有《法定代表人授权委托书》(按招标文件提供的格式填写)。</w:t>
      </w:r>
    </w:p>
    <w:p w14:paraId="0C83AEFB">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5.6具有法人资格且与其他法人具有控股关联关系的投标人的特别规定如下：</w:t>
      </w:r>
    </w:p>
    <w:p w14:paraId="451EE85F">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与采购人存在利害关系可能影响招标公正性的法人、其他组织或者个人，不得参加投标；</w:t>
      </w:r>
    </w:p>
    <w:p w14:paraId="756CD4E7">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单位负责人为同一人或者存在控股、管理关系的不同单位，不得参加同一包或者未分包的同一招标项目投标；</w:t>
      </w:r>
      <w:r>
        <w:rPr>
          <w:rFonts w:hint="eastAsia" w:ascii="宋体" w:hAnsi="宋体" w:cs="宋体"/>
          <w:b/>
          <w:bCs/>
          <w:color w:val="auto"/>
          <w:sz w:val="24"/>
        </w:rPr>
        <w:t>否则，相关投标均无效。</w:t>
      </w:r>
    </w:p>
    <w:p w14:paraId="18969D7B">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5.7投标人不得直接或间接地与采购人为采购本次招标的货物进行设计、编制技术规格和其它文件所委托的咨询公司或其附属机构有任何关联。</w:t>
      </w:r>
    </w:p>
    <w:p w14:paraId="1E2D5168">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6、投标费用</w:t>
      </w:r>
    </w:p>
    <w:p w14:paraId="3ADE2DF4">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投标人应承担所有与准备和参加投标活动发生的有关费用，代理机构和采购人在任何情况下均无义务和责任承担这些费用。</w:t>
      </w:r>
    </w:p>
    <w:p w14:paraId="37ECE6D9">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7、 踏勘现场及投标预备会</w:t>
      </w:r>
    </w:p>
    <w:p w14:paraId="2300B1C5">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7.1代理机构（或采购人)将视情况确定是否有必要安排所有已登记备案并领取了招标文件的潜在投标人踏勘现场，而无论采购代理机构（或采购人）是否安排踏勘现场，投标人均应当将相关的因素作为投标所应当考虑或依据的因素。</w:t>
      </w:r>
    </w:p>
    <w:p w14:paraId="2979EBD4">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采购人准许潜在投标人及其代表为了考察现场而进入现场和有关场地。但潜在投标人及其代表应对由于现场考察而引起的人身伤亡、财产的损失或损坏，以及任何其它的损失、损坏费用负责，采购人不负任何责任。踏勘费用由投标人自行承担。</w:t>
      </w:r>
    </w:p>
    <w:p w14:paraId="409DD1E9">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采购人向投标人提供的有关项目现场的资料和数据，是采购人现有的能使投标人利用的资料，采购人对投标人由此而作出的推论、理解、结论概不负责。</w:t>
      </w:r>
    </w:p>
    <w:p w14:paraId="3C26EE91">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7.2投标人须知前附表规定召开投标预备会的，</w:t>
      </w:r>
      <w:r>
        <w:rPr>
          <w:rFonts w:hint="eastAsia" w:ascii="宋体" w:hAnsi="宋体" w:cs="宋体"/>
          <w:color w:val="auto"/>
          <w:sz w:val="24"/>
          <w:lang w:eastAsia="zh-CN"/>
        </w:rPr>
        <w:t>采购人</w:t>
      </w:r>
      <w:r>
        <w:rPr>
          <w:rFonts w:hint="eastAsia" w:ascii="宋体" w:hAnsi="宋体" w:cs="宋体"/>
          <w:color w:val="auto"/>
          <w:sz w:val="24"/>
        </w:rPr>
        <w:t>按投标人须知前附表规定的时间和地点召开投标预备会，澄清投标人提出的问题。</w:t>
      </w:r>
    </w:p>
    <w:p w14:paraId="4CB199D5">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7.3投标人应提前将问题送达采购人，以便采购人在会议期间澄清。</w:t>
      </w:r>
    </w:p>
    <w:p w14:paraId="12359200">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7.4投标预备会后，采购人将对投标人所提问题的澄清，以投标人须知前附表规定的形式通知所有</w:t>
      </w:r>
      <w:r>
        <w:rPr>
          <w:rFonts w:hint="eastAsia" w:ascii="宋体" w:hAnsi="宋体" w:cs="宋体"/>
          <w:color w:val="auto"/>
          <w:sz w:val="24"/>
          <w:lang w:val="en-US" w:eastAsia="zh-CN"/>
        </w:rPr>
        <w:t>获取</w:t>
      </w:r>
      <w:r>
        <w:rPr>
          <w:rFonts w:hint="eastAsia" w:ascii="宋体" w:hAnsi="宋体" w:cs="宋体"/>
          <w:color w:val="auto"/>
          <w:sz w:val="24"/>
        </w:rPr>
        <w:t>招标文件的投标人。该澄清内容为招标文件的组成部分。</w:t>
      </w:r>
    </w:p>
    <w:p w14:paraId="27969904">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8、 分包</w:t>
      </w:r>
    </w:p>
    <w:p w14:paraId="5BE7C43A">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8.1投标人拟在</w:t>
      </w:r>
      <w:r>
        <w:rPr>
          <w:rFonts w:hint="eastAsia" w:ascii="宋体" w:hAnsi="宋体" w:cs="宋体"/>
          <w:color w:val="auto"/>
          <w:sz w:val="24"/>
          <w:lang w:eastAsia="zh-CN"/>
        </w:rPr>
        <w:t>成交</w:t>
      </w:r>
      <w:r>
        <w:rPr>
          <w:rFonts w:hint="eastAsia" w:ascii="宋体" w:hAnsi="宋体" w:cs="宋体"/>
          <w:color w:val="auto"/>
          <w:sz w:val="24"/>
        </w:rPr>
        <w:t>后将</w:t>
      </w:r>
      <w:r>
        <w:rPr>
          <w:rFonts w:hint="eastAsia" w:ascii="宋体" w:hAnsi="宋体" w:cs="宋体"/>
          <w:color w:val="auto"/>
          <w:sz w:val="24"/>
          <w:lang w:eastAsia="zh-CN"/>
        </w:rPr>
        <w:t>成交</w:t>
      </w:r>
      <w:r>
        <w:rPr>
          <w:rFonts w:hint="eastAsia" w:ascii="宋体" w:hAnsi="宋体" w:cs="宋体"/>
          <w:color w:val="auto"/>
          <w:sz w:val="24"/>
        </w:rPr>
        <w:t>项目的非主体设备</w:t>
      </w:r>
      <w:r>
        <w:rPr>
          <w:rFonts w:hint="eastAsia" w:ascii="宋体" w:hAnsi="宋体" w:cs="宋体"/>
          <w:color w:val="auto"/>
          <w:sz w:val="24"/>
          <w:lang w:val="en-US" w:eastAsia="zh-CN"/>
        </w:rPr>
        <w:t>或者工程</w:t>
      </w:r>
      <w:r>
        <w:rPr>
          <w:rFonts w:hint="eastAsia" w:ascii="宋体" w:hAnsi="宋体" w:cs="宋体"/>
          <w:color w:val="auto"/>
          <w:sz w:val="24"/>
        </w:rPr>
        <w:t>进行分包的，应符合投标人须知前附表规定的分包内容、分包金额和资质要求等限制性条件，除投标人须知前附表规定的分包内容外，其他工作不得分包。</w:t>
      </w:r>
    </w:p>
    <w:p w14:paraId="508862DE">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8.2</w:t>
      </w:r>
      <w:r>
        <w:rPr>
          <w:rFonts w:hint="eastAsia" w:ascii="宋体" w:hAnsi="宋体" w:cs="宋体"/>
          <w:color w:val="auto"/>
          <w:sz w:val="24"/>
          <w:lang w:eastAsia="zh-CN"/>
        </w:rPr>
        <w:t>成交</w:t>
      </w:r>
      <w:r>
        <w:rPr>
          <w:rFonts w:hint="eastAsia" w:ascii="宋体" w:hAnsi="宋体" w:cs="宋体"/>
          <w:color w:val="auto"/>
          <w:sz w:val="24"/>
        </w:rPr>
        <w:t>人不得向他人转让</w:t>
      </w:r>
      <w:r>
        <w:rPr>
          <w:rFonts w:hint="eastAsia" w:ascii="宋体" w:hAnsi="宋体" w:cs="宋体"/>
          <w:color w:val="auto"/>
          <w:sz w:val="24"/>
          <w:lang w:eastAsia="zh-CN"/>
        </w:rPr>
        <w:t>成交</w:t>
      </w:r>
      <w:r>
        <w:rPr>
          <w:rFonts w:hint="eastAsia" w:ascii="宋体" w:hAnsi="宋体" w:cs="宋体"/>
          <w:color w:val="auto"/>
          <w:sz w:val="24"/>
        </w:rPr>
        <w:t>项目，接受分包的人不得再次分包。</w:t>
      </w:r>
      <w:r>
        <w:rPr>
          <w:rFonts w:hint="eastAsia" w:ascii="宋体" w:hAnsi="宋体" w:cs="宋体"/>
          <w:color w:val="auto"/>
          <w:sz w:val="24"/>
          <w:lang w:eastAsia="zh-CN"/>
        </w:rPr>
        <w:t>成交</w:t>
      </w:r>
      <w:r>
        <w:rPr>
          <w:rFonts w:hint="eastAsia" w:ascii="宋体" w:hAnsi="宋体" w:cs="宋体"/>
          <w:color w:val="auto"/>
          <w:sz w:val="24"/>
        </w:rPr>
        <w:t>人应当就分包项目向</w:t>
      </w:r>
      <w:r>
        <w:rPr>
          <w:rFonts w:hint="eastAsia" w:ascii="宋体" w:hAnsi="宋体" w:cs="宋体"/>
          <w:color w:val="auto"/>
          <w:sz w:val="24"/>
          <w:lang w:eastAsia="zh-CN"/>
        </w:rPr>
        <w:t>采购人</w:t>
      </w:r>
      <w:r>
        <w:rPr>
          <w:rFonts w:hint="eastAsia" w:ascii="宋体" w:hAnsi="宋体" w:cs="宋体"/>
          <w:color w:val="auto"/>
          <w:sz w:val="24"/>
        </w:rPr>
        <w:t>负责，接受分包的人就分包项目承担连带责任。</w:t>
      </w:r>
    </w:p>
    <w:p w14:paraId="51AD05A3">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9、响应和偏差</w:t>
      </w:r>
    </w:p>
    <w:p w14:paraId="1F04C327">
      <w:pPr>
        <w:keepNext w:val="0"/>
        <w:keepLines w:val="0"/>
        <w:pageBreakBefore w:val="0"/>
        <w:kinsoku/>
        <w:wordWrap/>
        <w:overflowPunct/>
        <w:topLinePunct w:val="0"/>
        <w:autoSpaceDE/>
        <w:autoSpaceDN/>
        <w:bidi w:val="0"/>
        <w:spacing w:line="460" w:lineRule="exact"/>
        <w:ind w:firstLine="470" w:firstLineChars="196"/>
        <w:rPr>
          <w:rFonts w:ascii="宋体" w:hAnsi="宋体" w:cs="宋体"/>
          <w:color w:val="auto"/>
          <w:sz w:val="24"/>
        </w:rPr>
      </w:pPr>
      <w:r>
        <w:rPr>
          <w:rFonts w:hint="eastAsia" w:ascii="宋体" w:hAnsi="宋体" w:cs="宋体"/>
          <w:color w:val="auto"/>
          <w:sz w:val="24"/>
        </w:rPr>
        <w:t>9.1投标文件对招标文件的全部偏差，均应在投标文件的偏差表中列明，除列明的内容外，视为投标人响应招标文件的全部要求。</w:t>
      </w:r>
      <w:bookmarkStart w:id="9" w:name="_Toc509771944"/>
    </w:p>
    <w:p w14:paraId="227A5D5F">
      <w:pPr>
        <w:keepNext w:val="0"/>
        <w:keepLines w:val="0"/>
        <w:pageBreakBefore w:val="0"/>
        <w:kinsoku/>
        <w:wordWrap/>
        <w:overflowPunct/>
        <w:topLinePunct w:val="0"/>
        <w:autoSpaceDE/>
        <w:autoSpaceDN/>
        <w:bidi w:val="0"/>
        <w:spacing w:line="460" w:lineRule="exact"/>
        <w:jc w:val="center"/>
        <w:rPr>
          <w:rFonts w:ascii="宋体" w:hAnsi="宋体" w:cs="宋体"/>
          <w:b/>
          <w:bCs/>
          <w:color w:val="auto"/>
          <w:sz w:val="24"/>
        </w:rPr>
      </w:pPr>
      <w:r>
        <w:rPr>
          <w:rFonts w:hint="eastAsia" w:ascii="宋体" w:hAnsi="宋体" w:cs="宋体"/>
          <w:b/>
          <w:bCs/>
          <w:color w:val="auto"/>
          <w:sz w:val="24"/>
        </w:rPr>
        <w:t>二、招标文件</w:t>
      </w:r>
      <w:bookmarkEnd w:id="9"/>
    </w:p>
    <w:p w14:paraId="73C80498">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10、招标文件的组成</w:t>
      </w:r>
    </w:p>
    <w:p w14:paraId="5B3A6B76">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招标文件由下列六部分内容组成：</w:t>
      </w:r>
    </w:p>
    <w:p w14:paraId="4B869B05">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（1）招标公告；</w:t>
      </w:r>
    </w:p>
    <w:p w14:paraId="3C5DEB0B">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（2）投标人须知；</w:t>
      </w:r>
    </w:p>
    <w:p w14:paraId="3C4CD120">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（3）评标标准和评标方法；</w:t>
      </w:r>
    </w:p>
    <w:p w14:paraId="71E2AFAC">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（4）商务技术要求；</w:t>
      </w:r>
    </w:p>
    <w:p w14:paraId="11852E02">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（5）合同原则；</w:t>
      </w:r>
    </w:p>
    <w:p w14:paraId="2A7DD612">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（6）投标文件格式；</w:t>
      </w:r>
    </w:p>
    <w:p w14:paraId="73AFA24D">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根据本章第11 款对招标文件所作的澄清、修改，构成招标文件的组成部分。</w:t>
      </w:r>
    </w:p>
    <w:p w14:paraId="2740643C">
      <w:pPr>
        <w:keepNext w:val="0"/>
        <w:keepLines w:val="0"/>
        <w:pageBreakBefore w:val="0"/>
        <w:kinsoku/>
        <w:wordWrap/>
        <w:overflowPunct/>
        <w:topLinePunct w:val="0"/>
        <w:autoSpaceDE/>
        <w:autoSpaceDN/>
        <w:bidi w:val="0"/>
        <w:spacing w:line="460" w:lineRule="exact"/>
        <w:ind w:firstLine="482" w:firstLineChars="200"/>
        <w:rPr>
          <w:rFonts w:ascii="宋体" w:hAnsi="宋体" w:cs="宋体"/>
          <w:color w:val="auto"/>
          <w:sz w:val="24"/>
        </w:rPr>
      </w:pPr>
      <w:r>
        <w:rPr>
          <w:rFonts w:hint="eastAsia" w:ascii="宋体" w:hAnsi="宋体" w:cs="宋体"/>
          <w:b/>
          <w:color w:val="auto"/>
          <w:sz w:val="24"/>
        </w:rPr>
        <w:t>11、招标文件的澄清</w:t>
      </w:r>
    </w:p>
    <w:p w14:paraId="03E1D87A">
      <w:pPr>
        <w:keepNext w:val="0"/>
        <w:keepLines w:val="0"/>
        <w:pageBreakBefore w:val="0"/>
        <w:tabs>
          <w:tab w:val="left" w:pos="1985"/>
        </w:tabs>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11.1投标人澄清要求的提交：任何已登记备案并领取了招标文件的潜在投标人，均应以书面形式在投标截止时间15日以前要求对招标文件进行澄清，按招标公告中的联系地址以书面形式（包括书面材料、信函、传真，下同）送达采购代理机构（或采购人)。</w:t>
      </w:r>
    </w:p>
    <w:p w14:paraId="7836FA79">
      <w:pPr>
        <w:keepNext w:val="0"/>
        <w:keepLines w:val="0"/>
        <w:pageBreakBefore w:val="0"/>
        <w:tabs>
          <w:tab w:val="left" w:pos="1985"/>
        </w:tabs>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11.2采购代理机构（或采购人）对澄清要求的处理：采购代理机构（或采购人)对其认为需要给予澄清、修改及/或进行其它答复的，将以补充文件的方式进行，并且采用书面</w:t>
      </w:r>
      <w:r>
        <w:rPr>
          <w:rFonts w:hint="eastAsia" w:ascii="宋体" w:hAnsi="宋体" w:cs="宋体"/>
          <w:color w:val="auto"/>
          <w:sz w:val="24"/>
          <w:lang w:eastAsia="zh-CN"/>
        </w:rPr>
        <w:t>（</w:t>
      </w:r>
      <w:r>
        <w:rPr>
          <w:rFonts w:hint="eastAsia" w:ascii="宋体" w:hAnsi="宋体" w:cs="宋体"/>
          <w:color w:val="auto"/>
          <w:sz w:val="24"/>
        </w:rPr>
        <w:t>中国山西政府采购网补充公告</w:t>
      </w:r>
      <w:r>
        <w:rPr>
          <w:rFonts w:hint="eastAsia" w:ascii="宋体" w:hAnsi="宋体" w:cs="宋体"/>
          <w:color w:val="auto"/>
          <w:sz w:val="24"/>
          <w:lang w:eastAsia="zh-CN"/>
        </w:rPr>
        <w:t>）</w:t>
      </w:r>
      <w:r>
        <w:rPr>
          <w:rFonts w:hint="eastAsia" w:ascii="宋体" w:hAnsi="宋体" w:cs="宋体"/>
          <w:color w:val="auto"/>
          <w:sz w:val="24"/>
        </w:rPr>
        <w:t>的形式。补充文件中包括原提出的问题及问题的说明意见，但不包括问题的来源。</w:t>
      </w:r>
    </w:p>
    <w:p w14:paraId="160DD84A">
      <w:pPr>
        <w:keepNext w:val="0"/>
        <w:keepLines w:val="0"/>
        <w:pageBreakBefore w:val="0"/>
        <w:tabs>
          <w:tab w:val="left" w:pos="1985"/>
        </w:tabs>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11.3采购代理机构（或采购人）主动进行的澄清、修改：采购代理机构（或采购人）可以在不改变采购标的和资格条件的前提下，对招标文件中的相关事项，用补充文件的方式进行澄清和修改。澄清或者修改的内容为招标文件的组成部分。澄清或者修改的内容可能影响投标文件编制的，采购人或者采购代理机构应当在投标截止时间至少15日前，以书面形式</w:t>
      </w:r>
      <w:r>
        <w:rPr>
          <w:rFonts w:hint="eastAsia" w:ascii="宋体" w:hAnsi="宋体" w:cs="宋体"/>
          <w:color w:val="auto"/>
          <w:sz w:val="24"/>
          <w:lang w:eastAsia="zh-CN"/>
        </w:rPr>
        <w:t>（</w:t>
      </w:r>
      <w:r>
        <w:rPr>
          <w:rFonts w:hint="eastAsia" w:ascii="宋体" w:hAnsi="宋体" w:cs="宋体"/>
          <w:color w:val="auto"/>
          <w:sz w:val="24"/>
          <w:lang w:val="en-US" w:eastAsia="zh-CN"/>
        </w:rPr>
        <w:t>通过平台发布</w:t>
      </w:r>
      <w:r>
        <w:rPr>
          <w:rFonts w:hint="eastAsia" w:ascii="宋体" w:hAnsi="宋体" w:cs="宋体"/>
          <w:color w:val="auto"/>
          <w:sz w:val="24"/>
          <w:lang w:eastAsia="zh-CN"/>
        </w:rPr>
        <w:t>）</w:t>
      </w:r>
      <w:r>
        <w:rPr>
          <w:rFonts w:hint="eastAsia" w:ascii="宋体" w:hAnsi="宋体" w:cs="宋体"/>
          <w:color w:val="auto"/>
          <w:sz w:val="24"/>
        </w:rPr>
        <w:t>通知所有获取招标文件的潜在投标人；不足15日的，采购人或者采购代理机构应当顺延提交投标文件的截止时间。</w:t>
      </w:r>
    </w:p>
    <w:p w14:paraId="5286ACAA">
      <w:pPr>
        <w:keepNext w:val="0"/>
        <w:keepLines w:val="0"/>
        <w:pageBreakBefore w:val="0"/>
        <w:tabs>
          <w:tab w:val="left" w:pos="1985"/>
        </w:tabs>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11.4采购代理机构（或采购人）澄清、修改及其它答复的效力：无论是否根据投标人的澄清、修改或进行其它答复的要求，采购代理机构（或采购人)一旦对招标文件做出澄清、修改或进行其它答复，即刻发生效力，采购代理机构（或采购人)有关的补充文件，应当作为招标文件的组成部分，对所有投标人均具有约束力。</w:t>
      </w:r>
    </w:p>
    <w:p w14:paraId="6027F5FC">
      <w:pPr>
        <w:keepNext w:val="0"/>
        <w:keepLines w:val="0"/>
        <w:pageBreakBefore w:val="0"/>
        <w:tabs>
          <w:tab w:val="left" w:pos="1985"/>
        </w:tabs>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11.5采购人或者采购代理机构可以在招标文件提供期限截止后，组织已获取招标文件的潜在投标人现场考察或者召开开标前答疑会。组织现场考察或者召开答疑会的，应当在招标文件中载明，或者在招标文件提供期限截止后以书面形式通知所有获取招标文件的潜在投标人。</w:t>
      </w:r>
    </w:p>
    <w:p w14:paraId="237C94D0">
      <w:pPr>
        <w:keepNext w:val="0"/>
        <w:keepLines w:val="0"/>
        <w:pageBreakBefore w:val="0"/>
        <w:tabs>
          <w:tab w:val="left" w:pos="1985"/>
        </w:tabs>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11.6采购代理机构（或采购人)在开标现场对投标情况可在不改变招标文件实质内容前提下做进一步的澄清和说明，并经全场投标人代表签字确认。</w:t>
      </w:r>
    </w:p>
    <w:p w14:paraId="74D0894B">
      <w:pPr>
        <w:keepNext w:val="0"/>
        <w:keepLines w:val="0"/>
        <w:pageBreakBefore w:val="0"/>
        <w:kinsoku/>
        <w:wordWrap/>
        <w:overflowPunct/>
        <w:topLinePunct w:val="0"/>
        <w:autoSpaceDE/>
        <w:autoSpaceDN/>
        <w:bidi w:val="0"/>
        <w:spacing w:before="100" w:beforeAutospacing="1" w:after="100" w:afterAutospacing="1" w:line="460" w:lineRule="exact"/>
        <w:jc w:val="center"/>
        <w:rPr>
          <w:rFonts w:ascii="宋体" w:hAnsi="宋体" w:cs="宋体"/>
          <w:color w:val="auto"/>
          <w:sz w:val="24"/>
        </w:rPr>
      </w:pPr>
      <w:bookmarkStart w:id="10" w:name="_Toc509771945"/>
      <w:r>
        <w:rPr>
          <w:rFonts w:hint="eastAsia" w:ascii="宋体" w:hAnsi="宋体" w:cs="宋体"/>
          <w:color w:val="auto"/>
          <w:sz w:val="24"/>
        </w:rPr>
        <w:t>三、投标文件</w:t>
      </w:r>
      <w:bookmarkEnd w:id="10"/>
    </w:p>
    <w:p w14:paraId="5C91F43D">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12、投标文件的语言和计量单位</w:t>
      </w:r>
    </w:p>
    <w:p w14:paraId="26831D11">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12.1投标人提交的投标文件（包括技术文件和资料、图纸中的说明）以及投标人与采购代理机构（或采购人)就有关投标的所有来往函电均应使用中文简体字。</w:t>
      </w:r>
    </w:p>
    <w:p w14:paraId="73943579">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12.2投标文件所使用的计量单位，应使用国家法定计量单位。</w:t>
      </w:r>
    </w:p>
    <w:p w14:paraId="6CD333EA">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12.3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1784E4C2">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原版为外文的证书类、证明类文件，与投标人名称或其它实际情况不符的，投标人应当提供相关证明文件。</w:t>
      </w:r>
    </w:p>
    <w:p w14:paraId="15DE151A">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13、投标文件的组成及相关要求</w:t>
      </w:r>
    </w:p>
    <w:p w14:paraId="79A162B1">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13.1投标文件分为商务部分和技术</w:t>
      </w:r>
      <w:r>
        <w:rPr>
          <w:rFonts w:hint="eastAsia" w:ascii="宋体" w:hAnsi="宋体" w:cs="宋体"/>
          <w:color w:val="auto"/>
          <w:sz w:val="24"/>
          <w:lang w:val="en-US" w:eastAsia="zh-CN"/>
        </w:rPr>
        <w:t>服务</w:t>
      </w:r>
      <w:r>
        <w:rPr>
          <w:rFonts w:hint="eastAsia" w:ascii="宋体" w:hAnsi="宋体" w:cs="宋体"/>
          <w:color w:val="auto"/>
          <w:sz w:val="24"/>
        </w:rPr>
        <w:t>部分。</w:t>
      </w:r>
      <w:r>
        <w:rPr>
          <w:rFonts w:hint="eastAsia"/>
          <w:color w:val="auto"/>
          <w:sz w:val="24"/>
          <w:szCs w:val="24"/>
        </w:rPr>
        <w:t>本项目为</w:t>
      </w:r>
      <w:r>
        <w:rPr>
          <w:rFonts w:hint="eastAsia"/>
          <w:b/>
          <w:bCs/>
          <w:color w:val="auto"/>
          <w:sz w:val="24"/>
          <w:szCs w:val="24"/>
        </w:rPr>
        <w:t>全流程电子化招投标</w:t>
      </w:r>
      <w:r>
        <w:rPr>
          <w:rFonts w:hint="eastAsia"/>
          <w:color w:val="auto"/>
          <w:sz w:val="24"/>
          <w:szCs w:val="24"/>
        </w:rPr>
        <w:t>。电子</w:t>
      </w:r>
      <w:r>
        <w:rPr>
          <w:rFonts w:hint="eastAsia"/>
          <w:color w:val="auto"/>
          <w:sz w:val="24"/>
          <w:szCs w:val="24"/>
          <w:lang w:val="en-US" w:eastAsia="zh-CN"/>
        </w:rPr>
        <w:t>投标</w:t>
      </w:r>
      <w:r>
        <w:rPr>
          <w:rFonts w:hint="eastAsia"/>
          <w:color w:val="auto"/>
          <w:sz w:val="24"/>
          <w:szCs w:val="24"/>
        </w:rPr>
        <w:t>文件请通过山西省政府采购网下载电子投标文件制作工具进行制作并按要求进行签章、加密、上传。</w:t>
      </w:r>
    </w:p>
    <w:p w14:paraId="0E7D802F">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商务部分指投标人提交的证明其有资格参加投标和</w:t>
      </w:r>
      <w:r>
        <w:rPr>
          <w:rFonts w:hint="eastAsia" w:ascii="宋体" w:hAnsi="宋体" w:cs="宋体"/>
          <w:color w:val="auto"/>
          <w:sz w:val="24"/>
          <w:lang w:eastAsia="zh-CN"/>
        </w:rPr>
        <w:t>成交</w:t>
      </w:r>
      <w:r>
        <w:rPr>
          <w:rFonts w:hint="eastAsia" w:ascii="宋体" w:hAnsi="宋体" w:cs="宋体"/>
          <w:color w:val="auto"/>
          <w:sz w:val="24"/>
        </w:rPr>
        <w:t>后有能力履行合同的文件。</w:t>
      </w:r>
    </w:p>
    <w:p w14:paraId="109CB242">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技术</w:t>
      </w:r>
      <w:r>
        <w:rPr>
          <w:rFonts w:hint="eastAsia" w:ascii="宋体" w:hAnsi="宋体" w:cs="宋体"/>
          <w:color w:val="auto"/>
          <w:sz w:val="24"/>
          <w:lang w:val="en-US" w:eastAsia="zh-CN"/>
        </w:rPr>
        <w:t>服务</w:t>
      </w:r>
      <w:r>
        <w:rPr>
          <w:rFonts w:hint="eastAsia" w:ascii="宋体" w:hAnsi="宋体" w:cs="宋体"/>
          <w:color w:val="auto"/>
          <w:sz w:val="24"/>
        </w:rPr>
        <w:t>部分指投标人提交的能够证明投标人提供的货物及服务符合招标文件规定的文件。</w:t>
      </w:r>
    </w:p>
    <w:p w14:paraId="75648473">
      <w:pPr>
        <w:keepNext w:val="0"/>
        <w:keepLines w:val="0"/>
        <w:pageBreakBefore w:val="0"/>
        <w:kinsoku/>
        <w:wordWrap/>
        <w:overflowPunct/>
        <w:topLinePunct w:val="0"/>
        <w:autoSpaceDE/>
        <w:autoSpaceDN/>
        <w:bidi w:val="0"/>
        <w:spacing w:line="460" w:lineRule="exact"/>
        <w:ind w:firstLine="480" w:firstLineChars="200"/>
        <w:rPr>
          <w:rFonts w:hint="eastAsia" w:ascii="宋体" w:hAnsi="宋体" w:cs="宋体"/>
          <w:color w:val="auto"/>
          <w:sz w:val="24"/>
        </w:rPr>
      </w:pPr>
      <w:r>
        <w:rPr>
          <w:rFonts w:hint="eastAsia" w:ascii="宋体" w:hAnsi="宋体" w:cs="宋体"/>
          <w:color w:val="auto"/>
          <w:sz w:val="24"/>
        </w:rPr>
        <w:t>本次招标，投标人应按招标文件规定提交商务、技术</w:t>
      </w:r>
      <w:r>
        <w:rPr>
          <w:rFonts w:hint="eastAsia" w:ascii="宋体" w:hAnsi="宋体" w:cs="宋体"/>
          <w:color w:val="auto"/>
          <w:sz w:val="24"/>
          <w:lang w:val="en-US" w:eastAsia="zh-CN"/>
        </w:rPr>
        <w:t>服务</w:t>
      </w:r>
      <w:r>
        <w:rPr>
          <w:rFonts w:hint="eastAsia" w:ascii="宋体" w:hAnsi="宋体" w:cs="宋体"/>
          <w:color w:val="auto"/>
          <w:sz w:val="24"/>
        </w:rPr>
        <w:t>部分内容和需要投标人自行编写的其他文件。（具体填写要求及格式详见招标文件第六</w:t>
      </w:r>
      <w:r>
        <w:rPr>
          <w:rFonts w:hint="eastAsia" w:ascii="宋体" w:hAnsi="宋体" w:cs="宋体"/>
          <w:color w:val="auto"/>
          <w:sz w:val="24"/>
          <w:lang w:val="en-US" w:eastAsia="zh-CN"/>
        </w:rPr>
        <w:t>章</w:t>
      </w:r>
      <w:r>
        <w:rPr>
          <w:rFonts w:hint="eastAsia" w:ascii="宋体" w:hAnsi="宋体" w:cs="宋体"/>
          <w:color w:val="auto"/>
          <w:sz w:val="24"/>
        </w:rPr>
        <w:t>）。</w:t>
      </w:r>
    </w:p>
    <w:p w14:paraId="629E95E0">
      <w:pPr>
        <w:keepNext w:val="0"/>
        <w:keepLines w:val="0"/>
        <w:pageBreakBefore w:val="0"/>
        <w:kinsoku/>
        <w:wordWrap/>
        <w:overflowPunct/>
        <w:topLinePunct w:val="0"/>
        <w:autoSpaceDE/>
        <w:autoSpaceDN/>
        <w:bidi w:val="0"/>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13.2投标文件要求内容及编排顺序</w:t>
      </w:r>
    </w:p>
    <w:p w14:paraId="1D384219">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商务部分</w:t>
      </w:r>
    </w:p>
    <w:p w14:paraId="42B80EF9">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（1）投标函；</w:t>
      </w:r>
    </w:p>
    <w:p w14:paraId="3F336082">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（2）法定代表人身份证明书、授权委托书（法定代表人出席开标会议可不提供）；</w:t>
      </w:r>
    </w:p>
    <w:p w14:paraId="6CBFFA10">
      <w:pPr>
        <w:keepNext w:val="0"/>
        <w:keepLines w:val="0"/>
        <w:pageBreakBefore w:val="0"/>
        <w:kinsoku/>
        <w:wordWrap/>
        <w:overflowPunct/>
        <w:topLinePunct w:val="0"/>
        <w:autoSpaceDE/>
        <w:autoSpaceDN/>
        <w:bidi w:val="0"/>
        <w:spacing w:line="46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（3）</w:t>
      </w:r>
      <w:r>
        <w:rPr>
          <w:rFonts w:hint="eastAsia" w:ascii="宋体" w:hAnsi="宋体" w:eastAsia="宋体" w:cs="宋体"/>
          <w:color w:val="auto"/>
          <w:sz w:val="24"/>
          <w:lang w:val="en-US" w:eastAsia="zh-CN"/>
        </w:rPr>
        <w:t>营业执照</w:t>
      </w:r>
      <w:r>
        <w:rPr>
          <w:rFonts w:hint="eastAsia" w:ascii="宋体" w:hAnsi="宋体" w:cs="宋体"/>
          <w:color w:val="auto"/>
          <w:sz w:val="24"/>
          <w:lang w:val="en-US" w:eastAsia="zh-CN"/>
        </w:rPr>
        <w:t>副本</w:t>
      </w:r>
    </w:p>
    <w:p w14:paraId="246A93F3">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（4）银行基本账户开户许可证或基本存款账户信息；</w:t>
      </w:r>
    </w:p>
    <w:p w14:paraId="752B8A8C">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）具有独立承担民事责任的能力</w:t>
      </w:r>
      <w:r>
        <w:rPr>
          <w:rFonts w:hint="eastAsia" w:ascii="宋体" w:hAnsi="宋体" w:eastAsia="宋体" w:cs="宋体"/>
          <w:color w:val="auto"/>
          <w:sz w:val="24"/>
        </w:rPr>
        <w:t>；</w:t>
      </w:r>
    </w:p>
    <w:p w14:paraId="1709B45D">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w:t>
      </w:r>
      <w:r>
        <w:rPr>
          <w:rFonts w:hint="eastAsia" w:ascii="宋体" w:hAnsi="宋体" w:eastAsia="宋体" w:cs="宋体"/>
          <w:color w:val="auto"/>
          <w:sz w:val="24"/>
          <w:lang w:eastAsia="zh-CN"/>
        </w:rPr>
        <w:t>有依法缴纳税收和社会保障资金的良好记录</w:t>
      </w:r>
      <w:r>
        <w:rPr>
          <w:rFonts w:hint="eastAsia" w:ascii="宋体" w:hAnsi="宋体" w:eastAsia="宋体" w:cs="宋体"/>
          <w:color w:val="auto"/>
          <w:sz w:val="24"/>
        </w:rPr>
        <w:t>；</w:t>
      </w:r>
    </w:p>
    <w:p w14:paraId="2D8E4D0E">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7</w:t>
      </w:r>
      <w:r>
        <w:rPr>
          <w:rFonts w:hint="eastAsia" w:ascii="宋体" w:hAnsi="宋体" w:eastAsia="宋体" w:cs="宋体"/>
          <w:color w:val="auto"/>
          <w:sz w:val="24"/>
        </w:rPr>
        <w:t>）</w:t>
      </w:r>
      <w:r>
        <w:rPr>
          <w:rFonts w:hint="eastAsia" w:ascii="宋体" w:hAnsi="宋体" w:eastAsia="宋体" w:cs="宋体"/>
          <w:color w:val="auto"/>
          <w:sz w:val="24"/>
          <w:lang w:eastAsia="zh-CN"/>
        </w:rPr>
        <w:t>具有履行合同所必需的设备和专业技术能力</w:t>
      </w:r>
      <w:r>
        <w:rPr>
          <w:rFonts w:hint="eastAsia" w:ascii="宋体" w:hAnsi="宋体" w:eastAsia="宋体" w:cs="宋体"/>
          <w:color w:val="auto"/>
          <w:sz w:val="24"/>
        </w:rPr>
        <w:t>；</w:t>
      </w:r>
    </w:p>
    <w:p w14:paraId="57059B70">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8</w:t>
      </w:r>
      <w:r>
        <w:rPr>
          <w:rFonts w:hint="eastAsia" w:ascii="宋体" w:hAnsi="宋体" w:eastAsia="宋体" w:cs="宋体"/>
          <w:color w:val="auto"/>
          <w:sz w:val="24"/>
        </w:rPr>
        <w:t>）</w:t>
      </w:r>
      <w:r>
        <w:rPr>
          <w:rFonts w:hint="eastAsia" w:ascii="宋体" w:hAnsi="宋体" w:eastAsia="宋体" w:cs="宋体"/>
          <w:color w:val="auto"/>
          <w:sz w:val="24"/>
          <w:lang w:eastAsia="zh-CN"/>
        </w:rPr>
        <w:t>具有良好的商业信誉和健全的财务会计制度</w:t>
      </w:r>
      <w:r>
        <w:rPr>
          <w:rFonts w:hint="eastAsia" w:ascii="宋体" w:hAnsi="宋体" w:eastAsia="宋体" w:cs="宋体"/>
          <w:color w:val="auto"/>
          <w:sz w:val="24"/>
        </w:rPr>
        <w:t>；</w:t>
      </w:r>
    </w:p>
    <w:p w14:paraId="7D2974C3">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9</w:t>
      </w:r>
      <w:r>
        <w:rPr>
          <w:rFonts w:hint="eastAsia" w:ascii="宋体" w:hAnsi="宋体" w:eastAsia="宋体" w:cs="宋体"/>
          <w:color w:val="auto"/>
          <w:sz w:val="24"/>
        </w:rPr>
        <w:t>）参加政府采购活动前三年内</w:t>
      </w:r>
      <w:r>
        <w:rPr>
          <w:rFonts w:hint="eastAsia" w:ascii="宋体" w:hAnsi="宋体" w:eastAsia="宋体" w:cs="宋体"/>
          <w:color w:val="auto"/>
          <w:sz w:val="24"/>
          <w:lang w:eastAsia="zh-CN"/>
        </w:rPr>
        <w:t>，</w:t>
      </w:r>
      <w:r>
        <w:rPr>
          <w:rFonts w:hint="eastAsia" w:ascii="宋体" w:hAnsi="宋体" w:eastAsia="宋体" w:cs="宋体"/>
          <w:color w:val="auto"/>
          <w:sz w:val="24"/>
        </w:rPr>
        <w:t>在经营活动中没有重大违法记录的书面声明；</w:t>
      </w:r>
    </w:p>
    <w:p w14:paraId="5FE093F4">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10</w:t>
      </w:r>
      <w:r>
        <w:rPr>
          <w:rFonts w:hint="eastAsia" w:ascii="宋体" w:hAnsi="宋体" w:eastAsia="宋体" w:cs="宋体"/>
          <w:color w:val="auto"/>
          <w:sz w:val="24"/>
        </w:rPr>
        <w:t>）诚信投标承诺书；</w:t>
      </w:r>
    </w:p>
    <w:p w14:paraId="41AF67A3">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11</w:t>
      </w:r>
      <w:r>
        <w:rPr>
          <w:rFonts w:hint="eastAsia" w:ascii="宋体" w:hAnsi="宋体" w:eastAsia="宋体" w:cs="宋体"/>
          <w:color w:val="auto"/>
          <w:sz w:val="24"/>
        </w:rPr>
        <w:t>）信用中国网站（www.creditchina.gov.cn）“</w:t>
      </w:r>
      <w:r>
        <w:rPr>
          <w:rFonts w:hint="eastAsia" w:ascii="宋体" w:hAnsi="宋体" w:eastAsia="宋体" w:cs="宋体"/>
          <w:color w:val="auto"/>
          <w:sz w:val="24"/>
          <w:lang w:eastAsia="zh-CN"/>
        </w:rPr>
        <w:t>信息公示或者专项查询</w:t>
      </w:r>
      <w:r>
        <w:rPr>
          <w:rFonts w:hint="eastAsia" w:ascii="宋体" w:hAnsi="宋体" w:eastAsia="宋体" w:cs="宋体"/>
          <w:color w:val="auto"/>
          <w:sz w:val="24"/>
        </w:rPr>
        <w:t>”（包括“失信被执行人”及“重大税收违法失信主体”）查询结果以及中国政府采购网（www.ccgp.gov.cn）“政府采购严重违法失信行为记录名单”查询结果；</w:t>
      </w:r>
    </w:p>
    <w:p w14:paraId="77F986C6">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12</w:t>
      </w:r>
      <w:r>
        <w:rPr>
          <w:rFonts w:hint="eastAsia" w:ascii="宋体" w:hAnsi="宋体" w:eastAsia="宋体" w:cs="宋体"/>
          <w:color w:val="auto"/>
          <w:sz w:val="24"/>
        </w:rPr>
        <w:t>）投标保证金缴纳凭证；</w:t>
      </w:r>
    </w:p>
    <w:p w14:paraId="28F91C12">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13</w:t>
      </w:r>
      <w:r>
        <w:rPr>
          <w:rFonts w:hint="eastAsia" w:ascii="宋体" w:hAnsi="宋体" w:eastAsia="宋体" w:cs="宋体"/>
          <w:color w:val="auto"/>
          <w:sz w:val="24"/>
        </w:rPr>
        <w:t>）商务条款偏离表；</w:t>
      </w:r>
    </w:p>
    <w:p w14:paraId="512F14F0">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14</w:t>
      </w:r>
      <w:r>
        <w:rPr>
          <w:rFonts w:hint="eastAsia" w:ascii="宋体" w:hAnsi="宋体" w:eastAsia="宋体" w:cs="宋体"/>
          <w:color w:val="auto"/>
          <w:sz w:val="24"/>
        </w:rPr>
        <w:t>）近三年类似项目案例及相关证明资料；</w:t>
      </w:r>
    </w:p>
    <w:p w14:paraId="685415C1">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15</w:t>
      </w:r>
      <w:r>
        <w:rPr>
          <w:rFonts w:hint="eastAsia" w:ascii="宋体" w:hAnsi="宋体" w:eastAsia="宋体" w:cs="宋体"/>
          <w:color w:val="auto"/>
          <w:sz w:val="24"/>
        </w:rPr>
        <w:t>）</w:t>
      </w:r>
      <w:r>
        <w:rPr>
          <w:rFonts w:hint="eastAsia" w:ascii="宋体" w:hAnsi="宋体" w:eastAsia="宋体" w:cs="宋体"/>
          <w:color w:val="auto"/>
          <w:sz w:val="24"/>
          <w:lang w:eastAsia="zh-CN"/>
        </w:rPr>
        <w:t>投标人中小企业、监狱企业、残疾人福利性单位证明文件（如有）</w:t>
      </w:r>
      <w:r>
        <w:rPr>
          <w:rFonts w:hint="eastAsia" w:ascii="宋体" w:hAnsi="宋体" w:eastAsia="宋体" w:cs="宋体"/>
          <w:color w:val="auto"/>
          <w:sz w:val="24"/>
        </w:rPr>
        <w:t>；</w:t>
      </w:r>
    </w:p>
    <w:p w14:paraId="371FCAB2">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（16）《关于符合本国产品标准的声明函》（见‘投标文件格式’）或财政部会同有关部门规定的有关证明文件</w:t>
      </w:r>
    </w:p>
    <w:p w14:paraId="26D5A125">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17</w:t>
      </w:r>
      <w:r>
        <w:rPr>
          <w:rFonts w:hint="eastAsia" w:ascii="宋体" w:hAnsi="宋体" w:eastAsia="宋体" w:cs="宋体"/>
          <w:color w:val="auto"/>
          <w:sz w:val="24"/>
        </w:rPr>
        <w:t>）</w:t>
      </w:r>
      <w:r>
        <w:rPr>
          <w:rFonts w:hint="eastAsia" w:ascii="宋体" w:hAnsi="宋体" w:eastAsia="宋体" w:cs="宋体"/>
          <w:color w:val="auto"/>
          <w:sz w:val="24"/>
          <w:lang w:val="en-US" w:eastAsia="zh-CN"/>
        </w:rPr>
        <w:t>投标人</w:t>
      </w:r>
      <w:r>
        <w:rPr>
          <w:rFonts w:hint="eastAsia" w:ascii="宋体" w:hAnsi="宋体" w:eastAsia="宋体" w:cs="宋体"/>
          <w:color w:val="auto"/>
          <w:sz w:val="24"/>
        </w:rPr>
        <w:t>认为需要提供的其他商务资料。</w:t>
      </w:r>
    </w:p>
    <w:p w14:paraId="4E52C05F">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技术服务部分</w:t>
      </w:r>
    </w:p>
    <w:p w14:paraId="5B24A11F">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（1）开标一览表及分项报价表；</w:t>
      </w:r>
    </w:p>
    <w:p w14:paraId="62B925AD">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（2）技术规格偏离表；</w:t>
      </w:r>
    </w:p>
    <w:p w14:paraId="0648C1D0">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（3）投标货物型号一致的产品手册、介绍、说明书等技术材料；</w:t>
      </w:r>
    </w:p>
    <w:p w14:paraId="13483113">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供货实施方案</w:t>
      </w:r>
      <w:r>
        <w:rPr>
          <w:rFonts w:hint="eastAsia" w:ascii="宋体" w:hAnsi="宋体" w:eastAsia="宋体" w:cs="宋体"/>
          <w:color w:val="auto"/>
          <w:sz w:val="24"/>
        </w:rPr>
        <w:t>；</w:t>
      </w:r>
    </w:p>
    <w:p w14:paraId="03E09FA8">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val="en-US" w:eastAsia="zh-CN"/>
        </w:rPr>
        <w:t>装修改造实施方案</w:t>
      </w:r>
    </w:p>
    <w:p w14:paraId="4D7813FB">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（6）货物质量及保证措施；</w:t>
      </w:r>
    </w:p>
    <w:p w14:paraId="51D91D65">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7</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应急预案；</w:t>
      </w:r>
    </w:p>
    <w:p w14:paraId="391D98B5">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（8）售后服务方案、承诺及保证措施；</w:t>
      </w:r>
    </w:p>
    <w:p w14:paraId="057E377A">
      <w:pPr>
        <w:keepNext w:val="0"/>
        <w:keepLines w:val="0"/>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（9）投标人认为需要提供的其他技术资料。</w:t>
      </w:r>
    </w:p>
    <w:p w14:paraId="42CB1FBD">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13.3 投标文件规格幅面（A4），按照招标文件所规定的内容顺序，统一编制目录、编页码（投标文件中复印件及彩色宣传资料等均须与投标文件正文一起逐页编排页码）。由于编排混乱导致投标文件被误读或查找不到，其责任由投标人承担。</w:t>
      </w:r>
    </w:p>
    <w:p w14:paraId="3268D8CB">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投标人应认真阅读招标文件中所有的条款、事项、格式和技术规范、参数及要求等。投标人没有按照招标文件要求提交资料，或者投标文件在各方面未做出实质性响应是投标人的风险，有可能导致其投标被拒绝或被认定为无效投标或被确定为投标无效。</w:t>
      </w:r>
    </w:p>
    <w:p w14:paraId="61A399A0">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投标人在评标过程中作出的符合法律法规和招标文件规定的澄清确认，构成投标文件的组成部分。</w:t>
      </w:r>
    </w:p>
    <w:p w14:paraId="07C82710">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14、投标保证金</w:t>
      </w:r>
    </w:p>
    <w:p w14:paraId="15A11839">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14.1投标人在递交投标文件的同时，应按投标人须知前附表规定的金额、形式递交投标保证金，并作为其投标文件的组成部分。</w:t>
      </w:r>
    </w:p>
    <w:p w14:paraId="7C082684">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14.2投标人不按本章要求提交投标保证金的，评标委员会将否决其投标。</w:t>
      </w:r>
    </w:p>
    <w:p w14:paraId="48D66F73">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14.3采购人或者采购代理机构应当自</w:t>
      </w:r>
      <w:r>
        <w:rPr>
          <w:rFonts w:hint="eastAsia" w:ascii="宋体" w:hAnsi="宋体" w:cs="宋体"/>
          <w:color w:val="auto"/>
          <w:sz w:val="24"/>
          <w:lang w:eastAsia="zh-CN"/>
        </w:rPr>
        <w:t>成交通知书</w:t>
      </w:r>
      <w:r>
        <w:rPr>
          <w:rFonts w:hint="eastAsia" w:ascii="宋体" w:hAnsi="宋体" w:cs="宋体"/>
          <w:color w:val="auto"/>
          <w:sz w:val="24"/>
        </w:rPr>
        <w:t>发出之日起5个工作日内退还未</w:t>
      </w:r>
      <w:r>
        <w:rPr>
          <w:rFonts w:hint="eastAsia" w:ascii="宋体" w:hAnsi="宋体" w:cs="宋体"/>
          <w:color w:val="auto"/>
          <w:sz w:val="24"/>
          <w:lang w:eastAsia="zh-CN"/>
        </w:rPr>
        <w:t>成交</w:t>
      </w:r>
      <w:r>
        <w:rPr>
          <w:rFonts w:hint="eastAsia" w:ascii="宋体" w:hAnsi="宋体" w:cs="宋体"/>
          <w:color w:val="auto"/>
          <w:sz w:val="24"/>
          <w:lang w:val="en-US" w:eastAsia="zh-CN"/>
        </w:rPr>
        <w:t>人</w:t>
      </w:r>
      <w:r>
        <w:rPr>
          <w:rFonts w:hint="eastAsia" w:ascii="宋体" w:hAnsi="宋体" w:cs="宋体"/>
          <w:color w:val="auto"/>
          <w:sz w:val="24"/>
        </w:rPr>
        <w:t>的投标保证金，自政府采购合同签订之日起5个工作日内退还</w:t>
      </w:r>
      <w:r>
        <w:rPr>
          <w:rFonts w:hint="eastAsia" w:ascii="宋体" w:hAnsi="宋体" w:cs="宋体"/>
          <w:color w:val="auto"/>
          <w:sz w:val="24"/>
          <w:lang w:eastAsia="zh-CN"/>
        </w:rPr>
        <w:t>成交</w:t>
      </w:r>
      <w:r>
        <w:rPr>
          <w:rFonts w:hint="eastAsia" w:ascii="宋体" w:hAnsi="宋体" w:cs="宋体"/>
          <w:color w:val="auto"/>
          <w:sz w:val="24"/>
          <w:lang w:val="en-US" w:eastAsia="zh-CN"/>
        </w:rPr>
        <w:t>人</w:t>
      </w:r>
      <w:r>
        <w:rPr>
          <w:rFonts w:hint="eastAsia" w:ascii="宋体" w:hAnsi="宋体" w:cs="宋体"/>
          <w:color w:val="auto"/>
          <w:sz w:val="24"/>
        </w:rPr>
        <w:t>的投标保证金。</w:t>
      </w:r>
    </w:p>
    <w:p w14:paraId="6F7DEADC">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14.4有下列情形之一的，投标保证金将不予退还：</w:t>
      </w:r>
    </w:p>
    <w:p w14:paraId="29D38C70">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（1）投标人在投标有效期内撤销投标文件；</w:t>
      </w:r>
    </w:p>
    <w:p w14:paraId="1783FEF7">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成交</w:t>
      </w:r>
      <w:r>
        <w:rPr>
          <w:rFonts w:hint="eastAsia" w:ascii="宋体" w:hAnsi="宋体" w:cs="宋体"/>
          <w:color w:val="auto"/>
          <w:sz w:val="24"/>
        </w:rPr>
        <w:t>人在收到</w:t>
      </w:r>
      <w:r>
        <w:rPr>
          <w:rFonts w:hint="eastAsia" w:ascii="宋体" w:hAnsi="宋体" w:cs="宋体"/>
          <w:color w:val="auto"/>
          <w:sz w:val="24"/>
          <w:lang w:eastAsia="zh-CN"/>
        </w:rPr>
        <w:t>成交通知书</w:t>
      </w:r>
      <w:r>
        <w:rPr>
          <w:rFonts w:hint="eastAsia" w:ascii="宋体" w:hAnsi="宋体" w:cs="宋体"/>
          <w:color w:val="auto"/>
          <w:sz w:val="24"/>
        </w:rPr>
        <w:t>后，无正当理由不与</w:t>
      </w:r>
      <w:r>
        <w:rPr>
          <w:rFonts w:hint="eastAsia" w:ascii="宋体" w:hAnsi="宋体" w:cs="宋体"/>
          <w:color w:val="auto"/>
          <w:sz w:val="24"/>
          <w:lang w:eastAsia="zh-CN"/>
        </w:rPr>
        <w:t>采购人</w:t>
      </w:r>
      <w:r>
        <w:rPr>
          <w:rFonts w:hint="eastAsia" w:ascii="宋体" w:hAnsi="宋体" w:cs="宋体"/>
          <w:color w:val="auto"/>
          <w:sz w:val="24"/>
        </w:rPr>
        <w:t>订立合同，在签订合同时向</w:t>
      </w:r>
      <w:r>
        <w:rPr>
          <w:rFonts w:hint="eastAsia" w:ascii="宋体" w:hAnsi="宋体" w:cs="宋体"/>
          <w:color w:val="auto"/>
          <w:sz w:val="24"/>
          <w:lang w:eastAsia="zh-CN"/>
        </w:rPr>
        <w:t>采购人</w:t>
      </w:r>
      <w:r>
        <w:rPr>
          <w:rFonts w:hint="eastAsia" w:ascii="宋体" w:hAnsi="宋体" w:cs="宋体"/>
          <w:color w:val="auto"/>
          <w:sz w:val="24"/>
        </w:rPr>
        <w:t>提出附加条件，或者不按照招标文件要求提交履约保证金；</w:t>
      </w:r>
    </w:p>
    <w:p w14:paraId="06DC45CD">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（3）法律法规规定的其它情形。</w:t>
      </w:r>
    </w:p>
    <w:p w14:paraId="63418A35">
      <w:pPr>
        <w:keepNext w:val="0"/>
        <w:keepLines w:val="0"/>
        <w:pageBreakBefore w:val="0"/>
        <w:numPr>
          <w:ilvl w:val="0"/>
          <w:numId w:val="3"/>
        </w:numPr>
        <w:kinsoku/>
        <w:wordWrap/>
        <w:overflowPunct/>
        <w:topLinePunct w:val="0"/>
        <w:autoSpaceDE/>
        <w:autoSpaceDN/>
        <w:bidi w:val="0"/>
        <w:spacing w:line="460" w:lineRule="exact"/>
        <w:rPr>
          <w:rFonts w:ascii="宋体" w:hAnsi="宋体" w:cs="宋体"/>
          <w:b/>
          <w:color w:val="auto"/>
          <w:sz w:val="24"/>
        </w:rPr>
      </w:pPr>
      <w:r>
        <w:rPr>
          <w:rFonts w:hint="eastAsia" w:ascii="宋体" w:hAnsi="宋体" w:cs="宋体"/>
          <w:b/>
          <w:color w:val="auto"/>
          <w:sz w:val="24"/>
        </w:rPr>
        <w:t>投标报价</w:t>
      </w:r>
    </w:p>
    <w:p w14:paraId="3CCF2D1D">
      <w:pPr>
        <w:keepNext w:val="0"/>
        <w:keepLines w:val="0"/>
        <w:pageBreakBefore w:val="0"/>
        <w:kinsoku/>
        <w:wordWrap/>
        <w:overflowPunct/>
        <w:topLinePunct w:val="0"/>
        <w:autoSpaceDE/>
        <w:autoSpaceDN/>
        <w:bidi w:val="0"/>
        <w:spacing w:line="460" w:lineRule="exact"/>
        <w:ind w:firstLine="480" w:firstLineChars="200"/>
        <w:rPr>
          <w:rFonts w:ascii="宋体" w:hAnsi="宋体" w:cs="宋体"/>
          <w:bCs/>
          <w:color w:val="auto"/>
          <w:kern w:val="44"/>
          <w:sz w:val="24"/>
        </w:rPr>
      </w:pPr>
      <w:r>
        <w:rPr>
          <w:rFonts w:hint="eastAsia" w:ascii="宋体" w:hAnsi="宋体" w:cs="宋体"/>
          <w:color w:val="auto"/>
          <w:sz w:val="24"/>
        </w:rPr>
        <w:t>15.1所有投标报价为一次性报价，均以人民币元为计算单位。只要投报了一个确定数额的总价，无论分项价格是否全部填报了相应的金额或免费字样，报价应被视为已经包含了并不限于各项购买货物及其运送、</w:t>
      </w:r>
      <w:r>
        <w:rPr>
          <w:rFonts w:hint="eastAsia" w:ascii="宋体" w:hAnsi="宋体" w:cs="宋体"/>
          <w:bCs/>
          <w:color w:val="auto"/>
          <w:kern w:val="44"/>
          <w:sz w:val="24"/>
        </w:rPr>
        <w:t>安装、调试、验收、保险和相关技术培训服务费用等在内的一切费用。在其它情况下，由于分项报价填报不完整、不清楚或存在其它任何失误，所导致的任何不利后果均应当由投标单位自行承担。</w:t>
      </w:r>
    </w:p>
    <w:p w14:paraId="5026C15B">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15.2本次招标不接受可选择或可调整的投标和报价。</w:t>
      </w:r>
    </w:p>
    <w:p w14:paraId="653E9858">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15.3投标人对投标报价若有说明应在开标一览表显著处注明，只有开标时唱出的报价优惠承诺才会在评标时予以考虑。</w:t>
      </w:r>
    </w:p>
    <w:p w14:paraId="584E5F8C">
      <w:pPr>
        <w:keepNext w:val="0"/>
        <w:keepLines w:val="0"/>
        <w:pageBreakBefore w:val="0"/>
        <w:kinsoku/>
        <w:wordWrap/>
        <w:overflowPunct/>
        <w:topLinePunct w:val="0"/>
        <w:autoSpaceDE/>
        <w:autoSpaceDN/>
        <w:bidi w:val="0"/>
        <w:spacing w:line="460" w:lineRule="exact"/>
        <w:ind w:firstLine="480" w:firstLineChars="200"/>
        <w:rPr>
          <w:rFonts w:ascii="宋体" w:hAnsi="宋体" w:cs="宋体"/>
          <w:bCs/>
          <w:color w:val="auto"/>
          <w:kern w:val="44"/>
          <w:sz w:val="24"/>
        </w:rPr>
      </w:pPr>
      <w:r>
        <w:rPr>
          <w:rFonts w:hint="eastAsia" w:ascii="宋体" w:hAnsi="宋体" w:cs="宋体"/>
          <w:color w:val="auto"/>
          <w:sz w:val="24"/>
        </w:rPr>
        <w:t>15.4</w:t>
      </w:r>
      <w:r>
        <w:rPr>
          <w:rFonts w:hint="eastAsia" w:ascii="宋体" w:hAnsi="宋体" w:cs="宋体"/>
          <w:bCs/>
          <w:color w:val="auto"/>
          <w:kern w:val="44"/>
          <w:sz w:val="24"/>
        </w:rPr>
        <w:t xml:space="preserve">投标单位要按投标货物型号、价格表(统一格式)的内容填写货物单价（包括货物报价、装箱、包装、包装物料、送货和保险费用）、总价及其他事项，并由法定代表人或投标单位代表签署。 </w:t>
      </w:r>
    </w:p>
    <w:p w14:paraId="0E5915DA">
      <w:pPr>
        <w:keepNext w:val="0"/>
        <w:keepLines w:val="0"/>
        <w:pageBreakBefore w:val="0"/>
        <w:kinsoku/>
        <w:wordWrap/>
        <w:overflowPunct/>
        <w:topLinePunct w:val="0"/>
        <w:autoSpaceDE/>
        <w:autoSpaceDN/>
        <w:bidi w:val="0"/>
        <w:spacing w:line="460" w:lineRule="exact"/>
        <w:ind w:firstLine="480" w:firstLineChars="200"/>
        <w:rPr>
          <w:rFonts w:ascii="宋体" w:hAnsi="宋体" w:cs="宋体"/>
          <w:bCs/>
          <w:color w:val="auto"/>
          <w:kern w:val="44"/>
          <w:sz w:val="24"/>
        </w:rPr>
      </w:pPr>
      <w:r>
        <w:rPr>
          <w:rFonts w:hint="eastAsia" w:ascii="宋体" w:hAnsi="宋体" w:cs="宋体"/>
          <w:bCs/>
          <w:color w:val="auto"/>
          <w:kern w:val="44"/>
          <w:sz w:val="24"/>
        </w:rPr>
        <w:t>15.5投标的报价优惠承诺应对应开标一览表、投标货物数量价格表等提供相应的明细清单。除报价优惠承诺外，任何超出文件要求而额外赠送的软硬件设备、免费培训等其他形式的优惠，在评标时将不作为价格折算的必备条件。</w:t>
      </w:r>
    </w:p>
    <w:p w14:paraId="498E54D5">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bCs/>
          <w:color w:val="auto"/>
          <w:kern w:val="44"/>
          <w:sz w:val="24"/>
        </w:rPr>
        <w:t>15.6对于有配件、耗材、选件、备件和特殊工具的货物，应填报投标货物配件、耗材、选件、备件及特殊工具清单，注明品牌、型号、产地、功能、单价、批量折扣等内容，该表格格式由投标人自行设计。</w:t>
      </w:r>
    </w:p>
    <w:p w14:paraId="4963E6C4">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15.7采用综合评分法的，最低报价不能作为</w:t>
      </w:r>
      <w:r>
        <w:rPr>
          <w:rFonts w:hint="eastAsia" w:ascii="宋体" w:hAnsi="宋体" w:cs="宋体"/>
          <w:color w:val="auto"/>
          <w:sz w:val="24"/>
          <w:lang w:eastAsia="zh-CN"/>
        </w:rPr>
        <w:t>成交</w:t>
      </w:r>
      <w:r>
        <w:rPr>
          <w:rFonts w:hint="eastAsia" w:ascii="宋体" w:hAnsi="宋体" w:cs="宋体"/>
          <w:color w:val="auto"/>
          <w:sz w:val="24"/>
        </w:rPr>
        <w:t>的保证。</w:t>
      </w:r>
    </w:p>
    <w:p w14:paraId="0C03F7E1">
      <w:pPr>
        <w:keepNext w:val="0"/>
        <w:keepLines w:val="0"/>
        <w:pageBreakBefore w:val="0"/>
        <w:widowControl/>
        <w:kinsoku/>
        <w:wordWrap/>
        <w:overflowPunct/>
        <w:topLinePunct w:val="0"/>
        <w:autoSpaceDE/>
        <w:autoSpaceDN/>
        <w:bidi w:val="0"/>
        <w:snapToGrid w:val="0"/>
        <w:spacing w:line="460" w:lineRule="exact"/>
        <w:ind w:firstLine="480" w:firstLineChars="200"/>
        <w:rPr>
          <w:rFonts w:ascii="宋体" w:hAnsi="宋体" w:cs="宋体"/>
          <w:bCs/>
          <w:color w:val="auto"/>
          <w:kern w:val="44"/>
          <w:sz w:val="24"/>
        </w:rPr>
      </w:pPr>
      <w:r>
        <w:rPr>
          <w:rFonts w:hint="eastAsia" w:ascii="宋体" w:hAnsi="宋体" w:cs="宋体"/>
          <w:color w:val="auto"/>
          <w:sz w:val="24"/>
        </w:rPr>
        <w:t>15.8投标人应充分了解该项目的总体情况以及影响投标报价的其他要素。</w:t>
      </w:r>
      <w:r>
        <w:rPr>
          <w:rFonts w:hint="eastAsia" w:ascii="宋体" w:hAnsi="宋体" w:cs="宋体"/>
          <w:bCs/>
          <w:color w:val="auto"/>
          <w:kern w:val="44"/>
          <w:sz w:val="24"/>
        </w:rPr>
        <w:t>报价必须诚信合理，任何低于成本，无法说明正确理由的畸高、畸低报价，都有可能在符合性审查中被视为无效报价。</w:t>
      </w:r>
    </w:p>
    <w:p w14:paraId="0AC4B97C">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15.9采购人设有最高投标限价的，投标人的投标报价不得超过最高投标限价，否则其投标无效，最高投标限价在投标人须知前附表中载明。</w:t>
      </w:r>
    </w:p>
    <w:p w14:paraId="780B843E">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15.10出现下列情形之一的，评审委员会应当启动异常低价投标（响应）审查程序：</w:t>
      </w:r>
    </w:p>
    <w:p w14:paraId="5357C916">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（1）投标（响应）报价低于全部通过符合性审查供应商投标（响应）报价平均值50%的，即投标（响应）报价&lt;全部通过符合性审查供应商投标（响应）报价平均值×50%；</w:t>
      </w:r>
    </w:p>
    <w:p w14:paraId="277262CE">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（2）投标（响应）报价低于通过符合性审查的次低报价供应商投标（响应）报价50%的，即投标（响应）报价&lt;通过符合性审查的次低报价供应商投标（响应）报价×50%；</w:t>
      </w:r>
    </w:p>
    <w:p w14:paraId="07ACA191">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（3）投标（响应）报价低于采购项目最高限价45%的，即投标（响应）报价&lt;采购项目最高限价×45%；</w:t>
      </w:r>
    </w:p>
    <w:p w14:paraId="696174BD">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（4）评审委员会基于专业判断，认为供应商报价过低，有可能影响产品质量或者不能诚信履约的其他情形。</w:t>
      </w:r>
    </w:p>
    <w:p w14:paraId="03447E7D">
      <w:pPr>
        <w:keepNext w:val="0"/>
        <w:keepLines w:val="0"/>
        <w:pageBreakBefore w:val="0"/>
        <w:kinsoku/>
        <w:wordWrap/>
        <w:overflowPunct/>
        <w:topLinePunct w:val="0"/>
        <w:autoSpaceDE/>
        <w:autoSpaceDN/>
        <w:bidi w:val="0"/>
        <w:spacing w:line="460" w:lineRule="exact"/>
        <w:ind w:firstLine="480" w:firstLineChars="200"/>
        <w:rPr>
          <w:rFonts w:hint="eastAsia" w:ascii="宋体" w:hAnsi="宋体" w:cs="宋体"/>
          <w:b/>
          <w:color w:val="auto"/>
          <w:sz w:val="24"/>
        </w:rPr>
      </w:pPr>
      <w:r>
        <w:rPr>
          <w:rFonts w:hint="eastAsia" w:ascii="宋体" w:hAnsi="宋体" w:eastAsia="宋体" w:cs="宋体"/>
          <w:color w:val="000000"/>
          <w:sz w:val="24"/>
          <w:lang w:val="en-US" w:eastAsia="zh-CN"/>
        </w:rPr>
        <w:t>相关法律法规对供应商报价有规定的，从其规定。</w:t>
      </w:r>
    </w:p>
    <w:p w14:paraId="610F9ABB">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16、投标有效期</w:t>
      </w:r>
    </w:p>
    <w:p w14:paraId="0565A614">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16.1除投标人须知前附表另有规定外，投标有效期为90日历天。有效期短于该规定期限的投标将被拒绝。</w:t>
      </w:r>
    </w:p>
    <w:p w14:paraId="37651D43">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16.2在投标有效期内，投标人撤销投标文件的，应承担招标文件和法律规定的责任。</w:t>
      </w:r>
    </w:p>
    <w:p w14:paraId="6E1724D4">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16.3出现特殊情况需要延长投标有效期的，</w:t>
      </w:r>
      <w:r>
        <w:rPr>
          <w:rFonts w:hint="eastAsia" w:ascii="宋体" w:hAnsi="宋体" w:cs="宋体"/>
          <w:color w:val="auto"/>
          <w:sz w:val="24"/>
          <w:lang w:eastAsia="zh-CN"/>
        </w:rPr>
        <w:t>采购人</w:t>
      </w:r>
      <w:r>
        <w:rPr>
          <w:rFonts w:hint="eastAsia" w:ascii="宋体" w:hAnsi="宋体" w:cs="宋体"/>
          <w:color w:val="auto"/>
          <w:sz w:val="24"/>
        </w:rPr>
        <w:t>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2895CA7E">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17、投标内容填写说明</w:t>
      </w:r>
    </w:p>
    <w:p w14:paraId="63BCCECA">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17.1 投标人应详细阅读招标文件的全部内容。投标文件须对招标文件中的内容做出实质性和完整性的响应。</w:t>
      </w:r>
    </w:p>
    <w:p w14:paraId="785C002B">
      <w:pPr>
        <w:keepNext w:val="0"/>
        <w:keepLines w:val="0"/>
        <w:pageBreakBefore w:val="0"/>
        <w:kinsoku/>
        <w:wordWrap/>
        <w:overflowPunct/>
        <w:topLinePunct w:val="0"/>
        <w:autoSpaceDE/>
        <w:autoSpaceDN/>
        <w:bidi w:val="0"/>
        <w:spacing w:line="460" w:lineRule="exact"/>
        <w:ind w:firstLine="480" w:firstLineChars="200"/>
        <w:rPr>
          <w:rFonts w:ascii="宋体" w:hAnsi="宋体" w:cs="宋体"/>
          <w:b/>
          <w:color w:val="auto"/>
          <w:sz w:val="24"/>
        </w:rPr>
      </w:pPr>
      <w:r>
        <w:rPr>
          <w:rFonts w:hint="eastAsia" w:ascii="宋体" w:hAnsi="宋体" w:cs="宋体"/>
          <w:color w:val="auto"/>
          <w:sz w:val="24"/>
        </w:rPr>
        <w:t xml:space="preserve">17.2投标人未提供技术资料或提供资料不详的，评标委员会有权决定是否通知投标人限期进行书面解释或提供相关证明材料。若已要求，而该投标人在规定期限内未做出解释、做出的解释不合理或不能提供证明材料的，评标委员会有权拒绝该投标。 </w:t>
      </w:r>
    </w:p>
    <w:p w14:paraId="2F5248FB">
      <w:pPr>
        <w:keepNext w:val="0"/>
        <w:keepLines w:val="0"/>
        <w:pageBreakBefore w:val="0"/>
        <w:kinsoku/>
        <w:wordWrap/>
        <w:overflowPunct/>
        <w:topLinePunct w:val="0"/>
        <w:autoSpaceDE/>
        <w:autoSpaceDN/>
        <w:bidi w:val="0"/>
        <w:spacing w:line="460" w:lineRule="exact"/>
        <w:ind w:firstLine="482" w:firstLineChars="200"/>
        <w:rPr>
          <w:rFonts w:ascii="宋体" w:hAnsi="宋体" w:cs="宋体"/>
          <w:b/>
          <w:bCs/>
          <w:color w:val="auto"/>
          <w:sz w:val="24"/>
        </w:rPr>
      </w:pPr>
      <w:r>
        <w:rPr>
          <w:rFonts w:hint="eastAsia" w:ascii="宋体" w:hAnsi="宋体" w:cs="宋体"/>
          <w:b/>
          <w:bCs/>
          <w:color w:val="auto"/>
          <w:sz w:val="24"/>
        </w:rPr>
        <w:t>17.3 投标文件应严格按照招标文件第六</w:t>
      </w:r>
      <w:r>
        <w:rPr>
          <w:rFonts w:hint="eastAsia" w:ascii="宋体" w:hAnsi="宋体" w:cs="宋体"/>
          <w:b/>
          <w:bCs/>
          <w:color w:val="auto"/>
          <w:sz w:val="24"/>
          <w:lang w:val="en-US" w:eastAsia="zh-CN"/>
        </w:rPr>
        <w:t>章</w:t>
      </w:r>
      <w:r>
        <w:rPr>
          <w:rFonts w:hint="eastAsia" w:ascii="宋体" w:hAnsi="宋体" w:cs="宋体"/>
          <w:b/>
          <w:bCs/>
          <w:color w:val="auto"/>
          <w:sz w:val="24"/>
        </w:rPr>
        <w:t>的要求提交，并按规定的统一格式逐项填写，不准有空项；无相应内容可填的项应填写“无”、“未测试”、“没有相应指标”等明确的回答文字。投标文件未按规定提交或留有空项，将被视为不完整响应的投标文件，其投标有可能被拒绝。</w:t>
      </w:r>
    </w:p>
    <w:p w14:paraId="292247F7">
      <w:pPr>
        <w:keepNext w:val="0"/>
        <w:keepLines w:val="0"/>
        <w:pageBreakBefore w:val="0"/>
        <w:kinsoku/>
        <w:wordWrap/>
        <w:overflowPunct/>
        <w:topLinePunct w:val="0"/>
        <w:autoSpaceDE/>
        <w:autoSpaceDN/>
        <w:bidi w:val="0"/>
        <w:spacing w:line="460" w:lineRule="exact"/>
        <w:ind w:firstLine="482" w:firstLineChars="200"/>
        <w:rPr>
          <w:rFonts w:ascii="宋体" w:hAnsi="宋体" w:cs="宋体"/>
          <w:b/>
          <w:bCs/>
          <w:color w:val="auto"/>
          <w:sz w:val="24"/>
        </w:rPr>
      </w:pPr>
      <w:r>
        <w:rPr>
          <w:rFonts w:hint="eastAsia" w:ascii="宋体" w:hAnsi="宋体" w:cs="宋体"/>
          <w:b/>
          <w:bCs/>
          <w:color w:val="auto"/>
          <w:sz w:val="24"/>
        </w:rPr>
        <w:t>17.4 开标一览表为在开标仪式上唱标的内容，要求按格式统一填写，不得自行增减内容。</w:t>
      </w:r>
    </w:p>
    <w:p w14:paraId="1DEEE3F8">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17.5 投标人必须保证投标文件所提供的全部资料真实可靠，并接受评标委员会对其中任何资料进一步审查的要求。</w:t>
      </w:r>
    </w:p>
    <w:p w14:paraId="58B4F431">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 xml:space="preserve">18、备选投标方案  </w:t>
      </w:r>
    </w:p>
    <w:p w14:paraId="7B4555F6">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本项目拒绝提交备选投标方案。</w:t>
      </w:r>
    </w:p>
    <w:p w14:paraId="06DC1B33">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19、投标文件的签署及规定</w:t>
      </w:r>
    </w:p>
    <w:p w14:paraId="750B4883">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19.1组成投标文件的各项文件均应遵守本条。</w:t>
      </w:r>
    </w:p>
    <w:p w14:paraId="57330793">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19.2投标人在投标文件及相关文件的签订、履行、通知等事项的书面文件中的“单位盖章”、“印章”、“公章”等处均仅指与当事人名称全称相一致的标准公章，不得使用其它（如带有“专用章”等字样）的印章。</w:t>
      </w:r>
    </w:p>
    <w:p w14:paraId="2B807C88">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19.3投标人应按照招标文件要求，在投标文件的封面下方以及其他招标文件要求的位置填写投标人全称并加盖公章，同时在规定处签署法定代表人或投标人代表的全名或加盖本人签名章。</w:t>
      </w:r>
    </w:p>
    <w:p w14:paraId="3ED1452E">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19.4投标人须注意：为合理节约政府采购评审成本，提倡诚实信用的投标行为，特别要求投标人应本着诚信精神，在本次投标文件的偏离表和其它偏离文件中(若本次招标文件中没有提供偏离表或其它偏离文件样本，投标人亦应当自制偏离表并装订于本次投标文件中，并应当在总目录及分目录上清楚标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负偏离或被认定为属于负偏离，则评委会有权视该条款是否为主要技术、商务条款而决定是否对该投标予以拒绝。</w:t>
      </w:r>
    </w:p>
    <w:p w14:paraId="38CA56BE">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19.5 投标人应按本招标文件所要求的投标文件的</w:t>
      </w:r>
      <w:r>
        <w:rPr>
          <w:rFonts w:hint="eastAsia" w:ascii="宋体" w:hAnsi="宋体" w:cs="宋体"/>
          <w:color w:val="auto"/>
          <w:sz w:val="24"/>
          <w:lang w:val="en-US" w:eastAsia="zh-CN"/>
        </w:rPr>
        <w:t>递交方式</w:t>
      </w:r>
      <w:r>
        <w:rPr>
          <w:rFonts w:hint="eastAsia" w:ascii="宋体" w:hAnsi="宋体" w:cs="宋体"/>
          <w:color w:val="auto"/>
          <w:sz w:val="24"/>
        </w:rPr>
        <w:t>提交投标文件。</w:t>
      </w:r>
    </w:p>
    <w:p w14:paraId="1830B932">
      <w:pPr>
        <w:keepNext w:val="0"/>
        <w:keepLines w:val="0"/>
        <w:pageBreakBefore w:val="0"/>
        <w:kinsoku/>
        <w:wordWrap/>
        <w:overflowPunct/>
        <w:topLinePunct w:val="0"/>
        <w:autoSpaceDE/>
        <w:autoSpaceDN/>
        <w:bidi w:val="0"/>
        <w:spacing w:line="460" w:lineRule="exact"/>
        <w:ind w:firstLine="480" w:firstLineChars="200"/>
        <w:rPr>
          <w:rFonts w:ascii="宋体" w:hAnsi="宋体" w:cs="宋体"/>
          <w:b w:val="0"/>
          <w:bCs w:val="0"/>
          <w:color w:val="auto"/>
          <w:sz w:val="24"/>
        </w:rPr>
      </w:pPr>
      <w:r>
        <w:rPr>
          <w:rFonts w:hint="eastAsia" w:ascii="宋体" w:hAnsi="宋体" w:cs="宋体"/>
          <w:b w:val="0"/>
          <w:bCs w:val="0"/>
          <w:color w:val="auto"/>
          <w:sz w:val="24"/>
        </w:rPr>
        <w:t>（</w:t>
      </w:r>
      <w:r>
        <w:rPr>
          <w:rFonts w:hint="eastAsia" w:ascii="宋体" w:hAnsi="宋体" w:cs="宋体"/>
          <w:b w:val="0"/>
          <w:bCs w:val="0"/>
          <w:color w:val="auto"/>
          <w:sz w:val="24"/>
          <w:lang w:val="en-US" w:eastAsia="zh-CN"/>
        </w:rPr>
        <w:t>1</w:t>
      </w:r>
      <w:r>
        <w:rPr>
          <w:rFonts w:hint="eastAsia" w:ascii="宋体" w:hAnsi="宋体" w:cs="宋体"/>
          <w:b w:val="0"/>
          <w:bCs w:val="0"/>
          <w:color w:val="auto"/>
          <w:sz w:val="24"/>
        </w:rPr>
        <w:t>）投标人对本招标文件第六</w:t>
      </w:r>
      <w:r>
        <w:rPr>
          <w:rFonts w:hint="eastAsia" w:ascii="宋体" w:hAnsi="宋体" w:cs="宋体"/>
          <w:b w:val="0"/>
          <w:bCs w:val="0"/>
          <w:color w:val="auto"/>
          <w:sz w:val="24"/>
          <w:lang w:val="en-US" w:eastAsia="zh-CN"/>
        </w:rPr>
        <w:t>章</w:t>
      </w:r>
      <w:r>
        <w:rPr>
          <w:rFonts w:hint="eastAsia" w:ascii="宋体" w:hAnsi="宋体" w:cs="宋体"/>
          <w:b w:val="0"/>
          <w:bCs w:val="0"/>
          <w:color w:val="auto"/>
          <w:sz w:val="24"/>
        </w:rPr>
        <w:t>“投标文件格式”中提供格式的资料，必须按照样表</w:t>
      </w:r>
      <w:r>
        <w:rPr>
          <w:rFonts w:hint="eastAsia" w:ascii="宋体" w:hAnsi="宋体" w:cs="宋体"/>
          <w:b w:val="0"/>
          <w:bCs w:val="0"/>
          <w:color w:val="auto"/>
          <w:sz w:val="24"/>
          <w:lang w:val="en-US" w:eastAsia="zh-CN"/>
        </w:rPr>
        <w:t>表</w:t>
      </w:r>
      <w:r>
        <w:rPr>
          <w:rFonts w:hint="eastAsia" w:ascii="宋体" w:hAnsi="宋体" w:cs="宋体"/>
          <w:b w:val="0"/>
          <w:bCs w:val="0"/>
          <w:color w:val="auto"/>
          <w:sz w:val="24"/>
        </w:rPr>
        <w:t>格格式要求在指定位置加盖与投标人全称相一致的标准公章并经法定代表人或投标人代表签字</w:t>
      </w:r>
      <w:r>
        <w:rPr>
          <w:rFonts w:hint="eastAsia" w:ascii="宋体" w:hAnsi="宋体" w:cs="宋体"/>
          <w:b w:val="0"/>
          <w:bCs w:val="0"/>
          <w:color w:val="auto"/>
          <w:sz w:val="24"/>
          <w:lang w:val="en-US" w:eastAsia="zh-CN"/>
        </w:rPr>
        <w:t>或盖章</w:t>
      </w:r>
      <w:r>
        <w:rPr>
          <w:rFonts w:hint="eastAsia" w:ascii="宋体" w:hAnsi="宋体" w:cs="宋体"/>
          <w:b w:val="0"/>
          <w:bCs w:val="0"/>
          <w:color w:val="auto"/>
          <w:sz w:val="24"/>
        </w:rPr>
        <w:t>，否则按投标无效处理。</w:t>
      </w:r>
    </w:p>
    <w:p w14:paraId="0213933F">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19.6 投标文件应字迹清楚、内容齐全、不得涂改或增删。如有修改和增删，必须有投标人公章及法定代表人或其授权的投标人代表签字。</w:t>
      </w:r>
    </w:p>
    <w:p w14:paraId="231D0169">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19.7因投标文件字迹潦草或表达不清所引起的不利后果由投标人承担。</w:t>
      </w:r>
    </w:p>
    <w:p w14:paraId="67786B3E">
      <w:pPr>
        <w:keepNext w:val="0"/>
        <w:keepLines w:val="0"/>
        <w:pageBreakBefore w:val="0"/>
        <w:kinsoku/>
        <w:wordWrap/>
        <w:overflowPunct/>
        <w:topLinePunct w:val="0"/>
        <w:autoSpaceDE/>
        <w:autoSpaceDN/>
        <w:bidi w:val="0"/>
        <w:spacing w:before="100" w:beforeAutospacing="1" w:after="100" w:afterAutospacing="1" w:line="460" w:lineRule="exact"/>
        <w:jc w:val="center"/>
        <w:rPr>
          <w:rFonts w:ascii="宋体" w:hAnsi="宋体" w:cs="宋体"/>
          <w:color w:val="auto"/>
          <w:sz w:val="24"/>
        </w:rPr>
      </w:pPr>
      <w:bookmarkStart w:id="11" w:name="_Toc509771946"/>
      <w:r>
        <w:rPr>
          <w:rFonts w:hint="eastAsia" w:ascii="宋体" w:hAnsi="宋体" w:cs="宋体"/>
          <w:color w:val="auto"/>
          <w:sz w:val="24"/>
        </w:rPr>
        <w:t>四、投  标</w:t>
      </w:r>
      <w:bookmarkEnd w:id="11"/>
    </w:p>
    <w:p w14:paraId="5219C85B">
      <w:pPr>
        <w:keepNext w:val="0"/>
        <w:keepLines w:val="0"/>
        <w:pageBreakBefore w:val="0"/>
        <w:kinsoku/>
        <w:wordWrap/>
        <w:overflowPunct/>
        <w:topLinePunct w:val="0"/>
        <w:autoSpaceDE/>
        <w:autoSpaceDN/>
        <w:bidi w:val="0"/>
        <w:spacing w:line="460" w:lineRule="exact"/>
        <w:ind w:firstLine="482" w:firstLineChars="200"/>
        <w:rPr>
          <w:rFonts w:hint="default" w:ascii="宋体" w:hAnsi="宋体" w:eastAsia="宋体" w:cs="宋体"/>
          <w:b/>
          <w:color w:val="auto"/>
          <w:sz w:val="24"/>
          <w:lang w:val="en-US" w:eastAsia="zh-CN"/>
        </w:rPr>
      </w:pPr>
      <w:r>
        <w:rPr>
          <w:rFonts w:hint="eastAsia" w:ascii="宋体" w:hAnsi="宋体" w:cs="宋体"/>
          <w:b/>
          <w:color w:val="auto"/>
          <w:sz w:val="24"/>
        </w:rPr>
        <w:t>20、投标文件的</w:t>
      </w:r>
      <w:r>
        <w:rPr>
          <w:rFonts w:hint="eastAsia" w:ascii="宋体" w:hAnsi="宋体" w:cs="宋体"/>
          <w:b/>
          <w:color w:val="auto"/>
          <w:sz w:val="24"/>
          <w:lang w:val="en-US" w:eastAsia="zh-CN"/>
        </w:rPr>
        <w:t>签章及加密</w:t>
      </w:r>
    </w:p>
    <w:p w14:paraId="2E5ED65A">
      <w:pPr>
        <w:keepNext w:val="0"/>
        <w:keepLines w:val="0"/>
        <w:pageBreakBefore w:val="0"/>
        <w:kinsoku/>
        <w:wordWrap/>
        <w:overflowPunct/>
        <w:topLinePunct w:val="0"/>
        <w:autoSpaceDE/>
        <w:autoSpaceDN/>
        <w:bidi w:val="0"/>
        <w:spacing w:line="460" w:lineRule="exact"/>
        <w:ind w:firstLine="482" w:firstLineChars="200"/>
        <w:rPr>
          <w:rFonts w:hint="eastAsia" w:ascii="宋体" w:hAnsi="宋体" w:cs="宋体"/>
          <w:b/>
          <w:bCs/>
          <w:color w:val="auto"/>
          <w:sz w:val="24"/>
        </w:rPr>
      </w:pPr>
      <w:r>
        <w:rPr>
          <w:rFonts w:hint="eastAsia" w:ascii="宋体" w:hAnsi="宋体" w:cs="宋体"/>
          <w:b/>
          <w:bCs/>
          <w:color w:val="auto"/>
          <w:sz w:val="24"/>
          <w:lang w:val="en-US" w:eastAsia="zh-CN"/>
        </w:rPr>
        <w:t>20</w:t>
      </w:r>
      <w:r>
        <w:rPr>
          <w:rFonts w:hint="eastAsia" w:ascii="宋体" w:hAnsi="宋体" w:cs="宋体"/>
          <w:b/>
          <w:bCs/>
          <w:color w:val="auto"/>
          <w:sz w:val="24"/>
        </w:rPr>
        <w:t>.1电子签章要求</w:t>
      </w:r>
    </w:p>
    <w:p w14:paraId="0D13621A">
      <w:pPr>
        <w:keepNext w:val="0"/>
        <w:keepLines w:val="0"/>
        <w:pageBreakBefore w:val="0"/>
        <w:kinsoku/>
        <w:wordWrap/>
        <w:overflowPunct/>
        <w:topLinePunct w:val="0"/>
        <w:autoSpaceDE/>
        <w:autoSpaceDN/>
        <w:bidi w:val="0"/>
        <w:spacing w:line="460" w:lineRule="exact"/>
        <w:ind w:firstLine="480" w:firstLineChars="200"/>
        <w:rPr>
          <w:rFonts w:hint="eastAsia" w:ascii="宋体" w:hAnsi="宋体" w:cs="宋体"/>
          <w:color w:val="auto"/>
          <w:sz w:val="24"/>
        </w:rPr>
      </w:pPr>
      <w:r>
        <w:rPr>
          <w:rFonts w:hint="eastAsia" w:ascii="宋体" w:hAnsi="宋体" w:cs="宋体"/>
          <w:color w:val="auto"/>
          <w:sz w:val="24"/>
        </w:rPr>
        <w:t>电子</w:t>
      </w:r>
      <w:r>
        <w:rPr>
          <w:rFonts w:hint="eastAsia" w:ascii="宋体" w:hAnsi="宋体" w:cs="宋体"/>
          <w:color w:val="auto"/>
          <w:sz w:val="24"/>
          <w:lang w:val="en-US" w:eastAsia="zh-CN"/>
        </w:rPr>
        <w:t>投标</w:t>
      </w:r>
      <w:r>
        <w:rPr>
          <w:rFonts w:hint="eastAsia" w:ascii="宋体" w:hAnsi="宋体" w:cs="宋体"/>
          <w:color w:val="auto"/>
          <w:sz w:val="24"/>
        </w:rPr>
        <w:t>文件应按</w:t>
      </w:r>
      <w:r>
        <w:rPr>
          <w:rFonts w:hint="eastAsia" w:ascii="宋体" w:hAnsi="宋体" w:cs="宋体"/>
          <w:color w:val="auto"/>
          <w:sz w:val="24"/>
          <w:lang w:val="en-US" w:eastAsia="zh-CN"/>
        </w:rPr>
        <w:t>招标</w:t>
      </w:r>
      <w:r>
        <w:rPr>
          <w:rFonts w:hint="eastAsia" w:ascii="宋体" w:hAnsi="宋体" w:cs="宋体"/>
          <w:color w:val="auto"/>
          <w:sz w:val="24"/>
        </w:rPr>
        <w:t>文件要求签章处盖单位公章和由法定代表人或其授权委托代理人签字或</w:t>
      </w:r>
      <w:r>
        <w:rPr>
          <w:rFonts w:hint="eastAsia" w:ascii="宋体" w:hAnsi="宋体" w:cs="宋体"/>
          <w:color w:val="auto"/>
          <w:sz w:val="24"/>
          <w:lang w:val="en-US" w:eastAsia="zh-CN"/>
        </w:rPr>
        <w:t>盖</w:t>
      </w:r>
      <w:r>
        <w:rPr>
          <w:rFonts w:hint="eastAsia" w:ascii="宋体" w:hAnsi="宋体" w:cs="宋体"/>
          <w:color w:val="auto"/>
          <w:sz w:val="24"/>
        </w:rPr>
        <w:t>章，签字不得用签名章代替，单位公章不得使用单位其他专用章代替。</w:t>
      </w:r>
    </w:p>
    <w:p w14:paraId="237DF82E">
      <w:pPr>
        <w:keepNext w:val="0"/>
        <w:keepLines w:val="0"/>
        <w:pageBreakBefore w:val="0"/>
        <w:kinsoku/>
        <w:wordWrap/>
        <w:overflowPunct/>
        <w:topLinePunct w:val="0"/>
        <w:autoSpaceDE/>
        <w:autoSpaceDN/>
        <w:bidi w:val="0"/>
        <w:spacing w:line="460" w:lineRule="exact"/>
        <w:ind w:firstLine="482" w:firstLineChars="200"/>
        <w:rPr>
          <w:rFonts w:hint="eastAsia" w:ascii="宋体" w:hAnsi="宋体" w:cs="宋体"/>
          <w:b/>
          <w:bCs/>
          <w:color w:val="auto"/>
          <w:sz w:val="24"/>
        </w:rPr>
      </w:pPr>
      <w:r>
        <w:rPr>
          <w:rFonts w:hint="eastAsia" w:ascii="宋体" w:hAnsi="宋体" w:cs="宋体"/>
          <w:b/>
          <w:bCs/>
          <w:color w:val="auto"/>
          <w:sz w:val="24"/>
          <w:lang w:val="en-US" w:eastAsia="zh-CN"/>
        </w:rPr>
        <w:t>20</w:t>
      </w:r>
      <w:r>
        <w:rPr>
          <w:rFonts w:hint="eastAsia" w:ascii="宋体" w:hAnsi="宋体" w:cs="宋体"/>
          <w:b/>
          <w:bCs/>
          <w:color w:val="auto"/>
          <w:sz w:val="24"/>
        </w:rPr>
        <w:t>.2电子</w:t>
      </w:r>
      <w:r>
        <w:rPr>
          <w:rFonts w:hint="eastAsia" w:ascii="宋体" w:hAnsi="宋体" w:cs="宋体"/>
          <w:b/>
          <w:bCs/>
          <w:color w:val="auto"/>
          <w:sz w:val="24"/>
          <w:lang w:val="en-US" w:eastAsia="zh-CN"/>
        </w:rPr>
        <w:t>投标</w:t>
      </w:r>
      <w:r>
        <w:rPr>
          <w:rFonts w:hint="eastAsia" w:ascii="宋体" w:hAnsi="宋体" w:cs="宋体"/>
          <w:b/>
          <w:bCs/>
          <w:color w:val="auto"/>
          <w:sz w:val="24"/>
        </w:rPr>
        <w:t>文件的加密</w:t>
      </w:r>
    </w:p>
    <w:p w14:paraId="1CE4B2C3">
      <w:pPr>
        <w:keepNext w:val="0"/>
        <w:keepLines w:val="0"/>
        <w:pageBreakBefore w:val="0"/>
        <w:kinsoku/>
        <w:wordWrap/>
        <w:overflowPunct/>
        <w:topLinePunct w:val="0"/>
        <w:autoSpaceDE/>
        <w:autoSpaceDN/>
        <w:bidi w:val="0"/>
        <w:spacing w:line="460" w:lineRule="exact"/>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投标人</w:t>
      </w:r>
      <w:r>
        <w:rPr>
          <w:rFonts w:hint="eastAsia" w:ascii="宋体" w:hAnsi="宋体" w:cs="宋体"/>
          <w:color w:val="auto"/>
          <w:sz w:val="24"/>
        </w:rPr>
        <w:t>应当按照</w:t>
      </w:r>
      <w:r>
        <w:rPr>
          <w:rFonts w:hint="eastAsia" w:ascii="宋体" w:hAnsi="宋体" w:cs="宋体"/>
          <w:color w:val="auto"/>
          <w:sz w:val="24"/>
          <w:lang w:val="en-US" w:eastAsia="zh-CN"/>
        </w:rPr>
        <w:t>招标</w:t>
      </w:r>
      <w:r>
        <w:rPr>
          <w:rFonts w:hint="eastAsia" w:ascii="宋体" w:hAnsi="宋体" w:cs="宋体"/>
          <w:color w:val="auto"/>
          <w:sz w:val="24"/>
        </w:rPr>
        <w:t>文件和政采云平台的要求加密投标文件，具体要求见</w:t>
      </w:r>
      <w:r>
        <w:rPr>
          <w:rFonts w:hint="eastAsia" w:ascii="宋体" w:hAnsi="宋体" w:cs="宋体"/>
          <w:color w:val="auto"/>
          <w:sz w:val="24"/>
          <w:lang w:val="en-US" w:eastAsia="zh-CN"/>
        </w:rPr>
        <w:t>投标</w:t>
      </w:r>
      <w:r>
        <w:rPr>
          <w:rFonts w:hint="eastAsia" w:ascii="宋体" w:hAnsi="宋体" w:cs="宋体"/>
          <w:color w:val="auto"/>
          <w:sz w:val="24"/>
        </w:rPr>
        <w:t>须知前附表。</w:t>
      </w:r>
    </w:p>
    <w:p w14:paraId="6751C67E">
      <w:pPr>
        <w:keepNext w:val="0"/>
        <w:keepLines w:val="0"/>
        <w:pageBreakBefore w:val="0"/>
        <w:kinsoku/>
        <w:wordWrap/>
        <w:overflowPunct/>
        <w:topLinePunct w:val="0"/>
        <w:autoSpaceDE/>
        <w:autoSpaceDN/>
        <w:bidi w:val="0"/>
        <w:spacing w:line="460" w:lineRule="exact"/>
        <w:ind w:firstLine="480" w:firstLineChars="200"/>
        <w:rPr>
          <w:rFonts w:hint="eastAsia" w:ascii="宋体" w:hAnsi="宋体" w:cs="宋体"/>
          <w:color w:val="auto"/>
          <w:sz w:val="24"/>
        </w:rPr>
      </w:pPr>
      <w:r>
        <w:rPr>
          <w:rFonts w:hint="eastAsia" w:ascii="宋体" w:hAnsi="宋体" w:cs="宋体"/>
          <w:color w:val="auto"/>
          <w:sz w:val="24"/>
        </w:rPr>
        <w:t>（2）未按要求加密的投标文件，采购人将予以拒收。</w:t>
      </w:r>
    </w:p>
    <w:p w14:paraId="618A8BC8">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21、投标截止时间及投标文件的递交</w:t>
      </w:r>
    </w:p>
    <w:p w14:paraId="2AC28414">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21.1投标人应在投标人须知前附表规定的投标截止时间前递交投标文件。</w:t>
      </w:r>
    </w:p>
    <w:p w14:paraId="07D393EA">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21.2投标人递交投标文件的</w:t>
      </w:r>
      <w:r>
        <w:rPr>
          <w:rFonts w:hint="eastAsia" w:ascii="宋体" w:hAnsi="宋体" w:cs="宋体"/>
          <w:color w:val="auto"/>
          <w:sz w:val="24"/>
          <w:lang w:val="en-US" w:eastAsia="zh-CN"/>
        </w:rPr>
        <w:t>要求</w:t>
      </w:r>
      <w:r>
        <w:rPr>
          <w:rFonts w:hint="eastAsia" w:ascii="宋体" w:hAnsi="宋体" w:cs="宋体"/>
          <w:color w:val="auto"/>
          <w:sz w:val="24"/>
        </w:rPr>
        <w:t>：见投标人须知前附表。</w:t>
      </w:r>
    </w:p>
    <w:p w14:paraId="5B5E4F2C">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en-US" w:eastAsia="zh-CN"/>
        </w:rPr>
        <w:t>3</w:t>
      </w:r>
      <w:r>
        <w:rPr>
          <w:rFonts w:hint="eastAsia" w:ascii="宋体" w:hAnsi="宋体" w:cs="宋体"/>
          <w:color w:val="auto"/>
          <w:sz w:val="24"/>
        </w:rPr>
        <w:t>逾期</w:t>
      </w:r>
      <w:r>
        <w:rPr>
          <w:rFonts w:hint="eastAsia" w:ascii="宋体" w:hAnsi="宋体" w:cs="宋体"/>
          <w:color w:val="auto"/>
          <w:sz w:val="24"/>
          <w:lang w:val="en-US" w:eastAsia="zh-CN"/>
        </w:rPr>
        <w:t>递交</w:t>
      </w:r>
      <w:r>
        <w:rPr>
          <w:rFonts w:hint="eastAsia" w:ascii="宋体" w:hAnsi="宋体" w:cs="宋体"/>
          <w:color w:val="auto"/>
          <w:sz w:val="24"/>
        </w:rPr>
        <w:t>或者未按照招标文件要求</w:t>
      </w:r>
      <w:r>
        <w:rPr>
          <w:rFonts w:hint="eastAsia" w:ascii="宋体" w:hAnsi="宋体" w:cs="宋体"/>
          <w:color w:val="auto"/>
          <w:sz w:val="24"/>
          <w:lang w:val="en-US" w:eastAsia="zh-CN"/>
        </w:rPr>
        <w:t>递交</w:t>
      </w:r>
      <w:r>
        <w:rPr>
          <w:rFonts w:hint="eastAsia" w:ascii="宋体" w:hAnsi="宋体" w:cs="宋体"/>
          <w:color w:val="auto"/>
          <w:sz w:val="24"/>
        </w:rPr>
        <w:t>的投标文件，采购人、采购代理机构应当拒收。</w:t>
      </w:r>
    </w:p>
    <w:p w14:paraId="5953582F">
      <w:pPr>
        <w:keepNext w:val="0"/>
        <w:keepLines w:val="0"/>
        <w:pageBreakBefore w:val="0"/>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22、投标文件的补充、修改与撤回</w:t>
      </w:r>
    </w:p>
    <w:p w14:paraId="476A3D57">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22.1</w:t>
      </w:r>
      <w:r>
        <w:rPr>
          <w:rFonts w:hint="eastAsia"/>
          <w:color w:val="auto"/>
          <w:sz w:val="24"/>
          <w:szCs w:val="24"/>
          <w:lang w:val="en-US" w:eastAsia="zh-CN"/>
        </w:rPr>
        <w:t>投标人</w:t>
      </w:r>
      <w:r>
        <w:rPr>
          <w:rFonts w:hint="eastAsia"/>
          <w:color w:val="auto"/>
          <w:sz w:val="24"/>
          <w:szCs w:val="24"/>
        </w:rPr>
        <w:t>可以在开标截止时间前，对所递交的</w:t>
      </w:r>
      <w:r>
        <w:rPr>
          <w:rFonts w:hint="eastAsia"/>
          <w:color w:val="auto"/>
          <w:sz w:val="24"/>
          <w:szCs w:val="24"/>
          <w:lang w:val="en-US" w:eastAsia="zh-CN"/>
        </w:rPr>
        <w:t>投标</w:t>
      </w:r>
      <w:r>
        <w:rPr>
          <w:rFonts w:hint="eastAsia"/>
          <w:color w:val="auto"/>
          <w:sz w:val="24"/>
          <w:szCs w:val="24"/>
        </w:rPr>
        <w:t>文件</w:t>
      </w:r>
      <w:r>
        <w:rPr>
          <w:rFonts w:hint="eastAsia"/>
          <w:color w:val="auto"/>
          <w:sz w:val="24"/>
          <w:szCs w:val="24"/>
          <w:lang w:val="en-US" w:eastAsia="zh-CN"/>
        </w:rPr>
        <w:t>按政采云平台要求</w:t>
      </w:r>
      <w:r>
        <w:rPr>
          <w:rFonts w:hint="eastAsia"/>
          <w:color w:val="auto"/>
          <w:sz w:val="24"/>
          <w:szCs w:val="24"/>
        </w:rPr>
        <w:t>进行补充、修改或者撤回，并通知采购代理机构确认。</w:t>
      </w:r>
    </w:p>
    <w:p w14:paraId="79A4A6E6">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22.</w:t>
      </w:r>
      <w:r>
        <w:rPr>
          <w:rFonts w:hint="eastAsia" w:ascii="宋体" w:hAnsi="宋体" w:cs="宋体"/>
          <w:color w:val="auto"/>
          <w:sz w:val="24"/>
          <w:lang w:val="en-US" w:eastAsia="zh-CN"/>
        </w:rPr>
        <w:t>2</w:t>
      </w:r>
      <w:r>
        <w:rPr>
          <w:rFonts w:hint="eastAsia" w:ascii="宋体" w:hAnsi="宋体" w:cs="宋体"/>
          <w:color w:val="auto"/>
          <w:sz w:val="24"/>
        </w:rPr>
        <w:t>在投标截止时间之后，投标人不得对其投标文件进行补充、修改或撤销。</w:t>
      </w:r>
    </w:p>
    <w:p w14:paraId="082CEB68">
      <w:pPr>
        <w:keepNext w:val="0"/>
        <w:keepLines w:val="0"/>
        <w:pageBreakBefore w:val="0"/>
        <w:kinsoku/>
        <w:wordWrap/>
        <w:overflowPunct/>
        <w:topLinePunct w:val="0"/>
        <w:autoSpaceDE/>
        <w:autoSpaceDN/>
        <w:bidi w:val="0"/>
        <w:spacing w:line="460" w:lineRule="exact"/>
        <w:ind w:firstLine="480" w:firstLineChars="200"/>
        <w:rPr>
          <w:rFonts w:ascii="宋体" w:hAnsi="宋体" w:cs="宋体"/>
          <w:color w:val="auto"/>
          <w:sz w:val="24"/>
        </w:rPr>
      </w:pPr>
      <w:r>
        <w:rPr>
          <w:rFonts w:hint="eastAsia" w:ascii="宋体" w:hAnsi="宋体" w:cs="宋体"/>
          <w:color w:val="auto"/>
          <w:sz w:val="24"/>
        </w:rPr>
        <w:t>22.</w:t>
      </w:r>
      <w:r>
        <w:rPr>
          <w:rFonts w:hint="eastAsia" w:ascii="宋体" w:hAnsi="宋体" w:cs="宋体"/>
          <w:color w:val="auto"/>
          <w:sz w:val="24"/>
          <w:lang w:val="en-US" w:eastAsia="zh-CN"/>
        </w:rPr>
        <w:t>3</w:t>
      </w:r>
      <w:r>
        <w:rPr>
          <w:rFonts w:hint="eastAsia" w:ascii="宋体" w:hAnsi="宋体" w:cs="宋体"/>
          <w:color w:val="auto"/>
          <w:sz w:val="24"/>
        </w:rPr>
        <w:t>投标人在投标截止时间前撤回已提交的投标文件的，采购人或者采购代理机构应当自收到投标人书面撤回通知之日起5个工作日内，退还已收取的投标保证金，但因投标人自身原因导致无法及时退还的除外。</w:t>
      </w:r>
    </w:p>
    <w:p w14:paraId="509B1F26">
      <w:pPr>
        <w:keepNext w:val="0"/>
        <w:keepLines w:val="0"/>
        <w:pageBreakBefore w:val="0"/>
        <w:kinsoku/>
        <w:wordWrap/>
        <w:overflowPunct/>
        <w:topLinePunct w:val="0"/>
        <w:autoSpaceDE/>
        <w:autoSpaceDN/>
        <w:bidi w:val="0"/>
        <w:spacing w:before="100" w:beforeAutospacing="1" w:after="100" w:afterAutospacing="1" w:line="460" w:lineRule="exact"/>
        <w:jc w:val="center"/>
        <w:rPr>
          <w:rFonts w:ascii="宋体" w:hAnsi="宋体" w:cs="宋体"/>
          <w:color w:val="auto"/>
          <w:sz w:val="24"/>
        </w:rPr>
      </w:pPr>
      <w:bookmarkStart w:id="12" w:name="_Toc509771947"/>
      <w:bookmarkStart w:id="13" w:name="_Toc352761934"/>
      <w:r>
        <w:rPr>
          <w:rFonts w:hint="eastAsia" w:ascii="宋体" w:hAnsi="宋体" w:cs="宋体"/>
          <w:color w:val="auto"/>
          <w:sz w:val="24"/>
        </w:rPr>
        <w:t>五、开标</w:t>
      </w:r>
      <w:bookmarkEnd w:id="12"/>
      <w:bookmarkEnd w:id="13"/>
    </w:p>
    <w:p w14:paraId="5CFFB098">
      <w:pPr>
        <w:keepNext w:val="0"/>
        <w:keepLines w:val="0"/>
        <w:pageBreakBefore w:val="0"/>
        <w:kinsoku/>
        <w:wordWrap/>
        <w:overflowPunct/>
        <w:topLinePunct w:val="0"/>
        <w:autoSpaceDE/>
        <w:autoSpaceDN/>
        <w:bidi w:val="0"/>
        <w:spacing w:line="460" w:lineRule="exact"/>
        <w:ind w:firstLine="545" w:firstLineChars="226"/>
        <w:rPr>
          <w:rFonts w:ascii="宋体" w:hAnsi="宋体" w:cs="宋体"/>
          <w:b/>
          <w:color w:val="auto"/>
          <w:sz w:val="24"/>
        </w:rPr>
      </w:pPr>
      <w:r>
        <w:rPr>
          <w:rFonts w:hint="eastAsia" w:ascii="宋体" w:hAnsi="宋体" w:cs="宋体"/>
          <w:b/>
          <w:color w:val="auto"/>
          <w:sz w:val="24"/>
        </w:rPr>
        <w:t>23、开标及其有关事项</w:t>
      </w:r>
    </w:p>
    <w:p w14:paraId="2309140A">
      <w:pPr>
        <w:keepNext w:val="0"/>
        <w:keepLines w:val="0"/>
        <w:pageBreakBefore w:val="0"/>
        <w:kinsoku/>
        <w:wordWrap/>
        <w:overflowPunct/>
        <w:topLinePunct w:val="0"/>
        <w:autoSpaceDE/>
        <w:autoSpaceDN/>
        <w:bidi w:val="0"/>
        <w:spacing w:line="460" w:lineRule="exact"/>
        <w:ind w:firstLine="542" w:firstLineChars="226"/>
        <w:rPr>
          <w:rFonts w:ascii="宋体" w:hAnsi="宋体" w:cs="宋体"/>
          <w:color w:val="auto"/>
          <w:sz w:val="24"/>
        </w:rPr>
      </w:pPr>
      <w:r>
        <w:rPr>
          <w:rFonts w:hint="eastAsia" w:ascii="宋体" w:hAnsi="宋体" w:cs="宋体"/>
          <w:color w:val="auto"/>
          <w:sz w:val="24"/>
        </w:rPr>
        <w:t>23.1采购代理机构（或采购人）按招标文件规定的时间、地点主持公开开标，采购人代表、投标人代表及有关工作人员参加。</w:t>
      </w:r>
    </w:p>
    <w:p w14:paraId="67EB401C">
      <w:pPr>
        <w:keepNext w:val="0"/>
        <w:keepLines w:val="0"/>
        <w:pageBreakBefore w:val="0"/>
        <w:kinsoku/>
        <w:wordWrap/>
        <w:overflowPunct/>
        <w:topLinePunct w:val="0"/>
        <w:autoSpaceDE/>
        <w:autoSpaceDN/>
        <w:bidi w:val="0"/>
        <w:spacing w:line="460" w:lineRule="exact"/>
        <w:ind w:firstLine="542" w:firstLineChars="226"/>
        <w:rPr>
          <w:rFonts w:ascii="宋体" w:hAnsi="宋体" w:cs="宋体"/>
          <w:color w:val="auto"/>
          <w:sz w:val="24"/>
        </w:rPr>
      </w:pPr>
      <w:r>
        <w:rPr>
          <w:rFonts w:hint="eastAsia" w:ascii="宋体" w:hAnsi="宋体" w:cs="宋体"/>
          <w:color w:val="auto"/>
          <w:sz w:val="24"/>
        </w:rPr>
        <w:t>23.2投标人不足3家的，不得开标。</w:t>
      </w:r>
    </w:p>
    <w:p w14:paraId="163F9146">
      <w:pPr>
        <w:keepNext w:val="0"/>
        <w:keepLines w:val="0"/>
        <w:pageBreakBefore w:val="0"/>
        <w:kinsoku/>
        <w:wordWrap/>
        <w:overflowPunct/>
        <w:topLinePunct w:val="0"/>
        <w:autoSpaceDE/>
        <w:autoSpaceDN/>
        <w:bidi w:val="0"/>
        <w:spacing w:line="460" w:lineRule="exact"/>
        <w:ind w:firstLine="542" w:firstLineChars="226"/>
        <w:rPr>
          <w:rFonts w:ascii="宋体" w:hAnsi="宋体" w:cs="宋体"/>
          <w:color w:val="auto"/>
          <w:sz w:val="24"/>
        </w:rPr>
      </w:pPr>
      <w:r>
        <w:rPr>
          <w:rFonts w:hint="eastAsia" w:ascii="宋体" w:hAnsi="宋体" w:cs="宋体"/>
          <w:color w:val="auto"/>
          <w:sz w:val="24"/>
        </w:rPr>
        <w:t>23.3</w:t>
      </w:r>
      <w:r>
        <w:rPr>
          <w:rFonts w:hint="eastAsia" w:ascii="宋体" w:hAnsi="宋体" w:cs="宋体"/>
          <w:b/>
          <w:bCs/>
          <w:color w:val="auto"/>
          <w:sz w:val="24"/>
        </w:rPr>
        <w:t>参加开标的代表须在政采云平台签到以证明其出席。</w:t>
      </w:r>
    </w:p>
    <w:p w14:paraId="35D4A88D">
      <w:pPr>
        <w:keepNext w:val="0"/>
        <w:keepLines w:val="0"/>
        <w:pageBreakBefore w:val="0"/>
        <w:kinsoku/>
        <w:wordWrap/>
        <w:overflowPunct/>
        <w:topLinePunct w:val="0"/>
        <w:autoSpaceDE/>
        <w:autoSpaceDN/>
        <w:bidi w:val="0"/>
        <w:spacing w:line="460" w:lineRule="exact"/>
        <w:ind w:firstLine="542" w:firstLineChars="226"/>
        <w:rPr>
          <w:rFonts w:ascii="宋体" w:hAnsi="宋体" w:cs="宋体"/>
          <w:color w:val="auto"/>
          <w:sz w:val="24"/>
        </w:rPr>
      </w:pPr>
      <w:r>
        <w:rPr>
          <w:rFonts w:hint="eastAsia" w:ascii="宋体" w:hAnsi="宋体" w:cs="宋体"/>
          <w:color w:val="auto"/>
          <w:sz w:val="24"/>
        </w:rPr>
        <w:t>23.4</w:t>
      </w:r>
      <w:r>
        <w:rPr>
          <w:rFonts w:hint="eastAsia" w:ascii="宋体" w:hAnsi="宋体" w:cs="宋体"/>
          <w:b/>
          <w:bCs/>
          <w:color w:val="auto"/>
          <w:sz w:val="24"/>
        </w:rPr>
        <w:t>政采云平台开启解密，解密时间30分钟。</w:t>
      </w:r>
      <w:r>
        <w:rPr>
          <w:rFonts w:hint="eastAsia" w:ascii="宋体" w:hAnsi="宋体" w:cs="宋体"/>
          <w:color w:val="auto"/>
          <w:sz w:val="24"/>
        </w:rPr>
        <w:t>各投标单位登录平台解密投标文件。解密完成，开始唱标。</w:t>
      </w:r>
    </w:p>
    <w:p w14:paraId="6BA995E8">
      <w:pPr>
        <w:keepNext w:val="0"/>
        <w:keepLines w:val="0"/>
        <w:pageBreakBefore w:val="0"/>
        <w:widowControl/>
        <w:tabs>
          <w:tab w:val="left" w:pos="720"/>
          <w:tab w:val="left" w:pos="927"/>
        </w:tabs>
        <w:kinsoku/>
        <w:wordWrap/>
        <w:overflowPunct/>
        <w:topLinePunct w:val="0"/>
        <w:autoSpaceDE/>
        <w:autoSpaceDN/>
        <w:bidi w:val="0"/>
        <w:snapToGrid w:val="0"/>
        <w:spacing w:line="460" w:lineRule="exact"/>
        <w:ind w:firstLine="600" w:firstLineChars="250"/>
        <w:rPr>
          <w:rFonts w:ascii="宋体" w:hAnsi="宋体" w:cs="宋体"/>
          <w:color w:val="auto"/>
          <w:sz w:val="24"/>
        </w:rPr>
      </w:pPr>
      <w:r>
        <w:rPr>
          <w:rFonts w:hint="eastAsia" w:ascii="宋体" w:hAnsi="宋体" w:cs="宋体"/>
          <w:color w:val="auto"/>
          <w:sz w:val="24"/>
        </w:rPr>
        <w:t>23.5</w:t>
      </w:r>
      <w:r>
        <w:rPr>
          <w:rFonts w:hint="eastAsia" w:ascii="宋体" w:hAnsi="宋体" w:cs="宋体"/>
          <w:color w:val="auto"/>
          <w:kern w:val="0"/>
          <w:sz w:val="24"/>
        </w:rPr>
        <w:t>唱标时，唱标人将当众宣读投标人名称、投报价格、书面补充、修改和撤回投标的通知以及招标文件规定的需要宣布的其他内容。投标人若有报价和优惠未被唱出，应在主持人征求澄清说明时及时声明或提请注意，否则采购机构对此不承担任何责任。</w:t>
      </w:r>
    </w:p>
    <w:p w14:paraId="6DD3ACC6">
      <w:pPr>
        <w:keepNext w:val="0"/>
        <w:keepLines w:val="0"/>
        <w:pageBreakBefore w:val="0"/>
        <w:kinsoku/>
        <w:wordWrap/>
        <w:overflowPunct/>
        <w:topLinePunct w:val="0"/>
        <w:autoSpaceDE/>
        <w:autoSpaceDN/>
        <w:bidi w:val="0"/>
        <w:spacing w:line="460" w:lineRule="exact"/>
        <w:ind w:firstLine="662" w:firstLineChars="276"/>
        <w:rPr>
          <w:rFonts w:ascii="宋体" w:hAnsi="宋体" w:cs="宋体"/>
          <w:color w:val="auto"/>
          <w:sz w:val="24"/>
        </w:rPr>
      </w:pPr>
      <w:r>
        <w:rPr>
          <w:rFonts w:hint="eastAsia" w:ascii="宋体" w:hAnsi="宋体" w:cs="宋体"/>
          <w:color w:val="auto"/>
          <w:sz w:val="24"/>
        </w:rPr>
        <w:t>23.6开标过程应当由采购人或者采购代理机构负责记录，由参加开标的各投标人代表和相关工作人员确认后随采购文件一并存档。投标人未参加开标的，视同认可开标结果。</w:t>
      </w:r>
    </w:p>
    <w:p w14:paraId="4F1F3440">
      <w:pPr>
        <w:keepNext w:val="0"/>
        <w:keepLines w:val="0"/>
        <w:pageBreakBefore w:val="0"/>
        <w:kinsoku/>
        <w:wordWrap/>
        <w:overflowPunct/>
        <w:topLinePunct w:val="0"/>
        <w:autoSpaceDE/>
        <w:autoSpaceDN/>
        <w:bidi w:val="0"/>
        <w:spacing w:line="460" w:lineRule="exact"/>
        <w:ind w:firstLine="542" w:firstLineChars="226"/>
        <w:rPr>
          <w:rFonts w:ascii="宋体" w:hAnsi="宋体" w:cs="宋体"/>
          <w:color w:val="auto"/>
          <w:sz w:val="24"/>
        </w:rPr>
      </w:pPr>
      <w:r>
        <w:rPr>
          <w:rFonts w:hint="eastAsia" w:ascii="宋体" w:hAnsi="宋体" w:cs="宋体"/>
          <w:color w:val="auto"/>
          <w:sz w:val="24"/>
        </w:rPr>
        <w:t>23.7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919EFCF">
      <w:pPr>
        <w:keepNext w:val="0"/>
        <w:keepLines w:val="0"/>
        <w:pageBreakBefore w:val="0"/>
        <w:kinsoku/>
        <w:wordWrap/>
        <w:overflowPunct/>
        <w:topLinePunct w:val="0"/>
        <w:autoSpaceDE/>
        <w:autoSpaceDN/>
        <w:bidi w:val="0"/>
        <w:adjustRightInd w:val="0"/>
        <w:snapToGrid w:val="0"/>
        <w:spacing w:line="460" w:lineRule="exact"/>
        <w:ind w:firstLine="600" w:firstLineChars="250"/>
        <w:rPr>
          <w:rFonts w:ascii="宋体" w:hAnsi="宋体" w:cs="宋体"/>
          <w:color w:val="auto"/>
          <w:sz w:val="24"/>
        </w:rPr>
      </w:pPr>
      <w:r>
        <w:rPr>
          <w:rFonts w:hint="eastAsia" w:ascii="宋体" w:hAnsi="宋体" w:cs="宋体"/>
          <w:color w:val="auto"/>
          <w:sz w:val="24"/>
        </w:rPr>
        <w:t>23.8开标时，投标文件中开标一览表内容与投标文件中分项价格表内容不一致的，以开标一览表为准。</w:t>
      </w:r>
    </w:p>
    <w:p w14:paraId="3E7D8E58">
      <w:pPr>
        <w:keepNext w:val="0"/>
        <w:keepLines w:val="0"/>
        <w:pageBreakBefore w:val="0"/>
        <w:widowControl/>
        <w:tabs>
          <w:tab w:val="left" w:pos="720"/>
        </w:tabs>
        <w:kinsoku/>
        <w:wordWrap/>
        <w:overflowPunct/>
        <w:topLinePunct w:val="0"/>
        <w:autoSpaceDE/>
        <w:autoSpaceDN/>
        <w:bidi w:val="0"/>
        <w:snapToGrid w:val="0"/>
        <w:spacing w:line="460" w:lineRule="exact"/>
        <w:ind w:firstLine="600" w:firstLineChars="250"/>
        <w:rPr>
          <w:rFonts w:ascii="宋体" w:hAnsi="宋体" w:cs="宋体"/>
          <w:b/>
          <w:color w:val="auto"/>
          <w:sz w:val="24"/>
        </w:rPr>
      </w:pPr>
      <w:r>
        <w:rPr>
          <w:rFonts w:hint="eastAsia" w:ascii="宋体" w:hAnsi="宋体" w:cs="宋体"/>
          <w:color w:val="auto"/>
          <w:sz w:val="24"/>
        </w:rPr>
        <w:t>23.9</w:t>
      </w:r>
      <w:r>
        <w:rPr>
          <w:rFonts w:hint="eastAsia" w:ascii="宋体" w:hAnsi="宋体" w:cs="宋体"/>
          <w:b/>
          <w:bCs/>
          <w:color w:val="auto"/>
          <w:sz w:val="24"/>
        </w:rPr>
        <w:t>公开招标采购项目开标结束后，采购人或者采购代理机构应当依法对投标人的资格进行审查。</w:t>
      </w:r>
      <w:r>
        <w:rPr>
          <w:rFonts w:hint="eastAsia" w:ascii="宋体" w:hAnsi="宋体" w:cs="宋体"/>
          <w:color w:val="auto"/>
          <w:sz w:val="24"/>
        </w:rPr>
        <w:t>投标人须按投标人须知前附表规定</w:t>
      </w:r>
      <w:r>
        <w:rPr>
          <w:rFonts w:hint="eastAsia" w:ascii="宋体" w:hAnsi="宋体" w:cs="宋体"/>
          <w:color w:val="auto"/>
          <w:sz w:val="24"/>
          <w:lang w:val="en-US" w:eastAsia="zh-CN"/>
        </w:rPr>
        <w:t>提供</w:t>
      </w:r>
      <w:r>
        <w:rPr>
          <w:rFonts w:hint="eastAsia" w:ascii="宋体" w:hAnsi="宋体" w:cs="宋体"/>
          <w:color w:val="auto"/>
          <w:sz w:val="24"/>
        </w:rPr>
        <w:t>资料以便资格审查，核验不通过的将不得进入评标程序。</w:t>
      </w:r>
      <w:r>
        <w:rPr>
          <w:rFonts w:hint="eastAsia" w:ascii="宋体" w:hAnsi="宋体" w:cs="宋体"/>
          <w:b/>
          <w:bCs/>
          <w:color w:val="auto"/>
          <w:sz w:val="24"/>
        </w:rPr>
        <w:t>合格投标人不足3家的，不得评标。</w:t>
      </w:r>
    </w:p>
    <w:p w14:paraId="38D025F0">
      <w:pPr>
        <w:keepNext w:val="0"/>
        <w:keepLines w:val="0"/>
        <w:pageBreakBefore w:val="0"/>
        <w:kinsoku/>
        <w:wordWrap/>
        <w:overflowPunct/>
        <w:topLinePunct w:val="0"/>
        <w:autoSpaceDE/>
        <w:autoSpaceDN/>
        <w:bidi w:val="0"/>
        <w:spacing w:before="100" w:beforeAutospacing="1" w:after="100" w:afterAutospacing="1" w:line="460" w:lineRule="exact"/>
        <w:jc w:val="center"/>
        <w:rPr>
          <w:rFonts w:ascii="宋体" w:hAnsi="宋体" w:cs="宋体"/>
          <w:color w:val="auto"/>
          <w:sz w:val="24"/>
        </w:rPr>
      </w:pPr>
      <w:bookmarkStart w:id="14" w:name="_Toc352761935"/>
      <w:bookmarkStart w:id="15" w:name="_Toc509771948"/>
      <w:r>
        <w:rPr>
          <w:rFonts w:hint="eastAsia" w:ascii="宋体" w:hAnsi="宋体" w:cs="宋体"/>
          <w:color w:val="auto"/>
          <w:sz w:val="24"/>
        </w:rPr>
        <w:t>六、评标程序和要求</w:t>
      </w:r>
      <w:bookmarkEnd w:id="14"/>
      <w:bookmarkEnd w:id="15"/>
    </w:p>
    <w:p w14:paraId="1B7C5556">
      <w:pPr>
        <w:keepNext w:val="0"/>
        <w:keepLines w:val="0"/>
        <w:pageBreakBefore w:val="0"/>
        <w:kinsoku/>
        <w:wordWrap/>
        <w:overflowPunct/>
        <w:topLinePunct w:val="0"/>
        <w:autoSpaceDE/>
        <w:autoSpaceDN/>
        <w:bidi w:val="0"/>
        <w:spacing w:line="460" w:lineRule="exact"/>
        <w:ind w:firstLine="545" w:firstLineChars="226"/>
        <w:rPr>
          <w:rFonts w:ascii="宋体" w:hAnsi="宋体" w:cs="宋体"/>
          <w:b/>
          <w:color w:val="auto"/>
          <w:sz w:val="24"/>
        </w:rPr>
      </w:pPr>
      <w:r>
        <w:rPr>
          <w:rFonts w:hint="eastAsia" w:ascii="宋体" w:hAnsi="宋体" w:cs="宋体"/>
          <w:b/>
          <w:color w:val="auto"/>
          <w:sz w:val="24"/>
        </w:rPr>
        <w:t>24、组建评标委员会</w:t>
      </w:r>
    </w:p>
    <w:p w14:paraId="661E780F">
      <w:pPr>
        <w:keepNext w:val="0"/>
        <w:keepLines w:val="0"/>
        <w:pageBreakBefore w:val="0"/>
        <w:kinsoku/>
        <w:wordWrap/>
        <w:overflowPunct/>
        <w:topLinePunct w:val="0"/>
        <w:autoSpaceDE/>
        <w:autoSpaceDN/>
        <w:bidi w:val="0"/>
        <w:spacing w:line="460" w:lineRule="exact"/>
        <w:ind w:firstLine="542" w:firstLineChars="226"/>
        <w:rPr>
          <w:rFonts w:ascii="宋体" w:hAnsi="宋体" w:cs="宋体"/>
          <w:color w:val="auto"/>
          <w:sz w:val="24"/>
        </w:rPr>
      </w:pPr>
      <w:r>
        <w:rPr>
          <w:rFonts w:hint="eastAsia" w:ascii="宋体" w:hAnsi="宋体" w:cs="宋体"/>
          <w:color w:val="auto"/>
          <w:sz w:val="24"/>
        </w:rPr>
        <w:t>24.1 采购人或采购代理机构根据政府采购有关法律法规和本招标文件的规定，结合本招标项目的特点组建评标委员会，评标委员会由采购人代表和有关技术、经济等方面的专家组成，评标委员会成员人数以及技术、经济等方面专家的确定方式见投标人须知前附表。</w:t>
      </w:r>
    </w:p>
    <w:p w14:paraId="264E5224">
      <w:pPr>
        <w:pStyle w:val="64"/>
        <w:keepNext w:val="0"/>
        <w:keepLines w:val="0"/>
        <w:pageBreakBefore w:val="0"/>
        <w:tabs>
          <w:tab w:val="left" w:pos="360"/>
        </w:tabs>
        <w:kinsoku/>
        <w:wordWrap/>
        <w:overflowPunct/>
        <w:topLinePunct w:val="0"/>
        <w:autoSpaceDE/>
        <w:autoSpaceDN/>
        <w:bidi w:val="0"/>
        <w:snapToGrid w:val="0"/>
        <w:spacing w:line="460" w:lineRule="exact"/>
        <w:ind w:firstLine="600" w:firstLineChars="250"/>
        <w:rPr>
          <w:rFonts w:cs="宋体"/>
          <w:color w:val="auto"/>
          <w:kern w:val="2"/>
          <w:sz w:val="24"/>
          <w:szCs w:val="24"/>
        </w:rPr>
      </w:pPr>
      <w:r>
        <w:rPr>
          <w:rFonts w:hint="eastAsia" w:cs="宋体"/>
          <w:color w:val="auto"/>
          <w:kern w:val="2"/>
          <w:sz w:val="24"/>
          <w:szCs w:val="24"/>
        </w:rPr>
        <w:t>24.2 评审专家对本单位的采购项目只能作为采购人代表参与评标，采购代理机构工作人员不得参加由本机构代理的政府采购项目的评标。</w:t>
      </w:r>
    </w:p>
    <w:p w14:paraId="137F5657">
      <w:pPr>
        <w:pStyle w:val="64"/>
        <w:keepNext w:val="0"/>
        <w:keepLines w:val="0"/>
        <w:pageBreakBefore w:val="0"/>
        <w:tabs>
          <w:tab w:val="left" w:pos="360"/>
        </w:tabs>
        <w:kinsoku/>
        <w:wordWrap/>
        <w:overflowPunct/>
        <w:topLinePunct w:val="0"/>
        <w:autoSpaceDE/>
        <w:autoSpaceDN/>
        <w:bidi w:val="0"/>
        <w:snapToGrid w:val="0"/>
        <w:spacing w:line="460" w:lineRule="exact"/>
        <w:ind w:firstLine="600" w:firstLineChars="250"/>
        <w:rPr>
          <w:rFonts w:cs="宋体"/>
          <w:color w:val="auto"/>
          <w:kern w:val="2"/>
          <w:sz w:val="24"/>
          <w:szCs w:val="24"/>
        </w:rPr>
      </w:pPr>
      <w:r>
        <w:rPr>
          <w:rFonts w:hint="eastAsia" w:cs="宋体"/>
          <w:color w:val="auto"/>
          <w:kern w:val="2"/>
          <w:sz w:val="24"/>
          <w:szCs w:val="24"/>
        </w:rPr>
        <w:t>24.3评标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人或者采购代理机构应当停止评标活动，封存所有投标文件和开标、评标资料，依法重新组建评标委员会进行评标。原评标委员会所作出的评标意见无效。采购人或者采购代理机构应当将变更、重新组建评标委员会的情况予以记录，并随采购文件一并存档。</w:t>
      </w:r>
    </w:p>
    <w:p w14:paraId="51615FD7">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firstLine="600" w:firstLineChars="250"/>
        <w:rPr>
          <w:rFonts w:cs="宋体"/>
          <w:b/>
          <w:color w:val="auto"/>
          <w:sz w:val="24"/>
          <w:szCs w:val="24"/>
        </w:rPr>
      </w:pPr>
      <w:r>
        <w:rPr>
          <w:rFonts w:hint="eastAsia" w:cs="宋体"/>
          <w:color w:val="auto"/>
          <w:kern w:val="2"/>
          <w:sz w:val="24"/>
          <w:szCs w:val="24"/>
        </w:rPr>
        <w:t>25、</w:t>
      </w:r>
      <w:r>
        <w:rPr>
          <w:rFonts w:hint="eastAsia" w:cs="宋体"/>
          <w:b/>
          <w:color w:val="auto"/>
          <w:sz w:val="24"/>
          <w:szCs w:val="24"/>
        </w:rPr>
        <w:t xml:space="preserve">投标文件符合性审核 </w:t>
      </w:r>
    </w:p>
    <w:p w14:paraId="7B5BB49B">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firstLine="600" w:firstLineChars="250"/>
        <w:rPr>
          <w:rFonts w:cs="宋体"/>
          <w:color w:val="auto"/>
          <w:sz w:val="24"/>
          <w:szCs w:val="24"/>
        </w:rPr>
      </w:pPr>
      <w:r>
        <w:rPr>
          <w:rFonts w:hint="eastAsia" w:cs="宋体"/>
          <w:color w:val="auto"/>
          <w:sz w:val="24"/>
          <w:szCs w:val="24"/>
        </w:rPr>
        <w:t>25.1开标后，评标委员会将审查各投标供应商投标文件是否符合招标文件的基本要求：内容是否完整、资格证明文件是否齐全、有无计算错误、文件签署是否齐全及验证投标保证金。</w:t>
      </w:r>
    </w:p>
    <w:p w14:paraId="13468EA2">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476" w:leftChars="170" w:firstLine="120" w:firstLineChars="50"/>
        <w:rPr>
          <w:rFonts w:cs="宋体"/>
          <w:color w:val="auto"/>
          <w:kern w:val="2"/>
          <w:sz w:val="24"/>
          <w:szCs w:val="24"/>
        </w:rPr>
      </w:pPr>
      <w:r>
        <w:rPr>
          <w:rFonts w:hint="eastAsia" w:cs="宋体"/>
          <w:color w:val="auto"/>
          <w:kern w:val="2"/>
          <w:sz w:val="24"/>
          <w:szCs w:val="24"/>
        </w:rPr>
        <w:t>25.2 审核时，评标委员会要审核每份投标文件是否实质上响应了招标文件的要求。</w:t>
      </w:r>
    </w:p>
    <w:p w14:paraId="16C3AB1E">
      <w:pPr>
        <w:keepNext w:val="0"/>
        <w:keepLines w:val="0"/>
        <w:pageBreakBefore w:val="0"/>
        <w:widowControl/>
        <w:pBdr>
          <w:top w:val="none" w:color="auto" w:sz="0" w:space="1"/>
          <w:left w:val="none" w:color="auto" w:sz="0" w:space="4"/>
          <w:bottom w:val="none" w:color="auto" w:sz="0" w:space="1"/>
          <w:right w:val="none" w:color="auto" w:sz="0" w:space="4"/>
        </w:pBdr>
        <w:tabs>
          <w:tab w:val="left" w:pos="1440"/>
        </w:tabs>
        <w:kinsoku/>
        <w:wordWrap/>
        <w:overflowPunct/>
        <w:topLinePunct w:val="0"/>
        <w:autoSpaceDE/>
        <w:autoSpaceDN/>
        <w:bidi w:val="0"/>
        <w:snapToGrid w:val="0"/>
        <w:spacing w:line="460" w:lineRule="exact"/>
        <w:ind w:firstLine="480" w:firstLineChars="200"/>
        <w:rPr>
          <w:rFonts w:ascii="宋体" w:hAnsi="宋体" w:cs="宋体"/>
          <w:color w:val="auto"/>
          <w:kern w:val="0"/>
          <w:sz w:val="24"/>
        </w:rPr>
      </w:pPr>
      <w:r>
        <w:rPr>
          <w:rFonts w:hint="eastAsia" w:ascii="宋体" w:hAnsi="宋体" w:cs="宋体"/>
          <w:color w:val="auto"/>
          <w:sz w:val="24"/>
        </w:rPr>
        <w:t>（1）</w:t>
      </w:r>
      <w:r>
        <w:rPr>
          <w:rFonts w:hint="eastAsia" w:ascii="宋体" w:hAnsi="宋体" w:cs="宋体"/>
          <w:color w:val="auto"/>
          <w:kern w:val="0"/>
          <w:sz w:val="24"/>
        </w:rPr>
        <w:t>实质上响应的投标是指与招标文件的主要条款、条件和规格相符，没有重大偏离。</w:t>
      </w:r>
    </w:p>
    <w:p w14:paraId="23CE2313">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napToGrid w:val="0"/>
        <w:spacing w:line="460" w:lineRule="exact"/>
        <w:ind w:left="3" w:leftChars="1" w:firstLine="480" w:firstLineChars="200"/>
        <w:rPr>
          <w:rFonts w:ascii="宋体" w:hAnsi="宋体" w:cs="宋体"/>
          <w:color w:val="auto"/>
          <w:kern w:val="0"/>
          <w:sz w:val="24"/>
        </w:rPr>
      </w:pPr>
      <w:r>
        <w:rPr>
          <w:rFonts w:hint="eastAsia" w:ascii="宋体" w:hAnsi="宋体" w:cs="宋体"/>
          <w:color w:val="auto"/>
          <w:sz w:val="24"/>
        </w:rPr>
        <w:t>（2）</w:t>
      </w:r>
      <w:r>
        <w:rPr>
          <w:rFonts w:hint="eastAsia" w:ascii="宋体" w:hAnsi="宋体" w:cs="宋体"/>
          <w:color w:val="auto"/>
          <w:kern w:val="0"/>
          <w:sz w:val="24"/>
        </w:rPr>
        <w:t>重大偏离或保留系指投标服务内容，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14:paraId="0E833DC9">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napToGrid w:val="0"/>
        <w:spacing w:line="460" w:lineRule="exact"/>
        <w:ind w:left="3" w:leftChars="1" w:firstLine="616" w:firstLineChars="257"/>
        <w:rPr>
          <w:rFonts w:ascii="宋体" w:hAnsi="宋体" w:cs="宋体"/>
          <w:color w:val="auto"/>
          <w:kern w:val="0"/>
          <w:sz w:val="24"/>
        </w:rPr>
      </w:pPr>
      <w:r>
        <w:rPr>
          <w:rFonts w:hint="eastAsia" w:ascii="宋体" w:hAnsi="宋体" w:cs="宋体"/>
          <w:color w:val="auto"/>
          <w:kern w:val="0"/>
          <w:sz w:val="24"/>
        </w:rPr>
        <w:t>a、投标文件未按招标文件的规定签署、盖章的；</w:t>
      </w:r>
    </w:p>
    <w:p w14:paraId="4D3E34BC">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napToGrid w:val="0"/>
        <w:spacing w:line="460" w:lineRule="exact"/>
        <w:ind w:left="3" w:leftChars="1" w:firstLine="616" w:firstLineChars="257"/>
        <w:rPr>
          <w:rFonts w:ascii="宋体" w:hAnsi="宋体" w:cs="宋体"/>
          <w:color w:val="auto"/>
          <w:kern w:val="0"/>
          <w:sz w:val="24"/>
        </w:rPr>
      </w:pPr>
      <w:r>
        <w:rPr>
          <w:rFonts w:hint="eastAsia" w:ascii="宋体" w:hAnsi="宋体" w:cs="宋体"/>
          <w:color w:val="auto"/>
          <w:kern w:val="0"/>
          <w:sz w:val="24"/>
        </w:rPr>
        <w:t>b、投标有效期不足的；</w:t>
      </w:r>
    </w:p>
    <w:p w14:paraId="178BB191">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napToGrid w:val="0"/>
        <w:spacing w:line="460" w:lineRule="exact"/>
        <w:ind w:left="3" w:leftChars="1" w:firstLine="616" w:firstLineChars="257"/>
        <w:rPr>
          <w:rFonts w:ascii="宋体" w:hAnsi="宋体" w:cs="宋体"/>
          <w:color w:val="auto"/>
          <w:kern w:val="0"/>
          <w:sz w:val="24"/>
        </w:rPr>
      </w:pPr>
      <w:r>
        <w:rPr>
          <w:rFonts w:hint="eastAsia" w:ascii="宋体" w:hAnsi="宋体" w:cs="宋体"/>
          <w:color w:val="auto"/>
          <w:kern w:val="0"/>
          <w:sz w:val="24"/>
        </w:rPr>
        <w:t>c、投标货物性能、规格、数量、交货时间等不满足招标文件中的相关要求和超出本招标文件可接受的偏差范围的；</w:t>
      </w:r>
    </w:p>
    <w:p w14:paraId="5B2032E7">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napToGrid w:val="0"/>
        <w:spacing w:line="460" w:lineRule="exact"/>
        <w:ind w:left="3" w:leftChars="1" w:firstLine="616" w:firstLineChars="257"/>
        <w:rPr>
          <w:rFonts w:ascii="宋体" w:hAnsi="宋体" w:cs="宋体"/>
          <w:color w:val="auto"/>
          <w:kern w:val="0"/>
          <w:sz w:val="24"/>
        </w:rPr>
      </w:pPr>
      <w:r>
        <w:rPr>
          <w:rFonts w:hint="eastAsia" w:ascii="宋体" w:hAnsi="宋体" w:cs="宋体"/>
          <w:color w:val="auto"/>
          <w:kern w:val="0"/>
          <w:sz w:val="24"/>
        </w:rPr>
        <w:t>d、未按照招标文件规定报价的，报价超过招标文件中规定的预算金额或者最高限价的；</w:t>
      </w:r>
    </w:p>
    <w:p w14:paraId="6404FFC3">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napToGrid w:val="0"/>
        <w:spacing w:line="460" w:lineRule="exact"/>
        <w:ind w:left="3" w:leftChars="1" w:firstLine="616" w:firstLineChars="257"/>
        <w:rPr>
          <w:rFonts w:ascii="宋体" w:hAnsi="宋体" w:cs="宋体"/>
          <w:color w:val="auto"/>
          <w:kern w:val="0"/>
          <w:sz w:val="24"/>
        </w:rPr>
      </w:pPr>
      <w:r>
        <w:rPr>
          <w:rFonts w:hint="eastAsia" w:ascii="宋体" w:hAnsi="宋体" w:cs="宋体"/>
          <w:color w:val="auto"/>
          <w:kern w:val="0"/>
          <w:sz w:val="24"/>
        </w:rPr>
        <w:t>e、不符合招标文件中有关分包规定的；</w:t>
      </w:r>
    </w:p>
    <w:p w14:paraId="35B856F5">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napToGrid w:val="0"/>
        <w:spacing w:line="460" w:lineRule="exact"/>
        <w:ind w:left="3" w:leftChars="1" w:firstLine="616" w:firstLineChars="257"/>
        <w:rPr>
          <w:rFonts w:ascii="宋体" w:hAnsi="宋体" w:cs="宋体"/>
          <w:color w:val="auto"/>
          <w:kern w:val="0"/>
          <w:sz w:val="24"/>
        </w:rPr>
      </w:pPr>
      <w:r>
        <w:rPr>
          <w:rFonts w:hint="eastAsia" w:ascii="宋体" w:hAnsi="宋体" w:cs="宋体"/>
          <w:color w:val="auto"/>
          <w:kern w:val="0"/>
          <w:sz w:val="24"/>
        </w:rPr>
        <w:t>f、联合体投标文件未附联合体投标协议书的（如有）；</w:t>
      </w:r>
    </w:p>
    <w:p w14:paraId="45E80AE8">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napToGrid w:val="0"/>
        <w:spacing w:line="460" w:lineRule="exact"/>
        <w:ind w:left="3" w:leftChars="1" w:firstLine="616" w:firstLineChars="257"/>
        <w:rPr>
          <w:rFonts w:ascii="宋体" w:hAnsi="宋体" w:cs="宋体"/>
          <w:color w:val="auto"/>
          <w:kern w:val="0"/>
          <w:sz w:val="24"/>
        </w:rPr>
      </w:pPr>
      <w:r>
        <w:rPr>
          <w:rFonts w:hint="eastAsia" w:ascii="宋体" w:hAnsi="宋体" w:cs="宋体"/>
          <w:color w:val="auto"/>
          <w:kern w:val="0"/>
          <w:sz w:val="24"/>
        </w:rPr>
        <w:t>g、投标文件含有采购人不能接受的附加条件的；</w:t>
      </w:r>
    </w:p>
    <w:p w14:paraId="5D5CA291">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napToGrid w:val="0"/>
        <w:spacing w:line="460" w:lineRule="exact"/>
        <w:ind w:left="3" w:leftChars="1" w:firstLine="616" w:firstLineChars="257"/>
        <w:rPr>
          <w:rFonts w:ascii="宋体" w:hAnsi="宋体" w:cs="宋体"/>
          <w:color w:val="auto"/>
          <w:kern w:val="0"/>
          <w:sz w:val="24"/>
        </w:rPr>
      </w:pPr>
      <w:r>
        <w:rPr>
          <w:rFonts w:hint="eastAsia" w:ascii="宋体" w:hAnsi="宋体" w:cs="宋体"/>
          <w:color w:val="auto"/>
          <w:kern w:val="0"/>
          <w:sz w:val="24"/>
        </w:rPr>
        <w:t>h、不符合招标文件中规定的其他实质性要求；</w:t>
      </w:r>
    </w:p>
    <w:p w14:paraId="4E025EFE">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napToGrid w:val="0"/>
        <w:spacing w:line="460" w:lineRule="exact"/>
        <w:ind w:left="3" w:leftChars="1" w:firstLine="616" w:firstLineChars="257"/>
        <w:rPr>
          <w:rFonts w:ascii="宋体" w:hAnsi="宋体" w:cs="宋体"/>
          <w:color w:val="auto"/>
          <w:kern w:val="0"/>
          <w:sz w:val="24"/>
        </w:rPr>
      </w:pPr>
      <w:r>
        <w:rPr>
          <w:rFonts w:hint="eastAsia" w:ascii="宋体" w:hAnsi="宋体" w:cs="宋体"/>
          <w:color w:val="auto"/>
          <w:kern w:val="0"/>
          <w:sz w:val="24"/>
        </w:rPr>
        <w:t>i、法律、法规和招标文件规定的其他无效情形。</w:t>
      </w:r>
    </w:p>
    <w:p w14:paraId="01277F56">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napToGrid w:val="0"/>
        <w:spacing w:line="460" w:lineRule="exact"/>
        <w:rPr>
          <w:rFonts w:ascii="宋体" w:hAnsi="宋体" w:cs="宋体"/>
          <w:color w:val="auto"/>
          <w:kern w:val="0"/>
          <w:sz w:val="24"/>
        </w:rPr>
      </w:pPr>
      <w:r>
        <w:rPr>
          <w:rFonts w:hint="eastAsia" w:ascii="宋体" w:hAnsi="宋体" w:cs="宋体"/>
          <w:color w:val="auto"/>
          <w:kern w:val="0"/>
          <w:sz w:val="24"/>
        </w:rPr>
        <w:t xml:space="preserve">   （3）重大偏离不允许在开标后修正，其投标无效，但评标委员会将允许修正投标中不构成重大偏离的地方，这些修正不会对其他实质上响应招标文件要求的投标人的竞争地位产生不公正的影响。</w:t>
      </w:r>
    </w:p>
    <w:p w14:paraId="58B03E49">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napToGrid w:val="0"/>
        <w:spacing w:line="460" w:lineRule="exact"/>
        <w:rPr>
          <w:rFonts w:ascii="宋体" w:hAnsi="宋体" w:cs="宋体"/>
          <w:color w:val="auto"/>
          <w:kern w:val="0"/>
          <w:sz w:val="24"/>
        </w:rPr>
      </w:pPr>
      <w:r>
        <w:rPr>
          <w:rFonts w:hint="eastAsia" w:ascii="宋体" w:hAnsi="宋体" w:cs="宋体"/>
          <w:color w:val="auto"/>
          <w:kern w:val="0"/>
          <w:sz w:val="24"/>
        </w:rPr>
        <w:t xml:space="preserve">   （4）如果投标文件实质上没有响应招标文件的要求，评标委员会将作无效投标处理，投标人不得再对投标文件进行任何修正从而使其投标成为实质上响应的投标。</w:t>
      </w:r>
    </w:p>
    <w:p w14:paraId="3E3699E6">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firstLine="480" w:firstLineChars="200"/>
        <w:rPr>
          <w:rFonts w:cs="宋体"/>
          <w:color w:val="auto"/>
          <w:sz w:val="24"/>
          <w:szCs w:val="24"/>
        </w:rPr>
      </w:pPr>
      <w:r>
        <w:rPr>
          <w:rFonts w:hint="eastAsia" w:cs="宋体"/>
          <w:color w:val="auto"/>
          <w:sz w:val="24"/>
          <w:szCs w:val="24"/>
        </w:rPr>
        <w:t>（5）投标文件的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378C0CB3">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476" w:leftChars="170" w:firstLine="120" w:firstLineChars="50"/>
        <w:rPr>
          <w:rFonts w:cs="宋体"/>
          <w:color w:val="auto"/>
          <w:sz w:val="24"/>
          <w:szCs w:val="24"/>
        </w:rPr>
      </w:pPr>
      <w:r>
        <w:rPr>
          <w:rFonts w:hint="eastAsia" w:cs="宋体"/>
          <w:color w:val="auto"/>
          <w:sz w:val="24"/>
          <w:szCs w:val="24"/>
        </w:rPr>
        <w:t>25.3审核中，对明显的文字和计算错误按下述原则处理：</w:t>
      </w:r>
    </w:p>
    <w:p w14:paraId="58DC6E42">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firstLine="360" w:firstLineChars="150"/>
        <w:rPr>
          <w:rFonts w:cs="宋体"/>
          <w:color w:val="auto"/>
          <w:sz w:val="24"/>
          <w:szCs w:val="24"/>
        </w:rPr>
      </w:pPr>
      <w:r>
        <w:rPr>
          <w:rFonts w:hint="eastAsia" w:cs="宋体"/>
          <w:color w:val="auto"/>
          <w:sz w:val="24"/>
          <w:szCs w:val="24"/>
        </w:rPr>
        <w:t>（1）如果正本与副本不一致，以正本为准；投标文件中开标一览表（报价表）内容与投标文件中相应内容不一致的，以开标一览表（报价表）为准；</w:t>
      </w:r>
    </w:p>
    <w:p w14:paraId="7B290BC7">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firstLine="360" w:firstLineChars="150"/>
        <w:rPr>
          <w:rFonts w:cs="宋体"/>
          <w:color w:val="auto"/>
          <w:sz w:val="24"/>
          <w:szCs w:val="24"/>
        </w:rPr>
      </w:pPr>
      <w:r>
        <w:rPr>
          <w:rFonts w:hint="eastAsia" w:cs="宋体"/>
          <w:color w:val="auto"/>
          <w:sz w:val="24"/>
        </w:rPr>
        <w:t>（2）若文字大写表示的数据与数字表示的有差别，则以文字大写表示的数据为准。大写金额和小写金额不一致的，以大写金额为准；</w:t>
      </w:r>
    </w:p>
    <w:p w14:paraId="1C880A6F">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468" w:leftChars="150" w:hanging="48" w:hangingChars="20"/>
        <w:rPr>
          <w:rFonts w:cs="宋体"/>
          <w:color w:val="auto"/>
          <w:sz w:val="24"/>
          <w:szCs w:val="24"/>
        </w:rPr>
      </w:pPr>
      <w:r>
        <w:rPr>
          <w:rFonts w:hint="eastAsia" w:cs="宋体"/>
          <w:color w:val="auto"/>
          <w:sz w:val="24"/>
          <w:szCs w:val="24"/>
        </w:rPr>
        <w:t>（3）单价金额小数点或者百分比有明显错位的，以开标一览表的总价为准，并修改单价；</w:t>
      </w:r>
    </w:p>
    <w:p w14:paraId="4CD56CBF">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468" w:leftChars="150" w:hanging="48" w:hangingChars="20"/>
        <w:rPr>
          <w:rFonts w:cs="宋体"/>
          <w:color w:val="auto"/>
          <w:sz w:val="24"/>
          <w:szCs w:val="24"/>
        </w:rPr>
      </w:pPr>
      <w:r>
        <w:rPr>
          <w:rFonts w:hint="eastAsia" w:cs="宋体"/>
          <w:color w:val="auto"/>
          <w:sz w:val="24"/>
          <w:szCs w:val="24"/>
        </w:rPr>
        <w:t>（4）总价金额与按单价汇总金额不一致的，以单价金额计算结果为准。</w:t>
      </w:r>
    </w:p>
    <w:p w14:paraId="0C1E8E78">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3" w:leftChars="1" w:firstLine="360" w:firstLineChars="150"/>
        <w:rPr>
          <w:rFonts w:cs="宋体"/>
          <w:color w:val="auto"/>
          <w:sz w:val="24"/>
          <w:szCs w:val="24"/>
        </w:rPr>
      </w:pPr>
      <w:r>
        <w:rPr>
          <w:rFonts w:hint="eastAsia" w:cs="宋体"/>
          <w:color w:val="auto"/>
          <w:sz w:val="24"/>
          <w:szCs w:val="24"/>
        </w:rPr>
        <w:t>（5）同时出现两种以上不一致的，按照前款规定的顺序修正。修正后的报价按照《政府采购货物和服务招标投标管理办法》第五十一条第二款的规定经投标人确认后产生约束力，投标人不确认的，其投标无效。若投标人拒绝接受上述修正，在评标时将其视为无效投标。</w:t>
      </w:r>
    </w:p>
    <w:p w14:paraId="67DB821C">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476" w:leftChars="170" w:firstLine="120" w:firstLineChars="50"/>
        <w:rPr>
          <w:rFonts w:cs="宋体"/>
          <w:b/>
          <w:color w:val="auto"/>
          <w:sz w:val="24"/>
          <w:szCs w:val="24"/>
        </w:rPr>
      </w:pPr>
      <w:r>
        <w:rPr>
          <w:rFonts w:hint="eastAsia" w:cs="宋体"/>
          <w:b/>
          <w:color w:val="auto"/>
          <w:sz w:val="24"/>
          <w:szCs w:val="24"/>
        </w:rPr>
        <w:t>25.4在评标过程中发现投标人有下列情形之一的，视为投标人串通投标，其投标无效：</w:t>
      </w:r>
    </w:p>
    <w:p w14:paraId="698390B2">
      <w:pPr>
        <w:pStyle w:val="27"/>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before="0" w:beforeAutospacing="0" w:after="0" w:afterAutospacing="0" w:line="460" w:lineRule="exact"/>
        <w:ind w:firstLine="482" w:firstLineChars="200"/>
        <w:rPr>
          <w:b/>
          <w:color w:val="auto"/>
        </w:rPr>
      </w:pPr>
      <w:r>
        <w:rPr>
          <w:rFonts w:hint="eastAsia"/>
          <w:b/>
          <w:color w:val="auto"/>
        </w:rPr>
        <w:t>（1）投标人之间协商投标报价等投标文件的实质性内容；</w:t>
      </w:r>
    </w:p>
    <w:p w14:paraId="1E0929F2">
      <w:pPr>
        <w:pStyle w:val="27"/>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before="0" w:beforeAutospacing="0" w:after="0" w:afterAutospacing="0" w:line="460" w:lineRule="exact"/>
        <w:ind w:firstLine="482" w:firstLineChars="200"/>
        <w:rPr>
          <w:b/>
          <w:color w:val="auto"/>
        </w:rPr>
      </w:pPr>
      <w:r>
        <w:rPr>
          <w:rFonts w:hint="eastAsia"/>
          <w:b/>
          <w:color w:val="auto"/>
        </w:rPr>
        <w:t>（2）投标人之间约定</w:t>
      </w:r>
      <w:r>
        <w:rPr>
          <w:rFonts w:hint="eastAsia"/>
          <w:b/>
          <w:color w:val="auto"/>
          <w:lang w:eastAsia="zh-CN"/>
        </w:rPr>
        <w:t>成交</w:t>
      </w:r>
      <w:r>
        <w:rPr>
          <w:rFonts w:hint="eastAsia"/>
          <w:b/>
          <w:color w:val="auto"/>
        </w:rPr>
        <w:t>人；</w:t>
      </w:r>
    </w:p>
    <w:p w14:paraId="6DC6CBEF">
      <w:pPr>
        <w:pStyle w:val="27"/>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before="0" w:beforeAutospacing="0" w:after="0" w:afterAutospacing="0" w:line="460" w:lineRule="exact"/>
        <w:ind w:firstLine="482" w:firstLineChars="200"/>
        <w:rPr>
          <w:b/>
          <w:color w:val="auto"/>
        </w:rPr>
      </w:pPr>
      <w:r>
        <w:rPr>
          <w:rFonts w:hint="eastAsia"/>
          <w:b/>
          <w:color w:val="auto"/>
        </w:rPr>
        <w:t>（3）投标人之间约定部分投标人放弃投标或者</w:t>
      </w:r>
      <w:r>
        <w:rPr>
          <w:rFonts w:hint="eastAsia"/>
          <w:b/>
          <w:color w:val="auto"/>
          <w:lang w:eastAsia="zh-CN"/>
        </w:rPr>
        <w:t>成交</w:t>
      </w:r>
      <w:r>
        <w:rPr>
          <w:rFonts w:hint="eastAsia"/>
          <w:b/>
          <w:color w:val="auto"/>
        </w:rPr>
        <w:t>；</w:t>
      </w:r>
    </w:p>
    <w:p w14:paraId="21E50042">
      <w:pPr>
        <w:pStyle w:val="27"/>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before="0" w:beforeAutospacing="0" w:after="0" w:afterAutospacing="0" w:line="460" w:lineRule="exact"/>
        <w:ind w:firstLine="482" w:firstLineChars="200"/>
        <w:rPr>
          <w:b/>
          <w:color w:val="auto"/>
        </w:rPr>
      </w:pPr>
      <w:r>
        <w:rPr>
          <w:rFonts w:hint="eastAsia"/>
          <w:b/>
          <w:color w:val="auto"/>
        </w:rPr>
        <w:t>（4）属于同一集团、协会、商会等组织成员的投标人按照该组织要求协同投标；</w:t>
      </w:r>
    </w:p>
    <w:p w14:paraId="1A3E33CC">
      <w:pPr>
        <w:pStyle w:val="27"/>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before="0" w:beforeAutospacing="0" w:after="0" w:afterAutospacing="0" w:line="460" w:lineRule="exact"/>
        <w:ind w:firstLine="482" w:firstLineChars="200"/>
        <w:rPr>
          <w:b/>
          <w:color w:val="auto"/>
        </w:rPr>
      </w:pPr>
      <w:r>
        <w:rPr>
          <w:rFonts w:hint="eastAsia"/>
          <w:b/>
          <w:color w:val="auto"/>
        </w:rPr>
        <w:t>（5）投标人之间为谋取</w:t>
      </w:r>
      <w:r>
        <w:rPr>
          <w:rFonts w:hint="eastAsia"/>
          <w:b/>
          <w:color w:val="auto"/>
          <w:lang w:eastAsia="zh-CN"/>
        </w:rPr>
        <w:t>成交</w:t>
      </w:r>
      <w:r>
        <w:rPr>
          <w:rFonts w:hint="eastAsia"/>
          <w:b/>
          <w:color w:val="auto"/>
        </w:rPr>
        <w:t>或者排斥特定投标人而采取的其他联合行动；</w:t>
      </w:r>
    </w:p>
    <w:p w14:paraId="2A232939">
      <w:pPr>
        <w:pStyle w:val="27"/>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before="0" w:beforeAutospacing="0" w:after="0" w:afterAutospacing="0" w:line="460" w:lineRule="exact"/>
        <w:ind w:firstLine="482" w:firstLineChars="200"/>
        <w:rPr>
          <w:b/>
          <w:color w:val="auto"/>
        </w:rPr>
      </w:pPr>
      <w:r>
        <w:rPr>
          <w:rFonts w:hint="eastAsia"/>
          <w:b/>
          <w:color w:val="auto"/>
        </w:rPr>
        <w:t>（6）不同投标人的投标文件由同一单位或者个人编制；</w:t>
      </w:r>
    </w:p>
    <w:p w14:paraId="1E4D263E">
      <w:pPr>
        <w:pStyle w:val="27"/>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before="0" w:beforeAutospacing="0" w:after="0" w:afterAutospacing="0" w:line="460" w:lineRule="exact"/>
        <w:ind w:firstLine="482" w:firstLineChars="200"/>
        <w:rPr>
          <w:b/>
          <w:color w:val="auto"/>
        </w:rPr>
      </w:pPr>
      <w:r>
        <w:rPr>
          <w:rFonts w:hint="eastAsia"/>
          <w:b/>
          <w:color w:val="auto"/>
        </w:rPr>
        <w:t>（7）不同投标人委托同一单位或者个人办理投标事宜；</w:t>
      </w:r>
    </w:p>
    <w:p w14:paraId="3F526C29">
      <w:pPr>
        <w:pStyle w:val="27"/>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before="0" w:beforeAutospacing="0" w:after="0" w:afterAutospacing="0" w:line="460" w:lineRule="exact"/>
        <w:ind w:firstLine="482" w:firstLineChars="200"/>
        <w:rPr>
          <w:b/>
          <w:color w:val="auto"/>
        </w:rPr>
      </w:pPr>
      <w:r>
        <w:rPr>
          <w:rFonts w:hint="eastAsia"/>
          <w:b/>
          <w:color w:val="auto"/>
        </w:rPr>
        <w:t>（8）不同投标人的投标文件载明的项目管理成员或者联系人员为同一人；</w:t>
      </w:r>
    </w:p>
    <w:p w14:paraId="76DAEC97">
      <w:pPr>
        <w:pStyle w:val="27"/>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before="0" w:beforeAutospacing="0" w:after="0" w:afterAutospacing="0" w:line="460" w:lineRule="exact"/>
        <w:ind w:firstLine="482" w:firstLineChars="200"/>
        <w:rPr>
          <w:b/>
          <w:color w:val="auto"/>
        </w:rPr>
      </w:pPr>
      <w:r>
        <w:rPr>
          <w:rFonts w:hint="eastAsia"/>
          <w:b/>
          <w:color w:val="auto"/>
        </w:rPr>
        <w:t>（9）不同投标人的投标文件异常一致或者投标报价呈规律性差异；</w:t>
      </w:r>
    </w:p>
    <w:p w14:paraId="1E76EFDB">
      <w:pPr>
        <w:pStyle w:val="27"/>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before="0" w:beforeAutospacing="0" w:after="0" w:afterAutospacing="0" w:line="460" w:lineRule="exact"/>
        <w:ind w:firstLine="482" w:firstLineChars="200"/>
        <w:rPr>
          <w:b/>
          <w:color w:val="auto"/>
        </w:rPr>
      </w:pPr>
      <w:r>
        <w:rPr>
          <w:rFonts w:hint="eastAsia"/>
          <w:b/>
          <w:color w:val="auto"/>
        </w:rPr>
        <w:t>（10）不同投标人的投标文件相互混装；</w:t>
      </w:r>
    </w:p>
    <w:p w14:paraId="3781BDF9">
      <w:pPr>
        <w:pStyle w:val="27"/>
        <w:keepNext w:val="0"/>
        <w:keepLines w:val="0"/>
        <w:pageBreakBefore w:val="0"/>
        <w:numPr>
          <w:ilvl w:val="0"/>
          <w:numId w:val="4"/>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before="0" w:beforeAutospacing="0" w:after="0" w:afterAutospacing="0" w:line="460" w:lineRule="exact"/>
        <w:rPr>
          <w:b/>
          <w:color w:val="auto"/>
        </w:rPr>
      </w:pPr>
      <w:r>
        <w:rPr>
          <w:rFonts w:hint="eastAsia"/>
          <w:b/>
          <w:color w:val="auto"/>
        </w:rPr>
        <w:t>不同投标人的投标保证金从同一单位或者个人的账户转出；</w:t>
      </w:r>
    </w:p>
    <w:p w14:paraId="4D58F7EB">
      <w:pPr>
        <w:pStyle w:val="27"/>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before="0" w:beforeAutospacing="0" w:after="0" w:afterAutospacing="0" w:line="460" w:lineRule="exact"/>
        <w:ind w:left="420"/>
        <w:rPr>
          <w:b/>
          <w:color w:val="auto"/>
        </w:rPr>
      </w:pPr>
      <w:r>
        <w:rPr>
          <w:rFonts w:hint="eastAsia"/>
          <w:b/>
          <w:color w:val="auto"/>
        </w:rPr>
        <w:t>（</w:t>
      </w:r>
      <w:r>
        <w:rPr>
          <w:rFonts w:hint="eastAsia"/>
          <w:b/>
          <w:color w:val="auto"/>
          <w:lang w:val="en-US" w:eastAsia="zh-CN"/>
        </w:rPr>
        <w:t>12</w:t>
      </w:r>
      <w:r>
        <w:rPr>
          <w:rFonts w:hint="eastAsia"/>
          <w:b/>
          <w:color w:val="auto"/>
        </w:rPr>
        <w:t>）法律、法规或规章规定的其他串通投标行为。</w:t>
      </w:r>
    </w:p>
    <w:p w14:paraId="3AE25D94">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472" w:firstLineChars="196"/>
        <w:rPr>
          <w:rFonts w:ascii="宋体" w:hAnsi="宋体" w:cs="宋体"/>
          <w:b/>
          <w:color w:val="auto"/>
          <w:sz w:val="24"/>
        </w:rPr>
      </w:pPr>
      <w:r>
        <w:rPr>
          <w:rFonts w:hint="eastAsia" w:ascii="宋体" w:hAnsi="宋体" w:cs="宋体"/>
          <w:b/>
          <w:color w:val="auto"/>
          <w:sz w:val="24"/>
        </w:rPr>
        <w:t>26、 投标文件的澄清</w:t>
      </w:r>
    </w:p>
    <w:p w14:paraId="153F116E">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firstLine="480" w:firstLineChars="200"/>
        <w:rPr>
          <w:rFonts w:cs="宋体"/>
          <w:color w:val="auto"/>
          <w:sz w:val="24"/>
          <w:szCs w:val="24"/>
        </w:rPr>
      </w:pPr>
      <w:r>
        <w:rPr>
          <w:rFonts w:hint="eastAsia" w:cs="宋体"/>
          <w:color w:val="auto"/>
          <w:sz w:val="24"/>
          <w:szCs w:val="24"/>
        </w:rPr>
        <w:t>26.1对投标文件中含义不明确、同类问题表述不一致或者有明显文字和计算错误的内容，评标委员会将以书面形式通知投标人作出必要的澄清、说明或者补正。该要求应当采用书面形式,并由评标委员会专家共同签字确认。投标人的澄清、说明或者补正应采用书面形式，并加盖公章，或者由法定代表人或其授权的代表签字。投标人的澄清、说明或者补正不得超出投标文件的范围或者改变投标文件的实质性内容。</w:t>
      </w:r>
    </w:p>
    <w:p w14:paraId="1F38BF76">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firstLine="480" w:firstLineChars="200"/>
        <w:rPr>
          <w:rFonts w:cs="宋体"/>
          <w:color w:val="auto"/>
          <w:sz w:val="24"/>
          <w:szCs w:val="24"/>
        </w:rPr>
      </w:pPr>
      <w:r>
        <w:rPr>
          <w:rFonts w:hint="eastAsia" w:cs="宋体"/>
          <w:color w:val="auto"/>
          <w:sz w:val="24"/>
          <w:szCs w:val="24"/>
        </w:rPr>
        <w:t>26.2 投标人必须按照评标委员会要求的内容和时间做出书面答复，该答复须经法定代表人或其授权的代表签字认可，作为投标文件内容的一部分。澄清、说明或者纠正不得超出投标文件的范围或者改变投标文件的实质性内容。</w:t>
      </w:r>
    </w:p>
    <w:p w14:paraId="274B222F">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140" w:leftChars="50" w:firstLine="480" w:firstLineChars="200"/>
        <w:rPr>
          <w:rFonts w:cs="宋体"/>
          <w:color w:val="auto"/>
          <w:sz w:val="24"/>
          <w:szCs w:val="24"/>
        </w:rPr>
      </w:pPr>
      <w:r>
        <w:rPr>
          <w:rFonts w:hint="eastAsia" w:cs="宋体"/>
          <w:color w:val="auto"/>
          <w:sz w:val="24"/>
          <w:szCs w:val="24"/>
        </w:rPr>
        <w:t>26.3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5E37276">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545" w:firstLineChars="226"/>
        <w:rPr>
          <w:rFonts w:ascii="宋体" w:hAnsi="宋体" w:cs="宋体"/>
          <w:b/>
          <w:color w:val="auto"/>
          <w:sz w:val="24"/>
        </w:rPr>
      </w:pPr>
      <w:r>
        <w:rPr>
          <w:rFonts w:hint="eastAsia" w:ascii="宋体" w:hAnsi="宋体" w:cs="宋体"/>
          <w:b/>
          <w:color w:val="auto"/>
          <w:sz w:val="24"/>
        </w:rPr>
        <w:t>27、详细评审</w:t>
      </w:r>
    </w:p>
    <w:p w14:paraId="173B8EA5">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542" w:firstLineChars="226"/>
        <w:rPr>
          <w:rFonts w:ascii="宋体" w:hAnsi="宋体" w:cs="宋体"/>
          <w:color w:val="auto"/>
          <w:kern w:val="0"/>
          <w:sz w:val="24"/>
        </w:rPr>
      </w:pPr>
      <w:r>
        <w:rPr>
          <w:rFonts w:hint="eastAsia" w:ascii="宋体" w:hAnsi="宋体" w:cs="宋体"/>
          <w:color w:val="auto"/>
          <w:kern w:val="0"/>
          <w:sz w:val="24"/>
        </w:rPr>
        <w:t>评标委员会应当按照招标文件中规定的评标方法和标准，对符合性审查合格的投标文件进行比较与评价。具体评审原则、方法和</w:t>
      </w:r>
      <w:r>
        <w:rPr>
          <w:rFonts w:hint="eastAsia" w:ascii="宋体" w:hAnsi="宋体" w:cs="宋体"/>
          <w:color w:val="auto"/>
          <w:kern w:val="0"/>
          <w:sz w:val="24"/>
          <w:lang w:eastAsia="zh-CN"/>
        </w:rPr>
        <w:t>成交</w:t>
      </w:r>
      <w:r>
        <w:rPr>
          <w:rFonts w:hint="eastAsia" w:ascii="宋体" w:hAnsi="宋体" w:cs="宋体"/>
          <w:color w:val="auto"/>
          <w:kern w:val="0"/>
          <w:sz w:val="24"/>
        </w:rPr>
        <w:t>条件详见招标文件第三</w:t>
      </w:r>
      <w:r>
        <w:rPr>
          <w:rFonts w:hint="eastAsia" w:ascii="宋体" w:hAnsi="宋体" w:cs="宋体"/>
          <w:color w:val="auto"/>
          <w:kern w:val="0"/>
          <w:sz w:val="24"/>
          <w:lang w:val="en-US" w:eastAsia="zh-CN"/>
        </w:rPr>
        <w:t>章</w:t>
      </w:r>
      <w:r>
        <w:rPr>
          <w:rFonts w:hint="eastAsia" w:ascii="宋体" w:hAnsi="宋体" w:cs="宋体"/>
          <w:color w:val="auto"/>
          <w:kern w:val="0"/>
          <w:sz w:val="24"/>
        </w:rPr>
        <w:t>“评标标准和评标办法”。</w:t>
      </w:r>
    </w:p>
    <w:p w14:paraId="616D72CC">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545" w:firstLineChars="226"/>
        <w:rPr>
          <w:rFonts w:ascii="宋体" w:hAnsi="宋体" w:cs="宋体"/>
          <w:b/>
          <w:color w:val="auto"/>
          <w:sz w:val="24"/>
        </w:rPr>
      </w:pPr>
      <w:r>
        <w:rPr>
          <w:rFonts w:hint="eastAsia" w:ascii="宋体" w:hAnsi="宋体" w:cs="宋体"/>
          <w:b/>
          <w:color w:val="auto"/>
          <w:sz w:val="24"/>
        </w:rPr>
        <w:t>28、评审复核</w:t>
      </w:r>
    </w:p>
    <w:p w14:paraId="126DC090">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542" w:firstLineChars="226"/>
        <w:rPr>
          <w:rFonts w:ascii="宋体" w:hAnsi="宋体" w:cs="宋体"/>
          <w:color w:val="auto"/>
          <w:kern w:val="0"/>
          <w:sz w:val="24"/>
        </w:rPr>
      </w:pPr>
      <w:r>
        <w:rPr>
          <w:rFonts w:hint="eastAsia" w:ascii="宋体" w:hAnsi="宋体" w:cs="宋体"/>
          <w:color w:val="auto"/>
          <w:kern w:val="0"/>
          <w:sz w:val="24"/>
        </w:rPr>
        <w:t>评标委员会要对评审数据进行校对、核对，对畸高、畸低的重大差异评分进行复核；要对评分汇总情况进行复核，特别是对排名第一的、报价最低的、投标或相应文件被认定为无效的情形进行重点复核。</w:t>
      </w:r>
    </w:p>
    <w:p w14:paraId="6FC014D0">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590" w:firstLineChars="245"/>
        <w:rPr>
          <w:rFonts w:ascii="宋体" w:hAnsi="宋体" w:cs="宋体"/>
          <w:b/>
          <w:color w:val="auto"/>
          <w:sz w:val="24"/>
        </w:rPr>
      </w:pPr>
      <w:r>
        <w:rPr>
          <w:rFonts w:hint="eastAsia" w:ascii="宋体" w:hAnsi="宋体" w:cs="宋体"/>
          <w:b/>
          <w:color w:val="auto"/>
          <w:sz w:val="24"/>
        </w:rPr>
        <w:t>29、推荐</w:t>
      </w:r>
      <w:r>
        <w:rPr>
          <w:rFonts w:hint="eastAsia" w:ascii="宋体" w:hAnsi="宋体" w:cs="宋体"/>
          <w:b/>
          <w:color w:val="auto"/>
          <w:sz w:val="24"/>
          <w:lang w:eastAsia="zh-CN"/>
        </w:rPr>
        <w:t>成交</w:t>
      </w:r>
      <w:r>
        <w:rPr>
          <w:rFonts w:hint="eastAsia" w:ascii="宋体" w:hAnsi="宋体" w:cs="宋体"/>
          <w:b/>
          <w:color w:val="auto"/>
          <w:sz w:val="24"/>
        </w:rPr>
        <w:t>候选</w:t>
      </w:r>
      <w:r>
        <w:rPr>
          <w:rFonts w:hint="eastAsia" w:ascii="宋体" w:hAnsi="宋体" w:cs="宋体"/>
          <w:b/>
          <w:color w:val="auto"/>
          <w:sz w:val="24"/>
          <w:lang w:val="en-US" w:eastAsia="zh-CN"/>
        </w:rPr>
        <w:t>人</w:t>
      </w:r>
      <w:r>
        <w:rPr>
          <w:rFonts w:hint="eastAsia" w:ascii="宋体" w:hAnsi="宋体" w:cs="宋体"/>
          <w:b/>
          <w:color w:val="auto"/>
          <w:sz w:val="24"/>
        </w:rPr>
        <w:t>名单</w:t>
      </w:r>
    </w:p>
    <w:p w14:paraId="0B5934E4">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140" w:leftChars="50" w:firstLine="480" w:firstLineChars="200"/>
        <w:rPr>
          <w:rFonts w:cs="宋体"/>
          <w:color w:val="auto"/>
          <w:sz w:val="24"/>
          <w:szCs w:val="24"/>
        </w:rPr>
      </w:pPr>
      <w:r>
        <w:rPr>
          <w:rFonts w:hint="eastAsia" w:cs="宋体"/>
          <w:color w:val="auto"/>
          <w:sz w:val="24"/>
          <w:szCs w:val="24"/>
        </w:rPr>
        <w:t>评标委员会根据详细评审结果按得分由高到低顺序排列</w:t>
      </w:r>
      <w:r>
        <w:rPr>
          <w:rFonts w:hint="eastAsia" w:cs="宋体"/>
          <w:color w:val="auto"/>
          <w:sz w:val="24"/>
          <w:szCs w:val="24"/>
          <w:lang w:eastAsia="zh-CN"/>
        </w:rPr>
        <w:t>成交</w:t>
      </w:r>
      <w:r>
        <w:rPr>
          <w:rFonts w:hint="eastAsia" w:cs="宋体"/>
          <w:color w:val="auto"/>
          <w:sz w:val="24"/>
          <w:szCs w:val="24"/>
        </w:rPr>
        <w:t>候选</w:t>
      </w:r>
      <w:r>
        <w:rPr>
          <w:rFonts w:hint="eastAsia" w:cs="宋体"/>
          <w:color w:val="auto"/>
          <w:sz w:val="24"/>
          <w:szCs w:val="24"/>
          <w:lang w:val="en-US" w:eastAsia="zh-CN"/>
        </w:rPr>
        <w:t>人</w:t>
      </w:r>
      <w:r>
        <w:rPr>
          <w:rFonts w:hint="eastAsia" w:cs="宋体"/>
          <w:color w:val="auto"/>
          <w:sz w:val="24"/>
          <w:szCs w:val="24"/>
        </w:rPr>
        <w:t>，推荐或者确定</w:t>
      </w:r>
      <w:r>
        <w:rPr>
          <w:rFonts w:hint="eastAsia" w:cs="宋体"/>
          <w:color w:val="auto"/>
          <w:sz w:val="24"/>
          <w:szCs w:val="24"/>
          <w:lang w:eastAsia="zh-CN"/>
        </w:rPr>
        <w:t>成交</w:t>
      </w:r>
      <w:r>
        <w:rPr>
          <w:rFonts w:hint="eastAsia" w:cs="宋体"/>
          <w:color w:val="auto"/>
          <w:sz w:val="24"/>
          <w:szCs w:val="24"/>
        </w:rPr>
        <w:t>人。得分相同的，按投标报价由低到高顺序排列。得分且投标报价相同的，按技术指标优劣顺序排列。</w:t>
      </w:r>
    </w:p>
    <w:p w14:paraId="2FB5B5A2">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588" w:firstLineChars="244"/>
        <w:rPr>
          <w:rFonts w:ascii="宋体" w:hAnsi="宋体" w:cs="宋体"/>
          <w:b/>
          <w:color w:val="auto"/>
          <w:sz w:val="24"/>
        </w:rPr>
      </w:pPr>
      <w:r>
        <w:rPr>
          <w:rFonts w:hint="eastAsia" w:ascii="宋体" w:hAnsi="宋体" w:cs="宋体"/>
          <w:b/>
          <w:color w:val="auto"/>
          <w:sz w:val="24"/>
        </w:rPr>
        <w:t>30、编写评标报告</w:t>
      </w:r>
    </w:p>
    <w:p w14:paraId="64F32DFC">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188" w:leftChars="67" w:firstLine="480" w:firstLineChars="200"/>
        <w:rPr>
          <w:rFonts w:cs="宋体"/>
          <w:color w:val="auto"/>
          <w:sz w:val="24"/>
          <w:szCs w:val="24"/>
        </w:rPr>
      </w:pPr>
      <w:r>
        <w:rPr>
          <w:rFonts w:hint="eastAsia" w:cs="宋体"/>
          <w:color w:val="auto"/>
          <w:sz w:val="24"/>
          <w:szCs w:val="24"/>
        </w:rPr>
        <w:t>30.1评标委员会根据全体评标成员签字的原始记录和评标结果编写评标报告，并由全体评标成员共同签字确认。评标委员会成员对需要共同认定的事项存在争议的，应当按照少数服从多数的原则作出结论。持不同意见的评标委员会成员应当在评标报告上签署不同意见及理由，否则视为同意评标报告。</w:t>
      </w:r>
    </w:p>
    <w:p w14:paraId="7BC48268">
      <w:pPr>
        <w:keepNext w:val="0"/>
        <w:keepLines w:val="0"/>
        <w:pageBreakBefore w:val="0"/>
        <w:pBdr>
          <w:top w:val="none" w:color="auto" w:sz="0" w:space="1"/>
          <w:left w:val="none" w:color="auto" w:sz="0" w:space="4"/>
          <w:bottom w:val="none" w:color="auto" w:sz="0" w:space="1"/>
          <w:right w:val="none" w:color="auto" w:sz="0" w:space="4"/>
        </w:pBdr>
        <w:tabs>
          <w:tab w:val="left" w:pos="0"/>
        </w:tabs>
        <w:kinsoku/>
        <w:wordWrap/>
        <w:overflowPunct/>
        <w:topLinePunct w:val="0"/>
        <w:autoSpaceDE/>
        <w:autoSpaceDN/>
        <w:bidi w:val="0"/>
        <w:adjustRightInd w:val="0"/>
        <w:snapToGrid w:val="0"/>
        <w:spacing w:line="460" w:lineRule="exact"/>
        <w:ind w:firstLine="602" w:firstLineChars="250"/>
        <w:rPr>
          <w:rFonts w:ascii="宋体" w:hAnsi="宋体" w:cs="宋体"/>
          <w:b/>
          <w:color w:val="auto"/>
          <w:sz w:val="24"/>
        </w:rPr>
      </w:pPr>
      <w:r>
        <w:rPr>
          <w:rFonts w:hint="eastAsia" w:ascii="宋体" w:hAnsi="宋体" w:cs="宋体"/>
          <w:b/>
          <w:color w:val="auto"/>
          <w:sz w:val="24"/>
        </w:rPr>
        <w:t>30.2评标结果汇总完成后，除下列情形外，任何人不得修改评标结果：</w:t>
      </w:r>
    </w:p>
    <w:p w14:paraId="3C605E9D">
      <w:pPr>
        <w:keepNext w:val="0"/>
        <w:keepLines w:val="0"/>
        <w:pageBreakBefore w:val="0"/>
        <w:pBdr>
          <w:top w:val="none" w:color="auto" w:sz="0" w:space="1"/>
          <w:left w:val="none" w:color="auto" w:sz="0" w:space="4"/>
          <w:bottom w:val="none" w:color="auto" w:sz="0" w:space="1"/>
          <w:right w:val="none" w:color="auto" w:sz="0" w:space="4"/>
        </w:pBdr>
        <w:tabs>
          <w:tab w:val="left" w:pos="0"/>
        </w:tabs>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（1）分值汇总计算错误的；</w:t>
      </w:r>
    </w:p>
    <w:p w14:paraId="52F1F0B0">
      <w:pPr>
        <w:keepNext w:val="0"/>
        <w:keepLines w:val="0"/>
        <w:pageBreakBefore w:val="0"/>
        <w:pBdr>
          <w:top w:val="none" w:color="auto" w:sz="0" w:space="1"/>
          <w:left w:val="none" w:color="auto" w:sz="0" w:space="4"/>
          <w:bottom w:val="none" w:color="auto" w:sz="0" w:space="1"/>
          <w:right w:val="none" w:color="auto" w:sz="0" w:space="4"/>
        </w:pBdr>
        <w:tabs>
          <w:tab w:val="left" w:pos="0"/>
        </w:tabs>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（2）分项评分超出评分标准范围的；</w:t>
      </w:r>
    </w:p>
    <w:p w14:paraId="320A0DF6">
      <w:pPr>
        <w:keepNext w:val="0"/>
        <w:keepLines w:val="0"/>
        <w:pageBreakBefore w:val="0"/>
        <w:pBdr>
          <w:top w:val="none" w:color="auto" w:sz="0" w:space="1"/>
          <w:left w:val="none" w:color="auto" w:sz="0" w:space="4"/>
          <w:bottom w:val="none" w:color="auto" w:sz="0" w:space="1"/>
          <w:right w:val="none" w:color="auto" w:sz="0" w:space="4"/>
        </w:pBdr>
        <w:tabs>
          <w:tab w:val="left" w:pos="0"/>
        </w:tabs>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（3）评标委员会成员对客观评审因素评分不一致的；</w:t>
      </w:r>
    </w:p>
    <w:p w14:paraId="34094AD3">
      <w:pPr>
        <w:keepNext w:val="0"/>
        <w:keepLines w:val="0"/>
        <w:pageBreakBefore w:val="0"/>
        <w:pBdr>
          <w:top w:val="none" w:color="auto" w:sz="0" w:space="1"/>
          <w:left w:val="none" w:color="auto" w:sz="0" w:space="4"/>
          <w:bottom w:val="none" w:color="auto" w:sz="0" w:space="1"/>
          <w:right w:val="none" w:color="auto" w:sz="0" w:space="4"/>
        </w:pBdr>
        <w:tabs>
          <w:tab w:val="left" w:pos="0"/>
        </w:tabs>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（4）经评标委员会认定评分畸高、畸低的。</w:t>
      </w:r>
    </w:p>
    <w:p w14:paraId="428110B5">
      <w:pPr>
        <w:keepNext w:val="0"/>
        <w:keepLines w:val="0"/>
        <w:pageBreakBefore w:val="0"/>
        <w:pBdr>
          <w:top w:val="none" w:color="auto" w:sz="0" w:space="1"/>
          <w:left w:val="none" w:color="auto" w:sz="0" w:space="4"/>
          <w:bottom w:val="none" w:color="auto" w:sz="0" w:space="1"/>
          <w:right w:val="none" w:color="auto" w:sz="0" w:space="4"/>
        </w:pBdr>
        <w:tabs>
          <w:tab w:val="left" w:pos="0"/>
        </w:tabs>
        <w:kinsoku/>
        <w:wordWrap/>
        <w:overflowPunct/>
        <w:topLinePunct w:val="0"/>
        <w:autoSpaceDE/>
        <w:autoSpaceDN/>
        <w:bidi w:val="0"/>
        <w:adjustRightInd w:val="0"/>
        <w:snapToGrid w:val="0"/>
        <w:spacing w:line="460" w:lineRule="exact"/>
        <w:ind w:firstLine="595" w:firstLineChars="248"/>
        <w:rPr>
          <w:rFonts w:ascii="宋体" w:hAnsi="宋体" w:cs="宋体"/>
          <w:color w:val="auto"/>
          <w:sz w:val="24"/>
        </w:rPr>
      </w:pPr>
      <w:r>
        <w:rPr>
          <w:rFonts w:hint="eastAsia" w:ascii="宋体" w:hAnsi="宋体" w:cs="宋体"/>
          <w:color w:val="auto"/>
          <w:sz w:val="24"/>
        </w:rPr>
        <w:t>评标报告签署前，经复核发现存在以上情形之一的，评标委员会应当当场修改评标结果，并在评标报告中记载；评标报告签署后，采购人或者采购代理机构发现存在以上情形之一，应当组织原评标委员会进行重新评审，重新评审改变评标结果的，书面报告本级财政部门。</w:t>
      </w:r>
    </w:p>
    <w:p w14:paraId="4ACB3308">
      <w:pPr>
        <w:keepNext w:val="0"/>
        <w:keepLines w:val="0"/>
        <w:pageBreakBefore w:val="0"/>
        <w:pBdr>
          <w:top w:val="none" w:color="auto" w:sz="0" w:space="1"/>
          <w:left w:val="none" w:color="auto" w:sz="0" w:space="4"/>
          <w:bottom w:val="none" w:color="auto" w:sz="0" w:space="1"/>
          <w:right w:val="none" w:color="auto" w:sz="0" w:space="4"/>
        </w:pBdr>
        <w:tabs>
          <w:tab w:val="left" w:pos="0"/>
        </w:tabs>
        <w:kinsoku/>
        <w:wordWrap/>
        <w:overflowPunct/>
        <w:topLinePunct w:val="0"/>
        <w:autoSpaceDE/>
        <w:autoSpaceDN/>
        <w:bidi w:val="0"/>
        <w:adjustRightInd w:val="0"/>
        <w:snapToGrid w:val="0"/>
        <w:spacing w:line="460" w:lineRule="exact"/>
        <w:ind w:firstLine="240" w:firstLineChars="100"/>
        <w:rPr>
          <w:rFonts w:ascii="宋体" w:hAnsi="宋体" w:cs="宋体"/>
          <w:color w:val="auto"/>
          <w:sz w:val="24"/>
        </w:rPr>
      </w:pPr>
      <w:r>
        <w:rPr>
          <w:rFonts w:hint="eastAsia" w:ascii="宋体" w:hAnsi="宋体" w:cs="宋体"/>
          <w:color w:val="auto"/>
          <w:sz w:val="24"/>
        </w:rPr>
        <w:t xml:space="preserve">   投标人对本条第一款情形提出质疑的，采购人或者采购代理机构可以组织原评标委员会进行重新评审，重新评审改变评标结果的，应当书面报告本级财政部门。</w:t>
      </w:r>
    </w:p>
    <w:p w14:paraId="7122AF97">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482" w:firstLineChars="200"/>
        <w:rPr>
          <w:rFonts w:ascii="宋体" w:hAnsi="宋体" w:cs="宋体"/>
          <w:b/>
          <w:color w:val="auto"/>
          <w:sz w:val="24"/>
        </w:rPr>
      </w:pPr>
      <w:r>
        <w:rPr>
          <w:rFonts w:hint="eastAsia" w:ascii="宋体" w:hAnsi="宋体" w:cs="宋体"/>
          <w:b/>
          <w:color w:val="auto"/>
          <w:sz w:val="24"/>
        </w:rPr>
        <w:t>31、评标过程保密</w:t>
      </w:r>
    </w:p>
    <w:p w14:paraId="6A0A23CF">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firstLine="480" w:firstLineChars="200"/>
        <w:rPr>
          <w:rFonts w:cs="宋体"/>
          <w:color w:val="auto"/>
          <w:sz w:val="24"/>
          <w:szCs w:val="24"/>
        </w:rPr>
      </w:pPr>
      <w:r>
        <w:rPr>
          <w:rFonts w:hint="eastAsia" w:cs="宋体"/>
          <w:color w:val="auto"/>
          <w:sz w:val="24"/>
          <w:szCs w:val="24"/>
        </w:rPr>
        <w:t>开标之后，直到授予</w:t>
      </w:r>
      <w:r>
        <w:rPr>
          <w:rFonts w:hint="eastAsia" w:cs="宋体"/>
          <w:color w:val="auto"/>
          <w:sz w:val="24"/>
          <w:szCs w:val="24"/>
          <w:lang w:eastAsia="zh-CN"/>
        </w:rPr>
        <w:t>成交</w:t>
      </w:r>
      <w:r>
        <w:rPr>
          <w:rFonts w:hint="eastAsia" w:cs="宋体"/>
          <w:color w:val="auto"/>
          <w:sz w:val="24"/>
          <w:szCs w:val="24"/>
        </w:rPr>
        <w:t>人合同止，凡是属于审查、澄清、评价和比较投标的有关资料以及授标意向等，均不得向投标人或其他与评标无关的人员透露。</w:t>
      </w:r>
    </w:p>
    <w:p w14:paraId="0B15F86A">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545" w:firstLineChars="226"/>
        <w:rPr>
          <w:rFonts w:ascii="宋体" w:hAnsi="宋体" w:cs="宋体"/>
          <w:b/>
          <w:color w:val="auto"/>
          <w:sz w:val="24"/>
        </w:rPr>
      </w:pPr>
      <w:r>
        <w:rPr>
          <w:rFonts w:hint="eastAsia" w:ascii="宋体" w:hAnsi="宋体" w:cs="宋体"/>
          <w:b/>
          <w:color w:val="auto"/>
          <w:sz w:val="24"/>
        </w:rPr>
        <w:t>32、关于投标人瑕疵滞后发现的处理规则</w:t>
      </w:r>
    </w:p>
    <w:p w14:paraId="371F5FAC">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542" w:firstLineChars="226"/>
        <w:rPr>
          <w:rFonts w:ascii="宋体" w:hAnsi="宋体" w:cs="宋体"/>
          <w:color w:val="auto"/>
          <w:kern w:val="0"/>
          <w:sz w:val="24"/>
        </w:rPr>
      </w:pPr>
      <w:r>
        <w:rPr>
          <w:rFonts w:hint="eastAsia" w:ascii="宋体" w:hAnsi="宋体" w:cs="宋体"/>
          <w:color w:val="auto"/>
          <w:kern w:val="0"/>
          <w:sz w:val="24"/>
        </w:rPr>
        <w:t>无论基于何种原因，各项本应作拒绝投标和无效投标处理的情形，即便未被及时发现而使该投标人进入初审、详细评审或其它后续程序，包括已经签约的情形，一旦被发现存在上述情形，采购人或采购代理机构有权依法采取相应的纠正或补救措施。一旦此前评议结果被取消，其相关的一切损失均由该投标人承担。</w:t>
      </w:r>
    </w:p>
    <w:p w14:paraId="1F840466">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545" w:firstLineChars="226"/>
        <w:rPr>
          <w:rFonts w:ascii="宋体" w:hAnsi="宋体" w:cs="宋体"/>
          <w:b/>
          <w:color w:val="auto"/>
          <w:sz w:val="24"/>
        </w:rPr>
      </w:pPr>
      <w:r>
        <w:rPr>
          <w:rFonts w:hint="eastAsia" w:ascii="宋体" w:hAnsi="宋体" w:cs="宋体"/>
          <w:b/>
          <w:color w:val="auto"/>
          <w:sz w:val="24"/>
        </w:rPr>
        <w:t>33、采购项目废标</w:t>
      </w:r>
    </w:p>
    <w:p w14:paraId="0C5A2A6A">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firstLine="480" w:firstLineChars="200"/>
        <w:rPr>
          <w:rFonts w:cs="宋体"/>
          <w:color w:val="auto"/>
          <w:sz w:val="24"/>
          <w:szCs w:val="24"/>
        </w:rPr>
      </w:pPr>
      <w:r>
        <w:rPr>
          <w:rFonts w:hint="eastAsia" w:cs="宋体"/>
          <w:color w:val="auto"/>
          <w:sz w:val="24"/>
          <w:szCs w:val="24"/>
        </w:rPr>
        <w:t>33.1经采购人或采购代理机构依法对投标人进行资格审查，经审查后，合格投标人不足3家的，予以废标；</w:t>
      </w:r>
    </w:p>
    <w:p w14:paraId="5BB5ABF0">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476" w:leftChars="170" w:firstLine="120" w:firstLineChars="50"/>
        <w:rPr>
          <w:rFonts w:cs="宋体"/>
          <w:color w:val="auto"/>
          <w:sz w:val="24"/>
          <w:szCs w:val="24"/>
        </w:rPr>
      </w:pPr>
      <w:r>
        <w:rPr>
          <w:rFonts w:hint="eastAsia" w:cs="宋体"/>
          <w:color w:val="auto"/>
          <w:sz w:val="24"/>
          <w:szCs w:val="24"/>
        </w:rPr>
        <w:t>33.2 在评标过程中，评标委员会发现有下列情形之一的，应对采购项目予以废标：</w:t>
      </w:r>
    </w:p>
    <w:p w14:paraId="41A8EAC4">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889" w:leftChars="171" w:hanging="410" w:hangingChars="171"/>
        <w:rPr>
          <w:rFonts w:cs="宋体"/>
          <w:color w:val="auto"/>
          <w:sz w:val="24"/>
          <w:szCs w:val="24"/>
        </w:rPr>
      </w:pPr>
      <w:r>
        <w:rPr>
          <w:rFonts w:hint="eastAsia" w:cs="宋体"/>
          <w:color w:val="auto"/>
          <w:sz w:val="24"/>
          <w:szCs w:val="24"/>
        </w:rPr>
        <w:t>（1）符合专业条件的投标</w:t>
      </w:r>
      <w:r>
        <w:rPr>
          <w:rFonts w:hint="eastAsia" w:cs="宋体"/>
          <w:color w:val="auto"/>
          <w:sz w:val="24"/>
          <w:szCs w:val="24"/>
          <w:lang w:val="en-US" w:eastAsia="zh-CN"/>
        </w:rPr>
        <w:t>人</w:t>
      </w:r>
      <w:r>
        <w:rPr>
          <w:rFonts w:hint="eastAsia" w:cs="宋体"/>
          <w:color w:val="auto"/>
          <w:sz w:val="24"/>
          <w:szCs w:val="24"/>
        </w:rPr>
        <w:t>或者对招标文件作实质响应的</w:t>
      </w:r>
      <w:r>
        <w:rPr>
          <w:rFonts w:hint="eastAsia" w:cs="宋体"/>
          <w:color w:val="auto"/>
          <w:sz w:val="24"/>
          <w:szCs w:val="24"/>
          <w:lang w:val="en-US" w:eastAsia="zh-CN"/>
        </w:rPr>
        <w:t>投标人</w:t>
      </w:r>
      <w:r>
        <w:rPr>
          <w:rFonts w:hint="eastAsia" w:cs="宋体"/>
          <w:color w:val="auto"/>
          <w:sz w:val="24"/>
          <w:szCs w:val="24"/>
        </w:rPr>
        <w:t>数量不足3家的；</w:t>
      </w:r>
    </w:p>
    <w:p w14:paraId="6B3319B2">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889" w:leftChars="171" w:hanging="410" w:hangingChars="171"/>
        <w:rPr>
          <w:rFonts w:cs="宋体"/>
          <w:color w:val="auto"/>
          <w:sz w:val="24"/>
          <w:szCs w:val="24"/>
        </w:rPr>
      </w:pPr>
      <w:r>
        <w:rPr>
          <w:rFonts w:hint="eastAsia" w:cs="宋体"/>
          <w:color w:val="auto"/>
          <w:sz w:val="24"/>
          <w:szCs w:val="24"/>
        </w:rPr>
        <w:t>（2）投标人的报价均超过采购预算的；</w:t>
      </w:r>
    </w:p>
    <w:p w14:paraId="2EA3C08B">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889" w:leftChars="171" w:hanging="410" w:hangingChars="171"/>
        <w:rPr>
          <w:rFonts w:cs="宋体"/>
          <w:color w:val="auto"/>
          <w:sz w:val="24"/>
          <w:szCs w:val="24"/>
        </w:rPr>
      </w:pPr>
      <w:r>
        <w:rPr>
          <w:rFonts w:hint="eastAsia" w:cs="宋体"/>
          <w:color w:val="auto"/>
          <w:sz w:val="24"/>
          <w:szCs w:val="24"/>
        </w:rPr>
        <w:t>（3）出现影响采购公正的违法、违规行为的；</w:t>
      </w:r>
    </w:p>
    <w:p w14:paraId="7D2B118D">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889" w:leftChars="171" w:hanging="410" w:hangingChars="171"/>
        <w:rPr>
          <w:rFonts w:cs="宋体"/>
          <w:color w:val="auto"/>
          <w:sz w:val="24"/>
          <w:szCs w:val="24"/>
        </w:rPr>
      </w:pPr>
      <w:r>
        <w:rPr>
          <w:rFonts w:hint="eastAsia" w:cs="宋体"/>
          <w:color w:val="auto"/>
          <w:sz w:val="24"/>
          <w:szCs w:val="24"/>
        </w:rPr>
        <w:t>（4）因重大变故，采购任务取消的。</w:t>
      </w:r>
    </w:p>
    <w:p w14:paraId="5990CA79">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476" w:leftChars="170" w:firstLine="120" w:firstLineChars="50"/>
        <w:rPr>
          <w:rFonts w:cs="宋体"/>
          <w:color w:val="auto"/>
          <w:sz w:val="24"/>
          <w:szCs w:val="24"/>
        </w:rPr>
      </w:pPr>
      <w:r>
        <w:rPr>
          <w:rFonts w:hint="eastAsia" w:cs="宋体"/>
          <w:color w:val="auto"/>
          <w:sz w:val="24"/>
          <w:szCs w:val="24"/>
        </w:rPr>
        <w:t>采购项目废标后，评标委员会应做出书面报告。</w:t>
      </w:r>
    </w:p>
    <w:p w14:paraId="6BD96266">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firstLine="480" w:firstLineChars="200"/>
        <w:rPr>
          <w:rFonts w:cs="宋体"/>
          <w:color w:val="auto"/>
          <w:sz w:val="24"/>
          <w:szCs w:val="24"/>
        </w:rPr>
      </w:pPr>
      <w:r>
        <w:rPr>
          <w:rFonts w:hint="eastAsia" w:cs="宋体"/>
          <w:color w:val="auto"/>
          <w:sz w:val="24"/>
          <w:szCs w:val="24"/>
        </w:rPr>
        <w:t>33.3 废标后，采购人或采购代理机构将在财政部门指定的媒体上发布废标结果公告，并依法重新组织采购活动。</w:t>
      </w:r>
    </w:p>
    <w:p w14:paraId="54C225D4">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firstLine="480" w:firstLineChars="200"/>
        <w:rPr>
          <w:rFonts w:cs="宋体"/>
          <w:color w:val="auto"/>
          <w:sz w:val="24"/>
          <w:szCs w:val="24"/>
        </w:rPr>
      </w:pPr>
      <w:r>
        <w:rPr>
          <w:rFonts w:hint="eastAsia" w:cs="宋体"/>
          <w:color w:val="auto"/>
          <w:sz w:val="24"/>
          <w:szCs w:val="24"/>
        </w:rPr>
        <w:t>33.4投标截止时间结束后参加投标的供应商不足三家,或在评标期间出现对招标文件作出实质响应的供应商不足三家情形的，采购人或采购代理机构将视具体情况报告政府采购监管部门，按政府采购监管部门答复的意见改为其他方式继续采购。</w:t>
      </w:r>
      <w:bookmarkStart w:id="16" w:name="_Toc509771949"/>
      <w:bookmarkStart w:id="17" w:name="_Toc352761936"/>
    </w:p>
    <w:p w14:paraId="63180FC5">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393" w:hanging="393" w:hangingChars="163"/>
        <w:jc w:val="center"/>
        <w:rPr>
          <w:rFonts w:cs="宋体"/>
          <w:b/>
          <w:bCs/>
          <w:color w:val="auto"/>
          <w:sz w:val="24"/>
          <w:szCs w:val="24"/>
        </w:rPr>
      </w:pPr>
      <w:r>
        <w:rPr>
          <w:rFonts w:hint="eastAsia" w:cs="宋体"/>
          <w:b/>
          <w:bCs/>
          <w:color w:val="auto"/>
          <w:sz w:val="24"/>
          <w:szCs w:val="24"/>
        </w:rPr>
        <w:t>七、签订合同</w:t>
      </w:r>
      <w:bookmarkEnd w:id="16"/>
      <w:bookmarkEnd w:id="17"/>
    </w:p>
    <w:p w14:paraId="2292E6D9">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476" w:leftChars="170" w:firstLine="118" w:firstLineChars="49"/>
        <w:rPr>
          <w:rFonts w:cs="宋体"/>
          <w:b/>
          <w:color w:val="auto"/>
          <w:sz w:val="24"/>
          <w:szCs w:val="24"/>
        </w:rPr>
      </w:pPr>
      <w:r>
        <w:rPr>
          <w:rFonts w:hint="eastAsia" w:cs="宋体"/>
          <w:b/>
          <w:color w:val="auto"/>
          <w:sz w:val="24"/>
          <w:szCs w:val="24"/>
        </w:rPr>
        <w:t>34、</w:t>
      </w:r>
      <w:r>
        <w:rPr>
          <w:rFonts w:hint="eastAsia" w:cs="宋体"/>
          <w:b/>
          <w:color w:val="auto"/>
          <w:sz w:val="24"/>
          <w:szCs w:val="24"/>
          <w:lang w:eastAsia="zh-CN"/>
        </w:rPr>
        <w:t>成交</w:t>
      </w:r>
      <w:r>
        <w:rPr>
          <w:rFonts w:hint="eastAsia" w:cs="宋体"/>
          <w:b/>
          <w:color w:val="auto"/>
          <w:sz w:val="24"/>
          <w:szCs w:val="24"/>
        </w:rPr>
        <w:t>通知</w:t>
      </w:r>
    </w:p>
    <w:p w14:paraId="27A368C4">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70" w:firstLineChars="196"/>
        <w:rPr>
          <w:rFonts w:ascii="宋体" w:hAnsi="宋体" w:cs="宋体"/>
          <w:color w:val="auto"/>
          <w:sz w:val="24"/>
        </w:rPr>
      </w:pPr>
      <w:r>
        <w:rPr>
          <w:rFonts w:hint="eastAsia" w:ascii="宋体" w:hAnsi="宋体" w:cs="宋体"/>
          <w:color w:val="auto"/>
          <w:sz w:val="24"/>
        </w:rPr>
        <w:t>34.1采购代理机构应</w:t>
      </w:r>
      <w:r>
        <w:rPr>
          <w:rFonts w:hint="eastAsia" w:ascii="宋体" w:hAnsi="宋体" w:cs="宋体"/>
          <w:b/>
          <w:color w:val="auto"/>
          <w:sz w:val="24"/>
        </w:rPr>
        <w:t>当在评标结束后2个工作日内将评标报告送采购人</w:t>
      </w:r>
      <w:r>
        <w:rPr>
          <w:rFonts w:hint="eastAsia" w:ascii="宋体" w:hAnsi="宋体" w:cs="宋体"/>
          <w:color w:val="auto"/>
          <w:sz w:val="24"/>
        </w:rPr>
        <w:t>。采购人应当自收到评标报告之日起5个工作日内，在评标报告确定的</w:t>
      </w:r>
      <w:r>
        <w:rPr>
          <w:rFonts w:hint="eastAsia" w:ascii="宋体" w:hAnsi="宋体" w:cs="宋体"/>
          <w:color w:val="auto"/>
          <w:sz w:val="24"/>
          <w:lang w:eastAsia="zh-CN"/>
        </w:rPr>
        <w:t>成交</w:t>
      </w:r>
      <w:r>
        <w:rPr>
          <w:rFonts w:hint="eastAsia" w:ascii="宋体" w:hAnsi="宋体" w:cs="宋体"/>
          <w:color w:val="auto"/>
          <w:sz w:val="24"/>
        </w:rPr>
        <w:t>候选人名单中按顺序确定</w:t>
      </w:r>
      <w:r>
        <w:rPr>
          <w:rFonts w:hint="eastAsia" w:ascii="宋体" w:hAnsi="宋体" w:cs="宋体"/>
          <w:color w:val="auto"/>
          <w:sz w:val="24"/>
          <w:lang w:eastAsia="zh-CN"/>
        </w:rPr>
        <w:t>成交</w:t>
      </w:r>
      <w:r>
        <w:rPr>
          <w:rFonts w:hint="eastAsia" w:ascii="宋体" w:hAnsi="宋体" w:cs="宋体"/>
          <w:color w:val="auto"/>
          <w:sz w:val="24"/>
        </w:rPr>
        <w:t>人。</w:t>
      </w:r>
      <w:r>
        <w:rPr>
          <w:rFonts w:hint="eastAsia" w:ascii="宋体" w:hAnsi="宋体" w:cs="宋体"/>
          <w:color w:val="auto"/>
          <w:sz w:val="24"/>
          <w:lang w:eastAsia="zh-CN"/>
        </w:rPr>
        <w:t>成交</w:t>
      </w:r>
      <w:r>
        <w:rPr>
          <w:rFonts w:hint="eastAsia" w:ascii="宋体" w:hAnsi="宋体" w:cs="宋体"/>
          <w:color w:val="auto"/>
          <w:sz w:val="24"/>
        </w:rPr>
        <w:t>候选人并列的，由采购人或者采购人委托评标委员会按照招标文件规定的方式确定</w:t>
      </w:r>
      <w:r>
        <w:rPr>
          <w:rFonts w:hint="eastAsia" w:ascii="宋体" w:hAnsi="宋体" w:cs="宋体"/>
          <w:color w:val="auto"/>
          <w:sz w:val="24"/>
          <w:lang w:eastAsia="zh-CN"/>
        </w:rPr>
        <w:t>成交</w:t>
      </w:r>
      <w:r>
        <w:rPr>
          <w:rFonts w:hint="eastAsia" w:ascii="宋体" w:hAnsi="宋体" w:cs="宋体"/>
          <w:color w:val="auto"/>
          <w:sz w:val="24"/>
        </w:rPr>
        <w:t>人；招标文件未规定的，采取随机抽取的方式确定。采购人在收到评标报告5个工作日内未按评标报告推荐的</w:t>
      </w:r>
      <w:r>
        <w:rPr>
          <w:rFonts w:hint="eastAsia" w:ascii="宋体" w:hAnsi="宋体" w:cs="宋体"/>
          <w:color w:val="auto"/>
          <w:sz w:val="24"/>
          <w:lang w:eastAsia="zh-CN"/>
        </w:rPr>
        <w:t>成交</w:t>
      </w:r>
      <w:r>
        <w:rPr>
          <w:rFonts w:hint="eastAsia" w:ascii="宋体" w:hAnsi="宋体" w:cs="宋体"/>
          <w:color w:val="auto"/>
          <w:sz w:val="24"/>
        </w:rPr>
        <w:t>候选人顺序确定</w:t>
      </w:r>
      <w:r>
        <w:rPr>
          <w:rFonts w:hint="eastAsia" w:ascii="宋体" w:hAnsi="宋体" w:cs="宋体"/>
          <w:color w:val="auto"/>
          <w:sz w:val="24"/>
          <w:lang w:eastAsia="zh-CN"/>
        </w:rPr>
        <w:t>成交</w:t>
      </w:r>
      <w:r>
        <w:rPr>
          <w:rFonts w:hint="eastAsia" w:ascii="宋体" w:hAnsi="宋体" w:cs="宋体"/>
          <w:color w:val="auto"/>
          <w:sz w:val="24"/>
        </w:rPr>
        <w:t>人，又不能说明合法理由的，视同按评标报告推荐的顺序确定排名第一的</w:t>
      </w:r>
      <w:r>
        <w:rPr>
          <w:rFonts w:hint="eastAsia" w:ascii="宋体" w:hAnsi="宋体" w:cs="宋体"/>
          <w:color w:val="auto"/>
          <w:sz w:val="24"/>
          <w:lang w:eastAsia="zh-CN"/>
        </w:rPr>
        <w:t>成交</w:t>
      </w:r>
      <w:r>
        <w:rPr>
          <w:rFonts w:hint="eastAsia" w:ascii="宋体" w:hAnsi="宋体" w:cs="宋体"/>
          <w:color w:val="auto"/>
          <w:sz w:val="24"/>
        </w:rPr>
        <w:t>候选人为</w:t>
      </w:r>
      <w:r>
        <w:rPr>
          <w:rFonts w:hint="eastAsia" w:ascii="宋体" w:hAnsi="宋体" w:cs="宋体"/>
          <w:color w:val="auto"/>
          <w:sz w:val="24"/>
          <w:lang w:eastAsia="zh-CN"/>
        </w:rPr>
        <w:t>成交</w:t>
      </w:r>
      <w:r>
        <w:rPr>
          <w:rFonts w:hint="eastAsia" w:ascii="宋体" w:hAnsi="宋体" w:cs="宋体"/>
          <w:color w:val="auto"/>
          <w:sz w:val="24"/>
        </w:rPr>
        <w:t>人。</w:t>
      </w:r>
    </w:p>
    <w:p w14:paraId="2805BEA1">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70" w:firstLineChars="196"/>
        <w:rPr>
          <w:rFonts w:ascii="宋体" w:hAnsi="宋体" w:cs="宋体"/>
          <w:color w:val="auto"/>
          <w:sz w:val="24"/>
        </w:rPr>
      </w:pPr>
      <w:r>
        <w:rPr>
          <w:rFonts w:hint="eastAsia" w:ascii="宋体" w:hAnsi="宋体" w:cs="宋体"/>
          <w:color w:val="auto"/>
          <w:sz w:val="24"/>
        </w:rPr>
        <w:t>34.2采购人或者采购代理机构应当自</w:t>
      </w:r>
      <w:r>
        <w:rPr>
          <w:rFonts w:hint="eastAsia" w:ascii="宋体" w:hAnsi="宋体" w:cs="宋体"/>
          <w:color w:val="auto"/>
          <w:sz w:val="24"/>
          <w:lang w:eastAsia="zh-CN"/>
        </w:rPr>
        <w:t>成交</w:t>
      </w:r>
      <w:r>
        <w:rPr>
          <w:rFonts w:hint="eastAsia" w:ascii="宋体" w:hAnsi="宋体" w:cs="宋体"/>
          <w:color w:val="auto"/>
          <w:sz w:val="24"/>
        </w:rPr>
        <w:t>人确定之日起2个工作日内，在省级以上财政部门指定的媒体上公告</w:t>
      </w:r>
      <w:r>
        <w:rPr>
          <w:rFonts w:hint="eastAsia" w:ascii="宋体" w:hAnsi="宋体" w:cs="宋体"/>
          <w:color w:val="auto"/>
          <w:sz w:val="24"/>
          <w:lang w:eastAsia="zh-CN"/>
        </w:rPr>
        <w:t>成交</w:t>
      </w:r>
      <w:r>
        <w:rPr>
          <w:rFonts w:hint="eastAsia" w:ascii="宋体" w:hAnsi="宋体" w:cs="宋体"/>
          <w:color w:val="auto"/>
          <w:sz w:val="24"/>
        </w:rPr>
        <w:t>结果，</w:t>
      </w:r>
      <w:r>
        <w:rPr>
          <w:rFonts w:hint="eastAsia" w:ascii="宋体" w:hAnsi="宋体" w:cs="宋体"/>
          <w:b w:val="0"/>
          <w:bCs/>
          <w:color w:val="auto"/>
          <w:sz w:val="24"/>
        </w:rPr>
        <w:t>招标文件应当随</w:t>
      </w:r>
      <w:r>
        <w:rPr>
          <w:rFonts w:hint="eastAsia" w:ascii="宋体" w:hAnsi="宋体" w:cs="宋体"/>
          <w:b w:val="0"/>
          <w:bCs/>
          <w:color w:val="auto"/>
          <w:sz w:val="24"/>
          <w:lang w:eastAsia="zh-CN"/>
        </w:rPr>
        <w:t>成交</w:t>
      </w:r>
      <w:r>
        <w:rPr>
          <w:rFonts w:hint="eastAsia" w:ascii="宋体" w:hAnsi="宋体" w:cs="宋体"/>
          <w:b w:val="0"/>
          <w:bCs/>
          <w:color w:val="auto"/>
          <w:sz w:val="24"/>
        </w:rPr>
        <w:t>结果同时公告</w:t>
      </w:r>
      <w:r>
        <w:rPr>
          <w:rFonts w:hint="eastAsia" w:ascii="宋体" w:hAnsi="宋体" w:cs="宋体"/>
          <w:color w:val="auto"/>
          <w:sz w:val="24"/>
        </w:rPr>
        <w:t>。</w:t>
      </w:r>
      <w:r>
        <w:rPr>
          <w:rFonts w:hint="eastAsia" w:ascii="宋体" w:hAnsi="宋体" w:cs="宋体"/>
          <w:color w:val="auto"/>
          <w:sz w:val="24"/>
          <w:lang w:eastAsia="zh-CN"/>
        </w:rPr>
        <w:t>成交</w:t>
      </w:r>
      <w:r>
        <w:rPr>
          <w:rFonts w:hint="eastAsia" w:ascii="宋体" w:hAnsi="宋体" w:cs="宋体"/>
          <w:color w:val="auto"/>
          <w:sz w:val="24"/>
        </w:rPr>
        <w:t>公告期限为1个工作日。在公告</w:t>
      </w:r>
      <w:r>
        <w:rPr>
          <w:rFonts w:hint="eastAsia" w:ascii="宋体" w:hAnsi="宋体" w:cs="宋体"/>
          <w:color w:val="auto"/>
          <w:sz w:val="24"/>
          <w:lang w:eastAsia="zh-CN"/>
        </w:rPr>
        <w:t>成交</w:t>
      </w:r>
      <w:r>
        <w:rPr>
          <w:rFonts w:hint="eastAsia" w:ascii="宋体" w:hAnsi="宋体" w:cs="宋体"/>
          <w:color w:val="auto"/>
          <w:sz w:val="24"/>
        </w:rPr>
        <w:t>结果的同时，采购人或者采购代理机构应当向</w:t>
      </w:r>
      <w:r>
        <w:rPr>
          <w:rFonts w:hint="eastAsia" w:ascii="宋体" w:hAnsi="宋体" w:cs="宋体"/>
          <w:color w:val="auto"/>
          <w:sz w:val="24"/>
          <w:lang w:eastAsia="zh-CN"/>
        </w:rPr>
        <w:t>成交</w:t>
      </w:r>
      <w:r>
        <w:rPr>
          <w:rFonts w:hint="eastAsia" w:ascii="宋体" w:hAnsi="宋体" w:cs="宋体"/>
          <w:color w:val="auto"/>
          <w:sz w:val="24"/>
        </w:rPr>
        <w:t>人发出</w:t>
      </w:r>
      <w:r>
        <w:rPr>
          <w:rFonts w:hint="eastAsia" w:ascii="宋体" w:hAnsi="宋体" w:cs="宋体"/>
          <w:color w:val="auto"/>
          <w:sz w:val="24"/>
          <w:lang w:eastAsia="zh-CN"/>
        </w:rPr>
        <w:t>成交通知书</w:t>
      </w:r>
      <w:r>
        <w:rPr>
          <w:rFonts w:hint="eastAsia" w:ascii="宋体" w:hAnsi="宋体" w:cs="宋体"/>
          <w:color w:val="auto"/>
          <w:sz w:val="24"/>
        </w:rPr>
        <w:t>；但该</w:t>
      </w:r>
      <w:r>
        <w:rPr>
          <w:rFonts w:hint="eastAsia" w:ascii="宋体" w:hAnsi="宋体" w:cs="宋体"/>
          <w:color w:val="auto"/>
          <w:sz w:val="24"/>
          <w:lang w:eastAsia="zh-CN"/>
        </w:rPr>
        <w:t>成交</w:t>
      </w:r>
      <w:r>
        <w:rPr>
          <w:rFonts w:hint="eastAsia" w:ascii="宋体" w:hAnsi="宋体" w:cs="宋体"/>
          <w:color w:val="auto"/>
          <w:sz w:val="24"/>
        </w:rPr>
        <w:t>结果的有效性不依赖于未</w:t>
      </w:r>
      <w:r>
        <w:rPr>
          <w:rFonts w:hint="eastAsia" w:ascii="宋体" w:hAnsi="宋体" w:cs="宋体"/>
          <w:color w:val="auto"/>
          <w:sz w:val="24"/>
          <w:lang w:eastAsia="zh-CN"/>
        </w:rPr>
        <w:t>成交</w:t>
      </w:r>
      <w:r>
        <w:rPr>
          <w:rFonts w:hint="eastAsia" w:ascii="宋体" w:hAnsi="宋体" w:cs="宋体"/>
          <w:color w:val="auto"/>
          <w:sz w:val="24"/>
        </w:rPr>
        <w:t>的投标人是否知道</w:t>
      </w:r>
      <w:r>
        <w:rPr>
          <w:rFonts w:hint="eastAsia" w:ascii="宋体" w:hAnsi="宋体" w:cs="宋体"/>
          <w:color w:val="auto"/>
          <w:sz w:val="24"/>
          <w:lang w:eastAsia="zh-CN"/>
        </w:rPr>
        <w:t>成交</w:t>
      </w:r>
      <w:r>
        <w:rPr>
          <w:rFonts w:hint="eastAsia" w:ascii="宋体" w:hAnsi="宋体" w:cs="宋体"/>
          <w:color w:val="auto"/>
          <w:sz w:val="24"/>
        </w:rPr>
        <w:t>结果。</w:t>
      </w:r>
      <w:r>
        <w:rPr>
          <w:rFonts w:hint="eastAsia" w:ascii="宋体" w:hAnsi="宋体" w:cs="宋体"/>
          <w:color w:val="auto"/>
          <w:sz w:val="24"/>
          <w:lang w:eastAsia="zh-CN"/>
        </w:rPr>
        <w:t>成交通知书</w:t>
      </w:r>
      <w:r>
        <w:rPr>
          <w:rFonts w:hint="eastAsia" w:ascii="宋体" w:hAnsi="宋体" w:cs="宋体"/>
          <w:color w:val="auto"/>
          <w:sz w:val="24"/>
        </w:rPr>
        <w:t>对采购人和</w:t>
      </w:r>
      <w:r>
        <w:rPr>
          <w:rFonts w:hint="eastAsia" w:ascii="宋体" w:hAnsi="宋体" w:cs="宋体"/>
          <w:color w:val="auto"/>
          <w:sz w:val="24"/>
          <w:lang w:eastAsia="zh-CN"/>
        </w:rPr>
        <w:t>成交</w:t>
      </w:r>
      <w:r>
        <w:rPr>
          <w:rFonts w:hint="eastAsia" w:ascii="宋体" w:hAnsi="宋体" w:cs="宋体"/>
          <w:color w:val="auto"/>
          <w:sz w:val="24"/>
        </w:rPr>
        <w:t>人具有同等法律效力。</w:t>
      </w:r>
      <w:r>
        <w:rPr>
          <w:rFonts w:hint="eastAsia" w:ascii="宋体" w:hAnsi="宋体" w:cs="宋体"/>
          <w:color w:val="auto"/>
          <w:sz w:val="24"/>
          <w:lang w:eastAsia="zh-CN"/>
        </w:rPr>
        <w:t>成交通知书</w:t>
      </w:r>
      <w:r>
        <w:rPr>
          <w:rFonts w:hint="eastAsia" w:ascii="宋体" w:hAnsi="宋体" w:cs="宋体"/>
          <w:color w:val="auto"/>
          <w:sz w:val="24"/>
        </w:rPr>
        <w:t>发出后，采购人不得违法改变</w:t>
      </w:r>
      <w:r>
        <w:rPr>
          <w:rFonts w:hint="eastAsia" w:ascii="宋体" w:hAnsi="宋体" w:cs="宋体"/>
          <w:color w:val="auto"/>
          <w:sz w:val="24"/>
          <w:lang w:eastAsia="zh-CN"/>
        </w:rPr>
        <w:t>成交</w:t>
      </w:r>
      <w:r>
        <w:rPr>
          <w:rFonts w:hint="eastAsia" w:ascii="宋体" w:hAnsi="宋体" w:cs="宋体"/>
          <w:color w:val="auto"/>
          <w:sz w:val="24"/>
        </w:rPr>
        <w:t>结果，</w:t>
      </w:r>
      <w:r>
        <w:rPr>
          <w:rFonts w:hint="eastAsia" w:ascii="宋体" w:hAnsi="宋体" w:cs="宋体"/>
          <w:color w:val="auto"/>
          <w:sz w:val="24"/>
          <w:lang w:eastAsia="zh-CN"/>
        </w:rPr>
        <w:t>成交</w:t>
      </w:r>
      <w:r>
        <w:rPr>
          <w:rFonts w:hint="eastAsia" w:ascii="宋体" w:hAnsi="宋体" w:cs="宋体"/>
          <w:color w:val="auto"/>
          <w:sz w:val="24"/>
        </w:rPr>
        <w:t>人无正当理由不得放弃</w:t>
      </w:r>
      <w:r>
        <w:rPr>
          <w:rFonts w:hint="eastAsia" w:ascii="宋体" w:hAnsi="宋体" w:cs="宋体"/>
          <w:color w:val="auto"/>
          <w:sz w:val="24"/>
          <w:lang w:eastAsia="zh-CN"/>
        </w:rPr>
        <w:t>成交</w:t>
      </w:r>
      <w:r>
        <w:rPr>
          <w:rFonts w:hint="eastAsia" w:ascii="宋体" w:hAnsi="宋体" w:cs="宋体"/>
          <w:color w:val="auto"/>
          <w:sz w:val="24"/>
        </w:rPr>
        <w:t>。</w:t>
      </w:r>
    </w:p>
    <w:p w14:paraId="190DC803">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70" w:firstLineChars="196"/>
        <w:rPr>
          <w:rFonts w:ascii="宋体" w:hAnsi="宋体" w:cs="宋体"/>
          <w:color w:val="auto"/>
          <w:sz w:val="24"/>
        </w:rPr>
      </w:pPr>
      <w:r>
        <w:rPr>
          <w:rFonts w:hint="eastAsia" w:ascii="宋体" w:hAnsi="宋体" w:cs="宋体"/>
          <w:color w:val="auto"/>
          <w:sz w:val="24"/>
        </w:rPr>
        <w:t>34.3</w:t>
      </w:r>
      <w:r>
        <w:rPr>
          <w:rFonts w:hint="eastAsia" w:ascii="宋体" w:hAnsi="宋体" w:cs="宋体"/>
          <w:color w:val="auto"/>
          <w:sz w:val="24"/>
          <w:lang w:eastAsia="zh-CN"/>
        </w:rPr>
        <w:t>成交通知书</w:t>
      </w:r>
      <w:r>
        <w:rPr>
          <w:rFonts w:hint="eastAsia" w:ascii="宋体" w:hAnsi="宋体" w:cs="宋体"/>
          <w:color w:val="auto"/>
          <w:sz w:val="24"/>
        </w:rPr>
        <w:t>是合同的组成部分。</w:t>
      </w:r>
    </w:p>
    <w:p w14:paraId="16423C5D">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472" w:firstLineChars="196"/>
        <w:rPr>
          <w:rFonts w:ascii="宋体" w:hAnsi="宋体" w:cs="宋体"/>
          <w:b/>
          <w:color w:val="auto"/>
          <w:sz w:val="24"/>
        </w:rPr>
      </w:pPr>
      <w:r>
        <w:rPr>
          <w:rFonts w:hint="eastAsia" w:ascii="宋体" w:hAnsi="宋体" w:cs="宋体"/>
          <w:b/>
          <w:color w:val="auto"/>
          <w:sz w:val="24"/>
        </w:rPr>
        <w:t>35、签订合同</w:t>
      </w:r>
    </w:p>
    <w:p w14:paraId="7E5E6540">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35.1 采购人应当自</w:t>
      </w:r>
      <w:r>
        <w:rPr>
          <w:rFonts w:hint="eastAsia" w:ascii="宋体" w:hAnsi="宋体" w:cs="宋体"/>
          <w:color w:val="auto"/>
          <w:sz w:val="24"/>
          <w:lang w:eastAsia="zh-CN"/>
        </w:rPr>
        <w:t>成交通知书</w:t>
      </w:r>
      <w:r>
        <w:rPr>
          <w:rFonts w:hint="eastAsia" w:ascii="宋体" w:hAnsi="宋体" w:cs="宋体"/>
          <w:color w:val="auto"/>
          <w:sz w:val="24"/>
        </w:rPr>
        <w:t>发出之日起30日内与</w:t>
      </w:r>
      <w:r>
        <w:rPr>
          <w:rFonts w:hint="eastAsia" w:ascii="宋体" w:hAnsi="宋体" w:cs="宋体"/>
          <w:color w:val="auto"/>
          <w:sz w:val="24"/>
          <w:lang w:eastAsia="zh-CN"/>
        </w:rPr>
        <w:t>成交</w:t>
      </w:r>
      <w:r>
        <w:rPr>
          <w:rFonts w:hint="eastAsia" w:ascii="宋体" w:hAnsi="宋体" w:cs="宋体"/>
          <w:color w:val="auto"/>
          <w:sz w:val="24"/>
        </w:rPr>
        <w:t>人签订书面合同。</w:t>
      </w:r>
    </w:p>
    <w:p w14:paraId="3BAC1BC7">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firstLine="480" w:firstLineChars="200"/>
        <w:rPr>
          <w:rFonts w:cs="宋体"/>
          <w:color w:val="auto"/>
          <w:sz w:val="24"/>
          <w:szCs w:val="24"/>
        </w:rPr>
      </w:pPr>
      <w:r>
        <w:rPr>
          <w:rFonts w:hint="eastAsia" w:cs="宋体"/>
          <w:color w:val="auto"/>
          <w:sz w:val="24"/>
          <w:szCs w:val="24"/>
        </w:rPr>
        <w:t xml:space="preserve">35.2 </w:t>
      </w:r>
      <w:r>
        <w:rPr>
          <w:rFonts w:hint="eastAsia" w:cs="宋体"/>
          <w:color w:val="auto"/>
          <w:sz w:val="24"/>
          <w:szCs w:val="24"/>
          <w:lang w:eastAsia="zh-CN"/>
        </w:rPr>
        <w:t>成交</w:t>
      </w:r>
      <w:r>
        <w:rPr>
          <w:rFonts w:hint="eastAsia" w:cs="宋体"/>
          <w:color w:val="auto"/>
          <w:sz w:val="24"/>
          <w:szCs w:val="24"/>
        </w:rPr>
        <w:t>人应按照招标文件、投标文件及评标过程中的有关澄清、说明或者补正文件的内容与采购人签订合同。</w:t>
      </w:r>
      <w:r>
        <w:rPr>
          <w:rFonts w:hint="eastAsia" w:cs="宋体"/>
          <w:b/>
          <w:color w:val="auto"/>
          <w:sz w:val="24"/>
          <w:szCs w:val="24"/>
        </w:rPr>
        <w:t>所签的合同不得对招标文件确定的事项和</w:t>
      </w:r>
      <w:r>
        <w:rPr>
          <w:rFonts w:hint="eastAsia" w:cs="宋体"/>
          <w:b/>
          <w:color w:val="auto"/>
          <w:sz w:val="24"/>
          <w:szCs w:val="24"/>
          <w:lang w:eastAsia="zh-CN"/>
        </w:rPr>
        <w:t>成交</w:t>
      </w:r>
      <w:r>
        <w:rPr>
          <w:rFonts w:hint="eastAsia" w:cs="宋体"/>
          <w:b/>
          <w:color w:val="auto"/>
          <w:sz w:val="24"/>
          <w:szCs w:val="24"/>
        </w:rPr>
        <w:t>人对投标文件作实质性修改。</w:t>
      </w:r>
      <w:r>
        <w:rPr>
          <w:rFonts w:hint="eastAsia" w:cs="宋体"/>
          <w:b/>
          <w:color w:val="auto"/>
          <w:sz w:val="24"/>
          <w:szCs w:val="24"/>
          <w:lang w:eastAsia="zh-CN"/>
        </w:rPr>
        <w:t>成交</w:t>
      </w:r>
      <w:r>
        <w:rPr>
          <w:rFonts w:hint="eastAsia" w:cs="宋体"/>
          <w:b/>
          <w:color w:val="auto"/>
          <w:sz w:val="24"/>
          <w:szCs w:val="24"/>
        </w:rPr>
        <w:t>人不得再与采购人签订背离合同实质性内容的其它协议或声明。</w:t>
      </w:r>
    </w:p>
    <w:p w14:paraId="26FFAF75">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1" w:firstLine="600" w:firstLineChars="250"/>
        <w:rPr>
          <w:rFonts w:cs="宋体"/>
          <w:color w:val="auto"/>
          <w:sz w:val="24"/>
          <w:szCs w:val="24"/>
        </w:rPr>
      </w:pPr>
      <w:r>
        <w:rPr>
          <w:rFonts w:hint="eastAsia" w:cs="宋体"/>
          <w:color w:val="auto"/>
          <w:sz w:val="24"/>
          <w:szCs w:val="24"/>
        </w:rPr>
        <w:t>35.</w:t>
      </w:r>
      <w:r>
        <w:rPr>
          <w:rFonts w:hint="eastAsia" w:cs="宋体"/>
          <w:color w:val="auto"/>
          <w:sz w:val="24"/>
          <w:szCs w:val="24"/>
          <w:lang w:val="en-US" w:eastAsia="zh-CN"/>
        </w:rPr>
        <w:t>3</w:t>
      </w:r>
      <w:r>
        <w:rPr>
          <w:rFonts w:hint="eastAsia" w:cs="宋体"/>
          <w:color w:val="auto"/>
          <w:sz w:val="24"/>
          <w:szCs w:val="24"/>
          <w:lang w:eastAsia="zh-CN"/>
        </w:rPr>
        <w:t>成交</w:t>
      </w:r>
      <w:r>
        <w:rPr>
          <w:rFonts w:hint="eastAsia" w:cs="宋体"/>
          <w:color w:val="auto"/>
          <w:sz w:val="24"/>
          <w:szCs w:val="24"/>
        </w:rPr>
        <w:t>人一旦</w:t>
      </w:r>
      <w:r>
        <w:rPr>
          <w:rFonts w:hint="eastAsia" w:cs="宋体"/>
          <w:color w:val="auto"/>
          <w:sz w:val="24"/>
          <w:szCs w:val="24"/>
          <w:lang w:eastAsia="zh-CN"/>
        </w:rPr>
        <w:t>成交</w:t>
      </w:r>
      <w:r>
        <w:rPr>
          <w:rFonts w:hint="eastAsia" w:cs="宋体"/>
          <w:color w:val="auto"/>
          <w:sz w:val="24"/>
          <w:szCs w:val="24"/>
        </w:rPr>
        <w:t>，未经采购代理机构（或采购人）事先给予书面同意不得转包、分包，亦不得将合同全部及任何权利、义务向第三方转让，否则将被视为严重违约，采购代理机构（或采购人）有权决定按照</w:t>
      </w:r>
      <w:r>
        <w:rPr>
          <w:rFonts w:hint="eastAsia" w:cs="宋体"/>
          <w:color w:val="auto"/>
          <w:sz w:val="24"/>
          <w:szCs w:val="24"/>
          <w:lang w:eastAsia="zh-CN"/>
        </w:rPr>
        <w:t>成交</w:t>
      </w:r>
      <w:r>
        <w:rPr>
          <w:rFonts w:hint="eastAsia" w:cs="宋体"/>
          <w:color w:val="auto"/>
          <w:sz w:val="24"/>
          <w:szCs w:val="24"/>
        </w:rPr>
        <w:t>人</w:t>
      </w:r>
      <w:r>
        <w:rPr>
          <w:rFonts w:hint="eastAsia" w:cs="宋体"/>
          <w:color w:val="auto"/>
          <w:sz w:val="24"/>
          <w:szCs w:val="24"/>
          <w:lang w:eastAsia="zh-CN"/>
        </w:rPr>
        <w:t>成交</w:t>
      </w:r>
      <w:r>
        <w:rPr>
          <w:rFonts w:hint="eastAsia" w:cs="宋体"/>
          <w:color w:val="auto"/>
          <w:sz w:val="24"/>
          <w:szCs w:val="24"/>
        </w:rPr>
        <w:t>后毁标、终止或解除合同等依约处理。</w:t>
      </w:r>
    </w:p>
    <w:p w14:paraId="39164908">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476" w:leftChars="170" w:firstLine="118" w:firstLineChars="49"/>
        <w:rPr>
          <w:rFonts w:cs="宋体"/>
          <w:b/>
          <w:color w:val="auto"/>
          <w:sz w:val="24"/>
          <w:szCs w:val="24"/>
        </w:rPr>
      </w:pPr>
      <w:r>
        <w:rPr>
          <w:rFonts w:hint="eastAsia" w:cs="宋体"/>
          <w:b/>
          <w:color w:val="auto"/>
          <w:sz w:val="24"/>
          <w:szCs w:val="24"/>
        </w:rPr>
        <w:t>35.</w:t>
      </w:r>
      <w:r>
        <w:rPr>
          <w:rFonts w:hint="eastAsia" w:cs="宋体"/>
          <w:b/>
          <w:color w:val="auto"/>
          <w:sz w:val="24"/>
          <w:szCs w:val="24"/>
          <w:lang w:val="en-US" w:eastAsia="zh-CN"/>
        </w:rPr>
        <w:t>4</w:t>
      </w:r>
      <w:r>
        <w:rPr>
          <w:rFonts w:hint="eastAsia" w:cs="宋体"/>
          <w:b/>
          <w:color w:val="auto"/>
          <w:sz w:val="24"/>
          <w:szCs w:val="24"/>
        </w:rPr>
        <w:t>违反35.1条、35.2条、35.</w:t>
      </w:r>
      <w:r>
        <w:rPr>
          <w:rFonts w:hint="eastAsia" w:cs="宋体"/>
          <w:b/>
          <w:color w:val="auto"/>
          <w:sz w:val="24"/>
          <w:szCs w:val="24"/>
          <w:lang w:val="en-US" w:eastAsia="zh-CN"/>
        </w:rPr>
        <w:t>3</w:t>
      </w:r>
      <w:r>
        <w:rPr>
          <w:rFonts w:hint="eastAsia" w:cs="宋体"/>
          <w:b/>
          <w:color w:val="auto"/>
          <w:sz w:val="24"/>
          <w:szCs w:val="24"/>
        </w:rPr>
        <w:t>条的规定，给对方造成损失的，应承担赔偿责任。</w:t>
      </w:r>
    </w:p>
    <w:p w14:paraId="64777F77">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firstLine="472" w:firstLineChars="196"/>
        <w:jc w:val="left"/>
        <w:rPr>
          <w:rFonts w:cs="宋体"/>
          <w:color w:val="auto"/>
          <w:sz w:val="24"/>
          <w:szCs w:val="24"/>
        </w:rPr>
      </w:pPr>
      <w:r>
        <w:rPr>
          <w:rFonts w:hint="eastAsia" w:cs="宋体"/>
          <w:b/>
          <w:color w:val="auto"/>
          <w:sz w:val="24"/>
          <w:szCs w:val="24"/>
        </w:rPr>
        <w:t>35.</w:t>
      </w:r>
      <w:r>
        <w:rPr>
          <w:rFonts w:hint="eastAsia" w:cs="宋体"/>
          <w:b/>
          <w:color w:val="auto"/>
          <w:sz w:val="24"/>
          <w:szCs w:val="24"/>
          <w:lang w:val="en-US" w:eastAsia="zh-CN"/>
        </w:rPr>
        <w:t>5</w:t>
      </w:r>
      <w:r>
        <w:rPr>
          <w:rFonts w:hint="eastAsia" w:cs="宋体"/>
          <w:color w:val="auto"/>
          <w:sz w:val="24"/>
          <w:szCs w:val="24"/>
        </w:rPr>
        <w:t>在合同履行中，采购人如需追加与合同标的相同的货物，在不改变合同其他条款的前提下，</w:t>
      </w:r>
      <w:r>
        <w:rPr>
          <w:rFonts w:hint="eastAsia" w:cs="宋体"/>
          <w:color w:val="auto"/>
          <w:sz w:val="24"/>
          <w:szCs w:val="24"/>
          <w:lang w:eastAsia="zh-CN"/>
        </w:rPr>
        <w:t>成交</w:t>
      </w:r>
      <w:r>
        <w:rPr>
          <w:rFonts w:hint="eastAsia" w:cs="宋体"/>
          <w:color w:val="auto"/>
          <w:sz w:val="24"/>
          <w:szCs w:val="24"/>
        </w:rPr>
        <w:t>人可与采购人协商签订补充合同，但所有补充合同的采购金额不得超过原合同金额的百分之十。</w:t>
      </w:r>
      <w:bookmarkStart w:id="18" w:name="_Toc509771950"/>
      <w:bookmarkStart w:id="19" w:name="_Toc352761938"/>
    </w:p>
    <w:p w14:paraId="44133C57">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firstLine="472" w:firstLineChars="196"/>
        <w:jc w:val="center"/>
        <w:rPr>
          <w:rFonts w:cs="宋体"/>
          <w:b/>
          <w:bCs/>
          <w:color w:val="auto"/>
          <w:sz w:val="24"/>
          <w:szCs w:val="24"/>
        </w:rPr>
      </w:pPr>
      <w:r>
        <w:rPr>
          <w:rFonts w:hint="eastAsia" w:cs="宋体"/>
          <w:b/>
          <w:bCs/>
          <w:color w:val="auto"/>
          <w:sz w:val="24"/>
          <w:szCs w:val="24"/>
        </w:rPr>
        <w:t>八、保密和披露</w:t>
      </w:r>
      <w:bookmarkEnd w:id="18"/>
      <w:bookmarkEnd w:id="19"/>
    </w:p>
    <w:p w14:paraId="20272ECB">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adjustRightInd/>
        <w:spacing w:line="460" w:lineRule="exact"/>
        <w:ind w:left="39" w:leftChars="14" w:firstLine="472" w:firstLineChars="196"/>
        <w:rPr>
          <w:rFonts w:cs="宋体"/>
          <w:b/>
          <w:color w:val="auto"/>
          <w:sz w:val="24"/>
          <w:szCs w:val="24"/>
        </w:rPr>
      </w:pPr>
      <w:r>
        <w:rPr>
          <w:rFonts w:hint="eastAsia" w:cs="宋体"/>
          <w:b/>
          <w:color w:val="auto"/>
          <w:sz w:val="24"/>
          <w:szCs w:val="24"/>
        </w:rPr>
        <w:t>36、保密</w:t>
      </w:r>
    </w:p>
    <w:p w14:paraId="56A5D6DA">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adjustRightInd/>
        <w:spacing w:line="460" w:lineRule="exact"/>
        <w:ind w:left="39" w:leftChars="14" w:firstLine="482" w:firstLineChars="200"/>
        <w:rPr>
          <w:rFonts w:cs="宋体"/>
          <w:b/>
          <w:color w:val="auto"/>
          <w:sz w:val="24"/>
          <w:szCs w:val="24"/>
        </w:rPr>
      </w:pPr>
      <w:r>
        <w:rPr>
          <w:rFonts w:hint="eastAsia" w:cs="宋体"/>
          <w:b/>
          <w:color w:val="auto"/>
          <w:sz w:val="24"/>
          <w:szCs w:val="24"/>
        </w:rPr>
        <w:t>投标人自领取招标文件之日起，须承诺承担本招标项目下保密义务，不得将因本次招标获得的信息向第三人外传。</w:t>
      </w:r>
    </w:p>
    <w:p w14:paraId="2A688440">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adjustRightInd/>
        <w:spacing w:line="460" w:lineRule="exact"/>
        <w:ind w:left="476" w:leftChars="170" w:firstLine="118" w:firstLineChars="49"/>
        <w:rPr>
          <w:rFonts w:cs="宋体"/>
          <w:b/>
          <w:color w:val="auto"/>
          <w:sz w:val="24"/>
          <w:szCs w:val="24"/>
        </w:rPr>
      </w:pPr>
      <w:r>
        <w:rPr>
          <w:rFonts w:hint="eastAsia" w:cs="宋体"/>
          <w:b/>
          <w:color w:val="auto"/>
          <w:sz w:val="24"/>
          <w:szCs w:val="24"/>
        </w:rPr>
        <w:t>37、披露</w:t>
      </w:r>
    </w:p>
    <w:p w14:paraId="7AB7F9AF">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adjustRightInd/>
        <w:spacing w:line="460" w:lineRule="exact"/>
        <w:ind w:firstLine="480" w:firstLineChars="200"/>
        <w:rPr>
          <w:rFonts w:cs="宋体"/>
          <w:color w:val="auto"/>
          <w:sz w:val="24"/>
          <w:szCs w:val="24"/>
        </w:rPr>
      </w:pPr>
      <w:r>
        <w:rPr>
          <w:rFonts w:hint="eastAsia" w:cs="宋体"/>
          <w:color w:val="auto"/>
          <w:sz w:val="24"/>
          <w:szCs w:val="24"/>
        </w:rPr>
        <w:t>37.1 采购人或采购代理机构有权将投标人提供的所有资料向有关政府部门或评审标书的有关人员披露。</w:t>
      </w:r>
    </w:p>
    <w:p w14:paraId="06D240F7">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adjustRightInd/>
        <w:spacing w:line="460" w:lineRule="exact"/>
        <w:ind w:firstLine="480" w:firstLineChars="200"/>
        <w:rPr>
          <w:rFonts w:cs="宋体"/>
          <w:color w:val="auto"/>
          <w:sz w:val="24"/>
          <w:szCs w:val="24"/>
        </w:rPr>
      </w:pPr>
      <w:r>
        <w:rPr>
          <w:rFonts w:hint="eastAsia" w:cs="宋体"/>
          <w:color w:val="auto"/>
          <w:sz w:val="24"/>
          <w:szCs w:val="24"/>
        </w:rPr>
        <w:t>37.2 在采购人或采购代理机构认为适当时、国家机关调查、审查、审计时以及其他符合法律规定的情形下，采购人或采购代理机构无须事先征求投标人/</w:t>
      </w:r>
      <w:r>
        <w:rPr>
          <w:rFonts w:hint="eastAsia" w:cs="宋体"/>
          <w:color w:val="auto"/>
          <w:sz w:val="24"/>
          <w:szCs w:val="24"/>
          <w:lang w:eastAsia="zh-CN"/>
        </w:rPr>
        <w:t>成交</w:t>
      </w:r>
      <w:r>
        <w:rPr>
          <w:rFonts w:hint="eastAsia" w:cs="宋体"/>
          <w:color w:val="auto"/>
          <w:sz w:val="24"/>
          <w:szCs w:val="24"/>
        </w:rPr>
        <w:t>人同意而可以披露关于采购过程、合同文本、签署情况的资料、投标人/</w:t>
      </w:r>
      <w:r>
        <w:rPr>
          <w:rFonts w:hint="eastAsia" w:cs="宋体"/>
          <w:color w:val="auto"/>
          <w:sz w:val="24"/>
          <w:szCs w:val="24"/>
          <w:lang w:eastAsia="zh-CN"/>
        </w:rPr>
        <w:t>成交</w:t>
      </w:r>
      <w:r>
        <w:rPr>
          <w:rFonts w:hint="eastAsia" w:cs="宋体"/>
          <w:color w:val="auto"/>
          <w:sz w:val="24"/>
          <w:szCs w:val="24"/>
        </w:rPr>
        <w:t>人的名称及地址、投标文件的有关信息以及补充条款等，但应当在合理的必要范围内。对任何已经公布过的内容或与之内容相同的资料，以及投标人/</w:t>
      </w:r>
      <w:r>
        <w:rPr>
          <w:rFonts w:hint="eastAsia" w:cs="宋体"/>
          <w:color w:val="auto"/>
          <w:sz w:val="24"/>
          <w:szCs w:val="24"/>
          <w:lang w:eastAsia="zh-CN"/>
        </w:rPr>
        <w:t>成交</w:t>
      </w:r>
      <w:r>
        <w:rPr>
          <w:rFonts w:hint="eastAsia" w:cs="宋体"/>
          <w:color w:val="auto"/>
          <w:sz w:val="24"/>
          <w:szCs w:val="24"/>
        </w:rPr>
        <w:t>人已经泄露或公开的，无须再承担保密责任。</w:t>
      </w:r>
    </w:p>
    <w:p w14:paraId="35FC6DF8">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before="100" w:beforeAutospacing="1" w:after="100" w:afterAutospacing="1" w:line="460" w:lineRule="exact"/>
        <w:jc w:val="center"/>
        <w:rPr>
          <w:rFonts w:ascii="宋体" w:hAnsi="宋体" w:cs="宋体"/>
          <w:color w:val="auto"/>
          <w:sz w:val="24"/>
        </w:rPr>
      </w:pPr>
      <w:bookmarkStart w:id="20" w:name="_Toc352761939"/>
      <w:bookmarkStart w:id="21" w:name="_Toc509771951"/>
      <w:r>
        <w:rPr>
          <w:rFonts w:hint="eastAsia" w:ascii="宋体" w:hAnsi="宋体" w:cs="宋体"/>
          <w:color w:val="auto"/>
          <w:sz w:val="24"/>
        </w:rPr>
        <w:t>九、询问、质疑</w:t>
      </w:r>
      <w:bookmarkEnd w:id="20"/>
      <w:bookmarkEnd w:id="21"/>
      <w:r>
        <w:rPr>
          <w:rFonts w:hint="eastAsia" w:ascii="宋体" w:hAnsi="宋体" w:cs="宋体"/>
          <w:color w:val="auto"/>
          <w:sz w:val="24"/>
        </w:rPr>
        <w:t>和投诉</w:t>
      </w:r>
    </w:p>
    <w:p w14:paraId="5A2F9D83">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496" w:firstLineChars="206"/>
        <w:rPr>
          <w:rFonts w:ascii="宋体" w:hAnsi="宋体" w:cs="宋体"/>
          <w:b/>
          <w:color w:val="auto"/>
          <w:kern w:val="0"/>
          <w:sz w:val="24"/>
        </w:rPr>
      </w:pPr>
      <w:r>
        <w:rPr>
          <w:rFonts w:hint="eastAsia" w:ascii="宋体" w:hAnsi="宋体" w:cs="宋体"/>
          <w:b/>
          <w:color w:val="auto"/>
          <w:kern w:val="0"/>
          <w:sz w:val="24"/>
        </w:rPr>
        <w:t>38. 询问</w:t>
      </w:r>
    </w:p>
    <w:p w14:paraId="6BBC379A">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494" w:firstLineChars="206"/>
        <w:rPr>
          <w:rFonts w:ascii="宋体" w:hAnsi="宋体" w:cs="宋体"/>
          <w:color w:val="auto"/>
          <w:kern w:val="0"/>
          <w:sz w:val="24"/>
        </w:rPr>
      </w:pPr>
      <w:r>
        <w:rPr>
          <w:rFonts w:hint="eastAsia" w:ascii="宋体" w:hAnsi="宋体" w:cs="宋体"/>
          <w:color w:val="auto"/>
          <w:kern w:val="0"/>
          <w:sz w:val="24"/>
        </w:rPr>
        <w:t>投标人对政府采购活动事项、采购文件有询问或疑问的，可以口头或书面形式向采购人或采购代理机构提出询问，采购人或采购代理机构</w:t>
      </w:r>
      <w:r>
        <w:rPr>
          <w:rFonts w:hint="eastAsia" w:ascii="宋体" w:hAnsi="宋体" w:cs="宋体"/>
          <w:color w:val="auto"/>
          <w:sz w:val="24"/>
        </w:rPr>
        <w:t>将在三个工作日内作出答复</w:t>
      </w:r>
      <w:r>
        <w:rPr>
          <w:rFonts w:hint="eastAsia" w:ascii="宋体" w:hAnsi="宋体" w:cs="宋体"/>
          <w:color w:val="auto"/>
          <w:kern w:val="0"/>
          <w:sz w:val="24"/>
        </w:rPr>
        <w:t>，但答复的内容不得涉及商业秘密。</w:t>
      </w:r>
    </w:p>
    <w:p w14:paraId="2C60C1BD">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2" w:firstLineChars="200"/>
        <w:rPr>
          <w:rFonts w:ascii="宋体" w:hAnsi="宋体" w:cs="宋体"/>
          <w:color w:val="auto"/>
          <w:sz w:val="24"/>
        </w:rPr>
      </w:pPr>
      <w:r>
        <w:rPr>
          <w:rFonts w:hint="eastAsia" w:ascii="宋体" w:hAnsi="宋体" w:cs="宋体"/>
          <w:b/>
          <w:color w:val="auto"/>
          <w:kern w:val="0"/>
          <w:sz w:val="24"/>
        </w:rPr>
        <w:t>39. 质疑</w:t>
      </w:r>
    </w:p>
    <w:p w14:paraId="032648A9">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494" w:firstLineChars="206"/>
        <w:rPr>
          <w:rFonts w:ascii="宋体" w:hAnsi="宋体" w:cs="宋体"/>
          <w:color w:val="auto"/>
          <w:kern w:val="0"/>
          <w:sz w:val="24"/>
        </w:rPr>
      </w:pPr>
      <w:r>
        <w:rPr>
          <w:rFonts w:hint="eastAsia" w:ascii="宋体" w:hAnsi="宋体" w:cs="宋体"/>
          <w:color w:val="auto"/>
          <w:kern w:val="0"/>
          <w:sz w:val="24"/>
        </w:rPr>
        <w:t>39.1 招标程序受《中华人民共和国政府采购法》和相关法律法规的约束，并受到严格的内部监督，以确保授予合同过程的公平公正。</w:t>
      </w:r>
    </w:p>
    <w:p w14:paraId="73D5AAC9">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494" w:firstLineChars="206"/>
        <w:rPr>
          <w:rFonts w:hint="eastAsia" w:ascii="宋体" w:hAnsi="宋体" w:cs="宋体"/>
          <w:b w:val="0"/>
          <w:bCs w:val="0"/>
          <w:color w:val="auto"/>
          <w:kern w:val="0"/>
          <w:sz w:val="24"/>
        </w:rPr>
      </w:pPr>
      <w:r>
        <w:rPr>
          <w:rFonts w:hint="eastAsia" w:ascii="宋体" w:hAnsi="宋体" w:cs="宋体"/>
          <w:b w:val="0"/>
          <w:bCs w:val="0"/>
          <w:color w:val="auto"/>
          <w:kern w:val="0"/>
          <w:sz w:val="24"/>
        </w:rPr>
        <w:t>39.2投标人认为采购文件、采购过程、</w:t>
      </w:r>
      <w:r>
        <w:rPr>
          <w:rFonts w:hint="eastAsia" w:ascii="宋体" w:hAnsi="宋体" w:cs="宋体"/>
          <w:b w:val="0"/>
          <w:bCs w:val="0"/>
          <w:color w:val="auto"/>
          <w:kern w:val="0"/>
          <w:sz w:val="24"/>
          <w:lang w:eastAsia="zh-CN"/>
        </w:rPr>
        <w:t>成交</w:t>
      </w:r>
      <w:r>
        <w:rPr>
          <w:rFonts w:hint="eastAsia" w:ascii="宋体" w:hAnsi="宋体" w:cs="宋体"/>
          <w:b w:val="0"/>
          <w:bCs w:val="0"/>
          <w:color w:val="auto"/>
          <w:kern w:val="0"/>
          <w:sz w:val="24"/>
        </w:rPr>
        <w:t>或者成交结果使自己的权益受到损害的，可以在知道或者应知其权益受到损害之日起7个工作日内，通过政府采购平台进入“项目质疑管理”栏目向采购人、采购代理机构在线提出质疑：</w:t>
      </w:r>
    </w:p>
    <w:p w14:paraId="31D703BB">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494" w:firstLineChars="206"/>
        <w:rPr>
          <w:rFonts w:hint="eastAsia" w:ascii="宋体" w:hAnsi="宋体" w:cs="宋体"/>
          <w:b w:val="0"/>
          <w:bCs w:val="0"/>
          <w:color w:val="auto"/>
          <w:kern w:val="0"/>
          <w:sz w:val="24"/>
        </w:rPr>
      </w:pPr>
      <w:r>
        <w:rPr>
          <w:rFonts w:hint="eastAsia" w:ascii="宋体" w:hAnsi="宋体" w:cs="宋体"/>
          <w:b w:val="0"/>
          <w:bCs w:val="0"/>
          <w:color w:val="auto"/>
          <w:kern w:val="0"/>
          <w:sz w:val="24"/>
        </w:rPr>
        <w:t>（1）对</w:t>
      </w:r>
      <w:r>
        <w:rPr>
          <w:rFonts w:hint="eastAsia" w:ascii="宋体" w:hAnsi="宋体" w:cs="宋体"/>
          <w:b w:val="0"/>
          <w:bCs w:val="0"/>
          <w:color w:val="auto"/>
          <w:kern w:val="0"/>
          <w:sz w:val="24"/>
          <w:lang w:val="en-US" w:eastAsia="zh-CN"/>
        </w:rPr>
        <w:t>招标</w:t>
      </w:r>
      <w:r>
        <w:rPr>
          <w:rFonts w:hint="eastAsia" w:ascii="宋体" w:hAnsi="宋体" w:cs="宋体"/>
          <w:b w:val="0"/>
          <w:bCs w:val="0"/>
          <w:color w:val="auto"/>
          <w:kern w:val="0"/>
          <w:sz w:val="24"/>
        </w:rPr>
        <w:t>文件提出质疑的，应当在获取</w:t>
      </w:r>
      <w:r>
        <w:rPr>
          <w:rFonts w:hint="eastAsia" w:ascii="宋体" w:hAnsi="宋体" w:cs="宋体"/>
          <w:b w:val="0"/>
          <w:bCs w:val="0"/>
          <w:color w:val="auto"/>
          <w:kern w:val="0"/>
          <w:sz w:val="24"/>
          <w:lang w:val="en-US" w:eastAsia="zh-CN"/>
        </w:rPr>
        <w:t>招标</w:t>
      </w:r>
      <w:r>
        <w:rPr>
          <w:rFonts w:hint="eastAsia" w:ascii="宋体" w:hAnsi="宋体" w:cs="宋体"/>
          <w:b w:val="0"/>
          <w:bCs w:val="0"/>
          <w:color w:val="auto"/>
          <w:kern w:val="0"/>
          <w:sz w:val="24"/>
        </w:rPr>
        <w:t>文件或者</w:t>
      </w:r>
      <w:r>
        <w:rPr>
          <w:rFonts w:hint="eastAsia" w:ascii="宋体" w:hAnsi="宋体" w:cs="宋体"/>
          <w:b w:val="0"/>
          <w:bCs w:val="0"/>
          <w:color w:val="auto"/>
          <w:kern w:val="0"/>
          <w:sz w:val="24"/>
          <w:lang w:val="en-US" w:eastAsia="zh-CN"/>
        </w:rPr>
        <w:t>招标</w:t>
      </w:r>
      <w:r>
        <w:rPr>
          <w:rFonts w:hint="eastAsia" w:ascii="宋体" w:hAnsi="宋体" w:cs="宋体"/>
          <w:b w:val="0"/>
          <w:bCs w:val="0"/>
          <w:color w:val="auto"/>
          <w:kern w:val="0"/>
          <w:sz w:val="24"/>
        </w:rPr>
        <w:t>文件公告期限届满之日起七个工作日内提出。</w:t>
      </w:r>
    </w:p>
    <w:p w14:paraId="4486BEBD">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494" w:firstLineChars="206"/>
        <w:rPr>
          <w:rFonts w:hint="eastAsia" w:ascii="宋体" w:hAnsi="宋体" w:cs="宋体"/>
          <w:b w:val="0"/>
          <w:bCs w:val="0"/>
          <w:color w:val="auto"/>
          <w:kern w:val="0"/>
          <w:sz w:val="24"/>
        </w:rPr>
      </w:pPr>
      <w:r>
        <w:rPr>
          <w:rFonts w:hint="eastAsia" w:ascii="宋体" w:hAnsi="宋体" w:cs="宋体"/>
          <w:b w:val="0"/>
          <w:bCs w:val="0"/>
          <w:color w:val="auto"/>
          <w:kern w:val="0"/>
          <w:sz w:val="24"/>
        </w:rPr>
        <w:t>（2）</w:t>
      </w:r>
      <w:r>
        <w:rPr>
          <w:rFonts w:hint="eastAsia" w:ascii="宋体" w:hAnsi="宋体" w:cs="宋体"/>
          <w:b w:val="0"/>
          <w:bCs w:val="0"/>
          <w:color w:val="auto"/>
          <w:kern w:val="0"/>
          <w:sz w:val="24"/>
          <w:lang w:val="en-US" w:eastAsia="zh-CN"/>
        </w:rPr>
        <w:t>投标人</w:t>
      </w:r>
      <w:r>
        <w:rPr>
          <w:rFonts w:hint="eastAsia" w:ascii="宋体" w:hAnsi="宋体" w:cs="宋体"/>
          <w:b w:val="0"/>
          <w:bCs w:val="0"/>
          <w:color w:val="auto"/>
          <w:kern w:val="0"/>
          <w:sz w:val="24"/>
        </w:rPr>
        <w:t>的质疑，应在法定质疑期内一次性提出针对同一采购程序环节的质疑。</w:t>
      </w:r>
    </w:p>
    <w:p w14:paraId="64DA630B">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494" w:firstLineChars="206"/>
        <w:rPr>
          <w:rFonts w:ascii="宋体" w:hAnsi="宋体" w:cs="宋体"/>
          <w:b w:val="0"/>
          <w:bCs w:val="0"/>
          <w:color w:val="auto"/>
          <w:kern w:val="0"/>
          <w:sz w:val="24"/>
        </w:rPr>
      </w:pPr>
      <w:r>
        <w:rPr>
          <w:rFonts w:hint="eastAsia" w:ascii="宋体" w:hAnsi="宋体" w:cs="宋体"/>
          <w:b w:val="0"/>
          <w:bCs w:val="0"/>
          <w:color w:val="auto"/>
          <w:kern w:val="0"/>
          <w:sz w:val="24"/>
        </w:rPr>
        <w:t>（3）政府采购平台自动登记收到质疑的时间，从次日计算答复期限。</w:t>
      </w:r>
    </w:p>
    <w:p w14:paraId="4846DC63">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494" w:firstLineChars="206"/>
        <w:rPr>
          <w:rFonts w:ascii="宋体" w:hAnsi="宋体" w:cs="宋体"/>
          <w:color w:val="auto"/>
          <w:kern w:val="0"/>
          <w:sz w:val="24"/>
        </w:rPr>
      </w:pPr>
      <w:r>
        <w:rPr>
          <w:rFonts w:hint="eastAsia" w:ascii="宋体" w:hAnsi="宋体" w:cs="宋体"/>
          <w:color w:val="auto"/>
          <w:kern w:val="0"/>
          <w:sz w:val="24"/>
        </w:rPr>
        <w:t>39.3提出质疑的</w:t>
      </w:r>
      <w:r>
        <w:rPr>
          <w:rFonts w:hint="eastAsia" w:ascii="宋体" w:hAnsi="宋体" w:cs="宋体"/>
          <w:b/>
          <w:color w:val="auto"/>
          <w:kern w:val="0"/>
          <w:sz w:val="24"/>
        </w:rPr>
        <w:t>投标人</w:t>
      </w:r>
      <w:r>
        <w:rPr>
          <w:rFonts w:hint="eastAsia" w:ascii="宋体" w:hAnsi="宋体" w:cs="宋体"/>
          <w:color w:val="auto"/>
          <w:kern w:val="0"/>
          <w:sz w:val="24"/>
        </w:rPr>
        <w:t>（以下简称质疑供应商）应当是参与所质疑项目采购活动的</w:t>
      </w:r>
      <w:r>
        <w:rPr>
          <w:rFonts w:hint="eastAsia" w:ascii="宋体" w:hAnsi="宋体" w:cs="宋体"/>
          <w:b/>
          <w:color w:val="auto"/>
          <w:kern w:val="0"/>
          <w:sz w:val="24"/>
        </w:rPr>
        <w:t>投标人</w:t>
      </w:r>
      <w:r>
        <w:rPr>
          <w:rFonts w:hint="eastAsia" w:ascii="宋体" w:hAnsi="宋体" w:cs="宋体"/>
          <w:color w:val="auto"/>
          <w:kern w:val="0"/>
          <w:sz w:val="24"/>
        </w:rPr>
        <w:t>。潜在</w:t>
      </w:r>
      <w:r>
        <w:rPr>
          <w:rFonts w:hint="eastAsia" w:ascii="宋体" w:hAnsi="宋体" w:cs="宋体"/>
          <w:b/>
          <w:color w:val="auto"/>
          <w:kern w:val="0"/>
          <w:sz w:val="24"/>
        </w:rPr>
        <w:t>投标人</w:t>
      </w:r>
      <w:r>
        <w:rPr>
          <w:rFonts w:hint="eastAsia" w:ascii="宋体" w:hAnsi="宋体" w:cs="宋体"/>
          <w:color w:val="auto"/>
          <w:kern w:val="0"/>
          <w:sz w:val="24"/>
        </w:rPr>
        <w:t>已依法获取其可质疑的采购文件的，可以对该文件提出质疑。对采购文件提出质疑的，应当在获取采购文件或者采购文件公告期限届满之日起7个工作日内提出。</w:t>
      </w:r>
    </w:p>
    <w:p w14:paraId="2DC757DA">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left="319" w:leftChars="114" w:firstLine="252" w:firstLineChars="105"/>
        <w:rPr>
          <w:rFonts w:hint="eastAsia"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9</w:t>
      </w:r>
      <w:r>
        <w:rPr>
          <w:rFonts w:hint="eastAsia" w:ascii="宋体" w:hAnsi="宋体" w:cs="宋体"/>
          <w:color w:val="auto"/>
          <w:kern w:val="0"/>
          <w:sz w:val="24"/>
        </w:rPr>
        <w:t>.</w:t>
      </w:r>
      <w:r>
        <w:rPr>
          <w:rFonts w:hint="eastAsia" w:ascii="宋体" w:hAnsi="宋体" w:cs="宋体"/>
          <w:color w:val="auto"/>
          <w:kern w:val="0"/>
          <w:sz w:val="24"/>
          <w:lang w:val="en-US" w:eastAsia="zh-CN"/>
        </w:rPr>
        <w:t>4</w:t>
      </w:r>
      <w:r>
        <w:rPr>
          <w:rFonts w:hint="eastAsia" w:ascii="宋体" w:hAnsi="宋体" w:cs="宋体"/>
          <w:color w:val="auto"/>
          <w:kern w:val="0"/>
          <w:sz w:val="24"/>
        </w:rPr>
        <w:t>质疑材料要求</w:t>
      </w:r>
    </w:p>
    <w:p w14:paraId="3A30B95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cs="宋体"/>
          <w:color w:val="auto"/>
          <w:kern w:val="0"/>
          <w:sz w:val="24"/>
        </w:rPr>
      </w:pPr>
      <w:r>
        <w:rPr>
          <w:rFonts w:hint="eastAsia" w:ascii="宋体" w:hAnsi="宋体" w:cs="宋体"/>
          <w:color w:val="auto"/>
          <w:kern w:val="0"/>
          <w:sz w:val="24"/>
          <w:lang w:val="en-US" w:eastAsia="zh-CN"/>
        </w:rPr>
        <w:t>投标人</w:t>
      </w:r>
      <w:r>
        <w:rPr>
          <w:rFonts w:hint="eastAsia" w:ascii="宋体" w:hAnsi="宋体" w:cs="宋体"/>
          <w:color w:val="auto"/>
          <w:kern w:val="0"/>
          <w:sz w:val="24"/>
        </w:rPr>
        <w:t>提起在线质疑，应当按照《政府采购质疑和投诉办法》有关规定如实填写事项及信息，在线提交质疑函及必要的证明材料纸质版扫描件或图片(支持格式：DOC、DOCX、PDF、JPG、PNG、GIF)。</w:t>
      </w:r>
    </w:p>
    <w:p w14:paraId="10518772">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cs="宋体"/>
          <w:color w:val="auto"/>
          <w:kern w:val="0"/>
          <w:sz w:val="24"/>
        </w:rPr>
      </w:pPr>
      <w:r>
        <w:rPr>
          <w:rFonts w:hint="eastAsia" w:ascii="宋体" w:hAnsi="宋体" w:cs="宋体"/>
          <w:color w:val="auto"/>
          <w:kern w:val="0"/>
          <w:sz w:val="24"/>
        </w:rPr>
        <w:t>在线质疑由</w:t>
      </w:r>
      <w:r>
        <w:rPr>
          <w:rFonts w:hint="eastAsia" w:ascii="宋体" w:hAnsi="宋体" w:cs="宋体"/>
          <w:color w:val="auto"/>
          <w:kern w:val="0"/>
          <w:sz w:val="24"/>
          <w:lang w:val="en-US" w:eastAsia="zh-CN"/>
        </w:rPr>
        <w:t>投标人</w:t>
      </w:r>
      <w:r>
        <w:rPr>
          <w:rFonts w:hint="eastAsia" w:ascii="宋体" w:hAnsi="宋体" w:cs="宋体"/>
          <w:color w:val="auto"/>
          <w:kern w:val="0"/>
          <w:sz w:val="24"/>
        </w:rPr>
        <w:t>委托代理人提起的，还需上传授权委托书及被委托人身份证明，授权委托书应当载明委托人及被委托人的姓名或名称、代理事项、具体权限、期限等。</w:t>
      </w:r>
    </w:p>
    <w:p w14:paraId="3531B757">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cs="宋体"/>
          <w:color w:val="auto"/>
          <w:kern w:val="0"/>
          <w:sz w:val="24"/>
        </w:rPr>
      </w:pPr>
      <w:r>
        <w:rPr>
          <w:rFonts w:hint="eastAsia" w:ascii="宋体" w:hAnsi="宋体" w:cs="宋体"/>
          <w:color w:val="auto"/>
          <w:kern w:val="0"/>
          <w:sz w:val="24"/>
          <w:lang w:val="en-US" w:eastAsia="zh-CN"/>
        </w:rPr>
        <w:t>投标人</w:t>
      </w:r>
      <w:r>
        <w:rPr>
          <w:rFonts w:hint="eastAsia" w:ascii="宋体" w:hAnsi="宋体" w:cs="宋体"/>
          <w:color w:val="auto"/>
          <w:kern w:val="0"/>
          <w:sz w:val="24"/>
        </w:rPr>
        <w:t>为法人或者其他组织的，相关材料由法定代表人、主要负责人或者其授权代表签名或者盖章并加盖公章；</w:t>
      </w:r>
      <w:r>
        <w:rPr>
          <w:rFonts w:hint="eastAsia" w:ascii="宋体" w:hAnsi="宋体" w:cs="宋体"/>
          <w:color w:val="auto"/>
          <w:kern w:val="0"/>
          <w:sz w:val="24"/>
          <w:lang w:val="en-US" w:eastAsia="zh-CN"/>
        </w:rPr>
        <w:t>投标人</w:t>
      </w:r>
      <w:r>
        <w:rPr>
          <w:rFonts w:hint="eastAsia" w:ascii="宋体" w:hAnsi="宋体" w:cs="宋体"/>
          <w:color w:val="auto"/>
          <w:kern w:val="0"/>
          <w:sz w:val="24"/>
        </w:rPr>
        <w:t>为自然人的，相关材料由本人签名。</w:t>
      </w:r>
    </w:p>
    <w:p w14:paraId="1A767092">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9</w:t>
      </w:r>
      <w:r>
        <w:rPr>
          <w:rFonts w:hint="eastAsia" w:ascii="宋体" w:hAnsi="宋体" w:cs="宋体"/>
          <w:color w:val="auto"/>
          <w:kern w:val="0"/>
          <w:sz w:val="24"/>
        </w:rPr>
        <w:t>.</w:t>
      </w:r>
      <w:r>
        <w:rPr>
          <w:rFonts w:hint="eastAsia" w:ascii="宋体" w:hAnsi="宋体" w:cs="宋体"/>
          <w:color w:val="auto"/>
          <w:kern w:val="0"/>
          <w:sz w:val="24"/>
          <w:lang w:val="en-US" w:eastAsia="zh-CN"/>
        </w:rPr>
        <w:t>5</w:t>
      </w:r>
      <w:r>
        <w:rPr>
          <w:rFonts w:hint="eastAsia" w:ascii="宋体" w:hAnsi="宋体" w:cs="宋体"/>
          <w:color w:val="auto"/>
          <w:kern w:val="0"/>
          <w:sz w:val="24"/>
        </w:rPr>
        <w:t>在线质疑答复</w:t>
      </w:r>
    </w:p>
    <w:p w14:paraId="2290093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cs="宋体"/>
          <w:color w:val="auto"/>
          <w:kern w:val="0"/>
          <w:sz w:val="24"/>
        </w:rPr>
      </w:pPr>
      <w:r>
        <w:rPr>
          <w:rFonts w:hint="eastAsia" w:ascii="宋体" w:hAnsi="宋体" w:cs="宋体"/>
          <w:color w:val="auto"/>
          <w:kern w:val="0"/>
          <w:sz w:val="24"/>
        </w:rPr>
        <w:t>采购人委托采购代理机构采购的，</w:t>
      </w:r>
      <w:r>
        <w:rPr>
          <w:rFonts w:hint="eastAsia" w:ascii="宋体" w:hAnsi="宋体" w:cs="宋体"/>
          <w:color w:val="auto"/>
          <w:kern w:val="0"/>
          <w:sz w:val="24"/>
          <w:lang w:val="en-US" w:eastAsia="zh-CN"/>
        </w:rPr>
        <w:t>投标人</w:t>
      </w:r>
      <w:r>
        <w:rPr>
          <w:rFonts w:hint="eastAsia" w:ascii="宋体" w:hAnsi="宋体" w:cs="宋体"/>
          <w:color w:val="auto"/>
          <w:kern w:val="0"/>
          <w:sz w:val="24"/>
        </w:rPr>
        <w:t>可以向采购代理机构提出质疑，采购代理机构应当依法就采购人委托授权范围内的事项作出答复。采购人、采购代理机构收到在线质疑后，应当按照政府采购相关规定，在7个工作日内通过政府采购平台对</w:t>
      </w:r>
      <w:r>
        <w:rPr>
          <w:rFonts w:hint="eastAsia" w:ascii="宋体" w:hAnsi="宋体" w:cs="宋体"/>
          <w:color w:val="auto"/>
          <w:kern w:val="0"/>
          <w:sz w:val="24"/>
          <w:lang w:val="en-US" w:eastAsia="zh-CN"/>
        </w:rPr>
        <w:t>投标人</w:t>
      </w:r>
      <w:r>
        <w:rPr>
          <w:rFonts w:hint="eastAsia" w:ascii="宋体" w:hAnsi="宋体" w:cs="宋体"/>
          <w:color w:val="auto"/>
          <w:kern w:val="0"/>
          <w:sz w:val="24"/>
        </w:rPr>
        <w:t>依法提出的质疑作出答复，但答复的内容不得涉及商业秘密。质疑</w:t>
      </w:r>
      <w:r>
        <w:rPr>
          <w:rFonts w:hint="eastAsia" w:ascii="宋体" w:hAnsi="宋体" w:cs="宋体"/>
          <w:color w:val="auto"/>
          <w:kern w:val="0"/>
          <w:sz w:val="24"/>
          <w:lang w:val="en-US" w:eastAsia="zh-CN"/>
        </w:rPr>
        <w:t>投标人</w:t>
      </w:r>
      <w:r>
        <w:rPr>
          <w:rFonts w:hint="eastAsia" w:ascii="宋体" w:hAnsi="宋体" w:cs="宋体"/>
          <w:color w:val="auto"/>
          <w:kern w:val="0"/>
          <w:sz w:val="24"/>
        </w:rPr>
        <w:t>通过政府采购平台在线接收质疑答复结果。</w:t>
      </w:r>
    </w:p>
    <w:p w14:paraId="25BADC6E">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cs="宋体"/>
          <w:color w:val="auto"/>
          <w:kern w:val="0"/>
          <w:sz w:val="24"/>
        </w:rPr>
      </w:pPr>
      <w:r>
        <w:rPr>
          <w:rFonts w:hint="eastAsia" w:ascii="宋体" w:hAnsi="宋体" w:cs="宋体"/>
          <w:color w:val="auto"/>
          <w:kern w:val="0"/>
          <w:sz w:val="24"/>
        </w:rPr>
        <w:t>对采购文件质疑的处理。采购人或采购代理机构应当对被质疑的采购文件相关内容进行核实并逐一作出答复；必要时，可邀请不少于3名以上单数政府采购专家对质疑内容进行审核，并依据专家意见进行答复。</w:t>
      </w:r>
    </w:p>
    <w:p w14:paraId="775F6D1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cs="宋体"/>
          <w:color w:val="auto"/>
          <w:kern w:val="0"/>
          <w:sz w:val="24"/>
        </w:rPr>
      </w:pPr>
      <w:r>
        <w:rPr>
          <w:rFonts w:hint="eastAsia" w:ascii="宋体" w:hAnsi="宋体" w:cs="宋体"/>
          <w:color w:val="auto"/>
          <w:kern w:val="0"/>
          <w:sz w:val="24"/>
        </w:rPr>
        <w:t>对采购过程质疑的处理。采购人、采购代理机构应当对质疑内容进行核实，并依据核实结果进行答复，必要时应出具相关依据。</w:t>
      </w:r>
    </w:p>
    <w:p w14:paraId="4B806257">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cs="宋体"/>
          <w:color w:val="auto"/>
          <w:kern w:val="0"/>
          <w:sz w:val="24"/>
        </w:rPr>
      </w:pPr>
      <w:r>
        <w:rPr>
          <w:rFonts w:hint="eastAsia" w:ascii="宋体" w:hAnsi="宋体" w:cs="宋体"/>
          <w:color w:val="auto"/>
          <w:kern w:val="0"/>
          <w:sz w:val="24"/>
        </w:rPr>
        <w:t>对</w:t>
      </w:r>
      <w:r>
        <w:rPr>
          <w:rFonts w:hint="eastAsia" w:ascii="宋体" w:hAnsi="宋体" w:cs="宋体"/>
          <w:color w:val="auto"/>
          <w:kern w:val="0"/>
          <w:sz w:val="24"/>
          <w:lang w:eastAsia="zh-CN"/>
        </w:rPr>
        <w:t>成交</w:t>
      </w:r>
      <w:r>
        <w:rPr>
          <w:rFonts w:hint="eastAsia" w:ascii="宋体" w:hAnsi="宋体" w:cs="宋体"/>
          <w:color w:val="auto"/>
          <w:kern w:val="0"/>
          <w:sz w:val="24"/>
        </w:rPr>
        <w:t>、成交结果质疑的处理。质疑内容属于评审报告中已有结论性意见的，采购人、采购代理机构可依据评审报告意见答复；必要时，采购人或采购代理机构应当组织原评审委员会协助处理质疑事项，并依据评审委员会出具的意见进行答复。质疑内容涉及原评审存在资格性检查认定错误、实质性条款评判错误、分值汇总计算错误、价格计算错误、分项评分和客观分评分错误情形的，由原评审委员会予以明确，并书面陈述是否产生错误、原因和事实依据。质疑供应商提供的证明材料属于其他供应商投标(响应)文件未公开内容的，采购人或采购代理机构应当要求质疑供应商提供书面材料证明其合法来源。</w:t>
      </w:r>
    </w:p>
    <w:p w14:paraId="2999E298">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494" w:firstLineChars="206"/>
        <w:rPr>
          <w:rFonts w:ascii="宋体" w:hAnsi="宋体" w:cs="宋体"/>
          <w:color w:val="auto"/>
          <w:kern w:val="0"/>
          <w:sz w:val="24"/>
        </w:rPr>
      </w:pPr>
      <w:r>
        <w:rPr>
          <w:rFonts w:hint="eastAsia" w:ascii="宋体" w:hAnsi="宋体" w:cs="宋体"/>
          <w:color w:val="auto"/>
          <w:kern w:val="0"/>
          <w:sz w:val="24"/>
        </w:rPr>
        <w:t>39.6 有下列情形之一的，属于无效质疑，采购人或采购代理机构可不予受理：</w:t>
      </w:r>
    </w:p>
    <w:p w14:paraId="7BA2FE43">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360" w:firstLineChars="150"/>
        <w:rPr>
          <w:rFonts w:ascii="宋体" w:hAnsi="宋体" w:cs="宋体"/>
          <w:color w:val="auto"/>
          <w:kern w:val="0"/>
          <w:sz w:val="24"/>
        </w:rPr>
      </w:pPr>
      <w:r>
        <w:rPr>
          <w:rFonts w:hint="eastAsia" w:ascii="宋体" w:hAnsi="宋体" w:cs="宋体"/>
          <w:color w:val="auto"/>
          <w:kern w:val="0"/>
          <w:sz w:val="24"/>
        </w:rPr>
        <w:t>（1）未在有效期限内提出质疑的；</w:t>
      </w:r>
    </w:p>
    <w:p w14:paraId="52754165">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360" w:firstLineChars="150"/>
        <w:rPr>
          <w:rFonts w:ascii="宋体" w:hAnsi="宋体" w:cs="宋体"/>
          <w:color w:val="auto"/>
          <w:kern w:val="0"/>
          <w:sz w:val="24"/>
        </w:rPr>
      </w:pPr>
      <w:r>
        <w:rPr>
          <w:rFonts w:hint="eastAsia" w:ascii="宋体" w:hAnsi="宋体" w:cs="宋体"/>
          <w:color w:val="auto"/>
          <w:kern w:val="0"/>
          <w:sz w:val="24"/>
        </w:rPr>
        <w:t>（2）质疑未按格式要求以书面形式提出的；</w:t>
      </w:r>
    </w:p>
    <w:p w14:paraId="6245BBA9">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360" w:firstLineChars="150"/>
        <w:rPr>
          <w:rFonts w:ascii="宋体" w:hAnsi="宋体" w:cs="宋体"/>
          <w:color w:val="auto"/>
          <w:kern w:val="0"/>
          <w:sz w:val="24"/>
        </w:rPr>
      </w:pPr>
      <w:r>
        <w:rPr>
          <w:rFonts w:hint="eastAsia" w:ascii="宋体" w:hAnsi="宋体" w:cs="宋体"/>
          <w:color w:val="auto"/>
          <w:kern w:val="0"/>
          <w:sz w:val="24"/>
        </w:rPr>
        <w:t>（3）质疑事项已经进入投诉或者诉讼程序的；</w:t>
      </w:r>
    </w:p>
    <w:p w14:paraId="43CAF7D8">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360" w:firstLineChars="150"/>
        <w:rPr>
          <w:rFonts w:ascii="宋体" w:hAnsi="宋体" w:cs="宋体"/>
          <w:color w:val="auto"/>
          <w:kern w:val="0"/>
          <w:sz w:val="24"/>
        </w:rPr>
      </w:pPr>
      <w:r>
        <w:rPr>
          <w:rFonts w:hint="eastAsia" w:ascii="宋体" w:hAnsi="宋体" w:cs="宋体"/>
          <w:color w:val="auto"/>
          <w:kern w:val="0"/>
          <w:sz w:val="24"/>
        </w:rPr>
        <w:t>（4）所提交材料未明示属于质疑材料的；</w:t>
      </w:r>
    </w:p>
    <w:p w14:paraId="362A740F">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360" w:firstLineChars="150"/>
        <w:rPr>
          <w:rFonts w:ascii="宋体" w:hAnsi="宋体" w:cs="宋体"/>
          <w:color w:val="auto"/>
          <w:kern w:val="0"/>
          <w:sz w:val="24"/>
        </w:rPr>
      </w:pPr>
      <w:r>
        <w:rPr>
          <w:rFonts w:hint="eastAsia" w:ascii="宋体" w:hAnsi="宋体" w:cs="宋体"/>
          <w:color w:val="auto"/>
          <w:kern w:val="0"/>
          <w:sz w:val="24"/>
        </w:rPr>
        <w:t>（5）投标人对招标文件条款或技术参数有异议，未在开标前通过澄清或修改程序提出，并且投标人已经参与投标，而于开标后对招标文件提出质疑的；</w:t>
      </w:r>
    </w:p>
    <w:p w14:paraId="4D1015CD">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360" w:firstLineChars="150"/>
        <w:rPr>
          <w:rFonts w:ascii="宋体" w:hAnsi="宋体" w:cs="宋体"/>
          <w:color w:val="auto"/>
          <w:kern w:val="0"/>
          <w:sz w:val="24"/>
        </w:rPr>
      </w:pPr>
      <w:r>
        <w:rPr>
          <w:rFonts w:hint="eastAsia" w:ascii="宋体" w:hAnsi="宋体" w:cs="宋体"/>
          <w:color w:val="auto"/>
          <w:kern w:val="0"/>
          <w:sz w:val="24"/>
        </w:rPr>
        <w:t>（6）在提出本次质疑前半年内连续三次质疑而无事实依据的；</w:t>
      </w:r>
    </w:p>
    <w:p w14:paraId="6FF7DEBF">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360" w:firstLineChars="150"/>
        <w:rPr>
          <w:rFonts w:ascii="宋体" w:hAnsi="宋体" w:cs="宋体"/>
          <w:color w:val="auto"/>
          <w:kern w:val="0"/>
          <w:sz w:val="24"/>
        </w:rPr>
      </w:pPr>
      <w:r>
        <w:rPr>
          <w:rFonts w:hint="eastAsia" w:ascii="宋体" w:hAnsi="宋体" w:cs="宋体"/>
          <w:color w:val="auto"/>
          <w:kern w:val="0"/>
          <w:sz w:val="24"/>
        </w:rPr>
        <w:t>（7）其它不符合受理条件的情形。</w:t>
      </w:r>
    </w:p>
    <w:p w14:paraId="20E5FE2E">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494" w:firstLineChars="206"/>
        <w:rPr>
          <w:rFonts w:ascii="宋体" w:hAnsi="宋体" w:cs="宋体"/>
          <w:color w:val="auto"/>
          <w:kern w:val="0"/>
          <w:sz w:val="24"/>
        </w:rPr>
      </w:pPr>
      <w:r>
        <w:rPr>
          <w:rFonts w:hint="eastAsia" w:ascii="宋体" w:hAnsi="宋体" w:cs="宋体"/>
          <w:color w:val="auto"/>
          <w:kern w:val="0"/>
          <w:sz w:val="24"/>
        </w:rPr>
        <w:t>39.</w:t>
      </w:r>
      <w:r>
        <w:rPr>
          <w:rFonts w:hint="eastAsia" w:ascii="宋体" w:hAnsi="宋体" w:cs="宋体"/>
          <w:color w:val="auto"/>
          <w:kern w:val="0"/>
          <w:sz w:val="24"/>
          <w:lang w:val="en-US" w:eastAsia="zh-CN"/>
        </w:rPr>
        <w:t>7</w:t>
      </w:r>
      <w:r>
        <w:rPr>
          <w:rFonts w:hint="eastAsia" w:ascii="宋体" w:hAnsi="宋体" w:cs="宋体"/>
          <w:color w:val="auto"/>
          <w:kern w:val="0"/>
          <w:sz w:val="24"/>
        </w:rPr>
        <w:t xml:space="preserve"> 投标人进行虚假和恶意质疑的，采购人或采购代理机构可以提请政府采购监管部门将其列入不良记录名单，在一至三年内禁止参加政府采购活动，并将处理决定在相关政府采购媒体上公布。</w:t>
      </w:r>
    </w:p>
    <w:p w14:paraId="245D95E7">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2" w:firstLineChars="200"/>
        <w:rPr>
          <w:rFonts w:ascii="宋体" w:hAnsi="宋体" w:cs="宋体"/>
          <w:b/>
          <w:color w:val="auto"/>
          <w:kern w:val="0"/>
          <w:sz w:val="24"/>
        </w:rPr>
      </w:pPr>
      <w:r>
        <w:rPr>
          <w:rFonts w:hint="eastAsia" w:ascii="宋体" w:hAnsi="宋体" w:cs="宋体"/>
          <w:b/>
          <w:color w:val="auto"/>
          <w:kern w:val="0"/>
          <w:sz w:val="24"/>
        </w:rPr>
        <w:t>40、投诉</w:t>
      </w:r>
    </w:p>
    <w:p w14:paraId="1D282AAB">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kern w:val="0"/>
          <w:sz w:val="24"/>
        </w:rPr>
        <w:t>40.1质疑供应商对采购人、采购代理机构的答复不满意，或者采购人、采购代理机构未在规定时间内作出答复的，可以在答复期满后15个工作日内，</w:t>
      </w:r>
      <w:r>
        <w:rPr>
          <w:rFonts w:hint="eastAsia" w:ascii="宋体" w:hAnsi="宋体" w:cs="宋体"/>
          <w:color w:val="auto"/>
          <w:sz w:val="24"/>
        </w:rPr>
        <w:t>按政府采购相关法律法规规章的规定及程序，向同级财政部门提出投诉。投诉书应当包括下列内容：</w:t>
      </w:r>
    </w:p>
    <w:p w14:paraId="679DA0A7">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（1）投诉人和被投诉人的姓名或者名称、通讯地址、邮编、联系人及联系电话；</w:t>
      </w:r>
    </w:p>
    <w:p w14:paraId="3B189144">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（2）质疑和质疑答复情况说明及相关证明材料；</w:t>
      </w:r>
    </w:p>
    <w:p w14:paraId="2C720E13">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（3）具体、明确的投诉事项和与投诉事项相关的投诉请求；</w:t>
      </w:r>
    </w:p>
    <w:p w14:paraId="78055E21">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（4）事实依据；</w:t>
      </w:r>
    </w:p>
    <w:p w14:paraId="74FC6414">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（5）法律依据；</w:t>
      </w:r>
    </w:p>
    <w:p w14:paraId="1946084F">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（6）提起投诉的日期。</w:t>
      </w:r>
    </w:p>
    <w:p w14:paraId="156BF008">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投诉书应当由投标人法定代表人或其授权的代理人签字并加盖投标人单位章，投诉书由授权的代理人签字的应附投标人法定代表人委托授权书。</w:t>
      </w:r>
    </w:p>
    <w:p w14:paraId="339C99FE">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40.2投诉人提起投诉应当符合下列条件：</w:t>
      </w:r>
    </w:p>
    <w:p w14:paraId="126D9C6E">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（1）提起投诉前已依法进行质疑；</w:t>
      </w:r>
    </w:p>
    <w:p w14:paraId="21F08CDB">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（2）投诉书内容符合本办法的规定；</w:t>
      </w:r>
    </w:p>
    <w:p w14:paraId="44F9BCDB">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（3）在投诉有效期内提起投诉；</w:t>
      </w:r>
    </w:p>
    <w:p w14:paraId="5901E998">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（4）同一投诉事项未经财政部门投诉处理；</w:t>
      </w:r>
    </w:p>
    <w:p w14:paraId="4AA04EBA">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（5）财政部门规定的其他条件。</w:t>
      </w:r>
    </w:p>
    <w:p w14:paraId="5DE8BFC8">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before="100" w:beforeAutospacing="1" w:after="100" w:afterAutospacing="1" w:line="460" w:lineRule="exact"/>
        <w:jc w:val="center"/>
        <w:rPr>
          <w:rFonts w:ascii="宋体" w:hAnsi="宋体" w:cs="宋体"/>
          <w:color w:val="auto"/>
          <w:sz w:val="24"/>
        </w:rPr>
      </w:pPr>
      <w:bookmarkStart w:id="22" w:name="_Toc352761940"/>
      <w:bookmarkStart w:id="23" w:name="_Toc509771952"/>
      <w:r>
        <w:rPr>
          <w:rFonts w:hint="eastAsia" w:ascii="宋体" w:hAnsi="宋体" w:cs="宋体"/>
          <w:color w:val="auto"/>
          <w:sz w:val="24"/>
        </w:rPr>
        <w:t>十、投标人违规处罚</w:t>
      </w:r>
      <w:bookmarkEnd w:id="22"/>
      <w:bookmarkEnd w:id="23"/>
    </w:p>
    <w:p w14:paraId="4DF3AF7C">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rPr>
          <w:rFonts w:ascii="宋体" w:hAnsi="宋体" w:cs="宋体"/>
          <w:color w:val="auto"/>
          <w:kern w:val="0"/>
          <w:sz w:val="24"/>
        </w:rPr>
      </w:pPr>
      <w:r>
        <w:rPr>
          <w:rFonts w:hint="eastAsia" w:ascii="宋体" w:hAnsi="宋体" w:cs="宋体"/>
          <w:color w:val="auto"/>
          <w:kern w:val="0"/>
          <w:sz w:val="24"/>
        </w:rPr>
        <w:t xml:space="preserve">    41. 投标人有下列情形之一的，</w:t>
      </w:r>
      <w:r>
        <w:rPr>
          <w:rFonts w:hint="eastAsia" w:ascii="宋体" w:hAnsi="宋体" w:cs="宋体"/>
          <w:color w:val="auto"/>
          <w:kern w:val="0"/>
          <w:sz w:val="24"/>
          <w:lang w:eastAsia="zh-CN"/>
        </w:rPr>
        <w:t>成交</w:t>
      </w:r>
      <w:r>
        <w:rPr>
          <w:rFonts w:hint="eastAsia" w:ascii="宋体" w:hAnsi="宋体" w:cs="宋体"/>
          <w:color w:val="auto"/>
          <w:kern w:val="0"/>
          <w:sz w:val="24"/>
        </w:rPr>
        <w:t xml:space="preserve">、成交无效，采购人或采购代理机构将提请政府采购监管部门，依据政府采购法律法规的规定做出处理。 </w:t>
      </w:r>
    </w:p>
    <w:p w14:paraId="603738D3">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360" w:firstLineChars="150"/>
        <w:rPr>
          <w:rFonts w:ascii="宋体" w:hAnsi="宋体" w:cs="宋体"/>
          <w:color w:val="auto"/>
          <w:kern w:val="0"/>
          <w:sz w:val="24"/>
        </w:rPr>
      </w:pPr>
      <w:r>
        <w:rPr>
          <w:rFonts w:hint="eastAsia" w:ascii="宋体" w:hAnsi="宋体" w:cs="宋体"/>
          <w:color w:val="auto"/>
          <w:kern w:val="0"/>
          <w:sz w:val="24"/>
        </w:rPr>
        <w:t xml:space="preserve"> （1）提供虚假材料谋取</w:t>
      </w:r>
      <w:r>
        <w:rPr>
          <w:rFonts w:hint="eastAsia" w:ascii="宋体" w:hAnsi="宋体" w:cs="宋体"/>
          <w:color w:val="auto"/>
          <w:kern w:val="0"/>
          <w:sz w:val="24"/>
          <w:lang w:eastAsia="zh-CN"/>
        </w:rPr>
        <w:t>成交</w:t>
      </w:r>
      <w:r>
        <w:rPr>
          <w:rFonts w:hint="eastAsia" w:ascii="宋体" w:hAnsi="宋体" w:cs="宋体"/>
          <w:color w:val="auto"/>
          <w:kern w:val="0"/>
          <w:sz w:val="24"/>
        </w:rPr>
        <w:t xml:space="preserve">的； </w:t>
      </w:r>
    </w:p>
    <w:p w14:paraId="1A0541BE">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360" w:firstLineChars="150"/>
        <w:rPr>
          <w:rFonts w:ascii="宋体" w:hAnsi="宋体" w:cs="宋体"/>
          <w:color w:val="auto"/>
          <w:kern w:val="0"/>
          <w:sz w:val="24"/>
        </w:rPr>
      </w:pPr>
      <w:r>
        <w:rPr>
          <w:rFonts w:hint="eastAsia" w:ascii="宋体" w:hAnsi="宋体" w:cs="宋体"/>
          <w:color w:val="auto"/>
          <w:kern w:val="0"/>
          <w:sz w:val="24"/>
        </w:rPr>
        <w:t xml:space="preserve"> （2）采取不正当手段诋毁、排挤其他</w:t>
      </w:r>
      <w:r>
        <w:rPr>
          <w:rFonts w:hint="eastAsia" w:ascii="宋体" w:hAnsi="宋体" w:cs="宋体"/>
          <w:color w:val="auto"/>
          <w:kern w:val="0"/>
          <w:sz w:val="24"/>
          <w:lang w:val="en-US" w:eastAsia="zh-CN"/>
        </w:rPr>
        <w:t>投标人</w:t>
      </w:r>
      <w:r>
        <w:rPr>
          <w:rFonts w:hint="eastAsia" w:ascii="宋体" w:hAnsi="宋体" w:cs="宋体"/>
          <w:color w:val="auto"/>
          <w:kern w:val="0"/>
          <w:sz w:val="24"/>
        </w:rPr>
        <w:t xml:space="preserve">的； </w:t>
      </w:r>
    </w:p>
    <w:p w14:paraId="03AF377F">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60" w:lineRule="exact"/>
        <w:ind w:firstLine="360" w:firstLineChars="150"/>
        <w:rPr>
          <w:rFonts w:ascii="宋体" w:hAnsi="宋体" w:cs="宋体"/>
          <w:color w:val="auto"/>
          <w:kern w:val="0"/>
          <w:sz w:val="24"/>
        </w:rPr>
      </w:pPr>
      <w:r>
        <w:rPr>
          <w:rFonts w:hint="eastAsia" w:ascii="宋体" w:hAnsi="宋体" w:cs="宋体"/>
          <w:color w:val="auto"/>
          <w:kern w:val="0"/>
          <w:sz w:val="24"/>
        </w:rPr>
        <w:t xml:space="preserve"> （3）与采购人、其他</w:t>
      </w:r>
      <w:r>
        <w:rPr>
          <w:rFonts w:hint="eastAsia" w:ascii="宋体" w:hAnsi="宋体" w:cs="宋体"/>
          <w:color w:val="auto"/>
          <w:kern w:val="0"/>
          <w:sz w:val="24"/>
          <w:lang w:val="en-US" w:eastAsia="zh-CN"/>
        </w:rPr>
        <w:t>投标人</w:t>
      </w:r>
      <w:r>
        <w:rPr>
          <w:rFonts w:hint="eastAsia" w:ascii="宋体" w:hAnsi="宋体" w:cs="宋体"/>
          <w:color w:val="auto"/>
          <w:kern w:val="0"/>
          <w:sz w:val="24"/>
        </w:rPr>
        <w:t xml:space="preserve">恶意串通的； </w:t>
      </w:r>
    </w:p>
    <w:p w14:paraId="31D3D6BB">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889" w:leftChars="171" w:hanging="410" w:hangingChars="171"/>
        <w:rPr>
          <w:rFonts w:cs="宋体"/>
          <w:color w:val="auto"/>
          <w:sz w:val="24"/>
          <w:szCs w:val="24"/>
        </w:rPr>
      </w:pPr>
      <w:r>
        <w:rPr>
          <w:rFonts w:hint="eastAsia" w:cs="宋体"/>
          <w:color w:val="auto"/>
          <w:sz w:val="24"/>
          <w:szCs w:val="24"/>
        </w:rPr>
        <w:t>（4）开标后投标人撤销其投标的；</w:t>
      </w:r>
    </w:p>
    <w:p w14:paraId="6B4AAA44">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889" w:leftChars="171" w:hanging="410" w:hangingChars="171"/>
        <w:rPr>
          <w:rFonts w:cs="宋体"/>
          <w:color w:val="auto"/>
          <w:sz w:val="24"/>
          <w:szCs w:val="24"/>
        </w:rPr>
      </w:pPr>
      <w:r>
        <w:rPr>
          <w:rFonts w:hint="eastAsia" w:cs="宋体"/>
          <w:color w:val="auto"/>
          <w:sz w:val="24"/>
          <w:szCs w:val="24"/>
        </w:rPr>
        <w:t>（5）在评标期间，影响采购人或采购代理机构或评标委员会正常履行职责的；</w:t>
      </w:r>
    </w:p>
    <w:p w14:paraId="3F11B876">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889" w:leftChars="171" w:hanging="410" w:hangingChars="171"/>
        <w:rPr>
          <w:rFonts w:cs="宋体"/>
          <w:color w:val="auto"/>
          <w:sz w:val="24"/>
          <w:szCs w:val="24"/>
        </w:rPr>
      </w:pPr>
      <w:r>
        <w:rPr>
          <w:rFonts w:hint="eastAsia" w:cs="宋体"/>
          <w:color w:val="auto"/>
          <w:sz w:val="24"/>
          <w:szCs w:val="24"/>
        </w:rPr>
        <w:t>（6）</w:t>
      </w:r>
      <w:r>
        <w:rPr>
          <w:rFonts w:hint="eastAsia" w:cs="宋体"/>
          <w:color w:val="auto"/>
          <w:sz w:val="24"/>
          <w:szCs w:val="24"/>
          <w:lang w:eastAsia="zh-CN"/>
        </w:rPr>
        <w:t>成交</w:t>
      </w:r>
      <w:r>
        <w:rPr>
          <w:rFonts w:hint="eastAsia" w:cs="宋体"/>
          <w:color w:val="auto"/>
          <w:sz w:val="24"/>
          <w:szCs w:val="24"/>
        </w:rPr>
        <w:t xml:space="preserve">后未按本招标文件规定签约或与采购人订立背离合同实质性内容的其它协议的； </w:t>
      </w:r>
    </w:p>
    <w:p w14:paraId="46F7C136">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889" w:leftChars="171" w:hanging="410" w:hangingChars="171"/>
        <w:rPr>
          <w:rFonts w:cs="宋体"/>
          <w:color w:val="auto"/>
          <w:sz w:val="24"/>
          <w:szCs w:val="24"/>
        </w:rPr>
      </w:pPr>
      <w:r>
        <w:rPr>
          <w:rFonts w:hint="eastAsia" w:cs="宋体"/>
          <w:color w:val="auto"/>
          <w:sz w:val="24"/>
          <w:szCs w:val="24"/>
        </w:rPr>
        <w:t>（7）投标人未按招标文件规定和合同约定履行义务的；</w:t>
      </w:r>
    </w:p>
    <w:p w14:paraId="0F1EB61E">
      <w:pPr>
        <w:pStyle w:val="64"/>
        <w:keepNext w:val="0"/>
        <w:keepLines w:val="0"/>
        <w:pageBreakBefore w:val="0"/>
        <w:pBdr>
          <w:top w:val="none" w:color="auto" w:sz="0" w:space="1"/>
          <w:left w:val="none" w:color="auto" w:sz="0" w:space="4"/>
          <w:bottom w:val="none" w:color="auto" w:sz="0" w:space="1"/>
          <w:right w:val="none" w:color="auto" w:sz="0" w:space="4"/>
        </w:pBdr>
        <w:tabs>
          <w:tab w:val="left" w:pos="360"/>
        </w:tabs>
        <w:kinsoku/>
        <w:wordWrap/>
        <w:overflowPunct/>
        <w:topLinePunct w:val="0"/>
        <w:autoSpaceDE/>
        <w:autoSpaceDN/>
        <w:bidi w:val="0"/>
        <w:snapToGrid w:val="0"/>
        <w:spacing w:line="460" w:lineRule="exact"/>
        <w:ind w:left="889" w:leftChars="171" w:hanging="410" w:hangingChars="171"/>
        <w:rPr>
          <w:rFonts w:cs="宋体"/>
          <w:color w:val="auto"/>
          <w:sz w:val="24"/>
          <w:szCs w:val="24"/>
        </w:rPr>
      </w:pPr>
      <w:r>
        <w:rPr>
          <w:rFonts w:hint="eastAsia" w:cs="宋体"/>
          <w:color w:val="auto"/>
          <w:sz w:val="24"/>
          <w:szCs w:val="24"/>
        </w:rPr>
        <w:t>（8）法律法规规定的其他事项。</w:t>
      </w:r>
    </w:p>
    <w:p w14:paraId="3136A25E">
      <w:pPr>
        <w:keepNext w:val="0"/>
        <w:keepLines w:val="0"/>
        <w:pageBreakBefore w:val="0"/>
        <w:pBdr>
          <w:top w:val="none" w:color="auto" w:sz="0" w:space="1"/>
          <w:left w:val="none" w:color="auto" w:sz="0" w:space="4"/>
          <w:bottom w:val="none" w:color="auto" w:sz="0" w:space="1"/>
          <w:right w:val="none" w:color="auto" w:sz="0" w:space="4"/>
        </w:pBdr>
        <w:tabs>
          <w:tab w:val="left" w:pos="420"/>
          <w:tab w:val="left" w:pos="3990"/>
        </w:tabs>
        <w:kinsoku/>
        <w:wordWrap/>
        <w:overflowPunct/>
        <w:topLinePunct w:val="0"/>
        <w:autoSpaceDE/>
        <w:autoSpaceDN/>
        <w:bidi w:val="0"/>
        <w:spacing w:before="100" w:beforeAutospacing="1" w:after="100" w:afterAutospacing="1" w:line="460" w:lineRule="exact"/>
        <w:jc w:val="center"/>
        <w:rPr>
          <w:rFonts w:ascii="宋体" w:hAnsi="宋体" w:cs="宋体"/>
          <w:bCs/>
          <w:color w:val="auto"/>
          <w:sz w:val="24"/>
        </w:rPr>
      </w:pPr>
      <w:r>
        <w:rPr>
          <w:rFonts w:hint="eastAsia" w:ascii="宋体" w:hAnsi="宋体" w:cs="宋体"/>
          <w:bCs/>
          <w:color w:val="auto"/>
          <w:sz w:val="24"/>
        </w:rPr>
        <w:t>十一、政策性因素</w:t>
      </w:r>
    </w:p>
    <w:p w14:paraId="340124B8">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42. 依据政府采购政策因素的相关规定，如果投标单位所提供的货物、服务、工程满足下述要求并经评标委员会全体成员集体认定通过，予以考虑执行。</w:t>
      </w:r>
    </w:p>
    <w:p w14:paraId="3B21D3AC">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42.1 采购项目中含“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便器、水嘴等”（以“★”标注）的，属于国家强制性采购产品，必须符合《节能产品政府采购品目清单》的要求，否则投标无效。其他列入《节能产品政府采购品目清单》的产品，在评审中优先采购（最终报价相等的前提下）查询网站为：</w:t>
      </w:r>
    </w:p>
    <w:p w14:paraId="6FABEFFD">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中华人民共和国财政部网站（http://www．mof．gov．cn）；</w:t>
      </w:r>
    </w:p>
    <w:p w14:paraId="721D714F">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中国政府采购网（http://www.ccgp．gov.cn）；</w:t>
      </w:r>
    </w:p>
    <w:p w14:paraId="33C7AE43">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国家发展改革委网站（http://hzs.ndrc.gov.cn）；</w:t>
      </w:r>
    </w:p>
    <w:p w14:paraId="26F7F4BC">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中国质量认证中心网站（http://www.cqc．com．cn）。</w:t>
      </w:r>
    </w:p>
    <w:p w14:paraId="6E22D8FD">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42.2 采购货物中含台式计算机的，属于国家强制性采购产品，台式计算机的性能参数还必须符合《环境标志产品政府采购品目清单》附件中的产品，否则投标无效。其它属于《环境标志产品政府采购品目清单》内容的在评审中优先采购，最终报价相等的前提下，优先采购。查询网站为：</w:t>
      </w:r>
    </w:p>
    <w:p w14:paraId="3F8E5661">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中华人民共和国财政部网站（http://www.mof.gov.cn）；</w:t>
      </w:r>
    </w:p>
    <w:p w14:paraId="7321C274">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中国政府采购网（http://www.ccgp.gov.cn）；</w:t>
      </w:r>
    </w:p>
    <w:p w14:paraId="45A53F83">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中华人民共和国环境保护部网站（http://www.zhb.gov.cn）；</w:t>
      </w:r>
    </w:p>
    <w:p w14:paraId="2D148B03">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中国绿色采购网（http://www.cgpn. org）。</w:t>
      </w:r>
    </w:p>
    <w:p w14:paraId="5B7543B8">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42.3采购货物中含信息安全产品，必须是列入财政部会同有关部门制定下发的《信息安全产品强制性认证目录》的产品，投标人须附中国信息安全认证中心按国家标准认证颁发的有效认证证书，否则投标无效。</w:t>
      </w:r>
    </w:p>
    <w:p w14:paraId="1E0B9A32">
      <w:pPr>
        <w:keepNext w:val="0"/>
        <w:keepLines w:val="0"/>
        <w:pageBreakBefore w:val="0"/>
        <w:widowControl/>
        <w:kinsoku/>
        <w:wordWrap/>
        <w:overflowPunct/>
        <w:topLinePunct w:val="0"/>
        <w:autoSpaceDE/>
        <w:autoSpaceDN/>
        <w:bidi w:val="0"/>
        <w:adjustRightInd w:val="0"/>
        <w:snapToGrid w:val="0"/>
        <w:spacing w:line="460" w:lineRule="exact"/>
        <w:ind w:firstLine="602" w:firstLineChars="250"/>
        <w:rPr>
          <w:rFonts w:ascii="宋体" w:hAnsi="宋体" w:cs="宋体"/>
          <w:bCs/>
          <w:color w:val="auto"/>
          <w:kern w:val="0"/>
          <w:sz w:val="24"/>
        </w:rPr>
      </w:pPr>
      <w:r>
        <w:rPr>
          <w:rFonts w:hint="eastAsia" w:ascii="宋体" w:hAnsi="宋体" w:cs="宋体"/>
          <w:b/>
          <w:color w:val="auto"/>
          <w:kern w:val="0"/>
          <w:sz w:val="24"/>
        </w:rPr>
        <w:t>42.4</w:t>
      </w:r>
      <w:r>
        <w:rPr>
          <w:rFonts w:hint="eastAsia" w:ascii="宋体" w:hAnsi="宋体" w:cs="宋体"/>
          <w:b/>
          <w:bCs/>
          <w:color w:val="auto"/>
          <w:kern w:val="0"/>
          <w:sz w:val="24"/>
        </w:rPr>
        <w:t>小型和微型企业、残疾人福利性单位、监狱企业的评审要求</w:t>
      </w:r>
      <w:r>
        <w:rPr>
          <w:rFonts w:hint="eastAsia" w:ascii="宋体" w:hAnsi="宋体" w:cs="宋体"/>
          <w:bCs/>
          <w:color w:val="auto"/>
          <w:kern w:val="0"/>
          <w:sz w:val="24"/>
        </w:rPr>
        <w:t>。</w:t>
      </w:r>
    </w:p>
    <w:p w14:paraId="5C35C17E">
      <w:pPr>
        <w:pStyle w:val="16"/>
        <w:keepNext w:val="0"/>
        <w:keepLines w:val="0"/>
        <w:pageBreakBefore w:val="0"/>
        <w:numPr>
          <w:ilvl w:val="0"/>
          <w:numId w:val="5"/>
        </w:numPr>
        <w:kinsoku/>
        <w:wordWrap/>
        <w:overflowPunct/>
        <w:topLinePunct w:val="0"/>
        <w:autoSpaceDE/>
        <w:autoSpaceDN/>
        <w:bidi w:val="0"/>
        <w:adjustRightInd w:val="0"/>
        <w:snapToGrid w:val="0"/>
        <w:spacing w:line="460" w:lineRule="exact"/>
        <w:ind w:firstLine="480" w:firstLineChars="200"/>
        <w:rPr>
          <w:rFonts w:hint="eastAsia" w:hAnsi="宋体" w:cs="宋体"/>
          <w:color w:val="auto"/>
          <w:kern w:val="0"/>
          <w:sz w:val="24"/>
          <w:szCs w:val="24"/>
        </w:rPr>
      </w:pPr>
      <w:r>
        <w:rPr>
          <w:rFonts w:hint="eastAsia" w:hAnsi="宋体" w:cs="宋体"/>
          <w:color w:val="auto"/>
          <w:kern w:val="0"/>
          <w:sz w:val="24"/>
          <w:szCs w:val="24"/>
        </w:rPr>
        <w:t>依据财库〔2020〕46号关于印发《政府采购促进中小企业发展管理办法》的通知、财库〔2022〕19 号《关于进一步加大政府采购支持中小企业力度的通知》、</w:t>
      </w:r>
      <w:r>
        <w:rPr>
          <w:rFonts w:hint="eastAsia"/>
          <w:color w:val="auto"/>
          <w:sz w:val="24"/>
          <w:szCs w:val="24"/>
          <w:lang w:val="en-US" w:bidi="ar-SA"/>
        </w:rPr>
        <w:t>晋财购〔2022〕6号《山西省财政厅关于进一步加大政府采购支持中小企业力度助力扎实稳住经济的通知》、</w:t>
      </w:r>
      <w:r>
        <w:rPr>
          <w:rFonts w:hint="eastAsia" w:hAnsi="宋体" w:cs="宋体"/>
          <w:color w:val="auto"/>
          <w:kern w:val="0"/>
          <w:sz w:val="24"/>
          <w:szCs w:val="24"/>
        </w:rPr>
        <w:t>《工业和信息化部、国家统计局、国家发展和改革委员会、财政部关于印发中小企业划型标准规定的通知》（工信部联企业[2011]300号）规定的划分标准，对符合本办法规定的小型和微型企业报价给予1</w:t>
      </w:r>
      <w:r>
        <w:rPr>
          <w:rFonts w:hint="eastAsia" w:hAnsi="宋体" w:cs="宋体"/>
          <w:color w:val="auto"/>
          <w:kern w:val="0"/>
          <w:sz w:val="24"/>
          <w:szCs w:val="24"/>
          <w:lang w:val="en-US" w:eastAsia="zh-CN"/>
        </w:rPr>
        <w:t>5</w:t>
      </w:r>
      <w:r>
        <w:rPr>
          <w:rFonts w:hint="eastAsia" w:hAnsi="宋体" w:cs="宋体"/>
          <w:color w:val="auto"/>
          <w:kern w:val="0"/>
          <w:sz w:val="24"/>
          <w:szCs w:val="24"/>
        </w:rPr>
        <w:t>%的扣除，用扣除后的价格参与评审。</w:t>
      </w:r>
    </w:p>
    <w:p w14:paraId="63601224">
      <w:pPr>
        <w:pStyle w:val="16"/>
        <w:keepNext w:val="0"/>
        <w:keepLines w:val="0"/>
        <w:pageBreakBefore w:val="0"/>
        <w:numPr>
          <w:ilvl w:val="0"/>
          <w:numId w:val="0"/>
        </w:numPr>
        <w:kinsoku/>
        <w:wordWrap/>
        <w:overflowPunct/>
        <w:topLinePunct w:val="0"/>
        <w:autoSpaceDE/>
        <w:autoSpaceDN/>
        <w:bidi w:val="0"/>
        <w:adjustRightInd w:val="0"/>
        <w:snapToGrid w:val="0"/>
        <w:spacing w:line="460" w:lineRule="exact"/>
        <w:ind w:firstLine="480" w:firstLineChars="200"/>
        <w:rPr>
          <w:rFonts w:hAnsi="宋体" w:cs="宋体"/>
          <w:color w:val="auto"/>
          <w:kern w:val="0"/>
          <w:sz w:val="24"/>
          <w:szCs w:val="24"/>
        </w:rPr>
      </w:pPr>
      <w:r>
        <w:rPr>
          <w:rFonts w:hint="eastAsia" w:hAnsi="宋体" w:cs="宋体"/>
          <w:color w:val="auto"/>
          <w:kern w:val="0"/>
          <w:sz w:val="24"/>
          <w:szCs w:val="24"/>
        </w:rPr>
        <w:t>参加政府采购活动的中小企业应当提供本办法规定的《中小企业声明函》（见附件），并对声明的真实性负责。</w:t>
      </w:r>
    </w:p>
    <w:p w14:paraId="728176FE">
      <w:pPr>
        <w:pStyle w:val="16"/>
        <w:keepNext w:val="0"/>
        <w:keepLines w:val="0"/>
        <w:pageBreakBefore w:val="0"/>
        <w:kinsoku/>
        <w:wordWrap/>
        <w:overflowPunct/>
        <w:topLinePunct w:val="0"/>
        <w:autoSpaceDE/>
        <w:autoSpaceDN/>
        <w:bidi w:val="0"/>
        <w:adjustRightInd w:val="0"/>
        <w:snapToGrid w:val="0"/>
        <w:spacing w:line="460" w:lineRule="exact"/>
        <w:ind w:firstLine="480" w:firstLineChars="200"/>
        <w:rPr>
          <w:rFonts w:hAnsi="宋体" w:cs="宋体"/>
          <w:color w:val="auto"/>
          <w:kern w:val="0"/>
          <w:sz w:val="24"/>
          <w:szCs w:val="24"/>
        </w:rPr>
      </w:pPr>
      <w:r>
        <w:rPr>
          <w:rFonts w:hint="eastAsia" w:hAnsi="宋体" w:cs="宋体"/>
          <w:color w:val="auto"/>
          <w:kern w:val="0"/>
          <w:sz w:val="24"/>
          <w:szCs w:val="24"/>
        </w:rPr>
        <w:t>（2）根据《财政部 民政部 中国残疾人联合会关于促进残疾人就业政府采购政策的通知》（财库〔2017〕141号）的规定，残疾人福利性单位视同小型、微型企业，享受预留份额、评审中价格折扣等促进中小企业发展的政府采购政策。参加政府采购活动的残疾人福利性单位应当提供本办法规定的《残疾人福利性单位声明函》（见附件），并对声明的真实性负责。</w:t>
      </w:r>
    </w:p>
    <w:p w14:paraId="1EC82723">
      <w:pPr>
        <w:pStyle w:val="16"/>
        <w:keepNext w:val="0"/>
        <w:keepLines w:val="0"/>
        <w:pageBreakBefore w:val="0"/>
        <w:kinsoku/>
        <w:wordWrap/>
        <w:overflowPunct/>
        <w:topLinePunct w:val="0"/>
        <w:autoSpaceDE/>
        <w:autoSpaceDN/>
        <w:bidi w:val="0"/>
        <w:adjustRightInd w:val="0"/>
        <w:snapToGrid w:val="0"/>
        <w:spacing w:line="460" w:lineRule="exact"/>
        <w:ind w:firstLine="480" w:firstLineChars="200"/>
        <w:rPr>
          <w:rFonts w:hAnsi="宋体" w:cs="宋体"/>
          <w:color w:val="auto"/>
          <w:kern w:val="0"/>
          <w:sz w:val="24"/>
          <w:szCs w:val="24"/>
        </w:rPr>
      </w:pPr>
      <w:r>
        <w:rPr>
          <w:rFonts w:hint="eastAsia" w:hAnsi="宋体" w:cs="宋体"/>
          <w:color w:val="auto"/>
          <w:kern w:val="0"/>
          <w:sz w:val="24"/>
          <w:szCs w:val="24"/>
        </w:rPr>
        <w:t>（3）根据《财政部  司法部关于政府采购支持监狱企业发展有关问题的通知》财库〔2014〕68号的规定，监狱企业视同小型、微型企业，享受预留份额、评审中价格扣除等政府采购促进中小企业发展的政府采购政策。（参加政府采购活动的监狱企业应当提供本办法规定的《监狱企业声明函》（见附件），并对声明的真实性负责。</w:t>
      </w:r>
    </w:p>
    <w:p w14:paraId="60B12C58">
      <w:pPr>
        <w:keepNext w:val="0"/>
        <w:keepLines w:val="0"/>
        <w:pageBreakBefore w:val="0"/>
        <w:widowControl/>
        <w:kinsoku/>
        <w:wordWrap/>
        <w:overflowPunct/>
        <w:topLinePunct w:val="0"/>
        <w:autoSpaceDE/>
        <w:autoSpaceDN/>
        <w:bidi w:val="0"/>
        <w:snapToGrid w:val="0"/>
        <w:spacing w:line="460" w:lineRule="exact"/>
        <w:ind w:firstLine="420"/>
        <w:rPr>
          <w:rFonts w:ascii="宋体" w:hAnsi="宋体" w:cs="宋体"/>
          <w:color w:val="auto"/>
          <w:kern w:val="0"/>
          <w:sz w:val="24"/>
        </w:rPr>
      </w:pPr>
      <w:r>
        <w:rPr>
          <w:rFonts w:hint="eastAsia" w:ascii="宋体" w:hAnsi="宋体" w:cs="宋体"/>
          <w:color w:val="auto"/>
          <w:kern w:val="0"/>
          <w:sz w:val="24"/>
        </w:rPr>
        <w:t>42.5根据 《财政部关于在政府采购活动中查询及使用信用记录有关问题的通知》（财库[2016]125号）要求，报名结束后采购代理机构将在“信用中国”网站（www.creditchina.gov.cn）和中国政府采购网（www.ccgp.gov.cn）等渠道查询投标人信用，对列入失信被执行人、重大税收违法失信主体、政府采购严重违法失信行为记录名单及其他不符合《中华人民共和国政府采购法》第二十二条规定条件的供应商，将拒绝其参与政府采购活动。</w:t>
      </w:r>
    </w:p>
    <w:p w14:paraId="6848A6D2">
      <w:pPr>
        <w:jc w:val="center"/>
        <w:outlineLvl w:val="0"/>
        <w:rPr>
          <w:rFonts w:ascii="宋体" w:hAnsi="宋体" w:cs="宋体"/>
          <w:b/>
          <w:bCs/>
          <w:color w:val="auto"/>
          <w:sz w:val="32"/>
          <w:szCs w:val="28"/>
        </w:rPr>
      </w:pPr>
      <w:r>
        <w:rPr>
          <w:rFonts w:hint="eastAsia" w:ascii="宋体" w:hAnsi="宋体" w:cs="宋体"/>
          <w:color w:val="auto"/>
          <w:kern w:val="0"/>
          <w:sz w:val="22"/>
          <w:szCs w:val="22"/>
        </w:rPr>
        <w:br w:type="page"/>
      </w:r>
      <w:bookmarkEnd w:id="7"/>
      <w:bookmarkStart w:id="24" w:name="_Toc25855"/>
      <w:bookmarkStart w:id="25" w:name="_Toc100594740"/>
      <w:bookmarkStart w:id="26" w:name="_Toc175644030"/>
      <w:r>
        <w:rPr>
          <w:rFonts w:hint="eastAsia" w:ascii="宋体" w:hAnsi="宋体" w:cs="宋体"/>
          <w:b/>
          <w:bCs/>
          <w:color w:val="auto"/>
          <w:sz w:val="32"/>
          <w:szCs w:val="28"/>
        </w:rPr>
        <w:t xml:space="preserve">第三章  </w:t>
      </w:r>
      <w:bookmarkEnd w:id="24"/>
      <w:r>
        <w:rPr>
          <w:rFonts w:hint="eastAsia" w:ascii="宋体" w:hAnsi="宋体" w:cs="宋体"/>
          <w:b/>
          <w:bCs/>
          <w:color w:val="auto"/>
          <w:sz w:val="32"/>
          <w:szCs w:val="28"/>
        </w:rPr>
        <w:t>评标标准和评标方法</w:t>
      </w:r>
      <w:bookmarkEnd w:id="25"/>
    </w:p>
    <w:bookmarkEnd w:id="26"/>
    <w:p w14:paraId="58F2B361">
      <w:pPr>
        <w:pStyle w:val="7"/>
        <w:keepNext w:val="0"/>
        <w:keepLines w:val="0"/>
        <w:pageBreakBefore w:val="0"/>
        <w:kinsoku/>
        <w:wordWrap/>
        <w:overflowPunct/>
        <w:topLinePunct w:val="0"/>
        <w:bidi w:val="0"/>
        <w:spacing w:line="420" w:lineRule="exact"/>
        <w:ind w:firstLine="0"/>
        <w:rPr>
          <w:rFonts w:ascii="宋体" w:hAnsi="宋体" w:eastAsia="宋体" w:cs="宋体"/>
          <w:color w:val="auto"/>
          <w:sz w:val="24"/>
        </w:rPr>
      </w:pPr>
      <w:bookmarkStart w:id="27" w:name="OLE_LINK43"/>
    </w:p>
    <w:p w14:paraId="2DA1BBAE">
      <w:pPr>
        <w:keepNext w:val="0"/>
        <w:keepLines w:val="0"/>
        <w:pageBreakBefore w:val="0"/>
        <w:widowControl/>
        <w:kinsoku/>
        <w:wordWrap/>
        <w:overflowPunct/>
        <w:topLinePunct w:val="0"/>
        <w:bidi w:val="0"/>
        <w:snapToGrid w:val="0"/>
        <w:spacing w:line="420" w:lineRule="exact"/>
        <w:ind w:firstLine="482" w:firstLineChars="200"/>
        <w:rPr>
          <w:rFonts w:ascii="宋体" w:hAnsi="宋体" w:cs="宋体"/>
          <w:b/>
          <w:color w:val="auto"/>
          <w:kern w:val="0"/>
          <w:sz w:val="24"/>
        </w:rPr>
      </w:pPr>
      <w:r>
        <w:rPr>
          <w:rFonts w:hint="eastAsia" w:ascii="宋体" w:hAnsi="宋体" w:cs="宋体"/>
          <w:b/>
          <w:color w:val="auto"/>
          <w:kern w:val="0"/>
          <w:sz w:val="24"/>
        </w:rPr>
        <w:t>一、评标原则</w:t>
      </w:r>
    </w:p>
    <w:p w14:paraId="3A24CD01">
      <w:pPr>
        <w:keepNext w:val="0"/>
        <w:keepLines w:val="0"/>
        <w:pageBreakBefore w:val="0"/>
        <w:widowControl/>
        <w:kinsoku/>
        <w:wordWrap/>
        <w:overflowPunct/>
        <w:topLinePunct w:val="0"/>
        <w:bidi w:val="0"/>
        <w:snapToGrid w:val="0"/>
        <w:spacing w:line="420" w:lineRule="exact"/>
        <w:ind w:firstLine="480" w:firstLineChars="200"/>
        <w:rPr>
          <w:rFonts w:ascii="宋体" w:hAnsi="宋体" w:cs="宋体"/>
          <w:color w:val="auto"/>
          <w:kern w:val="0"/>
          <w:sz w:val="24"/>
        </w:rPr>
      </w:pPr>
      <w:r>
        <w:rPr>
          <w:rFonts w:hint="eastAsia" w:ascii="宋体" w:hAnsi="宋体" w:cs="宋体"/>
          <w:color w:val="auto"/>
          <w:kern w:val="0"/>
          <w:sz w:val="24"/>
        </w:rPr>
        <w:t>1、评标委员会在评标时，依据投标报价和各项技术、服务因素对投标人及投标货物进行综合评价，包括但不限于以下各项因素：</w:t>
      </w:r>
    </w:p>
    <w:p w14:paraId="21197550">
      <w:pPr>
        <w:keepNext w:val="0"/>
        <w:keepLines w:val="0"/>
        <w:pageBreakBefore w:val="0"/>
        <w:widowControl/>
        <w:kinsoku/>
        <w:wordWrap/>
        <w:overflowPunct/>
        <w:topLinePunct w:val="0"/>
        <w:bidi w:val="0"/>
        <w:snapToGrid w:val="0"/>
        <w:spacing w:line="420" w:lineRule="exact"/>
        <w:ind w:firstLine="480" w:firstLineChars="200"/>
        <w:rPr>
          <w:rFonts w:ascii="宋体" w:hAnsi="宋体" w:cs="宋体"/>
          <w:color w:val="auto"/>
          <w:kern w:val="0"/>
          <w:sz w:val="24"/>
        </w:rPr>
      </w:pPr>
      <w:r>
        <w:rPr>
          <w:rFonts w:hint="eastAsia" w:ascii="宋体" w:hAnsi="宋体" w:cs="宋体"/>
          <w:color w:val="auto"/>
          <w:kern w:val="0"/>
          <w:sz w:val="24"/>
        </w:rPr>
        <w:t>投标报价；</w:t>
      </w:r>
    </w:p>
    <w:p w14:paraId="2F1BECDC">
      <w:pPr>
        <w:keepNext w:val="0"/>
        <w:keepLines w:val="0"/>
        <w:pageBreakBefore w:val="0"/>
        <w:widowControl/>
        <w:kinsoku/>
        <w:wordWrap/>
        <w:overflowPunct/>
        <w:topLinePunct w:val="0"/>
        <w:bidi w:val="0"/>
        <w:snapToGrid w:val="0"/>
        <w:spacing w:line="420" w:lineRule="exact"/>
        <w:ind w:firstLine="480" w:firstLineChars="200"/>
        <w:rPr>
          <w:rFonts w:ascii="宋体" w:hAnsi="宋体" w:cs="宋体"/>
          <w:color w:val="auto"/>
          <w:kern w:val="0"/>
          <w:sz w:val="24"/>
        </w:rPr>
      </w:pPr>
      <w:r>
        <w:rPr>
          <w:rFonts w:hint="eastAsia" w:ascii="宋体" w:hAnsi="宋体" w:cs="宋体"/>
          <w:color w:val="auto"/>
          <w:kern w:val="0"/>
          <w:sz w:val="24"/>
        </w:rPr>
        <w:t>货物的性能、技术要求；</w:t>
      </w:r>
    </w:p>
    <w:p w14:paraId="67485B84">
      <w:pPr>
        <w:keepNext w:val="0"/>
        <w:keepLines w:val="0"/>
        <w:pageBreakBefore w:val="0"/>
        <w:widowControl/>
        <w:kinsoku/>
        <w:wordWrap/>
        <w:overflowPunct/>
        <w:topLinePunct w:val="0"/>
        <w:bidi w:val="0"/>
        <w:snapToGrid w:val="0"/>
        <w:spacing w:line="420" w:lineRule="exact"/>
        <w:ind w:firstLine="480" w:firstLineChars="200"/>
        <w:rPr>
          <w:rFonts w:ascii="宋体" w:hAnsi="宋体" w:cs="宋体"/>
          <w:color w:val="auto"/>
          <w:kern w:val="0"/>
          <w:sz w:val="24"/>
        </w:rPr>
      </w:pPr>
      <w:r>
        <w:rPr>
          <w:rFonts w:hint="eastAsia" w:ascii="宋体" w:hAnsi="宋体" w:cs="宋体"/>
          <w:color w:val="auto"/>
          <w:kern w:val="0"/>
          <w:sz w:val="24"/>
        </w:rPr>
        <w:t>货物与招标文件技术规格要求的偏离；</w:t>
      </w:r>
    </w:p>
    <w:p w14:paraId="1CAADC7A">
      <w:pPr>
        <w:keepNext w:val="0"/>
        <w:keepLines w:val="0"/>
        <w:pageBreakBefore w:val="0"/>
        <w:widowControl/>
        <w:kinsoku/>
        <w:wordWrap/>
        <w:overflowPunct/>
        <w:topLinePunct w:val="0"/>
        <w:bidi w:val="0"/>
        <w:snapToGrid w:val="0"/>
        <w:spacing w:line="420" w:lineRule="exact"/>
        <w:ind w:firstLine="480" w:firstLineChars="200"/>
        <w:rPr>
          <w:rFonts w:ascii="宋体" w:hAnsi="宋体" w:cs="宋体"/>
          <w:color w:val="auto"/>
          <w:kern w:val="0"/>
          <w:sz w:val="24"/>
        </w:rPr>
      </w:pPr>
      <w:r>
        <w:rPr>
          <w:rFonts w:hint="eastAsia" w:ascii="宋体" w:hAnsi="宋体" w:cs="宋体"/>
          <w:color w:val="auto"/>
          <w:kern w:val="0"/>
          <w:sz w:val="24"/>
        </w:rPr>
        <w:t>售后服务；</w:t>
      </w:r>
    </w:p>
    <w:p w14:paraId="6F66969F">
      <w:pPr>
        <w:keepNext w:val="0"/>
        <w:keepLines w:val="0"/>
        <w:pageBreakBefore w:val="0"/>
        <w:widowControl/>
        <w:kinsoku/>
        <w:wordWrap/>
        <w:overflowPunct/>
        <w:topLinePunct w:val="0"/>
        <w:bidi w:val="0"/>
        <w:snapToGrid w:val="0"/>
        <w:spacing w:line="420" w:lineRule="exact"/>
        <w:ind w:firstLine="480" w:firstLineChars="200"/>
        <w:rPr>
          <w:rFonts w:ascii="宋体" w:hAnsi="宋体" w:cs="宋体"/>
          <w:b/>
          <w:color w:val="auto"/>
          <w:kern w:val="0"/>
          <w:sz w:val="24"/>
        </w:rPr>
      </w:pPr>
      <w:r>
        <w:rPr>
          <w:rFonts w:hint="eastAsia" w:ascii="宋体" w:hAnsi="宋体" w:cs="宋体"/>
          <w:color w:val="auto"/>
          <w:kern w:val="0"/>
          <w:sz w:val="24"/>
        </w:rPr>
        <w:t>投标人提供的其它内容和条件。</w:t>
      </w:r>
    </w:p>
    <w:p w14:paraId="546C1846">
      <w:pPr>
        <w:keepNext w:val="0"/>
        <w:keepLines w:val="0"/>
        <w:pageBreakBefore w:val="0"/>
        <w:kinsoku/>
        <w:wordWrap/>
        <w:overflowPunct/>
        <w:topLinePunct w:val="0"/>
        <w:bidi w:val="0"/>
        <w:spacing w:line="420" w:lineRule="exact"/>
        <w:ind w:firstLine="480" w:firstLineChars="200"/>
        <w:textAlignment w:val="center"/>
        <w:rPr>
          <w:rFonts w:ascii="宋体" w:hAnsi="宋体" w:cs="宋体"/>
          <w:color w:val="auto"/>
          <w:sz w:val="24"/>
        </w:rPr>
      </w:pPr>
      <w:r>
        <w:rPr>
          <w:rFonts w:hint="eastAsia" w:ascii="宋体" w:hAnsi="宋体" w:cs="宋体"/>
          <w:color w:val="auto"/>
          <w:sz w:val="24"/>
          <w:lang w:bidi="ar"/>
        </w:rPr>
        <w:t>2、“公平、公正、科学、择优、效益”为本次评标的基本原则，评标委员会将按照这一原则的要求，公正、平等地对待各投标人。同时，在评标时恪守以下原则：</w:t>
      </w:r>
    </w:p>
    <w:p w14:paraId="409E2E0D">
      <w:pPr>
        <w:keepNext w:val="0"/>
        <w:keepLines w:val="0"/>
        <w:pageBreakBefore w:val="0"/>
        <w:kinsoku/>
        <w:wordWrap/>
        <w:overflowPunct/>
        <w:topLinePunct w:val="0"/>
        <w:bidi w:val="0"/>
        <w:spacing w:line="420" w:lineRule="exact"/>
        <w:ind w:firstLine="480" w:firstLineChars="200"/>
        <w:textAlignment w:val="center"/>
        <w:rPr>
          <w:rFonts w:ascii="宋体" w:hAnsi="宋体" w:cs="宋体"/>
          <w:color w:val="auto"/>
          <w:sz w:val="24"/>
        </w:rPr>
      </w:pPr>
      <w:r>
        <w:rPr>
          <w:rFonts w:hint="eastAsia" w:ascii="宋体" w:hAnsi="宋体" w:cs="宋体"/>
          <w:color w:val="auto"/>
          <w:sz w:val="24"/>
          <w:lang w:bidi="ar"/>
        </w:rPr>
        <w:t>2.1</w:t>
      </w:r>
      <w:r>
        <w:rPr>
          <w:rFonts w:hint="eastAsia" w:ascii="宋体" w:hAnsi="宋体" w:cs="宋体"/>
          <w:b/>
          <w:color w:val="auto"/>
          <w:sz w:val="24"/>
          <w:lang w:bidi="ar"/>
        </w:rPr>
        <w:t>节能环保原则：</w:t>
      </w:r>
      <w:r>
        <w:rPr>
          <w:rFonts w:hint="eastAsia" w:ascii="宋体" w:hAnsi="宋体" w:cs="宋体"/>
          <w:color w:val="auto"/>
          <w:sz w:val="24"/>
          <w:lang w:bidi="ar"/>
        </w:rPr>
        <w:t>在本次采购活动中，应当优先购买节能、环保产品。节能、环保产品，是指列入财政部、国家发展改革委制定的《节能产品政府采购品目清单》和财政部、国家环境保护总局制定的《环境标志产品政府采购品目清单》的产品。</w:t>
      </w:r>
    </w:p>
    <w:p w14:paraId="73B43724">
      <w:pPr>
        <w:keepNext w:val="0"/>
        <w:keepLines w:val="0"/>
        <w:pageBreakBefore w:val="0"/>
        <w:kinsoku/>
        <w:wordWrap/>
        <w:overflowPunct/>
        <w:topLinePunct w:val="0"/>
        <w:bidi w:val="0"/>
        <w:spacing w:line="420" w:lineRule="exact"/>
        <w:ind w:firstLine="482"/>
        <w:textAlignment w:val="center"/>
        <w:rPr>
          <w:rFonts w:ascii="宋体" w:hAnsi="宋体" w:cs="宋体"/>
          <w:color w:val="auto"/>
          <w:sz w:val="24"/>
        </w:rPr>
      </w:pPr>
      <w:r>
        <w:rPr>
          <w:rFonts w:hint="eastAsia" w:ascii="宋体" w:hAnsi="宋体" w:cs="宋体"/>
          <w:color w:val="auto"/>
          <w:sz w:val="24"/>
          <w:lang w:bidi="ar"/>
        </w:rPr>
        <w:t>2.2</w:t>
      </w:r>
      <w:r>
        <w:rPr>
          <w:rFonts w:hint="eastAsia" w:ascii="宋体" w:hAnsi="宋体" w:cs="宋体"/>
          <w:b/>
          <w:color w:val="auto"/>
          <w:sz w:val="24"/>
          <w:lang w:bidi="ar"/>
        </w:rPr>
        <w:t>促进中小企业、支持残疾人福利性单位、支持监狱企业发展原则：</w:t>
      </w:r>
      <w:r>
        <w:rPr>
          <w:rFonts w:hint="eastAsia" w:ascii="宋体" w:hAnsi="宋体" w:cs="宋体"/>
          <w:color w:val="auto"/>
          <w:sz w:val="24"/>
          <w:lang w:bidi="ar"/>
        </w:rPr>
        <w:t>在本次采购活动中，应当给予小微企业、残疾人福利性单位、监狱企业价格扣除的政府采购政策优惠。（本项目专门面向中小企业采购，小、微企业不享受“评审中价格折扣”）</w:t>
      </w:r>
    </w:p>
    <w:p w14:paraId="272E8260">
      <w:pPr>
        <w:keepNext w:val="0"/>
        <w:keepLines w:val="0"/>
        <w:pageBreakBefore w:val="0"/>
        <w:kinsoku/>
        <w:wordWrap/>
        <w:overflowPunct/>
        <w:topLinePunct w:val="0"/>
        <w:bidi w:val="0"/>
        <w:spacing w:line="420" w:lineRule="exact"/>
        <w:ind w:firstLine="482"/>
        <w:textAlignment w:val="center"/>
        <w:rPr>
          <w:rFonts w:ascii="宋体" w:hAnsi="宋体" w:cs="宋体"/>
          <w:color w:val="auto"/>
          <w:sz w:val="24"/>
        </w:rPr>
      </w:pPr>
      <w:r>
        <w:rPr>
          <w:rFonts w:hint="eastAsia" w:ascii="宋体" w:hAnsi="宋体" w:cs="宋体"/>
          <w:color w:val="auto"/>
          <w:sz w:val="24"/>
          <w:lang w:bidi="ar"/>
        </w:rPr>
        <w:t>2.3客观性原则：评标委员会将严格按照招标文件的要求，对投标人的投标文件进行认真评审，</w:t>
      </w:r>
      <w:r>
        <w:rPr>
          <w:rFonts w:hint="eastAsia" w:ascii="宋体" w:hAnsi="宋体" w:cs="宋体"/>
          <w:b/>
          <w:color w:val="auto"/>
          <w:sz w:val="24"/>
          <w:lang w:bidi="ar"/>
        </w:rPr>
        <w:t>评标委员会判断投标文件的评审仅基于投标文件本身而不靠外部证据。</w:t>
      </w:r>
    </w:p>
    <w:p w14:paraId="5BB4E27E">
      <w:pPr>
        <w:keepNext w:val="0"/>
        <w:keepLines w:val="0"/>
        <w:pageBreakBefore w:val="0"/>
        <w:kinsoku/>
        <w:wordWrap/>
        <w:overflowPunct/>
        <w:topLinePunct w:val="0"/>
        <w:bidi w:val="0"/>
        <w:spacing w:line="420" w:lineRule="exact"/>
        <w:ind w:firstLine="482"/>
        <w:textAlignment w:val="center"/>
        <w:rPr>
          <w:rFonts w:ascii="宋体" w:hAnsi="宋体" w:cs="宋体"/>
          <w:color w:val="auto"/>
          <w:sz w:val="24"/>
        </w:rPr>
      </w:pPr>
      <w:r>
        <w:rPr>
          <w:rFonts w:hint="eastAsia" w:ascii="宋体" w:hAnsi="宋体" w:cs="宋体"/>
          <w:color w:val="auto"/>
          <w:sz w:val="24"/>
          <w:lang w:bidi="ar"/>
        </w:rPr>
        <w:t xml:space="preserve">2.4统一性原则：评标委员会将按照统一的评标原则和评标办法，用同一标准进行评标。 </w:t>
      </w:r>
    </w:p>
    <w:p w14:paraId="09609094">
      <w:pPr>
        <w:keepNext w:val="0"/>
        <w:keepLines w:val="0"/>
        <w:pageBreakBefore w:val="0"/>
        <w:kinsoku/>
        <w:wordWrap/>
        <w:overflowPunct/>
        <w:topLinePunct w:val="0"/>
        <w:bidi w:val="0"/>
        <w:spacing w:line="420" w:lineRule="exact"/>
        <w:ind w:firstLine="482"/>
        <w:textAlignment w:val="center"/>
        <w:rPr>
          <w:rFonts w:ascii="宋体" w:hAnsi="宋体" w:cs="宋体"/>
          <w:color w:val="auto"/>
          <w:sz w:val="24"/>
        </w:rPr>
      </w:pPr>
      <w:r>
        <w:rPr>
          <w:rFonts w:hint="eastAsia" w:ascii="宋体" w:hAnsi="宋体" w:cs="宋体"/>
          <w:color w:val="auto"/>
          <w:sz w:val="24"/>
          <w:lang w:bidi="ar"/>
        </w:rPr>
        <w:t>2.5独立性原则：评审工作在评标委员会内部独立进行，不受外界任何因素干扰和影响，评标委员会成员对出具的专家意见承担个人责任。</w:t>
      </w:r>
    </w:p>
    <w:p w14:paraId="5ECAC81C">
      <w:pPr>
        <w:keepNext w:val="0"/>
        <w:keepLines w:val="0"/>
        <w:pageBreakBefore w:val="0"/>
        <w:kinsoku/>
        <w:wordWrap/>
        <w:overflowPunct/>
        <w:topLinePunct w:val="0"/>
        <w:bidi w:val="0"/>
        <w:spacing w:line="420" w:lineRule="exact"/>
        <w:ind w:firstLine="482"/>
        <w:textAlignment w:val="center"/>
        <w:rPr>
          <w:rFonts w:ascii="宋体" w:hAnsi="宋体" w:cs="宋体"/>
          <w:color w:val="auto"/>
          <w:sz w:val="24"/>
        </w:rPr>
      </w:pPr>
      <w:r>
        <w:rPr>
          <w:rFonts w:hint="eastAsia" w:ascii="宋体" w:hAnsi="宋体" w:cs="宋体"/>
          <w:color w:val="auto"/>
          <w:sz w:val="24"/>
          <w:lang w:bidi="ar"/>
        </w:rPr>
        <w:t>2.6保密性原则：评标委员会成员及有关工作人员将保守投标人的商业秘密。</w:t>
      </w:r>
    </w:p>
    <w:p w14:paraId="69011A02">
      <w:pPr>
        <w:keepNext w:val="0"/>
        <w:keepLines w:val="0"/>
        <w:pageBreakBefore w:val="0"/>
        <w:kinsoku/>
        <w:wordWrap/>
        <w:overflowPunct/>
        <w:topLinePunct w:val="0"/>
        <w:bidi w:val="0"/>
        <w:spacing w:line="420" w:lineRule="exact"/>
        <w:ind w:firstLine="482"/>
        <w:textAlignment w:val="center"/>
        <w:rPr>
          <w:rFonts w:ascii="宋体" w:hAnsi="宋体" w:cs="宋体"/>
          <w:b/>
          <w:color w:val="auto"/>
          <w:sz w:val="24"/>
          <w:lang w:bidi="ar"/>
        </w:rPr>
      </w:pPr>
      <w:r>
        <w:rPr>
          <w:rFonts w:hint="eastAsia" w:ascii="宋体" w:hAnsi="宋体" w:cs="宋体"/>
          <w:color w:val="auto"/>
          <w:sz w:val="24"/>
          <w:lang w:bidi="ar"/>
        </w:rPr>
        <w:t>2.7</w:t>
      </w:r>
      <w:r>
        <w:rPr>
          <w:rFonts w:hint="eastAsia" w:ascii="宋体" w:hAnsi="宋体" w:cs="宋体"/>
          <w:b/>
          <w:color w:val="auto"/>
          <w:sz w:val="24"/>
          <w:lang w:bidi="ar"/>
        </w:rPr>
        <w:t>综合性原则：评标委员会将综合分析评审投标人的各项指标，而不以单项指标的优劣评定</w:t>
      </w:r>
      <w:r>
        <w:rPr>
          <w:rFonts w:hint="eastAsia" w:ascii="宋体" w:hAnsi="宋体" w:cs="宋体"/>
          <w:b/>
          <w:color w:val="auto"/>
          <w:sz w:val="24"/>
          <w:lang w:eastAsia="zh-CN" w:bidi="ar"/>
        </w:rPr>
        <w:t>成交</w:t>
      </w:r>
      <w:r>
        <w:rPr>
          <w:rFonts w:hint="eastAsia" w:ascii="宋体" w:hAnsi="宋体" w:cs="宋体"/>
          <w:b/>
          <w:color w:val="auto"/>
          <w:sz w:val="24"/>
          <w:lang w:bidi="ar"/>
        </w:rPr>
        <w:t>候选人。</w:t>
      </w:r>
    </w:p>
    <w:p w14:paraId="0CB62698">
      <w:pPr>
        <w:keepNext w:val="0"/>
        <w:keepLines w:val="0"/>
        <w:pageBreakBefore w:val="0"/>
        <w:kinsoku/>
        <w:wordWrap/>
        <w:overflowPunct/>
        <w:topLinePunct w:val="0"/>
        <w:bidi w:val="0"/>
        <w:spacing w:line="420" w:lineRule="exact"/>
        <w:ind w:firstLine="482"/>
        <w:textAlignment w:val="center"/>
        <w:rPr>
          <w:rFonts w:ascii="宋体" w:hAnsi="宋体" w:cs="宋体"/>
          <w:color w:val="auto"/>
          <w:sz w:val="24"/>
          <w:lang w:bidi="ar"/>
        </w:rPr>
      </w:pPr>
      <w:r>
        <w:rPr>
          <w:rFonts w:hint="eastAsia" w:ascii="宋体" w:hAnsi="宋体" w:cs="宋体"/>
          <w:color w:val="auto"/>
          <w:sz w:val="24"/>
          <w:lang w:bidi="ar"/>
        </w:rPr>
        <w:t>2.8少数服从多数原则：评标委员会成员应当依法独立评标，遵守评标工作纪律。对需要共同认定的事项存在争议的，应当按照少数服从多数的原则作出评审结论；持不同意见的评标委员会成员应当在评标报告上签署不同意见并说明理由；不签署不同意见的，视为同意。</w:t>
      </w:r>
      <w:bookmarkStart w:id="28" w:name="_Toc175644028"/>
    </w:p>
    <w:p w14:paraId="4691263D">
      <w:pPr>
        <w:keepNext w:val="0"/>
        <w:keepLines w:val="0"/>
        <w:pageBreakBefore w:val="0"/>
        <w:widowControl/>
        <w:kinsoku/>
        <w:wordWrap/>
        <w:overflowPunct/>
        <w:topLinePunct w:val="0"/>
        <w:bidi w:val="0"/>
        <w:spacing w:line="420" w:lineRule="exact"/>
        <w:ind w:firstLine="482" w:firstLineChars="200"/>
        <w:rPr>
          <w:rFonts w:ascii="宋体" w:hAnsi="宋体" w:cs="宋体"/>
          <w:b/>
          <w:color w:val="auto"/>
          <w:sz w:val="24"/>
        </w:rPr>
      </w:pPr>
      <w:r>
        <w:rPr>
          <w:rFonts w:hint="eastAsia" w:ascii="宋体" w:hAnsi="宋体" w:cs="宋体"/>
          <w:b/>
          <w:color w:val="auto"/>
          <w:sz w:val="24"/>
        </w:rPr>
        <w:t>二、</w:t>
      </w:r>
      <w:r>
        <w:rPr>
          <w:rFonts w:hint="eastAsia" w:ascii="宋体" w:hAnsi="宋体" w:cs="宋体"/>
          <w:b/>
          <w:color w:val="auto"/>
          <w:kern w:val="0"/>
          <w:sz w:val="24"/>
        </w:rPr>
        <w:t>评标方法</w:t>
      </w:r>
      <w:bookmarkEnd w:id="28"/>
    </w:p>
    <w:p w14:paraId="3BEE7150">
      <w:pPr>
        <w:keepNext w:val="0"/>
        <w:keepLines w:val="0"/>
        <w:pageBreakBefore w:val="0"/>
        <w:widowControl/>
        <w:kinsoku/>
        <w:wordWrap/>
        <w:overflowPunct/>
        <w:topLinePunct w:val="0"/>
        <w:bidi w:val="0"/>
        <w:snapToGrid w:val="0"/>
        <w:spacing w:line="420" w:lineRule="exact"/>
        <w:ind w:firstLine="480" w:firstLineChars="200"/>
        <w:rPr>
          <w:rFonts w:ascii="宋体" w:hAnsi="宋体" w:cs="宋体"/>
          <w:color w:val="auto"/>
          <w:kern w:val="0"/>
          <w:sz w:val="24"/>
        </w:rPr>
      </w:pPr>
      <w:r>
        <w:rPr>
          <w:rFonts w:hint="eastAsia" w:ascii="宋体" w:hAnsi="宋体" w:cs="宋体"/>
          <w:color w:val="auto"/>
          <w:kern w:val="0"/>
          <w:sz w:val="24"/>
        </w:rPr>
        <w:t>1、本次评标采用综合评分法，综合评分的主要因素为价格、技术、业绩、服务以及对招标文件的响应程度。</w:t>
      </w:r>
      <w:r>
        <w:rPr>
          <w:rFonts w:hint="eastAsia" w:ascii="宋体" w:hAnsi="宋体" w:cs="宋体"/>
          <w:b/>
          <w:bCs/>
          <w:color w:val="auto"/>
          <w:kern w:val="0"/>
          <w:sz w:val="24"/>
        </w:rPr>
        <w:t>每一投标人的技术得分为所有评委评分的算数平均值</w:t>
      </w:r>
      <w:r>
        <w:rPr>
          <w:rFonts w:hint="eastAsia" w:ascii="宋体" w:hAnsi="宋体" w:cs="宋体"/>
          <w:color w:val="auto"/>
          <w:kern w:val="0"/>
          <w:sz w:val="24"/>
        </w:rPr>
        <w:t>。</w:t>
      </w:r>
    </w:p>
    <w:p w14:paraId="5158E034">
      <w:pPr>
        <w:keepNext w:val="0"/>
        <w:keepLines w:val="0"/>
        <w:pageBreakBefore w:val="0"/>
        <w:kinsoku/>
        <w:wordWrap/>
        <w:overflowPunct/>
        <w:topLinePunct w:val="0"/>
        <w:bidi w:val="0"/>
        <w:spacing w:line="420" w:lineRule="exact"/>
        <w:ind w:firstLine="480" w:firstLineChars="200"/>
        <w:rPr>
          <w:rFonts w:ascii="宋体" w:hAnsi="宋体" w:cs="宋体"/>
          <w:color w:val="auto"/>
          <w:sz w:val="24"/>
        </w:rPr>
      </w:pPr>
      <w:r>
        <w:rPr>
          <w:rFonts w:hint="eastAsia" w:ascii="宋体" w:hAnsi="宋体" w:cs="宋体"/>
          <w:color w:val="auto"/>
          <w:kern w:val="0"/>
          <w:sz w:val="24"/>
        </w:rPr>
        <w:t>2、评标内容、标准及所占分值</w:t>
      </w:r>
      <w:r>
        <w:rPr>
          <w:rFonts w:hint="eastAsia" w:ascii="宋体" w:hAnsi="宋体" w:cs="宋体"/>
          <w:color w:val="auto"/>
          <w:kern w:val="0"/>
          <w:sz w:val="24"/>
        </w:rPr>
        <w:tab/>
      </w:r>
    </w:p>
    <w:tbl>
      <w:tblPr>
        <w:tblStyle w:val="33"/>
        <w:tblW w:w="10128" w:type="dxa"/>
        <w:jc w:val="center"/>
        <w:tblLayout w:type="fixed"/>
        <w:tblCellMar>
          <w:top w:w="0" w:type="dxa"/>
          <w:left w:w="0" w:type="dxa"/>
          <w:bottom w:w="0" w:type="dxa"/>
          <w:right w:w="0" w:type="dxa"/>
        </w:tblCellMar>
      </w:tblPr>
      <w:tblGrid>
        <w:gridCol w:w="1127"/>
        <w:gridCol w:w="802"/>
        <w:gridCol w:w="1352"/>
        <w:gridCol w:w="6847"/>
      </w:tblGrid>
      <w:tr w14:paraId="49CD97DD">
        <w:tblPrEx>
          <w:tblCellMar>
            <w:top w:w="0" w:type="dxa"/>
            <w:left w:w="0" w:type="dxa"/>
            <w:bottom w:w="0" w:type="dxa"/>
            <w:right w:w="0" w:type="dxa"/>
          </w:tblCellMar>
        </w:tblPrEx>
        <w:trPr>
          <w:trHeight w:val="584" w:hRule="atLeast"/>
          <w:tblHeader/>
          <w:jc w:val="center"/>
        </w:trPr>
        <w:tc>
          <w:tcPr>
            <w:tcW w:w="1929" w:type="dxa"/>
            <w:gridSpan w:val="2"/>
            <w:tcBorders>
              <w:top w:val="single" w:color="000000" w:sz="4" w:space="0"/>
              <w:left w:val="single" w:color="000000" w:sz="4" w:space="0"/>
              <w:bottom w:val="single" w:color="auto" w:sz="4" w:space="0"/>
              <w:right w:val="single" w:color="000000" w:sz="4" w:space="0"/>
            </w:tcBorders>
            <w:vAlign w:val="center"/>
          </w:tcPr>
          <w:p w14:paraId="7CCB5773">
            <w:pPr>
              <w:keepNext w:val="0"/>
              <w:keepLines w:val="0"/>
              <w:pageBreakBefore w:val="0"/>
              <w:kinsoku/>
              <w:wordWrap/>
              <w:overflowPunct/>
              <w:topLinePunct w:val="0"/>
              <w:autoSpaceDE w:val="0"/>
              <w:autoSpaceDN w:val="0"/>
              <w:bidi w:val="0"/>
              <w:adjustRightInd w:val="0"/>
              <w:spacing w:before="50" w:line="420" w:lineRule="exact"/>
              <w:ind w:right="96" w:firstLine="60" w:firstLineChars="28"/>
              <w:jc w:val="center"/>
              <w:rPr>
                <w:rFonts w:ascii="宋体" w:hAnsi="宋体" w:cs="宋体"/>
                <w:b/>
                <w:color w:val="auto"/>
                <w:spacing w:val="1"/>
                <w:kern w:val="0"/>
                <w:sz w:val="21"/>
                <w:szCs w:val="21"/>
              </w:rPr>
            </w:pPr>
            <w:r>
              <w:rPr>
                <w:rFonts w:hint="eastAsia" w:ascii="宋体" w:hAnsi="宋体" w:cs="宋体"/>
                <w:b/>
                <w:color w:val="auto"/>
                <w:spacing w:val="1"/>
                <w:kern w:val="0"/>
                <w:sz w:val="21"/>
                <w:szCs w:val="21"/>
              </w:rPr>
              <w:t>评审因素及分值</w:t>
            </w:r>
          </w:p>
        </w:tc>
        <w:tc>
          <w:tcPr>
            <w:tcW w:w="8199" w:type="dxa"/>
            <w:gridSpan w:val="2"/>
            <w:tcBorders>
              <w:top w:val="single" w:color="000000" w:sz="4" w:space="0"/>
              <w:left w:val="single" w:color="000000" w:sz="4" w:space="0"/>
              <w:bottom w:val="single" w:color="auto" w:sz="4" w:space="0"/>
              <w:right w:val="single" w:color="000000" w:sz="4" w:space="0"/>
            </w:tcBorders>
            <w:vAlign w:val="center"/>
          </w:tcPr>
          <w:p w14:paraId="26228E26">
            <w:pPr>
              <w:keepNext w:val="0"/>
              <w:keepLines w:val="0"/>
              <w:pageBreakBefore w:val="0"/>
              <w:kinsoku/>
              <w:wordWrap/>
              <w:overflowPunct/>
              <w:topLinePunct w:val="0"/>
              <w:autoSpaceDE w:val="0"/>
              <w:autoSpaceDN w:val="0"/>
              <w:bidi w:val="0"/>
              <w:adjustRightInd w:val="0"/>
              <w:spacing w:before="50" w:line="420" w:lineRule="exact"/>
              <w:ind w:left="137" w:right="96" w:firstLine="60" w:firstLineChars="28"/>
              <w:jc w:val="center"/>
              <w:rPr>
                <w:rFonts w:ascii="宋体" w:hAnsi="宋体" w:cs="宋体"/>
                <w:b/>
                <w:color w:val="auto"/>
                <w:spacing w:val="1"/>
                <w:kern w:val="0"/>
                <w:sz w:val="21"/>
                <w:szCs w:val="21"/>
              </w:rPr>
            </w:pPr>
            <w:r>
              <w:rPr>
                <w:rFonts w:hint="eastAsia" w:ascii="宋体" w:hAnsi="宋体" w:cs="宋体"/>
                <w:b/>
                <w:color w:val="auto"/>
                <w:spacing w:val="1"/>
                <w:kern w:val="0"/>
                <w:sz w:val="21"/>
                <w:szCs w:val="21"/>
              </w:rPr>
              <w:t>评分标准</w:t>
            </w:r>
          </w:p>
        </w:tc>
      </w:tr>
      <w:tr w14:paraId="39F5B4F8">
        <w:tblPrEx>
          <w:tblCellMar>
            <w:top w:w="0" w:type="dxa"/>
            <w:left w:w="0" w:type="dxa"/>
            <w:bottom w:w="0" w:type="dxa"/>
            <w:right w:w="0" w:type="dxa"/>
          </w:tblCellMar>
        </w:tblPrEx>
        <w:trPr>
          <w:trHeight w:val="2042"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14:paraId="6D87F6B4">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r>
              <w:rPr>
                <w:rFonts w:hint="eastAsia" w:ascii="宋体" w:hAnsi="宋体" w:cs="宋体"/>
                <w:color w:val="auto"/>
                <w:spacing w:val="1"/>
                <w:kern w:val="0"/>
                <w:sz w:val="21"/>
                <w:szCs w:val="21"/>
              </w:rPr>
              <w:t>投标</w:t>
            </w:r>
          </w:p>
          <w:p w14:paraId="55D6A297">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r>
              <w:rPr>
                <w:rFonts w:hint="eastAsia" w:ascii="宋体" w:hAnsi="宋体" w:cs="宋体"/>
                <w:color w:val="auto"/>
                <w:spacing w:val="1"/>
                <w:kern w:val="0"/>
                <w:sz w:val="21"/>
                <w:szCs w:val="21"/>
              </w:rPr>
              <w:t>报价</w:t>
            </w:r>
          </w:p>
        </w:tc>
        <w:tc>
          <w:tcPr>
            <w:tcW w:w="802" w:type="dxa"/>
            <w:tcBorders>
              <w:top w:val="single" w:color="auto" w:sz="4" w:space="0"/>
              <w:left w:val="single" w:color="auto" w:sz="4" w:space="0"/>
              <w:bottom w:val="single" w:color="auto" w:sz="4" w:space="0"/>
              <w:right w:val="single" w:color="auto" w:sz="4" w:space="0"/>
            </w:tcBorders>
            <w:vAlign w:val="center"/>
          </w:tcPr>
          <w:p w14:paraId="50F18E24">
            <w:pPr>
              <w:keepNext w:val="0"/>
              <w:keepLines w:val="0"/>
              <w:pageBreakBefore w:val="0"/>
              <w:kinsoku/>
              <w:wordWrap/>
              <w:overflowPunct/>
              <w:topLinePunct w:val="0"/>
              <w:autoSpaceDE w:val="0"/>
              <w:autoSpaceDN w:val="0"/>
              <w:bidi w:val="0"/>
              <w:adjustRightInd w:val="0"/>
              <w:spacing w:before="50" w:line="420" w:lineRule="exact"/>
              <w:ind w:left="78" w:leftChars="28" w:right="96" w:firstLine="4" w:firstLineChars="2"/>
              <w:jc w:val="center"/>
              <w:rPr>
                <w:rFonts w:ascii="宋体" w:hAnsi="宋体" w:cs="宋体"/>
                <w:color w:val="auto"/>
                <w:spacing w:val="1"/>
                <w:kern w:val="0"/>
                <w:sz w:val="21"/>
                <w:szCs w:val="21"/>
              </w:rPr>
            </w:pPr>
            <w:r>
              <w:rPr>
                <w:rFonts w:hint="eastAsia" w:ascii="宋体" w:hAnsi="宋体" w:cs="宋体"/>
                <w:color w:val="auto"/>
                <w:spacing w:val="1"/>
                <w:kern w:val="0"/>
                <w:sz w:val="21"/>
                <w:szCs w:val="21"/>
              </w:rPr>
              <w:t>30分</w:t>
            </w:r>
          </w:p>
        </w:tc>
        <w:tc>
          <w:tcPr>
            <w:tcW w:w="1352" w:type="dxa"/>
            <w:tcBorders>
              <w:top w:val="single" w:color="auto" w:sz="4" w:space="0"/>
              <w:left w:val="single" w:color="auto" w:sz="4" w:space="0"/>
              <w:bottom w:val="single" w:color="auto" w:sz="4" w:space="0"/>
              <w:right w:val="single" w:color="auto" w:sz="4" w:space="0"/>
            </w:tcBorders>
            <w:vAlign w:val="center"/>
          </w:tcPr>
          <w:p w14:paraId="356B2382">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r>
              <w:rPr>
                <w:rFonts w:hint="eastAsia" w:ascii="宋体" w:hAnsi="宋体" w:cs="宋体"/>
                <w:color w:val="auto"/>
                <w:spacing w:val="1"/>
                <w:kern w:val="0"/>
                <w:sz w:val="21"/>
                <w:szCs w:val="21"/>
              </w:rPr>
              <w:t>投标报价</w:t>
            </w:r>
          </w:p>
          <w:p w14:paraId="269AE577">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r>
              <w:rPr>
                <w:rFonts w:hint="eastAsia" w:ascii="宋体" w:hAnsi="宋体" w:cs="宋体"/>
                <w:color w:val="auto"/>
                <w:spacing w:val="1"/>
                <w:kern w:val="0"/>
                <w:sz w:val="21"/>
                <w:szCs w:val="21"/>
              </w:rPr>
              <w:t>（30分）</w:t>
            </w:r>
          </w:p>
        </w:tc>
        <w:tc>
          <w:tcPr>
            <w:tcW w:w="6847" w:type="dxa"/>
            <w:tcBorders>
              <w:top w:val="single" w:color="000000" w:sz="4" w:space="0"/>
              <w:left w:val="single" w:color="auto" w:sz="4" w:space="0"/>
              <w:bottom w:val="single" w:color="auto" w:sz="4" w:space="0"/>
              <w:right w:val="single" w:color="000000" w:sz="4" w:space="0"/>
            </w:tcBorders>
            <w:vAlign w:val="center"/>
          </w:tcPr>
          <w:p w14:paraId="0977CA39">
            <w:pPr>
              <w:keepNext w:val="0"/>
              <w:keepLines w:val="0"/>
              <w:pageBreakBefore w:val="0"/>
              <w:kinsoku/>
              <w:wordWrap/>
              <w:overflowPunct/>
              <w:topLinePunct w:val="0"/>
              <w:autoSpaceDE w:val="0"/>
              <w:autoSpaceDN w:val="0"/>
              <w:bidi w:val="0"/>
              <w:adjustRightInd w:val="0"/>
              <w:spacing w:line="420" w:lineRule="exact"/>
              <w:ind w:right="96" w:firstLine="420" w:firstLineChars="200"/>
              <w:rPr>
                <w:rFonts w:ascii="宋体" w:hAnsi="宋体" w:cs="宋体"/>
                <w:color w:val="auto"/>
                <w:sz w:val="21"/>
                <w:szCs w:val="21"/>
              </w:rPr>
            </w:pPr>
            <w:r>
              <w:rPr>
                <w:rFonts w:hint="eastAsia" w:ascii="宋体" w:hAnsi="宋体" w:cs="宋体"/>
                <w:color w:val="auto"/>
                <w:sz w:val="21"/>
                <w:szCs w:val="21"/>
              </w:rPr>
              <w:t>价格分采用低价优先法计算，即满足招标文件要求且投标价格最低的投标报价为评标基准价，其价格分为满分。</w:t>
            </w:r>
          </w:p>
          <w:p w14:paraId="1DA86E21">
            <w:pPr>
              <w:keepNext w:val="0"/>
              <w:keepLines w:val="0"/>
              <w:pageBreakBefore w:val="0"/>
              <w:kinsoku/>
              <w:wordWrap/>
              <w:overflowPunct/>
              <w:topLinePunct w:val="0"/>
              <w:autoSpaceDE w:val="0"/>
              <w:autoSpaceDN w:val="0"/>
              <w:bidi w:val="0"/>
              <w:adjustRightInd w:val="0"/>
              <w:spacing w:line="420" w:lineRule="exact"/>
              <w:ind w:right="96"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投标人</w:t>
            </w:r>
            <w:r>
              <w:rPr>
                <w:rFonts w:hint="eastAsia" w:ascii="宋体" w:hAnsi="宋体" w:cs="宋体"/>
                <w:color w:val="auto"/>
                <w:sz w:val="21"/>
                <w:szCs w:val="21"/>
              </w:rPr>
              <w:t>的价格分统一按照下列公式计算（分值计算保留两位小数）：投标报价得分＝（评标基准价/投标报价）×30</w:t>
            </w:r>
            <w:r>
              <w:rPr>
                <w:rFonts w:hint="eastAsia" w:ascii="宋体" w:hAnsi="宋体" w:cs="宋体"/>
                <w:color w:val="auto"/>
                <w:sz w:val="21"/>
                <w:szCs w:val="21"/>
                <w:lang w:val="en-US" w:eastAsia="zh-CN"/>
              </w:rPr>
              <w:t>%</w:t>
            </w:r>
            <w:r>
              <w:rPr>
                <w:rFonts w:hint="eastAsia" w:ascii="宋体" w:hAnsi="宋体" w:cs="宋体"/>
                <w:color w:val="auto"/>
                <w:sz w:val="21"/>
                <w:szCs w:val="21"/>
              </w:rPr>
              <w:t>×</w:t>
            </w:r>
            <w:r>
              <w:rPr>
                <w:rFonts w:hint="eastAsia" w:ascii="宋体" w:hAnsi="宋体" w:cs="宋体"/>
                <w:color w:val="auto"/>
                <w:sz w:val="21"/>
                <w:szCs w:val="21"/>
                <w:lang w:val="en-US" w:eastAsia="zh-CN"/>
              </w:rPr>
              <w:t>100</w:t>
            </w:r>
          </w:p>
          <w:p w14:paraId="244F5CE2">
            <w:pPr>
              <w:keepNext w:val="0"/>
              <w:keepLines w:val="0"/>
              <w:pageBreakBefore w:val="0"/>
              <w:kinsoku/>
              <w:wordWrap/>
              <w:overflowPunct/>
              <w:topLinePunct w:val="0"/>
              <w:autoSpaceDE w:val="0"/>
              <w:autoSpaceDN w:val="0"/>
              <w:bidi w:val="0"/>
              <w:adjustRightInd w:val="0"/>
              <w:spacing w:line="420" w:lineRule="exact"/>
              <w:ind w:right="96" w:firstLine="422" w:firstLineChars="200"/>
              <w:rPr>
                <w:rFonts w:hint="eastAsia" w:ascii="宋体" w:hAnsi="宋体" w:cs="宋体"/>
                <w:color w:val="auto"/>
                <w:sz w:val="21"/>
                <w:szCs w:val="21"/>
                <w:lang w:val="en-US" w:eastAsia="zh-CN"/>
              </w:rPr>
            </w:pPr>
            <w:r>
              <w:rPr>
                <w:rFonts w:ascii="Arial" w:hAnsi="Arial" w:cs="Arial"/>
                <w:b/>
                <w:sz w:val="21"/>
                <w:szCs w:val="21"/>
              </w:rPr>
              <w:t>因落实政府采购政策进行价格调整的，以调整后的价格计算</w:t>
            </w:r>
            <w:r>
              <w:rPr>
                <w:rFonts w:hint="eastAsia" w:ascii="Arial" w:hAnsi="Arial" w:cs="Arial"/>
                <w:b/>
                <w:sz w:val="21"/>
                <w:szCs w:val="21"/>
              </w:rPr>
              <w:t>评标基准价和</w:t>
            </w:r>
            <w:r>
              <w:rPr>
                <w:rFonts w:ascii="Arial" w:hAnsi="Arial" w:cs="Arial"/>
                <w:b/>
                <w:sz w:val="21"/>
                <w:szCs w:val="21"/>
              </w:rPr>
              <w:t>投标报价</w:t>
            </w:r>
          </w:p>
        </w:tc>
      </w:tr>
      <w:tr w14:paraId="56AC97EC">
        <w:tblPrEx>
          <w:tblCellMar>
            <w:top w:w="0" w:type="dxa"/>
            <w:left w:w="0" w:type="dxa"/>
            <w:bottom w:w="0" w:type="dxa"/>
            <w:right w:w="0" w:type="dxa"/>
          </w:tblCellMar>
        </w:tblPrEx>
        <w:trPr>
          <w:trHeight w:val="2373"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14:paraId="56937C1D">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r>
              <w:rPr>
                <w:rFonts w:hint="eastAsia" w:ascii="宋体" w:hAnsi="宋体" w:cs="宋体"/>
                <w:color w:val="auto"/>
                <w:spacing w:val="1"/>
                <w:kern w:val="0"/>
                <w:sz w:val="21"/>
                <w:szCs w:val="21"/>
              </w:rPr>
              <w:t>商务</w:t>
            </w:r>
          </w:p>
          <w:p w14:paraId="2FF93F64">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r>
              <w:rPr>
                <w:rFonts w:hint="eastAsia" w:ascii="宋体" w:hAnsi="宋体" w:cs="宋体"/>
                <w:color w:val="auto"/>
                <w:spacing w:val="1"/>
                <w:kern w:val="0"/>
                <w:sz w:val="21"/>
                <w:szCs w:val="21"/>
              </w:rPr>
              <w:t>部分</w:t>
            </w:r>
          </w:p>
        </w:tc>
        <w:tc>
          <w:tcPr>
            <w:tcW w:w="802" w:type="dxa"/>
            <w:tcBorders>
              <w:top w:val="single" w:color="auto" w:sz="4" w:space="0"/>
              <w:left w:val="single" w:color="auto" w:sz="4" w:space="0"/>
              <w:bottom w:val="single" w:color="auto" w:sz="4" w:space="0"/>
              <w:right w:val="single" w:color="auto" w:sz="4" w:space="0"/>
            </w:tcBorders>
            <w:vAlign w:val="center"/>
          </w:tcPr>
          <w:p w14:paraId="241C7685">
            <w:pPr>
              <w:keepNext w:val="0"/>
              <w:keepLines w:val="0"/>
              <w:pageBreakBefore w:val="0"/>
              <w:kinsoku/>
              <w:wordWrap/>
              <w:overflowPunct/>
              <w:topLinePunct w:val="0"/>
              <w:autoSpaceDE w:val="0"/>
              <w:autoSpaceDN w:val="0"/>
              <w:bidi w:val="0"/>
              <w:adjustRightInd w:val="0"/>
              <w:spacing w:before="50" w:line="420" w:lineRule="exact"/>
              <w:ind w:left="78" w:leftChars="28" w:right="96" w:firstLine="4" w:firstLineChars="2"/>
              <w:jc w:val="center"/>
              <w:rPr>
                <w:rFonts w:ascii="宋体" w:hAnsi="宋体" w:cs="宋体"/>
                <w:color w:val="auto"/>
                <w:spacing w:val="1"/>
                <w:kern w:val="0"/>
                <w:sz w:val="21"/>
                <w:szCs w:val="21"/>
              </w:rPr>
            </w:pPr>
            <w:r>
              <w:rPr>
                <w:rFonts w:hint="eastAsia" w:ascii="宋体" w:hAnsi="宋体" w:cs="宋体"/>
                <w:color w:val="auto"/>
                <w:spacing w:val="1"/>
                <w:kern w:val="0"/>
                <w:sz w:val="21"/>
                <w:szCs w:val="21"/>
                <w:lang w:val="en-US" w:eastAsia="zh-CN"/>
              </w:rPr>
              <w:t>6</w:t>
            </w:r>
            <w:r>
              <w:rPr>
                <w:rFonts w:hint="eastAsia" w:ascii="宋体" w:hAnsi="宋体" w:cs="宋体"/>
                <w:color w:val="auto"/>
                <w:spacing w:val="1"/>
                <w:kern w:val="0"/>
                <w:sz w:val="21"/>
                <w:szCs w:val="21"/>
              </w:rPr>
              <w:t>分</w:t>
            </w:r>
          </w:p>
        </w:tc>
        <w:tc>
          <w:tcPr>
            <w:tcW w:w="1352" w:type="dxa"/>
            <w:tcBorders>
              <w:top w:val="single" w:color="auto" w:sz="4" w:space="0"/>
              <w:left w:val="single" w:color="auto" w:sz="4" w:space="0"/>
              <w:bottom w:val="single" w:color="auto" w:sz="4" w:space="0"/>
              <w:right w:val="single" w:color="auto" w:sz="4" w:space="0"/>
            </w:tcBorders>
            <w:vAlign w:val="center"/>
          </w:tcPr>
          <w:p w14:paraId="065E148D">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jc w:val="center"/>
              <w:rPr>
                <w:rFonts w:ascii="宋体" w:hAnsi="宋体" w:cs="宋体"/>
                <w:color w:val="auto"/>
                <w:spacing w:val="1"/>
                <w:kern w:val="0"/>
                <w:sz w:val="21"/>
                <w:szCs w:val="21"/>
              </w:rPr>
            </w:pPr>
            <w:r>
              <w:rPr>
                <w:rFonts w:hint="eastAsia" w:ascii="宋体" w:hAnsi="宋体" w:cs="宋体"/>
                <w:color w:val="auto"/>
                <w:spacing w:val="1"/>
                <w:kern w:val="0"/>
                <w:sz w:val="21"/>
                <w:szCs w:val="21"/>
              </w:rPr>
              <w:t>业   绩</w:t>
            </w:r>
          </w:p>
          <w:p w14:paraId="206390C9">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jc w:val="center"/>
              <w:rPr>
                <w:rFonts w:ascii="宋体" w:hAnsi="宋体" w:cs="宋体"/>
                <w:color w:val="auto"/>
                <w:spacing w:val="1"/>
                <w:kern w:val="0"/>
                <w:sz w:val="21"/>
                <w:szCs w:val="21"/>
              </w:rPr>
            </w:pPr>
            <w:r>
              <w:rPr>
                <w:rFonts w:hint="eastAsia" w:ascii="宋体" w:hAnsi="宋体" w:cs="宋体"/>
                <w:color w:val="auto"/>
                <w:spacing w:val="1"/>
                <w:kern w:val="0"/>
                <w:sz w:val="21"/>
                <w:szCs w:val="21"/>
              </w:rPr>
              <w:t>（</w:t>
            </w:r>
            <w:r>
              <w:rPr>
                <w:rFonts w:hint="eastAsia" w:ascii="宋体" w:hAnsi="宋体" w:cs="宋体"/>
                <w:color w:val="auto"/>
                <w:spacing w:val="1"/>
                <w:kern w:val="0"/>
                <w:sz w:val="21"/>
                <w:szCs w:val="21"/>
                <w:lang w:val="en-US" w:eastAsia="zh-CN"/>
              </w:rPr>
              <w:t>6</w:t>
            </w:r>
            <w:r>
              <w:rPr>
                <w:rFonts w:hint="eastAsia" w:ascii="宋体" w:hAnsi="宋体" w:cs="宋体"/>
                <w:color w:val="auto"/>
                <w:spacing w:val="1"/>
                <w:kern w:val="0"/>
                <w:sz w:val="21"/>
                <w:szCs w:val="21"/>
              </w:rPr>
              <w:t>分）</w:t>
            </w:r>
          </w:p>
        </w:tc>
        <w:tc>
          <w:tcPr>
            <w:tcW w:w="6847" w:type="dxa"/>
            <w:tcBorders>
              <w:top w:val="single" w:color="auto" w:sz="4" w:space="0"/>
              <w:left w:val="single" w:color="auto" w:sz="4" w:space="0"/>
              <w:bottom w:val="single" w:color="auto" w:sz="4" w:space="0"/>
              <w:right w:val="single" w:color="auto" w:sz="4" w:space="0"/>
            </w:tcBorders>
            <w:vAlign w:val="center"/>
          </w:tcPr>
          <w:p w14:paraId="637A7110">
            <w:pPr>
              <w:keepNext w:val="0"/>
              <w:keepLines w:val="0"/>
              <w:pageBreakBefore w:val="0"/>
              <w:kinsoku/>
              <w:wordWrap/>
              <w:overflowPunct/>
              <w:topLinePunct w:val="0"/>
              <w:autoSpaceDE w:val="0"/>
              <w:autoSpaceDN w:val="0"/>
              <w:bidi w:val="0"/>
              <w:adjustRightInd w:val="0"/>
              <w:spacing w:line="420" w:lineRule="exact"/>
              <w:ind w:right="96"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提供在投标截止日期前三个年度内（202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1月</w:t>
            </w:r>
            <w:r>
              <w:rPr>
                <w:rFonts w:hint="eastAsia" w:ascii="宋体" w:hAnsi="宋体" w:eastAsia="宋体" w:cs="宋体"/>
                <w:color w:val="auto"/>
                <w:sz w:val="21"/>
                <w:szCs w:val="21"/>
              </w:rPr>
              <w:t>至今）</w:t>
            </w:r>
            <w:r>
              <w:rPr>
                <w:rFonts w:hint="eastAsia" w:ascii="宋体" w:hAnsi="宋体" w:cs="宋体"/>
                <w:color w:val="auto"/>
                <w:sz w:val="21"/>
                <w:szCs w:val="21"/>
                <w:lang w:val="en-US" w:eastAsia="zh-CN"/>
              </w:rPr>
              <w:t>同类</w:t>
            </w:r>
            <w:r>
              <w:rPr>
                <w:rFonts w:hint="eastAsia" w:ascii="宋体" w:hAnsi="宋体" w:eastAsia="宋体" w:cs="宋体"/>
                <w:color w:val="auto"/>
                <w:sz w:val="21"/>
                <w:szCs w:val="21"/>
              </w:rPr>
              <w:t>业绩案例，要求以投标人自身合同为准，必须提供与最终用户签订的合同首页、合同金额所在页、签字盖章页、供货明细单作为证明。每提供一个在投标截止日期前三年内签署的类似项目合同案例得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分，本项最高得</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p w14:paraId="3AE75875">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rPr>
                <w:rFonts w:ascii="宋体" w:hAnsi="宋体" w:cs="宋体"/>
                <w:color w:val="auto"/>
                <w:sz w:val="21"/>
                <w:szCs w:val="21"/>
              </w:rPr>
            </w:pPr>
            <w:r>
              <w:rPr>
                <w:rFonts w:hint="eastAsia" w:ascii="宋体" w:hAnsi="宋体" w:cs="宋体"/>
                <w:b/>
                <w:bCs/>
                <w:color w:val="auto"/>
                <w:sz w:val="21"/>
                <w:szCs w:val="21"/>
              </w:rPr>
              <w:t>注：投标文件中应附相应</w:t>
            </w:r>
            <w:r>
              <w:rPr>
                <w:rFonts w:hint="eastAsia" w:ascii="宋体" w:hAnsi="宋体" w:cs="宋体"/>
                <w:b/>
                <w:bCs/>
                <w:color w:val="auto"/>
                <w:sz w:val="21"/>
                <w:szCs w:val="21"/>
                <w:lang w:val="en-US" w:eastAsia="zh-CN"/>
              </w:rPr>
              <w:t>的清晰扫描</w:t>
            </w:r>
            <w:r>
              <w:rPr>
                <w:rFonts w:hint="eastAsia" w:ascii="宋体" w:hAnsi="宋体" w:cs="宋体"/>
                <w:b/>
                <w:bCs/>
                <w:color w:val="auto"/>
                <w:sz w:val="21"/>
                <w:szCs w:val="21"/>
              </w:rPr>
              <w:t>件，否则不得分。</w:t>
            </w:r>
          </w:p>
        </w:tc>
      </w:tr>
      <w:tr w14:paraId="185B3419">
        <w:tblPrEx>
          <w:tblCellMar>
            <w:top w:w="0" w:type="dxa"/>
            <w:left w:w="0" w:type="dxa"/>
            <w:bottom w:w="0" w:type="dxa"/>
            <w:right w:w="0" w:type="dxa"/>
          </w:tblCellMar>
        </w:tblPrEx>
        <w:trPr>
          <w:trHeight w:val="818" w:hRule="atLeast"/>
          <w:jc w:val="center"/>
        </w:trPr>
        <w:tc>
          <w:tcPr>
            <w:tcW w:w="1127" w:type="dxa"/>
            <w:vMerge w:val="restart"/>
            <w:tcBorders>
              <w:top w:val="single" w:color="auto" w:sz="4" w:space="0"/>
              <w:left w:val="single" w:color="auto" w:sz="4" w:space="0"/>
              <w:bottom w:val="single" w:color="auto" w:sz="4" w:space="0"/>
              <w:right w:val="single" w:color="auto" w:sz="4" w:space="0"/>
            </w:tcBorders>
            <w:vAlign w:val="center"/>
          </w:tcPr>
          <w:p w14:paraId="7BFB15F3">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r>
              <w:rPr>
                <w:rFonts w:hint="eastAsia" w:ascii="宋体" w:hAnsi="宋体" w:cs="宋体"/>
                <w:color w:val="auto"/>
                <w:spacing w:val="1"/>
                <w:kern w:val="0"/>
                <w:sz w:val="21"/>
                <w:szCs w:val="21"/>
              </w:rPr>
              <w:t>技术、服务部分</w:t>
            </w:r>
          </w:p>
        </w:tc>
        <w:tc>
          <w:tcPr>
            <w:tcW w:w="802" w:type="dxa"/>
            <w:vMerge w:val="restart"/>
            <w:tcBorders>
              <w:top w:val="single" w:color="auto" w:sz="4" w:space="0"/>
              <w:left w:val="single" w:color="auto" w:sz="4" w:space="0"/>
              <w:bottom w:val="single" w:color="auto" w:sz="4" w:space="0"/>
              <w:right w:val="single" w:color="auto" w:sz="4" w:space="0"/>
            </w:tcBorders>
            <w:vAlign w:val="center"/>
          </w:tcPr>
          <w:p w14:paraId="78D5F9B1">
            <w:pPr>
              <w:keepNext w:val="0"/>
              <w:keepLines w:val="0"/>
              <w:pageBreakBefore w:val="0"/>
              <w:kinsoku/>
              <w:wordWrap/>
              <w:overflowPunct/>
              <w:topLinePunct w:val="0"/>
              <w:autoSpaceDE w:val="0"/>
              <w:autoSpaceDN w:val="0"/>
              <w:bidi w:val="0"/>
              <w:adjustRightInd w:val="0"/>
              <w:spacing w:before="50" w:line="420" w:lineRule="exact"/>
              <w:ind w:left="137" w:right="96"/>
              <w:jc w:val="center"/>
              <w:rPr>
                <w:rFonts w:ascii="宋体" w:hAnsi="宋体" w:cs="宋体"/>
                <w:color w:val="auto"/>
                <w:spacing w:val="1"/>
                <w:kern w:val="0"/>
                <w:sz w:val="21"/>
                <w:szCs w:val="21"/>
              </w:rPr>
            </w:pPr>
            <w:r>
              <w:rPr>
                <w:rFonts w:hint="eastAsia" w:ascii="宋体" w:hAnsi="宋体" w:cs="宋体"/>
                <w:color w:val="auto"/>
                <w:spacing w:val="1"/>
                <w:kern w:val="0"/>
                <w:sz w:val="21"/>
                <w:szCs w:val="21"/>
                <w:lang w:val="en-US" w:eastAsia="zh-CN"/>
              </w:rPr>
              <w:t>64</w:t>
            </w:r>
            <w:r>
              <w:rPr>
                <w:rFonts w:hint="eastAsia" w:ascii="宋体" w:hAnsi="宋体" w:cs="宋体"/>
                <w:color w:val="auto"/>
                <w:spacing w:val="1"/>
                <w:kern w:val="0"/>
                <w:sz w:val="21"/>
                <w:szCs w:val="21"/>
              </w:rPr>
              <w:t>分</w:t>
            </w:r>
          </w:p>
        </w:tc>
        <w:tc>
          <w:tcPr>
            <w:tcW w:w="1352" w:type="dxa"/>
            <w:tcBorders>
              <w:top w:val="single" w:color="auto" w:sz="4" w:space="0"/>
              <w:left w:val="single" w:color="auto" w:sz="4" w:space="0"/>
              <w:bottom w:val="single" w:color="auto" w:sz="4" w:space="0"/>
              <w:right w:val="single" w:color="auto" w:sz="4" w:space="0"/>
            </w:tcBorders>
            <w:vAlign w:val="center"/>
          </w:tcPr>
          <w:p w14:paraId="73023639">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供货</w:t>
            </w:r>
            <w:r>
              <w:rPr>
                <w:rFonts w:hint="eastAsia" w:ascii="宋体" w:hAnsi="宋体" w:eastAsia="宋体" w:cs="宋体"/>
                <w:color w:val="auto"/>
                <w:sz w:val="21"/>
                <w:szCs w:val="21"/>
                <w:lang w:val="en-US" w:eastAsia="zh-CN"/>
              </w:rPr>
              <w:t>实施方案</w:t>
            </w:r>
          </w:p>
          <w:p w14:paraId="3E79C738">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分）</w:t>
            </w:r>
          </w:p>
        </w:tc>
        <w:tc>
          <w:tcPr>
            <w:tcW w:w="6847" w:type="dxa"/>
            <w:tcBorders>
              <w:top w:val="single" w:color="auto" w:sz="4" w:space="0"/>
              <w:left w:val="single" w:color="auto" w:sz="4" w:space="0"/>
              <w:bottom w:val="single" w:color="auto" w:sz="4" w:space="0"/>
              <w:right w:val="single" w:color="auto" w:sz="4" w:space="0"/>
            </w:tcBorders>
            <w:vAlign w:val="center"/>
          </w:tcPr>
          <w:p w14:paraId="6317A568">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ind w:firstLine="420" w:firstLineChars="200"/>
              <w:rPr>
                <w:rFonts w:hint="eastAsia" w:ascii="宋体" w:hAnsi="宋体" w:cs="宋体"/>
                <w:color w:val="auto"/>
                <w:sz w:val="21"/>
                <w:szCs w:val="21"/>
                <w:lang w:val="en-US" w:eastAsia="zh-CN"/>
              </w:rPr>
            </w:pPr>
            <w:r>
              <w:rPr>
                <w:rFonts w:hint="eastAsia" w:ascii="宋体" w:hAnsi="宋体" w:eastAsia="宋体" w:cs="宋体"/>
                <w:color w:val="auto"/>
                <w:sz w:val="21"/>
                <w:szCs w:val="21"/>
              </w:rPr>
              <w:t>根据项目的具体内容编制实施方案，包括</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供货方案中供货</w:t>
            </w:r>
            <w:r>
              <w:rPr>
                <w:rFonts w:hint="eastAsia" w:ascii="宋体" w:hAnsi="宋体" w:cs="宋体"/>
                <w:color w:val="auto"/>
                <w:sz w:val="21"/>
                <w:szCs w:val="21"/>
                <w:lang w:val="en-US" w:eastAsia="zh-CN"/>
              </w:rPr>
              <w:t>进度安排及交货方案</w:t>
            </w:r>
            <w:r>
              <w:rPr>
                <w:rFonts w:hint="eastAsia" w:ascii="宋体" w:hAnsi="宋体" w:eastAsia="宋体" w:cs="宋体"/>
                <w:color w:val="auto"/>
                <w:sz w:val="21"/>
                <w:szCs w:val="21"/>
              </w:rPr>
              <w:t>（至少包含时间节点明确，时间应符合采购人要求)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货物的供应及运输</w:t>
            </w:r>
            <w:r>
              <w:rPr>
                <w:rFonts w:hint="eastAsia" w:ascii="宋体" w:hAnsi="宋体" w:cs="宋体"/>
                <w:color w:val="auto"/>
                <w:sz w:val="21"/>
                <w:szCs w:val="21"/>
                <w:lang w:val="en-US" w:eastAsia="zh-CN"/>
              </w:rPr>
              <w:t>方案</w:t>
            </w:r>
            <w:r>
              <w:rPr>
                <w:rFonts w:hint="eastAsia" w:ascii="宋体" w:hAnsi="宋体" w:eastAsia="宋体" w:cs="宋体"/>
                <w:color w:val="auto"/>
                <w:sz w:val="21"/>
                <w:szCs w:val="21"/>
              </w:rPr>
              <w:t>（至少</w:t>
            </w:r>
            <w:r>
              <w:rPr>
                <w:rFonts w:hint="eastAsia" w:ascii="宋体" w:hAnsi="宋体" w:eastAsia="宋体" w:cs="宋体"/>
                <w:color w:val="auto"/>
                <w:sz w:val="21"/>
                <w:szCs w:val="21"/>
                <w:lang w:val="en-US" w:eastAsia="zh-CN"/>
              </w:rPr>
              <w:t>包</w:t>
            </w:r>
            <w:r>
              <w:rPr>
                <w:rFonts w:hint="eastAsia" w:ascii="宋体" w:hAnsi="宋体" w:eastAsia="宋体" w:cs="宋体"/>
                <w:color w:val="auto"/>
                <w:sz w:val="21"/>
                <w:szCs w:val="21"/>
              </w:rPr>
              <w:t>含</w:t>
            </w:r>
            <w:r>
              <w:rPr>
                <w:rFonts w:hint="eastAsia" w:ascii="宋体" w:hAnsi="宋体" w:eastAsia="宋体" w:cs="宋体"/>
                <w:color w:val="auto"/>
                <w:sz w:val="21"/>
                <w:szCs w:val="21"/>
                <w:lang w:val="en-US" w:eastAsia="zh-CN"/>
              </w:rPr>
              <w:t>运输</w:t>
            </w:r>
            <w:r>
              <w:rPr>
                <w:rFonts w:hint="eastAsia" w:ascii="宋体" w:hAnsi="宋体" w:eastAsia="宋体" w:cs="宋体"/>
                <w:color w:val="auto"/>
                <w:sz w:val="21"/>
                <w:szCs w:val="21"/>
              </w:rPr>
              <w:t>环节计划，与供货时间相匹配)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包装</w:t>
            </w:r>
            <w:r>
              <w:rPr>
                <w:rFonts w:hint="eastAsia" w:ascii="宋体" w:hAnsi="宋体" w:cs="宋体"/>
                <w:color w:val="auto"/>
                <w:sz w:val="21"/>
                <w:szCs w:val="21"/>
                <w:lang w:val="en-US" w:eastAsia="zh-CN"/>
              </w:rPr>
              <w:t>方案</w:t>
            </w:r>
            <w:r>
              <w:rPr>
                <w:rFonts w:hint="eastAsia" w:ascii="宋体" w:hAnsi="宋体" w:eastAsia="宋体" w:cs="宋体"/>
                <w:color w:val="auto"/>
                <w:sz w:val="21"/>
                <w:szCs w:val="21"/>
              </w:rPr>
              <w:t>（保证易损部位运输过程</w:t>
            </w:r>
            <w:r>
              <w:rPr>
                <w:rFonts w:hint="eastAsia" w:ascii="宋体" w:hAnsi="宋体" w:cs="宋体"/>
                <w:color w:val="auto"/>
                <w:sz w:val="21"/>
                <w:szCs w:val="21"/>
                <w:lang w:val="en-US" w:eastAsia="zh-CN"/>
              </w:rPr>
              <w:t>及存储</w:t>
            </w:r>
            <w:r>
              <w:rPr>
                <w:rFonts w:hint="eastAsia" w:ascii="宋体" w:hAnsi="宋体" w:eastAsia="宋体" w:cs="宋体"/>
                <w:color w:val="auto"/>
                <w:sz w:val="21"/>
                <w:szCs w:val="21"/>
              </w:rPr>
              <w:t>中不受损坏的措施)</w:t>
            </w:r>
            <w:r>
              <w:rPr>
                <w:rFonts w:hint="eastAsia" w:ascii="宋体" w:hAnsi="宋体" w:eastAsia="宋体" w:cs="宋体"/>
                <w:color w:val="auto"/>
                <w:sz w:val="21"/>
                <w:szCs w:val="21"/>
                <w:lang w:eastAsia="zh-CN"/>
              </w:rPr>
              <w:t>；安装调试方案</w:t>
            </w:r>
            <w:r>
              <w:rPr>
                <w:rFonts w:hint="eastAsia" w:ascii="宋体" w:hAnsi="宋体" w:cs="宋体"/>
                <w:color w:val="auto"/>
                <w:sz w:val="21"/>
                <w:szCs w:val="21"/>
                <w:lang w:val="en-US" w:eastAsia="zh-CN"/>
              </w:rPr>
              <w:t>。</w:t>
            </w:r>
          </w:p>
          <w:p w14:paraId="674E1797">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每提供1点且内容全面得3分，内容缺失或提供材料有缺陷的得1.5分，共12分，不提供不得分。</w:t>
            </w:r>
          </w:p>
        </w:tc>
      </w:tr>
      <w:tr w14:paraId="16EED17F">
        <w:tblPrEx>
          <w:tblCellMar>
            <w:top w:w="0" w:type="dxa"/>
            <w:left w:w="0" w:type="dxa"/>
            <w:bottom w:w="0" w:type="dxa"/>
            <w:right w:w="0" w:type="dxa"/>
          </w:tblCellMar>
        </w:tblPrEx>
        <w:trPr>
          <w:trHeight w:val="642" w:hRule="atLeast"/>
          <w:jc w:val="center"/>
        </w:trPr>
        <w:tc>
          <w:tcPr>
            <w:tcW w:w="1127" w:type="dxa"/>
            <w:vMerge w:val="continue"/>
            <w:tcBorders>
              <w:top w:val="single" w:color="auto" w:sz="4" w:space="0"/>
              <w:left w:val="single" w:color="auto" w:sz="4" w:space="0"/>
              <w:bottom w:val="single" w:color="auto" w:sz="4" w:space="0"/>
              <w:right w:val="single" w:color="auto" w:sz="4" w:space="0"/>
            </w:tcBorders>
            <w:vAlign w:val="center"/>
          </w:tcPr>
          <w:p w14:paraId="415EB132">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33A4BC6E">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p>
        </w:tc>
        <w:tc>
          <w:tcPr>
            <w:tcW w:w="1352" w:type="dxa"/>
            <w:tcBorders>
              <w:top w:val="single" w:color="auto" w:sz="4" w:space="0"/>
              <w:left w:val="single" w:color="auto" w:sz="4" w:space="0"/>
              <w:bottom w:val="single" w:color="auto" w:sz="4" w:space="0"/>
              <w:right w:val="single" w:color="auto" w:sz="4" w:space="0"/>
            </w:tcBorders>
            <w:vAlign w:val="center"/>
          </w:tcPr>
          <w:p w14:paraId="4C2707ED">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装修改造实施方案（12分）</w:t>
            </w:r>
          </w:p>
        </w:tc>
        <w:tc>
          <w:tcPr>
            <w:tcW w:w="6847" w:type="dxa"/>
            <w:tcBorders>
              <w:top w:val="single" w:color="auto" w:sz="4" w:space="0"/>
              <w:left w:val="single" w:color="auto" w:sz="4" w:space="0"/>
              <w:bottom w:val="single" w:color="auto" w:sz="4" w:space="0"/>
              <w:right w:val="single" w:color="auto" w:sz="4" w:space="0"/>
            </w:tcBorders>
            <w:vAlign w:val="center"/>
          </w:tcPr>
          <w:p w14:paraId="6EA768AA">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ind w:firstLine="420" w:firstLineChars="200"/>
              <w:rPr>
                <w:rFonts w:hint="eastAsia" w:ascii="宋体" w:hAnsi="宋体" w:cs="宋体"/>
                <w:color w:val="auto"/>
                <w:sz w:val="21"/>
                <w:szCs w:val="21"/>
                <w:lang w:val="en-US" w:eastAsia="zh-CN"/>
              </w:rPr>
            </w:pPr>
            <w:r>
              <w:rPr>
                <w:rFonts w:hint="eastAsia" w:ascii="宋体" w:hAnsi="宋体" w:eastAsia="宋体" w:cs="宋体"/>
                <w:color w:val="auto"/>
                <w:sz w:val="21"/>
                <w:szCs w:val="21"/>
              </w:rPr>
              <w:t>根据项目的具体内容编制实施方案，包括</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施工总体方案；关键部位施工方法；材料供应安排；安全文明施工方案；成品保护措施；</w:t>
            </w: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管理机构及</w:t>
            </w:r>
            <w:r>
              <w:rPr>
                <w:rFonts w:hint="eastAsia" w:ascii="宋体" w:hAnsi="宋体" w:eastAsia="宋体" w:cs="宋体"/>
                <w:color w:val="auto"/>
                <w:sz w:val="21"/>
                <w:szCs w:val="21"/>
              </w:rPr>
              <w:t>人员配备</w:t>
            </w:r>
            <w:r>
              <w:rPr>
                <w:rFonts w:hint="eastAsia" w:ascii="宋体" w:hAnsi="宋体" w:cs="宋体"/>
                <w:color w:val="auto"/>
                <w:sz w:val="21"/>
                <w:szCs w:val="21"/>
                <w:lang w:val="en-US" w:eastAsia="zh-CN"/>
              </w:rPr>
              <w:t>情况等；</w:t>
            </w:r>
          </w:p>
          <w:p w14:paraId="1438E8DC">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每提供1点且内容全面得2分，内容缺失或提供材料有缺陷的得1分，共12分，不提供不得分。</w:t>
            </w:r>
          </w:p>
        </w:tc>
      </w:tr>
      <w:tr w14:paraId="61421E98">
        <w:tblPrEx>
          <w:tblCellMar>
            <w:top w:w="0" w:type="dxa"/>
            <w:left w:w="0" w:type="dxa"/>
            <w:bottom w:w="0" w:type="dxa"/>
            <w:right w:w="0" w:type="dxa"/>
          </w:tblCellMar>
        </w:tblPrEx>
        <w:trPr>
          <w:trHeight w:val="642" w:hRule="atLeast"/>
          <w:jc w:val="center"/>
        </w:trPr>
        <w:tc>
          <w:tcPr>
            <w:tcW w:w="1127" w:type="dxa"/>
            <w:vMerge w:val="continue"/>
            <w:tcBorders>
              <w:top w:val="single" w:color="auto" w:sz="4" w:space="0"/>
              <w:left w:val="single" w:color="auto" w:sz="4" w:space="0"/>
              <w:bottom w:val="single" w:color="auto" w:sz="4" w:space="0"/>
              <w:right w:val="single" w:color="auto" w:sz="4" w:space="0"/>
            </w:tcBorders>
            <w:vAlign w:val="center"/>
          </w:tcPr>
          <w:p w14:paraId="5F111BE3">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52F4BB7A">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p>
        </w:tc>
        <w:tc>
          <w:tcPr>
            <w:tcW w:w="1352" w:type="dxa"/>
            <w:tcBorders>
              <w:top w:val="single" w:color="auto" w:sz="4" w:space="0"/>
              <w:left w:val="single" w:color="auto" w:sz="4" w:space="0"/>
              <w:bottom w:val="single" w:color="auto" w:sz="4" w:space="0"/>
              <w:right w:val="single" w:color="auto" w:sz="4" w:space="0"/>
            </w:tcBorders>
            <w:vAlign w:val="center"/>
          </w:tcPr>
          <w:p w14:paraId="2D4B0AAD">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技术指标</w:t>
            </w:r>
          </w:p>
          <w:p w14:paraId="41FCD2A7">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分）</w:t>
            </w:r>
          </w:p>
        </w:tc>
        <w:tc>
          <w:tcPr>
            <w:tcW w:w="6847" w:type="dxa"/>
            <w:tcBorders>
              <w:top w:val="single" w:color="auto" w:sz="4" w:space="0"/>
              <w:left w:val="single" w:color="auto" w:sz="4" w:space="0"/>
              <w:bottom w:val="single" w:color="auto" w:sz="4" w:space="0"/>
              <w:right w:val="single" w:color="auto" w:sz="4" w:space="0"/>
            </w:tcBorders>
            <w:vAlign w:val="center"/>
          </w:tcPr>
          <w:p w14:paraId="64635019">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投标人所投货物的技术指标、参数及性能全部满足招标文件要求的，且能</w:t>
            </w:r>
            <w:r>
              <w:rPr>
                <w:rFonts w:hint="eastAsia" w:ascii="宋体" w:hAnsi="宋体" w:eastAsia="宋体" w:cs="宋体"/>
                <w:color w:val="auto"/>
                <w:sz w:val="21"/>
                <w:szCs w:val="21"/>
              </w:rPr>
              <w:t>提供所投</w:t>
            </w:r>
            <w:r>
              <w:rPr>
                <w:rFonts w:hint="eastAsia" w:ascii="宋体" w:hAnsi="宋体" w:eastAsia="宋体" w:cs="宋体"/>
                <w:color w:val="auto"/>
                <w:sz w:val="21"/>
                <w:szCs w:val="21"/>
                <w:lang w:val="en-US" w:eastAsia="zh-CN"/>
              </w:rPr>
              <w:t>货物</w:t>
            </w:r>
            <w:r>
              <w:rPr>
                <w:rFonts w:hint="eastAsia" w:ascii="宋体" w:hAnsi="宋体" w:eastAsia="宋体" w:cs="宋体"/>
                <w:color w:val="auto"/>
                <w:sz w:val="21"/>
                <w:szCs w:val="21"/>
              </w:rPr>
              <w:t>主要技术指标证明材料（如投标</w:t>
            </w:r>
            <w:r>
              <w:rPr>
                <w:rFonts w:hint="eastAsia" w:ascii="宋体" w:hAnsi="宋体" w:cs="宋体"/>
                <w:color w:val="auto"/>
                <w:sz w:val="21"/>
                <w:szCs w:val="21"/>
                <w:lang w:val="en-US" w:eastAsia="zh-CN"/>
              </w:rPr>
              <w:t>产品</w:t>
            </w:r>
            <w:r>
              <w:rPr>
                <w:rFonts w:hint="eastAsia" w:ascii="宋体" w:hAnsi="宋体" w:eastAsia="宋体" w:cs="宋体"/>
                <w:color w:val="auto"/>
                <w:sz w:val="21"/>
                <w:szCs w:val="21"/>
              </w:rPr>
              <w:t>检测报告或产品彩页或设备手册或设备说明书</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功能描述等</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得12</w:t>
            </w:r>
            <w:r>
              <w:rPr>
                <w:rFonts w:hint="eastAsia" w:ascii="宋体" w:hAnsi="宋体" w:eastAsia="宋体" w:cs="宋体"/>
                <w:color w:val="auto"/>
                <w:sz w:val="21"/>
                <w:szCs w:val="21"/>
                <w:lang w:val="en-US" w:eastAsia="zh-CN"/>
              </w:rPr>
              <w:t>分。</w:t>
            </w:r>
          </w:p>
          <w:p w14:paraId="4F06C2C4">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投标人照搬照抄招标文件技术要求的，不能提供所投货物主要技术指标的，投标无效。</w:t>
            </w:r>
          </w:p>
          <w:p w14:paraId="38397748">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每有一项</w:t>
            </w:r>
            <w:r>
              <w:rPr>
                <w:rFonts w:hint="eastAsia" w:ascii="宋体" w:hAnsi="宋体" w:cs="宋体"/>
                <w:color w:val="auto"/>
                <w:sz w:val="21"/>
                <w:szCs w:val="21"/>
                <w:lang w:val="en-US" w:eastAsia="zh-CN"/>
              </w:rPr>
              <w:t>一般</w:t>
            </w:r>
            <w:r>
              <w:rPr>
                <w:rFonts w:hint="eastAsia" w:ascii="宋体" w:hAnsi="宋体" w:eastAsia="宋体" w:cs="宋体"/>
                <w:color w:val="auto"/>
                <w:sz w:val="21"/>
                <w:szCs w:val="21"/>
                <w:lang w:val="en-US" w:eastAsia="zh-CN"/>
              </w:rPr>
              <w:t>技术指标负偏离的扣</w:t>
            </w:r>
            <w:r>
              <w:rPr>
                <w:rFonts w:hint="eastAsia" w:ascii="宋体" w:hAnsi="宋体" w:cs="宋体"/>
                <w:color w:val="auto"/>
                <w:sz w:val="21"/>
                <w:szCs w:val="21"/>
                <w:lang w:val="en-US" w:eastAsia="zh-CN"/>
              </w:rPr>
              <w:t>0.5</w:t>
            </w:r>
            <w:r>
              <w:rPr>
                <w:rFonts w:hint="eastAsia" w:ascii="宋体" w:hAnsi="宋体" w:eastAsia="宋体" w:cs="宋体"/>
                <w:color w:val="auto"/>
                <w:sz w:val="21"/>
                <w:szCs w:val="21"/>
                <w:lang w:val="en-US" w:eastAsia="zh-CN"/>
              </w:rPr>
              <w:t>分，最多扣12分。</w:t>
            </w:r>
          </w:p>
          <w:p w14:paraId="2ED99877">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注：如果发现提供虚假参数者，服务、技术分直接记为0分。</w:t>
            </w:r>
          </w:p>
        </w:tc>
      </w:tr>
      <w:tr w14:paraId="7EB55FA6">
        <w:tblPrEx>
          <w:tblCellMar>
            <w:top w:w="0" w:type="dxa"/>
            <w:left w:w="0" w:type="dxa"/>
            <w:bottom w:w="0" w:type="dxa"/>
            <w:right w:w="0" w:type="dxa"/>
          </w:tblCellMar>
        </w:tblPrEx>
        <w:trPr>
          <w:trHeight w:val="90" w:hRule="atLeast"/>
          <w:jc w:val="center"/>
        </w:trPr>
        <w:tc>
          <w:tcPr>
            <w:tcW w:w="1127" w:type="dxa"/>
            <w:vMerge w:val="continue"/>
            <w:tcBorders>
              <w:top w:val="single" w:color="auto" w:sz="4" w:space="0"/>
              <w:left w:val="single" w:color="auto" w:sz="4" w:space="0"/>
              <w:bottom w:val="single" w:color="auto" w:sz="4" w:space="0"/>
              <w:right w:val="single" w:color="auto" w:sz="4" w:space="0"/>
            </w:tcBorders>
            <w:vAlign w:val="center"/>
          </w:tcPr>
          <w:p w14:paraId="16BE8F22">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02DD1B33">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p>
        </w:tc>
        <w:tc>
          <w:tcPr>
            <w:tcW w:w="1352" w:type="dxa"/>
            <w:tcBorders>
              <w:top w:val="single" w:color="auto" w:sz="4" w:space="0"/>
              <w:left w:val="single" w:color="auto" w:sz="4" w:space="0"/>
              <w:bottom w:val="single" w:color="auto" w:sz="4" w:space="0"/>
              <w:right w:val="single" w:color="auto" w:sz="4" w:space="0"/>
            </w:tcBorders>
            <w:vAlign w:val="center"/>
          </w:tcPr>
          <w:p w14:paraId="602CB4DE">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货物</w:t>
            </w:r>
            <w:r>
              <w:rPr>
                <w:rFonts w:hint="eastAsia" w:ascii="宋体" w:hAnsi="宋体" w:eastAsia="宋体" w:cs="宋体"/>
                <w:color w:val="auto"/>
                <w:sz w:val="21"/>
                <w:szCs w:val="21"/>
              </w:rPr>
              <w:t>质量</w:t>
            </w:r>
            <w:r>
              <w:rPr>
                <w:rFonts w:hint="eastAsia" w:ascii="宋体" w:hAnsi="宋体" w:eastAsia="宋体" w:cs="宋体"/>
                <w:color w:val="auto"/>
                <w:sz w:val="21"/>
                <w:szCs w:val="21"/>
                <w:lang w:val="en-US" w:eastAsia="zh-CN"/>
              </w:rPr>
              <w:t>及保证措施</w:t>
            </w:r>
          </w:p>
          <w:p w14:paraId="7F701AB5">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tc>
        <w:tc>
          <w:tcPr>
            <w:tcW w:w="6847" w:type="dxa"/>
            <w:tcBorders>
              <w:top w:val="single" w:color="auto" w:sz="4" w:space="0"/>
              <w:left w:val="single" w:color="auto" w:sz="4" w:space="0"/>
              <w:bottom w:val="single" w:color="auto" w:sz="4" w:space="0"/>
              <w:right w:val="single" w:color="auto" w:sz="4" w:space="0"/>
            </w:tcBorders>
            <w:vAlign w:val="center"/>
          </w:tcPr>
          <w:p w14:paraId="0BB5BB33">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投标人描述</w:t>
            </w:r>
            <w:r>
              <w:rPr>
                <w:rFonts w:hint="eastAsia" w:ascii="宋体" w:hAnsi="宋体" w:eastAsia="宋体" w:cs="宋体"/>
                <w:color w:val="auto"/>
                <w:sz w:val="21"/>
                <w:szCs w:val="21"/>
              </w:rPr>
              <w:t>所投</w:t>
            </w:r>
            <w:r>
              <w:rPr>
                <w:rFonts w:hint="eastAsia" w:ascii="宋体" w:hAnsi="宋体" w:eastAsia="宋体" w:cs="宋体"/>
                <w:color w:val="auto"/>
                <w:sz w:val="21"/>
                <w:szCs w:val="21"/>
                <w:lang w:val="en-US" w:eastAsia="zh-CN"/>
              </w:rPr>
              <w:t>货物</w:t>
            </w:r>
            <w:r>
              <w:rPr>
                <w:rFonts w:hint="eastAsia" w:ascii="宋体" w:hAnsi="宋体" w:eastAsia="宋体" w:cs="宋体"/>
                <w:color w:val="auto"/>
                <w:sz w:val="21"/>
                <w:szCs w:val="21"/>
              </w:rPr>
              <w:t>自身的质量</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并针对</w:t>
            </w:r>
            <w:r>
              <w:rPr>
                <w:rFonts w:hint="eastAsia" w:ascii="宋体" w:hAnsi="宋体" w:eastAsia="宋体" w:cs="宋体"/>
                <w:color w:val="auto"/>
                <w:sz w:val="21"/>
                <w:szCs w:val="21"/>
              </w:rPr>
              <w:t>本项目制定相应的质量保证</w:t>
            </w:r>
            <w:r>
              <w:rPr>
                <w:rFonts w:hint="eastAsia" w:ascii="宋体" w:hAnsi="宋体" w:eastAsia="宋体" w:cs="宋体"/>
                <w:color w:val="auto"/>
                <w:sz w:val="21"/>
                <w:szCs w:val="21"/>
                <w:lang w:val="en-US" w:eastAsia="zh-CN"/>
              </w:rPr>
              <w:t>措</w:t>
            </w:r>
            <w:r>
              <w:rPr>
                <w:rFonts w:hint="eastAsia" w:ascii="宋体" w:hAnsi="宋体" w:eastAsia="宋体" w:cs="宋体"/>
                <w:color w:val="auto"/>
                <w:sz w:val="21"/>
                <w:szCs w:val="21"/>
              </w:rPr>
              <w:t>施</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如</w:t>
            </w:r>
            <w:r>
              <w:rPr>
                <w:rFonts w:hint="eastAsia" w:ascii="宋体" w:hAnsi="宋体" w:eastAsia="宋体" w:cs="宋体"/>
                <w:color w:val="auto"/>
                <w:sz w:val="21"/>
                <w:szCs w:val="21"/>
                <w:lang w:val="en-US" w:eastAsia="zh-CN"/>
              </w:rPr>
              <w:t>进货渠道、</w:t>
            </w:r>
            <w:r>
              <w:rPr>
                <w:rFonts w:hint="eastAsia" w:ascii="宋体" w:hAnsi="宋体" w:cs="宋体"/>
                <w:color w:val="auto"/>
                <w:sz w:val="21"/>
                <w:szCs w:val="21"/>
                <w:lang w:val="en-US" w:eastAsia="zh-CN"/>
              </w:rPr>
              <w:t>质量管理</w:t>
            </w:r>
            <w:r>
              <w:rPr>
                <w:rFonts w:hint="eastAsia" w:ascii="宋体" w:hAnsi="宋体" w:eastAsia="宋体" w:cs="宋体"/>
                <w:color w:val="auto"/>
                <w:sz w:val="21"/>
                <w:szCs w:val="21"/>
                <w:lang w:val="en-US" w:eastAsia="zh-CN"/>
              </w:rPr>
              <w:t>管理措施、产品质检措施</w:t>
            </w:r>
            <w:r>
              <w:rPr>
                <w:rFonts w:hint="eastAsia" w:ascii="宋体" w:hAnsi="宋体" w:cs="宋体"/>
                <w:color w:val="auto"/>
                <w:sz w:val="21"/>
                <w:szCs w:val="21"/>
                <w:lang w:val="en-US" w:eastAsia="zh-CN"/>
              </w:rPr>
              <w:t>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质量证明材料（</w:t>
            </w:r>
            <w:r>
              <w:rPr>
                <w:rFonts w:hint="eastAsia" w:ascii="宋体" w:hAnsi="宋体" w:cs="宋体"/>
                <w:color w:val="auto"/>
                <w:sz w:val="21"/>
                <w:szCs w:val="21"/>
                <w:lang w:val="en-US" w:eastAsia="zh-CN"/>
              </w:rPr>
              <w:t>如</w:t>
            </w:r>
            <w:r>
              <w:rPr>
                <w:rFonts w:hint="eastAsia" w:ascii="宋体" w:hAnsi="宋体" w:eastAsia="宋体" w:cs="宋体"/>
                <w:color w:val="auto"/>
                <w:sz w:val="21"/>
                <w:szCs w:val="21"/>
                <w:lang w:val="en-US" w:eastAsia="zh-CN"/>
              </w:rPr>
              <w:t>合格证</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出厂检验</w:t>
            </w:r>
            <w:r>
              <w:rPr>
                <w:rFonts w:hint="eastAsia" w:ascii="宋体" w:hAnsi="宋体" w:eastAsia="宋体" w:cs="宋体"/>
                <w:color w:val="auto"/>
                <w:sz w:val="21"/>
                <w:szCs w:val="21"/>
              </w:rPr>
              <w:t>以及配置清单)</w:t>
            </w:r>
            <w:r>
              <w:rPr>
                <w:rFonts w:hint="eastAsia" w:ascii="宋体" w:hAnsi="宋体" w:eastAsia="宋体" w:cs="宋体"/>
                <w:color w:val="auto"/>
                <w:sz w:val="21"/>
                <w:szCs w:val="21"/>
                <w:lang w:val="en-US" w:eastAsia="zh-CN"/>
              </w:rPr>
              <w:t>。每提供1点且内容全面得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分，内容缺失或提供材料有缺陷的得</w:t>
            </w:r>
            <w:r>
              <w:rPr>
                <w:rFonts w:hint="eastAsia" w:ascii="宋体" w:hAnsi="宋体" w:cs="宋体"/>
                <w:color w:val="auto"/>
                <w:sz w:val="21"/>
                <w:szCs w:val="21"/>
                <w:lang w:val="en-US" w:eastAsia="zh-CN"/>
              </w:rPr>
              <w:t>2.5</w:t>
            </w:r>
            <w:r>
              <w:rPr>
                <w:rFonts w:hint="eastAsia" w:ascii="宋体" w:hAnsi="宋体" w:eastAsia="宋体" w:cs="宋体"/>
                <w:color w:val="auto"/>
                <w:sz w:val="21"/>
                <w:szCs w:val="21"/>
                <w:lang w:val="en-US" w:eastAsia="zh-CN"/>
              </w:rPr>
              <w:t>分，共10分，不提供不得分。</w:t>
            </w:r>
          </w:p>
        </w:tc>
      </w:tr>
      <w:tr w14:paraId="695B85B6">
        <w:tblPrEx>
          <w:tblCellMar>
            <w:top w:w="0" w:type="dxa"/>
            <w:left w:w="0" w:type="dxa"/>
            <w:bottom w:w="0" w:type="dxa"/>
            <w:right w:w="0" w:type="dxa"/>
          </w:tblCellMar>
        </w:tblPrEx>
        <w:trPr>
          <w:trHeight w:val="1709" w:hRule="atLeast"/>
          <w:jc w:val="center"/>
        </w:trPr>
        <w:tc>
          <w:tcPr>
            <w:tcW w:w="1127" w:type="dxa"/>
            <w:vMerge w:val="continue"/>
            <w:tcBorders>
              <w:top w:val="single" w:color="auto" w:sz="4" w:space="0"/>
              <w:left w:val="single" w:color="auto" w:sz="4" w:space="0"/>
              <w:bottom w:val="single" w:color="auto" w:sz="4" w:space="0"/>
              <w:right w:val="single" w:color="auto" w:sz="4" w:space="0"/>
            </w:tcBorders>
            <w:vAlign w:val="center"/>
          </w:tcPr>
          <w:p w14:paraId="5EF6D35B">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15B37938">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p>
        </w:tc>
        <w:tc>
          <w:tcPr>
            <w:tcW w:w="1352" w:type="dxa"/>
            <w:tcBorders>
              <w:top w:val="single" w:color="auto" w:sz="4" w:space="0"/>
              <w:left w:val="single" w:color="auto" w:sz="4" w:space="0"/>
              <w:bottom w:val="single" w:color="auto" w:sz="4" w:space="0"/>
              <w:right w:val="single" w:color="auto" w:sz="4" w:space="0"/>
            </w:tcBorders>
            <w:vAlign w:val="center"/>
          </w:tcPr>
          <w:p w14:paraId="124E3FA6">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应急预案</w:t>
            </w:r>
          </w:p>
          <w:p w14:paraId="55529AD9">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分）</w:t>
            </w:r>
          </w:p>
        </w:tc>
        <w:tc>
          <w:tcPr>
            <w:tcW w:w="6847" w:type="dxa"/>
            <w:tcBorders>
              <w:top w:val="single" w:color="auto" w:sz="4" w:space="0"/>
              <w:left w:val="single" w:color="auto" w:sz="4" w:space="0"/>
              <w:bottom w:val="single" w:color="auto" w:sz="4" w:space="0"/>
              <w:right w:val="single" w:color="auto" w:sz="4" w:space="0"/>
            </w:tcBorders>
            <w:vAlign w:val="center"/>
          </w:tcPr>
          <w:p w14:paraId="2A56E79B">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投标人针对本项目制定应急预案，包括：组织</w:t>
            </w:r>
            <w:r>
              <w:rPr>
                <w:rFonts w:hint="eastAsia" w:ascii="宋体" w:hAnsi="宋体" w:cs="宋体"/>
                <w:color w:val="auto"/>
                <w:sz w:val="21"/>
                <w:szCs w:val="21"/>
                <w:lang w:val="en-US" w:eastAsia="zh-CN"/>
              </w:rPr>
              <w:t>机构</w:t>
            </w:r>
            <w:r>
              <w:rPr>
                <w:rFonts w:hint="eastAsia" w:ascii="宋体" w:hAnsi="宋体" w:eastAsia="宋体" w:cs="宋体"/>
                <w:color w:val="auto"/>
                <w:sz w:val="21"/>
                <w:szCs w:val="21"/>
                <w:lang w:val="en-US" w:eastAsia="zh-CN"/>
              </w:rPr>
              <w:t>体系及职责；应急响应机制；突发或紧急事件处置方案（紧急供货、调换货等）；保障措施。</w:t>
            </w:r>
            <w:r>
              <w:rPr>
                <w:rFonts w:hint="eastAsia" w:ascii="宋体" w:hAnsi="宋体" w:eastAsia="宋体" w:cs="宋体"/>
                <w:sz w:val="21"/>
                <w:szCs w:val="21"/>
              </w:rPr>
              <w:t>每提供1点且内容全面得</w:t>
            </w:r>
            <w:r>
              <w:rPr>
                <w:rFonts w:hint="eastAsia" w:ascii="宋体" w:hAnsi="宋体" w:cs="宋体"/>
                <w:sz w:val="21"/>
                <w:szCs w:val="21"/>
                <w:lang w:val="en-US" w:eastAsia="zh-CN"/>
              </w:rPr>
              <w:t>2</w:t>
            </w:r>
            <w:r>
              <w:rPr>
                <w:rFonts w:hint="eastAsia" w:ascii="宋体" w:hAnsi="宋体" w:eastAsia="宋体" w:cs="宋体"/>
                <w:sz w:val="21"/>
                <w:szCs w:val="21"/>
              </w:rPr>
              <w:t>分，内容缺失或提供材料有</w:t>
            </w:r>
            <w:r>
              <w:rPr>
                <w:rFonts w:hint="eastAsia" w:ascii="宋体" w:hAnsi="宋体" w:cs="宋体"/>
                <w:sz w:val="21"/>
                <w:szCs w:val="21"/>
                <w:lang w:val="en-US" w:eastAsia="zh-CN"/>
              </w:rPr>
              <w:t>缺陷</w:t>
            </w:r>
            <w:r>
              <w:rPr>
                <w:rFonts w:hint="eastAsia" w:ascii="宋体" w:hAnsi="宋体" w:eastAsia="宋体" w:cs="宋体"/>
                <w:sz w:val="21"/>
                <w:szCs w:val="21"/>
              </w:rPr>
              <w:t>的得</w:t>
            </w:r>
            <w:r>
              <w:rPr>
                <w:rFonts w:hint="eastAsia" w:ascii="宋体" w:hAnsi="宋体" w:cs="宋体"/>
                <w:sz w:val="21"/>
                <w:szCs w:val="21"/>
                <w:lang w:val="en-US" w:eastAsia="zh-CN"/>
              </w:rPr>
              <w:t>1</w:t>
            </w:r>
            <w:r>
              <w:rPr>
                <w:rFonts w:hint="eastAsia" w:ascii="宋体" w:hAnsi="宋体" w:eastAsia="宋体" w:cs="宋体"/>
                <w:sz w:val="21"/>
                <w:szCs w:val="21"/>
              </w:rPr>
              <w:t>分，共</w:t>
            </w:r>
            <w:r>
              <w:rPr>
                <w:rFonts w:hint="eastAsia" w:ascii="宋体" w:hAnsi="宋体" w:cs="宋体"/>
                <w:sz w:val="21"/>
                <w:szCs w:val="21"/>
                <w:lang w:val="en-US" w:eastAsia="zh-CN"/>
              </w:rPr>
              <w:t>8</w:t>
            </w:r>
            <w:r>
              <w:rPr>
                <w:rFonts w:hint="eastAsia" w:ascii="宋体" w:hAnsi="宋体" w:eastAsia="宋体" w:cs="宋体"/>
                <w:sz w:val="21"/>
                <w:szCs w:val="21"/>
              </w:rPr>
              <w:t>分，不提供不得分</w:t>
            </w:r>
            <w:r>
              <w:rPr>
                <w:rFonts w:hint="eastAsia" w:ascii="宋体" w:hAnsi="宋体" w:cs="宋体"/>
                <w:sz w:val="21"/>
                <w:szCs w:val="21"/>
                <w:lang w:val="en-US" w:eastAsia="zh-CN"/>
              </w:rPr>
              <w:t>。</w:t>
            </w:r>
          </w:p>
        </w:tc>
      </w:tr>
      <w:tr w14:paraId="184FCDA7">
        <w:tblPrEx>
          <w:tblCellMar>
            <w:top w:w="0" w:type="dxa"/>
            <w:left w:w="0" w:type="dxa"/>
            <w:bottom w:w="0" w:type="dxa"/>
            <w:right w:w="0" w:type="dxa"/>
          </w:tblCellMar>
        </w:tblPrEx>
        <w:trPr>
          <w:trHeight w:val="1089" w:hRule="atLeast"/>
          <w:jc w:val="center"/>
        </w:trPr>
        <w:tc>
          <w:tcPr>
            <w:tcW w:w="1127" w:type="dxa"/>
            <w:vMerge w:val="continue"/>
            <w:tcBorders>
              <w:top w:val="single" w:color="auto" w:sz="4" w:space="0"/>
              <w:left w:val="single" w:color="auto" w:sz="4" w:space="0"/>
              <w:bottom w:val="single" w:color="auto" w:sz="4" w:space="0"/>
              <w:right w:val="single" w:color="auto" w:sz="4" w:space="0"/>
            </w:tcBorders>
            <w:vAlign w:val="center"/>
          </w:tcPr>
          <w:p w14:paraId="393D0614">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5C4426D8">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p>
        </w:tc>
        <w:tc>
          <w:tcPr>
            <w:tcW w:w="1352" w:type="dxa"/>
            <w:tcBorders>
              <w:top w:val="single" w:color="auto" w:sz="4" w:space="0"/>
              <w:left w:val="single" w:color="auto" w:sz="4" w:space="0"/>
              <w:bottom w:val="single" w:color="auto" w:sz="4" w:space="0"/>
              <w:right w:val="single" w:color="auto" w:sz="4" w:space="0"/>
            </w:tcBorders>
            <w:vAlign w:val="center"/>
          </w:tcPr>
          <w:p w14:paraId="5FF43035">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培训方案</w:t>
            </w:r>
          </w:p>
          <w:p w14:paraId="4F1842BB">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（5分）</w:t>
            </w:r>
          </w:p>
        </w:tc>
        <w:tc>
          <w:tcPr>
            <w:tcW w:w="6847" w:type="dxa"/>
            <w:tcBorders>
              <w:top w:val="single" w:color="auto" w:sz="4" w:space="0"/>
              <w:left w:val="single" w:color="auto" w:sz="4" w:space="0"/>
              <w:bottom w:val="single" w:color="auto" w:sz="4" w:space="0"/>
              <w:right w:val="single" w:color="auto" w:sz="4" w:space="0"/>
            </w:tcBorders>
            <w:vAlign w:val="center"/>
          </w:tcPr>
          <w:p w14:paraId="6E4CA901">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投标人针对本项目制定相对应的培训方案，包括培训目标；培训计划；培训内容；培训人员安排；培训保障措施。每提供1点且内容全面得1分，内容缺失或提供材料有缺陷的得0.5分，共5分，不提供不得分。</w:t>
            </w:r>
          </w:p>
        </w:tc>
      </w:tr>
      <w:tr w14:paraId="1BDC5B73">
        <w:tblPrEx>
          <w:tblCellMar>
            <w:top w:w="0" w:type="dxa"/>
            <w:left w:w="0" w:type="dxa"/>
            <w:bottom w:w="0" w:type="dxa"/>
            <w:right w:w="0" w:type="dxa"/>
          </w:tblCellMar>
        </w:tblPrEx>
        <w:trPr>
          <w:trHeight w:val="1182" w:hRule="atLeast"/>
          <w:jc w:val="center"/>
        </w:trPr>
        <w:tc>
          <w:tcPr>
            <w:tcW w:w="1127" w:type="dxa"/>
            <w:vMerge w:val="continue"/>
            <w:tcBorders>
              <w:top w:val="single" w:color="auto" w:sz="4" w:space="0"/>
              <w:left w:val="single" w:color="auto" w:sz="4" w:space="0"/>
              <w:bottom w:val="single" w:color="auto" w:sz="4" w:space="0"/>
              <w:right w:val="single" w:color="auto" w:sz="4" w:space="0"/>
            </w:tcBorders>
            <w:vAlign w:val="center"/>
          </w:tcPr>
          <w:p w14:paraId="2DEE663B">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p>
        </w:tc>
        <w:tc>
          <w:tcPr>
            <w:tcW w:w="802" w:type="dxa"/>
            <w:vMerge w:val="continue"/>
            <w:tcBorders>
              <w:top w:val="single" w:color="auto" w:sz="4" w:space="0"/>
              <w:left w:val="single" w:color="auto" w:sz="4" w:space="0"/>
              <w:bottom w:val="single" w:color="auto" w:sz="4" w:space="0"/>
              <w:right w:val="single" w:color="auto" w:sz="4" w:space="0"/>
            </w:tcBorders>
            <w:vAlign w:val="center"/>
          </w:tcPr>
          <w:p w14:paraId="1455AF43">
            <w:pPr>
              <w:keepNext w:val="0"/>
              <w:keepLines w:val="0"/>
              <w:pageBreakBefore w:val="0"/>
              <w:kinsoku/>
              <w:wordWrap/>
              <w:overflowPunct/>
              <w:topLinePunct w:val="0"/>
              <w:autoSpaceDE w:val="0"/>
              <w:autoSpaceDN w:val="0"/>
              <w:bidi w:val="0"/>
              <w:adjustRightInd w:val="0"/>
              <w:spacing w:before="50" w:line="420" w:lineRule="exact"/>
              <w:ind w:right="96" w:firstLine="59" w:firstLineChars="28"/>
              <w:jc w:val="center"/>
              <w:rPr>
                <w:rFonts w:ascii="宋体" w:hAnsi="宋体" w:cs="宋体"/>
                <w:color w:val="auto"/>
                <w:spacing w:val="1"/>
                <w:kern w:val="0"/>
                <w:sz w:val="21"/>
                <w:szCs w:val="21"/>
              </w:rPr>
            </w:pPr>
          </w:p>
        </w:tc>
        <w:tc>
          <w:tcPr>
            <w:tcW w:w="1352" w:type="dxa"/>
            <w:tcBorders>
              <w:top w:val="single" w:color="auto" w:sz="4" w:space="0"/>
              <w:left w:val="single" w:color="auto" w:sz="4" w:space="0"/>
              <w:bottom w:val="single" w:color="auto" w:sz="4" w:space="0"/>
              <w:right w:val="single" w:color="auto" w:sz="4" w:space="0"/>
            </w:tcBorders>
            <w:vAlign w:val="center"/>
          </w:tcPr>
          <w:p w14:paraId="6F3F3520">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售后服务方案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承诺及保证措施</w:t>
            </w:r>
          </w:p>
          <w:p w14:paraId="09842C15">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c>
          <w:tcPr>
            <w:tcW w:w="6847" w:type="dxa"/>
            <w:tcBorders>
              <w:top w:val="single" w:color="auto" w:sz="4" w:space="0"/>
              <w:left w:val="single" w:color="auto" w:sz="4" w:space="0"/>
              <w:bottom w:val="single" w:color="auto" w:sz="4" w:space="0"/>
              <w:right w:val="single" w:color="auto" w:sz="4" w:space="0"/>
            </w:tcBorders>
            <w:vAlign w:val="center"/>
          </w:tcPr>
          <w:p w14:paraId="65EEF9CF">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供应商需与采购人有良好的专业沟通，保证项目顺利实施，各项协调、配合措施和承诺完善、合理、明确可行，对项目实施有利</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针对本项目制定售后服务承诺及方案（</w:t>
            </w:r>
            <w:r>
              <w:rPr>
                <w:rFonts w:hint="eastAsia" w:ascii="宋体" w:hAnsi="宋体" w:eastAsia="宋体" w:cs="宋体"/>
                <w:color w:val="auto"/>
                <w:sz w:val="21"/>
                <w:szCs w:val="21"/>
              </w:rPr>
              <w:t>包含但不限于</w:t>
            </w:r>
            <w:r>
              <w:rPr>
                <w:rFonts w:hint="eastAsia" w:ascii="宋体" w:hAnsi="宋体" w:eastAsia="宋体" w:cs="宋体"/>
                <w:color w:val="auto"/>
                <w:sz w:val="21"/>
                <w:szCs w:val="21"/>
                <w:lang w:val="en-US" w:eastAsia="zh-CN"/>
              </w:rPr>
              <w:t>售后服务流程、内容、售后专线、解决质量或操作等售后问题的响应时间承诺</w:t>
            </w:r>
            <w:r>
              <w:rPr>
                <w:rFonts w:hint="eastAsia" w:ascii="宋体" w:hAnsi="宋体" w:eastAsia="宋体" w:cs="宋体"/>
                <w:color w:val="auto"/>
                <w:sz w:val="21"/>
                <w:szCs w:val="21"/>
              </w:rPr>
              <w:t>等</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服务人员数量配备和分工（包含但不限于售后服务</w:t>
            </w:r>
            <w:r>
              <w:rPr>
                <w:rFonts w:hint="eastAsia" w:ascii="宋体" w:hAnsi="宋体" w:eastAsia="宋体" w:cs="宋体"/>
                <w:color w:val="auto"/>
                <w:sz w:val="21"/>
                <w:szCs w:val="21"/>
                <w:lang w:val="en-US" w:eastAsia="zh-CN"/>
              </w:rPr>
              <w:t>人</w:t>
            </w:r>
            <w:r>
              <w:rPr>
                <w:rFonts w:hint="eastAsia" w:ascii="宋体" w:hAnsi="宋体" w:eastAsia="宋体" w:cs="宋体"/>
                <w:color w:val="auto"/>
                <w:sz w:val="21"/>
                <w:szCs w:val="21"/>
              </w:rPr>
              <w:t>员联系方式、负责内容等情况以及相关证件)</w:t>
            </w:r>
            <w:r>
              <w:rPr>
                <w:rFonts w:hint="eastAsia" w:ascii="宋体" w:hAnsi="宋体" w:eastAsia="宋体" w:cs="宋体"/>
                <w:color w:val="auto"/>
                <w:sz w:val="21"/>
                <w:szCs w:val="21"/>
                <w:lang w:val="en-US" w:eastAsia="zh-CN"/>
              </w:rPr>
              <w:t>；货物维护方案（包含但不限于货物整体维护方案及易损部位维护方案）；</w:t>
            </w:r>
            <w:r>
              <w:rPr>
                <w:rFonts w:hint="eastAsia" w:ascii="宋体" w:hAnsi="宋体" w:eastAsia="宋体" w:cs="宋体"/>
                <w:color w:val="auto"/>
                <w:sz w:val="21"/>
                <w:szCs w:val="21"/>
              </w:rPr>
              <w:t>工作中发生工伤意外事故或其他纠纷时的处理服务承诺</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内容具体、有利于保障采购单位正常工作秩序、社会公众形象等相关权益不受影响，能有效防范采购单位牵涉劳动争议，能减轻采购单位各方面负担</w:t>
            </w:r>
            <w:r>
              <w:rPr>
                <w:rFonts w:hint="eastAsia" w:ascii="宋体" w:hAnsi="宋体" w:eastAsia="宋体" w:cs="宋体"/>
                <w:color w:val="auto"/>
                <w:sz w:val="21"/>
                <w:szCs w:val="21"/>
                <w:lang w:eastAsia="zh-CN"/>
              </w:rPr>
              <w:t>）。</w:t>
            </w:r>
            <w:r>
              <w:rPr>
                <w:rFonts w:hint="eastAsia" w:ascii="宋体" w:hAnsi="宋体" w:eastAsia="宋体" w:cs="宋体"/>
                <w:sz w:val="21"/>
                <w:szCs w:val="21"/>
              </w:rPr>
              <w:t>每提供1点且内容全面得</w:t>
            </w:r>
            <w:r>
              <w:rPr>
                <w:rFonts w:hint="eastAsia" w:ascii="宋体" w:hAnsi="宋体" w:cs="宋体"/>
                <w:sz w:val="21"/>
                <w:szCs w:val="21"/>
                <w:lang w:val="en-US" w:eastAsia="zh-CN"/>
              </w:rPr>
              <w:t>1</w:t>
            </w:r>
            <w:r>
              <w:rPr>
                <w:rFonts w:hint="eastAsia" w:ascii="宋体" w:hAnsi="宋体" w:eastAsia="宋体" w:cs="宋体"/>
                <w:sz w:val="21"/>
                <w:szCs w:val="21"/>
              </w:rPr>
              <w:t>分，内容缺失或提供材料有</w:t>
            </w:r>
            <w:r>
              <w:rPr>
                <w:rFonts w:hint="eastAsia" w:ascii="宋体" w:hAnsi="宋体" w:cs="宋体"/>
                <w:sz w:val="21"/>
                <w:szCs w:val="21"/>
                <w:lang w:val="en-US" w:eastAsia="zh-CN"/>
              </w:rPr>
              <w:t>缺陷</w:t>
            </w:r>
            <w:r>
              <w:rPr>
                <w:rFonts w:hint="eastAsia" w:ascii="宋体" w:hAnsi="宋体" w:eastAsia="宋体" w:cs="宋体"/>
                <w:sz w:val="21"/>
                <w:szCs w:val="21"/>
              </w:rPr>
              <w:t>的得</w:t>
            </w:r>
            <w:r>
              <w:rPr>
                <w:rFonts w:hint="eastAsia" w:ascii="宋体" w:hAnsi="宋体" w:cs="宋体"/>
                <w:sz w:val="21"/>
                <w:szCs w:val="21"/>
                <w:lang w:val="en-US" w:eastAsia="zh-CN"/>
              </w:rPr>
              <w:t>0.5</w:t>
            </w:r>
            <w:r>
              <w:rPr>
                <w:rFonts w:hint="eastAsia" w:ascii="宋体" w:hAnsi="宋体" w:eastAsia="宋体" w:cs="宋体"/>
                <w:sz w:val="21"/>
                <w:szCs w:val="21"/>
              </w:rPr>
              <w:t>分，共</w:t>
            </w:r>
            <w:r>
              <w:rPr>
                <w:rFonts w:hint="eastAsia" w:ascii="宋体" w:hAnsi="宋体" w:cs="宋体"/>
                <w:sz w:val="21"/>
                <w:szCs w:val="21"/>
                <w:lang w:val="en-US" w:eastAsia="zh-CN"/>
              </w:rPr>
              <w:t>5</w:t>
            </w:r>
            <w:r>
              <w:rPr>
                <w:rFonts w:hint="eastAsia" w:ascii="宋体" w:hAnsi="宋体" w:eastAsia="宋体" w:cs="宋体"/>
                <w:sz w:val="21"/>
                <w:szCs w:val="21"/>
              </w:rPr>
              <w:t>分，不提供不得分</w:t>
            </w:r>
            <w:r>
              <w:rPr>
                <w:rFonts w:hint="eastAsia" w:ascii="宋体" w:hAnsi="宋体" w:cs="宋体"/>
                <w:sz w:val="21"/>
                <w:szCs w:val="21"/>
                <w:lang w:val="en-US" w:eastAsia="zh-CN"/>
              </w:rPr>
              <w:t>。</w:t>
            </w:r>
          </w:p>
        </w:tc>
      </w:tr>
      <w:tr w14:paraId="0DBFC456">
        <w:tblPrEx>
          <w:tblCellMar>
            <w:top w:w="0" w:type="dxa"/>
            <w:left w:w="0" w:type="dxa"/>
            <w:bottom w:w="0" w:type="dxa"/>
            <w:right w:w="0" w:type="dxa"/>
          </w:tblCellMar>
        </w:tblPrEx>
        <w:trPr>
          <w:trHeight w:val="1182" w:hRule="atLeast"/>
          <w:jc w:val="center"/>
        </w:trPr>
        <w:tc>
          <w:tcPr>
            <w:tcW w:w="10128" w:type="dxa"/>
            <w:gridSpan w:val="4"/>
            <w:tcBorders>
              <w:top w:val="single" w:color="auto" w:sz="4" w:space="0"/>
              <w:left w:val="single" w:color="auto" w:sz="4" w:space="0"/>
              <w:bottom w:val="single" w:color="auto" w:sz="4" w:space="0"/>
              <w:right w:val="single" w:color="auto" w:sz="4" w:space="0"/>
            </w:tcBorders>
            <w:vAlign w:val="center"/>
          </w:tcPr>
          <w:p w14:paraId="4AA1AC7F">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line="42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说明：</w:t>
            </w:r>
            <w:r>
              <w:rPr>
                <w:rFonts w:hint="eastAsia" w:ascii="宋体" w:hAnsi="宋体" w:eastAsia="宋体" w:cs="宋体"/>
                <w:sz w:val="21"/>
                <w:szCs w:val="21"/>
              </w:rPr>
              <w:t>内容缺失或提供材料有</w:t>
            </w:r>
            <w:r>
              <w:rPr>
                <w:rFonts w:hint="eastAsia" w:ascii="宋体" w:hAnsi="宋体" w:eastAsia="宋体" w:cs="宋体"/>
                <w:sz w:val="21"/>
                <w:szCs w:val="21"/>
                <w:lang w:val="en-US" w:eastAsia="zh-CN"/>
              </w:rPr>
              <w:t>缺陷</w:t>
            </w:r>
            <w:r>
              <w:rPr>
                <w:rFonts w:hint="eastAsia" w:ascii="宋体" w:hAnsi="宋体" w:eastAsia="宋体" w:cs="宋体"/>
                <w:sz w:val="21"/>
                <w:szCs w:val="21"/>
              </w:rPr>
              <w:t>是指工作内容理解片面；方案内容</w:t>
            </w:r>
            <w:r>
              <w:rPr>
                <w:rFonts w:hint="eastAsia" w:ascii="宋体" w:hAnsi="宋体" w:eastAsia="宋体" w:cs="宋体"/>
                <w:sz w:val="21"/>
                <w:szCs w:val="21"/>
                <w:lang w:val="en-US" w:eastAsia="zh-CN"/>
              </w:rPr>
              <w:t>表述不清或错误</w:t>
            </w:r>
            <w:r>
              <w:rPr>
                <w:rFonts w:hint="eastAsia" w:ascii="宋体" w:hAnsi="宋体" w:eastAsia="宋体" w:cs="宋体"/>
                <w:sz w:val="21"/>
                <w:szCs w:val="21"/>
              </w:rPr>
              <w:t>；非专门针对本项目或不适用本项目特征，套用其他项目内容，</w:t>
            </w:r>
            <w:r>
              <w:rPr>
                <w:rFonts w:hint="eastAsia" w:ascii="宋体" w:hAnsi="宋体" w:cs="宋体"/>
                <w:color w:val="auto"/>
                <w:sz w:val="21"/>
                <w:szCs w:val="21"/>
                <w:lang w:val="en-US" w:eastAsia="zh-CN"/>
              </w:rPr>
              <w:t>不切实际、内容空泛</w:t>
            </w:r>
            <w:r>
              <w:rPr>
                <w:rFonts w:hint="eastAsia" w:ascii="宋体" w:hAnsi="宋体" w:eastAsia="宋体" w:cs="宋体"/>
                <w:sz w:val="21"/>
                <w:szCs w:val="21"/>
              </w:rPr>
              <w:t>；文字错别字较多；材料顺序混乱；</w:t>
            </w:r>
            <w:r>
              <w:rPr>
                <w:rFonts w:hint="eastAsia" w:ascii="宋体" w:hAnsi="宋体" w:cs="宋体"/>
                <w:color w:val="auto"/>
                <w:sz w:val="21"/>
                <w:szCs w:val="21"/>
                <w:lang w:val="en-US" w:eastAsia="zh-CN"/>
              </w:rPr>
              <w:t>凭空编造</w:t>
            </w:r>
            <w:r>
              <w:rPr>
                <w:rFonts w:hint="eastAsia" w:ascii="宋体" w:hAnsi="宋体" w:eastAsia="宋体" w:cs="宋体"/>
                <w:sz w:val="21"/>
                <w:szCs w:val="21"/>
              </w:rPr>
              <w:t>等情况。</w:t>
            </w:r>
          </w:p>
        </w:tc>
      </w:tr>
    </w:tbl>
    <w:p w14:paraId="0B5C1B39">
      <w:pPr>
        <w:keepNext w:val="0"/>
        <w:keepLines w:val="0"/>
        <w:pageBreakBefore w:val="0"/>
        <w:kinsoku/>
        <w:wordWrap/>
        <w:overflowPunct/>
        <w:topLinePunct w:val="0"/>
        <w:bidi w:val="0"/>
        <w:spacing w:line="420" w:lineRule="exact"/>
        <w:ind w:firstLine="482"/>
        <w:textAlignment w:val="center"/>
        <w:rPr>
          <w:rFonts w:ascii="宋体" w:hAnsi="宋体" w:cs="宋体"/>
          <w:b/>
          <w:bCs/>
          <w:color w:val="auto"/>
          <w:sz w:val="24"/>
          <w:lang w:bidi="ar"/>
        </w:rPr>
      </w:pPr>
      <w:r>
        <w:rPr>
          <w:rFonts w:hint="eastAsia" w:ascii="宋体" w:hAnsi="宋体" w:cs="宋体"/>
          <w:b/>
          <w:bCs/>
          <w:color w:val="auto"/>
          <w:sz w:val="24"/>
          <w:lang w:bidi="ar"/>
        </w:rPr>
        <w:t>三、</w:t>
      </w:r>
      <w:r>
        <w:rPr>
          <w:rFonts w:hint="eastAsia" w:ascii="宋体" w:hAnsi="宋体" w:cs="宋体"/>
          <w:b/>
          <w:bCs/>
          <w:color w:val="auto"/>
          <w:sz w:val="24"/>
          <w:lang w:eastAsia="zh-CN" w:bidi="ar"/>
        </w:rPr>
        <w:t>成交</w:t>
      </w:r>
      <w:r>
        <w:rPr>
          <w:rFonts w:hint="eastAsia" w:ascii="宋体" w:hAnsi="宋体" w:cs="宋体"/>
          <w:b/>
          <w:bCs/>
          <w:color w:val="auto"/>
          <w:sz w:val="24"/>
          <w:lang w:bidi="ar"/>
        </w:rPr>
        <w:t>人的确定</w:t>
      </w:r>
    </w:p>
    <w:p w14:paraId="7410C3B2">
      <w:pPr>
        <w:keepNext w:val="0"/>
        <w:keepLines w:val="0"/>
        <w:pageBreakBefore w:val="0"/>
        <w:kinsoku/>
        <w:wordWrap/>
        <w:overflowPunct/>
        <w:topLinePunct w:val="0"/>
        <w:bidi w:val="0"/>
        <w:spacing w:line="420" w:lineRule="exact"/>
        <w:ind w:firstLine="482"/>
        <w:textAlignment w:val="center"/>
        <w:rPr>
          <w:rFonts w:ascii="宋体" w:hAnsi="宋体" w:cs="宋体"/>
          <w:color w:val="auto"/>
          <w:sz w:val="24"/>
          <w:lang w:bidi="ar"/>
        </w:rPr>
      </w:pPr>
      <w:r>
        <w:rPr>
          <w:rFonts w:hint="eastAsia" w:ascii="宋体" w:hAnsi="宋体" w:cs="宋体"/>
          <w:color w:val="auto"/>
          <w:sz w:val="24"/>
          <w:lang w:bidi="ar"/>
        </w:rPr>
        <w:t>评标委员会根据详细评审结果按得分由高到低顺序确定</w:t>
      </w:r>
      <w:r>
        <w:rPr>
          <w:rFonts w:hint="eastAsia" w:ascii="宋体" w:hAnsi="宋体" w:cs="宋体"/>
          <w:color w:val="auto"/>
          <w:sz w:val="24"/>
          <w:lang w:eastAsia="zh-CN" w:bidi="ar"/>
        </w:rPr>
        <w:t>成交</w:t>
      </w:r>
      <w:r>
        <w:rPr>
          <w:rFonts w:hint="eastAsia" w:ascii="宋体" w:hAnsi="宋体" w:cs="宋体"/>
          <w:color w:val="auto"/>
          <w:sz w:val="24"/>
          <w:lang w:bidi="ar"/>
        </w:rPr>
        <w:t>候选人。得分相同的，按投标报价由低到高顺序排列。得分且投标报价相同的，按技术指标优劣顺序排列。采购人根据评标委员会提交的书面评标报告，授权评标委员会在推荐的</w:t>
      </w:r>
      <w:r>
        <w:rPr>
          <w:rFonts w:hint="eastAsia" w:ascii="宋体" w:hAnsi="宋体" w:cs="宋体"/>
          <w:color w:val="auto"/>
          <w:sz w:val="24"/>
          <w:lang w:eastAsia="zh-CN" w:bidi="ar"/>
        </w:rPr>
        <w:t>成交</w:t>
      </w:r>
      <w:r>
        <w:rPr>
          <w:rFonts w:hint="eastAsia" w:ascii="宋体" w:hAnsi="宋体" w:cs="宋体"/>
          <w:color w:val="auto"/>
          <w:sz w:val="24"/>
          <w:lang w:bidi="ar"/>
        </w:rPr>
        <w:t>候选人中按排名第一的为</w:t>
      </w:r>
      <w:r>
        <w:rPr>
          <w:rFonts w:hint="eastAsia" w:ascii="宋体" w:hAnsi="宋体" w:cs="宋体"/>
          <w:color w:val="auto"/>
          <w:sz w:val="24"/>
          <w:lang w:eastAsia="zh-CN" w:bidi="ar"/>
        </w:rPr>
        <w:t>成交</w:t>
      </w:r>
      <w:r>
        <w:rPr>
          <w:rFonts w:hint="eastAsia" w:ascii="宋体" w:hAnsi="宋体" w:cs="宋体"/>
          <w:color w:val="auto"/>
          <w:sz w:val="24"/>
          <w:lang w:bidi="ar"/>
        </w:rPr>
        <w:t>人。</w:t>
      </w:r>
    </w:p>
    <w:p w14:paraId="7F3A9776">
      <w:pPr>
        <w:keepNext w:val="0"/>
        <w:keepLines w:val="0"/>
        <w:pageBreakBefore w:val="0"/>
        <w:kinsoku/>
        <w:wordWrap/>
        <w:overflowPunct/>
        <w:topLinePunct w:val="0"/>
        <w:bidi w:val="0"/>
        <w:spacing w:line="420" w:lineRule="exact"/>
        <w:ind w:firstLine="482"/>
        <w:textAlignment w:val="center"/>
        <w:rPr>
          <w:rFonts w:ascii="宋体" w:hAnsi="宋体" w:cs="宋体"/>
          <w:b/>
          <w:bCs/>
          <w:color w:val="auto"/>
          <w:sz w:val="24"/>
          <w:lang w:bidi="ar"/>
        </w:rPr>
      </w:pPr>
      <w:r>
        <w:rPr>
          <w:rFonts w:hint="eastAsia" w:ascii="宋体" w:hAnsi="宋体" w:cs="宋体"/>
          <w:b/>
          <w:bCs/>
          <w:color w:val="auto"/>
          <w:sz w:val="24"/>
          <w:lang w:bidi="ar"/>
        </w:rPr>
        <w:t>四、</w:t>
      </w:r>
      <w:r>
        <w:rPr>
          <w:rFonts w:hint="eastAsia" w:ascii="宋体" w:hAnsi="宋体" w:cs="宋体"/>
          <w:b/>
          <w:bCs/>
          <w:color w:val="auto"/>
          <w:sz w:val="24"/>
          <w:lang w:eastAsia="zh-CN" w:bidi="ar"/>
        </w:rPr>
        <w:t>成交</w:t>
      </w:r>
      <w:r>
        <w:rPr>
          <w:rFonts w:hint="eastAsia" w:ascii="宋体" w:hAnsi="宋体" w:cs="宋体"/>
          <w:b/>
          <w:bCs/>
          <w:color w:val="auto"/>
          <w:sz w:val="24"/>
          <w:lang w:bidi="ar"/>
        </w:rPr>
        <w:t>价的确定</w:t>
      </w:r>
    </w:p>
    <w:p w14:paraId="78BED47C">
      <w:pPr>
        <w:keepNext w:val="0"/>
        <w:keepLines w:val="0"/>
        <w:pageBreakBefore w:val="0"/>
        <w:kinsoku/>
        <w:wordWrap/>
        <w:overflowPunct/>
        <w:topLinePunct w:val="0"/>
        <w:bidi w:val="0"/>
        <w:spacing w:line="420" w:lineRule="exact"/>
        <w:ind w:firstLine="482"/>
        <w:textAlignment w:val="center"/>
        <w:rPr>
          <w:rFonts w:ascii="宋体" w:hAnsi="宋体" w:cs="宋体"/>
          <w:color w:val="auto"/>
          <w:sz w:val="24"/>
          <w:lang w:bidi="ar"/>
        </w:rPr>
      </w:pPr>
      <w:r>
        <w:rPr>
          <w:rFonts w:hint="eastAsia" w:ascii="宋体" w:hAnsi="宋体" w:cs="宋体"/>
          <w:color w:val="auto"/>
          <w:sz w:val="24"/>
          <w:lang w:bidi="ar"/>
        </w:rPr>
        <w:t>以</w:t>
      </w:r>
      <w:r>
        <w:rPr>
          <w:rFonts w:hint="eastAsia" w:ascii="宋体" w:hAnsi="宋体" w:cs="宋体"/>
          <w:color w:val="auto"/>
          <w:sz w:val="24"/>
          <w:lang w:eastAsia="zh-CN" w:bidi="ar"/>
        </w:rPr>
        <w:t>成交</w:t>
      </w:r>
      <w:r>
        <w:rPr>
          <w:rFonts w:hint="eastAsia" w:ascii="宋体" w:hAnsi="宋体" w:cs="宋体"/>
          <w:color w:val="auto"/>
          <w:sz w:val="24"/>
          <w:lang w:bidi="ar"/>
        </w:rPr>
        <w:t>人的投标报价为</w:t>
      </w:r>
      <w:r>
        <w:rPr>
          <w:rFonts w:hint="eastAsia" w:ascii="宋体" w:hAnsi="宋体" w:cs="宋体"/>
          <w:color w:val="auto"/>
          <w:sz w:val="24"/>
          <w:lang w:eastAsia="zh-CN" w:bidi="ar"/>
        </w:rPr>
        <w:t>成交</w:t>
      </w:r>
      <w:r>
        <w:rPr>
          <w:rFonts w:hint="eastAsia" w:ascii="宋体" w:hAnsi="宋体" w:cs="宋体"/>
          <w:color w:val="auto"/>
          <w:sz w:val="24"/>
          <w:lang w:bidi="ar"/>
        </w:rPr>
        <w:t>价。</w:t>
      </w:r>
      <w:r>
        <w:rPr>
          <w:rFonts w:hint="eastAsia" w:ascii="宋体" w:hAnsi="宋体" w:cs="宋体"/>
          <w:color w:val="auto"/>
          <w:kern w:val="0"/>
          <w:sz w:val="24"/>
        </w:rPr>
        <w:br w:type="page"/>
      </w:r>
    </w:p>
    <w:bookmarkEnd w:id="27"/>
    <w:p w14:paraId="2B699047">
      <w:pPr>
        <w:widowControl/>
        <w:snapToGrid w:val="0"/>
        <w:spacing w:line="360" w:lineRule="auto"/>
        <w:jc w:val="center"/>
        <w:outlineLvl w:val="0"/>
        <w:rPr>
          <w:rFonts w:ascii="宋体" w:hAnsi="宋体" w:cs="宋体"/>
          <w:b/>
          <w:bCs/>
          <w:color w:val="auto"/>
          <w:sz w:val="32"/>
          <w:szCs w:val="32"/>
        </w:rPr>
      </w:pPr>
      <w:bookmarkStart w:id="29" w:name="_Toc2818"/>
      <w:bookmarkStart w:id="30" w:name="_Toc100594741"/>
      <w:bookmarkStart w:id="31" w:name="_Toc17485"/>
      <w:r>
        <w:rPr>
          <w:rFonts w:hint="eastAsia" w:ascii="宋体" w:hAnsi="宋体" w:cs="宋体"/>
          <w:b/>
          <w:bCs/>
          <w:color w:val="auto"/>
          <w:sz w:val="32"/>
          <w:szCs w:val="32"/>
        </w:rPr>
        <w:t xml:space="preserve">第四章  </w:t>
      </w:r>
      <w:bookmarkEnd w:id="29"/>
      <w:r>
        <w:rPr>
          <w:rFonts w:hint="eastAsia" w:ascii="宋体" w:hAnsi="宋体" w:cs="宋体"/>
          <w:b/>
          <w:bCs/>
          <w:color w:val="auto"/>
          <w:sz w:val="32"/>
          <w:szCs w:val="32"/>
        </w:rPr>
        <w:t>商务技术要求</w:t>
      </w:r>
      <w:bookmarkEnd w:id="30"/>
    </w:p>
    <w:p w14:paraId="5A52E6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auto"/>
          <w:sz w:val="24"/>
          <w:lang w:val="en-US" w:eastAsia="zh-CN"/>
        </w:rPr>
      </w:pPr>
      <w:r>
        <w:rPr>
          <w:rFonts w:hint="eastAsia" w:ascii="宋体" w:hAnsi="宋体" w:eastAsia="宋体" w:cs="宋体"/>
          <w:b/>
          <w:bCs/>
          <w:color w:val="auto"/>
          <w:sz w:val="24"/>
          <w:lang w:eastAsia="zh-CN"/>
        </w:rPr>
        <w:t>一、</w:t>
      </w:r>
      <w:r>
        <w:rPr>
          <w:rFonts w:hint="eastAsia" w:ascii="宋体" w:hAnsi="宋体" w:cs="宋体"/>
          <w:b/>
          <w:bCs/>
          <w:color w:val="auto"/>
          <w:sz w:val="24"/>
          <w:lang w:val="en-US" w:eastAsia="zh-CN"/>
        </w:rPr>
        <w:t>项目概况及总体要求（商务要求）</w:t>
      </w:r>
    </w:p>
    <w:p w14:paraId="50228B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eastAsia="zh-CN"/>
        </w:rPr>
        <w:t>项目名称：</w:t>
      </w:r>
      <w:r>
        <w:rPr>
          <w:rFonts w:hint="eastAsia" w:ascii="宋体" w:hAnsi="宋体" w:cs="宋体"/>
          <w:color w:val="auto"/>
          <w:sz w:val="24"/>
          <w:lang w:eastAsia="zh-CN"/>
        </w:rPr>
        <w:t>运城市公安局运城经济技术开发区分局执法办案管理中心提质增效项目。</w:t>
      </w:r>
    </w:p>
    <w:p w14:paraId="671B92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2.采购范围：货物的购置、运输、安装、调试、培训和售后服务等，以及图纸及工程量清单范围内的全部内容。</w:t>
      </w:r>
    </w:p>
    <w:p w14:paraId="349BC1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3.预算金额：2184798.56元；</w:t>
      </w:r>
    </w:p>
    <w:p w14:paraId="31A4D2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合同履约期限（供货期限）</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zh-CN" w:eastAsia="zh-CN"/>
        </w:rPr>
        <w:t>50天</w:t>
      </w:r>
      <w:r>
        <w:rPr>
          <w:rFonts w:hint="eastAsia" w:ascii="宋体" w:hAnsi="宋体" w:eastAsia="宋体" w:cs="宋体"/>
          <w:color w:val="auto"/>
          <w:sz w:val="24"/>
          <w:szCs w:val="24"/>
          <w:lang w:val="zh-CN" w:eastAsia="zh-CN"/>
        </w:rPr>
        <w:t>。</w:t>
      </w:r>
    </w:p>
    <w:p w14:paraId="48393D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5.交货地点：运城市公安局运城经济技术开发区分局（运城经济技术开发区纬四路）。</w:t>
      </w:r>
    </w:p>
    <w:p w14:paraId="4CEB9E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auto"/>
          <w:sz w:val="24"/>
          <w:lang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质量标准：</w:t>
      </w:r>
      <w:r>
        <w:rPr>
          <w:rFonts w:hint="eastAsia" w:ascii="宋体" w:hAnsi="宋体" w:cs="宋体"/>
          <w:bCs/>
          <w:color w:val="auto"/>
          <w:sz w:val="24"/>
          <w:lang w:eastAsia="zh-CN"/>
        </w:rPr>
        <w:t>符合国家相关强制性规定标准，合格。</w:t>
      </w:r>
    </w:p>
    <w:p w14:paraId="35EE31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7.质保期：1年</w:t>
      </w:r>
    </w:p>
    <w:p w14:paraId="487B5D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8.付款方式：合同签订后甲方付合同总价款的30%预付款，货到指定地点，安装、调试、验收合格后甲方付合同总价款的60%,设备安装调试正常使用满1年，无质量问题后付合同总价款的10%,具体付款时间如有变化，另行协商确定。</w:t>
      </w:r>
    </w:p>
    <w:p w14:paraId="2E194CD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color w:val="auto"/>
          <w:sz w:val="24"/>
          <w:lang w:val="en-US" w:eastAsia="zh-CN" w:bidi="ar"/>
        </w:rPr>
      </w:pPr>
      <w:r>
        <w:rPr>
          <w:rFonts w:hint="eastAsia" w:ascii="宋体" w:hAnsi="宋体" w:cs="宋体"/>
          <w:b/>
          <w:bCs/>
          <w:color w:val="auto"/>
          <w:sz w:val="24"/>
          <w:lang w:val="en-US" w:eastAsia="zh-CN"/>
        </w:rPr>
        <w:t>二、智慧法制一体化管理系统</w:t>
      </w:r>
      <w:r>
        <w:rPr>
          <w:rFonts w:hint="eastAsia" w:asciiTheme="minorEastAsia" w:hAnsiTheme="minorEastAsia" w:eastAsiaTheme="minorEastAsia" w:cstheme="minorEastAsia"/>
          <w:b/>
          <w:bCs/>
          <w:color w:val="auto"/>
          <w:sz w:val="24"/>
          <w:lang w:val="en-US" w:eastAsia="zh-CN" w:bidi="ar"/>
        </w:rPr>
        <w:t>设备清单及技术需求要求</w:t>
      </w:r>
    </w:p>
    <w:tbl>
      <w:tblPr>
        <w:tblStyle w:val="33"/>
        <w:tblW w:w="10308"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008"/>
        <w:gridCol w:w="6528"/>
        <w:gridCol w:w="732"/>
        <w:gridCol w:w="588"/>
        <w:gridCol w:w="780"/>
      </w:tblGrid>
      <w:tr w14:paraId="0094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C8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E1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设备名称</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49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9A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F5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057985C">
            <w:pPr>
              <w:keepNext w:val="0"/>
              <w:keepLines w:val="0"/>
              <w:widowControl/>
              <w:suppressLineNumbers w:val="0"/>
              <w:jc w:val="center"/>
              <w:textAlignment w:val="center"/>
              <w:rPr>
                <w:rFonts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备注</w:t>
            </w:r>
          </w:p>
        </w:tc>
      </w:tr>
      <w:tr w14:paraId="7740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F0165F">
            <w:pPr>
              <w:jc w:val="center"/>
              <w:rPr>
                <w:rFonts w:hint="eastAsia" w:ascii="等线" w:hAnsi="等线" w:eastAsia="等线" w:cs="等线"/>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一、执法办案区管理系统</w:t>
            </w:r>
          </w:p>
        </w:tc>
      </w:tr>
      <w:tr w14:paraId="032B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6DE8CC">
            <w:pPr>
              <w:jc w:val="center"/>
              <w:rPr>
                <w:rFonts w:hint="eastAsia" w:ascii="等线" w:hAnsi="等线" w:eastAsia="等线" w:cs="等线"/>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（一）出入区登记</w:t>
            </w:r>
          </w:p>
        </w:tc>
      </w:tr>
      <w:tr w14:paraId="68E9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1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E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拾音器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62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1、采用高保真预极化电容传声器，可对前期音频无差别拾取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2、可实时对拾取到的音频信号进行噪音滤除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3、内置雷击保护、电源极性反接保护和静电保护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4、内置可调电位器，音量调节最小可关闭（无声音输出）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5、监听半径1-7m（内置电位器可调）</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7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7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8C8A26A">
            <w:pPr>
              <w:jc w:val="center"/>
              <w:rPr>
                <w:rFonts w:hint="eastAsia" w:ascii="等线" w:hAnsi="等线" w:eastAsia="等线" w:cs="等线"/>
                <w:i w:val="0"/>
                <w:iCs w:val="0"/>
                <w:color w:val="000000"/>
                <w:sz w:val="18"/>
                <w:szCs w:val="18"/>
                <w:u w:val="none"/>
              </w:rPr>
            </w:pPr>
          </w:p>
        </w:tc>
      </w:tr>
      <w:tr w14:paraId="3702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5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6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4K全景人体结构化摄像机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2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1、不低于800万像素CMOS传感器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2、2.7~13.5mm电动变焦，支持一键聚焦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3、支持三码流同时输出，主码流最高分辨率可达8MP@20fps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4、支持人脸抓拍，单画面同时检测人脸数不低于32张，单画面同时抓拍人脸数不低于16张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5、人脸识别距离不少于10米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6、支持通过IE浏览器显示人员年龄、性别、民族、表情、戴眼镜、带口罩、是否有胡子、衣服颜色、上衣类型、是否背包、戴帽子等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7、人脸抓拍率不低于97%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8、红外补光距离不低于50米，支持补光变倍匹配功能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9、支持以某一物理位置为坐标原点，分别标定镜头的离地高度、俯仰角、倾斜角、实际坐标等信息并建立坐标系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10、支持同时检测不低于20个行人，并显示行进轨迹，实时输出坐标信息和时间戳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11、支持对经过设定区域内的行人进行人体检测并抓拍，可抓拍人体正面、背面、侧面人体图片并上传至平台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12、支持人脸大小过滤功能和人脸抓拍质量过滤功能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13、接口不少于：音频输入/输出各一个、内置MIC、报警输入2个，报警输出1个，支持SD卡槽（最大支持512G）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14、支持宽动态、背光补偿、强光抑制、3D降噪和图像翻转功能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15、防护等级不低于：外壳防尘防水IP67，防暴等级IK10，4级防雷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16、支持POE、DC12V供电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C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0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B13D980">
            <w:pPr>
              <w:jc w:val="center"/>
              <w:rPr>
                <w:rFonts w:hint="eastAsia" w:ascii="等线" w:hAnsi="等线" w:eastAsia="等线" w:cs="等线"/>
                <w:i w:val="0"/>
                <w:iCs w:val="0"/>
                <w:color w:val="000000"/>
                <w:sz w:val="18"/>
                <w:szCs w:val="18"/>
                <w:u w:val="none"/>
              </w:rPr>
            </w:pPr>
          </w:p>
        </w:tc>
      </w:tr>
      <w:tr w14:paraId="605E9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5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2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4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E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4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2BC9D12">
            <w:pPr>
              <w:jc w:val="center"/>
              <w:rPr>
                <w:rFonts w:hint="eastAsia" w:ascii="等线" w:hAnsi="等线" w:eastAsia="等线" w:cs="等线"/>
                <w:i w:val="0"/>
                <w:iCs w:val="0"/>
                <w:color w:val="000000"/>
                <w:sz w:val="18"/>
                <w:szCs w:val="18"/>
                <w:u w:val="none"/>
              </w:rPr>
            </w:pPr>
          </w:p>
        </w:tc>
      </w:tr>
      <w:tr w14:paraId="0F61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3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E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7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1、支持报警信号传至警务值班室提示。</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B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2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AFCFDCB">
            <w:pPr>
              <w:jc w:val="center"/>
              <w:rPr>
                <w:rFonts w:hint="eastAsia" w:ascii="等线" w:hAnsi="等线" w:eastAsia="等线" w:cs="等线"/>
                <w:i w:val="0"/>
                <w:iCs w:val="0"/>
                <w:color w:val="000000"/>
                <w:sz w:val="18"/>
                <w:szCs w:val="18"/>
                <w:u w:val="none"/>
              </w:rPr>
            </w:pPr>
          </w:p>
        </w:tc>
      </w:tr>
      <w:tr w14:paraId="135A2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4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0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31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1、额定工作电压(V/DC) 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2、工作电压范围(V) 9-15V；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3、工作电流范围(mA) ≤300；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4、工作温度(℃) ﹣20~﹢60℃；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5、声压(dB) ≥105dB/m；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6、连续工作时间 ≥45min DC12V；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7、闪灯次数(分钟) 200±30。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0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B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8E131AA">
            <w:pPr>
              <w:jc w:val="center"/>
              <w:rPr>
                <w:rFonts w:hint="eastAsia" w:ascii="等线" w:hAnsi="等线" w:eastAsia="等线" w:cs="等线"/>
                <w:i w:val="0"/>
                <w:iCs w:val="0"/>
                <w:color w:val="000000"/>
                <w:sz w:val="18"/>
                <w:szCs w:val="18"/>
                <w:u w:val="none"/>
              </w:rPr>
            </w:pPr>
          </w:p>
        </w:tc>
      </w:tr>
      <w:tr w14:paraId="1BEF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5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5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人证核验设备</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B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1、系统内存不低于2GB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2、触控屏尺寸不低于10.1英寸，分辨率不低于1280x800，支持5点触控，屏幕亮度可调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3、内置双目摄像机不低于300万像素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4、支持人脸活体检测功能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5、支持拍摄人脸照片并进行人证比对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6、支持人脸识别功能，支持智能逆光补偿，增强人脸轮廓边缘，通过程序自动化采集人脸照片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7、内置公安部最新推出居民身份证阅读器，自动读取居民身份证芯片中的文字、人脸等特征信息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8、支持防掉电数据安全保护，在完全掉电的情况下，数据不丢失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9、支持将获取的身份证号码、人员照片等信息自动录入执法办案管理平台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9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B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15910DE">
            <w:pPr>
              <w:jc w:val="center"/>
              <w:rPr>
                <w:rFonts w:hint="eastAsia" w:ascii="等线" w:hAnsi="等线" w:eastAsia="等线" w:cs="等线"/>
                <w:i w:val="0"/>
                <w:iCs w:val="0"/>
                <w:color w:val="000000"/>
                <w:sz w:val="18"/>
                <w:szCs w:val="18"/>
                <w:u w:val="none"/>
              </w:rPr>
            </w:pPr>
          </w:p>
        </w:tc>
      </w:tr>
      <w:tr w14:paraId="6989F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D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D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电子签名、指纹捺印设备</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F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1、应具备指纹采集、电子签名功能，并实现电子签名、电子指纹采集过程同步录音录像，实现证据链的不间断和可追溯性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2、显示屏不小于10寸 ，分辨率不低于1280x800，无故障点击次数不低于100万次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3、标配人像鱼眼摄像机，并支持畸变矫正、3D降噪、颜色矫正、亮度矫正等功能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4、指纹仪认假率&lt;0.0001%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5、支持原笔迹签名、信息交互、录音录像等应用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6、应内置国密芯片，能对整机的用户静态数据进行加密处理，保障用户的静态数据安全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7、传输数据应采用加密+签名的手段，保证数据传输过程的保密性和防篡改，保障数据传输安全</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4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B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747DF6C">
            <w:pPr>
              <w:jc w:val="center"/>
              <w:rPr>
                <w:rFonts w:hint="eastAsia" w:ascii="等线" w:hAnsi="等线" w:eastAsia="等线" w:cs="等线"/>
                <w:i w:val="0"/>
                <w:iCs w:val="0"/>
                <w:color w:val="000000"/>
                <w:sz w:val="18"/>
                <w:szCs w:val="18"/>
                <w:u w:val="none"/>
              </w:rPr>
            </w:pPr>
          </w:p>
        </w:tc>
      </w:tr>
      <w:tr w14:paraId="5770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5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A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操作台</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55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1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0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F09EC6A">
            <w:pPr>
              <w:jc w:val="center"/>
              <w:rPr>
                <w:rFonts w:hint="eastAsia" w:ascii="等线" w:hAnsi="等线" w:eastAsia="等线" w:cs="等线"/>
                <w:i w:val="0"/>
                <w:iCs w:val="0"/>
                <w:color w:val="000000"/>
                <w:sz w:val="18"/>
                <w:szCs w:val="18"/>
                <w:u w:val="none"/>
              </w:rPr>
            </w:pPr>
          </w:p>
        </w:tc>
      </w:tr>
      <w:tr w14:paraId="45EA5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B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4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无感定位设备</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25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不低于500万像素CMOS传感器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2.8～12mm高清电动变焦，支持一键聚焦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支持三码流同时输出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支持人脸抓拍，单画面同时检测人脸数不低于32张，单画面同时抓拍人脸数不低于10张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人脸抓拍率不低于97%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红外补光距离不低于30米，白光补光距离不低于10米，支持补光变倍匹配功能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接口要求不少于：音频输入/输出各一个、内置MIC、扬声器、报警输入2个，报警输出1个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支持宽动态、背光补偿、强光抑制、3D降噪和图像翻转功能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防护等级不低于：外壳防尘防水IP66，防暴等级IK10，4级防雷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支持POE、DC12V供电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2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C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8DA2BA9">
            <w:pPr>
              <w:jc w:val="center"/>
              <w:rPr>
                <w:rFonts w:hint="eastAsia" w:ascii="等线" w:hAnsi="等线" w:eastAsia="等线" w:cs="等线"/>
                <w:i w:val="0"/>
                <w:iCs w:val="0"/>
                <w:color w:val="000000"/>
                <w:sz w:val="18"/>
                <w:szCs w:val="18"/>
                <w:u w:val="none"/>
              </w:rPr>
            </w:pPr>
          </w:p>
        </w:tc>
      </w:tr>
      <w:tr w14:paraId="222F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94A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0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无感定位视频跟踪主机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F6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1、人脸人体抓拍机接入处理能力不低于50路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2、支持不少于1个VGA接口、4个USB接口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3、支持人体结构化数据分析和人脸识别分析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4、支持通过人脸与人员信息关联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5、支持抓拍人脸或人体并存入系统，作为身份标识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6、支持对实时视频进行人脸比对分析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7、支持对图片和录像进行人脸比对分析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8、支持对嫌疑人从入区到出区的全过程轨迹进行视频拼接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9、支持在办案区地图界面，实时显示嫌疑人、民警及其它人员位置</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D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A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ABE5A78">
            <w:pPr>
              <w:jc w:val="center"/>
              <w:rPr>
                <w:rFonts w:hint="eastAsia" w:ascii="等线" w:hAnsi="等线" w:eastAsia="等线" w:cs="等线"/>
                <w:i w:val="0"/>
                <w:iCs w:val="0"/>
                <w:color w:val="000000"/>
                <w:sz w:val="18"/>
                <w:szCs w:val="18"/>
                <w:u w:val="none"/>
              </w:rPr>
            </w:pPr>
          </w:p>
        </w:tc>
      </w:tr>
      <w:tr w14:paraId="554BC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3D7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5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人员轨迹定位管理软件</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6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1、支持实时高精度位置定位，定位精度≤0.2M，复杂环境下≤0.8M；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2、支持2D、1D，0D 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3、支持极高速精确定位，发射一包定位数据≤0.5ms；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4、支持高性能时钟同步，在TOF应用中仅需连接以太网即可实现ps级的高精度基站同步网络，无需专用同步器；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5、支持高性能网络设计，仅需连接以太网同步线缆即可实现高吞吐量TOF定位网络，无需专用集线器；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6、支持频率配置，较大的刷新率调节范围，根据实际应用场景，可实现高频响应和低功耗超长待机；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7、支持定位信息配置，包括地图导入，基站导入，基站编组，区域约束；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8、支持多种报警类型，至少需包含SOS报警、剪断报警、低电量报警；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9、支持标签位置实时监控与实时轨迹追踪；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9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2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9A81FFA">
            <w:pPr>
              <w:jc w:val="center"/>
              <w:rPr>
                <w:rFonts w:hint="eastAsia" w:ascii="等线" w:hAnsi="等线" w:eastAsia="等线" w:cs="等线"/>
                <w:i w:val="0"/>
                <w:iCs w:val="0"/>
                <w:color w:val="000000"/>
                <w:sz w:val="18"/>
                <w:szCs w:val="18"/>
                <w:u w:val="none"/>
              </w:rPr>
            </w:pPr>
          </w:p>
        </w:tc>
      </w:tr>
      <w:tr w14:paraId="57D5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A92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B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光盘印刷刻录机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A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1、支持CD/DVD/BD多种规格光盘刻录与读取，集网络自动刻录、自动打印一体；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2、支持不小于5寸触控屏，可视化操作界面，支持国产化客户端操作；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3、支持智能机械臂，可实现在打印期间自动从盘仓取盘、送盘操作，无需值守；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4、生产速度（刻录＋打印）：CD不小于30张/小时、DVD不小于15张/小时、BD不小于8张/小时；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5、支持2个刻录机；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6、支持定制盘面：内容标题、背景图、文字、日期、二维码、自定义图片等；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7、支持光盘格式：CD-R、 CD-RW 、DVD±R、DVD+R DL、BD-R、BD-R DL、BD-R TL、BD-R QL；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8、支持定时刻录，可设置任务时间，进行单次、每天、每周、每月和每年刻录任务；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9、支持多任务刻录，实现多任务批量队列刻录打印；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10、支持光盘回读，并支持保存为文件或ISO格式</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8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A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C22B17E">
            <w:pPr>
              <w:jc w:val="center"/>
              <w:rPr>
                <w:rFonts w:hint="eastAsia" w:ascii="等线" w:hAnsi="等线" w:eastAsia="等线" w:cs="等线"/>
                <w:i w:val="0"/>
                <w:iCs w:val="0"/>
                <w:color w:val="000000"/>
                <w:sz w:val="18"/>
                <w:szCs w:val="18"/>
                <w:u w:val="none"/>
              </w:rPr>
            </w:pPr>
          </w:p>
        </w:tc>
      </w:tr>
      <w:tr w14:paraId="011A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C11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2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8E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1、设备拥有≥8英寸触摸显示屏，有不少于1个TF卡槽，最大支持512G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采用不低于1/2.8 2MP CMOS高清宽动态双摄像头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应采用双目相机，一路可见光摄像头和一路红外摄像头，设备WEB端应具有宽动态启闭选项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应支持人脸、人体移动预测，唤醒设备；应支持人脸、人体及物体移动侦测，唤醒白光补光灯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设备支持不少于1路电源接口、1路 RS-485 接口、1路10/100Mbps以太网口、1路韦根输入接口、1路韦根输出接口、1个USB接口、2路报警输入接口、1路报警输出接口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刷卡时，设备应有蜂鸣器提示音；应支持比对结果语音提示和语音音量调节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应支持比对结果图文提示功能；应支持本地视频预览、人脸动态捕捉；应支持查看人员信息、设备模式（如首脸/首卡开门、永久开门、永久关门等）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设备应具有补光功能，应支持不少于10000个用户，用户应能设置为管理员权限；设备应支持存储不少于10000个密码、10000张人脸库、10000张卡片、100000条本地进出记录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设备应具有显示功能，应支持红外及白光灯补光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设备应支持人脸识别、IC卡识读密码识读的认证方式；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设备应具有人脸比对功能，应支持人脸识别功能，现场抓拍人脸照片与本地人脸库照片进行比对，进行人员核验；支持人脸识别多阈值设置；支持陌生人抓拍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设备人脸识别准确率≥99.5%；防护等级不低于IP65，室外防水，可用于室内室外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可在-20℃-60℃内正常工作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设备应具有黑名单功能，应支持中心下发黑名单信息；应支持本地不少于10000个人脸黑名单比较；应支持本地黑名单信息比对；应支持本地黑名单事件，黑名单事件信息可上传平台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设备应具有节能功能，应支持在没有用户使用时自动切换到熄屏待机状态，应支持物体靠近自动唤醒待机设备，应支持在正常光照环境下不开启白光补光灯实现人脸识别</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F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A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22BD22D">
            <w:pPr>
              <w:jc w:val="center"/>
              <w:rPr>
                <w:rFonts w:hint="eastAsia" w:ascii="等线" w:hAnsi="等线" w:eastAsia="等线" w:cs="等线"/>
                <w:i w:val="0"/>
                <w:iCs w:val="0"/>
                <w:color w:val="000000"/>
                <w:sz w:val="18"/>
                <w:szCs w:val="18"/>
                <w:u w:val="none"/>
              </w:rPr>
            </w:pPr>
          </w:p>
        </w:tc>
      </w:tr>
      <w:tr w14:paraId="07FB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988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2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3F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6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3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6903950">
            <w:pPr>
              <w:jc w:val="center"/>
              <w:rPr>
                <w:rFonts w:hint="eastAsia" w:ascii="等线" w:hAnsi="等线" w:eastAsia="等线" w:cs="等线"/>
                <w:i w:val="0"/>
                <w:iCs w:val="0"/>
                <w:color w:val="000000"/>
                <w:sz w:val="18"/>
                <w:szCs w:val="18"/>
                <w:u w:val="none"/>
              </w:rPr>
            </w:pPr>
          </w:p>
        </w:tc>
      </w:tr>
      <w:tr w14:paraId="7C75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D62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8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电磁锁</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E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1、280kg单门两线拉丝磁力锁；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2、通电上锁，无残磁、无机械磨损；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3、适用于90度开的任何有框门，如木门丶防火门丶玻璃门；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4、对于无框门，需要选配支架。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5、最大功率3W</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D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C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F4F3EC4">
            <w:pPr>
              <w:jc w:val="center"/>
              <w:rPr>
                <w:rFonts w:hint="eastAsia" w:ascii="等线" w:hAnsi="等线" w:eastAsia="等线" w:cs="等线"/>
                <w:i w:val="0"/>
                <w:iCs w:val="0"/>
                <w:color w:val="000000"/>
                <w:sz w:val="18"/>
                <w:szCs w:val="18"/>
                <w:u w:val="none"/>
              </w:rPr>
            </w:pPr>
          </w:p>
        </w:tc>
      </w:tr>
      <w:tr w14:paraId="4A04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DE0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A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电锁电源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0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9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3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762193E">
            <w:pPr>
              <w:jc w:val="center"/>
              <w:rPr>
                <w:rFonts w:hint="eastAsia" w:ascii="等线" w:hAnsi="等线" w:eastAsia="等线" w:cs="等线"/>
                <w:i w:val="0"/>
                <w:iCs w:val="0"/>
                <w:color w:val="000000"/>
                <w:sz w:val="18"/>
                <w:szCs w:val="18"/>
                <w:u w:val="none"/>
              </w:rPr>
            </w:pPr>
          </w:p>
        </w:tc>
      </w:tr>
      <w:tr w14:paraId="628C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696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E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L型支架</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3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1、配合电磁锁使用。</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D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B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E23C325">
            <w:pPr>
              <w:jc w:val="center"/>
              <w:rPr>
                <w:rFonts w:hint="eastAsia" w:ascii="等线" w:hAnsi="等线" w:eastAsia="等线" w:cs="等线"/>
                <w:i w:val="0"/>
                <w:iCs w:val="0"/>
                <w:color w:val="000000"/>
                <w:sz w:val="18"/>
                <w:szCs w:val="18"/>
                <w:u w:val="none"/>
              </w:rPr>
            </w:pPr>
          </w:p>
        </w:tc>
      </w:tr>
      <w:tr w14:paraId="7057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6BD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C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出门开关</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A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1、适用空心门框及埋入式电器盒使用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2、PC防火材料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3、50万次机械使用寿命</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8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8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7F38F94">
            <w:pPr>
              <w:jc w:val="center"/>
              <w:rPr>
                <w:rFonts w:hint="eastAsia" w:ascii="等线" w:hAnsi="等线" w:eastAsia="等线" w:cs="等线"/>
                <w:i w:val="0"/>
                <w:iCs w:val="0"/>
                <w:color w:val="000000"/>
                <w:sz w:val="18"/>
                <w:szCs w:val="18"/>
                <w:u w:val="none"/>
              </w:rPr>
            </w:pPr>
          </w:p>
        </w:tc>
      </w:tr>
      <w:tr w14:paraId="2B08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9EA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8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高拍仪</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E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1、小巧便携，产品可折叠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2、最大拍摄A4幅面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3、高清晰定焦镜头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4、标配LED三级调光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5、标配纸张定位软垫</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3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9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4BBEA10">
            <w:pPr>
              <w:jc w:val="center"/>
              <w:rPr>
                <w:rFonts w:hint="eastAsia" w:ascii="等线" w:hAnsi="等线" w:eastAsia="等线" w:cs="等线"/>
                <w:i w:val="0"/>
                <w:iCs w:val="0"/>
                <w:color w:val="000000"/>
                <w:sz w:val="18"/>
                <w:szCs w:val="18"/>
                <w:u w:val="none"/>
              </w:rPr>
            </w:pPr>
          </w:p>
        </w:tc>
      </w:tr>
      <w:tr w14:paraId="12C4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F37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6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12门人脸随身物品柜（主柜）</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BF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1、由柜体、读卡器、电控锁和主控电器四大部分组合而成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2、板材采用优质镀锌板，厚度不小于0.8mm，冷加工成型，经酸洗磷化后静电喷塑，确保长期使用不易生锈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3、门锁采用电控锁，用于控制箱门的自动打开，锁具安装在柜内，具有防盗防撬功能，同时具有机械应急开锁功能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4、信息屏显示中文信息：显示时钟、柜体状态、操作步骤、管理菜单提示等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5、设置有三级管理密码，通过管理密码能对柜子进行开箱、清箱、锁定/解锁、校时及查询等操作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6、管理查询功能：可以实现存取记录查询、当前箱子使用时间查询、累计使用次数查询等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7、支持通过平台远程控制开箱、支持智能卡（IC卡）刷卡开箱功能，设置有管理密码，通过管理密码能对柜子进行开箱、清箱、查询等管理操作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8、主柜包含不少于12个箱门；柜子整体尺寸不小于(mm)：W700*D400*H1900 ；箱门分为大、中、小三种，适合不同大小物品存放</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8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6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8274C56">
            <w:pPr>
              <w:jc w:val="center"/>
              <w:rPr>
                <w:rFonts w:hint="eastAsia" w:ascii="等线" w:hAnsi="等线" w:eastAsia="等线" w:cs="等线"/>
                <w:i w:val="0"/>
                <w:iCs w:val="0"/>
                <w:color w:val="000000"/>
                <w:sz w:val="18"/>
                <w:szCs w:val="18"/>
                <w:u w:val="none"/>
              </w:rPr>
            </w:pPr>
          </w:p>
        </w:tc>
      </w:tr>
      <w:tr w14:paraId="26993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28" w:type="dxa"/>
            <w:gridSpan w:val="5"/>
            <w:tcBorders>
              <w:top w:val="single" w:color="000000" w:sz="4" w:space="0"/>
              <w:left w:val="single" w:color="000000" w:sz="4" w:space="0"/>
              <w:bottom w:val="single" w:color="000000" w:sz="4" w:space="0"/>
              <w:right w:val="nil"/>
            </w:tcBorders>
            <w:shd w:val="clear" w:color="auto" w:fill="auto"/>
            <w:vAlign w:val="center"/>
          </w:tcPr>
          <w:p w14:paraId="31447F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（二）人身安全检查</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C3BD96F">
            <w:pPr>
              <w:jc w:val="center"/>
              <w:rPr>
                <w:rFonts w:hint="eastAsia" w:ascii="等线" w:hAnsi="等线" w:eastAsia="等线" w:cs="等线"/>
                <w:i w:val="0"/>
                <w:iCs w:val="0"/>
                <w:color w:val="000000"/>
                <w:sz w:val="18"/>
                <w:szCs w:val="18"/>
                <w:u w:val="none"/>
              </w:rPr>
            </w:pPr>
          </w:p>
        </w:tc>
      </w:tr>
      <w:tr w14:paraId="1CD0D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3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B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拾音器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D5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1、采用高保真预极化电容传声器，可对前期音频无差别拾取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2、可实时对拾取到的音频信号进行噪音滤除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3、内置雷击保护、电源极性反接保护和静电保护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4、内置可调电位器，音量调节最小可关闭（无声音输出）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5、监听半径1-7m（内置电位器可调）</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5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C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B4BF52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p>
        </w:tc>
      </w:tr>
      <w:tr w14:paraId="442E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E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D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4K全景人体结构化摄像机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ED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1、不低于800万像素CMOS传感器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2、2.7~13.5mm电动变焦，支持一键聚焦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3、支持三码流同时输出，主码流最高分辨率可达8MP@20fps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4、支持人脸抓拍，单画面同时检测人脸数不低于32张，单画面同时抓拍人脸数不低于16张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5、人脸识别距离不少于10米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6、支持通过IE浏览器显示人员年龄、性别、民族、表情、戴眼镜、带口罩、是否有胡子、衣服颜色、上衣类型、是否背包、戴帽子等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7、人脸抓拍率不低于97%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8、红外补光距离不低于50米，支持补光变倍匹配功能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9、支持以某一物理位置为坐标原点，分别标定镜头的离地高度、俯仰角、倾斜角、实际坐标等信息并建立坐标系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10、支持同时检测不低于20个行人，并显示行进轨迹，实时输出坐标信息和时间戳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11、支持对经过设定区域内的行人进行人体检测并抓拍，可抓拍人体正面、背面、侧面人体图片并上传至平台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12、支持人脸大小过滤功能和人脸抓拍质量过滤功能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13、接口不少于：音频输入/输出各一个、内置MIC、报警输入2个，报警输出1个，支持SD卡槽（最大支持512G）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14、支持宽动态、背光补偿、强光抑制、3D降噪和图像翻转功能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15、防护等级不低于：外壳防尘防水IP67，防暴等级IK10，4级防雷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16、支持POE、DC12V供电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6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0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3E7D61E">
            <w:pPr>
              <w:jc w:val="center"/>
              <w:rPr>
                <w:rFonts w:hint="eastAsia" w:ascii="等线" w:hAnsi="等线" w:eastAsia="等线" w:cs="等线"/>
                <w:i w:val="0"/>
                <w:iCs w:val="0"/>
                <w:color w:val="000000"/>
                <w:sz w:val="18"/>
                <w:szCs w:val="18"/>
                <w:u w:val="none"/>
              </w:rPr>
            </w:pPr>
          </w:p>
        </w:tc>
      </w:tr>
      <w:tr w14:paraId="24E4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8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3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伤痕抓拍摄像机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F4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1、不低于500万像素CMOS传感器，变焦范围4.3-142mm。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2、球机支持不少于1对音频输入/输出接口、1个TF卡槽、1个复位按钮、内置MIC，支持3路报警输入，2路报警输出。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3、至少支持H.265、H.264（Main Profile，High Profile，Baseline Profile）、M-JPEG视频编码方式。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4、变焦不低于33倍。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5、宽动态范围不低于120dB。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6、亮度鉴别等级不小于11级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7、球机（F=1.6）彩色模式所需最低照度不高于0.002 lx，能基本分辨被摄目标的轮廓特征；黑白模式最低照度不高于0.001 lx，能基本分辨被摄目标的轮廓特征。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8、支持水平360°旋转；垂直旋转范围可达到-30°~90°。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9、水平手控最大速度不小于300°/s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10、支持三码流同时输出，主码流最大支持不低于3072×1728@30fps。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11、可通过客户端或者IE对亮度、对比度、饱和度等进行调整。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12、支持通过连接温湿度屏、 温湿度传感器，将温湿度信息在视频上进行叠加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13、具有白平衡、开启/关闭背光补偿、开启/关闭强光抑制、画面镜像及旋转功能。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14、可将视频图像及抓拍图片存储至TF卡或客户端；设备能够最大支持512GB内存卡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15、操作系统支持文件双重备份，当操作系统文件损坏或异常时，重启后仍可正常运行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16、同一静止场景相同图像质量下，在H.265编码方式时，开启智能编码功能和不开启智能编码相比， 码率节约不少于90% ；</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1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7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1C50F75">
            <w:pPr>
              <w:jc w:val="center"/>
              <w:rPr>
                <w:rFonts w:hint="eastAsia" w:ascii="等线" w:hAnsi="等线" w:eastAsia="等线" w:cs="等线"/>
                <w:i w:val="0"/>
                <w:iCs w:val="0"/>
                <w:color w:val="000000"/>
                <w:sz w:val="18"/>
                <w:szCs w:val="18"/>
                <w:u w:val="none"/>
              </w:rPr>
            </w:pPr>
          </w:p>
        </w:tc>
      </w:tr>
      <w:tr w14:paraId="4297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2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6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8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7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8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CF33ABC">
            <w:pPr>
              <w:jc w:val="center"/>
              <w:rPr>
                <w:rFonts w:hint="eastAsia" w:ascii="等线" w:hAnsi="等线" w:eastAsia="等线" w:cs="等线"/>
                <w:i w:val="0"/>
                <w:iCs w:val="0"/>
                <w:color w:val="000000"/>
                <w:sz w:val="18"/>
                <w:szCs w:val="18"/>
                <w:u w:val="none"/>
              </w:rPr>
            </w:pPr>
          </w:p>
        </w:tc>
      </w:tr>
      <w:tr w14:paraId="3449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6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F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E3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1、支持报警信号传至警务值班室提示。</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1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8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A31465F">
            <w:pPr>
              <w:jc w:val="center"/>
              <w:rPr>
                <w:rFonts w:hint="eastAsia" w:ascii="等线" w:hAnsi="等线" w:eastAsia="等线" w:cs="等线"/>
                <w:i w:val="0"/>
                <w:iCs w:val="0"/>
                <w:color w:val="000000"/>
                <w:sz w:val="18"/>
                <w:szCs w:val="18"/>
                <w:u w:val="none"/>
              </w:rPr>
            </w:pPr>
          </w:p>
        </w:tc>
      </w:tr>
      <w:tr w14:paraId="59B6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4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F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43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1、额定工作电压(V/DC) 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2、工作电压范围(V) 9-15V；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3、工作电流范围(mA) ≤300；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4、工作温度(℃) ﹣20~﹢60℃；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5、声压(dB) ≥105dB/m；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6、连续工作时间 ≥45min DC12V；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7、闪灯次数(分钟) 200±30。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7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F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5221CB9">
            <w:pPr>
              <w:jc w:val="center"/>
              <w:rPr>
                <w:rFonts w:hint="eastAsia" w:ascii="等线" w:hAnsi="等线" w:eastAsia="等线" w:cs="等线"/>
                <w:i w:val="0"/>
                <w:iCs w:val="0"/>
                <w:color w:val="000000"/>
                <w:sz w:val="18"/>
                <w:szCs w:val="18"/>
                <w:u w:val="none"/>
              </w:rPr>
            </w:pPr>
          </w:p>
        </w:tc>
      </w:tr>
      <w:tr w14:paraId="3DD2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2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9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安检门</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3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1、不少于33个独立探测区位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2、整体灵敏度：0-255级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3、频段：1-99个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4、通过速率：0.4M/S-1.2M/S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5、工作电压：AC110V/240V, 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6、功耗：&lt;30W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7、工作环境温度：-20℃-+45℃</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2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0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D343254">
            <w:pPr>
              <w:jc w:val="center"/>
              <w:rPr>
                <w:rFonts w:hint="eastAsia" w:ascii="等线" w:hAnsi="等线" w:eastAsia="等线" w:cs="等线"/>
                <w:i w:val="0"/>
                <w:iCs w:val="0"/>
                <w:color w:val="000000"/>
                <w:sz w:val="18"/>
                <w:szCs w:val="18"/>
                <w:u w:val="none"/>
              </w:rPr>
            </w:pPr>
          </w:p>
        </w:tc>
      </w:tr>
      <w:tr w14:paraId="3FDF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6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0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手持金属探测器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9F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1、探测器灵敏度主要取决于被检测物体的大小，形状和成分；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2、操作无方向性，使用简单、方便、无需调整；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3、用电省，可连续工作40小时以上；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4、电池用完时，有自动连续的告警声；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D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6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5E5C4F1">
            <w:pPr>
              <w:jc w:val="center"/>
              <w:rPr>
                <w:rFonts w:hint="eastAsia" w:ascii="等线" w:hAnsi="等线" w:eastAsia="等线" w:cs="等线"/>
                <w:i w:val="0"/>
                <w:iCs w:val="0"/>
                <w:color w:val="000000"/>
                <w:sz w:val="18"/>
                <w:szCs w:val="18"/>
                <w:u w:val="none"/>
              </w:rPr>
            </w:pPr>
          </w:p>
        </w:tc>
      </w:tr>
      <w:tr w14:paraId="66BC1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E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1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C9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1、设备拥有≥8英寸触摸显示屏，有不少于1个TF卡槽，最大支持512G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采用不低于1/2.8 2MP CMOS高清宽动态双摄像头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应采用双目相机，一路可见光摄像头和一路红外摄像头，设备WEB端应具有宽动态启闭选项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应支持人脸、人体移动预测，唤醒设备；应支持人脸、人体及物体移动侦测，唤醒白光补光灯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设备支持不少于1路电源接口、1路 RS-485 接口、1路10/100Mbps以太网口、1路韦根输入接口、1路韦根输出接口、1个USB接口、2路报警输入接口、1路报警输出接口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刷卡时，设备应有蜂鸣器提示音；应支持比对结果语音提示和语音音量调节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应支持比对结果图文提示功能；应支持本地视频预览、人脸动态捕捉；应支持查看人员信息、设备模式（如首脸/首卡开门、永久开门、永久关门等）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设备应具有补光功能，应支持不少于10000个用户，用户应能设置为管理员权限；设备应支持存储不少于10000个密码、10000张人脸库、10000张卡片、100000条本地进出记录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设备应具有显示功能，应支持红外及白光灯补光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设备应支持人脸识别、IC卡识读密码识读的认证方式；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设备应具有人脸比对功能，应支持人脸识别功能，现场抓拍人脸照片与本地人脸库照片进行比对，进行人员核验；支持人脸识别多阈值设置；支持陌生人抓拍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设备人脸识别准确率≥99.5%；防护等级不低于IP65，室外防水，可用于室内室外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可在-20℃-60℃内正常工作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设备应具有黑名单功能，应支持中心下发黑名单信息；应支持本地不少于10000个人脸黑名单比较；应支持本地黑名单信息比对；应支持本地黑名单事件，黑名单事件信息可上传平台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设备应具有节能功能，应支持在没有用户使用时自动切换到熄屏待机状态，应支持物体靠近自动唤醒待机设备，应支持在正常光照环境下不开启白光补光灯实现人脸识别</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4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7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6669DC8">
            <w:pPr>
              <w:jc w:val="center"/>
              <w:rPr>
                <w:rFonts w:hint="eastAsia" w:ascii="等线" w:hAnsi="等线" w:eastAsia="等线" w:cs="等线"/>
                <w:i w:val="0"/>
                <w:iCs w:val="0"/>
                <w:color w:val="000000"/>
                <w:sz w:val="18"/>
                <w:szCs w:val="18"/>
                <w:u w:val="none"/>
              </w:rPr>
            </w:pPr>
          </w:p>
        </w:tc>
      </w:tr>
      <w:tr w14:paraId="54EF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7C2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0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8F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3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8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F3169F5">
            <w:pPr>
              <w:jc w:val="center"/>
              <w:rPr>
                <w:rFonts w:hint="eastAsia" w:ascii="等线" w:hAnsi="等线" w:eastAsia="等线" w:cs="等线"/>
                <w:i w:val="0"/>
                <w:iCs w:val="0"/>
                <w:color w:val="000000"/>
                <w:sz w:val="18"/>
                <w:szCs w:val="18"/>
                <w:u w:val="none"/>
              </w:rPr>
            </w:pPr>
          </w:p>
        </w:tc>
      </w:tr>
      <w:tr w14:paraId="381F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E9F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B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电磁锁</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6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1、280kg单门两线拉丝磁力锁；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2、通电上锁，无残磁、无机械磨损；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3、适用于90度开的任何有框门，如木门丶防火门丶玻璃门；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4、对于无框门，需要选配支架。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5、最大功率3W</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4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1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8D54B40">
            <w:pPr>
              <w:jc w:val="center"/>
              <w:rPr>
                <w:rFonts w:hint="eastAsia" w:ascii="等线" w:hAnsi="等线" w:eastAsia="等线" w:cs="等线"/>
                <w:i w:val="0"/>
                <w:iCs w:val="0"/>
                <w:color w:val="000000"/>
                <w:sz w:val="18"/>
                <w:szCs w:val="18"/>
                <w:u w:val="none"/>
              </w:rPr>
            </w:pPr>
          </w:p>
        </w:tc>
      </w:tr>
      <w:tr w14:paraId="558B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AC5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2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电锁电源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8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0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7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AEB4390">
            <w:pPr>
              <w:jc w:val="center"/>
              <w:rPr>
                <w:rFonts w:hint="eastAsia" w:ascii="等线" w:hAnsi="等线" w:eastAsia="等线" w:cs="等线"/>
                <w:i w:val="0"/>
                <w:iCs w:val="0"/>
                <w:color w:val="000000"/>
                <w:sz w:val="18"/>
                <w:szCs w:val="18"/>
                <w:u w:val="none"/>
              </w:rPr>
            </w:pPr>
          </w:p>
        </w:tc>
      </w:tr>
      <w:tr w14:paraId="4B36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50E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9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L型支架</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E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1、配合电磁锁使用。</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B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6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29BB633">
            <w:pPr>
              <w:jc w:val="center"/>
              <w:rPr>
                <w:rFonts w:hint="eastAsia" w:ascii="等线" w:hAnsi="等线" w:eastAsia="等线" w:cs="等线"/>
                <w:i w:val="0"/>
                <w:iCs w:val="0"/>
                <w:color w:val="000000"/>
                <w:sz w:val="18"/>
                <w:szCs w:val="18"/>
                <w:u w:val="none"/>
              </w:rPr>
            </w:pPr>
          </w:p>
        </w:tc>
      </w:tr>
      <w:tr w14:paraId="51D0B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651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9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出门开关</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1C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1、适用空心门框及埋入式电器盒使用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2、PC防火材料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3、50万次机械使用寿命</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0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C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71986B0">
            <w:pPr>
              <w:jc w:val="center"/>
              <w:rPr>
                <w:rFonts w:hint="eastAsia" w:ascii="等线" w:hAnsi="等线" w:eastAsia="等线" w:cs="等线"/>
                <w:i w:val="0"/>
                <w:iCs w:val="0"/>
                <w:color w:val="000000"/>
                <w:sz w:val="18"/>
                <w:szCs w:val="18"/>
                <w:u w:val="none"/>
              </w:rPr>
            </w:pPr>
          </w:p>
        </w:tc>
      </w:tr>
      <w:tr w14:paraId="3565F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6D5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7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LED门牌设备</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4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1、支持双行双色显示，第一行显示房间号，第二行显示房间状态；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2、第二行可以通过平台联动显示办案中、空闲中、预约中等；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3、每行最多可同时显示5个汉字，超过5字支持滚动显示；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4、采用网络控制协议，RJ45接口。</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0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7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55C346E">
            <w:pPr>
              <w:jc w:val="center"/>
              <w:rPr>
                <w:rFonts w:hint="eastAsia" w:ascii="等线" w:hAnsi="等线" w:eastAsia="等线" w:cs="等线"/>
                <w:i w:val="0"/>
                <w:iCs w:val="0"/>
                <w:color w:val="000000"/>
                <w:sz w:val="18"/>
                <w:szCs w:val="18"/>
                <w:u w:val="none"/>
              </w:rPr>
            </w:pPr>
          </w:p>
        </w:tc>
      </w:tr>
      <w:tr w14:paraId="28D1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28" w:type="dxa"/>
            <w:gridSpan w:val="5"/>
            <w:tcBorders>
              <w:top w:val="single" w:color="000000" w:sz="4" w:space="0"/>
              <w:left w:val="single" w:color="000000" w:sz="4" w:space="0"/>
              <w:bottom w:val="single" w:color="000000" w:sz="4" w:space="0"/>
              <w:right w:val="nil"/>
            </w:tcBorders>
            <w:shd w:val="clear" w:color="auto" w:fill="auto"/>
            <w:vAlign w:val="center"/>
          </w:tcPr>
          <w:p w14:paraId="65D081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（三）毒、尿检室</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7B13FBB">
            <w:pPr>
              <w:jc w:val="center"/>
              <w:rPr>
                <w:rFonts w:hint="eastAsia" w:ascii="等线" w:hAnsi="等线" w:eastAsia="等线" w:cs="等线"/>
                <w:i w:val="0"/>
                <w:iCs w:val="0"/>
                <w:color w:val="000000"/>
                <w:sz w:val="18"/>
                <w:szCs w:val="18"/>
                <w:u w:val="none"/>
              </w:rPr>
            </w:pPr>
          </w:p>
        </w:tc>
      </w:tr>
      <w:tr w14:paraId="1542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4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E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拾音器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6A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1、采用高保真预极化电容传声器，可对前期音频无差别拾取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2、可实时对拾取到的音频信号进行噪音滤除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3、内置雷击保护、电源极性反接保护和静电保护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4、内置可调电位器，音量调节最小可关闭（无声音输出）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5、监听半径1-7m（内置电位器可调）</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4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5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E2DC34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p>
        </w:tc>
      </w:tr>
      <w:tr w14:paraId="7260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B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1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4K全景人体结构化摄像机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5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1、不低于800万像素CMOS传感器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2、2.7~13.5mm电动变焦，支持一键聚焦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3、支持三码流同时输出，主码流最高分辨率可达8MP@20fps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4、支持人脸抓拍，单画面同时检测人脸数不低于32张，单画面同时抓拍人脸数不低于16张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5、人脸识别距离不少于10米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6、支持通过IE浏览器显示人员年龄、性别、民族、表情、戴眼镜、带口罩、是否有胡子、衣服颜色、上衣类型、是否背包、戴帽子等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7、人脸抓拍率不低于97%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8、红外补光距离不低于50米，支持补光变倍匹配功能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9、支持以某一物理位置为坐标原点，分别标定镜头的离地高度、俯仰角、倾斜角、实际坐标等信息并建立坐标系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10、支持同时检测不低于20个行人，并显示行进轨迹，实时输出坐标信息和时间戳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11、支持对经过设定区域内的行人进行人体检测并抓拍，可抓拍人体正面、背面、侧面人体图片并上传至平台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12、支持人脸大小过滤功能和人脸抓拍质量过滤功能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13、接口不少于：音频输入/输出各一个、内置MIC、报警输入2个，报警输出1个，支持SD卡槽（最大支持512G）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14、支持宽动态、背光补偿、强光抑制、3D降噪和图像翻转功能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15、防护等级不低于：外壳防尘防水IP67，防暴等级IK10，4级防雷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16、支持POE、DC12V供电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9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5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B23A64F">
            <w:pPr>
              <w:jc w:val="center"/>
              <w:rPr>
                <w:rFonts w:hint="eastAsia" w:ascii="等线" w:hAnsi="等线" w:eastAsia="等线" w:cs="等线"/>
                <w:i w:val="0"/>
                <w:iCs w:val="0"/>
                <w:color w:val="000000"/>
                <w:sz w:val="18"/>
                <w:szCs w:val="18"/>
                <w:u w:val="none"/>
              </w:rPr>
            </w:pPr>
          </w:p>
        </w:tc>
      </w:tr>
      <w:tr w14:paraId="66E0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8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D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E8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2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A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62E5532">
            <w:pPr>
              <w:jc w:val="center"/>
              <w:rPr>
                <w:rFonts w:hint="eastAsia" w:ascii="等线" w:hAnsi="等线" w:eastAsia="等线" w:cs="等线"/>
                <w:i w:val="0"/>
                <w:iCs w:val="0"/>
                <w:color w:val="000000"/>
                <w:sz w:val="18"/>
                <w:szCs w:val="18"/>
                <w:u w:val="none"/>
              </w:rPr>
            </w:pPr>
          </w:p>
        </w:tc>
      </w:tr>
      <w:tr w14:paraId="1BE0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E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0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8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1、支持报警信号传至警务值班室提示。</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8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3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4796954">
            <w:pPr>
              <w:jc w:val="center"/>
              <w:rPr>
                <w:rFonts w:hint="eastAsia" w:ascii="等线" w:hAnsi="等线" w:eastAsia="等线" w:cs="等线"/>
                <w:i w:val="0"/>
                <w:iCs w:val="0"/>
                <w:color w:val="000000"/>
                <w:sz w:val="18"/>
                <w:szCs w:val="18"/>
                <w:u w:val="none"/>
              </w:rPr>
            </w:pPr>
          </w:p>
        </w:tc>
      </w:tr>
      <w:tr w14:paraId="4A081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4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7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C7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1、额定工作电压(V/DC) 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2、工作电压范围(V) 9-15V；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3、工作电流范围(mA) ≤300；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4、工作温度(℃) ﹣20~﹢60℃；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5、声压(dB) ≥105dB/m；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6、连续工作时间 ≥45min DC12V；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7、闪灯次数(分钟) 200±30。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A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2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311A9F8">
            <w:pPr>
              <w:jc w:val="center"/>
              <w:rPr>
                <w:rFonts w:hint="eastAsia" w:ascii="等线" w:hAnsi="等线" w:eastAsia="等线" w:cs="等线"/>
                <w:i w:val="0"/>
                <w:iCs w:val="0"/>
                <w:color w:val="000000"/>
                <w:sz w:val="18"/>
                <w:szCs w:val="18"/>
                <w:u w:val="none"/>
              </w:rPr>
            </w:pPr>
          </w:p>
        </w:tc>
      </w:tr>
      <w:tr w14:paraId="0A6E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B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B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7F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设备拥有≥8英寸触摸显示屏，应采用嵌入式Linux系统，有不少于1个TF卡槽，最大支持512G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采用不低于1/2.8 2MP CMOS高清宽动态双摄像头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应采用双目相机，一路可见光摄像头和一路红外摄像头，设备WEB端应具有宽动态启闭选项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应支持人脸、人体移动预测，唤醒设备；应支持人脸、人体及物体移动侦测，唤醒白光补光灯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设备支持不少于1路电源接口、1路 RS-485 接口、1路10/100Mbps以太网口、1路韦根输入接口、1路韦根输出接口、1个USB接口、2路报警输入接口、1路报警输出接口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刷卡时，设备应有蜂鸣器提示音；应支持比对结果语音提示和语音音量调节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应支持比对结果图文提示功能；应支持本地视频预览、人脸动态捕捉；应支持查看人员信息、设备模式（如首脸/首卡开门、永久开门、永久关门等）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设备应具有补光功能，应支持不少于10000个用户，用户应能设置为管理员权限；设备应支持存储不少于10000个密码、10000张人脸库、10000张卡片、100000条本地进出记录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设备应具有显示功能，应支持红外及白光灯补光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设备应支持人脸识别、IC卡识读密码识读的认证方式；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设备应具有人脸比对功能，应支持人脸识别功能，现场抓拍人脸照片与本地人脸库照片进行比对，进行人员核验；支持人脸识别多阈值设置；支持陌生人抓拍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设备人脸识别准确率≥99.5%；防护等级不低于IP65，室外防水，可用于室内室外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可在-20℃-60℃内正常工作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设备应具有黑名单功能，应支持中心下发黑名单信息；应支持本地不少于10000个人脸黑名单比较；应支持本地黑名单信息比对；应支持本地黑名单事件，黑名单事件信息可上传平台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设备应具有节能功能，应支持在没有用户使用时自动切换到熄屏待机状态，应支持物体靠近自动唤醒待机设备，应支持在正常光照环境下不开启白光补光灯实现人脸识别</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B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8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E84C4B2">
            <w:pPr>
              <w:jc w:val="center"/>
              <w:rPr>
                <w:rFonts w:hint="eastAsia" w:ascii="等线" w:hAnsi="等线" w:eastAsia="等线" w:cs="等线"/>
                <w:i w:val="0"/>
                <w:iCs w:val="0"/>
                <w:color w:val="000000"/>
                <w:sz w:val="18"/>
                <w:szCs w:val="18"/>
                <w:u w:val="none"/>
              </w:rPr>
            </w:pPr>
          </w:p>
        </w:tc>
      </w:tr>
      <w:tr w14:paraId="6123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4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4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66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2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6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2C55177">
            <w:pPr>
              <w:jc w:val="center"/>
              <w:rPr>
                <w:rFonts w:hint="eastAsia" w:ascii="等线" w:hAnsi="等线" w:eastAsia="等线" w:cs="等线"/>
                <w:i w:val="0"/>
                <w:iCs w:val="0"/>
                <w:color w:val="000000"/>
                <w:sz w:val="18"/>
                <w:szCs w:val="18"/>
                <w:u w:val="none"/>
              </w:rPr>
            </w:pPr>
          </w:p>
        </w:tc>
      </w:tr>
      <w:tr w14:paraId="512E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1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3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电磁锁</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0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1、280kg单门两线拉丝磁力锁；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2、通电上锁，无残磁、无机械磨损；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3、适用于90度开的任何有框门，如木门丶防火门丶玻璃门；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4、对于无框门，需要选配支架。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5、最大功率3W</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4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0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C299BAC">
            <w:pPr>
              <w:jc w:val="center"/>
              <w:rPr>
                <w:rFonts w:hint="eastAsia" w:ascii="等线" w:hAnsi="等线" w:eastAsia="等线" w:cs="等线"/>
                <w:i w:val="0"/>
                <w:iCs w:val="0"/>
                <w:color w:val="000000"/>
                <w:sz w:val="18"/>
                <w:szCs w:val="18"/>
                <w:u w:val="none"/>
              </w:rPr>
            </w:pPr>
          </w:p>
        </w:tc>
      </w:tr>
      <w:tr w14:paraId="2392F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F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D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电锁电源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D6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0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7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26FDE61">
            <w:pPr>
              <w:jc w:val="center"/>
              <w:rPr>
                <w:rFonts w:hint="eastAsia" w:ascii="等线" w:hAnsi="等线" w:eastAsia="等线" w:cs="等线"/>
                <w:i w:val="0"/>
                <w:iCs w:val="0"/>
                <w:color w:val="000000"/>
                <w:sz w:val="18"/>
                <w:szCs w:val="18"/>
                <w:u w:val="none"/>
              </w:rPr>
            </w:pPr>
          </w:p>
        </w:tc>
      </w:tr>
      <w:tr w14:paraId="5A82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0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B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L型支架</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17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1、配合电磁锁使用。</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4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2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1445BE9">
            <w:pPr>
              <w:jc w:val="center"/>
              <w:rPr>
                <w:rFonts w:hint="eastAsia" w:ascii="等线" w:hAnsi="等线" w:eastAsia="等线" w:cs="等线"/>
                <w:i w:val="0"/>
                <w:iCs w:val="0"/>
                <w:color w:val="000000"/>
                <w:sz w:val="18"/>
                <w:szCs w:val="18"/>
                <w:u w:val="none"/>
              </w:rPr>
            </w:pPr>
          </w:p>
        </w:tc>
      </w:tr>
      <w:tr w14:paraId="4686F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6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0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出门开关</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58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1、适用空心门框及埋入式电器盒使用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2、PC防火材料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3、50万次机械使用寿命</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7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0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3D8C322">
            <w:pPr>
              <w:jc w:val="center"/>
              <w:rPr>
                <w:rFonts w:hint="eastAsia" w:ascii="等线" w:hAnsi="等线" w:eastAsia="等线" w:cs="等线"/>
                <w:i w:val="0"/>
                <w:iCs w:val="0"/>
                <w:color w:val="000000"/>
                <w:sz w:val="18"/>
                <w:szCs w:val="18"/>
                <w:u w:val="none"/>
              </w:rPr>
            </w:pPr>
          </w:p>
        </w:tc>
      </w:tr>
      <w:tr w14:paraId="2F31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0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1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LED门牌设备</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A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1、支持双行双色显示，第一行显示房间号，第二行显示房间状态；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2、第二行可以通过平台联动显示办案中、空闲中、预约中等；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3、每行最多可同时显示5个汉字，超过5字支持滚动显示；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4、采用网络控制协议，RJ45接口。</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6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4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7C4E523">
            <w:pPr>
              <w:jc w:val="center"/>
              <w:rPr>
                <w:rFonts w:hint="eastAsia" w:ascii="等线" w:hAnsi="等线" w:eastAsia="等线" w:cs="等线"/>
                <w:i w:val="0"/>
                <w:iCs w:val="0"/>
                <w:color w:val="000000"/>
                <w:sz w:val="18"/>
                <w:szCs w:val="18"/>
                <w:u w:val="none"/>
              </w:rPr>
            </w:pPr>
          </w:p>
        </w:tc>
      </w:tr>
      <w:tr w14:paraId="635A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28" w:type="dxa"/>
            <w:gridSpan w:val="5"/>
            <w:tcBorders>
              <w:top w:val="single" w:color="000000" w:sz="4" w:space="0"/>
              <w:left w:val="single" w:color="000000" w:sz="4" w:space="0"/>
              <w:bottom w:val="single" w:color="000000" w:sz="4" w:space="0"/>
              <w:right w:val="nil"/>
            </w:tcBorders>
            <w:shd w:val="clear" w:color="auto" w:fill="auto"/>
            <w:vAlign w:val="center"/>
          </w:tcPr>
          <w:p w14:paraId="265810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（四）卫生间</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2FAA2A9">
            <w:pPr>
              <w:jc w:val="center"/>
              <w:rPr>
                <w:rFonts w:hint="eastAsia" w:ascii="等线" w:hAnsi="等线" w:eastAsia="等线" w:cs="等线"/>
                <w:i w:val="0"/>
                <w:iCs w:val="0"/>
                <w:color w:val="000000"/>
                <w:sz w:val="18"/>
                <w:szCs w:val="18"/>
                <w:u w:val="none"/>
              </w:rPr>
            </w:pPr>
          </w:p>
        </w:tc>
      </w:tr>
      <w:tr w14:paraId="7943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4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C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拾音器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D5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1、采用高保真预极化电容传声器，可对前期音频无差别拾取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2、可实时对拾取到的音频信号进行噪音滤除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3、内置雷击保护、电源极性反接保护和静电保护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4、内置可调电位器，音量调节最小可关闭（无声音输出）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5、监听半径1-7m（内置电位器可调）</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D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C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D74132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p>
        </w:tc>
      </w:tr>
      <w:tr w14:paraId="2447B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5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6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4K全景人体结构化摄像机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3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1、不低于800万像素CMOS传感器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2、2.7~13.5mm电动变焦，支持一键聚焦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3、支持三码流同时输出，主码流最高分辨率可达8MP@20fps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4、支持人脸抓拍，单画面同时检测人脸数不低于32张，单画面同时抓拍人脸数不低于16张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5、人脸识别距离不少于10米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6、支持通过IE浏览器显示人员年龄、性别、民族、表情、戴眼镜、带口罩、是否有胡子、衣服颜色、上衣类型、是否背包、戴帽子等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7、人脸抓拍率不低于97%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8、红外补光距离不低于50米，支持补光变倍匹配功能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9、支持以某一物理位置为坐标原点，分别标定镜头的离地高度、俯仰角、倾斜角、实际坐标等信息并建立坐标系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10、支持同时检测不低于20个行人，并显示行进轨迹，实时输出坐标信息和时间戳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11、支持对经过设定区域内的行人进行人体检测并抓拍，可抓拍人体正面、背面、侧面人体图片并上传至平台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12、支持人脸大小过滤功能和人脸抓拍质量过滤功能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13、接口不少于：音频输入/输出各一个、内置MIC、报警输入2个，报警输出1个，支持SD卡槽（最大支持512G）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14、支持宽动态、背光补偿、强光抑制、3D降噪和图像翻转功能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15、防护等级不低于：外壳防尘防水IP67，防暴等级IK10，4级防雷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16、支持POE、DC12V供电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5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8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31DAF6D">
            <w:pPr>
              <w:jc w:val="center"/>
              <w:rPr>
                <w:rFonts w:hint="eastAsia" w:ascii="等线" w:hAnsi="等线" w:eastAsia="等线" w:cs="等线"/>
                <w:i w:val="0"/>
                <w:iCs w:val="0"/>
                <w:color w:val="000000"/>
                <w:sz w:val="18"/>
                <w:szCs w:val="18"/>
                <w:u w:val="none"/>
              </w:rPr>
            </w:pPr>
          </w:p>
        </w:tc>
      </w:tr>
      <w:tr w14:paraId="4D39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B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7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97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B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E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32412B7">
            <w:pPr>
              <w:jc w:val="center"/>
              <w:rPr>
                <w:rFonts w:hint="eastAsia" w:ascii="等线" w:hAnsi="等线" w:eastAsia="等线" w:cs="等线"/>
                <w:i w:val="0"/>
                <w:iCs w:val="0"/>
                <w:color w:val="000000"/>
                <w:sz w:val="18"/>
                <w:szCs w:val="18"/>
                <w:u w:val="none"/>
              </w:rPr>
            </w:pPr>
          </w:p>
        </w:tc>
      </w:tr>
      <w:tr w14:paraId="4F90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C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1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5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1、支持报警信号传至警务值班室提示。</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2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5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C96AA32">
            <w:pPr>
              <w:jc w:val="center"/>
              <w:rPr>
                <w:rFonts w:hint="eastAsia" w:ascii="等线" w:hAnsi="等线" w:eastAsia="等线" w:cs="等线"/>
                <w:i w:val="0"/>
                <w:iCs w:val="0"/>
                <w:color w:val="000000"/>
                <w:sz w:val="18"/>
                <w:szCs w:val="18"/>
                <w:u w:val="none"/>
              </w:rPr>
            </w:pPr>
          </w:p>
        </w:tc>
      </w:tr>
      <w:tr w14:paraId="03E6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6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F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F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1、额定工作电压(V/DC) 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2、工作电压范围(V) 9-15V；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3、工作电流范围(mA) ≤300；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4、工作温度(℃) ﹣20~﹢60℃；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5、声压(dB) ≥105dB/m；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6、连续工作时间 ≥45min DC12V；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7、闪灯次数(分钟) 200±30。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6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9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532E96F">
            <w:pPr>
              <w:jc w:val="center"/>
              <w:rPr>
                <w:rFonts w:hint="eastAsia" w:ascii="等线" w:hAnsi="等线" w:eastAsia="等线" w:cs="等线"/>
                <w:i w:val="0"/>
                <w:iCs w:val="0"/>
                <w:color w:val="000000"/>
                <w:sz w:val="18"/>
                <w:szCs w:val="18"/>
                <w:u w:val="none"/>
              </w:rPr>
            </w:pPr>
          </w:p>
        </w:tc>
      </w:tr>
      <w:tr w14:paraId="6E4C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28" w:type="dxa"/>
            <w:gridSpan w:val="5"/>
            <w:tcBorders>
              <w:top w:val="single" w:color="000000" w:sz="4" w:space="0"/>
              <w:left w:val="single" w:color="000000" w:sz="4" w:space="0"/>
              <w:bottom w:val="single" w:color="000000" w:sz="4" w:space="0"/>
              <w:right w:val="nil"/>
            </w:tcBorders>
            <w:shd w:val="clear" w:color="auto" w:fill="auto"/>
            <w:vAlign w:val="center"/>
          </w:tcPr>
          <w:p w14:paraId="00E14C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（五）医疗救护室</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F51BE10">
            <w:pPr>
              <w:jc w:val="center"/>
              <w:rPr>
                <w:rFonts w:hint="eastAsia" w:ascii="等线" w:hAnsi="等线" w:eastAsia="等线" w:cs="等线"/>
                <w:i w:val="0"/>
                <w:iCs w:val="0"/>
                <w:color w:val="000000"/>
                <w:sz w:val="18"/>
                <w:szCs w:val="18"/>
                <w:u w:val="none"/>
              </w:rPr>
            </w:pPr>
          </w:p>
        </w:tc>
      </w:tr>
      <w:tr w14:paraId="6F37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4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C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拾音器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D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1、采用高保真预极化电容传声器，可对前期音频无差别拾取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2、可实时对拾取到的音频信号进行噪音滤除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3、内置雷击保护、电源极性反接保护和静电保护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4、内置可调电位器，音量调节最小可关闭（无声音输出）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5、监听半径1-7m（内置电位器可调）</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7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D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C5E7D8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p>
        </w:tc>
      </w:tr>
      <w:tr w14:paraId="74A6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4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8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4K全景人体结构化摄像机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43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1、不低于800万像素CMOS传感器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2、2.7~13.5mm电动变焦，支持一键聚焦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3、支持三码流同时输出，主码流最高分辨率可达8MP@20fps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4、支持人脸抓拍，单画面同时检测人脸数不低于32张，单画面同时抓拍人脸数不低于16张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5、人脸识别距离不少于10米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6、支持通过IE浏览器显示人员年龄、性别、民族、表情、戴眼镜、带口罩、是否有胡子、衣服颜色、上衣类型、是否背包、戴帽子等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7、人脸抓拍率不低于97%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8、红外补光距离不低于50米，支持补光变倍匹配功能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9、支持以某一物理位置为坐标原点，分别标定镜头的离地高度、俯仰角、倾斜角、实际坐标等信息并建立坐标系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10、支持同时检测不低于20个行人，并显示行进轨迹，实时输出坐标信息和时间戳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11、支持对经过设定区域内的行人进行人体检测并抓拍，可抓拍人体正面、背面、侧面人体图片并上传至平台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12、支持人脸大小过滤功能和人脸抓拍质量过滤功能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13、接口不少于：音频输入/输出各一个、内置MIC、报警输入2个，报警输出1个，支持SD卡槽（最大支持512G）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14、支持宽动态、背光补偿、强光抑制、3D降噪和图像翻转功能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15、防护等级不低于：外壳防尘防水IP67，防暴等级IK10，4级防雷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16、支持POE、DC12V供电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5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821B0BD">
            <w:pPr>
              <w:jc w:val="center"/>
              <w:rPr>
                <w:rFonts w:hint="eastAsia" w:ascii="等线" w:hAnsi="等线" w:eastAsia="等线" w:cs="等线"/>
                <w:i w:val="0"/>
                <w:iCs w:val="0"/>
                <w:color w:val="000000"/>
                <w:sz w:val="18"/>
                <w:szCs w:val="18"/>
                <w:u w:val="none"/>
              </w:rPr>
            </w:pPr>
          </w:p>
        </w:tc>
      </w:tr>
      <w:tr w14:paraId="7F3B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3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B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A1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E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2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1EB1617">
            <w:pPr>
              <w:jc w:val="center"/>
              <w:rPr>
                <w:rFonts w:hint="eastAsia" w:ascii="等线" w:hAnsi="等线" w:eastAsia="等线" w:cs="等线"/>
                <w:i w:val="0"/>
                <w:iCs w:val="0"/>
                <w:color w:val="000000"/>
                <w:sz w:val="18"/>
                <w:szCs w:val="18"/>
                <w:u w:val="none"/>
              </w:rPr>
            </w:pPr>
          </w:p>
        </w:tc>
      </w:tr>
      <w:tr w14:paraId="5569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0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7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2E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1、支持报警信号传至警务值班室提示。</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7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D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9D92EBD">
            <w:pPr>
              <w:jc w:val="center"/>
              <w:rPr>
                <w:rFonts w:hint="eastAsia" w:ascii="等线" w:hAnsi="等线" w:eastAsia="等线" w:cs="等线"/>
                <w:i w:val="0"/>
                <w:iCs w:val="0"/>
                <w:color w:val="000000"/>
                <w:sz w:val="18"/>
                <w:szCs w:val="18"/>
                <w:u w:val="none"/>
              </w:rPr>
            </w:pPr>
          </w:p>
        </w:tc>
      </w:tr>
      <w:tr w14:paraId="042E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6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A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6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1、额定工作电压(V/DC) 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2、工作电压范围(V) 9-15V；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3、工作电流范围(mA) ≤300；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4、工作温度(℃) ﹣20~﹢60℃；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5、声压(dB) ≥105dB/m；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6、连续工作时间 ≥45min DC12V；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7、闪灯次数(分钟) 200±30。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4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6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B8D5A1A">
            <w:pPr>
              <w:jc w:val="center"/>
              <w:rPr>
                <w:rFonts w:hint="eastAsia" w:ascii="等线" w:hAnsi="等线" w:eastAsia="等线" w:cs="等线"/>
                <w:i w:val="0"/>
                <w:iCs w:val="0"/>
                <w:color w:val="000000"/>
                <w:sz w:val="18"/>
                <w:szCs w:val="18"/>
                <w:u w:val="none"/>
              </w:rPr>
            </w:pPr>
          </w:p>
        </w:tc>
      </w:tr>
      <w:tr w14:paraId="17CE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C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B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CB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1、设备拥有≥8英寸触摸显示屏，有不少于1个TF卡槽，最大支持512G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采用不低于1/2.8 2MP CMOS高清宽动态双摄像头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应采用双目相机，一路可见光摄像头和一路红外摄像头，设备WEB端应具有宽动态启闭选项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应支持人脸、人体移动预测，唤醒设备；应支持人脸、人体及物体移动侦测，唤醒白光补光灯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设备支持不少于1路电源接口、1路 RS-485 接口、1路10/100Mbps以太网口、1路韦根输入接口、1路韦根输出接口、1个USB接口、2路报警输入接口、1路报警输出接口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刷卡时，设备应有蜂鸣器提示音；应支持比对结果语音提示和语音音量调节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应支持比对结果图文提示功能；应支持本地视频预览、人脸动态捕捉；应支持查看人员信息、设备模式（如首脸/首卡开门、永久开门、永久关门等）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设备应具有补光功能，应支持不少于10000个用户，用户应能设置为管理员权限；设备应支持存储不少于10000个密码、10000张人脸库、10000张卡片、100000条本地进出记录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设备应具有显示功能，应支持红外及白光灯补光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设备应支持人脸识别、IC卡识读密码识读的认证方式；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设备应具有人脸比对功能，应支持人脸识别功能，现场抓拍人脸照片与本地人脸库照片进行比对，进行人员核验；支持人脸识别多阈值设置；支持陌生人抓拍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设备人脸识别准确率≥99.5%；防护等级不低于IP65，室外防水，可用于室内室外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可在-20℃-60℃内正常工作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设备应具有黑名单功能，应支持中心下发黑名单信息；应支持本地不少于10000个人脸黑名单比较；应支持本地黑名单信息比对；应支持本地黑名单事件，黑名单事件信息可上传平台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设备应具有节能功能，应支持在没有用户使用时自动切换到熄屏待机状态，应支持物体靠近自动唤醒待机设备，应支持在正常光照环境下不开启白光补光灯实现人脸识别</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B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A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991ECCB">
            <w:pPr>
              <w:jc w:val="center"/>
              <w:rPr>
                <w:rFonts w:hint="eastAsia" w:ascii="等线" w:hAnsi="等线" w:eastAsia="等线" w:cs="等线"/>
                <w:i w:val="0"/>
                <w:iCs w:val="0"/>
                <w:color w:val="000000"/>
                <w:sz w:val="18"/>
                <w:szCs w:val="18"/>
                <w:u w:val="none"/>
              </w:rPr>
            </w:pPr>
          </w:p>
        </w:tc>
      </w:tr>
      <w:tr w14:paraId="51E7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8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6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2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6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E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5B248F6">
            <w:pPr>
              <w:jc w:val="center"/>
              <w:rPr>
                <w:rFonts w:hint="eastAsia" w:ascii="等线" w:hAnsi="等线" w:eastAsia="等线" w:cs="等线"/>
                <w:i w:val="0"/>
                <w:iCs w:val="0"/>
                <w:color w:val="000000"/>
                <w:sz w:val="18"/>
                <w:szCs w:val="18"/>
                <w:u w:val="none"/>
              </w:rPr>
            </w:pPr>
          </w:p>
        </w:tc>
      </w:tr>
      <w:tr w14:paraId="03AC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4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2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电磁锁</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BC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1、280kg单门两线拉丝磁力锁；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2、通电上锁，无残磁、无机械磨损；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3、适用于90度开的任何有框门，如木门丶防火门丶玻璃门；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4、对于无框门，需要选配支架。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5、最大功率3W</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B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A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5FB4DE0">
            <w:pPr>
              <w:jc w:val="center"/>
              <w:rPr>
                <w:rFonts w:hint="eastAsia" w:ascii="等线" w:hAnsi="等线" w:eastAsia="等线" w:cs="等线"/>
                <w:i w:val="0"/>
                <w:iCs w:val="0"/>
                <w:color w:val="000000"/>
                <w:sz w:val="18"/>
                <w:szCs w:val="18"/>
                <w:u w:val="none"/>
              </w:rPr>
            </w:pPr>
          </w:p>
        </w:tc>
      </w:tr>
      <w:tr w14:paraId="51C6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5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E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电锁电源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F9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1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6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9476EB9">
            <w:pPr>
              <w:jc w:val="center"/>
              <w:rPr>
                <w:rFonts w:hint="eastAsia" w:ascii="等线" w:hAnsi="等线" w:eastAsia="等线" w:cs="等线"/>
                <w:i w:val="0"/>
                <w:iCs w:val="0"/>
                <w:color w:val="000000"/>
                <w:sz w:val="18"/>
                <w:szCs w:val="18"/>
                <w:u w:val="none"/>
              </w:rPr>
            </w:pPr>
          </w:p>
        </w:tc>
      </w:tr>
      <w:tr w14:paraId="5883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2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D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L型支架</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3F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1、配合电磁锁使用。</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2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4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007B83C">
            <w:pPr>
              <w:jc w:val="center"/>
              <w:rPr>
                <w:rFonts w:hint="eastAsia" w:ascii="等线" w:hAnsi="等线" w:eastAsia="等线" w:cs="等线"/>
                <w:i w:val="0"/>
                <w:iCs w:val="0"/>
                <w:color w:val="000000"/>
                <w:sz w:val="18"/>
                <w:szCs w:val="18"/>
                <w:u w:val="none"/>
              </w:rPr>
            </w:pPr>
          </w:p>
        </w:tc>
      </w:tr>
      <w:tr w14:paraId="1E9E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1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D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出门开关</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1F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1、适用空心门框及埋入式电器盒使用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2、PC防火材料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3、50万次机械使用寿命</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8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9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2EF4B92">
            <w:pPr>
              <w:jc w:val="center"/>
              <w:rPr>
                <w:rFonts w:hint="eastAsia" w:ascii="等线" w:hAnsi="等线" w:eastAsia="等线" w:cs="等线"/>
                <w:i w:val="0"/>
                <w:iCs w:val="0"/>
                <w:color w:val="000000"/>
                <w:sz w:val="18"/>
                <w:szCs w:val="18"/>
                <w:u w:val="none"/>
              </w:rPr>
            </w:pPr>
          </w:p>
        </w:tc>
      </w:tr>
      <w:tr w14:paraId="226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7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6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LED门牌设备</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9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1、支持双行双色显示，第一行显示房间号，第二行显示房间状态；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2、第二行可以通过平台联动显示办案中、空闲中、预约中等；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3、每行最多可同时显示5个汉字，超过5字支持滚动显示；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4、采用网络控制协议，RJ45接口。</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7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D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8885E26">
            <w:pPr>
              <w:jc w:val="center"/>
              <w:rPr>
                <w:rFonts w:hint="eastAsia" w:ascii="等线" w:hAnsi="等线" w:eastAsia="等线" w:cs="等线"/>
                <w:i w:val="0"/>
                <w:iCs w:val="0"/>
                <w:color w:val="000000"/>
                <w:sz w:val="18"/>
                <w:szCs w:val="18"/>
                <w:u w:val="none"/>
              </w:rPr>
            </w:pPr>
          </w:p>
        </w:tc>
      </w:tr>
      <w:tr w14:paraId="1687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28" w:type="dxa"/>
            <w:gridSpan w:val="5"/>
            <w:tcBorders>
              <w:top w:val="single" w:color="000000" w:sz="4" w:space="0"/>
              <w:left w:val="single" w:color="000000" w:sz="4" w:space="0"/>
              <w:bottom w:val="single" w:color="000000" w:sz="4" w:space="0"/>
              <w:right w:val="nil"/>
            </w:tcBorders>
            <w:shd w:val="clear" w:color="auto" w:fill="auto"/>
            <w:vAlign w:val="center"/>
          </w:tcPr>
          <w:p w14:paraId="3E494C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（六）管理室、备勤室、邮政代办、侦查监督（4间）</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33A17C5">
            <w:pPr>
              <w:jc w:val="center"/>
              <w:rPr>
                <w:rFonts w:hint="eastAsia" w:ascii="等线" w:hAnsi="等线" w:eastAsia="等线" w:cs="等线"/>
                <w:i w:val="0"/>
                <w:iCs w:val="0"/>
                <w:color w:val="000000"/>
                <w:sz w:val="18"/>
                <w:szCs w:val="18"/>
                <w:u w:val="none"/>
              </w:rPr>
            </w:pPr>
          </w:p>
        </w:tc>
      </w:tr>
      <w:tr w14:paraId="50D38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A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2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环境全景摄像机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85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1、分辨率不低于1920×1080@25fps，不低于1/2.8英寸CMOS传感器 半球型摄像机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2、最低照度：彩色：≤0.002 lx；黑白：≤0.001 lx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3、设备应配置电动变焦镜头，镜头焦距不低于2.8～12mm，应支持AF辅助聚焦，且可通过IE浏览器进行一键聚焦；应配置不少于14颗红外灯+4颗白光灯；红外补光距离不少于30米，白光补光距离不少于10 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4、设备应支持不少于1个RJ45网口、1个RS485接口、1对音频输入／输出接口、1个TF卡槽、1个复位按钮、内置MIC、内置扬声器；不少于2路报警输入、1路报警输出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5、人脸抓拍捕获率应≥99%，奔跑时人脸抓拍捕获率应≥99% </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6、开启智能行为分析功能后，应可对人、车、人和车进行检测</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7、应支持警戒功能，包括白光警戒、语音警戒，语音警戒可自定义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智能行为分析功能，应可对以下行为进行检测，并可通过客户端软件或IE浏览器给出报警提示：绊线入侵、双绊线入侵、周界入侵、物品遗留、物品丢失、排徊检测、奔跑检测、停车检测、人员聚集、安全帽检测、值岗检测、视频诊断、音频异常侦测</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9、应支持将抓拍的人脸图片上传至指定的FTP服务器</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10、应可对设置检测区域内过往的人员进行双向计数统计，支持4种人数计数功能（垂直、绊线、区域、队列）</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11、检测区域内的人数上限应可配置，当超过设定人数时支持告警上报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12、在IE浏览器下，应具有感兴趣区域设置选项；应能设置不少于8个感兴趣区域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13、字体应可设置为16×16像素、32×32像素、48×48像素、64×64 自适应；应支持时间、日期、星期叠加；应支持5个区域的附加字符叠加，共可叠加5行字符；应支持矢量、点阵字库类型设置；应支持设置5种字体颜色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14、应能将视频图像及抓拍图片存储至TF卡、本地客户端或上传至服务器；最大应支持512GB TF卡；应支持TF卡热插拔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15、应能在DC12V±25％的供电条件下正常工作；支持POE供电；支持反向输出DC12V供电 功耗≤8W （视频预览情况下）</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16、温度范围：-35℃~65℃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17、防护等级≥IP66 </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18、在浏览器或客户端软件下，应具有 H.265、H.264(Main Profile、High Profile、Baseline Profile)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19、网络摄像机的基本接口为10/100M以太网接口，应符合IEEE802.3标准，采用RJ45连接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20、应支持G. 711A、G. 711U、ADPCM_D音频编码设置选项</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5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5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638D304">
            <w:pPr>
              <w:jc w:val="center"/>
              <w:rPr>
                <w:rFonts w:hint="eastAsia" w:ascii="等线" w:hAnsi="等线" w:eastAsia="等线" w:cs="等线"/>
                <w:i w:val="0"/>
                <w:iCs w:val="0"/>
                <w:color w:val="000000"/>
                <w:sz w:val="18"/>
                <w:szCs w:val="18"/>
                <w:u w:val="none"/>
              </w:rPr>
            </w:pPr>
          </w:p>
        </w:tc>
      </w:tr>
      <w:tr w14:paraId="6BD0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0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E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F7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2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0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D76F86B">
            <w:pPr>
              <w:jc w:val="center"/>
              <w:rPr>
                <w:rFonts w:hint="eastAsia" w:ascii="等线" w:hAnsi="等线" w:eastAsia="等线" w:cs="等线"/>
                <w:i w:val="0"/>
                <w:iCs w:val="0"/>
                <w:color w:val="000000"/>
                <w:sz w:val="18"/>
                <w:szCs w:val="18"/>
                <w:u w:val="none"/>
              </w:rPr>
            </w:pPr>
          </w:p>
        </w:tc>
      </w:tr>
      <w:tr w14:paraId="4737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D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2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02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1、额定工作电压(V/DC) 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2、工作电压范围(V) 9-15V；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3、工作电流范围(mA) ≤300；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4、工作温度(℃) ﹣20~﹢60℃；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5、声压(dB) ≥105dB/m；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6、连续工作时间 ≥45min DC12V；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7、闪灯次数(分钟) 200±30。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7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D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4744B2D">
            <w:pPr>
              <w:jc w:val="center"/>
              <w:rPr>
                <w:rFonts w:hint="eastAsia" w:ascii="等线" w:hAnsi="等线" w:eastAsia="等线" w:cs="等线"/>
                <w:i w:val="0"/>
                <w:iCs w:val="0"/>
                <w:color w:val="000000"/>
                <w:sz w:val="18"/>
                <w:szCs w:val="18"/>
                <w:u w:val="none"/>
              </w:rPr>
            </w:pPr>
          </w:p>
        </w:tc>
      </w:tr>
      <w:tr w14:paraId="67B2F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28" w:type="dxa"/>
            <w:gridSpan w:val="5"/>
            <w:tcBorders>
              <w:top w:val="single" w:color="000000" w:sz="4" w:space="0"/>
              <w:left w:val="single" w:color="000000" w:sz="4" w:space="0"/>
              <w:bottom w:val="single" w:color="000000" w:sz="4" w:space="0"/>
              <w:right w:val="nil"/>
            </w:tcBorders>
            <w:shd w:val="clear" w:color="auto" w:fill="auto"/>
            <w:vAlign w:val="center"/>
          </w:tcPr>
          <w:p w14:paraId="4C6BEB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（七）候问室（4单人、1未成年、1男、1女、1特殊）、候问管理区域</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E69D947">
            <w:pPr>
              <w:jc w:val="center"/>
              <w:rPr>
                <w:rFonts w:hint="eastAsia" w:ascii="等线" w:hAnsi="等线" w:eastAsia="等线" w:cs="等线"/>
                <w:i w:val="0"/>
                <w:iCs w:val="0"/>
                <w:color w:val="000000"/>
                <w:sz w:val="18"/>
                <w:szCs w:val="18"/>
                <w:u w:val="none"/>
              </w:rPr>
            </w:pPr>
          </w:p>
        </w:tc>
      </w:tr>
      <w:tr w14:paraId="451A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D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0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拾音器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7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1、采用高保真预极化电容传声器，可对前期音频无差别拾取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2、可实时对拾取到的音频信号进行噪音滤除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3、内置雷击保护、电源极性反接保护和静电保护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4、内置可调电位器，音量调节最小可关闭（无声音输出）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5、监听半径1-7m（内置电位器可调）</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4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A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ED14C5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p>
        </w:tc>
      </w:tr>
      <w:tr w14:paraId="70C5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A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7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4K全景人体结构化摄像机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CD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1、不低于800万像素CMOS传感器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2、2.7~13.5mm电动变焦，支持一键聚焦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3、支持三码流同时输出，主码流最高分辨率可达8MP@20fps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4、支持人脸抓拍，单画面同时检测人脸数不低于32张，单画面同时抓拍人脸数不低于16张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5、人脸识别距离不少于10米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6、支持通过IE浏览器显示人员年龄、性别、民族、表情、戴眼镜、带口罩、是否有胡子、衣服颜色、上衣类型、是否背包、戴帽子等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7、人脸抓拍率不低于97%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8、红外补光距离不低于50米，支持补光变倍匹配功能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9、支持以某一物理位置为坐标原点，分别标定镜头的离地高度、俯仰角、倾斜角、实际坐标等信息并建立坐标系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10、支持同时检测不低于20个行人，并显示行进轨迹，实时输出坐标信息和时间戳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11、支持对经过设定区域内的行人进行人体检测并抓拍，可抓拍人体正面、背面、侧面人体图片并上传至平台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12、支持人脸大小过滤功能和人脸抓拍质量过滤功能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13、接口不少于：音频输入/输出各一个、内置MIC、报警输入2个，报警输出1个，支持SD卡槽（最大支持512G）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14、支持宽动态、背光补偿、强光抑制、3D降噪和图像翻转功能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15、防护等级不低于：外壳防尘防水IP67，防暴等级IK10，4级防雷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16、支持POE、DC12V供电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1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8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FD193BE">
            <w:pPr>
              <w:jc w:val="center"/>
              <w:rPr>
                <w:rFonts w:hint="eastAsia" w:ascii="等线" w:hAnsi="等线" w:eastAsia="等线" w:cs="等线"/>
                <w:i w:val="0"/>
                <w:iCs w:val="0"/>
                <w:color w:val="000000"/>
                <w:sz w:val="18"/>
                <w:szCs w:val="18"/>
                <w:u w:val="none"/>
              </w:rPr>
            </w:pPr>
          </w:p>
        </w:tc>
      </w:tr>
      <w:tr w14:paraId="41CC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C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5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12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B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F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4F39C88">
            <w:pPr>
              <w:jc w:val="center"/>
              <w:rPr>
                <w:rFonts w:hint="eastAsia" w:ascii="等线" w:hAnsi="等线" w:eastAsia="等线" w:cs="等线"/>
                <w:i w:val="0"/>
                <w:iCs w:val="0"/>
                <w:color w:val="000000"/>
                <w:sz w:val="18"/>
                <w:szCs w:val="18"/>
                <w:u w:val="none"/>
              </w:rPr>
            </w:pPr>
          </w:p>
        </w:tc>
      </w:tr>
      <w:tr w14:paraId="2D30C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3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5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E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1、支持报警信号传至警务值班室提示。</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B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E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2E76F6C">
            <w:pPr>
              <w:jc w:val="center"/>
              <w:rPr>
                <w:rFonts w:hint="eastAsia" w:ascii="等线" w:hAnsi="等线" w:eastAsia="等线" w:cs="等线"/>
                <w:i w:val="0"/>
                <w:iCs w:val="0"/>
                <w:color w:val="000000"/>
                <w:sz w:val="18"/>
                <w:szCs w:val="18"/>
                <w:u w:val="none"/>
              </w:rPr>
            </w:pPr>
          </w:p>
        </w:tc>
      </w:tr>
      <w:tr w14:paraId="5790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E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1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14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1、额定工作电压(V/DC) 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2、工作电压范围(V) 9-15V；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3、工作电流范围(mA) ≤300；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4、工作温度(℃) ﹣20~﹢60℃；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5、声压(dB) ≥105dB/m；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6、连续工作时间 ≥45min DC12V；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7、闪灯次数(分钟) 200±30。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4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1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AD3EC58">
            <w:pPr>
              <w:jc w:val="center"/>
              <w:rPr>
                <w:rFonts w:hint="eastAsia" w:ascii="等线" w:hAnsi="等线" w:eastAsia="等线" w:cs="等线"/>
                <w:i w:val="0"/>
                <w:iCs w:val="0"/>
                <w:color w:val="000000"/>
                <w:sz w:val="18"/>
                <w:szCs w:val="18"/>
                <w:u w:val="none"/>
              </w:rPr>
            </w:pPr>
          </w:p>
        </w:tc>
      </w:tr>
      <w:tr w14:paraId="4680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9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8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温湿度显示屏</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73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标准时钟温湿度屏设计，具有RS485接口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静态数字显示，适于同步录音录像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采用超高精度时钟，精度可达2PPM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支持自动校准时钟，与摄像机、审讯主机时间同步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温湿度和紧急情况报警设定及处理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12V低压供电，标配电源适配器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支持年月日、时间、星期、温度、湿度显示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支持时间调节、显示屏开关等</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9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8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36C05EF">
            <w:pPr>
              <w:jc w:val="center"/>
              <w:rPr>
                <w:rFonts w:hint="eastAsia" w:ascii="等线" w:hAnsi="等线" w:eastAsia="等线" w:cs="等线"/>
                <w:i w:val="0"/>
                <w:iCs w:val="0"/>
                <w:color w:val="000000"/>
                <w:sz w:val="18"/>
                <w:szCs w:val="18"/>
                <w:u w:val="none"/>
              </w:rPr>
            </w:pPr>
          </w:p>
        </w:tc>
      </w:tr>
      <w:tr w14:paraId="339E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4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E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2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1、设备拥有≥8英寸触摸显示屏，有不少于1个TF卡槽，最大支持512G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采用不低于1/2.8 2MP CMOS高清宽动态双摄像头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应采用双目相机，一路可见光摄像头和一路红外摄像头，设备WEB端应具有宽动态启闭选项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应支持人脸、人体移动预测，唤醒设备；应支持人脸、人体及物体移动侦测，唤醒白光补光灯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设备支持不少于1路电源接口、1路 RS-485 接口、1路10/100Mbps以太网口、1路韦根输入接口、1路韦根输出接口、1个USB接口、2路报警输入接口、1路报警输出接口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刷卡时，设备应有蜂鸣器提示音；应支持比对结果语音提示和语音音量调节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应支持比对结果图文提示功能；应支持本地视频预览、人脸动态捕捉；应支持查看人员信息、设备模式（如首脸/首卡开门、永久开门、永久关门等）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设备应具有补光功能，应支持不少于10000个用户，用户应能设置为管理员权限；设备应支持存储不少于10000个密码、10000张人脸库、10000张卡片、100000条本地进出记录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设备应具有显示功能，应支持红外及白光灯补光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设备应支持人脸识别、IC卡识读密码识读的认证方式；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设备应具有人脸比对功能，应支持人脸识别功能，现场抓拍人脸照片与本地人脸库照片进行比对，进行人员核验；支持人脸识别多阈值设置；支持陌生人抓拍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设备人脸识别准确率≥99.5%；防护等级不低于IP65，室外防水，可用于室内室外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可在-20℃-60℃内正常工作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设备应具有黑名单功能，应支持中心下发黑名单信息；应支持本地不少于10000个人脸黑名单比较；应支持本地黑名单信息比对；应支持本地黑名单事件，黑名单事件信息可上传平台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设备应具有节能功能，应支持在没有用户使用时自动切换到熄屏待机状态，应支持物体靠近自动唤醒待机设备，应支持在正常光照环境下不开启白光补光灯实现人脸识别</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B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4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A4E7639">
            <w:pPr>
              <w:jc w:val="center"/>
              <w:rPr>
                <w:rFonts w:hint="eastAsia" w:ascii="等线" w:hAnsi="等线" w:eastAsia="等线" w:cs="等线"/>
                <w:i w:val="0"/>
                <w:iCs w:val="0"/>
                <w:color w:val="000000"/>
                <w:sz w:val="18"/>
                <w:szCs w:val="18"/>
                <w:u w:val="none"/>
              </w:rPr>
            </w:pPr>
          </w:p>
        </w:tc>
      </w:tr>
      <w:tr w14:paraId="049C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F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4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54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2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D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51B6072">
            <w:pPr>
              <w:jc w:val="center"/>
              <w:rPr>
                <w:rFonts w:hint="eastAsia" w:ascii="等线" w:hAnsi="等线" w:eastAsia="等线" w:cs="等线"/>
                <w:i w:val="0"/>
                <w:iCs w:val="0"/>
                <w:color w:val="000000"/>
                <w:sz w:val="18"/>
                <w:szCs w:val="18"/>
                <w:u w:val="none"/>
              </w:rPr>
            </w:pPr>
          </w:p>
        </w:tc>
      </w:tr>
      <w:tr w14:paraId="0D77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F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9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出门开关</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A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1、适用空心门框及埋入式电器盒使用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2、PC防火材料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3、50万次机械使用寿命</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5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0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07237F5">
            <w:pPr>
              <w:jc w:val="center"/>
              <w:rPr>
                <w:rFonts w:hint="eastAsia" w:ascii="等线" w:hAnsi="等线" w:eastAsia="等线" w:cs="等线"/>
                <w:i w:val="0"/>
                <w:iCs w:val="0"/>
                <w:color w:val="000000"/>
                <w:sz w:val="18"/>
                <w:szCs w:val="18"/>
                <w:u w:val="none"/>
              </w:rPr>
            </w:pPr>
          </w:p>
        </w:tc>
      </w:tr>
      <w:tr w14:paraId="5B473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D90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D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电磁锁</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1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1、280kg单门两线拉丝磁力锁；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2、通电上锁，无残磁、无机械磨损；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3、适用于90度开的任何有框门，如木门丶防火门丶玻璃门；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4、对于无框门，需要选配支架。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5、最大功率3W</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2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C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5833F8B">
            <w:pPr>
              <w:jc w:val="center"/>
              <w:rPr>
                <w:rFonts w:hint="eastAsia" w:ascii="等线" w:hAnsi="等线" w:eastAsia="等线" w:cs="等线"/>
                <w:i w:val="0"/>
                <w:iCs w:val="0"/>
                <w:color w:val="000000"/>
                <w:sz w:val="18"/>
                <w:szCs w:val="18"/>
                <w:u w:val="none"/>
              </w:rPr>
            </w:pPr>
          </w:p>
        </w:tc>
      </w:tr>
      <w:tr w14:paraId="30B8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328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A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电锁电源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A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D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5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B1D978F">
            <w:pPr>
              <w:jc w:val="center"/>
              <w:rPr>
                <w:rFonts w:hint="eastAsia" w:ascii="等线" w:hAnsi="等线" w:eastAsia="等线" w:cs="等线"/>
                <w:i w:val="0"/>
                <w:iCs w:val="0"/>
                <w:color w:val="000000"/>
                <w:sz w:val="18"/>
                <w:szCs w:val="18"/>
                <w:u w:val="none"/>
              </w:rPr>
            </w:pPr>
          </w:p>
        </w:tc>
      </w:tr>
      <w:tr w14:paraId="2AB0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3F7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C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L型支架</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FB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1、配合电磁锁使用。</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7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1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5A73DE9">
            <w:pPr>
              <w:jc w:val="center"/>
              <w:rPr>
                <w:rFonts w:hint="eastAsia" w:ascii="等线" w:hAnsi="等线" w:eastAsia="等线" w:cs="等线"/>
                <w:i w:val="0"/>
                <w:iCs w:val="0"/>
                <w:color w:val="000000"/>
                <w:sz w:val="18"/>
                <w:szCs w:val="18"/>
                <w:u w:val="none"/>
              </w:rPr>
            </w:pPr>
          </w:p>
        </w:tc>
      </w:tr>
      <w:tr w14:paraId="4501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426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A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LED门牌设备</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3B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1、支持双行双色显示，第一行显示房间号，第二行显示房间状态；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2、第二行可以通过平台联动显示办案中、空闲中、预约中等；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3、每行最多可同时显示5个汉字，超过5字支持滚动显示；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4、采用网络控制协议，RJ45接口。</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8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5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D989676">
            <w:pPr>
              <w:jc w:val="center"/>
              <w:rPr>
                <w:rFonts w:hint="eastAsia" w:ascii="等线" w:hAnsi="等线" w:eastAsia="等线" w:cs="等线"/>
                <w:i w:val="0"/>
                <w:iCs w:val="0"/>
                <w:color w:val="000000"/>
                <w:sz w:val="18"/>
                <w:szCs w:val="18"/>
                <w:u w:val="none"/>
              </w:rPr>
            </w:pPr>
          </w:p>
        </w:tc>
      </w:tr>
      <w:tr w14:paraId="17A5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E54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F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读卡器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6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IC读卡器，不带触摸键盘，仅支持刷卡开门方式，可配合单门、双门、四门门禁控制器使用</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0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0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B035F0A">
            <w:pPr>
              <w:jc w:val="center"/>
              <w:rPr>
                <w:rFonts w:hint="eastAsia" w:ascii="等线" w:hAnsi="等线" w:eastAsia="等线" w:cs="等线"/>
                <w:i w:val="0"/>
                <w:iCs w:val="0"/>
                <w:color w:val="000000"/>
                <w:sz w:val="18"/>
                <w:szCs w:val="18"/>
                <w:u w:val="none"/>
              </w:rPr>
            </w:pPr>
          </w:p>
        </w:tc>
      </w:tr>
      <w:tr w14:paraId="734F9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4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B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IC发卡器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F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一款13.56MHz频段IC卡只读桌面发卡器。采用先进的即插即用，免驱动的USB连接技术，并能通过配置DEMO轻松设定各种输出格式。刷卡即可得到IC卡的卡号，操作简单，性能稳定。</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F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6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4010966">
            <w:pPr>
              <w:jc w:val="center"/>
              <w:rPr>
                <w:rFonts w:hint="eastAsia" w:ascii="等线" w:hAnsi="等线" w:eastAsia="等线" w:cs="等线"/>
                <w:i w:val="0"/>
                <w:iCs w:val="0"/>
                <w:color w:val="000000"/>
                <w:sz w:val="18"/>
                <w:szCs w:val="18"/>
                <w:u w:val="none"/>
              </w:rPr>
            </w:pPr>
          </w:p>
        </w:tc>
      </w:tr>
      <w:tr w14:paraId="21005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1BA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E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IC卡</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48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规格：0.86±0.02*85.5*54mm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存储容量：8Kbit，16个分区，每分区两组密码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工作频率：13.56 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通讯速率：106KBoud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读写距离：2.5～10cm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读写时间：1～2ms</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8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8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7941B07">
            <w:pPr>
              <w:jc w:val="center"/>
              <w:rPr>
                <w:rFonts w:hint="eastAsia" w:ascii="等线" w:hAnsi="等线" w:eastAsia="等线" w:cs="等线"/>
                <w:i w:val="0"/>
                <w:iCs w:val="0"/>
                <w:color w:val="000000"/>
                <w:sz w:val="18"/>
                <w:szCs w:val="18"/>
                <w:u w:val="none"/>
              </w:rPr>
            </w:pPr>
          </w:p>
        </w:tc>
      </w:tr>
      <w:tr w14:paraId="73BA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66A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9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四门网络门禁控制器（国产化）</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E1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标配门禁控制箱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强大的联动功能，支持硬件触发及事件触发，如，门状态、卡状态、输入输出点和卡号的组合联动。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插入式SD卡，双重数据备份，如遇系统故障，可恢复持卡人及事件记录。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支持多人多组刷卡，如1个经理+3个值班员同时刷卡才允许进入。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支持首卡常开功能，在设置的时间段内，第一张刷卡后保持门常开。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支持APB（防尾随）功能，支持双向与跨门点的区域APB。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支持四门任意组合的互锁功能，任何时候仅能打开一个门。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采用真正的以太网技术，具有自有的MAC地址，永不冲突。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采用B/S架构软件，无需安装客户端，操作更简单。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采用高速1.0GHZ主频CPU,DDR2支持128MB容量,Flash支持256MB容量，嵌入式Linux操作系统。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可灵活设置256个时间段、96日节假日及256个门禁权限组。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具有反潜、互锁、联动、多卡开门及远程开关门等功能。</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F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5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BABF70F">
            <w:pPr>
              <w:jc w:val="center"/>
              <w:rPr>
                <w:rFonts w:hint="eastAsia" w:ascii="等线" w:hAnsi="等线" w:eastAsia="等线" w:cs="等线"/>
                <w:i w:val="0"/>
                <w:iCs w:val="0"/>
                <w:color w:val="000000"/>
                <w:sz w:val="18"/>
                <w:szCs w:val="18"/>
                <w:u w:val="none"/>
              </w:rPr>
            </w:pPr>
          </w:p>
        </w:tc>
      </w:tr>
      <w:tr w14:paraId="22ED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28" w:type="dxa"/>
            <w:gridSpan w:val="5"/>
            <w:tcBorders>
              <w:top w:val="single" w:color="000000" w:sz="4" w:space="0"/>
              <w:left w:val="single" w:color="000000" w:sz="4" w:space="0"/>
              <w:bottom w:val="single" w:color="000000" w:sz="4" w:space="0"/>
              <w:right w:val="nil"/>
            </w:tcBorders>
            <w:shd w:val="clear" w:color="auto" w:fill="auto"/>
            <w:vAlign w:val="center"/>
          </w:tcPr>
          <w:p w14:paraId="13EAD3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（八）讯/询问室（按3间配置）</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F9937EA">
            <w:pPr>
              <w:jc w:val="center"/>
              <w:rPr>
                <w:rFonts w:hint="eastAsia" w:ascii="等线" w:hAnsi="等线" w:eastAsia="等线" w:cs="等线"/>
                <w:i w:val="0"/>
                <w:iCs w:val="0"/>
                <w:color w:val="000000"/>
                <w:sz w:val="18"/>
                <w:szCs w:val="18"/>
                <w:u w:val="none"/>
              </w:rPr>
            </w:pPr>
          </w:p>
        </w:tc>
      </w:tr>
      <w:tr w14:paraId="4CA3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6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9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拾音器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4F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1、采用高保真预极化电容传声器，可对前期音频无差别拾取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2、可实时对拾取到的音频信号进行噪音滤除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3、内置雷击保护、电源极性反接保护和静电保护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4、内置可调电位器，音量调节最小可关闭（无声音输出）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5、监听半径1-7m（内置电位器可调）</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D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B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BFB2088">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p>
        </w:tc>
      </w:tr>
      <w:tr w14:paraId="27BB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1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7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4K全景人体结构化摄像机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65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1、不低于800万像素CMOS传感器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2、2.7~13.5mm电动变焦，支持一键聚焦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3、支持三码流同时输出，主码流最高分辨率可达8MP@20fps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4、支持人脸抓拍，单画面同时检测人脸数不低于32张，单画面同时抓拍人脸数不低于16张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5、人脸识别距离不少于10米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6、支持通过IE浏览器显示人员年龄、性别、民族、表情、戴眼镜、带口罩、是否有胡子、衣服颜色、上衣类型、是否背包、戴帽子等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7、人脸抓拍率不低于97%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8、红外补光距离不低于50米，支持补光变倍匹配功能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9、支持以某一物理位置为坐标原点，分别标定镜头的离地高度、俯仰角、倾斜角、实际坐标等信息并建立坐标系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10、支持同时检测不低于20个行人，并显示行进轨迹，实时输出坐标信息和时间戳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11、支持对经过设定区域内的行人进行人体检测并抓拍，可抓拍人体正面、背面、侧面人体图片并上传至平台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12、支持人脸大小过滤功能和人脸抓拍质量过滤功能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13、接口不少于：音频输入/输出各一个、内置MIC、报警输入2个，报警输出1个，支持SD卡槽（最大支持512G）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14、支持宽动态、背光补偿、强光抑制、3D降噪和图像翻转功能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15、防护等级不低于：外壳防尘防水IP67，防暴等级IK10，4级防雷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16、支持POE、DC12V供电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6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7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66114B1">
            <w:pPr>
              <w:jc w:val="center"/>
              <w:rPr>
                <w:rFonts w:hint="eastAsia" w:ascii="等线" w:hAnsi="等线" w:eastAsia="等线" w:cs="等线"/>
                <w:i w:val="0"/>
                <w:iCs w:val="0"/>
                <w:color w:val="000000"/>
                <w:sz w:val="18"/>
                <w:szCs w:val="18"/>
                <w:u w:val="none"/>
              </w:rPr>
            </w:pPr>
          </w:p>
        </w:tc>
      </w:tr>
      <w:tr w14:paraId="33DF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F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A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1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6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E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69E95A4">
            <w:pPr>
              <w:jc w:val="center"/>
              <w:rPr>
                <w:rFonts w:hint="eastAsia" w:ascii="等线" w:hAnsi="等线" w:eastAsia="等线" w:cs="等线"/>
                <w:i w:val="0"/>
                <w:iCs w:val="0"/>
                <w:color w:val="000000"/>
                <w:sz w:val="18"/>
                <w:szCs w:val="18"/>
                <w:u w:val="none"/>
              </w:rPr>
            </w:pPr>
          </w:p>
        </w:tc>
      </w:tr>
      <w:tr w14:paraId="634D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9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B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9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1、额定工作电压(V/DC) 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2、工作电压范围(V) 9-15V；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3、工作电流范围(mA) ≤300；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4、工作温度(℃) ﹣20~﹢60℃；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5、声压(dB) ≥105dB/m；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6、连续工作时间 ≥45min DC12V；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7、闪灯次数(分钟) 200±30。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9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9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657A444">
            <w:pPr>
              <w:jc w:val="center"/>
              <w:rPr>
                <w:rFonts w:hint="eastAsia" w:ascii="等线" w:hAnsi="等线" w:eastAsia="等线" w:cs="等线"/>
                <w:i w:val="0"/>
                <w:iCs w:val="0"/>
                <w:color w:val="000000"/>
                <w:sz w:val="18"/>
                <w:szCs w:val="18"/>
                <w:u w:val="none"/>
              </w:rPr>
            </w:pPr>
          </w:p>
        </w:tc>
      </w:tr>
      <w:tr w14:paraId="3F6D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7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B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公安审讯主机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1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1、支持不拆机箱更换光驱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2、接口要求不少于：1个RJ45网络接口、4个POE网络接口、1个HDMI输入、1个VGA输入、1个VGA输出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3、支持高音质音频接入，音频编码标准应采用AAC，音频采样率8KHz/32KHz/48KHz可调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4、支持校正时钟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5、支持不少于6个前置硬盘插槽，支持热插拔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6、单张光盘刻录的音视频时长不低于4小时，且不影响刻录的音视频质量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采集讯问室实时音视频和环境信息，包括讯问民警人声、嫌疑人人声、其他环境声音、嫌疑人正面画面、室内全景画面、时间、温度、湿度等；采集的声音和图像应清晰无损坏，支持8路视频通道和3路合成通道共11路通道的同时采集录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8、支持视频自动叠加片头，叠加内容可设置案件编号、案件名称、审讯民警姓名、嫌疑人姓名等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9、支持硬盘自动存储和双光驱刻录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10、支持打点功能，在硬盘存储和光盘刻录过程中可对重点内容进行打点标记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11、支持视频、音频丢失报警功能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12、支持自动对光盘进行封盘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13、讯问结束后刻录的时间不超过5分钟。支持通过硬盘音视频数据实现光盘更换自动回补刻录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14、讯问音视频回放应保证画面清晰，声音无提前或滞后且不失真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15、刻录光盘需包含播放器，无需另外安装播放软件，即可在任意电脑上自动播放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16、支持对光盘进行加密，未通过验证不可进行擦写或拷贝操作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17、访问主机需支持BS和CS两种方式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18、支持音频混音。可显示声音波 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19、支持一键直刻，光盘刻录可选择单盘直刻、双盘直刻或循环直刻，并可自定义刻录通道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20、支持GB/T28181、RTSP等接入协议，并具有H.323协议相关设置功能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21、支持画面合成，合成数量支持1/2/3/4/5/6/8，合成画面可独立编码，支持H.265编码格式，分辨率支持不低于4K，帧率支持60fps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22、支持上传证据资料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23、支持接入人体生命体征信息，可在实时视频上同步叠加血压、血氧、心律等体征信息</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9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9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3571F51">
            <w:pPr>
              <w:jc w:val="center"/>
              <w:rPr>
                <w:rFonts w:hint="eastAsia" w:ascii="等线" w:hAnsi="等线" w:eastAsia="等线" w:cs="等线"/>
                <w:i w:val="0"/>
                <w:iCs w:val="0"/>
                <w:color w:val="000000"/>
                <w:sz w:val="18"/>
                <w:szCs w:val="18"/>
                <w:u w:val="none"/>
              </w:rPr>
            </w:pPr>
          </w:p>
        </w:tc>
      </w:tr>
      <w:tr w14:paraId="187D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2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E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智能一体化讯问设备</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92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主机搭配国产CPU和国产操作系统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外观升级，钣木结合设计，优化组装方式，减重方便搬运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增加氛围灯带，藏线槽设计，整体更加美观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被调查人特写摄像机视场角可调，适应不同场景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集成高性能终端主机、高清特写相机、示证液晶屏，施工简单，操作便捷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支持一键开机功能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支持四路示证切换功能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接口丰富，可扩展集成审讯过程中所用到的一系列外围设备，方便办案人员快速办案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支持一键求助报警、电子指纹签字确认文书、协同办案</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F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9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5434D8D">
            <w:pPr>
              <w:jc w:val="center"/>
              <w:rPr>
                <w:rFonts w:hint="eastAsia" w:ascii="等线" w:hAnsi="等线" w:eastAsia="等线" w:cs="等线"/>
                <w:i w:val="0"/>
                <w:iCs w:val="0"/>
                <w:color w:val="000000"/>
                <w:sz w:val="18"/>
                <w:szCs w:val="18"/>
                <w:u w:val="none"/>
              </w:rPr>
            </w:pPr>
          </w:p>
        </w:tc>
      </w:tr>
      <w:tr w14:paraId="5DBF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5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3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示证显示设备</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E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1、示证显示屏，用于向嫌疑人展示笔录、电子证据、物证等。</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4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E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E44D9F5">
            <w:pPr>
              <w:jc w:val="center"/>
              <w:rPr>
                <w:rFonts w:hint="eastAsia" w:ascii="等线" w:hAnsi="等线" w:eastAsia="等线" w:cs="等线"/>
                <w:i w:val="0"/>
                <w:iCs w:val="0"/>
                <w:color w:val="000000"/>
                <w:sz w:val="18"/>
                <w:szCs w:val="18"/>
                <w:u w:val="none"/>
              </w:rPr>
            </w:pPr>
          </w:p>
        </w:tc>
      </w:tr>
      <w:tr w14:paraId="0EDC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1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3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智能嫌疑人座椅</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1C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全金属框架，人体接触面软包设计，座椅应为直靠椅，并配有坐垫、靠垫、扶手垫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表面光滑，无尖锐棱角，安全可靠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具备左右手、胸部、腿部约束锁具，且锁具应无法用人力打开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约束锁应能通过遥控和平台控制开锁，支持单一锁具开启和一键全开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在断电的情况下，门栏锁应能自动打开，左/右手锁、胸部锁应能采用机械钥匙打开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接口要求不少于：1个供电接口、1路RJ45网络接口和1个USB接口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审讯椅各部件与人体接触面及连接处不应有棱角，表面应圆滑，使用螺栓连接时连接处外表面应使用软质材料包覆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腕部集成体征监测传感器，支持无感体征监测，应能通过体征监测传感器采集心率、体温，并能在平台实时显示审讯椅监测的心率、体温信息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具备电子签名捺印设备安装位置并预留走线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应能在DC12V±10%的供电条件下正常工作 ；</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F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B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265F5F8">
            <w:pPr>
              <w:jc w:val="center"/>
              <w:rPr>
                <w:rFonts w:hint="eastAsia" w:ascii="等线" w:hAnsi="等线" w:eastAsia="等线" w:cs="等线"/>
                <w:i w:val="0"/>
                <w:iCs w:val="0"/>
                <w:color w:val="000000"/>
                <w:sz w:val="18"/>
                <w:szCs w:val="18"/>
                <w:u w:val="none"/>
              </w:rPr>
            </w:pPr>
          </w:p>
        </w:tc>
      </w:tr>
      <w:tr w14:paraId="7841A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A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4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温湿度显示屏</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9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标准时钟温湿度屏设计，具有RS485接口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静态数字显示，适于同步录音录像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采用超高精度时钟，精度可达2PPM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支持自动校准时钟，与摄像机、审讯主机时间同步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温湿度和紧急情况报警设定及处理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12V低压供电，标配电源适配器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支持年月日、时间、星期、温度、湿度显示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支持时间调节、显示屏开关等</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E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4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F5A5B57">
            <w:pPr>
              <w:jc w:val="center"/>
              <w:rPr>
                <w:rFonts w:hint="eastAsia" w:ascii="等线" w:hAnsi="等线" w:eastAsia="等线" w:cs="等线"/>
                <w:i w:val="0"/>
                <w:iCs w:val="0"/>
                <w:color w:val="000000"/>
                <w:sz w:val="18"/>
                <w:szCs w:val="18"/>
                <w:u w:val="none"/>
              </w:rPr>
            </w:pPr>
          </w:p>
        </w:tc>
      </w:tr>
      <w:tr w14:paraId="0ECE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A1E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9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9C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1、设备拥有≥8英寸触摸显示屏，有不少于1个TF卡槽，最大支持512G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采用不低于1/2.8 2MP CMOS高清宽动态双摄像头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应采用双目相机，一路可见光摄像头和一路红外摄像头，设备WEB端应具有宽动态启闭选项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应支持人脸、人体移动预测，唤醒设备；应支持人脸、人体及物体移动侦测，唤醒白光补光灯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设备支持不少于1路电源接口、1路 RS-485 接口、1路10/100Mbps以太网口、1路韦根输入接口、1路韦根输出接口、1个USB接口、2路报警输入接口、1路报警输出接口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刷卡时，设备应有蜂鸣器提示音；应支持比对结果语音提示和语音音量调节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应支持比对结果图文提示功能；应支持本地视频预览、人脸动态捕捉；应支持查看人员信息、设备模式（如首脸/首卡开门、永久开门、永久关门等）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设备应具有补光功能，应支持不少于10000个用户，用户应能设置为管理员权限；设备应支持存储不少于10000个密码、10000张人脸库、10000张卡片、100000条本地进出记录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设备应具有显示功能，应支持红外及白光灯补光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设备应支持人脸识别、IC卡识读密码识读的认证方式；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设备应具有人脸比对功能，应支持人脸识别功能，现场抓拍人脸照片与本地人脸库照片进行比对，进行人员核验；支持人脸识别多阈值设置；支持陌生人抓拍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设备人脸识别准确率≥99.5%；防护等级不低于IP65，室外防水，可用于室内室外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可在-20℃-60℃内正常工作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设备应具有黑名单功能，应支持中心下发黑名单信息；应支持本地不少于10000个人脸黑名单比较；应支持本地黑名单信息比对；应支持本地黑名单事件，黑名单事件信息可上传平台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设备应具有节能功能，应支持在没有用户使用时自动切换到熄屏待机状态，应支持物体靠近自动唤醒待机设备，应支持在正常光照环境下不开启白光补光灯实现人脸识别</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D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A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AB84EAF">
            <w:pPr>
              <w:jc w:val="center"/>
              <w:rPr>
                <w:rFonts w:hint="eastAsia" w:ascii="等线" w:hAnsi="等线" w:eastAsia="等线" w:cs="等线"/>
                <w:i w:val="0"/>
                <w:iCs w:val="0"/>
                <w:color w:val="000000"/>
                <w:sz w:val="18"/>
                <w:szCs w:val="18"/>
                <w:u w:val="none"/>
              </w:rPr>
            </w:pPr>
          </w:p>
        </w:tc>
      </w:tr>
      <w:tr w14:paraId="3785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1D5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4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26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E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3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6EFFD92">
            <w:pPr>
              <w:jc w:val="center"/>
              <w:rPr>
                <w:rFonts w:hint="eastAsia" w:ascii="等线" w:hAnsi="等线" w:eastAsia="等线" w:cs="等线"/>
                <w:i w:val="0"/>
                <w:iCs w:val="0"/>
                <w:color w:val="000000"/>
                <w:sz w:val="18"/>
                <w:szCs w:val="18"/>
                <w:u w:val="none"/>
              </w:rPr>
            </w:pPr>
          </w:p>
        </w:tc>
      </w:tr>
      <w:tr w14:paraId="5EAF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0FF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4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电磁锁</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3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1、280kg单门两线拉丝磁力锁；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2、通电上锁，无残磁、无机械磨损；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3、适用于90度开的任何有框门，如木门丶防火门丶玻璃门；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4、对于无框门，需要选配支架。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5、最大功率3W</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2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C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C8E4842">
            <w:pPr>
              <w:jc w:val="center"/>
              <w:rPr>
                <w:rFonts w:hint="eastAsia" w:ascii="等线" w:hAnsi="等线" w:eastAsia="等线" w:cs="等线"/>
                <w:i w:val="0"/>
                <w:iCs w:val="0"/>
                <w:color w:val="000000"/>
                <w:sz w:val="18"/>
                <w:szCs w:val="18"/>
                <w:u w:val="none"/>
              </w:rPr>
            </w:pPr>
          </w:p>
        </w:tc>
      </w:tr>
      <w:tr w14:paraId="61DF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E32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2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电锁电源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F2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F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0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2EB2885">
            <w:pPr>
              <w:jc w:val="center"/>
              <w:rPr>
                <w:rFonts w:hint="eastAsia" w:ascii="等线" w:hAnsi="等线" w:eastAsia="等线" w:cs="等线"/>
                <w:i w:val="0"/>
                <w:iCs w:val="0"/>
                <w:color w:val="000000"/>
                <w:sz w:val="18"/>
                <w:szCs w:val="18"/>
                <w:u w:val="none"/>
              </w:rPr>
            </w:pPr>
          </w:p>
        </w:tc>
      </w:tr>
      <w:tr w14:paraId="7587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38C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7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L型支架</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F4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1、配合电磁锁使用。</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0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4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031BBD9">
            <w:pPr>
              <w:jc w:val="center"/>
              <w:rPr>
                <w:rFonts w:hint="eastAsia" w:ascii="等线" w:hAnsi="等线" w:eastAsia="等线" w:cs="等线"/>
                <w:i w:val="0"/>
                <w:iCs w:val="0"/>
                <w:color w:val="000000"/>
                <w:sz w:val="18"/>
                <w:szCs w:val="18"/>
                <w:u w:val="none"/>
              </w:rPr>
            </w:pPr>
          </w:p>
        </w:tc>
      </w:tr>
      <w:tr w14:paraId="0694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EEC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C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出门开关</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6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1、适用空心门框及埋入式电器盒使用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2、PC防火材料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3、50万次机械使用寿命</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E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5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16E2563">
            <w:pPr>
              <w:jc w:val="center"/>
              <w:rPr>
                <w:rFonts w:hint="eastAsia" w:ascii="等线" w:hAnsi="等线" w:eastAsia="等线" w:cs="等线"/>
                <w:i w:val="0"/>
                <w:iCs w:val="0"/>
                <w:color w:val="000000"/>
                <w:sz w:val="18"/>
                <w:szCs w:val="18"/>
                <w:u w:val="none"/>
              </w:rPr>
            </w:pPr>
          </w:p>
        </w:tc>
      </w:tr>
      <w:tr w14:paraId="7133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8B0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9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LED门牌设备</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E4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1、支持双行双色显示，第一行显示房间号，第二行显示房间状态；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2、第二行可以通过平台联动显示办案中、空闲中、预约中等；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3、每行最多可同时显示5个汉字，超过5字支持滚动显示；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4、采用网络控制协议，RJ45接口。</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C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B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110DBE8">
            <w:pPr>
              <w:jc w:val="center"/>
              <w:rPr>
                <w:rFonts w:hint="eastAsia" w:ascii="等线" w:hAnsi="等线" w:eastAsia="等线" w:cs="等线"/>
                <w:i w:val="0"/>
                <w:iCs w:val="0"/>
                <w:color w:val="000000"/>
                <w:sz w:val="18"/>
                <w:szCs w:val="18"/>
                <w:u w:val="none"/>
              </w:rPr>
            </w:pPr>
          </w:p>
        </w:tc>
      </w:tr>
      <w:tr w14:paraId="19D3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28" w:type="dxa"/>
            <w:gridSpan w:val="5"/>
            <w:tcBorders>
              <w:top w:val="single" w:color="000000" w:sz="4" w:space="0"/>
              <w:left w:val="single" w:color="000000" w:sz="4" w:space="0"/>
              <w:bottom w:val="single" w:color="000000" w:sz="4" w:space="0"/>
              <w:right w:val="nil"/>
            </w:tcBorders>
            <w:shd w:val="clear" w:color="auto" w:fill="auto"/>
            <w:vAlign w:val="center"/>
          </w:tcPr>
          <w:p w14:paraId="004338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（九）特殊询问室</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B9BDE7B">
            <w:pPr>
              <w:jc w:val="center"/>
              <w:rPr>
                <w:rFonts w:hint="eastAsia" w:ascii="等线" w:hAnsi="等线" w:eastAsia="等线" w:cs="等线"/>
                <w:i w:val="0"/>
                <w:iCs w:val="0"/>
                <w:color w:val="000000"/>
                <w:sz w:val="18"/>
                <w:szCs w:val="18"/>
                <w:u w:val="none"/>
              </w:rPr>
            </w:pPr>
          </w:p>
        </w:tc>
      </w:tr>
      <w:tr w14:paraId="360C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0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B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拾音器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85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1、采用高保真预极化电容传声器，可对前期音频无差别拾取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2、可实时对拾取到的音频信号进行噪音滤除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3、内置雷击保护、电源极性反接保护和静电保护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4、内置可调电位器，音量调节最小可关闭（无声音输出）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5、监听半径1-7m（内置电位器可调）</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5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E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EB749AD">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p>
        </w:tc>
      </w:tr>
      <w:tr w14:paraId="3448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5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8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4K全景人体结构化摄像机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9E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1、不低于800万像素CMOS传感器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2、2.7~13.5mm电动变焦，支持一键聚焦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3、支持三码流同时输出，主码流最高分辨率可达8MP@20fps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4、支持人脸抓拍，单画面同时检测人脸数不低于32张，单画面同时抓拍人脸数不低于16张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5、人脸识别距离不少于10米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6、支持通过IE浏览器显示人员年龄、性别、民族、表情、戴眼镜、带口罩、是否有胡子、衣服颜色、上衣类型、是否背包、戴帽子等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7、人脸抓拍率不低于97%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8、红外补光距离不低于50米，支持补光变倍匹配功能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9、支持以某一物理位置为坐标原点，分别标定镜头的离地高度、俯仰角、倾斜角、实际坐标等信息并建立坐标系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10、支持同时检测不低于20个行人，并显示行进轨迹，实时输出坐标信息和时间戳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11、支持对经过设定区域内的行人进行人体检测并抓拍，可抓拍人体正面、背面、侧面人体图片并上传至平台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12、支持人脸大小过滤功能和人脸抓拍质量过滤功能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13、接口不少于：音频输入/输出各一个、内置MIC、报警输入2个，报警输出1个，支持SD卡槽（最大支持512G）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14、支持宽动态、背光补偿、强光抑制、3D降噪和图像翻转功能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15、防护等级不低于：外壳防尘防水IP67，防暴等级IK10，4级防雷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16、支持POE、DC12V供电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5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4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1ACEDC1">
            <w:pPr>
              <w:jc w:val="center"/>
              <w:rPr>
                <w:rFonts w:hint="eastAsia" w:ascii="等线" w:hAnsi="等线" w:eastAsia="等线" w:cs="等线"/>
                <w:i w:val="0"/>
                <w:iCs w:val="0"/>
                <w:color w:val="000000"/>
                <w:sz w:val="18"/>
                <w:szCs w:val="18"/>
                <w:u w:val="none"/>
              </w:rPr>
            </w:pPr>
          </w:p>
        </w:tc>
      </w:tr>
      <w:tr w14:paraId="1944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5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4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F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A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0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99669F7">
            <w:pPr>
              <w:jc w:val="center"/>
              <w:rPr>
                <w:rFonts w:hint="eastAsia" w:ascii="等线" w:hAnsi="等线" w:eastAsia="等线" w:cs="等线"/>
                <w:i w:val="0"/>
                <w:iCs w:val="0"/>
                <w:color w:val="000000"/>
                <w:sz w:val="18"/>
                <w:szCs w:val="18"/>
                <w:u w:val="none"/>
              </w:rPr>
            </w:pPr>
          </w:p>
        </w:tc>
      </w:tr>
      <w:tr w14:paraId="0B66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3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E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D1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1、额定工作电压(V/DC) 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2、工作电压范围(V) 9-15V；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3、工作电流范围(mA) ≤300；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4、工作温度(℃) ﹣20~﹢60℃；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5、声压(dB) ≥105dB/m；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6、连续工作时间 ≥45min DC12V；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7、闪灯次数(分钟) 200±30。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3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B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1EEF6CB">
            <w:pPr>
              <w:jc w:val="center"/>
              <w:rPr>
                <w:rFonts w:hint="eastAsia" w:ascii="等线" w:hAnsi="等线" w:eastAsia="等线" w:cs="等线"/>
                <w:i w:val="0"/>
                <w:iCs w:val="0"/>
                <w:color w:val="000000"/>
                <w:sz w:val="18"/>
                <w:szCs w:val="18"/>
                <w:u w:val="none"/>
              </w:rPr>
            </w:pPr>
          </w:p>
        </w:tc>
      </w:tr>
      <w:tr w14:paraId="38A1F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C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B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公安审讯主机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50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1、支持不拆机箱更换光驱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2、接口要求不少于：1个RJ45网络接口、4个POE网络接口、1个HDMI输入、1个VGA输入、1个VGA输出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3、支持高音质音频接入，音频编码标准应采用AAC，音频采样率8KHz/32KHz/48KHz可调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4、支持校正时钟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5、支持不少于6个前置硬盘插槽，支持热插拔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6、单张光盘刻录的音视频时长不低于4小时，且不影响刻录的音视频质量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采集讯问室实时音视频和环境信息，包括讯问民警人声、嫌疑人人声、其他环境声音、嫌疑人正面画面、室内全景画面、时间、温度、湿度等；采集的声音和图像应清晰无损坏，支持8路视频通道和3路合成通道共11路通道的同时采集录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8、支持视频自动叠加片头，叠加内容可设置案件编号、案件名称、审讯民警姓名、嫌疑人姓名等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9、支持硬盘自动存储和双光驱刻录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10、支持打点功能，在硬盘存储和光盘刻录过程中可对重点内容进行打点标记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11、支持视频、音频丢失报警功能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12、支持自动对光盘进行封盘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13、讯问结束后刻录的时间不超过5分钟。支持通过硬盘音视频数据实现光盘更换自动回补刻录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14、讯问音视频回放应保证画面清晰，声音无提前或滞后且不失真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15、刻录光盘需包含播放器，无需另外安装播放软件，即可在任意电脑上自动播放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16、支持对光盘进行加密，未通过验证不可进行擦写或拷贝操作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17、访问主机需支持BS和CS两种方式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18、支持音频混音。可显示声音波 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19、支持一键直刻，光盘刻录可选择单盘直刻、双盘直刻或循环直刻，并可自定义刻录通道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20、支持GB/T28181、RTSP等接入协议，并具有H.323协议相关设置功能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21、支持画面合成，合成数量支持1/2/3/4/5/6/8，合成画面可独立编码，支持H.265编码格式，分辨率支持不低于4K，帧率支持60fps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22、支持上传证据资料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23、支持接入人体生命体征信息，可在实时视频上同步叠加血压、血氧、心律等体征信息</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B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8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947048F">
            <w:pPr>
              <w:jc w:val="center"/>
              <w:rPr>
                <w:rFonts w:hint="eastAsia" w:ascii="等线" w:hAnsi="等线" w:eastAsia="等线" w:cs="等线"/>
                <w:i w:val="0"/>
                <w:iCs w:val="0"/>
                <w:color w:val="000000"/>
                <w:sz w:val="18"/>
                <w:szCs w:val="18"/>
                <w:u w:val="none"/>
              </w:rPr>
            </w:pPr>
          </w:p>
        </w:tc>
      </w:tr>
      <w:tr w14:paraId="75C7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5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B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智能一体化讯问设备</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C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主机搭配国产CPU和国产操作系统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外观升级，钣木结合设计，优化组装方式，减重方便搬运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增加氛围灯带，藏线槽设计，整体更加美观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被调查人特写摄像机视场角可调，适应不同场景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集成高性能终端主机、高清特写相机、示证液晶屏，施工简单，操作便捷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支持一键开机功能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支持四路示证切换功能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接口丰富，可扩展集成审讯过程中所用到的一系列外围设备，方便办案人员快速办案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支持一键求助报警、电子指纹签字确认文书、协同办案</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6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4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C57350F">
            <w:pPr>
              <w:jc w:val="center"/>
              <w:rPr>
                <w:rFonts w:hint="eastAsia" w:ascii="等线" w:hAnsi="等线" w:eastAsia="等线" w:cs="等线"/>
                <w:i w:val="0"/>
                <w:iCs w:val="0"/>
                <w:color w:val="000000"/>
                <w:sz w:val="18"/>
                <w:szCs w:val="18"/>
                <w:u w:val="none"/>
              </w:rPr>
            </w:pPr>
          </w:p>
        </w:tc>
      </w:tr>
      <w:tr w14:paraId="23D8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6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4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智能嫌疑人座椅</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B3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全金属框架，人体接触面软包设计，座椅应为直靠椅，并配有坐垫、靠垫、扶手垫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表面光滑，无尖锐棱角，安全可靠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具备左右手、胸部、腿部约束锁具，且锁具应无法用人力打开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约束锁应能通过遥控和平台控制开锁，支持单一锁具开启和一键全开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在断电的情况下，门栏锁应能自动打开，左/右手锁、胸部锁应能采用机械钥匙打开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接口要求不少于：1个供电接口、1路RJ45网络接口和1个USB接口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审讯椅各部件与人体接触面及连接处不应有棱角，表面应圆滑，使用螺栓连接时连接处外表面应使用软质材料包覆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腕部集成体征监测传感器，支持无感体征监测，应能通过体征监测传感器采集心率、体温，并能在平台实时显示审讯椅监测的心率、体温信息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具备电子签名捺印设备安装位置并预留走线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应能在DC12V±10%的供电条件下正常工作 ；</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2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6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FC74504">
            <w:pPr>
              <w:jc w:val="center"/>
              <w:rPr>
                <w:rFonts w:hint="eastAsia" w:ascii="等线" w:hAnsi="等线" w:eastAsia="等线" w:cs="等线"/>
                <w:i w:val="0"/>
                <w:iCs w:val="0"/>
                <w:color w:val="000000"/>
                <w:sz w:val="18"/>
                <w:szCs w:val="18"/>
                <w:u w:val="none"/>
              </w:rPr>
            </w:pPr>
          </w:p>
        </w:tc>
      </w:tr>
      <w:tr w14:paraId="7AEF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7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D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示证展台</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1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1、双臂≥5关节，灵活机构，标配高亮度LED灯；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2、≥800万像素，高清自动对焦镜头；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3、丰富接口面板，支持HDMI、VGA；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4、内置麦克风，1080P高清视频同步录制；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5、最大A3幅面拍摄，支持微距拍摄；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6、翻转镜像功能，让画面可以得到多方位展示；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7、冻结图像功能，可捕捉视频的瞬间图像，放大图像；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8、图像处理功能，可对图像进行亮度、对比度、饱和度、去黑边、裁剪、翻转、锐化等处理；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9、一键切屏功能，可通过快速切换视频软件界面操作按钮，实现多种模式操作</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F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A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59F7E87">
            <w:pPr>
              <w:jc w:val="center"/>
              <w:rPr>
                <w:rFonts w:hint="eastAsia" w:ascii="等线" w:hAnsi="等线" w:eastAsia="等线" w:cs="等线"/>
                <w:i w:val="0"/>
                <w:iCs w:val="0"/>
                <w:color w:val="000000"/>
                <w:sz w:val="18"/>
                <w:szCs w:val="18"/>
                <w:u w:val="none"/>
              </w:rPr>
            </w:pPr>
          </w:p>
        </w:tc>
      </w:tr>
      <w:tr w14:paraId="603A4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4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温湿度显示屏</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2E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标准时钟温湿度屏设计，具有RS485接口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静态数字显示，适于同步录音录像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采用超高精度时钟，精度可达2PPM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支持自动校准时钟，与摄像机、审讯主机时间同步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温湿度和紧急情况报警设定及处理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12V低压供电，标配电源适配器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支持年月日、时间、星期、温度、湿度显示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支持时间调节、显示屏开关等</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D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F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36C34ED">
            <w:pPr>
              <w:jc w:val="center"/>
              <w:rPr>
                <w:rFonts w:hint="eastAsia" w:ascii="等线" w:hAnsi="等线" w:eastAsia="等线" w:cs="等线"/>
                <w:i w:val="0"/>
                <w:iCs w:val="0"/>
                <w:color w:val="000000"/>
                <w:sz w:val="18"/>
                <w:szCs w:val="18"/>
                <w:u w:val="none"/>
              </w:rPr>
            </w:pPr>
          </w:p>
        </w:tc>
      </w:tr>
      <w:tr w14:paraId="3F31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D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0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F8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1、设备拥有≥8英寸触摸显示屏，有不少于1个TF卡槽，最大支持512G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采用不低于1/2.8 2MP CMOS高清宽动态双摄像头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应采用双目相机，一路可见光摄像头和一路红外摄像头，设备WEB端应具有宽动态启闭选项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应支持人脸、人体移动预测，唤醒设备；应支持人脸、人体及物体移动侦测，唤醒白光补光灯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设备支持不少于1路电源接口、1路 RS-485 接口、1路10/100Mbps以太网口、1路韦根输入接口、1路韦根输出接口、1个USB接口、2路报警输入接口、1路报警输出接口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刷卡时，设备应有蜂鸣器提示音；应支持比对结果语音提示和语音音量调节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应支持比对结果图文提示功能；应支持本地视频预览、人脸动态捕捉；应支持查看人员信息、设备模式（如首脸/首卡开门、永久开门、永久关门等）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设备应具有补光功能，应支持不少于10000个用户，用户应能设置为管理员权限；设备应支持存储不少于10000个密码、10000张人脸库、10000张卡片、100000条本地进出记录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设备应具有显示功能，应支持红外及白光灯补光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设备应支持人脸识别、IC卡识读密码识读的认证方式；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设备应具有人脸比对功能，应支持人脸识别功能，现场抓拍人脸照片与本地人脸库照片进行比对，进行人员核验；支持人脸识别多阈值设置；支持陌生人抓拍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设备人脸识别准确率≥99.5%；防护等级不低于IP65，室外防水，可用于室内室外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可在-20℃-60℃内正常工作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设备应具有黑名单功能，应支持中心下发黑名单信息；应支持本地不少于10000个人脸黑名单比较；应支持本地黑名单信息比对；应支持本地黑名单事件，黑名单事件信息可上传平台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设备应具有节能功能，应支持在没有用户使用时自动切换到熄屏待机状态，应支持物体靠近自动唤醒待机设备，应支持在正常光照环境下不开启白光补光灯实现人脸识别</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1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B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2E20E23">
            <w:pPr>
              <w:jc w:val="center"/>
              <w:rPr>
                <w:rFonts w:hint="eastAsia" w:ascii="等线" w:hAnsi="等线" w:eastAsia="等线" w:cs="等线"/>
                <w:i w:val="0"/>
                <w:iCs w:val="0"/>
                <w:color w:val="000000"/>
                <w:sz w:val="18"/>
                <w:szCs w:val="18"/>
                <w:u w:val="none"/>
              </w:rPr>
            </w:pPr>
          </w:p>
        </w:tc>
      </w:tr>
      <w:tr w14:paraId="12E5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7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3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6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6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6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3D1470C">
            <w:pPr>
              <w:jc w:val="center"/>
              <w:rPr>
                <w:rFonts w:hint="eastAsia" w:ascii="等线" w:hAnsi="等线" w:eastAsia="等线" w:cs="等线"/>
                <w:i w:val="0"/>
                <w:iCs w:val="0"/>
                <w:color w:val="000000"/>
                <w:sz w:val="18"/>
                <w:szCs w:val="18"/>
                <w:u w:val="none"/>
              </w:rPr>
            </w:pPr>
          </w:p>
        </w:tc>
      </w:tr>
      <w:tr w14:paraId="6504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0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A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电磁锁</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E5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1、280kg单门两线拉丝磁力锁；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2、通电上锁，无残磁、无机械磨损；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3、适用于90度开的任何有框门，如木门丶防火门丶玻璃门；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4、对于无框门，需要选配支架。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5、最大功率3W</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C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2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EDC9643">
            <w:pPr>
              <w:jc w:val="center"/>
              <w:rPr>
                <w:rFonts w:hint="eastAsia" w:ascii="等线" w:hAnsi="等线" w:eastAsia="等线" w:cs="等线"/>
                <w:i w:val="0"/>
                <w:iCs w:val="0"/>
                <w:color w:val="000000"/>
                <w:sz w:val="18"/>
                <w:szCs w:val="18"/>
                <w:u w:val="none"/>
              </w:rPr>
            </w:pPr>
          </w:p>
        </w:tc>
      </w:tr>
      <w:tr w14:paraId="1B19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D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5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电锁电源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2F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7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E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A4A6E1A">
            <w:pPr>
              <w:jc w:val="center"/>
              <w:rPr>
                <w:rFonts w:hint="eastAsia" w:ascii="等线" w:hAnsi="等线" w:eastAsia="等线" w:cs="等线"/>
                <w:i w:val="0"/>
                <w:iCs w:val="0"/>
                <w:color w:val="000000"/>
                <w:sz w:val="18"/>
                <w:szCs w:val="18"/>
                <w:u w:val="none"/>
              </w:rPr>
            </w:pPr>
          </w:p>
        </w:tc>
      </w:tr>
      <w:tr w14:paraId="4AF2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2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B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L型支架</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3B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1、配合电磁锁使用。</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0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3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5F904FC">
            <w:pPr>
              <w:jc w:val="center"/>
              <w:rPr>
                <w:rFonts w:hint="eastAsia" w:ascii="等线" w:hAnsi="等线" w:eastAsia="等线" w:cs="等线"/>
                <w:i w:val="0"/>
                <w:iCs w:val="0"/>
                <w:color w:val="000000"/>
                <w:sz w:val="18"/>
                <w:szCs w:val="18"/>
                <w:u w:val="none"/>
              </w:rPr>
            </w:pPr>
          </w:p>
        </w:tc>
      </w:tr>
      <w:tr w14:paraId="641C3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0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F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出门开关</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C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1、适用空心门框及埋入式电器盒使用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2、PC防火材料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3、50万次机械使用寿命</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B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B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76BDD42">
            <w:pPr>
              <w:jc w:val="center"/>
              <w:rPr>
                <w:rFonts w:hint="eastAsia" w:ascii="等线" w:hAnsi="等线" w:eastAsia="等线" w:cs="等线"/>
                <w:i w:val="0"/>
                <w:iCs w:val="0"/>
                <w:color w:val="000000"/>
                <w:sz w:val="18"/>
                <w:szCs w:val="18"/>
                <w:u w:val="none"/>
              </w:rPr>
            </w:pPr>
          </w:p>
        </w:tc>
      </w:tr>
      <w:tr w14:paraId="236A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A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9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窗口对讲机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7F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1、采用DSP双通道语音自动控制技术，有效防止啸叫和通道干扰，符合GA38-2015文件要求，实现数字高清全双工扩音对讲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2、采用全触摸按钮设计的窗口对讲，按键使用无次数限制，并伴有光环灯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3、能识别发声源，同时抑制环境噪声，自动调节音量，真实还原人的声音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4、提供三种场景模式（安静、标准、嘈杂）一键调节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5、内机与外机接线方式采用一根尾端线连接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6、采用硬质金属腔体，能够杜绝机身共振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7、提供模拟输出口，实现第三方同步录音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8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3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68369F4">
            <w:pPr>
              <w:jc w:val="center"/>
              <w:rPr>
                <w:rFonts w:hint="eastAsia" w:ascii="等线" w:hAnsi="等线" w:eastAsia="等线" w:cs="等线"/>
                <w:i w:val="0"/>
                <w:iCs w:val="0"/>
                <w:color w:val="000000"/>
                <w:sz w:val="18"/>
                <w:szCs w:val="18"/>
                <w:u w:val="none"/>
              </w:rPr>
            </w:pPr>
          </w:p>
        </w:tc>
      </w:tr>
      <w:tr w14:paraId="3F47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2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1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紫外线消毒灯</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58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1、额定工作电压 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2、适用面积 20-50㎡；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3、功率 20-40W；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4、可遥控定时。</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E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1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B949D2D">
            <w:pPr>
              <w:jc w:val="center"/>
              <w:rPr>
                <w:rFonts w:hint="eastAsia" w:ascii="等线" w:hAnsi="等线" w:eastAsia="等线" w:cs="等线"/>
                <w:i w:val="0"/>
                <w:iCs w:val="0"/>
                <w:color w:val="000000"/>
                <w:sz w:val="18"/>
                <w:szCs w:val="18"/>
                <w:u w:val="none"/>
              </w:rPr>
            </w:pPr>
          </w:p>
        </w:tc>
      </w:tr>
      <w:tr w14:paraId="6A55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5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4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LED门牌设备</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D7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1、支持双行双色显示，第一行显示房间号，第二行显示房间状态；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2、第二行可以通过平台联动显示办案中、空闲中、预约中等；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3、每行最多可同时显示5个汉字，超过5字支持滚动显示；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4、采用网络控制协议，RJ45接口。</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F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2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4067288">
            <w:pPr>
              <w:jc w:val="center"/>
              <w:rPr>
                <w:rFonts w:hint="eastAsia" w:ascii="等线" w:hAnsi="等线" w:eastAsia="等线" w:cs="等线"/>
                <w:i w:val="0"/>
                <w:iCs w:val="0"/>
                <w:color w:val="000000"/>
                <w:sz w:val="18"/>
                <w:szCs w:val="18"/>
                <w:u w:val="none"/>
              </w:rPr>
            </w:pPr>
          </w:p>
        </w:tc>
      </w:tr>
      <w:tr w14:paraId="7E54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28" w:type="dxa"/>
            <w:gridSpan w:val="5"/>
            <w:tcBorders>
              <w:top w:val="single" w:color="000000" w:sz="4" w:space="0"/>
              <w:left w:val="single" w:color="000000" w:sz="4" w:space="0"/>
              <w:bottom w:val="single" w:color="000000" w:sz="4" w:space="0"/>
              <w:right w:val="nil"/>
            </w:tcBorders>
            <w:shd w:val="clear" w:color="auto" w:fill="auto"/>
            <w:vAlign w:val="center"/>
          </w:tcPr>
          <w:p w14:paraId="75F366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（十）未成年询问室</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3D774C4">
            <w:pPr>
              <w:jc w:val="center"/>
              <w:rPr>
                <w:rFonts w:hint="eastAsia" w:ascii="等线" w:hAnsi="等线" w:eastAsia="等线" w:cs="等线"/>
                <w:i w:val="0"/>
                <w:iCs w:val="0"/>
                <w:color w:val="000000"/>
                <w:sz w:val="18"/>
                <w:szCs w:val="18"/>
                <w:u w:val="none"/>
              </w:rPr>
            </w:pPr>
          </w:p>
        </w:tc>
      </w:tr>
      <w:tr w14:paraId="4577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0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5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拾音器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8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1、采用高保真预极化电容传声器，可对前期音频无差别拾取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2、可实时对拾取到的音频信号进行噪音滤除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3、内置雷击保护、电源极性反接保护和静电保护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4、内置可调电位器，音量调节最小可关闭（无声音输出）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5、监听半径1-7m（内置电位器可调）</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9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8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8F4B1D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p>
        </w:tc>
      </w:tr>
      <w:tr w14:paraId="2F01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0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1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4K全景人体结构化摄像机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3B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1、不低于800万像素CMOS传感器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2、2.7~13.5mm电动变焦，支持一键聚焦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3、支持三码流同时输出，主码流最高分辨率可达8MP@20fps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4、支持人脸抓拍，单画面同时检测人脸数不低于32张，单画面同时抓拍人脸数不低于16张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5、人脸识别距离不少于10米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6、支持通过IE浏览器显示人员年龄、性别、民族、表情、戴眼镜、带口罩、是否有胡子、衣服颜色、上衣类型、是否背包、戴帽子等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7、人脸抓拍率不低于97%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8、红外补光距离不低于50米，支持补光变倍匹配功能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9、支持以某一物理位置为坐标原点，分别标定镜头的离地高度、俯仰角、倾斜角、实际坐标等信息并建立坐标系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10、支持同时检测不低于20个行人，并显示行进轨迹，实时输出坐标信息和时间戳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11、支持对经过设定区域内的行人进行人体检测并抓拍，可抓拍人体正面、背面、侧面人体图片并上传至平台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12、支持人脸大小过滤功能和人脸抓拍质量过滤功能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13、接口不少于：音频输入/输出各一个、内置MIC、报警输入2个，报警输出1个，支持SD卡槽（最大支持512G）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14、支持宽动态、背光补偿、强光抑制、3D降噪和图像翻转功能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15、防护等级不低于：外壳防尘防水IP67，防暴等级IK10，4级防雷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16、支持POE、DC12V供电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0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7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BD922A9">
            <w:pPr>
              <w:jc w:val="center"/>
              <w:rPr>
                <w:rFonts w:hint="eastAsia" w:ascii="等线" w:hAnsi="等线" w:eastAsia="等线" w:cs="等线"/>
                <w:i w:val="0"/>
                <w:iCs w:val="0"/>
                <w:color w:val="000000"/>
                <w:sz w:val="18"/>
                <w:szCs w:val="18"/>
                <w:u w:val="none"/>
              </w:rPr>
            </w:pPr>
          </w:p>
        </w:tc>
      </w:tr>
      <w:tr w14:paraId="0ECF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C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1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8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9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628C988">
            <w:pPr>
              <w:jc w:val="center"/>
              <w:rPr>
                <w:rFonts w:hint="eastAsia" w:ascii="等线" w:hAnsi="等线" w:eastAsia="等线" w:cs="等线"/>
                <w:i w:val="0"/>
                <w:iCs w:val="0"/>
                <w:color w:val="000000"/>
                <w:sz w:val="18"/>
                <w:szCs w:val="18"/>
                <w:u w:val="none"/>
              </w:rPr>
            </w:pPr>
          </w:p>
        </w:tc>
      </w:tr>
      <w:tr w14:paraId="60D6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5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2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B3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1、额定工作电压(V/DC) 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2、工作电压范围(V) 9-15V；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3、工作电流范围(mA) ≤300；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4、工作温度(℃) ﹣20~﹢60℃；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5、声压(dB) ≥105dB/m；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6、连续工作时间 ≥45min DC12V；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7、闪灯次数(分钟) 200±30。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E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B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93D0115">
            <w:pPr>
              <w:jc w:val="center"/>
              <w:rPr>
                <w:rFonts w:hint="eastAsia" w:ascii="等线" w:hAnsi="等线" w:eastAsia="等线" w:cs="等线"/>
                <w:i w:val="0"/>
                <w:iCs w:val="0"/>
                <w:color w:val="000000"/>
                <w:sz w:val="18"/>
                <w:szCs w:val="18"/>
                <w:u w:val="none"/>
              </w:rPr>
            </w:pPr>
          </w:p>
        </w:tc>
      </w:tr>
      <w:tr w14:paraId="1183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D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5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公安审讯主机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CE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1、支持不拆机箱更换光驱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2、接口要求不少于：1个RJ45网络接口、4个POE网络接口、1个HDMI输入、1个VGA输入、1个VGA输出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3、支持高音质音频接入，音频编码标准应采用AAC，音频采样率8KHz/32KHz/48KHz可调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4、支持校正时钟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5、支持不少于6个前置硬盘插槽，支持热插拔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6、单张光盘刻录的音视频时长不低于4小时，且不影响刻录的音视频质量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采集讯问室实时音视频和环境信息，包括讯问民警人声、嫌疑人人声、其他环境声音、嫌疑人正面画面、室内全景画面、时间、温度、湿度等；采集的声音和图像应清晰无损坏，支持8路视频通道和3路合成通道共11路通道的同时采集录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8、支持视频自动叠加片头，叠加内容可设置案件编号、案件名称、审讯民警姓名、嫌疑人姓名等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9、支持硬盘自动存储和双光驱刻录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10、支持打点功能，在硬盘存储和光盘刻录过程中可对重点内容进行打点标记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11、支持视频、音频丢失报警功能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12、支持自动对光盘进行封盘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13、讯问结束后刻录的时间不超过5分钟。支持通过硬盘音视频数据实现光盘更换自动回补刻录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14、讯问音视频回放应保证画面清晰，声音无提前或滞后且不失真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15、刻录光盘需包含播放器，无需另外安装播放软件，即可在任意电脑上自动播放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16、支持对光盘进行加密，未通过验证不可进行擦写或拷贝操作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17、访问主机需支持BS和CS两种方式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18、支持音频混音。可显示声音波 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19、支持一键直刻，光盘刻录可选择单盘直刻、双盘直刻或循环直刻，并可自定义刻录通道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20、支持GB/T28181、RTSP等接入协议，并具有H.323协议相关设置功能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21、支持画面合成，合成数量支持1/2/3/4/5/6/8，合成画面可独立编码，支持H.265编码格式，分辨率支持不低于4K，帧率支持60fps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22、支持上传证据资料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23、支持接入人体生命体征信息，可在实时视频上同步叠加血压、血氧、心律等体征信息</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8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B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A0967F5">
            <w:pPr>
              <w:jc w:val="center"/>
              <w:rPr>
                <w:rFonts w:hint="eastAsia" w:ascii="等线" w:hAnsi="等线" w:eastAsia="等线" w:cs="等线"/>
                <w:i w:val="0"/>
                <w:iCs w:val="0"/>
                <w:color w:val="000000"/>
                <w:sz w:val="18"/>
                <w:szCs w:val="18"/>
                <w:u w:val="none"/>
              </w:rPr>
            </w:pPr>
          </w:p>
        </w:tc>
      </w:tr>
      <w:tr w14:paraId="5593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0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6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示证展台</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F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1、双臂≥5关节，灵活机构，标配高亮度LED灯；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2、≥800万像素，高清自动对焦镜头；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3、丰富接口面板，支持HDMI、VGA；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4、内置麦克风，1080P高清视频同步录制；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5、最大A3幅面拍摄，支持微距拍摄；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6、翻转镜像功能，让画面可以得到多方位展示；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7、冻结图像功能，可捕捉视频的瞬间图像，放大图像；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8、图像处理功能，可对图像进行亮度、对比度、饱和度、去黑边、裁剪、翻转、锐化等处理；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9、一键切屏功能，可通过快速切换视频软件界面操作按钮，实现多种模式操作</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2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4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8183A1F">
            <w:pPr>
              <w:jc w:val="center"/>
              <w:rPr>
                <w:rFonts w:hint="eastAsia" w:ascii="等线" w:hAnsi="等线" w:eastAsia="等线" w:cs="等线"/>
                <w:i w:val="0"/>
                <w:iCs w:val="0"/>
                <w:color w:val="000000"/>
                <w:sz w:val="18"/>
                <w:szCs w:val="18"/>
                <w:u w:val="none"/>
              </w:rPr>
            </w:pPr>
          </w:p>
        </w:tc>
      </w:tr>
      <w:tr w14:paraId="26BA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5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9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温湿度显示屏</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A5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标准时钟温湿度屏设计，具有RS485接口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静态数字显示，适于同步录音录像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采用超高精度时钟，精度可达2PPM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支持自动校准时钟，与摄像机、审讯主机时间同步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温湿度和紧急情况报警设定及处理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12V低压供电，标配电源适配器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支持年月日、时间、星期、温度、湿度显示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支持时间调节、显示屏开关等</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4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B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A312951">
            <w:pPr>
              <w:jc w:val="center"/>
              <w:rPr>
                <w:rFonts w:hint="eastAsia" w:ascii="等线" w:hAnsi="等线" w:eastAsia="等线" w:cs="等线"/>
                <w:i w:val="0"/>
                <w:iCs w:val="0"/>
                <w:color w:val="000000"/>
                <w:sz w:val="18"/>
                <w:szCs w:val="18"/>
                <w:u w:val="none"/>
              </w:rPr>
            </w:pPr>
          </w:p>
        </w:tc>
      </w:tr>
      <w:tr w14:paraId="02A44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D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5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B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1、设备拥有≥8英寸触摸显示屏，有不少于1个TF卡槽，最大支持512G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采用不低于1/2.8 2MP CMOS高清宽动态双摄像头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应采用双目相机，一路可见光摄像头和一路红外摄像头，设备WEB端应具有宽动态启闭选项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应支持人脸、人体移动预测，唤醒设备；应支持人脸、人体及物体移动侦测，唤醒白光补光灯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设备支持不少于1路电源接口、1路 RS-485 接口、1路10/100Mbps以太网口、1路韦根输入接口、1路韦根输出接口、1个USB接口、2路报警输入接口、1路报警输出接口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刷卡时，设备应有蜂鸣器提示音；应支持比对结果语音提示和语音音量调节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应支持比对结果图文提示功能；应支持本地视频预览、人脸动态捕捉；应支持查看人员信息、设备模式（如首脸/首卡开门、永久开门、永久关门等）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设备应具有补光功能，应支持不少于10000个用户，用户应能设置为管理员权限；设备应支持存储不少于10000个密码、10000张人脸库、10000张卡片、100000条本地进出记录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设备应具有显示功能，应支持红外及白光灯补光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设备应支持人脸识别、IC卡识读密码识读的认证方式；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设备应具有人脸比对功能，应支持人脸识别功能，现场抓拍人脸照片与本地人脸库照片进行比对，进行人员核验；支持人脸识别多阈值设置；支持陌生人抓拍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设备人脸识别准确率≥99.5%；防护等级不低于IP65，室外防水，可用于室内室外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可在-20℃-60℃内正常工作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设备应具有黑名单功能，应支持中心下发黑名单信息；应支持本地不少于10000个人脸黑名单比较；应支持本地黑名单信息比对；应支持本地黑名单事件，黑名单事件信息可上传平台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设备应具有节能功能，应支持在没有用户使用时自动切换到熄屏待机状态，应支持物体靠近自动唤醒待机设备，应支持在正常光照环境下不开启白光补光灯实现人脸识别</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5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C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356E337">
            <w:pPr>
              <w:jc w:val="center"/>
              <w:rPr>
                <w:rFonts w:hint="eastAsia" w:ascii="等线" w:hAnsi="等线" w:eastAsia="等线" w:cs="等线"/>
                <w:i w:val="0"/>
                <w:iCs w:val="0"/>
                <w:color w:val="000000"/>
                <w:sz w:val="18"/>
                <w:szCs w:val="18"/>
                <w:u w:val="none"/>
              </w:rPr>
            </w:pPr>
          </w:p>
        </w:tc>
      </w:tr>
      <w:tr w14:paraId="34CBD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9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8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B6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B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C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4106499">
            <w:pPr>
              <w:jc w:val="center"/>
              <w:rPr>
                <w:rFonts w:hint="eastAsia" w:ascii="等线" w:hAnsi="等线" w:eastAsia="等线" w:cs="等线"/>
                <w:i w:val="0"/>
                <w:iCs w:val="0"/>
                <w:color w:val="000000"/>
                <w:sz w:val="18"/>
                <w:szCs w:val="18"/>
                <w:u w:val="none"/>
              </w:rPr>
            </w:pPr>
          </w:p>
        </w:tc>
      </w:tr>
      <w:tr w14:paraId="287C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3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7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电磁锁</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0A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1、280kg单门两线拉丝磁力锁；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2、通电上锁，无残磁、无机械磨损；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3、适用于90度开的任何有框门，如木门丶防火门丶玻璃门；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4、对于无框门，需要选配支架。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5、最大功率3W</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E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7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1CE9F46">
            <w:pPr>
              <w:jc w:val="center"/>
              <w:rPr>
                <w:rFonts w:hint="eastAsia" w:ascii="等线" w:hAnsi="等线" w:eastAsia="等线" w:cs="等线"/>
                <w:i w:val="0"/>
                <w:iCs w:val="0"/>
                <w:color w:val="000000"/>
                <w:sz w:val="18"/>
                <w:szCs w:val="18"/>
                <w:u w:val="none"/>
              </w:rPr>
            </w:pPr>
          </w:p>
        </w:tc>
      </w:tr>
      <w:tr w14:paraId="7C73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7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3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电锁电源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F4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8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E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E970241">
            <w:pPr>
              <w:jc w:val="center"/>
              <w:rPr>
                <w:rFonts w:hint="eastAsia" w:ascii="等线" w:hAnsi="等线" w:eastAsia="等线" w:cs="等线"/>
                <w:i w:val="0"/>
                <w:iCs w:val="0"/>
                <w:color w:val="000000"/>
                <w:sz w:val="18"/>
                <w:szCs w:val="18"/>
                <w:u w:val="none"/>
              </w:rPr>
            </w:pPr>
          </w:p>
        </w:tc>
      </w:tr>
      <w:tr w14:paraId="6FC10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F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9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L型支架</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2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1、配合电磁锁使用。</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B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4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C524DB0">
            <w:pPr>
              <w:jc w:val="center"/>
              <w:rPr>
                <w:rFonts w:hint="eastAsia" w:ascii="等线" w:hAnsi="等线" w:eastAsia="等线" w:cs="等线"/>
                <w:i w:val="0"/>
                <w:iCs w:val="0"/>
                <w:color w:val="000000"/>
                <w:sz w:val="18"/>
                <w:szCs w:val="18"/>
                <w:u w:val="none"/>
              </w:rPr>
            </w:pPr>
          </w:p>
        </w:tc>
      </w:tr>
      <w:tr w14:paraId="5443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A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A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LED门牌设备</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C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1、支持双行双色显示，第一行显示房间号，第二行显示房间状态；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2、第二行可以通过平台联动显示办案中、空闲中、预约中等；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3、每行最多可同时显示5个汉字，超过5字支持滚动显示；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4、采用网络控制协议，RJ45接口。</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4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5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6CA9FF3">
            <w:pPr>
              <w:jc w:val="center"/>
              <w:rPr>
                <w:rFonts w:hint="eastAsia" w:ascii="等线" w:hAnsi="等线" w:eastAsia="等线" w:cs="等线"/>
                <w:i w:val="0"/>
                <w:iCs w:val="0"/>
                <w:color w:val="000000"/>
                <w:sz w:val="18"/>
                <w:szCs w:val="18"/>
                <w:u w:val="none"/>
              </w:rPr>
            </w:pPr>
          </w:p>
        </w:tc>
      </w:tr>
      <w:tr w14:paraId="72FA3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8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5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出门开关</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E6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1、适用空心门框及埋入式电器盒使用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2、PC防火材料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3、50万次机械使用寿命</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3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1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EB988C5">
            <w:pPr>
              <w:jc w:val="center"/>
              <w:rPr>
                <w:rFonts w:hint="eastAsia" w:ascii="等线" w:hAnsi="等线" w:eastAsia="等线" w:cs="等线"/>
                <w:i w:val="0"/>
                <w:iCs w:val="0"/>
                <w:color w:val="000000"/>
                <w:sz w:val="18"/>
                <w:szCs w:val="18"/>
                <w:u w:val="none"/>
              </w:rPr>
            </w:pPr>
          </w:p>
        </w:tc>
      </w:tr>
      <w:tr w14:paraId="692FF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28" w:type="dxa"/>
            <w:gridSpan w:val="5"/>
            <w:tcBorders>
              <w:top w:val="single" w:color="000000" w:sz="4" w:space="0"/>
              <w:left w:val="single" w:color="000000" w:sz="4" w:space="0"/>
              <w:bottom w:val="single" w:color="000000" w:sz="4" w:space="0"/>
              <w:right w:val="nil"/>
            </w:tcBorders>
            <w:shd w:val="clear" w:color="auto" w:fill="auto"/>
            <w:vAlign w:val="center"/>
          </w:tcPr>
          <w:p w14:paraId="7780F8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（十一）辨认室</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6C3F3FD">
            <w:pPr>
              <w:jc w:val="center"/>
              <w:rPr>
                <w:rFonts w:hint="eastAsia" w:ascii="等线" w:hAnsi="等线" w:eastAsia="等线" w:cs="等线"/>
                <w:i w:val="0"/>
                <w:iCs w:val="0"/>
                <w:color w:val="000000"/>
                <w:sz w:val="18"/>
                <w:szCs w:val="18"/>
                <w:u w:val="none"/>
              </w:rPr>
            </w:pPr>
          </w:p>
        </w:tc>
      </w:tr>
      <w:tr w14:paraId="571FE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A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7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拾音器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D2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1、采用高保真预极化电容传声器，可对前期音频无差别拾取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2、可实时对拾取到的音频信号进行噪音滤除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3、内置雷击保护、电源极性反接保护和静电保护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4、内置可调电位器，音量调节最小可关闭（无声音输出）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5、监听半径1-7m（内置电位器可调）</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0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4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FA9A8A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p>
        </w:tc>
      </w:tr>
      <w:tr w14:paraId="17E9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C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E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4K全景人体结构化摄像机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A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1、不低于800万像素CMOS传感器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2、2.7~13.5mm电动变焦，支持一键聚焦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3、支持三码流同时输出，主码流最高分辨率可达8MP@20fps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4、支持人脸抓拍，单画面同时检测人脸数不低于32张，单画面同时抓拍人脸数不低于16张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5、人脸识别距离不少于10米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6、支持通过IE浏览器显示人员年龄、性别、民族、表情、戴眼镜、带口罩、是否有胡子、衣服颜色、上衣类型、是否背包、戴帽子等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7、人脸抓拍率不低于97%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8、红外补光距离不低于50米，支持补光变倍匹配功能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9、支持以某一物理位置为坐标原点，分别标定镜头的离地高度、俯仰角、倾斜角、实际坐标等信息并建立坐标系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10、支持同时检测不低于20个行人，并显示行进轨迹，实时输出坐标信息和时间戳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11、支持对经过设定区域内的行人进行人体检测并抓拍，可抓拍人体正面、背面、侧面人体图片并上传至平台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12、支持人脸大小过滤功能和人脸抓拍质量过滤功能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13、接口不少于：音频输入/输出各一个、内置MIC、报警输入2个，报警输出1个，支持SD卡槽（最大支持512G）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14、支持宽动态、背光补偿、强光抑制、3D降噪和图像翻转功能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15、防护等级不低于：外壳防尘防水IP67，防暴等级IK10，4级防雷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16、支持POE、DC12V供电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4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5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26009B4">
            <w:pPr>
              <w:jc w:val="center"/>
              <w:rPr>
                <w:rFonts w:hint="eastAsia" w:ascii="等线" w:hAnsi="等线" w:eastAsia="等线" w:cs="等线"/>
                <w:i w:val="0"/>
                <w:iCs w:val="0"/>
                <w:color w:val="000000"/>
                <w:sz w:val="18"/>
                <w:szCs w:val="18"/>
                <w:u w:val="none"/>
              </w:rPr>
            </w:pPr>
          </w:p>
        </w:tc>
      </w:tr>
      <w:tr w14:paraId="4AFEA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8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1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1F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A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D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CBBB4A4">
            <w:pPr>
              <w:jc w:val="center"/>
              <w:rPr>
                <w:rFonts w:hint="eastAsia" w:ascii="等线" w:hAnsi="等线" w:eastAsia="等线" w:cs="等线"/>
                <w:i w:val="0"/>
                <w:iCs w:val="0"/>
                <w:color w:val="000000"/>
                <w:sz w:val="18"/>
                <w:szCs w:val="18"/>
                <w:u w:val="none"/>
              </w:rPr>
            </w:pPr>
          </w:p>
        </w:tc>
      </w:tr>
      <w:tr w14:paraId="371B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2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5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窗口对讲机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9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1、采用DSP双通道语音自动控制技术，有效防止啸叫和通道干扰，符合GA38-2015文件要求，实现数字高清全双工扩音对讲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2、采用全触摸按钮设计的窗口对讲，按键使用无次数限制，并伴有光环灯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3、能识别发声源，同时抑制环境噪声，自动调节音量，真实还原人的声音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4、提供三种场景模式（安静、标准、嘈杂）一键调节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5、内机与外机接线方式采用一根尾端线连接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6、采用硬质金属腔体，能够杜绝机身共振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7、提供模拟输出口，实现第三方同步录音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A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7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C7F7081">
            <w:pPr>
              <w:jc w:val="center"/>
              <w:rPr>
                <w:rFonts w:hint="eastAsia" w:ascii="等线" w:hAnsi="等线" w:eastAsia="等线" w:cs="等线"/>
                <w:i w:val="0"/>
                <w:iCs w:val="0"/>
                <w:color w:val="000000"/>
                <w:sz w:val="18"/>
                <w:szCs w:val="18"/>
                <w:u w:val="none"/>
              </w:rPr>
            </w:pPr>
          </w:p>
        </w:tc>
      </w:tr>
      <w:tr w14:paraId="34F7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28" w:type="dxa"/>
            <w:gridSpan w:val="5"/>
            <w:tcBorders>
              <w:top w:val="single" w:color="000000" w:sz="4" w:space="0"/>
              <w:left w:val="single" w:color="000000" w:sz="4" w:space="0"/>
              <w:bottom w:val="single" w:color="000000" w:sz="4" w:space="0"/>
              <w:right w:val="nil"/>
            </w:tcBorders>
            <w:shd w:val="clear" w:color="auto" w:fill="auto"/>
            <w:vAlign w:val="center"/>
          </w:tcPr>
          <w:p w14:paraId="3224C0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（十二）合成作战室</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7D02BD3">
            <w:pPr>
              <w:jc w:val="center"/>
              <w:rPr>
                <w:rFonts w:hint="eastAsia" w:ascii="等线" w:hAnsi="等线" w:eastAsia="等线" w:cs="等线"/>
                <w:i w:val="0"/>
                <w:iCs w:val="0"/>
                <w:color w:val="000000"/>
                <w:sz w:val="18"/>
                <w:szCs w:val="18"/>
                <w:u w:val="none"/>
              </w:rPr>
            </w:pPr>
          </w:p>
        </w:tc>
      </w:tr>
      <w:tr w14:paraId="6353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9343">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A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1、办公系统</w:t>
            </w:r>
          </w:p>
        </w:tc>
        <w:tc>
          <w:tcPr>
            <w:tcW w:w="6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B87D">
            <w:pPr>
              <w:jc w:val="lef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EDE2">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DDB9">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3D8D2C5">
            <w:pPr>
              <w:jc w:val="center"/>
              <w:rPr>
                <w:rFonts w:hint="eastAsia" w:ascii="等线" w:hAnsi="等线" w:eastAsia="等线" w:cs="等线"/>
                <w:i w:val="0"/>
                <w:iCs w:val="0"/>
                <w:color w:val="000000"/>
                <w:sz w:val="18"/>
                <w:szCs w:val="18"/>
                <w:u w:val="none"/>
              </w:rPr>
            </w:pPr>
          </w:p>
        </w:tc>
      </w:tr>
      <w:tr w14:paraId="5B97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8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E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拾音器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20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1、采用高保真预极化电容传声器，可对前期音频无差别拾取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2、可实时对拾取到的音频信号进行噪音滤除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3、内置雷击保护、电源极性反接保护和静电保护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4、内置可调电位器，音量调节最小可关闭（无声音输出）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5、监听半径1-7m（内置电位器可调）</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C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2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CEE75F5">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p>
        </w:tc>
      </w:tr>
      <w:tr w14:paraId="7C9B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0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E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环境全景摄像机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3C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1、分辨率不低于1920×1080@25fps，不低于1/2.8英寸CMOS传感器 半球型摄像机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2、最低照度：彩色：≤0.002 lx；黑白：≤0.001 lx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3、设备应配置电动变焦镜头，镜头焦距不低于2.8～12mm，应支持AF辅助聚焦，且可通过IE浏览器进行一键聚焦；应配置不少于14颗红外灯+4颗白光灯；红外补光距离不少于30米，白光补光距离不少于10 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4、设备应支持不少于1个RJ45网口、1个RS485接口、1对音频输入／输出接口、1个TF卡槽、1个复位按钮、内置MIC、内置扬声器；不少于2路报警输入、1路报警输出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5、人脸抓拍捕获率应≥99%，奔跑时人脸抓拍捕获率应≥99% </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6、开启智能行为分析功能后，应可对人、车、人和车进行检测</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7、应支持警戒功能，包括白光警戒、语音警戒，语音警戒可自定义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智能行为分析功能，应可对以下行为进行检测，并可通过客户端软件或IE浏览器给出报警提示：绊线入侵、双绊线入侵、周界入侵、物品遗留、物品丢失、排徊检测、奔跑检测、停车检测、人员聚集、安全帽检测、值岗检测、视频诊断、音频异常侦测</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9、应支持将抓拍的人脸图片上传至指定的FTP服务器</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10、应可对设置检测区域内过往的人员进行双向计数统计，支持4种人数计数功能（垂直、绊线、区域、队列）</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11、检测区域内的人数上限应可配置，当超过设定人数时支持告警上报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12、在IE浏览器下，应具有感兴趣区域设置选项；应能设置不少于8个感兴趣区域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13、字体应可设置为16×16像素、32×32像素、48×48像素、64×64 自适应；应支持时间、日期、星期叠加；应支持5个区域的附加字符叠加，共可叠加5行字符；应支持矢量、点阵字库类型设置；应支持设置5种字体颜色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14、应能将视频图像及抓拍图片存储至TF卡、本地客户端或上传至服务器；最大应支持512GB TF卡；应支持TF卡热插拔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15、应能在DC12V±25％的供电条件下正常工作；支持POE供电；支持反向输出DC12V供电 功耗≤8W （视频预览情况下）</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16、温度范围：-35℃~65℃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17、防护等级≥IP66 </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18、在浏览器或客户端软件下，应具有 H.265、H.264(Main Profile、High Profile、Baseline Profile)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19、网络摄像机的基本接口为10/100M以太网接口，应符合IEEE802.3标准，采用RJ45连接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20、应支持G. 711A、G. 711U、ADPCM_D音频编码设置选项</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1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4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ADE47F2">
            <w:pPr>
              <w:jc w:val="center"/>
              <w:rPr>
                <w:rFonts w:hint="eastAsia" w:ascii="等线" w:hAnsi="等线" w:eastAsia="等线" w:cs="等线"/>
                <w:i w:val="0"/>
                <w:iCs w:val="0"/>
                <w:color w:val="000000"/>
                <w:sz w:val="18"/>
                <w:szCs w:val="18"/>
                <w:u w:val="none"/>
              </w:rPr>
            </w:pPr>
          </w:p>
        </w:tc>
      </w:tr>
      <w:tr w14:paraId="66F41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8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F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3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6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B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CAE1A76">
            <w:pPr>
              <w:jc w:val="center"/>
              <w:rPr>
                <w:rFonts w:hint="eastAsia" w:ascii="等线" w:hAnsi="等线" w:eastAsia="等线" w:cs="等线"/>
                <w:i w:val="0"/>
                <w:iCs w:val="0"/>
                <w:color w:val="000000"/>
                <w:sz w:val="18"/>
                <w:szCs w:val="18"/>
                <w:u w:val="none"/>
              </w:rPr>
            </w:pPr>
          </w:p>
        </w:tc>
      </w:tr>
      <w:tr w14:paraId="1AFD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6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0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操作台</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7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A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7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108E563">
            <w:pPr>
              <w:jc w:val="center"/>
              <w:rPr>
                <w:rFonts w:hint="eastAsia" w:ascii="等线" w:hAnsi="等线" w:eastAsia="等线" w:cs="等线"/>
                <w:i w:val="0"/>
                <w:iCs w:val="0"/>
                <w:color w:val="000000"/>
                <w:sz w:val="18"/>
                <w:szCs w:val="18"/>
                <w:u w:val="none"/>
              </w:rPr>
            </w:pPr>
          </w:p>
        </w:tc>
      </w:tr>
      <w:tr w14:paraId="3E4D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7FE9">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A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2、会议系统</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69B9">
            <w:pPr>
              <w:jc w:val="lef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0DA1">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14C3">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F902F6A">
            <w:pPr>
              <w:jc w:val="center"/>
              <w:rPr>
                <w:rFonts w:hint="eastAsia" w:ascii="等线" w:hAnsi="等线" w:eastAsia="等线" w:cs="等线"/>
                <w:i w:val="0"/>
                <w:iCs w:val="0"/>
                <w:color w:val="000000"/>
                <w:sz w:val="18"/>
                <w:szCs w:val="18"/>
                <w:u w:val="none"/>
              </w:rPr>
            </w:pPr>
          </w:p>
        </w:tc>
      </w:tr>
      <w:tr w14:paraId="3F26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E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C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解码器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4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1、接口要求不少于：1个HDMI接口，1个VGA接口， 1个3.5mm音频接口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2、视频输出：HDMI+VGA同源输出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3、支持语音对讲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4、画面分割：1/2/4/6/8/9/10/13/16/20A/20B/25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5、支持报警输入/输出功能设置，支持布撤防时间设置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6、支持报警联动切换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7、支持单画面添加不少于36路通道轮巡切换解码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8、支持录像文件解码输出上墙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9、支持H.264/265编码格式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10、支持ONVIF标准协议接入设备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11、支持RTP/RTSP协议进行设备浏览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12、支持GB28181协议接入平台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13、支持远程获取和配置参数，支持远程导出和导入参数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14、支持远程重启、恢复默认配置、升级等日常维护</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2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C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71B7C10">
            <w:pPr>
              <w:jc w:val="center"/>
              <w:rPr>
                <w:rFonts w:hint="eastAsia" w:ascii="等线" w:hAnsi="等线" w:eastAsia="等线" w:cs="等线"/>
                <w:i w:val="0"/>
                <w:iCs w:val="0"/>
                <w:color w:val="000000"/>
                <w:sz w:val="18"/>
                <w:szCs w:val="18"/>
                <w:u w:val="none"/>
              </w:rPr>
            </w:pPr>
          </w:p>
        </w:tc>
      </w:tr>
      <w:tr w14:paraId="4730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6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9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液晶电视机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6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86寸</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C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E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20188FC">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p>
        </w:tc>
      </w:tr>
      <w:tr w14:paraId="7C45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EAE4">
            <w:pPr>
              <w:jc w:val="center"/>
              <w:rPr>
                <w:rFonts w:hint="eastAsia" w:ascii="宋体" w:hAnsi="宋体" w:eastAsia="宋体" w:cs="宋体"/>
                <w:i w:val="0"/>
                <w:iCs w:val="0"/>
                <w:color w:val="000000"/>
                <w:sz w:val="18"/>
                <w:szCs w:val="18"/>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6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3、门禁系统</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61F4">
            <w:pPr>
              <w:jc w:val="left"/>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A551">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AE44">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5B635DF">
            <w:pPr>
              <w:jc w:val="center"/>
              <w:rPr>
                <w:rFonts w:hint="eastAsia" w:ascii="等线" w:hAnsi="等线" w:eastAsia="等线" w:cs="等线"/>
                <w:i w:val="0"/>
                <w:iCs w:val="0"/>
                <w:color w:val="000000"/>
                <w:sz w:val="18"/>
                <w:szCs w:val="18"/>
                <w:u w:val="none"/>
              </w:rPr>
            </w:pPr>
          </w:p>
        </w:tc>
      </w:tr>
      <w:tr w14:paraId="2EAD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D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2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D5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设备拥有≥8英寸触摸显示屏，应采用嵌入式Linux系统，有不少于1个TF卡槽，最大支持512G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采用不低于1/2.8 2MP CMOS高清宽动态双摄像头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应采用双目相机，一路可见光摄像头和一路红外摄像头，设备WEB端应具有宽动态启闭选项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应支持人脸、人体移动预测，唤醒设备；应支持人脸、人体及物体移动侦测，唤醒白光补光灯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设备支持不少于1路电源接口、1路 RS-485 接口、1路10/100Mbps以太网口、1路韦根输入接口、1路韦根输出接口、1个USB接口、2路报警输入接口、1路报警输出接口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刷卡时，设备应有蜂鸣器提示音；应支持比对结果语音提示和语音音量调节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应支持比对结果图文提示功能；应支持本地视频预览、人脸动态捕捉；应支持查看人员信息、设备模式（如首脸/首卡开门、永久开门、永久关门等）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设备应具有补光功能，应支持不少于10000个用户，用户应能设置为管理员权限；设备应支持存储不少于10000个密码、10000张人脸库、10000张卡片、100000条本地进出记录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设备应具有显示功能，应支持红外及白光灯补光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设备应支持人脸识别、IC卡识读密码识读的认证方式；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设备应具有人脸比对功能，应支持人脸识别功能，现场抓拍人脸照片与本地人脸库照片进行比对，进行人员核验；支持人脸识别多阈值设置；支持陌生人抓拍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设备人脸识别准确率≥99.5%；防护等级不低于IP65，室外防水，可用于室内室外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可在-20℃-60℃内正常工作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设备应具有黑名单功能，应支持中心下发黑名单信息；应支持本地不少于10000个人脸黑名单比较；应支持本地黑名单信息比对；应支持本地黑名单事件，黑名单事件信息可上传平台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设备应具有节能功能，应支持在没有用户使用时自动切换到熄屏待机状态，应支持物体靠近自动唤醒待机设备，应支持在正常光照环境下不开启白光补光灯实现人脸识别</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D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6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0E716A3">
            <w:pPr>
              <w:jc w:val="center"/>
              <w:rPr>
                <w:rFonts w:hint="eastAsia" w:ascii="等线" w:hAnsi="等线" w:eastAsia="等线" w:cs="等线"/>
                <w:i w:val="0"/>
                <w:iCs w:val="0"/>
                <w:color w:val="000000"/>
                <w:sz w:val="18"/>
                <w:szCs w:val="18"/>
                <w:u w:val="none"/>
              </w:rPr>
            </w:pPr>
          </w:p>
        </w:tc>
      </w:tr>
      <w:tr w14:paraId="25F3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A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C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2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E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4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65FA75A">
            <w:pPr>
              <w:jc w:val="center"/>
              <w:rPr>
                <w:rFonts w:hint="eastAsia" w:ascii="等线" w:hAnsi="等线" w:eastAsia="等线" w:cs="等线"/>
                <w:i w:val="0"/>
                <w:iCs w:val="0"/>
                <w:color w:val="000000"/>
                <w:sz w:val="18"/>
                <w:szCs w:val="18"/>
                <w:u w:val="none"/>
              </w:rPr>
            </w:pPr>
          </w:p>
        </w:tc>
      </w:tr>
      <w:tr w14:paraId="3F3D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E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C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2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交流输入范围通过开关选择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直流电压DC12V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额定电流12.5A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额定功率150W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可承受300vac浪涌输入5秒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空载功耗&lt;0.5W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体积小，1U低外型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工作温度可高达70℃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保护种类：短路/过负载/过电压/过温度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自然风冷</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7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A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E68B0CE">
            <w:pPr>
              <w:jc w:val="center"/>
              <w:rPr>
                <w:rFonts w:hint="eastAsia" w:ascii="等线" w:hAnsi="等线" w:eastAsia="等线" w:cs="等线"/>
                <w:i w:val="0"/>
                <w:iCs w:val="0"/>
                <w:color w:val="000000"/>
                <w:sz w:val="18"/>
                <w:szCs w:val="18"/>
                <w:u w:val="none"/>
              </w:rPr>
            </w:pPr>
          </w:p>
        </w:tc>
      </w:tr>
      <w:tr w14:paraId="30F7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7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9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电磁锁</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F4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1、280kg单门两线拉丝磁力锁；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2、通电上锁，无残磁、无机械磨损；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3、适用于90度开的任何有框门，如木门丶防火门丶玻璃门；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4、对于无框门，需要选配支架。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5、最大功率3W</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8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E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616D261">
            <w:pPr>
              <w:jc w:val="center"/>
              <w:rPr>
                <w:rFonts w:hint="eastAsia" w:ascii="等线" w:hAnsi="等线" w:eastAsia="等线" w:cs="等线"/>
                <w:i w:val="0"/>
                <w:iCs w:val="0"/>
                <w:color w:val="000000"/>
                <w:sz w:val="18"/>
                <w:szCs w:val="18"/>
                <w:u w:val="none"/>
              </w:rPr>
            </w:pPr>
          </w:p>
        </w:tc>
      </w:tr>
      <w:tr w14:paraId="20C9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F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1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电锁电源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D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E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6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33AEE7D">
            <w:pPr>
              <w:jc w:val="center"/>
              <w:rPr>
                <w:rFonts w:hint="eastAsia" w:ascii="等线" w:hAnsi="等线" w:eastAsia="等线" w:cs="等线"/>
                <w:i w:val="0"/>
                <w:iCs w:val="0"/>
                <w:color w:val="000000"/>
                <w:sz w:val="18"/>
                <w:szCs w:val="18"/>
                <w:u w:val="none"/>
              </w:rPr>
            </w:pPr>
          </w:p>
        </w:tc>
      </w:tr>
      <w:tr w14:paraId="5669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E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5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L型支架</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B5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1、配合电磁锁使用。</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7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0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AFDD3E1">
            <w:pPr>
              <w:jc w:val="center"/>
              <w:rPr>
                <w:rFonts w:hint="eastAsia" w:ascii="等线" w:hAnsi="等线" w:eastAsia="等线" w:cs="等线"/>
                <w:i w:val="0"/>
                <w:iCs w:val="0"/>
                <w:color w:val="000000"/>
                <w:sz w:val="18"/>
                <w:szCs w:val="18"/>
                <w:u w:val="none"/>
              </w:rPr>
            </w:pPr>
          </w:p>
        </w:tc>
      </w:tr>
      <w:tr w14:paraId="39BFE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8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A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出门开关</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8A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1、适用空心门框及埋入式电器盒使用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2、PC防火材料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3、50万次机械使用寿命</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3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3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721CD9E">
            <w:pPr>
              <w:jc w:val="center"/>
              <w:rPr>
                <w:rFonts w:hint="eastAsia" w:ascii="等线" w:hAnsi="等线" w:eastAsia="等线" w:cs="等线"/>
                <w:i w:val="0"/>
                <w:iCs w:val="0"/>
                <w:color w:val="000000"/>
                <w:sz w:val="18"/>
                <w:szCs w:val="18"/>
                <w:u w:val="none"/>
              </w:rPr>
            </w:pPr>
          </w:p>
        </w:tc>
      </w:tr>
      <w:tr w14:paraId="5537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28" w:type="dxa"/>
            <w:gridSpan w:val="5"/>
            <w:tcBorders>
              <w:top w:val="single" w:color="000000" w:sz="4" w:space="0"/>
              <w:left w:val="single" w:color="000000" w:sz="4" w:space="0"/>
              <w:bottom w:val="single" w:color="000000" w:sz="4" w:space="0"/>
              <w:right w:val="nil"/>
            </w:tcBorders>
            <w:shd w:val="clear" w:color="auto" w:fill="auto"/>
            <w:vAlign w:val="center"/>
          </w:tcPr>
          <w:p w14:paraId="3D597A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（十三）走廊</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CE63B78">
            <w:pPr>
              <w:jc w:val="center"/>
              <w:rPr>
                <w:rFonts w:hint="eastAsia" w:ascii="等线" w:hAnsi="等线" w:eastAsia="等线" w:cs="等线"/>
                <w:i w:val="0"/>
                <w:iCs w:val="0"/>
                <w:color w:val="000000"/>
                <w:sz w:val="18"/>
                <w:szCs w:val="18"/>
                <w:u w:val="none"/>
              </w:rPr>
            </w:pPr>
          </w:p>
        </w:tc>
      </w:tr>
      <w:tr w14:paraId="6535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B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B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4K全景人体结构化摄像机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10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1、不低于800万像素CMOS传感器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2、2.7~13.5mm电动变焦，支持一键聚焦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3、支持三码流同时输出，主码流最高分辨率可达8MP@20fps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4、支持人脸抓拍，单画面同时检测人脸数不低于32张，单画面同时抓拍人脸数不低于16张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5、人脸识别距离不少于10米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6、支持通过IE浏览器显示人员年龄、性别、民族、表情、戴眼镜、带口罩、是否有胡子、衣服颜色、上衣类型、是否背包、戴帽子等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7、人脸抓拍率不低于97%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8、红外补光距离不低于50米，支持补光变倍匹配功能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9、支持以某一物理位置为坐标原点，分别标定镜头的离地高度、俯仰角、倾斜角、实际坐标等信息并建立坐标系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10、支持同时检测不低于20个行人，并显示行进轨迹，实时输出坐标信息和时间戳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11、支持对经过设定区域内的行人进行人体检测并抓拍，可抓拍人体正面、背面、侧面人体图片并上传至平台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12、支持人脸大小过滤功能和人脸抓拍质量过滤功能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13、接口不少于：音频输入/输出各一个、内置MIC、报警输入2个，报警输出1个，支持SD卡槽（最大支持512G）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14、支持宽动态、背光补偿、强光抑制、3D降噪和图像翻转功能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15、防护等级不低于：外壳防尘防水IP67，防暴等级IK10，4级防雷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16、支持POE、DC12V供电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5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4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F49791E">
            <w:pPr>
              <w:jc w:val="center"/>
              <w:rPr>
                <w:rFonts w:hint="eastAsia" w:ascii="等线" w:hAnsi="等线" w:eastAsia="等线" w:cs="等线"/>
                <w:i w:val="0"/>
                <w:iCs w:val="0"/>
                <w:color w:val="000000"/>
                <w:sz w:val="18"/>
                <w:szCs w:val="18"/>
                <w:u w:val="none"/>
              </w:rPr>
            </w:pPr>
          </w:p>
        </w:tc>
      </w:tr>
      <w:tr w14:paraId="04A9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6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A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1B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0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9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62990FB">
            <w:pPr>
              <w:jc w:val="center"/>
              <w:rPr>
                <w:rFonts w:hint="eastAsia" w:ascii="等线" w:hAnsi="等线" w:eastAsia="等线" w:cs="等线"/>
                <w:i w:val="0"/>
                <w:iCs w:val="0"/>
                <w:color w:val="000000"/>
                <w:sz w:val="18"/>
                <w:szCs w:val="18"/>
                <w:u w:val="none"/>
              </w:rPr>
            </w:pPr>
          </w:p>
        </w:tc>
      </w:tr>
      <w:tr w14:paraId="39F9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E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0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5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1、支持报警信号传至警务值班室提示。</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C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D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BD27E5B">
            <w:pPr>
              <w:jc w:val="center"/>
              <w:rPr>
                <w:rFonts w:hint="eastAsia" w:ascii="等线" w:hAnsi="等线" w:eastAsia="等线" w:cs="等线"/>
                <w:i w:val="0"/>
                <w:iCs w:val="0"/>
                <w:color w:val="000000"/>
                <w:sz w:val="18"/>
                <w:szCs w:val="18"/>
                <w:u w:val="none"/>
              </w:rPr>
            </w:pPr>
          </w:p>
        </w:tc>
      </w:tr>
      <w:tr w14:paraId="0593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B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D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8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1、额定工作电压(V/DC) 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2、工作电压范围(V) 9-15V；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3、工作电流范围(mA) ≤300；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4、工作温度(℃) ﹣20~﹢60℃；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5、声压(dB) ≥105dB/m；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6、连续工作时间 ≥45min DC12V；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7、闪灯次数(分钟) 200±30。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C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4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23C4578">
            <w:pPr>
              <w:jc w:val="center"/>
              <w:rPr>
                <w:rFonts w:hint="eastAsia" w:ascii="等线" w:hAnsi="等线" w:eastAsia="等线" w:cs="等线"/>
                <w:i w:val="0"/>
                <w:iCs w:val="0"/>
                <w:color w:val="000000"/>
                <w:sz w:val="18"/>
                <w:szCs w:val="18"/>
                <w:u w:val="none"/>
              </w:rPr>
            </w:pPr>
          </w:p>
        </w:tc>
      </w:tr>
      <w:tr w14:paraId="3EF3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3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F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74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1、设备拥有≥8英寸触摸显示屏，有不少于1个TF卡槽，最大支持512G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采用不低于1/2.8 2MP CMOS高清宽动态双摄像头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应采用双目相机，一路可见光摄像头和一路红外摄像头，设备WEB端应具有宽动态启闭选项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应支持人脸、人体移动预测，唤醒设备；应支持人脸、人体及物体移动侦测，唤醒白光补光灯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设备支持不少于1路电源接口、1路 RS-485 接口、1路10/100Mbps以太网口、1路韦根输入接口、1路韦根输出接口、1个USB接口、2路报警输入接口、1路报警输出接口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刷卡时，设备应有蜂鸣器提示音；应支持比对结果语音提示和语音音量调节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应支持比对结果图文提示功能；应支持本地视频预览、人脸动态捕捉；应支持查看人员信息、设备模式（如首脸/首卡开门、永久开门、永久关门等）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设备应具有补光功能，应支持不少于10000个用户，用户应能设置为管理员权限；设备应支持存储不少于10000个密码、10000张人脸库、10000张卡片、100000条本地进出记录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设备应具有显示功能，应支持红外及白光灯补光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 设备应支持人脸识别、IC卡识读密码识读的认证方式；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设备应具有人脸比对功能，应支持人脸识别功能，现场抓拍人脸照片与本地人脸库照片进行比对，进行人员核验；支持人脸识别多阈值设置；支持陌生人抓拍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设备人脸识别准确率≥99.5%；防护等级不低于IP65，室外防水，可用于室内室外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可在-20℃-60℃内正常工作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设备应具有黑名单功能，应支持中心下发黑名单信息；应支持本地不少于10000个人脸黑名单比较；应支持本地黑名单信息比对；应支持本地黑名单事件，黑名单事件信息可上传平台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设备应具有节能功能，应支持在没有用户使用时自动切换到熄屏待机状态，应支持物体靠近自动唤醒待机设备，应支持在正常光照环境下不开启白光补光灯实现人脸识别</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8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1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9A72371">
            <w:pPr>
              <w:jc w:val="center"/>
              <w:rPr>
                <w:rFonts w:hint="eastAsia" w:ascii="等线" w:hAnsi="等线" w:eastAsia="等线" w:cs="等线"/>
                <w:i w:val="0"/>
                <w:iCs w:val="0"/>
                <w:color w:val="000000"/>
                <w:sz w:val="18"/>
                <w:szCs w:val="18"/>
                <w:u w:val="none"/>
              </w:rPr>
            </w:pPr>
          </w:p>
        </w:tc>
      </w:tr>
      <w:tr w14:paraId="7429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B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B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人脸识别终端电源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9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3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4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4987CCB">
            <w:pPr>
              <w:jc w:val="center"/>
              <w:rPr>
                <w:rFonts w:hint="eastAsia" w:ascii="等线" w:hAnsi="等线" w:eastAsia="等线" w:cs="等线"/>
                <w:i w:val="0"/>
                <w:iCs w:val="0"/>
                <w:color w:val="000000"/>
                <w:sz w:val="18"/>
                <w:szCs w:val="18"/>
                <w:u w:val="none"/>
              </w:rPr>
            </w:pPr>
          </w:p>
        </w:tc>
      </w:tr>
      <w:tr w14:paraId="51DFC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8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A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B3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交流输入范围通过开关选择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直流电压DC12V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额定电流12.5A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额定功率150W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可承受300vac浪涌输入5秒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空载功耗&lt;0.5W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体积小，1U低外型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工作温度可高达70℃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保护种类：短路/过负载/过电压/过温度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自然风冷</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F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C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91A77E0">
            <w:pPr>
              <w:jc w:val="center"/>
              <w:rPr>
                <w:rFonts w:hint="eastAsia" w:ascii="等线" w:hAnsi="等线" w:eastAsia="等线" w:cs="等线"/>
                <w:i w:val="0"/>
                <w:iCs w:val="0"/>
                <w:color w:val="000000"/>
                <w:sz w:val="18"/>
                <w:szCs w:val="18"/>
                <w:u w:val="none"/>
              </w:rPr>
            </w:pPr>
          </w:p>
        </w:tc>
      </w:tr>
      <w:tr w14:paraId="2F34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9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0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双门磁力锁</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0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1、使用范围：木门、防火门、金属门、玻璃门等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2、锁体尺寸：500*48*28mm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3、吸板尺寸：180*38*11mm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4、输入电压：DC12V或DC24V±10%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5、工作电流：12V/380mA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6、安全类型：通电上锁、断电开锁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7、带锁状态信号反馈</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6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8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45B79AD">
            <w:pPr>
              <w:jc w:val="center"/>
              <w:rPr>
                <w:rFonts w:hint="eastAsia" w:ascii="等线" w:hAnsi="等线" w:eastAsia="等线" w:cs="等线"/>
                <w:i w:val="0"/>
                <w:iCs w:val="0"/>
                <w:color w:val="000000"/>
                <w:sz w:val="18"/>
                <w:szCs w:val="18"/>
                <w:u w:val="none"/>
              </w:rPr>
            </w:pPr>
          </w:p>
        </w:tc>
      </w:tr>
      <w:tr w14:paraId="25D5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2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3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电锁电源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FE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E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8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4EDB0F4">
            <w:pPr>
              <w:jc w:val="center"/>
              <w:rPr>
                <w:rFonts w:hint="eastAsia" w:ascii="等线" w:hAnsi="等线" w:eastAsia="等线" w:cs="等线"/>
                <w:i w:val="0"/>
                <w:iCs w:val="0"/>
                <w:color w:val="000000"/>
                <w:sz w:val="18"/>
                <w:szCs w:val="18"/>
                <w:u w:val="none"/>
              </w:rPr>
            </w:pPr>
          </w:p>
        </w:tc>
      </w:tr>
      <w:tr w14:paraId="5939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7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9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L型支架（双门磁力锁）</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08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1、尺寸：500*48*30mm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2、用途：用于安装双门磁力锁锁体</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0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D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4829635">
            <w:pPr>
              <w:jc w:val="center"/>
              <w:rPr>
                <w:rFonts w:hint="eastAsia" w:ascii="等线" w:hAnsi="等线" w:eastAsia="等线" w:cs="等线"/>
                <w:i w:val="0"/>
                <w:iCs w:val="0"/>
                <w:color w:val="000000"/>
                <w:sz w:val="18"/>
                <w:szCs w:val="18"/>
                <w:u w:val="none"/>
              </w:rPr>
            </w:pPr>
          </w:p>
        </w:tc>
      </w:tr>
      <w:tr w14:paraId="032DB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9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E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出门开关</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C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1、适用空心门框及埋入式电器盒使用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2、PC防火材料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3、50万次机械使用寿命</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2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2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09DC4E7">
            <w:pPr>
              <w:jc w:val="center"/>
              <w:rPr>
                <w:rFonts w:hint="eastAsia" w:ascii="等线" w:hAnsi="等线" w:eastAsia="等线" w:cs="等线"/>
                <w:i w:val="0"/>
                <w:iCs w:val="0"/>
                <w:color w:val="000000"/>
                <w:sz w:val="18"/>
                <w:szCs w:val="18"/>
                <w:u w:val="none"/>
              </w:rPr>
            </w:pPr>
          </w:p>
        </w:tc>
      </w:tr>
      <w:tr w14:paraId="167B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28" w:type="dxa"/>
            <w:gridSpan w:val="5"/>
            <w:tcBorders>
              <w:top w:val="single" w:color="000000" w:sz="4" w:space="0"/>
              <w:left w:val="single" w:color="000000" w:sz="4" w:space="0"/>
              <w:bottom w:val="single" w:color="000000" w:sz="4" w:space="0"/>
              <w:right w:val="nil"/>
            </w:tcBorders>
            <w:shd w:val="clear" w:color="auto" w:fill="auto"/>
            <w:vAlign w:val="center"/>
          </w:tcPr>
          <w:p w14:paraId="4B81DC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二、案卷管理</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9538751">
            <w:pPr>
              <w:jc w:val="center"/>
              <w:rPr>
                <w:rFonts w:hint="eastAsia" w:ascii="等线" w:hAnsi="等线" w:eastAsia="等线" w:cs="等线"/>
                <w:b/>
                <w:bCs/>
                <w:i w:val="0"/>
                <w:iCs w:val="0"/>
                <w:color w:val="000000"/>
                <w:sz w:val="18"/>
                <w:szCs w:val="18"/>
                <w:u w:val="none"/>
              </w:rPr>
            </w:pPr>
          </w:p>
        </w:tc>
      </w:tr>
      <w:tr w14:paraId="4CE3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1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F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环境全景摄像机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F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1、分辨率不低于1920×1080@25fps，不低于1/2.8英寸CMOS传感器 半球型摄像机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2、最低照度：彩色：≤0.002 lx；黑白：≤0.001 lx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3、设备应配置电动变焦镜头，镜头焦距不低于2.8～12mm，应支持AF辅助聚焦，且可通过IE浏览器进行一键聚焦；应配置不少于14颗红外灯+4颗白光灯；红外补光距离不少于30米，白光补光距离不少于10 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4、设备应支持不少于1个RJ45网口、1个RS485接口、1对音频输入／输出接口、1个TF卡槽、1个复位按钮、内置MIC、内置扬声器；不少于2路报警输入、1路报警输出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5、人脸抓拍捕获率应≥99%，奔跑时人脸抓拍捕获率应≥99% </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6、开启智能行为分析功能后，应可对人、车、人和车进行检测</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7、应支持警戒功能，包括白光警戒、语音警戒，语音警戒可自定义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智能行为分析功能，应可对以下行为进行检测，并可通过客户端软件或IE浏览器给出报警提示：绊线入侵、双绊线入侵、周界入侵、物品遗留、物品丢失、排徊检测、奔跑检测、停车检测、人员聚集、安全帽检测、值岗检测、视频诊断、音频异常侦测</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9、应支持将抓拍的人脸图片上传至指定的FTP服务器</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10、应可对设置检测区域内过往的人员进行双向计数统计，支持4种人数计数功能（垂直、绊线、区域、队列）</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11、检测区域内的人数上限应可配置，当超过设定人数时支持告警上报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12、在IE浏览器下，应具有感兴趣区域设置选项；应能设置不少于8个感兴趣区域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13、字体应可设置为16×16像素、32×32像素、48×48像素、64×64 自适应；应支持时间、日期、星期叠加；应支持5个区域的附加字符叠加，共可叠加5行字符；应支持矢量、点阵字库类型设置；应支持设置5种字体颜色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14、应能将视频图像及抓拍图片存储至TF卡、本地客户端或上传至服务器；最大应支持512GB TF卡；应支持TF卡热插拔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15、应能在DC12V±25％的供电条件下正常工作；支持POE供电；支持反向输出DC12V供电 功耗≤8W （视频预览情况下）</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16、温度范围：-35℃~65℃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17、防护等级≥IP66 </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18、在浏览器或客户端软件下，应具有 H.265、H.264(Main Profile、High Profile、Baseline Profile)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19、网络摄像机的基本接口为10/100M以太网接口，应符合IEEE802.3标准，采用RJ45连接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20、应支持G. 711A、G. 711U、ADPCM_D音频编码设置选项</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C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6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4D672A3">
            <w:pPr>
              <w:jc w:val="center"/>
              <w:rPr>
                <w:rFonts w:hint="eastAsia" w:ascii="等线" w:hAnsi="等线" w:eastAsia="等线" w:cs="等线"/>
                <w:i w:val="0"/>
                <w:iCs w:val="0"/>
                <w:color w:val="000000"/>
                <w:sz w:val="18"/>
                <w:szCs w:val="18"/>
                <w:u w:val="none"/>
              </w:rPr>
            </w:pPr>
          </w:p>
        </w:tc>
      </w:tr>
      <w:tr w14:paraId="2C42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F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7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71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1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4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06EC36D">
            <w:pPr>
              <w:jc w:val="center"/>
              <w:rPr>
                <w:rFonts w:hint="eastAsia" w:ascii="等线" w:hAnsi="等线" w:eastAsia="等线" w:cs="等线"/>
                <w:i w:val="0"/>
                <w:iCs w:val="0"/>
                <w:color w:val="000000"/>
                <w:sz w:val="18"/>
                <w:szCs w:val="18"/>
                <w:u w:val="none"/>
              </w:rPr>
            </w:pPr>
          </w:p>
        </w:tc>
      </w:tr>
      <w:tr w14:paraId="02A9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4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0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二维码生成器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08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1、技术类型：标签打印；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2、连接方式：有线，USB，移动APP打印。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3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5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4DF35A0">
            <w:pPr>
              <w:jc w:val="center"/>
              <w:rPr>
                <w:rFonts w:hint="eastAsia" w:ascii="等线" w:hAnsi="等线" w:eastAsia="等线" w:cs="等线"/>
                <w:i w:val="0"/>
                <w:iCs w:val="0"/>
                <w:color w:val="000000"/>
                <w:sz w:val="18"/>
                <w:szCs w:val="18"/>
                <w:u w:val="none"/>
              </w:rPr>
            </w:pPr>
          </w:p>
        </w:tc>
      </w:tr>
      <w:tr w14:paraId="7A67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7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0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标签识读设备</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6C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1、数据类型：2D；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2、识读方式：CMOS；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3、通讯方式：USB。</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4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3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74E6564">
            <w:pPr>
              <w:jc w:val="center"/>
              <w:rPr>
                <w:rFonts w:hint="eastAsia" w:ascii="等线" w:hAnsi="等线" w:eastAsia="等线" w:cs="等线"/>
                <w:i w:val="0"/>
                <w:iCs w:val="0"/>
                <w:color w:val="000000"/>
                <w:sz w:val="18"/>
                <w:szCs w:val="18"/>
                <w:u w:val="none"/>
              </w:rPr>
            </w:pPr>
          </w:p>
        </w:tc>
      </w:tr>
      <w:tr w14:paraId="3A1F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D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D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非法出库检测仪</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2E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1、全面支持符合EPCglobal UHF Class 1 Gen 2 / ISO 18000-6C/ ISO18000-6B标准的电子标签；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2、采用Impinj超高频阅读器芯片及TI ARM嵌入式处理芯片实现高速读取和数据快速运算；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3、工作频率860-868MHZ，902-928MHZ(可按不同的国家或地区要求调整)；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4、支持RS232、RS485和TCP/IP网络通讯等多种方式；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5、支持1、2、4个外接TNC天线接口；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6、输出功率达30dbm可调，支持主动方式、命令方式、触发方式等多种工作模式；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7、读卡蜂鸣和LED状态指示；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8、支持通过通讯接口进行固件的在线升级；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9、读写器提供多组I/O输入输出接口，便于产品应用集成；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10、工业结构高可靠设计，满足苛刻工作环境要求。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11、射频输出20-30dBm；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12、50欧负载；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13、串口速率9600～115200bps，RJ45为10Mbps；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14、8dbi天线配置，典型读取距离3-25米；配有220V交流输入，＋12V/3A直流输出的电源变换器。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15、最大功率30W</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6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D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D3B59A7">
            <w:pPr>
              <w:jc w:val="center"/>
              <w:rPr>
                <w:rFonts w:hint="eastAsia" w:ascii="等线" w:hAnsi="等线" w:eastAsia="等线" w:cs="等线"/>
                <w:i w:val="0"/>
                <w:iCs w:val="0"/>
                <w:color w:val="000000"/>
                <w:sz w:val="18"/>
                <w:szCs w:val="18"/>
                <w:u w:val="none"/>
              </w:rPr>
            </w:pPr>
          </w:p>
        </w:tc>
      </w:tr>
      <w:tr w14:paraId="28E4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E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3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非法出库检测仪天线</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7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1、天线增益9dBi；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2、工作频率902-928MHZ(可按不同的国家或地区要求调整)；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3、具有N母头或用户指定。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4、频率范围902-928MHZ；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5、驻波比≤1.3；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6、带宽26MHZ。</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2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1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81BBE22">
            <w:pPr>
              <w:jc w:val="center"/>
              <w:rPr>
                <w:rFonts w:hint="eastAsia" w:ascii="等线" w:hAnsi="等线" w:eastAsia="等线" w:cs="等线"/>
                <w:i w:val="0"/>
                <w:iCs w:val="0"/>
                <w:color w:val="000000"/>
                <w:sz w:val="18"/>
                <w:szCs w:val="18"/>
                <w:u w:val="none"/>
              </w:rPr>
            </w:pPr>
          </w:p>
        </w:tc>
      </w:tr>
      <w:tr w14:paraId="343A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D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0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非法出库检测仪馈线</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7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1、长度5米；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2、TNC母转N公；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3、直径:4.95mm；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4、弯曲半径:25mm；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5、衰减:0.365dB/m(900MHz)。</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F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4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4E9E0A5">
            <w:pPr>
              <w:jc w:val="center"/>
              <w:rPr>
                <w:rFonts w:hint="eastAsia" w:ascii="等线" w:hAnsi="等线" w:eastAsia="等线" w:cs="等线"/>
                <w:i w:val="0"/>
                <w:iCs w:val="0"/>
                <w:color w:val="000000"/>
                <w:sz w:val="18"/>
                <w:szCs w:val="18"/>
                <w:u w:val="none"/>
              </w:rPr>
            </w:pPr>
          </w:p>
        </w:tc>
      </w:tr>
      <w:tr w14:paraId="13DD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B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0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C5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1、额定工作电压(V/DC) 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2、工作电压范围(V) 9-15V；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3、工作电流范围(mA) ≤300；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4、工作温度(℃) ﹣20~﹢60℃；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5、声压(dB) ≥105dB/m；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6、连续工作时间 ≥45min DC12V；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7、闪灯次数(分钟) 200±30。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A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3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330E85B">
            <w:pPr>
              <w:jc w:val="center"/>
              <w:rPr>
                <w:rFonts w:hint="eastAsia" w:ascii="等线" w:hAnsi="等线" w:eastAsia="等线" w:cs="等线"/>
                <w:i w:val="0"/>
                <w:iCs w:val="0"/>
                <w:color w:val="000000"/>
                <w:sz w:val="18"/>
                <w:szCs w:val="18"/>
                <w:u w:val="none"/>
              </w:rPr>
            </w:pPr>
          </w:p>
        </w:tc>
      </w:tr>
      <w:tr w14:paraId="488CE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4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5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RFID电子标签</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86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1、线极化设计在特定方向具有超高读取率、标签识别灵敏度高；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2、防伪性能高，拥有合球唯一识别码（TID码）；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3、广泛应用于出版社、图书馆、数据库房、机密档案等管理领域。</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7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6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D950EE0">
            <w:pPr>
              <w:jc w:val="center"/>
              <w:rPr>
                <w:rFonts w:hint="eastAsia" w:ascii="等线" w:hAnsi="等线" w:eastAsia="等线" w:cs="等线"/>
                <w:i w:val="0"/>
                <w:iCs w:val="0"/>
                <w:color w:val="000000"/>
                <w:sz w:val="18"/>
                <w:szCs w:val="18"/>
                <w:u w:val="none"/>
              </w:rPr>
            </w:pPr>
          </w:p>
        </w:tc>
      </w:tr>
      <w:tr w14:paraId="1843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0EB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5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RFID标签桌面发卡器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61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1、全面支持符合支持符合ISO-18000-6B、ISO-18000-6C（EPC G2）标准；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2、工作频率902-928MHZ或865-868MHZ(可按不同的国家或地区要求调整)；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3、具有仿真键盘功能、电脑USB接口取电、蓝色射频指示灯及蜂鸣器操作；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4、体积小、读取速率快等优点，可以对标签进行授权、挂失、编程等操作，可广泛应用于各种RFID系统中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5、最大功率12W</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E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9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2CEA691">
            <w:pPr>
              <w:jc w:val="center"/>
              <w:rPr>
                <w:rFonts w:hint="eastAsia" w:ascii="等线" w:hAnsi="等线" w:eastAsia="等线" w:cs="等线"/>
                <w:i w:val="0"/>
                <w:iCs w:val="0"/>
                <w:color w:val="000000"/>
                <w:sz w:val="18"/>
                <w:szCs w:val="18"/>
                <w:u w:val="none"/>
              </w:rPr>
            </w:pPr>
          </w:p>
        </w:tc>
      </w:tr>
      <w:tr w14:paraId="0B03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99F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4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案卷管理柜</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0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1、支持账号密码、人脸识别、指纹识别方式登录客户端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2、支持通过客户端录入人脸和指纹信息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3、案卷柜主柜由柜体、21.5英寸电容触摸屏、安卓主机、二维码扫描枪、人脸识别摄像头、指纹仪、电控锁和主控电器八大部分组合而成。不带4G、蓝牙、WiFi。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4、安卓终端配置：内存2G，存储16G，CPU四核1.8GHz，1*LVDS接口，1*HDMI 2.0，1*喇叭输出，2个外置USB，2路RS232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5、双目摄像头：1/2.7"CMOS Sensor，有效像素200+200万，30帧@1920*1080，40CM 到无限远清晰成像，支持人脸活体检测，USB视频输出，工作温度-20℃至70℃，支持Windows，安卓，MAC等二次开发。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6、二维码扫描枪：支持一维码，二维码，手机二维码，USB接口，传感器像素640*480，识别精度≥3mil，5VDC供电。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7、支持通过案卷管理系统远程控制开箱，支持人脸识别、指纹识别、密码等方式登录触屏客户端，支持扫描二维码进行案卷的存放。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8、主柜包含12个箱门，柜体尺寸(mm)：W1095*D450*H1900（含地脚高度），箱门尺寸(mm)*2：W350*D450*H355.6；箱门尺寸(mm)*10：W287.5*D450*H355.6；</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E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2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B93C4D1">
            <w:pPr>
              <w:jc w:val="center"/>
              <w:rPr>
                <w:rFonts w:hint="eastAsia" w:ascii="等线" w:hAnsi="等线" w:eastAsia="等线" w:cs="等线"/>
                <w:i w:val="0"/>
                <w:iCs w:val="0"/>
                <w:color w:val="000000"/>
                <w:sz w:val="18"/>
                <w:szCs w:val="18"/>
                <w:u w:val="none"/>
              </w:rPr>
            </w:pPr>
          </w:p>
        </w:tc>
      </w:tr>
      <w:tr w14:paraId="2EF0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528" w:type="dxa"/>
            <w:gridSpan w:val="5"/>
            <w:tcBorders>
              <w:top w:val="single" w:color="000000" w:sz="4" w:space="0"/>
              <w:left w:val="single" w:color="000000" w:sz="4" w:space="0"/>
              <w:bottom w:val="single" w:color="000000" w:sz="4" w:space="0"/>
              <w:right w:val="nil"/>
            </w:tcBorders>
            <w:shd w:val="clear" w:color="auto" w:fill="auto"/>
            <w:vAlign w:val="center"/>
          </w:tcPr>
          <w:p w14:paraId="51AC45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三、机房</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D047F5D">
            <w:pPr>
              <w:jc w:val="center"/>
              <w:rPr>
                <w:rFonts w:hint="eastAsia" w:ascii="等线" w:hAnsi="等线" w:eastAsia="等线" w:cs="等线"/>
                <w:b/>
                <w:bCs/>
                <w:i w:val="0"/>
                <w:iCs w:val="0"/>
                <w:color w:val="000000"/>
                <w:sz w:val="18"/>
                <w:szCs w:val="18"/>
                <w:u w:val="none"/>
              </w:rPr>
            </w:pPr>
          </w:p>
        </w:tc>
      </w:tr>
      <w:tr w14:paraId="588D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A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6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环境全景摄像机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6C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1、分辨率不低于1920×1080@25fps，不低于1/2.8英寸CMOS传感器 半球型摄像机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2、最低照度：彩色：≤0.002 lx；黑白：≤0.001 lx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3、设备应配置电动变焦镜头，镜头焦距不低于2.8～12mm，应支持AF辅助聚焦，且可通过IE浏览器进行一键聚焦；应配置不少于14颗红外灯+4颗白光灯；红外补光距离不少于30米，白光补光距离不少于10 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4、设备应支持不少于1个RJ45网口、1个RS485接口、1对音频输入／输出接口、1个TF卡槽、1个复位按钮、内置MIC、内置扬声器；不少于2路报警输入、1路报警输出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5、人脸抓拍捕获率应≥99%，奔跑时人脸抓拍捕获率应≥99% </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6、开启智能行为分析功能后，应可对人、车、人和车进行检测</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7、应支持警戒功能，包括白光警戒、语音警戒，语音警戒可自定义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智能行为分析功能，应可对以下行为进行检测，并可通过客户端软件或IE浏览器给出报警提示：绊线入侵、双绊线入侵、周界入侵、物品遗留、物品丢失、排徊检测、奔跑检测、停车检测、人员聚集、安全帽检测、值岗检测、视频诊断、音频异常侦测</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9、应支持将抓拍的人脸图片上传至指定的FTP服务器</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10、应可对设置检测区域内过往的人员进行双向计数统计，支持4种人数计数功能（垂直、绊线、区域、队列）</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11、检测区域内的人数上限应可配置，当超过设定人数时支持告警上报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12、在IE浏览器下，应具有感兴趣区域设置选项；应能设置不少于8个感兴趣区域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13、字体应可设置为16×16像素、32×32像素、48×48像素、64×64 自适应；应支持时间、日期、星期叠加；应支持5个区域的附加字符叠加，共可叠加5行字符；应支持矢量、点阵字库类型设置；应支持设置5种字体颜色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14、应能将视频图像及抓拍图片存储至TF卡、本地客户端或上传至服务器；最大应支持512GB TF卡；应支持TF卡热插拔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15、应能在DC12V±25％的供电条件下正常工作；支持POE供电；支持反向输出DC12V供电 功耗≤8W （视频预览情况下）</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16、温度范围：-35℃~65℃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17、防护等级≥IP66 </w:t>
            </w:r>
            <w:r>
              <w:rPr>
                <w:rFonts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18、在浏览器或客户端软件下，应具有 H.265、H.264(Main Profile、High Profile、Baseline Profile)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19、网络摄像机的基本接口为10/100M以太网接口，应符合IEEE802.3标准，采用RJ45连接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20、应支持G. 711A、G. 711U、ADPCM_D音频编码设置选项</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2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8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0EAD3EE">
            <w:pPr>
              <w:jc w:val="center"/>
              <w:rPr>
                <w:rFonts w:hint="eastAsia" w:ascii="等线" w:hAnsi="等线" w:eastAsia="等线" w:cs="等线"/>
                <w:i w:val="0"/>
                <w:iCs w:val="0"/>
                <w:color w:val="000000"/>
                <w:sz w:val="18"/>
                <w:szCs w:val="18"/>
                <w:u w:val="none"/>
              </w:rPr>
            </w:pPr>
          </w:p>
        </w:tc>
      </w:tr>
      <w:tr w14:paraId="4D0B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8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7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7A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1、DC12V2A。</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C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5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5C60E85">
            <w:pPr>
              <w:jc w:val="center"/>
              <w:rPr>
                <w:rFonts w:hint="eastAsia" w:ascii="等线" w:hAnsi="等线" w:eastAsia="等线" w:cs="等线"/>
                <w:i w:val="0"/>
                <w:iCs w:val="0"/>
                <w:color w:val="000000"/>
                <w:sz w:val="18"/>
                <w:szCs w:val="18"/>
                <w:u w:val="none"/>
              </w:rPr>
            </w:pPr>
          </w:p>
        </w:tc>
      </w:tr>
      <w:tr w14:paraId="2DD9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0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9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手机信息采集分析系统</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78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手机信息采集分析系统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1、具有2种工作模式: (1)在线“一键式”完成手机信息采集、数据上传系统，确保数据的安全性；(2)移动离线采集分析应用模式，适用于单警携带，在巡逻、设卡盘查等时间紧、工作量大的移动工作环境下，采集违法人员的手机信息并进行信息分析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2、独立一体化设计，采集软件与硬件集成在同一平板电脑上：处理器≥4核、内存≥8GB、硬盘≥128GB SSD固态硬盘。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3、支持采集国内外品牌的主流智能iOS、Android手机系统。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4、支持采集手机信息功能、数据删除恢复功能、信息分析功能、查看历史采集记录功能、设置上报端口及通讯参数功能。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5、支持采集的智能手机信息包括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设备信息：包括机身信息、安装软件信息、地理位置信息、WIFI连接记录、蓝牙连接记录、系统日志；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（2）通讯信息：包括通讯录、通话记录、短信记录、邮件信息；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（3）浏览器信息：包括收藏夹、COOKIE、历史记录；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（4）社交软件信息：包括虚拟账号、好友信息、群组信息、群组成员信息、好友聊天记录、群组聊天记录；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（5）采集存储文件信息:包括音视频和图片等。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6、支持采集SIM卡上的通讯录、短信、通话记录。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7、与</w:t>
            </w:r>
            <w:r>
              <w:rPr>
                <w:rFonts w:hint="eastAsia" w:ascii="宋体" w:hAnsi="宋体" w:cs="宋体"/>
                <w:i w:val="0"/>
                <w:iCs w:val="0"/>
                <w:color w:val="000000"/>
                <w:kern w:val="0"/>
                <w:sz w:val="18"/>
                <w:szCs w:val="18"/>
                <w:u w:val="none"/>
                <w:lang w:val="en-US" w:eastAsia="zh-CN" w:bidi="ar"/>
              </w:rPr>
              <w:t>山西</w:t>
            </w:r>
            <w:r>
              <w:rPr>
                <w:rFonts w:hint="eastAsia" w:ascii="宋体" w:hAnsi="宋体" w:eastAsia="宋体" w:cs="宋体"/>
                <w:i w:val="0"/>
                <w:iCs w:val="0"/>
                <w:color w:val="000000"/>
                <w:kern w:val="0"/>
                <w:sz w:val="18"/>
                <w:szCs w:val="18"/>
                <w:u w:val="none"/>
                <w:lang w:val="en-US" w:eastAsia="zh-CN" w:bidi="ar"/>
              </w:rPr>
              <w:t>省刑专系统无缝对接，可以接收刑专推送的违法人员信息和采集的手机信息进行“一号制”关联, “一键式”完成采集、上报和数据入库。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8、具备信息分析功能：选择分析对象可按照月、周、日进行时段分析、通话分析、号码分析等，分析结果可以图表形式直观展现。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9、支持同一人员多部手机信息采集上报，可以复用违法人员信息，对同一人员所属多部手机信息进行采集上报。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10、支持补充手机信息采集上报，可以对同一人员同步手机进行补充采集，重新多选手机信息采集项，进行补充采集、补充上报。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11、支持手机 WIFI、蓝牙连接记录的提取，支持手机 GPS、WIFI、照片地理位置信息的提取。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12、具备公安内外网络隔离专用数传技术，杜绝“一机两网”以及数据加密，防止数据泄露。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13、配备SIM卡读卡器一个,具有标准 SIM、Micro SIM、Nano SIM、银行卡 四个独立卡槽，支持采集 2G\3G\4G 手机 SIM 卡和银行芯片卡。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14、配套专用采集配件：iphone手机数据线1根，Android手机数据线1根，Type-c手机数据线1根；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15、配套专用数据上报通讯线1根；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16、配套专用磁吸键盘1个；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1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0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AEFA0C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包含所有功能模块</w:t>
            </w:r>
          </w:p>
        </w:tc>
      </w:tr>
      <w:tr w14:paraId="74C8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C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8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智能案卷管理软件</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5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1、平台下的申请流程，支持可视化自定义配置流程的审批过程、审批角色和特定的审批人，支持自定义配置审核或退回流程，支持关闭或开启申请流程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案件管理功能，按照用户权限对添加的案件、导入的案件、对接警综的案件、对接办案区的案件进行增、删、改、查操作可手动关联和合并案件，支持在线查看案件下的涉案财物和物品文书流转记录，支持本地光驱刻录、审讯室前端刻录、中心集中多组刻录、全自动刻录等方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3、支持个人申请、代办、审批功能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4、支持申请存入案件管理中的案件和手动登记的案卷，支持自定义存卷申请流程开关，一个案件下可存入多个案卷，并可对案卷进行分类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添加交办人信息，支持人脸识别验证民警身份信息自动回填姓名，支持案卷和事件的单独和批量登记，支持批量打印案件的信息，并且支持对案件材料进行分类上传或抓拍附件，支持OCR识别，支持对案卷与RFID 码进行标签绑定，案卷标签打印时支持将案卷的信息和民警信息打印在标签上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6、支持案卷借阅功能，民警可在借出文书中签字捺印，并保留借出时的视频、签字文件和签字录像，也可抓拍出库时的照片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7、支持案卷归还时标记是否破损，并可实时触发案卷破损报警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8、支持案卷内部和外部移送，可根据移送规则判断是否出库，并可在流转信息和案件管理中查看出库时的视频、出库回执文书和回执单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存卷申请超时、超期未入柜、借阅超期、案卷破损、移交材料上传超时、待审核移送超时、案卷取出超时、审核超时等报警和自定义配置预警报警规则，并支持通过短语和平台进行提示。支持非法出库时可了联动报警灯和蜂鸣器以及联动平台显示实时报警视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10、支持案卷盘点功能，支持平台手动登记盘点和盘点设备扫描 RFID码统一盘点，盘点结果包括：盘盈、盘亏，对盘亏的案卷可以上传照片并填写发现的问题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11、支持查询和查看案卷或事件的基本信息、照片和视频、附件、电子文件、流转记录、出入库视频回放、出入库签字文书、签字录像、回执文件、状态等信息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12、支持案卷申请功能，民警可定期向上级案管中心预约审卷，案管中心保管员可对案卷批量入柜、出柜，审核案卷后可统一发还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13、支持对音像资料登记、编辑、批量删除和入柜，支持对案卷录入光盘、U盘和硬盘进行材料入柜，可以上传和导入照片及签字捺印回执单，光盘柜支持自动分配，入柜后支持回执单签字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14、支持民警在终端存卷时验证存卷流程，流程审核通过后方可存卷，开柜前回执单支持签字捺印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15、支持对立案、不予立案、销案、中止调查、拘留等环节超期预警和报警，支持对上述报警进行警告催办 ；</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0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4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8BDA339">
            <w:pPr>
              <w:jc w:val="center"/>
              <w:rPr>
                <w:rFonts w:hint="eastAsia" w:ascii="等线" w:hAnsi="等线" w:eastAsia="等线" w:cs="等线"/>
                <w:i w:val="0"/>
                <w:iCs w:val="0"/>
                <w:color w:val="000000"/>
                <w:sz w:val="18"/>
                <w:szCs w:val="18"/>
                <w:u w:val="none"/>
              </w:rPr>
            </w:pPr>
          </w:p>
        </w:tc>
      </w:tr>
      <w:tr w14:paraId="03E0D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5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5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流媒体网关主机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B9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负责前端设备接入、音视频流转发、报警信息转发、人脸交通数据分发、前端录像回放、电视墙、服务多级级联、信令网关服务、媒体网关服务、安全认证、权限管理、日志管理以及网管功能于一体，支持基于国标SIP标准规范的协议，实现多级多域跨平台的音视频数据转发推送和系统级联等核心业务，完成设备接入转发相关业务的统一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出厂自带openEuler（欧拉）操作系统。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支持私有SDK、Onvif，兼容主流品牌网络视频设备，可接入IPC、NVR、解码器、网络报警主机等多种设备。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支持国标GB/T 28181-2016、GB/T 28181-2022视频监控接口协议和基于SIP标准规范的其他协议。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可接入符合国标GB/T 28181-2016、GB/T 28181-2022协议的IPC、NVR、管理平台。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支持流媒体服务多级之间的级联，突破网络区域限制，实现数据转发。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支持平台级联服务，支持上下级平台间的信令转分发，支持跨网段/网关传输。。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支持管理平台根据指定路由规则，自动组建中间件集群路由连接。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基于平台客户端，录像回放定位准确，支持多路回放、单帧播放、快放慢放、电子放大、回放抓拍，可实现秒级检索、录像解码上墙、地图回放录像。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通过转分发机制，最大限度利用现有网络资源，节约网络带宽，减轻多路回放时对设备端的压力，实现海量数据的接入和分发。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支持穿越网闸或视频安全接入平台，实现外网视频资源对接到内网。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支持安全认证及权限管理，保证调用监控资源的合规性。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支持设备注册注销、心跳保活、目录查询、实时预览、云台控制、录像文件的检索回放下载、手动录像、报警管理、布撤防、设备信息查询、设备状态查询、设备远程启动、设备校时等国标联网功能。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支持目录主动推送、资源实时同步、冗余资源处理、资源选择性共享等扩展联网功能。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可实现设备信息及状态查询、实时点播、云台控制、视音频文件检索及下载、回放及回放控制、布撤防、设备远程启动等功能。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可查看网关的工作状态，可对接入的设备资源进行统计。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支持PS、RTP+PS封装格式和H.264编码格式输出。</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7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4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904CA45">
            <w:pPr>
              <w:jc w:val="center"/>
              <w:rPr>
                <w:rFonts w:hint="eastAsia" w:ascii="等线" w:hAnsi="等线" w:eastAsia="等线" w:cs="等线"/>
                <w:i w:val="0"/>
                <w:iCs w:val="0"/>
                <w:color w:val="000000"/>
                <w:sz w:val="18"/>
                <w:szCs w:val="18"/>
                <w:u w:val="none"/>
              </w:rPr>
            </w:pPr>
          </w:p>
        </w:tc>
      </w:tr>
      <w:tr w14:paraId="775B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B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9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证据服务器</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03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1、具有不少于24个SATA硬盘接口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2、配置不低于64位多核处理器；不低于8G内存；具有不少于2个RJ-45网络接口、2个前置USB2.0；2个后置USB3.0接口；2个HDMI接口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3、支持8路报警输入、2路报警输出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4、应有显示主机工作状态的灯光指示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5、支持嵌入式Linux操作系统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6、视频接入带宽不小于512M，转发带宽不小于200M ，应支持接入视频编码格式： H.264(Main Profile，High Profile，Baseline Profile)、H.265； 最大支持分辨率4096×2160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7、应支持接入符合Onvif，GB/T 28181的摄像机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8、应支持视频、图片直存模式的配置和管理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9、应支持RAID功能，包括RAID0、RAID1、RAID3、RAID5、RAID6、RAID10、RAID50、RAID60模式，并支持RAID即建即用模式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10、支持RAID断点续建功能，设备重启后，RAID可以按照之前的进度继续重建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11、支持磁盘在同一设备内或两台同样配置设备间实现磁盘槽位置变更后，磁盘中数据不丢失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12、支持硬盘热插拔；支持HDD或SSD硬盘；硬盘容量支持2T、4T、6T、8T、10T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13、支持磁盘热备功能，当RAID发生坏盘故障时，热备盘自动顶替坏盘，进行RAID重构，存储的数据不丢失；支持全局重构、局部重构； 支持热备盘进行RAID重构时，插入一块新盘，自动设置成热备盘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14、当RAID中无热备盘且发生磁盘损坏时，RAID会保留逻辑损坏的硬盘，保证数据的正常读写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15、RAID中某块硬盘被误拔出后，35秒内插回，该硬盘能恢复到RAID中，系统恢复工作，且能对拔掉的硬盘进 行数据恢复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16、支持自识别磁盘的剩余空间容量，根据用户的数据存储需求，可划分多个容量不同的分区，并支持在线空间扩展、快照，不影响业务连续性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17、支持根据环境温度自动调节风扇速度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18、具有TCP/IP、SIP，RTP、RTCP、RTSP、UDP、HTTP、NTP、SNMP,ISCSI、CIFS(SMB)、NFS、FTP、RSYNC等网络协议设置功能、支持IP组播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19、支持安装双系统，主系统出现故障时 ，备用系统应继续工作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20、支持虚拟存储功能，3台设备在不增加任何外围服务器的情况下可进行虚拟化生成一个存储 系统</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A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3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905C338">
            <w:pPr>
              <w:jc w:val="center"/>
              <w:rPr>
                <w:rFonts w:hint="eastAsia" w:ascii="等线" w:hAnsi="等线" w:eastAsia="等线" w:cs="等线"/>
                <w:i w:val="0"/>
                <w:iCs w:val="0"/>
                <w:color w:val="000000"/>
                <w:sz w:val="18"/>
                <w:szCs w:val="18"/>
                <w:u w:val="none"/>
              </w:rPr>
            </w:pPr>
          </w:p>
        </w:tc>
      </w:tr>
      <w:tr w14:paraId="3DB1B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F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D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86盘位网络存储服务器</w:t>
            </w:r>
            <w:r>
              <w:rPr>
                <w:rFonts w:hint="eastAsia" w:ascii="宋体" w:hAnsi="宋体" w:cs="宋体"/>
                <w:i w:val="0"/>
                <w:iCs w:val="0"/>
                <w:color w:val="000000"/>
                <w:kern w:val="0"/>
                <w:sz w:val="18"/>
                <w:szCs w:val="18"/>
                <w:u w:val="none"/>
                <w:lang w:val="en-US" w:eastAsia="zh-CN" w:bidi="ar"/>
              </w:rPr>
              <w:t>（定制）</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CB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1、具有不少于86个SATA硬盘接口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2、支持不低于：1颗64位多核处理器；4个内存卡槽；10个机箱风扇；4个RJ45千兆网口、1个管理接口、2个前置USB2.0接口、2个后置USB3.0接口、1个VGA接口；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3、机箱高度不高于8U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4、应支持欧拉操作系统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5、支持RAID功能，包括RAIDO、RAID1、RAID3、RAID5、RAID6、RAID10、RAID50、RAID60；支持RAID即建即用模式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6、应支持RAID断点续建功能，设备重启后，RAID可以按照之前的进度继续重建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7、支持接入并存储≥1024Mbps视频图像，同时转发≥768Mbps视频图像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8、应支持全局热备和局部热备。当磁盘阵列中某块磁盘发生故障，热备盘可自动替换故障盘，使数据不丢失，且磁盘阵列可自动重构；支持热备盘进行RAID重构时，插入一块新盘，手动设置成热备盘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9、支持接入H.264(Main Profile,High Profile,Baseline Profile)、H.265；分辨率最大支持：4096×2160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10、应支持硬盘热插拔；支持HDD或SSD硬盘；支持监控级硬盘和企业级硬盘；支持氮气硬盘和空气硬盘；硬盘容量最大支持≥24T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11、应支持前端断网时间内续存的录像文件回传到设备中，并能通过IE浏览器设置自动回传和手动回传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12、应支持视频流存储模式、图片直存模式的配置和管理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13、支持当RAID中无热备盘且发生磁盘损坏时，RAID会保留逻辑损坏的硬盘，保证数据的正常读写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14、应支持前端设备通过RTSP、ONVIF及第三方私有协议接入，可对视音频、图片、智能数据（智能行为分析录像）流进行混合直存；支持平台和存储业务部署在不同服务器上，当平台服务中断时，存储业务正常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15、支持设置存储路径和备份路径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16、设备应能预录报警触发前1min~2min的视频录 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17、可同时对接入摄像机的主、辅码流进行存储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18、应支持流媒体直接存储功能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19、具有Onvif、GB/T28181接入协议 设置选项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20、应能在AC100V~AC240V的供电条件下正常 工作</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C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5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AA98160">
            <w:pPr>
              <w:jc w:val="center"/>
              <w:rPr>
                <w:rFonts w:hint="eastAsia" w:ascii="等线" w:hAnsi="等线" w:eastAsia="等线" w:cs="等线"/>
                <w:i w:val="0"/>
                <w:iCs w:val="0"/>
                <w:color w:val="000000"/>
                <w:sz w:val="18"/>
                <w:szCs w:val="18"/>
                <w:u w:val="none"/>
              </w:rPr>
            </w:pPr>
          </w:p>
        </w:tc>
      </w:tr>
      <w:tr w14:paraId="2CEA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F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2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6T企业级硬盘</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8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1、≥6T企业级硬盘；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2、支持温度传感器；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3、≥256MB缓存；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4、平均故障间隔时间MTBF：≥2,000,000小时；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5、转速：≥7200rpm；</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4877">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85</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9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23A49A1E">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p>
        </w:tc>
      </w:tr>
      <w:tr w14:paraId="4EB3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9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E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北斗校时主机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40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1、以北斗定时信号建立时间参考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2、提供6路NTP网络授时接口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3、前面板显示年月日时分秒、卫星颗数及天线状态、电源状态、GNSS状态、NTP授时状态、告警状态等信息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4、支持windows、linux、unix、sun solaris、ibm aix等操作系统时间同步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5、支持NTP v1.v2.v3&amp;v4(RFC1119&amp;1305),SNTP(RFC2030)等协议</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1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6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035E3832">
            <w:pPr>
              <w:jc w:val="center"/>
              <w:rPr>
                <w:rFonts w:hint="eastAsia" w:ascii="等线" w:hAnsi="等线" w:eastAsia="等线" w:cs="等线"/>
                <w:i w:val="0"/>
                <w:iCs w:val="0"/>
                <w:color w:val="000000"/>
                <w:sz w:val="18"/>
                <w:szCs w:val="18"/>
                <w:u w:val="none"/>
              </w:rPr>
            </w:pPr>
          </w:p>
        </w:tc>
      </w:tr>
      <w:tr w14:paraId="7E01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9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8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48口交换机</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B5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提供48个千兆电口、4个万兆光口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交换容量≥256 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包转发率≥166 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支持安防网络拓扑管理、链路聚合、端口管理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支持远程配置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配置4个万兆多模光模块</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3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2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C3B9AA8">
            <w:pPr>
              <w:jc w:val="center"/>
              <w:rPr>
                <w:rFonts w:hint="eastAsia" w:ascii="等线" w:hAnsi="等线" w:eastAsia="等线" w:cs="等线"/>
                <w:i w:val="0"/>
                <w:iCs w:val="0"/>
                <w:color w:val="000000"/>
                <w:sz w:val="18"/>
                <w:szCs w:val="18"/>
                <w:u w:val="none"/>
              </w:rPr>
            </w:pPr>
          </w:p>
        </w:tc>
      </w:tr>
      <w:tr w14:paraId="59875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5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A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弱电桥架</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F1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400*200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8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7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87C3FB0">
            <w:pPr>
              <w:jc w:val="center"/>
              <w:rPr>
                <w:rFonts w:hint="eastAsia" w:ascii="等线" w:hAnsi="等线" w:eastAsia="等线" w:cs="等线"/>
                <w:i w:val="0"/>
                <w:iCs w:val="0"/>
                <w:color w:val="000000"/>
                <w:sz w:val="18"/>
                <w:szCs w:val="18"/>
                <w:u w:val="none"/>
              </w:rPr>
            </w:pPr>
          </w:p>
        </w:tc>
      </w:tr>
      <w:tr w14:paraId="7890A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7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D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强电桥架</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BA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400*200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7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4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3DE74AF8">
            <w:pPr>
              <w:jc w:val="center"/>
              <w:rPr>
                <w:rFonts w:hint="eastAsia" w:ascii="等线" w:hAnsi="等线" w:eastAsia="等线" w:cs="等线"/>
                <w:i w:val="0"/>
                <w:iCs w:val="0"/>
                <w:color w:val="000000"/>
                <w:sz w:val="18"/>
                <w:szCs w:val="18"/>
                <w:u w:val="none"/>
              </w:rPr>
            </w:pPr>
          </w:p>
        </w:tc>
      </w:tr>
      <w:tr w14:paraId="4C5C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F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9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双口信息面板</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9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1、双口与86型底盒配套使用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2、带有防尘盖，防止灰尘侵入接口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3、带有标识条或应用标识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4、面板尺寸：86×86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5、颜色：瓷白色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6、材料：PC或ABS</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3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2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CA08B47">
            <w:pPr>
              <w:jc w:val="center"/>
              <w:rPr>
                <w:rFonts w:hint="eastAsia" w:ascii="等线" w:hAnsi="等线" w:eastAsia="等线" w:cs="等线"/>
                <w:i w:val="0"/>
                <w:iCs w:val="0"/>
                <w:color w:val="000000"/>
                <w:sz w:val="18"/>
                <w:szCs w:val="18"/>
                <w:u w:val="none"/>
              </w:rPr>
            </w:pPr>
          </w:p>
        </w:tc>
      </w:tr>
      <w:tr w14:paraId="1766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A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C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超五类屏蔽网络模块</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54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超五类屏蔽网络模块</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7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7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784753C7">
            <w:pPr>
              <w:jc w:val="center"/>
              <w:rPr>
                <w:rFonts w:hint="eastAsia" w:ascii="等线" w:hAnsi="等线" w:eastAsia="等线" w:cs="等线"/>
                <w:i w:val="0"/>
                <w:iCs w:val="0"/>
                <w:color w:val="000000"/>
                <w:sz w:val="18"/>
                <w:szCs w:val="18"/>
                <w:u w:val="none"/>
              </w:rPr>
            </w:pPr>
          </w:p>
        </w:tc>
      </w:tr>
      <w:tr w14:paraId="1CD8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9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F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金属线管</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3B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JDG20，壁厚1.2mm</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B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E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4A34271">
            <w:pPr>
              <w:jc w:val="center"/>
              <w:rPr>
                <w:rFonts w:hint="eastAsia" w:ascii="等线" w:hAnsi="等线" w:eastAsia="等线" w:cs="等线"/>
                <w:i w:val="0"/>
                <w:iCs w:val="0"/>
                <w:color w:val="000000"/>
                <w:sz w:val="18"/>
                <w:szCs w:val="18"/>
                <w:u w:val="none"/>
              </w:rPr>
            </w:pPr>
          </w:p>
        </w:tc>
      </w:tr>
      <w:tr w14:paraId="107E5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0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A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A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RVV2*1.5</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4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9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180C1B1">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upS至配电箱</w:t>
            </w:r>
          </w:p>
        </w:tc>
      </w:tr>
      <w:tr w14:paraId="388F5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6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4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C0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RVV2*1.0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3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9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B5753D7">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配电箱至监控</w:t>
            </w:r>
          </w:p>
        </w:tc>
      </w:tr>
      <w:tr w14:paraId="309C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D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D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B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20回路，防护等级不小于IP40，冷轧钢板，表面通过静电喷涂技术处理，抗腐蚀，含空开</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5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6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51AD69BC">
            <w:pPr>
              <w:jc w:val="center"/>
              <w:rPr>
                <w:rFonts w:hint="eastAsia" w:ascii="等线" w:hAnsi="等线" w:eastAsia="等线" w:cs="等线"/>
                <w:i w:val="0"/>
                <w:iCs w:val="0"/>
                <w:color w:val="000000"/>
                <w:sz w:val="18"/>
                <w:szCs w:val="18"/>
                <w:u w:val="none"/>
              </w:rPr>
            </w:pPr>
          </w:p>
        </w:tc>
      </w:tr>
      <w:tr w14:paraId="7894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B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D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6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D0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超五类</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0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F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70D3751">
            <w:pPr>
              <w:jc w:val="center"/>
              <w:rPr>
                <w:rFonts w:hint="eastAsia" w:ascii="等线" w:hAnsi="等线" w:eastAsia="等线" w:cs="等线"/>
                <w:i w:val="0"/>
                <w:iCs w:val="0"/>
                <w:color w:val="000000"/>
                <w:sz w:val="18"/>
                <w:szCs w:val="18"/>
                <w:u w:val="none"/>
              </w:rPr>
            </w:pPr>
          </w:p>
        </w:tc>
      </w:tr>
    </w:tbl>
    <w:p w14:paraId="28130C4A">
      <w:pPr>
        <w:pStyle w:val="6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cs="宋体"/>
          <w:b/>
          <w:bCs/>
          <w:i w:val="0"/>
          <w:iCs w:val="0"/>
          <w:color w:val="auto"/>
          <w:kern w:val="0"/>
          <w:sz w:val="24"/>
          <w:szCs w:val="24"/>
          <w:highlight w:val="none"/>
          <w:u w:val="none"/>
          <w:lang w:val="en-US" w:eastAsia="zh-CN" w:bidi="ar-SA"/>
        </w:rPr>
      </w:pPr>
    </w:p>
    <w:p w14:paraId="36F4A465">
      <w:pPr>
        <w:pStyle w:val="6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cs="宋体"/>
          <w:b/>
          <w:bCs/>
          <w:i w:val="0"/>
          <w:iCs w:val="0"/>
          <w:color w:val="auto"/>
          <w:kern w:val="0"/>
          <w:sz w:val="24"/>
          <w:szCs w:val="24"/>
          <w:highlight w:val="none"/>
          <w:u w:val="none"/>
          <w:lang w:val="en-US" w:eastAsia="zh-CN" w:bidi="ar-SA"/>
        </w:rPr>
      </w:pPr>
      <w:r>
        <w:rPr>
          <w:rFonts w:hint="eastAsia" w:cs="宋体"/>
          <w:b/>
          <w:bCs/>
          <w:i w:val="0"/>
          <w:iCs w:val="0"/>
          <w:color w:val="auto"/>
          <w:kern w:val="0"/>
          <w:sz w:val="24"/>
          <w:szCs w:val="24"/>
          <w:highlight w:val="none"/>
          <w:u w:val="none"/>
          <w:lang w:val="en-US" w:eastAsia="zh-CN" w:bidi="ar-SA"/>
        </w:rPr>
        <w:t>注：1.本次采购设备须符合公安高标准建设要求，性能稳定、安全可靠，满足执法办案管理中心使用规范。</w:t>
      </w:r>
    </w:p>
    <w:p w14:paraId="02F7AB63">
      <w:pPr>
        <w:pStyle w:val="6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cs="宋体"/>
          <w:b/>
          <w:bCs/>
          <w:i w:val="0"/>
          <w:iCs w:val="0"/>
          <w:color w:val="auto"/>
          <w:kern w:val="0"/>
          <w:sz w:val="24"/>
          <w:szCs w:val="24"/>
          <w:highlight w:val="none"/>
          <w:u w:val="none"/>
          <w:lang w:val="en-US" w:eastAsia="zh-CN" w:bidi="ar-SA"/>
        </w:rPr>
      </w:pPr>
      <w:r>
        <w:rPr>
          <w:rFonts w:hint="eastAsia" w:cs="宋体"/>
          <w:b/>
          <w:bCs/>
          <w:i w:val="0"/>
          <w:iCs w:val="0"/>
          <w:color w:val="auto"/>
          <w:kern w:val="0"/>
          <w:sz w:val="24"/>
          <w:szCs w:val="24"/>
          <w:highlight w:val="none"/>
          <w:u w:val="none"/>
          <w:lang w:val="en-US" w:eastAsia="zh-CN" w:bidi="ar-SA"/>
        </w:rPr>
        <w:t>2.所投软硬件须支持与公安执法办案综合管理平台无缝对接，数据互通、业务协同。</w:t>
      </w:r>
    </w:p>
    <w:p w14:paraId="6525E9DF">
      <w:pPr>
        <w:pStyle w:val="6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cs="宋体"/>
          <w:b/>
          <w:bCs/>
          <w:i w:val="0"/>
          <w:iCs w:val="0"/>
          <w:color w:val="auto"/>
          <w:kern w:val="0"/>
          <w:sz w:val="24"/>
          <w:szCs w:val="24"/>
          <w:highlight w:val="none"/>
          <w:u w:val="none"/>
          <w:lang w:val="en-US" w:eastAsia="zh-CN" w:bidi="ar-SA"/>
        </w:rPr>
      </w:pPr>
      <w:r>
        <w:rPr>
          <w:rFonts w:hint="eastAsia" w:cs="宋体"/>
          <w:b/>
          <w:bCs/>
          <w:i w:val="0"/>
          <w:iCs w:val="0"/>
          <w:color w:val="auto"/>
          <w:kern w:val="0"/>
          <w:sz w:val="24"/>
          <w:szCs w:val="24"/>
          <w:highlight w:val="none"/>
          <w:u w:val="none"/>
          <w:lang w:val="en-US" w:eastAsia="zh-CN" w:bidi="ar-SA"/>
        </w:rPr>
        <w:t>3.全部软硬件产品须实现国产化，核心部件自主可控，符合信创建设要求。</w:t>
      </w:r>
    </w:p>
    <w:p w14:paraId="5C9E93C3">
      <w:pPr>
        <w:pStyle w:val="6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bCs/>
          <w:color w:val="auto"/>
          <w:sz w:val="24"/>
          <w:lang w:val="en-US" w:eastAsia="zh-CN"/>
        </w:rPr>
      </w:pPr>
    </w:p>
    <w:p w14:paraId="2A85ADB9">
      <w:pPr>
        <w:pStyle w:val="6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cs="宋体"/>
          <w:b/>
          <w:bCs/>
          <w:i w:val="0"/>
          <w:iCs w:val="0"/>
          <w:color w:val="auto"/>
          <w:kern w:val="0"/>
          <w:sz w:val="24"/>
          <w:szCs w:val="24"/>
          <w:highlight w:val="none"/>
          <w:u w:val="none"/>
          <w:lang w:val="en-US" w:eastAsia="zh-CN" w:bidi="ar-SA"/>
        </w:rPr>
      </w:pPr>
      <w:r>
        <w:rPr>
          <w:rFonts w:hint="eastAsia" w:ascii="宋体" w:hAnsi="宋体" w:cs="宋体"/>
          <w:b/>
          <w:bCs/>
          <w:color w:val="auto"/>
          <w:sz w:val="24"/>
          <w:lang w:val="en-US" w:eastAsia="zh-CN"/>
        </w:rPr>
        <w:t>三、执法办案中心装修部分</w:t>
      </w:r>
      <w:r>
        <w:rPr>
          <w:rFonts w:hint="eastAsia" w:asciiTheme="minorEastAsia" w:hAnsiTheme="minorEastAsia" w:eastAsiaTheme="minorEastAsia" w:cstheme="minorEastAsia"/>
          <w:b/>
          <w:bCs/>
          <w:color w:val="auto"/>
          <w:sz w:val="24"/>
          <w:lang w:val="en-US" w:eastAsia="zh-CN" w:bidi="ar"/>
        </w:rPr>
        <w:t>清单及技术需求要求</w:t>
      </w:r>
    </w:p>
    <w:p w14:paraId="269F202D">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cs="宋体"/>
          <w:b w:val="0"/>
          <w:bCs w:val="0"/>
          <w:i w:val="0"/>
          <w:iCs w:val="0"/>
          <w:color w:val="auto"/>
          <w:kern w:val="0"/>
          <w:sz w:val="24"/>
          <w:szCs w:val="24"/>
          <w:highlight w:val="none"/>
          <w:u w:val="none"/>
          <w:lang w:val="en-US" w:eastAsia="zh-CN" w:bidi="ar-SA"/>
        </w:rPr>
      </w:pPr>
      <w:r>
        <w:rPr>
          <w:rFonts w:hint="eastAsia" w:cs="宋体"/>
          <w:b w:val="0"/>
          <w:bCs w:val="0"/>
          <w:i w:val="0"/>
          <w:iCs w:val="0"/>
          <w:color w:val="auto"/>
          <w:kern w:val="0"/>
          <w:sz w:val="24"/>
          <w:szCs w:val="24"/>
          <w:highlight w:val="none"/>
          <w:u w:val="none"/>
          <w:lang w:val="en-US" w:eastAsia="zh-CN" w:bidi="ar-SA"/>
        </w:rPr>
        <w:t>本部分内容详见设计图纸及招标工程量清单，请各投标单位在政采云系统自行下载。</w:t>
      </w:r>
    </w:p>
    <w:p w14:paraId="387470D4">
      <w:pPr>
        <w:pStyle w:val="6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i w:val="0"/>
          <w:iCs w:val="0"/>
          <w:color w:val="auto"/>
          <w:kern w:val="0"/>
          <w:sz w:val="24"/>
          <w:szCs w:val="24"/>
          <w:highlight w:val="none"/>
          <w:u w:val="none"/>
          <w:lang w:val="en-US" w:eastAsia="zh-CN" w:bidi="ar-SA"/>
        </w:rPr>
      </w:pPr>
      <w:r>
        <w:rPr>
          <w:rFonts w:hint="eastAsia" w:cs="宋体"/>
          <w:b/>
          <w:bCs/>
          <w:i w:val="0"/>
          <w:iCs w:val="0"/>
          <w:color w:val="auto"/>
          <w:kern w:val="0"/>
          <w:sz w:val="24"/>
          <w:szCs w:val="24"/>
          <w:highlight w:val="none"/>
          <w:u w:val="none"/>
          <w:lang w:val="en-US" w:eastAsia="zh-CN" w:bidi="ar-SA"/>
        </w:rPr>
        <w:t>四、</w:t>
      </w:r>
      <w:r>
        <w:rPr>
          <w:rFonts w:hint="eastAsia" w:ascii="宋体" w:hAnsi="宋体" w:eastAsia="宋体" w:cs="宋体"/>
          <w:b/>
          <w:bCs/>
          <w:i w:val="0"/>
          <w:iCs w:val="0"/>
          <w:color w:val="auto"/>
          <w:kern w:val="0"/>
          <w:sz w:val="24"/>
          <w:szCs w:val="24"/>
          <w:highlight w:val="none"/>
          <w:u w:val="none"/>
          <w:lang w:val="en-US" w:eastAsia="zh-CN" w:bidi="ar-SA"/>
        </w:rPr>
        <w:t>包装和运输：</w:t>
      </w:r>
    </w:p>
    <w:p w14:paraId="5E34FAC7">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由投标人负责按国家相关标准进行货物包装和运输，设备的包装均应有良好的防湿、防锈、防潮、防雨、防腐及防碰撞的措施。凡由于包装不良造成的损失和由此产生的费用均由投标人承担。任何由于包装不当或防护措施不力而导致的设备损坏、损失、锈蚀、费用增长等后果由投标人负责。</w:t>
      </w:r>
    </w:p>
    <w:p w14:paraId="2FF3811C">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投标人负责将设备运到采购人指定地点的全部运输费用，包括装卸车、货物现场的搬运费、安装费及税费等所有费用。</w:t>
      </w:r>
    </w:p>
    <w:p w14:paraId="3C00E110">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中标人负责将货物运抵指定地点，一切运输事项由中标人负责。</w:t>
      </w:r>
    </w:p>
    <w:p w14:paraId="5440069B">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中标人须在发货前24小时通知采购人，以便及时安排人员进行接收。中标人要将货物送达指定地点并负责卸货。</w:t>
      </w:r>
    </w:p>
    <w:p w14:paraId="566DE50A">
      <w:pPr>
        <w:pStyle w:val="6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SA"/>
        </w:rPr>
      </w:pPr>
      <w:r>
        <w:rPr>
          <w:rFonts w:hint="eastAsia" w:cs="宋体"/>
          <w:b/>
          <w:bCs/>
          <w:color w:val="auto"/>
          <w:kern w:val="0"/>
          <w:sz w:val="24"/>
          <w:szCs w:val="24"/>
          <w:highlight w:val="none"/>
          <w:lang w:val="en-US" w:eastAsia="zh-CN" w:bidi="ar-SA"/>
        </w:rPr>
        <w:t>五、</w:t>
      </w:r>
      <w:r>
        <w:rPr>
          <w:rFonts w:hint="eastAsia" w:ascii="宋体" w:hAnsi="宋体" w:eastAsia="宋体" w:cs="宋体"/>
          <w:b/>
          <w:bCs/>
          <w:color w:val="auto"/>
          <w:kern w:val="0"/>
          <w:sz w:val="24"/>
          <w:szCs w:val="24"/>
          <w:highlight w:val="none"/>
          <w:lang w:val="en-US" w:eastAsia="zh-CN" w:bidi="ar-SA"/>
        </w:rPr>
        <w:t>售后服务、保险等其他要求：</w:t>
      </w:r>
    </w:p>
    <w:p w14:paraId="41A81AFA">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投标人根据本次招标文件所制定的采购内容，提出相应的售后服务方案。</w:t>
      </w:r>
    </w:p>
    <w:p w14:paraId="73CC9CB9">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质保期内均提供免费上门维护，免费提供相关服务，对故障所采取的措施。包括故障排除、性能调优、技术咨询等。</w:t>
      </w:r>
    </w:p>
    <w:p w14:paraId="15D6C20C">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cs="宋体"/>
          <w:color w:val="auto"/>
          <w:kern w:val="0"/>
          <w:sz w:val="24"/>
          <w:szCs w:val="24"/>
          <w:highlight w:val="none"/>
          <w:lang w:val="en-US" w:eastAsia="zh-CN" w:bidi="ar-SA"/>
        </w:rPr>
        <w:t>3.</w:t>
      </w:r>
      <w:r>
        <w:rPr>
          <w:rFonts w:hint="eastAsia" w:ascii="宋体" w:hAnsi="宋体" w:eastAsia="宋体" w:cs="宋体"/>
          <w:b w:val="0"/>
          <w:bCs w:val="0"/>
          <w:color w:val="auto"/>
          <w:sz w:val="24"/>
          <w:szCs w:val="24"/>
          <w:highlight w:val="none"/>
          <w:lang w:val="en-US" w:eastAsia="zh-CN"/>
        </w:rPr>
        <w:t>投标人应对项目的采购提出实施计划，免费为买方提供现场操作培训，保证至操作人员正常使用设备的各种功能为止.</w:t>
      </w:r>
    </w:p>
    <w:p w14:paraId="0C36C775">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cs="宋体"/>
          <w:b w:val="0"/>
          <w:bCs w:val="0"/>
          <w:color w:val="auto"/>
          <w:sz w:val="24"/>
          <w:szCs w:val="24"/>
          <w:highlight w:val="none"/>
          <w:lang w:val="en-US" w:eastAsia="zh-CN"/>
        </w:rPr>
        <w:t>4.</w:t>
      </w:r>
      <w:r>
        <w:rPr>
          <w:rFonts w:hint="eastAsia" w:ascii="宋体" w:hAnsi="宋体" w:eastAsia="宋体" w:cs="宋体"/>
          <w:color w:val="auto"/>
          <w:kern w:val="0"/>
          <w:sz w:val="24"/>
          <w:szCs w:val="24"/>
          <w:highlight w:val="none"/>
          <w:lang w:val="en-US" w:eastAsia="zh-CN" w:bidi="ar-SA"/>
        </w:rPr>
        <w:t xml:space="preserve">投标人须保证所提供产品具有合法的版权或使用权，本项目采购的产品，如在本项目范围内使用过程中出现版权或使用权纠纷，应由中标人负责，采购人和采购机构不承担任何责任。 </w:t>
      </w:r>
    </w:p>
    <w:p w14:paraId="3F46B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提供设备的安装、调试服务，保证设备的正常运行；提供送货上门服务，解决采购人在技术上遇到的难题；在产品的操作使用为采购人提供专门的培训，培训人员现场培训（操作、维护等），根据采购人需求免费提供培训和技术指导；确保系统平台运行维护的可靠性及采购人对系统的可操作性和实施性。建立维修网络并提供巡回检修服务；建立采购人指导制度，跟踪商品的使用和维修情况；质保期内实行“三包”服务，即包修、包换、包退。提供保修服务，有售后服务机构。</w:t>
      </w:r>
    </w:p>
    <w:p w14:paraId="5D817500">
      <w:pPr>
        <w:pStyle w:val="64"/>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SA"/>
        </w:rPr>
      </w:pPr>
      <w:r>
        <w:rPr>
          <w:rFonts w:hint="eastAsia" w:cs="宋体"/>
          <w:b/>
          <w:bCs/>
          <w:color w:val="auto"/>
          <w:kern w:val="0"/>
          <w:sz w:val="24"/>
          <w:szCs w:val="24"/>
          <w:highlight w:val="none"/>
          <w:lang w:val="en-US" w:eastAsia="zh-CN" w:bidi="ar-SA"/>
        </w:rPr>
        <w:t>六、</w:t>
      </w:r>
      <w:r>
        <w:rPr>
          <w:rFonts w:hint="eastAsia" w:ascii="宋体" w:hAnsi="宋体" w:eastAsia="宋体" w:cs="宋体"/>
          <w:b/>
          <w:bCs/>
          <w:color w:val="auto"/>
          <w:kern w:val="0"/>
          <w:sz w:val="24"/>
          <w:szCs w:val="24"/>
          <w:highlight w:val="none"/>
          <w:lang w:val="en-US" w:eastAsia="zh-CN" w:bidi="ar-SA"/>
        </w:rPr>
        <w:t>验收要求</w:t>
      </w:r>
    </w:p>
    <w:p w14:paraId="243F23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验收程序：组建验收小组；</w:t>
      </w:r>
    </w:p>
    <w:p w14:paraId="430856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验收方式：一次性验收。投标人履约完成，采购人按采购合同约定验收条件进行一次性验收。</w:t>
      </w:r>
    </w:p>
    <w:p w14:paraId="7F19C5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验收内容：</w:t>
      </w:r>
    </w:p>
    <w:p w14:paraId="7E480B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供货时，中标人提供货物清单（内容包括产品品牌、数量、规格）并保证产品包装完整、标示清晰。</w:t>
      </w:r>
    </w:p>
    <w:p w14:paraId="2342D7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验收标准：</w:t>
      </w:r>
    </w:p>
    <w:p w14:paraId="2E8192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交货时要求投标人就所投产品提供生产厂家完整的随机资料，包括完整的产品资料、产品合格证件、使用和维修手册、说明书等。</w:t>
      </w:r>
    </w:p>
    <w:p w14:paraId="1EED96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所有设备必须是原装包装。采购人收到中标人发送的货物后，应在现场及时对货物的质量和数量进行验收，并给中标人办理签收确认手续，视为验收合格。不合格当场提出异议。</w:t>
      </w:r>
    </w:p>
    <w:p w14:paraId="06511C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验收在采购人、中标人双方共同参加下进行。验收按国家有关的规定进行。验收时如发现所交付的设备有次品、损坏情形，应做出详尽的现场记录。现场记录可用作补充、缺失和更换损坏部件的有效证据。由此产生的有关费用由中标人承担。如果合同设备运输和安装调试过程中因事故造成货物短缺、损坏，中标人应及时安排更换，以保证合同设备安装调试的成功完成。换货的相关费用由中标人承担。设备安装后运行情况良好。</w:t>
      </w:r>
    </w:p>
    <w:p w14:paraId="0F884B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如采购人发现产品质量、安装调试质量存在质量问题或实际使用效果无法满足采购需求。采购人有权利要求投标人限期整改，如超期采购人有权利视为投标人不满足完成本项目的能力向上级财政管理部门申请解除采购合同；并有权向投标人进行追偿。</w:t>
      </w:r>
    </w:p>
    <w:p w14:paraId="6D52F6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同时采购人有权要求投标人对产品的合法供货渠道进行说明，经核实如投标人提供非法渠道的商品，视为欺诈，为维护采购人的合法权益，投标人要承担商品价值双倍的赔偿；同时，依据国家法律法规追究其他责任，并连带追究所供产品生产企业的责任。</w:t>
      </w:r>
    </w:p>
    <w:p w14:paraId="4EBFA493">
      <w:pPr>
        <w:numPr>
          <w:ilvl w:val="0"/>
          <w:numId w:val="0"/>
        </w:numPr>
        <w:overflowPunct w:val="0"/>
        <w:topLinePunct/>
        <w:spacing w:line="360" w:lineRule="auto"/>
        <w:ind w:firstLine="482" w:firstLineChars="200"/>
        <w:jc w:val="left"/>
        <w:rPr>
          <w:rFonts w:hint="eastAsia" w:ascii="宋体" w:hAnsi="宋体" w:eastAsia="宋体" w:cs="宋体"/>
          <w:b/>
          <w:color w:val="auto"/>
          <w:kern w:val="0"/>
          <w:sz w:val="24"/>
          <w:highlight w:val="none"/>
          <w:lang w:eastAsia="zh-CN"/>
        </w:rPr>
      </w:pPr>
      <w:r>
        <w:rPr>
          <w:rFonts w:hint="eastAsia" w:ascii="宋体" w:hAnsi="宋体" w:cs="宋体"/>
          <w:b/>
          <w:color w:val="auto"/>
          <w:kern w:val="0"/>
          <w:sz w:val="24"/>
          <w:highlight w:val="none"/>
          <w:lang w:val="en-US" w:eastAsia="zh-CN"/>
        </w:rPr>
        <w:t>七、</w:t>
      </w:r>
      <w:r>
        <w:rPr>
          <w:rFonts w:hint="eastAsia" w:ascii="宋体" w:hAnsi="宋体" w:cs="宋体"/>
          <w:b/>
          <w:color w:val="auto"/>
          <w:kern w:val="0"/>
          <w:sz w:val="24"/>
          <w:highlight w:val="none"/>
        </w:rPr>
        <w:t>其他</w:t>
      </w:r>
      <w:r>
        <w:rPr>
          <w:rFonts w:hint="eastAsia" w:ascii="宋体" w:hAnsi="宋体" w:cs="宋体"/>
          <w:b/>
          <w:color w:val="auto"/>
          <w:kern w:val="0"/>
          <w:sz w:val="24"/>
          <w:highlight w:val="none"/>
          <w:lang w:val="en-US" w:eastAsia="zh-CN"/>
        </w:rPr>
        <w:t>要求</w:t>
      </w:r>
    </w:p>
    <w:p w14:paraId="76F3F1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1.投标人需具有独立完成所承担项目的能力，中标后，严禁以任何形式和理由转包。</w:t>
      </w:r>
    </w:p>
    <w:p w14:paraId="491B91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2.中标人必须承诺提供给采购人的货物为全新的,为原厂家配置，不得以次充好，并符合相关质量检测标准。</w:t>
      </w:r>
    </w:p>
    <w:p w14:paraId="4198B2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3.本次采购的</w:t>
      </w:r>
      <w:r>
        <w:rPr>
          <w:rFonts w:hint="eastAsia" w:ascii="宋体" w:hAnsi="宋体" w:cs="宋体"/>
          <w:color w:val="auto"/>
          <w:kern w:val="0"/>
          <w:sz w:val="24"/>
          <w:szCs w:val="24"/>
          <w:highlight w:val="none"/>
          <w:lang w:val="en-US" w:eastAsia="zh-CN" w:bidi="ar-SA"/>
        </w:rPr>
        <w:t>设备</w:t>
      </w:r>
      <w:r>
        <w:rPr>
          <w:rFonts w:hint="eastAsia" w:ascii="宋体" w:hAnsi="宋体" w:eastAsia="宋体" w:cs="宋体"/>
          <w:color w:val="auto"/>
          <w:kern w:val="0"/>
          <w:sz w:val="24"/>
          <w:szCs w:val="24"/>
          <w:highlight w:val="none"/>
          <w:lang w:val="en-US" w:eastAsia="zh-CN" w:bidi="ar-SA"/>
        </w:rPr>
        <w:t>，属于《强制性产品认证目录》（国家市场监督管理总局、国家认证认可监督管理委员会联合发布，最新版）范围内的产品，投标产品必须已通过中国强制性产品认证（简称 “3C 认证”），并取得有效的 3C 认证证书。</w:t>
      </w:r>
    </w:p>
    <w:p w14:paraId="567D43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.中标人必须承诺所供货物完全符合招标文件要求，若发现所供货物不符合招标文件要求则无条件更换，所产生的一切费用由中标人承担。</w:t>
      </w:r>
    </w:p>
    <w:p w14:paraId="4C0FC6C2">
      <w:pPr>
        <w:rPr>
          <w:rFonts w:hint="eastAsia"/>
          <w:color w:val="auto"/>
        </w:rPr>
        <w:sectPr>
          <w:footerReference r:id="rId11" w:type="first"/>
          <w:footerReference r:id="rId10" w:type="default"/>
          <w:pgSz w:w="11907" w:h="16840"/>
          <w:pgMar w:top="1440" w:right="1080" w:bottom="1440" w:left="1080" w:header="850" w:footer="850" w:gutter="0"/>
          <w:pgBorders>
            <w:top w:val="none" w:sz="0" w:space="0"/>
            <w:left w:val="none" w:sz="0" w:space="0"/>
            <w:bottom w:val="none" w:sz="0" w:space="0"/>
            <w:right w:val="none" w:sz="0" w:space="0"/>
          </w:pgBorders>
          <w:pgNumType w:fmt="decimal"/>
          <w:cols w:space="720" w:num="1"/>
          <w:docGrid w:linePitch="381" w:charSpace="0"/>
        </w:sectPr>
      </w:pPr>
    </w:p>
    <w:p w14:paraId="264E1037">
      <w:pPr>
        <w:pStyle w:val="13"/>
        <w:rPr>
          <w:color w:val="auto"/>
        </w:rPr>
      </w:pPr>
    </w:p>
    <w:bookmarkEnd w:id="31"/>
    <w:p w14:paraId="337AFA1B">
      <w:pPr>
        <w:jc w:val="center"/>
        <w:outlineLvl w:val="0"/>
        <w:rPr>
          <w:rFonts w:ascii="宋体" w:hAnsi="宋体" w:cs="宋体"/>
          <w:b/>
          <w:bCs/>
          <w:color w:val="auto"/>
          <w:sz w:val="32"/>
          <w:szCs w:val="28"/>
        </w:rPr>
      </w:pPr>
      <w:bookmarkStart w:id="32" w:name="_Toc100594742"/>
      <w:bookmarkStart w:id="33" w:name="_Toc25607"/>
      <w:bookmarkStart w:id="34" w:name="_Toc10296"/>
      <w:bookmarkStart w:id="35" w:name="_Toc175644061"/>
      <w:r>
        <w:rPr>
          <w:rFonts w:hint="eastAsia" w:ascii="宋体" w:hAnsi="宋体" w:cs="宋体"/>
          <w:b/>
          <w:bCs/>
          <w:color w:val="auto"/>
          <w:sz w:val="32"/>
          <w:szCs w:val="28"/>
        </w:rPr>
        <w:t>第五章</w:t>
      </w:r>
      <w:r>
        <w:rPr>
          <w:rFonts w:hint="eastAsia" w:ascii="宋体" w:hAnsi="宋体" w:cs="宋体"/>
          <w:b/>
          <w:bCs/>
          <w:color w:val="auto"/>
          <w:sz w:val="32"/>
          <w:szCs w:val="28"/>
          <w:lang w:val="en-US" w:eastAsia="zh-CN"/>
        </w:rPr>
        <w:t xml:space="preserve">  </w:t>
      </w:r>
      <w:r>
        <w:rPr>
          <w:rFonts w:hint="eastAsia" w:ascii="宋体" w:hAnsi="宋体" w:cs="宋体"/>
          <w:b/>
          <w:bCs/>
          <w:color w:val="auto"/>
          <w:sz w:val="32"/>
          <w:szCs w:val="28"/>
        </w:rPr>
        <w:t>合同原则（仅供参考）</w:t>
      </w:r>
      <w:bookmarkEnd w:id="32"/>
      <w:bookmarkEnd w:id="33"/>
    </w:p>
    <w:p w14:paraId="5154DEF6">
      <w:pPr>
        <w:widowControl/>
        <w:snapToGrid w:val="0"/>
        <w:spacing w:line="360" w:lineRule="auto"/>
        <w:jc w:val="center"/>
        <w:rPr>
          <w:rFonts w:ascii="宋体" w:hAnsi="宋体" w:eastAsia="宋体" w:cs="宋体"/>
          <w:b/>
          <w:bCs/>
          <w:color w:val="auto"/>
          <w:kern w:val="0"/>
          <w:sz w:val="24"/>
          <w:szCs w:val="24"/>
        </w:rPr>
      </w:pPr>
    </w:p>
    <w:p w14:paraId="07EBC2E6">
      <w:pPr>
        <w:pStyle w:val="13"/>
        <w:spacing w:after="0"/>
        <w:jc w:val="center"/>
        <w:rPr>
          <w:rFonts w:hint="eastAsia" w:ascii="宋体" w:hAnsi="宋体" w:eastAsia="宋体" w:cs="宋体"/>
          <w:b/>
          <w:bCs/>
          <w:spacing w:val="-20"/>
          <w:kern w:val="44"/>
          <w:sz w:val="48"/>
          <w:szCs w:val="48"/>
        </w:rPr>
      </w:pPr>
    </w:p>
    <w:p w14:paraId="1B994BF6">
      <w:pPr>
        <w:pStyle w:val="13"/>
        <w:spacing w:after="0"/>
        <w:jc w:val="center"/>
        <w:rPr>
          <w:rFonts w:hint="eastAsia" w:ascii="宋体" w:hAnsi="宋体" w:eastAsia="宋体" w:cs="宋体"/>
          <w:b/>
          <w:bCs/>
          <w:spacing w:val="-20"/>
          <w:kern w:val="44"/>
          <w:sz w:val="48"/>
          <w:szCs w:val="48"/>
        </w:rPr>
      </w:pPr>
    </w:p>
    <w:p w14:paraId="79AFDCCB">
      <w:pPr>
        <w:pStyle w:val="13"/>
        <w:spacing w:after="0"/>
        <w:jc w:val="center"/>
        <w:rPr>
          <w:rFonts w:hint="eastAsia" w:ascii="宋体" w:hAnsi="宋体" w:eastAsia="宋体" w:cs="宋体"/>
          <w:b/>
          <w:bCs/>
          <w:spacing w:val="-20"/>
          <w:kern w:val="44"/>
          <w:sz w:val="48"/>
          <w:szCs w:val="48"/>
        </w:rPr>
      </w:pPr>
    </w:p>
    <w:p w14:paraId="3F68B781">
      <w:pPr>
        <w:pStyle w:val="13"/>
        <w:spacing w:after="0"/>
        <w:jc w:val="center"/>
        <w:rPr>
          <w:rFonts w:hint="eastAsia" w:ascii="宋体" w:hAnsi="宋体" w:eastAsia="宋体" w:cs="宋体"/>
          <w:b/>
          <w:bCs/>
          <w:spacing w:val="-20"/>
          <w:kern w:val="44"/>
          <w:sz w:val="48"/>
          <w:szCs w:val="48"/>
        </w:rPr>
      </w:pPr>
    </w:p>
    <w:p w14:paraId="4E2FC4AC">
      <w:pPr>
        <w:pStyle w:val="13"/>
        <w:spacing w:after="0"/>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w:t>
      </w:r>
      <w:r>
        <w:rPr>
          <w:rFonts w:hint="eastAsia" w:ascii="宋体" w:hAnsi="宋体" w:eastAsia="宋体" w:cs="宋体"/>
          <w:b/>
          <w:bCs/>
          <w:spacing w:val="-20"/>
          <w:kern w:val="44"/>
          <w:sz w:val="48"/>
          <w:szCs w:val="48"/>
          <w:lang w:eastAsia="zh-CN"/>
        </w:rPr>
        <w:t>货物买卖</w:t>
      </w:r>
      <w:r>
        <w:rPr>
          <w:rFonts w:hint="eastAsia" w:ascii="宋体" w:hAnsi="宋体" w:eastAsia="宋体" w:cs="宋体"/>
          <w:b/>
          <w:bCs/>
          <w:spacing w:val="-20"/>
          <w:kern w:val="44"/>
          <w:sz w:val="48"/>
          <w:szCs w:val="48"/>
        </w:rPr>
        <w:t>合同</w:t>
      </w:r>
    </w:p>
    <w:p w14:paraId="6E3A96B5">
      <w:pPr>
        <w:keepNext w:val="0"/>
        <w:keepLines w:val="0"/>
        <w:pageBreakBefore w:val="0"/>
        <w:kinsoku/>
        <w:wordWrap/>
        <w:overflowPunct/>
        <w:topLinePunct w:val="0"/>
        <w:bidi w:val="0"/>
        <w:snapToGrid/>
        <w:spacing w:line="360" w:lineRule="auto"/>
        <w:ind w:firstLine="0" w:firstLineChars="0"/>
        <w:jc w:val="center"/>
        <w:textAlignment w:val="auto"/>
        <w:rPr>
          <w:rFonts w:hint="eastAsia" w:ascii="宋体" w:hAnsi="宋体" w:eastAsia="宋体" w:cs="宋体"/>
          <w:b/>
          <w:bCs/>
          <w:spacing w:val="-20"/>
          <w:kern w:val="44"/>
          <w:sz w:val="40"/>
          <w:szCs w:val="40"/>
        </w:rPr>
      </w:pPr>
    </w:p>
    <w:p w14:paraId="19816890">
      <w:pPr>
        <w:keepNext w:val="0"/>
        <w:keepLines w:val="0"/>
        <w:pageBreakBefore w:val="0"/>
        <w:kinsoku/>
        <w:wordWrap/>
        <w:overflowPunct/>
        <w:topLinePunct w:val="0"/>
        <w:bidi w:val="0"/>
        <w:snapToGrid/>
        <w:spacing w:line="360" w:lineRule="auto"/>
        <w:ind w:firstLine="0" w:firstLineChars="0"/>
        <w:jc w:val="center"/>
        <w:textAlignment w:val="auto"/>
        <w:rPr>
          <w:rFonts w:hint="eastAsia" w:ascii="宋体" w:hAnsi="宋体" w:eastAsia="宋体" w:cs="宋体"/>
          <w:b/>
          <w:bCs/>
          <w:spacing w:val="-20"/>
          <w:kern w:val="44"/>
          <w:sz w:val="40"/>
          <w:szCs w:val="40"/>
        </w:rPr>
      </w:pPr>
    </w:p>
    <w:p w14:paraId="514C6B8F">
      <w:pPr>
        <w:pStyle w:val="128"/>
        <w:keepNext w:val="0"/>
        <w:keepLines w:val="0"/>
        <w:pageBreakBefore w:val="0"/>
        <w:kinsoku/>
        <w:wordWrap/>
        <w:overflowPunct/>
        <w:topLinePunct w:val="0"/>
        <w:bidi w:val="0"/>
        <w:snapToGrid/>
        <w:spacing w:line="360" w:lineRule="auto"/>
        <w:ind w:firstLine="0" w:firstLineChars="0"/>
        <w:jc w:val="center"/>
        <w:textAlignment w:val="auto"/>
        <w:rPr>
          <w:rFonts w:hint="eastAsia" w:ascii="宋体" w:hAnsi="宋体" w:eastAsia="宋体" w:cs="宋体"/>
          <w:b/>
          <w:bCs/>
          <w:spacing w:val="-20"/>
          <w:kern w:val="44"/>
          <w:sz w:val="40"/>
          <w:szCs w:val="40"/>
        </w:rPr>
      </w:pPr>
    </w:p>
    <w:p w14:paraId="60F5C839">
      <w:pPr>
        <w:pStyle w:val="128"/>
        <w:keepNext w:val="0"/>
        <w:keepLines w:val="0"/>
        <w:pageBreakBefore w:val="0"/>
        <w:kinsoku/>
        <w:wordWrap/>
        <w:overflowPunct/>
        <w:topLinePunct w:val="0"/>
        <w:bidi w:val="0"/>
        <w:snapToGrid/>
        <w:spacing w:line="360" w:lineRule="auto"/>
        <w:ind w:firstLine="0" w:firstLineChars="0"/>
        <w:jc w:val="center"/>
        <w:textAlignment w:val="auto"/>
        <w:rPr>
          <w:rFonts w:hint="eastAsia" w:ascii="宋体" w:hAnsi="宋体" w:eastAsia="宋体" w:cs="宋体"/>
          <w:b/>
          <w:bCs/>
          <w:spacing w:val="-20"/>
          <w:kern w:val="44"/>
          <w:sz w:val="40"/>
          <w:szCs w:val="40"/>
        </w:rPr>
      </w:pPr>
    </w:p>
    <w:p w14:paraId="20BF1C60">
      <w:pPr>
        <w:pStyle w:val="128"/>
        <w:keepNext w:val="0"/>
        <w:keepLines w:val="0"/>
        <w:pageBreakBefore w:val="0"/>
        <w:kinsoku/>
        <w:wordWrap/>
        <w:overflowPunct/>
        <w:topLinePunct w:val="0"/>
        <w:bidi w:val="0"/>
        <w:snapToGrid/>
        <w:spacing w:line="360" w:lineRule="auto"/>
        <w:ind w:firstLine="0" w:firstLineChars="0"/>
        <w:jc w:val="center"/>
        <w:textAlignment w:val="auto"/>
        <w:rPr>
          <w:rFonts w:hint="eastAsia" w:ascii="宋体" w:hAnsi="宋体" w:eastAsia="宋体" w:cs="宋体"/>
          <w:b/>
          <w:bCs/>
          <w:spacing w:val="-20"/>
          <w:kern w:val="44"/>
          <w:sz w:val="40"/>
          <w:szCs w:val="40"/>
        </w:rPr>
      </w:pPr>
    </w:p>
    <w:p w14:paraId="21622458">
      <w:pPr>
        <w:keepNext w:val="0"/>
        <w:keepLines w:val="0"/>
        <w:pageBreakBefore w:val="0"/>
        <w:kinsoku/>
        <w:wordWrap/>
        <w:overflowPunct/>
        <w:topLinePunct w:val="0"/>
        <w:bidi w:val="0"/>
        <w:snapToGrid/>
        <w:spacing w:line="360" w:lineRule="auto"/>
        <w:ind w:firstLine="0" w:firstLineChars="0"/>
        <w:jc w:val="center"/>
        <w:textAlignment w:val="auto"/>
        <w:rPr>
          <w:rFonts w:hint="eastAsia" w:ascii="宋体" w:hAnsi="宋体" w:eastAsia="宋体" w:cs="宋体"/>
          <w:b/>
          <w:bCs/>
          <w:spacing w:val="-20"/>
          <w:kern w:val="44"/>
          <w:sz w:val="40"/>
          <w:szCs w:val="40"/>
        </w:rPr>
      </w:pPr>
    </w:p>
    <w:p w14:paraId="2F2B36E1">
      <w:pPr>
        <w:keepNext w:val="0"/>
        <w:keepLines w:val="0"/>
        <w:pageBreakBefore w:val="0"/>
        <w:widowControl w:val="0"/>
        <w:kinsoku/>
        <w:wordWrap/>
        <w:overflowPunct/>
        <w:topLinePunct w:val="0"/>
        <w:autoSpaceDE/>
        <w:autoSpaceDN/>
        <w:bidi w:val="0"/>
        <w:adjustRightInd/>
        <w:snapToGrid/>
        <w:spacing w:line="360" w:lineRule="auto"/>
        <w:ind w:left="0" w:leftChars="0" w:firstLine="1280" w:firstLineChars="400"/>
        <w:textAlignment w:val="auto"/>
        <w:rPr>
          <w:rFonts w:hint="eastAsia" w:ascii="宋体" w:hAnsi="宋体" w:eastAsia="宋体" w:cs="宋体"/>
          <w:sz w:val="32"/>
          <w:szCs w:val="32"/>
        </w:rPr>
      </w:pPr>
      <w:r>
        <w:rPr>
          <w:rFonts w:hint="eastAsia" w:ascii="宋体" w:hAnsi="宋体" w:eastAsia="宋体" w:cs="宋体"/>
          <w:kern w:val="0"/>
          <w:sz w:val="32"/>
          <w:szCs w:val="32"/>
        </w:rPr>
        <w:t>项目名称：</w:t>
      </w:r>
      <w:r>
        <w:rPr>
          <w:rFonts w:hint="eastAsia" w:ascii="宋体" w:hAnsi="宋体" w:eastAsia="宋体" w:cs="宋体"/>
          <w:sz w:val="32"/>
          <w:szCs w:val="32"/>
          <w:u w:val="single"/>
        </w:rPr>
        <w:t xml:space="preserve">                             </w:t>
      </w:r>
    </w:p>
    <w:p w14:paraId="68DFEEA9">
      <w:pPr>
        <w:keepNext w:val="0"/>
        <w:keepLines w:val="0"/>
        <w:pageBreakBefore w:val="0"/>
        <w:widowControl w:val="0"/>
        <w:kinsoku/>
        <w:wordWrap/>
        <w:overflowPunct/>
        <w:topLinePunct w:val="0"/>
        <w:autoSpaceDE/>
        <w:autoSpaceDN/>
        <w:bidi w:val="0"/>
        <w:adjustRightInd/>
        <w:snapToGrid/>
        <w:spacing w:line="360" w:lineRule="auto"/>
        <w:ind w:left="0" w:leftChars="0" w:firstLine="1280" w:firstLineChars="400"/>
        <w:textAlignment w:val="auto"/>
        <w:rPr>
          <w:rFonts w:hint="eastAsia" w:ascii="宋体" w:hAnsi="宋体" w:eastAsia="宋体" w:cs="宋体"/>
          <w:sz w:val="32"/>
          <w:szCs w:val="32"/>
          <w:u w:val="single"/>
        </w:rPr>
      </w:pPr>
      <w:r>
        <w:rPr>
          <w:rFonts w:hint="eastAsia" w:ascii="宋体" w:hAnsi="宋体" w:eastAsia="宋体" w:cs="宋体"/>
          <w:sz w:val="32"/>
          <w:szCs w:val="32"/>
        </w:rPr>
        <w:t>合同编号：</w:t>
      </w:r>
      <w:r>
        <w:rPr>
          <w:rFonts w:hint="eastAsia" w:ascii="宋体" w:hAnsi="宋体" w:eastAsia="宋体" w:cs="宋体"/>
          <w:sz w:val="32"/>
          <w:szCs w:val="32"/>
          <w:u w:val="single"/>
        </w:rPr>
        <w:t xml:space="preserve">                             </w:t>
      </w:r>
    </w:p>
    <w:p w14:paraId="068A123D">
      <w:pPr>
        <w:keepNext w:val="0"/>
        <w:keepLines w:val="0"/>
        <w:pageBreakBefore w:val="0"/>
        <w:widowControl w:val="0"/>
        <w:kinsoku/>
        <w:wordWrap/>
        <w:overflowPunct/>
        <w:topLinePunct w:val="0"/>
        <w:autoSpaceDE/>
        <w:autoSpaceDN/>
        <w:bidi w:val="0"/>
        <w:adjustRightInd/>
        <w:snapToGrid/>
        <w:spacing w:line="360" w:lineRule="auto"/>
        <w:ind w:left="0" w:leftChars="0" w:firstLine="1280" w:firstLineChars="400"/>
        <w:textAlignment w:val="auto"/>
        <w:rPr>
          <w:rFonts w:hint="eastAsia" w:ascii="宋体" w:hAnsi="宋体" w:eastAsia="宋体" w:cs="宋体"/>
          <w:sz w:val="32"/>
          <w:szCs w:val="32"/>
        </w:rPr>
      </w:pPr>
      <w:r>
        <w:rPr>
          <w:rFonts w:hint="eastAsia" w:ascii="宋体" w:hAnsi="宋体" w:eastAsia="宋体" w:cs="宋体"/>
          <w:sz w:val="32"/>
          <w:szCs w:val="32"/>
        </w:rPr>
        <w:t>甲    方：</w:t>
      </w:r>
      <w:r>
        <w:rPr>
          <w:rFonts w:hint="eastAsia" w:ascii="宋体" w:hAnsi="宋体" w:eastAsia="宋体" w:cs="宋体"/>
          <w:sz w:val="32"/>
          <w:szCs w:val="32"/>
          <w:u w:val="single"/>
        </w:rPr>
        <w:t xml:space="preserve">                             </w:t>
      </w:r>
    </w:p>
    <w:p w14:paraId="4F10327F">
      <w:pPr>
        <w:keepNext w:val="0"/>
        <w:keepLines w:val="0"/>
        <w:pageBreakBefore w:val="0"/>
        <w:widowControl w:val="0"/>
        <w:kinsoku/>
        <w:wordWrap/>
        <w:overflowPunct/>
        <w:topLinePunct w:val="0"/>
        <w:autoSpaceDE/>
        <w:autoSpaceDN/>
        <w:bidi w:val="0"/>
        <w:adjustRightInd/>
        <w:snapToGrid/>
        <w:spacing w:line="360" w:lineRule="auto"/>
        <w:ind w:left="0" w:leftChars="0" w:firstLine="1280" w:firstLineChars="400"/>
        <w:textAlignment w:val="auto"/>
        <w:rPr>
          <w:rFonts w:hint="eastAsia" w:ascii="宋体" w:hAnsi="宋体" w:eastAsia="宋体" w:cs="宋体"/>
          <w:sz w:val="32"/>
          <w:szCs w:val="32"/>
          <w:u w:val="single"/>
        </w:rPr>
      </w:pPr>
      <w:r>
        <w:rPr>
          <w:rFonts w:hint="eastAsia" w:ascii="宋体" w:hAnsi="宋体" w:eastAsia="宋体" w:cs="宋体"/>
          <w:sz w:val="32"/>
          <w:szCs w:val="32"/>
        </w:rPr>
        <w:t>乙    方：</w:t>
      </w:r>
      <w:r>
        <w:rPr>
          <w:rFonts w:hint="eastAsia" w:ascii="宋体" w:hAnsi="宋体" w:eastAsia="宋体" w:cs="宋体"/>
          <w:sz w:val="32"/>
          <w:szCs w:val="32"/>
          <w:u w:val="single"/>
        </w:rPr>
        <w:t xml:space="preserve">                             </w:t>
      </w:r>
    </w:p>
    <w:p w14:paraId="75BD5F0C">
      <w:pPr>
        <w:keepNext w:val="0"/>
        <w:keepLines w:val="0"/>
        <w:pageBreakBefore w:val="0"/>
        <w:widowControl w:val="0"/>
        <w:kinsoku/>
        <w:wordWrap/>
        <w:overflowPunct/>
        <w:topLinePunct w:val="0"/>
        <w:autoSpaceDE/>
        <w:autoSpaceDN/>
        <w:bidi w:val="0"/>
        <w:adjustRightInd/>
        <w:snapToGrid/>
        <w:spacing w:line="360" w:lineRule="auto"/>
        <w:ind w:left="0" w:leftChars="0" w:firstLine="1280" w:firstLineChars="400"/>
        <w:textAlignment w:val="auto"/>
        <w:rPr>
          <w:rFonts w:hint="eastAsia" w:ascii="宋体" w:hAnsi="宋体" w:eastAsia="宋体" w:cs="宋体"/>
          <w:sz w:val="32"/>
          <w:szCs w:val="32"/>
        </w:rPr>
      </w:pPr>
      <w:r>
        <w:rPr>
          <w:rFonts w:hint="eastAsia" w:ascii="宋体" w:hAnsi="宋体" w:eastAsia="宋体" w:cs="宋体"/>
          <w:sz w:val="32"/>
          <w:szCs w:val="32"/>
        </w:rPr>
        <w:t>签订时间：</w:t>
      </w:r>
      <w:r>
        <w:rPr>
          <w:rFonts w:hint="eastAsia" w:ascii="宋体" w:hAnsi="宋体" w:eastAsia="宋体" w:cs="宋体"/>
          <w:sz w:val="32"/>
          <w:szCs w:val="32"/>
          <w:u w:val="single"/>
        </w:rPr>
        <w:t xml:space="preserve">                             </w:t>
      </w:r>
    </w:p>
    <w:p w14:paraId="0D34A801">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2" w:firstLineChars="200"/>
        <w:jc w:val="left"/>
        <w:textAlignment w:val="auto"/>
        <w:rPr>
          <w:rFonts w:hint="eastAsia" w:ascii="宋体" w:hAnsi="宋体" w:eastAsia="宋体" w:cs="宋体"/>
          <w:b/>
          <w:bCs/>
          <w:sz w:val="24"/>
          <w:szCs w:val="24"/>
        </w:rPr>
      </w:pPr>
    </w:p>
    <w:p w14:paraId="46861CCC">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br w:type="page"/>
      </w:r>
    </w:p>
    <w:p w14:paraId="15E9B2F0">
      <w:pPr>
        <w:jc w:val="center"/>
        <w:rPr>
          <w:rFonts w:hint="eastAsia" w:ascii="宋体" w:hAnsi="宋体" w:eastAsia="宋体" w:cs="宋体"/>
          <w:sz w:val="44"/>
          <w:szCs w:val="44"/>
          <w:lang w:eastAsia="zh-CN"/>
        </w:rPr>
      </w:pPr>
      <w:r>
        <w:rPr>
          <w:rFonts w:hint="eastAsia" w:ascii="宋体" w:hAnsi="宋体" w:eastAsia="宋体" w:cs="宋体"/>
          <w:b/>
          <w:bCs/>
          <w:sz w:val="32"/>
          <w:szCs w:val="32"/>
          <w:lang w:eastAsia="zh-CN"/>
        </w:rPr>
        <w:t>使</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用</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说</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明</w:t>
      </w:r>
    </w:p>
    <w:p w14:paraId="565BF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p>
    <w:p w14:paraId="7C9AE6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1、本合同标准文本适用于购买现成货物的采购项目，不包括需要供应商定制开发、创新研发的货物采购项目。</w:t>
      </w:r>
    </w:p>
    <w:p w14:paraId="76EEB1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2、本合同标准文本为政府采购货物买卖合同编制提供参考，可以结合采购项目具体情况，对文本作必要的调整修订后使用。</w:t>
      </w:r>
    </w:p>
    <w:p w14:paraId="3BA1130B">
      <w:pPr>
        <w:keepNext/>
        <w:keepLines/>
        <w:pageBreakBefore w:val="0"/>
        <w:widowControl w:val="0"/>
        <w:kinsoku/>
        <w:wordWrap/>
        <w:overflowPunct/>
        <w:topLinePunct w:val="0"/>
        <w:autoSpaceDE/>
        <w:autoSpaceDN/>
        <w:bidi w:val="0"/>
        <w:adjustRightInd w:val="0"/>
        <w:snapToGrid w:val="0"/>
        <w:spacing w:before="0" w:after="0" w:line="360" w:lineRule="auto"/>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3、本合同标准文本各条款中，如涉及填写多家供应商、制造商，多种采购标的、分包主要内容等信息的，可根据采购项目具体情况添加信息项。</w:t>
      </w:r>
      <w:bookmarkStart w:id="36" w:name="_Toc27624"/>
    </w:p>
    <w:p w14:paraId="7CBE86DA">
      <w:pPr>
        <w:keepNext/>
        <w:keepLines/>
        <w:pageBreakBefore w:val="0"/>
        <w:widowControl w:val="0"/>
        <w:kinsoku/>
        <w:wordWrap/>
        <w:overflowPunct/>
        <w:topLinePunct w:val="0"/>
        <w:autoSpaceDE/>
        <w:autoSpaceDN/>
        <w:bidi w:val="0"/>
        <w:adjustRightInd w:val="0"/>
        <w:snapToGrid w:val="0"/>
        <w:spacing w:before="0" w:beforeLines="0" w:after="0" w:line="360" w:lineRule="auto"/>
        <w:jc w:val="center"/>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br w:type="page"/>
      </w:r>
      <w:bookmarkStart w:id="37" w:name="_Toc22209"/>
      <w:r>
        <w:rPr>
          <w:rFonts w:hint="eastAsia" w:ascii="宋体" w:hAnsi="宋体" w:eastAsia="宋体" w:cs="宋体"/>
          <w:b/>
          <w:bCs/>
          <w:sz w:val="32"/>
          <w:szCs w:val="32"/>
        </w:rPr>
        <w:t xml:space="preserve">第一节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政府采购合同协议书</w:t>
      </w:r>
      <w:bookmarkEnd w:id="37"/>
    </w:p>
    <w:p w14:paraId="288885A5">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p>
    <w:p w14:paraId="66A30033">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0FD9C867">
      <w:pPr>
        <w:pStyle w:val="14"/>
        <w:keepNext w:val="0"/>
        <w:keepLines w:val="0"/>
        <w:pageBreakBefore w:val="0"/>
        <w:kinsoku/>
        <w:wordWrap/>
        <w:overflowPunct/>
        <w:topLinePunct w:val="0"/>
        <w:bidi w:val="0"/>
        <w:adjustRightInd w:val="0"/>
        <w:snapToGrid w:val="0"/>
        <w:spacing w:before="0" w:beforeLines="0" w:after="0" w:afterLines="0" w:line="360" w:lineRule="auto"/>
        <w:ind w:left="0" w:leftChars="0" w:firstLine="480" w:firstLineChars="200"/>
        <w:jc w:val="both"/>
        <w:textAlignment w:val="auto"/>
        <w:rPr>
          <w:rFonts w:hint="eastAsia" w:ascii="宋体" w:hAnsi="宋体" w:eastAsia="宋体" w:cs="宋体"/>
          <w:szCs w:val="21"/>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r>
        <w:rPr>
          <w:rFonts w:hint="eastAsia" w:ascii="宋体" w:hAnsi="宋体" w:eastAsia="宋体" w:cs="宋体"/>
          <w:szCs w:val="21"/>
        </w:rPr>
        <w:t xml:space="preserve"> </w:t>
      </w:r>
    </w:p>
    <w:p w14:paraId="5A6EC560">
      <w:pPr>
        <w:keepNext w:val="0"/>
        <w:keepLines w:val="0"/>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项目信息</w:t>
      </w:r>
    </w:p>
    <w:p w14:paraId="2371D9AB">
      <w:pPr>
        <w:pStyle w:val="14"/>
        <w:keepNext w:val="0"/>
        <w:keepLines w:val="0"/>
        <w:pageBreakBefore w:val="0"/>
        <w:numPr>
          <w:ilvl w:val="0"/>
          <w:numId w:val="0"/>
        </w:numPr>
        <w:kinsoku/>
        <w:wordWrap/>
        <w:overflowPunct/>
        <w:topLinePunct w:val="0"/>
        <w:bidi w:val="0"/>
        <w:adjustRightInd w:val="0"/>
        <w:snapToGrid w:val="0"/>
        <w:spacing w:before="0" w:beforeLines="0" w:after="0" w:afterLines="0" w:line="360" w:lineRule="auto"/>
        <w:ind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0C06F5E2">
      <w:pPr>
        <w:pStyle w:val="14"/>
        <w:keepNext w:val="0"/>
        <w:keepLines w:val="0"/>
        <w:pageBreakBefore w:val="0"/>
        <w:numPr>
          <w:ilvl w:val="0"/>
          <w:numId w:val="0"/>
        </w:numPr>
        <w:tabs>
          <w:tab w:val="left" w:pos="999"/>
        </w:tabs>
        <w:kinsoku/>
        <w:wordWrap/>
        <w:overflowPunct/>
        <w:topLinePunct w:val="0"/>
        <w:bidi w:val="0"/>
        <w:adjustRightInd w:val="0"/>
        <w:snapToGrid w:val="0"/>
        <w:spacing w:before="0" w:beforeLines="0" w:after="0" w:afterLines="0" w:line="360" w:lineRule="auto"/>
        <w:ind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（2）采购项目编号：</w:t>
      </w:r>
      <w:r>
        <w:rPr>
          <w:rFonts w:hint="eastAsia" w:ascii="宋体" w:hAnsi="宋体" w:eastAsia="宋体" w:cs="宋体"/>
          <w:sz w:val="24"/>
          <w:szCs w:val="24"/>
          <w:u w:val="single"/>
        </w:rPr>
        <w:t xml:space="preserve">                               </w:t>
      </w:r>
    </w:p>
    <w:p w14:paraId="30014AE0">
      <w:pPr>
        <w:pStyle w:val="14"/>
        <w:keepNext w:val="0"/>
        <w:keepLines w:val="0"/>
        <w:pageBreakBefore w:val="0"/>
        <w:kinsoku/>
        <w:wordWrap/>
        <w:overflowPunct/>
        <w:topLinePunct w:val="0"/>
        <w:bidi w:val="0"/>
        <w:adjustRightInd w:val="0"/>
        <w:snapToGrid w:val="0"/>
        <w:spacing w:before="0" w:beforeLines="0" w:after="0" w:afterLines="0"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采购计划编号：</w:t>
      </w:r>
      <w:r>
        <w:rPr>
          <w:rFonts w:hint="eastAsia" w:ascii="宋体" w:hAnsi="宋体" w:eastAsia="宋体" w:cs="宋体"/>
          <w:sz w:val="24"/>
          <w:szCs w:val="24"/>
          <w:u w:val="single"/>
        </w:rPr>
        <w:t xml:space="preserve">                               </w:t>
      </w:r>
    </w:p>
    <w:p w14:paraId="7E9382AD">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）项目内容：</w:t>
      </w:r>
      <w:r>
        <w:rPr>
          <w:rFonts w:hint="eastAsia" w:ascii="宋体" w:hAnsi="宋体" w:eastAsia="宋体" w:cs="宋体"/>
          <w:sz w:val="24"/>
          <w:szCs w:val="24"/>
          <w:u w:val="single"/>
          <w:lang w:val="en-US" w:eastAsia="zh-CN"/>
        </w:rPr>
        <w:t xml:space="preserve">                                   </w:t>
      </w:r>
    </w:p>
    <w:p w14:paraId="1CD16995">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p>
    <w:p w14:paraId="2F94BA18">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 w:eastAsia="zh-CN"/>
        </w:rPr>
      </w:pP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39C14A0E">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0D0E51E3">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①涉及信息类产品，请填写该产品关键部件的品牌、型号：</w:t>
      </w:r>
    </w:p>
    <w:p w14:paraId="75B29D09">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u w:val="single"/>
          <w:lang w:val="en-US" w:eastAsia="zh-CN"/>
        </w:rPr>
      </w:pPr>
      <w:r>
        <w:rPr>
          <w:rFonts w:hint="eastAsia" w:ascii="宋体" w:hAnsi="宋体" w:eastAsia="宋体" w:cs="宋体"/>
          <w:sz w:val="24"/>
          <w:szCs w:val="24"/>
          <w:lang w:val="en-US" w:eastAsia="zh-CN"/>
        </w:rPr>
        <w:t>标的名称：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 w:eastAsia="zh-CN"/>
        </w:rPr>
        <w:t xml:space="preserve">               </w:t>
      </w:r>
      <w:r>
        <w:rPr>
          <w:rFonts w:hint="eastAsia" w:ascii="宋体" w:hAnsi="宋体" w:eastAsia="宋体" w:cs="宋体"/>
          <w:kern w:val="0"/>
          <w:sz w:val="24"/>
          <w:szCs w:val="24"/>
          <w:u w:val="single"/>
          <w:lang w:val="en-US" w:eastAsia="zh-CN"/>
        </w:rPr>
        <w:t xml:space="preserve">    </w:t>
      </w:r>
    </w:p>
    <w:p w14:paraId="1CC6D79A">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关键部件：</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18E5FE32">
      <w:pPr>
        <w:pStyle w:val="128"/>
        <w:keepNext w:val="0"/>
        <w:keepLines w:val="0"/>
        <w:pageBreakBefore w:val="0"/>
        <w:kinsoku/>
        <w:wordWrap/>
        <w:overflowPunct/>
        <w:topLinePunct w:val="0"/>
        <w:bidi w:val="0"/>
        <w:spacing w:beforeLines="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00AC87A5">
      <w:pPr>
        <w:pStyle w:val="128"/>
        <w:keepNext w:val="0"/>
        <w:keepLines w:val="0"/>
        <w:pageBreakBefore w:val="0"/>
        <w:kinsoku/>
        <w:wordWrap/>
        <w:overflowPunct/>
        <w:topLinePunct w:val="0"/>
        <w:bidi w:val="0"/>
        <w:spacing w:beforeLines="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7164EC28">
      <w:pPr>
        <w:pStyle w:val="128"/>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（注：关键部件是指财政部会同有关部门发布的政府采购需求标准规定的需要通过国家有关部门指定的测评机构开展的安全可靠测评的软硬件，如CPU芯片、操作系统、数据库等。）</w:t>
      </w:r>
    </w:p>
    <w:p w14:paraId="52839CFA">
      <w:pPr>
        <w:pStyle w:val="128"/>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②涉及车辆采购，请填写是否属于新能源汽车：</w:t>
      </w:r>
    </w:p>
    <w:p w14:paraId="391A1428">
      <w:pPr>
        <w:pStyle w:val="128"/>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35DD65B0">
      <w:pPr>
        <w:pStyle w:val="128"/>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386E5D98">
      <w:pPr>
        <w:pStyle w:val="128"/>
        <w:keepNext w:val="0"/>
        <w:keepLines w:val="0"/>
        <w:pageBreakBefore w:val="0"/>
        <w:numPr>
          <w:ilvl w:val="0"/>
          <w:numId w:val="0"/>
        </w:numPr>
        <w:kinsoku/>
        <w:wordWrap/>
        <w:overflowPunct/>
        <w:topLinePunct w:val="0"/>
        <w:bidi w:val="0"/>
        <w:adjustRightInd w:val="0"/>
        <w:snapToGrid w:val="0"/>
        <w:spacing w:before="0" w:beforeLines="0" w:line="360" w:lineRule="auto"/>
        <w:ind w:left="0" w:firstLine="480" w:firstLineChars="2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分散采购</w:t>
      </w:r>
    </w:p>
    <w:p w14:paraId="533AF68F">
      <w:pPr>
        <w:pStyle w:val="128"/>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4EE4DA70">
      <w:pPr>
        <w:pStyle w:val="128"/>
        <w:keepNext w:val="0"/>
        <w:keepLines w:val="0"/>
        <w:pageBreakBefore w:val="0"/>
        <w:widowControl/>
        <w:numPr>
          <w:ilvl w:val="0"/>
          <w:numId w:val="0"/>
        </w:numPr>
        <w:kinsoku/>
        <w:wordWrap/>
        <w:overflowPunct/>
        <w:topLinePunct w:val="0"/>
        <w:autoSpaceDE w:val="0"/>
        <w:autoSpaceDN w:val="0"/>
        <w:bidi w:val="0"/>
        <w:adjustRightInd w:val="0"/>
        <w:snapToGrid w:val="0"/>
        <w:spacing w:before="0" w:beforeLines="0" w:line="360" w:lineRule="auto"/>
        <w:ind w:firstLine="480" w:firstLineChars="200"/>
        <w:textAlignment w:val="auto"/>
        <w:rPr>
          <w:rFonts w:hint="eastAsia" w:ascii="宋体" w:hAnsi="宋体" w:eastAsia="宋体" w:cs="宋体"/>
          <w:iCs w:val="0"/>
          <w:sz w:val="24"/>
          <w:szCs w:val="24"/>
          <w:u w:val="single"/>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1F2A046B">
      <w:pPr>
        <w:pStyle w:val="128"/>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46A5D5E9">
      <w:pPr>
        <w:pStyle w:val="128"/>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w w:val="100"/>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w:t>
      </w:r>
      <w:r>
        <w:rPr>
          <w:rFonts w:hint="eastAsia" w:ascii="宋体" w:hAnsi="宋体" w:eastAsia="宋体" w:cs="宋体"/>
          <w:w w:val="100"/>
          <w:kern w:val="2"/>
          <w:sz w:val="24"/>
          <w:szCs w:val="24"/>
          <w:lang w:val="en-US" w:eastAsia="zh-CN" w:bidi="ar-SA"/>
        </w:rPr>
        <w:t>中标（成交）采购标的制造商是否为中小企业：</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 xml:space="preserve">是   </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否</w:t>
      </w:r>
    </w:p>
    <w:p w14:paraId="41C08419">
      <w:pPr>
        <w:keepNext w:val="0"/>
        <w:keepLines w:val="0"/>
        <w:pageBreakBefore w:val="0"/>
        <w:numPr>
          <w:ilvl w:val="0"/>
          <w:numId w:val="0"/>
        </w:numPr>
        <w:kinsoku/>
        <w:wordWrap/>
        <w:overflowPunct/>
        <w:topLinePunct w:val="0"/>
        <w:bidi w:val="0"/>
        <w:adjustRightInd w:val="0"/>
        <w:snapToGrid w:val="0"/>
        <w:spacing w:before="0" w:beforeLines="0" w:line="360" w:lineRule="auto"/>
        <w:ind w:left="0" w:leftChars="0" w:firstLine="480" w:firstLineChars="200"/>
        <w:textAlignment w:val="auto"/>
        <w:rPr>
          <w:rFonts w:hint="eastAsia" w:ascii="宋体" w:hAnsi="宋体" w:eastAsia="宋体" w:cs="宋体"/>
          <w:iCs/>
          <w:sz w:val="24"/>
          <w:szCs w:val="24"/>
        </w:rPr>
      </w:pPr>
      <w:r>
        <w:rPr>
          <w:rFonts w:hint="eastAsia" w:ascii="宋体" w:hAnsi="宋体" w:eastAsia="宋体" w:cs="宋体"/>
          <w:w w:val="100"/>
          <w:sz w:val="24"/>
          <w:szCs w:val="24"/>
          <w:lang w:val="en-US" w:eastAsia="zh-CN"/>
        </w:rPr>
        <w:t>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color="auto" w:fill="auto"/>
          <w:lang w:eastAsia="zh-CN"/>
        </w:rPr>
        <w:t>购</w:t>
      </w:r>
      <w:r>
        <w:rPr>
          <w:rFonts w:hint="eastAsia" w:ascii="宋体" w:hAnsi="宋体" w:eastAsia="宋体" w:cs="宋体"/>
          <w:w w:val="100"/>
          <w:sz w:val="24"/>
          <w:szCs w:val="24"/>
          <w:shd w:val="clear" w:color="auto" w:fill="auto"/>
        </w:rPr>
        <w:t>合同</w:t>
      </w:r>
      <w:r>
        <w:rPr>
          <w:rFonts w:hint="eastAsia" w:ascii="宋体" w:hAnsi="宋体" w:eastAsia="宋体" w:cs="宋体"/>
          <w:w w:val="100"/>
          <w:sz w:val="24"/>
          <w:szCs w:val="24"/>
          <w:shd w:val="clear" w:color="auto" w:fill="auto"/>
          <w:lang w:eastAsia="zh-CN"/>
        </w:rPr>
        <w:t>（中小企业预留合同）</w:t>
      </w:r>
      <w:r>
        <w:rPr>
          <w:rFonts w:hint="eastAsia" w:ascii="宋体" w:hAnsi="宋体" w:eastAsia="宋体" w:cs="宋体"/>
          <w:sz w:val="24"/>
          <w:szCs w:val="24"/>
          <w:shd w:val="clear" w:color="auto" w:fill="auto"/>
        </w:rPr>
        <w:t>：</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2E88F213">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F522F2B">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55591C4B">
      <w:pPr>
        <w:keepNext w:val="0"/>
        <w:keepLines w:val="0"/>
        <w:pageBreakBefore w:val="0"/>
        <w:numPr>
          <w:ilvl w:val="0"/>
          <w:numId w:val="0"/>
        </w:numPr>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70621DC2">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66E8EB4B">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6356783">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0291A72D">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66A2C708">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75108D05">
      <w:pPr>
        <w:keepNext w:val="0"/>
        <w:keepLines w:val="0"/>
        <w:pageBreakBefore w:val="0"/>
        <w:kinsoku/>
        <w:wordWrap/>
        <w:overflowPunct/>
        <w:topLinePunct w:val="0"/>
        <w:bidi w:val="0"/>
        <w:adjustRightInd w:val="0"/>
        <w:snapToGrid w:val="0"/>
        <w:spacing w:beforeLines="0" w:line="360" w:lineRule="auto"/>
        <w:ind w:firstLine="480" w:firstLineChars="2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00B9E55C">
      <w:pPr>
        <w:keepNext w:val="0"/>
        <w:keepLines w:val="0"/>
        <w:pageBreakBefore w:val="0"/>
        <w:kinsoku/>
        <w:wordWrap/>
        <w:overflowPunct/>
        <w:topLinePunct w:val="0"/>
        <w:bidi w:val="0"/>
        <w:adjustRightInd w:val="0"/>
        <w:snapToGrid w:val="0"/>
        <w:spacing w:beforeLines="0"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2103AD6C">
      <w:pPr>
        <w:keepNext w:val="0"/>
        <w:keepLines w:val="0"/>
        <w:pageBreakBefore w:val="0"/>
        <w:numPr>
          <w:ilvl w:val="0"/>
          <w:numId w:val="0"/>
        </w:numPr>
        <w:kinsoku/>
        <w:wordWrap/>
        <w:overflowPunct/>
        <w:topLinePunct w:val="0"/>
        <w:bidi w:val="0"/>
        <w:adjustRightInd w:val="0"/>
        <w:snapToGrid w:val="0"/>
        <w:spacing w:before="0" w:beforeLines="0" w:line="360" w:lineRule="auto"/>
        <w:ind w:left="0" w:leftChars="0" w:firstLine="480" w:firstLineChars="20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48765424">
      <w:pPr>
        <w:pStyle w:val="128"/>
        <w:keepNext w:val="0"/>
        <w:keepLines w:val="0"/>
        <w:pageBreakBefore w:val="0"/>
        <w:tabs>
          <w:tab w:val="left" w:pos="1340"/>
        </w:tabs>
        <w:kinsoku/>
        <w:wordWrap/>
        <w:overflowPunct/>
        <w:topLinePunct w:val="0"/>
        <w:bidi w:val="0"/>
        <w:spacing w:beforeLines="0"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49600534">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3C532438">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rPr>
        <w:sym w:font="Wingdings" w:char="00FE"/>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4554E84A">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3F1B6E09">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010A558E">
      <w:pPr>
        <w:keepNext w:val="0"/>
        <w:keepLines w:val="0"/>
        <w:pageBreakBefore w:val="0"/>
        <w:numPr>
          <w:ilvl w:val="0"/>
          <w:numId w:val="0"/>
        </w:numPr>
        <w:tabs>
          <w:tab w:val="left" w:pos="740"/>
        </w:tabs>
        <w:kinsoku/>
        <w:wordWrap/>
        <w:overflowPunct/>
        <w:topLinePunct w:val="0"/>
        <w:bidi w:val="0"/>
        <w:adjustRightInd w:val="0"/>
        <w:snapToGrid w:val="0"/>
        <w:spacing w:before="0" w:beforeLines="0" w:line="360" w:lineRule="auto"/>
        <w:ind w:left="0"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18C365C9">
      <w:pPr>
        <w:keepNext w:val="0"/>
        <w:keepLines w:val="0"/>
        <w:pageBreakBefore w:val="0"/>
        <w:numPr>
          <w:ilvl w:val="0"/>
          <w:numId w:val="0"/>
        </w:numPr>
        <w:tabs>
          <w:tab w:val="left" w:pos="740"/>
        </w:tabs>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iCs/>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3F467206">
      <w:pPr>
        <w:keepNext w:val="0"/>
        <w:keepLines w:val="0"/>
        <w:pageBreakBefore w:val="0"/>
        <w:numPr>
          <w:ilvl w:val="0"/>
          <w:numId w:val="0"/>
        </w:numPr>
        <w:tabs>
          <w:tab w:val="left" w:pos="740"/>
        </w:tabs>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61E5A08F">
      <w:pPr>
        <w:keepNext w:val="0"/>
        <w:keepLines w:val="0"/>
        <w:pageBreakBefore w:val="0"/>
        <w:numPr>
          <w:ilvl w:val="0"/>
          <w:numId w:val="0"/>
        </w:numPr>
        <w:tabs>
          <w:tab w:val="left" w:pos="740"/>
        </w:tabs>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iCs w:val="0"/>
          <w:sz w:val="24"/>
          <w:szCs w:val="24"/>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28735EF3">
      <w:pPr>
        <w:keepNext w:val="0"/>
        <w:keepLines w:val="0"/>
        <w:pageBreakBefore w:val="0"/>
        <w:numPr>
          <w:ilvl w:val="0"/>
          <w:numId w:val="0"/>
        </w:numPr>
        <w:tabs>
          <w:tab w:val="left" w:pos="740"/>
        </w:tabs>
        <w:kinsoku/>
        <w:wordWrap/>
        <w:overflowPunct/>
        <w:topLinePunct w:val="0"/>
        <w:bidi w:val="0"/>
        <w:adjustRightInd w:val="0"/>
        <w:snapToGrid w:val="0"/>
        <w:spacing w:before="0" w:beforeLines="0" w:line="360" w:lineRule="auto"/>
        <w:ind w:left="0"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是否涉及环境标志产品：</w:t>
      </w:r>
    </w:p>
    <w:p w14:paraId="676C7D0F">
      <w:pPr>
        <w:keepNext w:val="0"/>
        <w:keepLines w:val="0"/>
        <w:pageBreakBefore w:val="0"/>
        <w:numPr>
          <w:ilvl w:val="0"/>
          <w:numId w:val="0"/>
        </w:numPr>
        <w:tabs>
          <w:tab w:val="left" w:pos="740"/>
        </w:tabs>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34791807">
      <w:pPr>
        <w:keepNext w:val="0"/>
        <w:keepLines w:val="0"/>
        <w:pageBreakBefore w:val="0"/>
        <w:numPr>
          <w:ilvl w:val="0"/>
          <w:numId w:val="0"/>
        </w:numPr>
        <w:tabs>
          <w:tab w:val="left" w:pos="740"/>
        </w:tabs>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632775FF">
      <w:pPr>
        <w:keepNext w:val="0"/>
        <w:keepLines w:val="0"/>
        <w:pageBreakBefore w:val="0"/>
        <w:numPr>
          <w:ilvl w:val="0"/>
          <w:numId w:val="0"/>
        </w:numPr>
        <w:tabs>
          <w:tab w:val="left" w:pos="740"/>
        </w:tabs>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0697316A">
      <w:pPr>
        <w:pStyle w:val="128"/>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080683A0">
      <w:pPr>
        <w:pStyle w:val="128"/>
        <w:keepNext w:val="0"/>
        <w:keepLines w:val="0"/>
        <w:pageBreakBefore w:val="0"/>
        <w:kinsoku/>
        <w:wordWrap/>
        <w:overflowPunct/>
        <w:topLinePunct w:val="0"/>
        <w:bidi w:val="0"/>
        <w:spacing w:beforeLines="0" w:line="360" w:lineRule="auto"/>
        <w:ind w:left="0" w:leftChars="0"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05055748">
      <w:pPr>
        <w:keepNext w:val="0"/>
        <w:keepLines w:val="0"/>
        <w:pageBreakBefore w:val="0"/>
        <w:numPr>
          <w:ilvl w:val="0"/>
          <w:numId w:val="0"/>
        </w:numPr>
        <w:tabs>
          <w:tab w:val="left" w:pos="740"/>
        </w:tabs>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6F931AEE">
      <w:pPr>
        <w:pStyle w:val="128"/>
        <w:keepNext w:val="0"/>
        <w:keepLines w:val="0"/>
        <w:pageBreakBefore w:val="0"/>
        <w:kinsoku/>
        <w:wordWrap/>
        <w:overflowPunct/>
        <w:topLinePunct w:val="0"/>
        <w:bidi w:val="0"/>
        <w:spacing w:beforeLines="0" w:line="360" w:lineRule="auto"/>
        <w:ind w:left="0" w:leftChars="0"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53286329">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7647F5A7">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42DA2527">
      <w:pPr>
        <w:keepNext w:val="0"/>
        <w:keepLines w:val="0"/>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合同金额</w:t>
      </w:r>
    </w:p>
    <w:p w14:paraId="02375ED7">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984F924">
      <w:pPr>
        <w:keepNext w:val="0"/>
        <w:keepLines w:val="0"/>
        <w:pageBreakBefore w:val="0"/>
        <w:kinsoku/>
        <w:wordWrap/>
        <w:overflowPunct/>
        <w:topLinePunct w:val="0"/>
        <w:bidi w:val="0"/>
        <w:adjustRightInd w:val="0"/>
        <w:snapToGrid w:val="0"/>
        <w:spacing w:before="0" w:beforeLines="0" w:line="360" w:lineRule="auto"/>
        <w:ind w:left="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56896F0">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762880F3">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p>
    <w:p w14:paraId="3D49D4CF">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4C8B0B73">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01EA5DED">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2E2C5669">
      <w:pPr>
        <w:pStyle w:val="53"/>
        <w:keepNext w:val="0"/>
        <w:keepLines w:val="0"/>
        <w:pageBreakBefore w:val="0"/>
        <w:kinsoku/>
        <w:wordWrap/>
        <w:overflowPunct/>
        <w:topLinePunct w:val="0"/>
        <w:bidi w:val="0"/>
        <w:spacing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2C946E9B">
      <w:pPr>
        <w:keepNext w:val="0"/>
        <w:keepLines w:val="0"/>
        <w:pageBreakBefore w:val="0"/>
        <w:widowControl w:val="0"/>
        <w:kinsoku/>
        <w:wordWrap/>
        <w:overflowPunct/>
        <w:topLinePunct w:val="0"/>
        <w:autoSpaceDE/>
        <w:autoSpaceDN/>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1EF50246">
      <w:pPr>
        <w:keepNext w:val="0"/>
        <w:keepLines w:val="0"/>
        <w:pageBreakBefore w:val="0"/>
        <w:widowControl w:val="0"/>
        <w:kinsoku/>
        <w:wordWrap/>
        <w:overflowPunct/>
        <w:topLinePunct w:val="0"/>
        <w:autoSpaceDE/>
        <w:autoSpaceDN/>
        <w:bidi w:val="0"/>
        <w:snapToGrid w:val="0"/>
        <w:spacing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0490CB30">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79AF98C0">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15142433">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lang w:val="en-US" w:eastAsia="zh-CN"/>
        </w:rPr>
        <w:t>3、</w:t>
      </w:r>
      <w:r>
        <w:rPr>
          <w:rFonts w:hint="eastAsia" w:ascii="宋体" w:hAnsi="宋体" w:eastAsia="宋体" w:cs="宋体"/>
          <w:b/>
          <w:bCs w:val="0"/>
          <w:sz w:val="24"/>
          <w:szCs w:val="24"/>
        </w:rPr>
        <w:t>合同履行</w:t>
      </w:r>
    </w:p>
    <w:p w14:paraId="55652B07">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4FD5E49">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6DAFB54C">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174039F9">
      <w:pPr>
        <w:pStyle w:val="128"/>
        <w:keepNext w:val="0"/>
        <w:keepLines w:val="0"/>
        <w:pageBreakBefore w:val="0"/>
        <w:kinsoku/>
        <w:wordWrap/>
        <w:overflowPunct/>
        <w:topLinePunct w:val="0"/>
        <w:bidi w:val="0"/>
        <w:spacing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74F8504C">
      <w:pPr>
        <w:pStyle w:val="128"/>
        <w:keepNext w:val="0"/>
        <w:keepLines w:val="0"/>
        <w:pageBreakBefore w:val="0"/>
        <w:kinsoku/>
        <w:wordWrap/>
        <w:overflowPunct/>
        <w:topLinePunct w:val="0"/>
        <w:bidi w:val="0"/>
        <w:spacing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68A2DA64">
      <w:pPr>
        <w:keepNext w:val="0"/>
        <w:keepLines w:val="0"/>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049E3F17">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p>
    <w:p w14:paraId="5AE28CD7">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68F4E672">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合同验收</w:t>
      </w:r>
    </w:p>
    <w:p w14:paraId="1ACE11A9">
      <w:pPr>
        <w:keepNext w:val="0"/>
        <w:keepLines w:val="0"/>
        <w:pageBreakBefore w:val="0"/>
        <w:numPr>
          <w:ilvl w:val="0"/>
          <w:numId w:val="6"/>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43526D9C">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56F34633">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721A5BA">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676C3C6">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2F515D8">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6153FD0">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5377860">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0B57FB8B">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DF47BA8">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7C3367DF">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3E9AB551">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46BA7015">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w:t>
      </w:r>
      <w:r>
        <w:rPr>
          <w:rFonts w:hint="eastAsia" w:ascii="宋体" w:hAnsi="宋体" w:eastAsia="宋体" w:cs="宋体"/>
          <w:bCs/>
          <w:sz w:val="24"/>
          <w:szCs w:val="24"/>
          <w:u w:val="single"/>
          <w:lang w:val="en" w:eastAsia="zh-CN"/>
        </w:rPr>
        <w:t>/分项验收的工作安排</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602B01DE">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5073B7A4">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3C9189F0">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75A948A8">
      <w:pPr>
        <w:pStyle w:val="128"/>
        <w:keepNext w:val="0"/>
        <w:keepLines w:val="0"/>
        <w:pageBreakBefore w:val="0"/>
        <w:kinsoku/>
        <w:wordWrap/>
        <w:overflowPunct/>
        <w:topLinePunct w:val="0"/>
        <w:bidi w:val="0"/>
        <w:spacing w:before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CD635D3">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5319C47F">
      <w:pPr>
        <w:keepNext w:val="0"/>
        <w:keepLines w:val="0"/>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组成合同的文件</w:t>
      </w:r>
    </w:p>
    <w:p w14:paraId="69A8E69F">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57CB50F3">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7073F8F2">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7A90A211">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49802B2C">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44BE9156">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591857BC">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1C5F32A7">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27838E8F">
      <w:pPr>
        <w:pStyle w:val="128"/>
        <w:keepNext w:val="0"/>
        <w:keepLines w:val="0"/>
        <w:pageBreakBefore w:val="0"/>
        <w:kinsoku/>
        <w:wordWrap/>
        <w:overflowPunct/>
        <w:topLinePunct w:val="0"/>
        <w:bidi w:val="0"/>
        <w:spacing w:beforeLines="0" w:line="360" w:lineRule="auto"/>
        <w:ind w:firstLine="480" w:firstLineChars="200"/>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1C52AE59">
      <w:pPr>
        <w:keepNext w:val="0"/>
        <w:keepLines w:val="0"/>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合同生效</w:t>
      </w:r>
    </w:p>
    <w:p w14:paraId="5ADDB762">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5C0C6EBE">
      <w:pPr>
        <w:keepNext w:val="0"/>
        <w:keepLines w:val="0"/>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合同份数</w:t>
      </w:r>
    </w:p>
    <w:p w14:paraId="6DC95713">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59F5187A">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13772E2">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05ED5252">
      <w:pPr>
        <w:keepNext w:val="0"/>
        <w:keepLines w:val="0"/>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rPr>
      </w:pPr>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p>
    <w:tbl>
      <w:tblPr>
        <w:tblStyle w:val="33"/>
        <w:tblW w:w="4984"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362"/>
        <w:gridCol w:w="2666"/>
        <w:gridCol w:w="2308"/>
        <w:gridCol w:w="2595"/>
      </w:tblGrid>
      <w:tr w14:paraId="0E5DD0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531" w:type="pct"/>
            <w:gridSpan w:val="2"/>
            <w:tcBorders>
              <w:bottom w:val="single" w:color="auto" w:sz="2" w:space="0"/>
              <w:right w:val="single" w:color="auto" w:sz="2" w:space="0"/>
            </w:tcBorders>
            <w:noWrap w:val="0"/>
            <w:vAlign w:val="center"/>
          </w:tcPr>
          <w:p w14:paraId="4B1AEE3E">
            <w:pPr>
              <w:adjustRightInd w:val="0"/>
              <w:snapToGrid w:val="0"/>
              <w:spacing w:line="300" w:lineRule="exact"/>
              <w:jc w:val="center"/>
              <w:rPr>
                <w:rFonts w:hint="eastAsia" w:ascii="宋体" w:hAnsi="宋体" w:eastAsia="宋体" w:cs="宋体"/>
              </w:rPr>
            </w:pPr>
            <w:r>
              <w:rPr>
                <w:rFonts w:hint="eastAsia" w:ascii="宋体" w:hAnsi="宋体" w:eastAsia="宋体" w:cs="宋体"/>
                <w:szCs w:val="21"/>
              </w:rPr>
              <w:t>甲方（采购人）</w:t>
            </w:r>
          </w:p>
        </w:tc>
        <w:tc>
          <w:tcPr>
            <w:tcW w:w="2468" w:type="pct"/>
            <w:gridSpan w:val="2"/>
            <w:tcBorders>
              <w:left w:val="single" w:color="auto" w:sz="2" w:space="0"/>
              <w:bottom w:val="single" w:color="auto" w:sz="2" w:space="0"/>
            </w:tcBorders>
            <w:noWrap w:val="0"/>
            <w:vAlign w:val="center"/>
          </w:tcPr>
          <w:p w14:paraId="1F50D5B5">
            <w:pPr>
              <w:adjustRightInd w:val="0"/>
              <w:snapToGrid w:val="0"/>
              <w:spacing w:line="300" w:lineRule="exact"/>
              <w:jc w:val="center"/>
              <w:rPr>
                <w:rFonts w:hint="eastAsia" w:ascii="宋体" w:hAnsi="宋体" w:eastAsia="宋体" w:cs="宋体"/>
              </w:rPr>
            </w:pPr>
            <w:r>
              <w:rPr>
                <w:rFonts w:hint="eastAsia" w:ascii="宋体" w:hAnsi="宋体" w:eastAsia="宋体" w:cs="宋体"/>
                <w:szCs w:val="21"/>
              </w:rPr>
              <w:t>乙方（供应商）</w:t>
            </w:r>
          </w:p>
        </w:tc>
      </w:tr>
      <w:tr w14:paraId="063B2B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189" w:type="pct"/>
            <w:tcBorders>
              <w:top w:val="single" w:color="auto" w:sz="2" w:space="0"/>
              <w:bottom w:val="single" w:color="auto" w:sz="2" w:space="0"/>
              <w:right w:val="single" w:color="auto" w:sz="2" w:space="0"/>
            </w:tcBorders>
            <w:noWrap w:val="0"/>
            <w:vAlign w:val="center"/>
          </w:tcPr>
          <w:p w14:paraId="27B882D5">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单位名称</w:t>
            </w:r>
          </w:p>
          <w:p w14:paraId="2D8734A7">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（公章</w:t>
            </w:r>
            <w:r>
              <w:rPr>
                <w:rFonts w:hint="eastAsia" w:ascii="宋体" w:hAnsi="宋体" w:eastAsia="宋体" w:cs="宋体"/>
                <w:szCs w:val="21"/>
                <w:lang w:eastAsia="zh-CN"/>
              </w:rPr>
              <w:t>或合同章</w:t>
            </w:r>
            <w:r>
              <w:rPr>
                <w:rFonts w:hint="eastAsia" w:ascii="宋体" w:hAnsi="宋体" w:eastAsia="宋体" w:cs="宋体"/>
                <w:szCs w:val="21"/>
              </w:rPr>
              <w:t>）</w:t>
            </w:r>
          </w:p>
        </w:tc>
        <w:tc>
          <w:tcPr>
            <w:tcW w:w="1341" w:type="pct"/>
            <w:tcBorders>
              <w:top w:val="single" w:color="auto" w:sz="2" w:space="0"/>
              <w:left w:val="single" w:color="auto" w:sz="2" w:space="0"/>
              <w:bottom w:val="single" w:color="auto" w:sz="2" w:space="0"/>
              <w:right w:val="single" w:color="auto" w:sz="2" w:space="0"/>
            </w:tcBorders>
            <w:noWrap w:val="0"/>
            <w:vAlign w:val="center"/>
          </w:tcPr>
          <w:p w14:paraId="01366AB5">
            <w:pPr>
              <w:adjustRightInd w:val="0"/>
              <w:snapToGrid w:val="0"/>
              <w:spacing w:line="240" w:lineRule="auto"/>
              <w:jc w:val="center"/>
              <w:rPr>
                <w:rFonts w:hint="eastAsia" w:ascii="宋体" w:hAnsi="宋体" w:eastAsia="宋体" w:cs="宋体"/>
                <w:szCs w:val="21"/>
              </w:rPr>
            </w:pPr>
          </w:p>
        </w:tc>
        <w:tc>
          <w:tcPr>
            <w:tcW w:w="1162" w:type="pct"/>
            <w:tcBorders>
              <w:top w:val="single" w:color="auto" w:sz="2" w:space="0"/>
              <w:left w:val="single" w:color="auto" w:sz="2" w:space="0"/>
              <w:bottom w:val="single" w:color="auto" w:sz="2" w:space="0"/>
              <w:right w:val="single" w:color="auto" w:sz="2" w:space="0"/>
            </w:tcBorders>
            <w:noWrap w:val="0"/>
            <w:vAlign w:val="center"/>
          </w:tcPr>
          <w:p w14:paraId="28E66662">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单位名称</w:t>
            </w:r>
          </w:p>
          <w:p w14:paraId="04958839">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（公章</w:t>
            </w:r>
            <w:r>
              <w:rPr>
                <w:rFonts w:hint="eastAsia" w:ascii="宋体" w:hAnsi="宋体" w:eastAsia="宋体" w:cs="宋体"/>
                <w:szCs w:val="21"/>
                <w:lang w:eastAsia="zh-CN"/>
              </w:rPr>
              <w:t>或合同章</w:t>
            </w:r>
            <w:r>
              <w:rPr>
                <w:rFonts w:hint="eastAsia" w:ascii="宋体" w:hAnsi="宋体" w:eastAsia="宋体" w:cs="宋体"/>
                <w:szCs w:val="21"/>
              </w:rPr>
              <w:t>）</w:t>
            </w:r>
          </w:p>
        </w:tc>
        <w:tc>
          <w:tcPr>
            <w:tcW w:w="1306" w:type="pct"/>
            <w:tcBorders>
              <w:top w:val="single" w:color="auto" w:sz="2" w:space="0"/>
              <w:left w:val="single" w:color="auto" w:sz="2" w:space="0"/>
              <w:bottom w:val="single" w:color="auto" w:sz="2" w:space="0"/>
            </w:tcBorders>
            <w:noWrap w:val="0"/>
            <w:vAlign w:val="center"/>
          </w:tcPr>
          <w:p w14:paraId="046DBB80">
            <w:pPr>
              <w:adjustRightInd w:val="0"/>
              <w:snapToGrid w:val="0"/>
              <w:spacing w:line="300" w:lineRule="exact"/>
              <w:jc w:val="center"/>
              <w:rPr>
                <w:rFonts w:hint="eastAsia" w:ascii="宋体" w:hAnsi="宋体" w:eastAsia="宋体" w:cs="宋体"/>
                <w:spacing w:val="20"/>
                <w:szCs w:val="21"/>
              </w:rPr>
            </w:pPr>
          </w:p>
        </w:tc>
      </w:tr>
      <w:tr w14:paraId="7002AB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89" w:hRule="atLeast"/>
        </w:trPr>
        <w:tc>
          <w:tcPr>
            <w:tcW w:w="1189" w:type="pct"/>
            <w:tcBorders>
              <w:top w:val="single" w:color="auto" w:sz="2" w:space="0"/>
              <w:right w:val="single" w:color="auto" w:sz="2" w:space="0"/>
            </w:tcBorders>
            <w:noWrap w:val="0"/>
            <w:vAlign w:val="center"/>
          </w:tcPr>
          <w:p w14:paraId="3EE2BA7B">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法定代表人</w:t>
            </w:r>
          </w:p>
          <w:p w14:paraId="3F27C7DD">
            <w:pPr>
              <w:adjustRightInd w:val="0"/>
              <w:snapToGrid w:val="0"/>
              <w:spacing w:line="240" w:lineRule="auto"/>
              <w:ind w:firstLine="134" w:firstLineChars="48"/>
              <w:jc w:val="center"/>
              <w:rPr>
                <w:rFonts w:hint="eastAsia" w:ascii="宋体" w:hAnsi="宋体" w:eastAsia="宋体" w:cs="宋体"/>
                <w:szCs w:val="21"/>
              </w:rPr>
            </w:pPr>
            <w:r>
              <w:rPr>
                <w:rFonts w:hint="eastAsia" w:ascii="宋体" w:hAnsi="宋体" w:eastAsia="宋体" w:cs="宋体"/>
                <w:szCs w:val="21"/>
              </w:rPr>
              <w:t>或其委托代理人</w:t>
            </w:r>
          </w:p>
          <w:p w14:paraId="0E6A18C1">
            <w:pPr>
              <w:adjustRightInd w:val="0"/>
              <w:snapToGrid w:val="0"/>
              <w:spacing w:line="240" w:lineRule="auto"/>
              <w:ind w:firstLine="134" w:firstLineChars="48"/>
              <w:jc w:val="center"/>
              <w:rPr>
                <w:rFonts w:hint="eastAsia" w:ascii="宋体" w:hAnsi="宋体" w:eastAsia="宋体" w:cs="宋体"/>
                <w:szCs w:val="21"/>
              </w:rPr>
            </w:pPr>
            <w:r>
              <w:rPr>
                <w:rFonts w:hint="eastAsia" w:ascii="宋体" w:hAnsi="宋体" w:eastAsia="宋体" w:cs="宋体"/>
                <w:szCs w:val="21"/>
              </w:rPr>
              <w:t>（签章）</w:t>
            </w:r>
          </w:p>
        </w:tc>
        <w:tc>
          <w:tcPr>
            <w:tcW w:w="1341" w:type="pct"/>
            <w:tcBorders>
              <w:top w:val="single" w:color="auto" w:sz="2" w:space="0"/>
              <w:left w:val="single" w:color="auto" w:sz="2" w:space="0"/>
              <w:right w:val="single" w:color="auto" w:sz="2" w:space="0"/>
            </w:tcBorders>
            <w:noWrap w:val="0"/>
            <w:vAlign w:val="center"/>
          </w:tcPr>
          <w:p w14:paraId="532FE934">
            <w:pPr>
              <w:adjustRightInd w:val="0"/>
              <w:snapToGrid w:val="0"/>
              <w:spacing w:line="240" w:lineRule="auto"/>
              <w:jc w:val="center"/>
              <w:rPr>
                <w:rFonts w:hint="eastAsia" w:ascii="宋体" w:hAnsi="宋体" w:eastAsia="宋体" w:cs="宋体"/>
                <w:szCs w:val="21"/>
              </w:rPr>
            </w:pPr>
          </w:p>
        </w:tc>
        <w:tc>
          <w:tcPr>
            <w:tcW w:w="1162" w:type="pct"/>
            <w:tcBorders>
              <w:top w:val="single" w:color="auto" w:sz="2" w:space="0"/>
              <w:left w:val="single" w:color="auto" w:sz="2" w:space="0"/>
              <w:right w:val="single" w:color="auto" w:sz="2" w:space="0"/>
            </w:tcBorders>
            <w:noWrap w:val="0"/>
            <w:vAlign w:val="center"/>
          </w:tcPr>
          <w:p w14:paraId="77251239">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法定代表人</w:t>
            </w:r>
          </w:p>
          <w:p w14:paraId="78EB12BF">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或其委托代理人</w:t>
            </w:r>
          </w:p>
          <w:p w14:paraId="42D10CDB">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（签章）</w:t>
            </w:r>
          </w:p>
        </w:tc>
        <w:tc>
          <w:tcPr>
            <w:tcW w:w="1306" w:type="pct"/>
            <w:tcBorders>
              <w:top w:val="single" w:color="auto" w:sz="2" w:space="0"/>
              <w:left w:val="single" w:color="auto" w:sz="2" w:space="0"/>
              <w:bottom w:val="single" w:color="auto" w:sz="2" w:space="0"/>
            </w:tcBorders>
            <w:noWrap w:val="0"/>
            <w:vAlign w:val="center"/>
          </w:tcPr>
          <w:p w14:paraId="08FBEB9B">
            <w:pPr>
              <w:adjustRightInd w:val="0"/>
              <w:snapToGrid w:val="0"/>
              <w:spacing w:line="300" w:lineRule="exact"/>
              <w:jc w:val="center"/>
              <w:rPr>
                <w:rFonts w:hint="eastAsia" w:ascii="宋体" w:hAnsi="宋体" w:eastAsia="宋体" w:cs="宋体"/>
                <w:szCs w:val="21"/>
              </w:rPr>
            </w:pPr>
          </w:p>
        </w:tc>
      </w:tr>
      <w:tr w14:paraId="1902ED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189" w:type="pct"/>
            <w:tcBorders>
              <w:top w:val="single" w:color="auto" w:sz="2" w:space="0"/>
              <w:bottom w:val="single" w:color="auto" w:sz="2" w:space="0"/>
              <w:right w:val="single" w:color="auto" w:sz="2" w:space="0"/>
            </w:tcBorders>
            <w:noWrap w:val="0"/>
            <w:vAlign w:val="center"/>
          </w:tcPr>
          <w:p w14:paraId="1F5EF34D">
            <w:pPr>
              <w:adjustRightInd w:val="0"/>
              <w:snapToGrid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住</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所</w:t>
            </w:r>
          </w:p>
        </w:tc>
        <w:tc>
          <w:tcPr>
            <w:tcW w:w="1341" w:type="pct"/>
            <w:tcBorders>
              <w:top w:val="single" w:color="auto" w:sz="2" w:space="0"/>
              <w:left w:val="single" w:color="auto" w:sz="2" w:space="0"/>
              <w:bottom w:val="single" w:color="auto" w:sz="2" w:space="0"/>
              <w:right w:val="single" w:color="auto" w:sz="2" w:space="0"/>
            </w:tcBorders>
            <w:noWrap w:val="0"/>
            <w:vAlign w:val="center"/>
          </w:tcPr>
          <w:p w14:paraId="095795CE">
            <w:pPr>
              <w:adjustRightInd w:val="0"/>
              <w:snapToGrid w:val="0"/>
              <w:spacing w:line="240" w:lineRule="auto"/>
              <w:jc w:val="center"/>
              <w:rPr>
                <w:rFonts w:hint="eastAsia" w:ascii="宋体" w:hAnsi="宋体" w:eastAsia="宋体" w:cs="宋体"/>
                <w:szCs w:val="21"/>
              </w:rPr>
            </w:pPr>
          </w:p>
        </w:tc>
        <w:tc>
          <w:tcPr>
            <w:tcW w:w="1162" w:type="pct"/>
            <w:tcBorders>
              <w:top w:val="single" w:color="auto" w:sz="2" w:space="0"/>
              <w:left w:val="single" w:color="auto" w:sz="2" w:space="0"/>
              <w:bottom w:val="single" w:color="auto" w:sz="2" w:space="0"/>
              <w:right w:val="single" w:color="auto" w:sz="2" w:space="0"/>
            </w:tcBorders>
            <w:noWrap w:val="0"/>
            <w:vAlign w:val="center"/>
          </w:tcPr>
          <w:p w14:paraId="1489B0CB">
            <w:pPr>
              <w:adjustRightInd w:val="0"/>
              <w:snapToGrid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住</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所</w:t>
            </w:r>
          </w:p>
        </w:tc>
        <w:tc>
          <w:tcPr>
            <w:tcW w:w="1306" w:type="pct"/>
            <w:tcBorders>
              <w:top w:val="single" w:color="auto" w:sz="2" w:space="0"/>
              <w:left w:val="single" w:color="auto" w:sz="2" w:space="0"/>
              <w:bottom w:val="single" w:color="auto" w:sz="2" w:space="0"/>
            </w:tcBorders>
            <w:noWrap w:val="0"/>
            <w:vAlign w:val="center"/>
          </w:tcPr>
          <w:p w14:paraId="314E8B45">
            <w:pPr>
              <w:adjustRightInd w:val="0"/>
              <w:snapToGrid w:val="0"/>
              <w:spacing w:line="300" w:lineRule="exact"/>
              <w:jc w:val="center"/>
              <w:rPr>
                <w:rFonts w:hint="eastAsia" w:ascii="宋体" w:hAnsi="宋体" w:eastAsia="宋体" w:cs="宋体"/>
                <w:spacing w:val="20"/>
                <w:szCs w:val="21"/>
              </w:rPr>
            </w:pPr>
          </w:p>
        </w:tc>
      </w:tr>
      <w:tr w14:paraId="0937DA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189" w:type="pct"/>
            <w:tcBorders>
              <w:top w:val="single" w:color="auto" w:sz="2" w:space="0"/>
              <w:bottom w:val="single" w:color="auto" w:sz="2" w:space="0"/>
              <w:right w:val="single" w:color="auto" w:sz="2" w:space="0"/>
            </w:tcBorders>
            <w:noWrap w:val="0"/>
            <w:vAlign w:val="center"/>
          </w:tcPr>
          <w:p w14:paraId="30A92D6E">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联 系 人</w:t>
            </w:r>
          </w:p>
        </w:tc>
        <w:tc>
          <w:tcPr>
            <w:tcW w:w="1341" w:type="pct"/>
            <w:tcBorders>
              <w:top w:val="single" w:color="auto" w:sz="2" w:space="0"/>
              <w:left w:val="single" w:color="auto" w:sz="2" w:space="0"/>
              <w:bottom w:val="single" w:color="auto" w:sz="2" w:space="0"/>
              <w:right w:val="single" w:color="auto" w:sz="2" w:space="0"/>
            </w:tcBorders>
            <w:noWrap w:val="0"/>
            <w:vAlign w:val="center"/>
          </w:tcPr>
          <w:p w14:paraId="78DACF3B">
            <w:pPr>
              <w:adjustRightInd w:val="0"/>
              <w:snapToGrid w:val="0"/>
              <w:spacing w:line="240" w:lineRule="auto"/>
              <w:jc w:val="center"/>
              <w:rPr>
                <w:rFonts w:hint="eastAsia" w:ascii="宋体" w:hAnsi="宋体" w:eastAsia="宋体" w:cs="宋体"/>
                <w:szCs w:val="21"/>
              </w:rPr>
            </w:pPr>
          </w:p>
        </w:tc>
        <w:tc>
          <w:tcPr>
            <w:tcW w:w="1162" w:type="pct"/>
            <w:tcBorders>
              <w:top w:val="single" w:color="auto" w:sz="2" w:space="0"/>
              <w:left w:val="single" w:color="auto" w:sz="2" w:space="0"/>
              <w:bottom w:val="single" w:color="auto" w:sz="2" w:space="0"/>
              <w:right w:val="single" w:color="auto" w:sz="2" w:space="0"/>
            </w:tcBorders>
            <w:noWrap w:val="0"/>
            <w:vAlign w:val="center"/>
          </w:tcPr>
          <w:p w14:paraId="1E1220B8">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联 系 人</w:t>
            </w:r>
          </w:p>
        </w:tc>
        <w:tc>
          <w:tcPr>
            <w:tcW w:w="1306" w:type="pct"/>
            <w:tcBorders>
              <w:top w:val="single" w:color="auto" w:sz="2" w:space="0"/>
              <w:left w:val="single" w:color="auto" w:sz="2" w:space="0"/>
              <w:bottom w:val="single" w:color="auto" w:sz="2" w:space="0"/>
            </w:tcBorders>
            <w:noWrap w:val="0"/>
            <w:vAlign w:val="center"/>
          </w:tcPr>
          <w:p w14:paraId="1AE39D2C">
            <w:pPr>
              <w:adjustRightInd w:val="0"/>
              <w:snapToGrid w:val="0"/>
              <w:spacing w:line="300" w:lineRule="exact"/>
              <w:jc w:val="center"/>
              <w:rPr>
                <w:rFonts w:hint="eastAsia" w:ascii="宋体" w:hAnsi="宋体" w:eastAsia="宋体" w:cs="宋体"/>
                <w:spacing w:val="20"/>
                <w:szCs w:val="21"/>
              </w:rPr>
            </w:pPr>
          </w:p>
        </w:tc>
      </w:tr>
      <w:tr w14:paraId="0BCA46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189" w:type="pct"/>
            <w:tcBorders>
              <w:top w:val="single" w:color="auto" w:sz="2" w:space="0"/>
              <w:bottom w:val="single" w:color="auto" w:sz="2" w:space="0"/>
              <w:right w:val="single" w:color="auto" w:sz="2" w:space="0"/>
            </w:tcBorders>
            <w:noWrap w:val="0"/>
            <w:vAlign w:val="center"/>
          </w:tcPr>
          <w:p w14:paraId="3DC36E5C">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联系电话</w:t>
            </w:r>
          </w:p>
        </w:tc>
        <w:tc>
          <w:tcPr>
            <w:tcW w:w="1341" w:type="pct"/>
            <w:tcBorders>
              <w:top w:val="single" w:color="auto" w:sz="2" w:space="0"/>
              <w:left w:val="single" w:color="auto" w:sz="2" w:space="0"/>
              <w:bottom w:val="single" w:color="auto" w:sz="2" w:space="0"/>
              <w:right w:val="single" w:color="auto" w:sz="2" w:space="0"/>
            </w:tcBorders>
            <w:noWrap w:val="0"/>
            <w:vAlign w:val="center"/>
          </w:tcPr>
          <w:p w14:paraId="6412CF79">
            <w:pPr>
              <w:adjustRightInd w:val="0"/>
              <w:snapToGrid w:val="0"/>
              <w:spacing w:line="240" w:lineRule="auto"/>
              <w:jc w:val="center"/>
              <w:rPr>
                <w:rFonts w:hint="eastAsia" w:ascii="宋体" w:hAnsi="宋体" w:eastAsia="宋体" w:cs="宋体"/>
                <w:szCs w:val="21"/>
              </w:rPr>
            </w:pPr>
          </w:p>
        </w:tc>
        <w:tc>
          <w:tcPr>
            <w:tcW w:w="1162" w:type="pct"/>
            <w:tcBorders>
              <w:top w:val="single" w:color="auto" w:sz="2" w:space="0"/>
              <w:left w:val="single" w:color="auto" w:sz="2" w:space="0"/>
              <w:bottom w:val="single" w:color="auto" w:sz="2" w:space="0"/>
              <w:right w:val="single" w:color="auto" w:sz="2" w:space="0"/>
            </w:tcBorders>
            <w:noWrap w:val="0"/>
            <w:vAlign w:val="center"/>
          </w:tcPr>
          <w:p w14:paraId="06635650">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联系电话</w:t>
            </w:r>
          </w:p>
        </w:tc>
        <w:tc>
          <w:tcPr>
            <w:tcW w:w="1306" w:type="pct"/>
            <w:tcBorders>
              <w:top w:val="single" w:color="auto" w:sz="2" w:space="0"/>
              <w:left w:val="single" w:color="auto" w:sz="2" w:space="0"/>
              <w:bottom w:val="single" w:color="auto" w:sz="2" w:space="0"/>
            </w:tcBorders>
            <w:noWrap w:val="0"/>
            <w:vAlign w:val="center"/>
          </w:tcPr>
          <w:p w14:paraId="4A623958">
            <w:pPr>
              <w:adjustRightInd w:val="0"/>
              <w:snapToGrid w:val="0"/>
              <w:spacing w:line="300" w:lineRule="exact"/>
              <w:jc w:val="center"/>
              <w:rPr>
                <w:rFonts w:hint="eastAsia" w:ascii="宋体" w:hAnsi="宋体" w:eastAsia="宋体" w:cs="宋体"/>
                <w:spacing w:val="20"/>
                <w:szCs w:val="21"/>
              </w:rPr>
            </w:pPr>
          </w:p>
        </w:tc>
      </w:tr>
      <w:tr w14:paraId="553B55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189" w:type="pct"/>
            <w:tcBorders>
              <w:top w:val="single" w:color="auto" w:sz="2" w:space="0"/>
              <w:bottom w:val="single" w:color="auto" w:sz="2" w:space="0"/>
              <w:right w:val="single" w:color="auto" w:sz="2" w:space="0"/>
            </w:tcBorders>
            <w:noWrap w:val="0"/>
            <w:vAlign w:val="center"/>
          </w:tcPr>
          <w:p w14:paraId="5F66C980">
            <w:pPr>
              <w:adjustRightInd w:val="0"/>
              <w:snapToGrid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通信地址</w:t>
            </w:r>
          </w:p>
        </w:tc>
        <w:tc>
          <w:tcPr>
            <w:tcW w:w="1341" w:type="pct"/>
            <w:tcBorders>
              <w:top w:val="single" w:color="auto" w:sz="2" w:space="0"/>
              <w:left w:val="single" w:color="auto" w:sz="2" w:space="0"/>
              <w:bottom w:val="single" w:color="auto" w:sz="2" w:space="0"/>
              <w:right w:val="single" w:color="auto" w:sz="2" w:space="0"/>
            </w:tcBorders>
            <w:noWrap w:val="0"/>
            <w:vAlign w:val="center"/>
          </w:tcPr>
          <w:p w14:paraId="44F6E927">
            <w:pPr>
              <w:adjustRightInd w:val="0"/>
              <w:snapToGrid w:val="0"/>
              <w:spacing w:line="240" w:lineRule="auto"/>
              <w:jc w:val="center"/>
              <w:rPr>
                <w:rFonts w:hint="eastAsia" w:ascii="宋体" w:hAnsi="宋体" w:eastAsia="宋体" w:cs="宋体"/>
                <w:szCs w:val="21"/>
              </w:rPr>
            </w:pPr>
          </w:p>
        </w:tc>
        <w:tc>
          <w:tcPr>
            <w:tcW w:w="1162" w:type="pct"/>
            <w:tcBorders>
              <w:top w:val="single" w:color="auto" w:sz="2" w:space="0"/>
              <w:left w:val="single" w:color="auto" w:sz="2" w:space="0"/>
              <w:bottom w:val="single" w:color="auto" w:sz="2" w:space="0"/>
              <w:right w:val="single" w:color="auto" w:sz="2" w:space="0"/>
            </w:tcBorders>
            <w:noWrap w:val="0"/>
            <w:vAlign w:val="center"/>
          </w:tcPr>
          <w:p w14:paraId="341A7C36">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lang w:eastAsia="zh-CN"/>
              </w:rPr>
              <w:t>通信地址</w:t>
            </w:r>
          </w:p>
        </w:tc>
        <w:tc>
          <w:tcPr>
            <w:tcW w:w="1306" w:type="pct"/>
            <w:tcBorders>
              <w:top w:val="single" w:color="auto" w:sz="2" w:space="0"/>
              <w:left w:val="single" w:color="auto" w:sz="2" w:space="0"/>
              <w:bottom w:val="single" w:color="auto" w:sz="2" w:space="0"/>
            </w:tcBorders>
            <w:noWrap w:val="0"/>
            <w:vAlign w:val="center"/>
          </w:tcPr>
          <w:p w14:paraId="6150294B">
            <w:pPr>
              <w:adjustRightInd w:val="0"/>
              <w:snapToGrid w:val="0"/>
              <w:spacing w:line="300" w:lineRule="exact"/>
              <w:jc w:val="center"/>
              <w:rPr>
                <w:rFonts w:hint="eastAsia" w:ascii="宋体" w:hAnsi="宋体" w:eastAsia="宋体" w:cs="宋体"/>
                <w:spacing w:val="20"/>
                <w:szCs w:val="21"/>
              </w:rPr>
            </w:pPr>
          </w:p>
        </w:tc>
      </w:tr>
      <w:tr w14:paraId="176455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189" w:type="pct"/>
            <w:tcBorders>
              <w:top w:val="single" w:color="auto" w:sz="2" w:space="0"/>
              <w:bottom w:val="single" w:color="auto" w:sz="2" w:space="0"/>
              <w:right w:val="single" w:color="auto" w:sz="2" w:space="0"/>
            </w:tcBorders>
            <w:noWrap w:val="0"/>
            <w:vAlign w:val="center"/>
          </w:tcPr>
          <w:p w14:paraId="07BC087C">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邮政编码</w:t>
            </w:r>
          </w:p>
        </w:tc>
        <w:tc>
          <w:tcPr>
            <w:tcW w:w="1341" w:type="pct"/>
            <w:tcBorders>
              <w:top w:val="single" w:color="auto" w:sz="2" w:space="0"/>
              <w:left w:val="single" w:color="auto" w:sz="2" w:space="0"/>
              <w:bottom w:val="single" w:color="auto" w:sz="2" w:space="0"/>
              <w:right w:val="single" w:color="auto" w:sz="2" w:space="0"/>
            </w:tcBorders>
            <w:noWrap w:val="0"/>
            <w:vAlign w:val="center"/>
          </w:tcPr>
          <w:p w14:paraId="26BEB964">
            <w:pPr>
              <w:adjustRightInd w:val="0"/>
              <w:snapToGrid w:val="0"/>
              <w:spacing w:line="240" w:lineRule="auto"/>
              <w:jc w:val="center"/>
              <w:rPr>
                <w:rFonts w:hint="eastAsia" w:ascii="宋体" w:hAnsi="宋体" w:eastAsia="宋体" w:cs="宋体"/>
                <w:szCs w:val="21"/>
              </w:rPr>
            </w:pPr>
          </w:p>
        </w:tc>
        <w:tc>
          <w:tcPr>
            <w:tcW w:w="1162" w:type="pct"/>
            <w:tcBorders>
              <w:top w:val="single" w:color="auto" w:sz="2" w:space="0"/>
              <w:left w:val="single" w:color="auto" w:sz="2" w:space="0"/>
              <w:bottom w:val="single" w:color="auto" w:sz="2" w:space="0"/>
              <w:right w:val="single" w:color="auto" w:sz="2" w:space="0"/>
            </w:tcBorders>
            <w:noWrap w:val="0"/>
            <w:vAlign w:val="center"/>
          </w:tcPr>
          <w:p w14:paraId="407C7D89">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邮政编码</w:t>
            </w:r>
          </w:p>
        </w:tc>
        <w:tc>
          <w:tcPr>
            <w:tcW w:w="1306" w:type="pct"/>
            <w:tcBorders>
              <w:top w:val="single" w:color="auto" w:sz="2" w:space="0"/>
              <w:left w:val="single" w:color="auto" w:sz="2" w:space="0"/>
              <w:bottom w:val="single" w:color="auto" w:sz="2" w:space="0"/>
            </w:tcBorders>
            <w:noWrap w:val="0"/>
            <w:vAlign w:val="center"/>
          </w:tcPr>
          <w:p w14:paraId="1E30B0A0">
            <w:pPr>
              <w:adjustRightInd w:val="0"/>
              <w:snapToGrid w:val="0"/>
              <w:spacing w:line="300" w:lineRule="exact"/>
              <w:jc w:val="center"/>
              <w:rPr>
                <w:rFonts w:hint="eastAsia" w:ascii="宋体" w:hAnsi="宋体" w:eastAsia="宋体" w:cs="宋体"/>
                <w:spacing w:val="20"/>
                <w:szCs w:val="21"/>
              </w:rPr>
            </w:pPr>
          </w:p>
        </w:tc>
      </w:tr>
      <w:tr w14:paraId="040FF9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189" w:type="pct"/>
            <w:tcBorders>
              <w:top w:val="single" w:color="auto" w:sz="2" w:space="0"/>
              <w:bottom w:val="single" w:color="auto" w:sz="2" w:space="0"/>
              <w:right w:val="single" w:color="auto" w:sz="2" w:space="0"/>
            </w:tcBorders>
            <w:noWrap w:val="0"/>
            <w:vAlign w:val="center"/>
          </w:tcPr>
          <w:p w14:paraId="06C60EFF">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电子邮箱</w:t>
            </w:r>
          </w:p>
        </w:tc>
        <w:tc>
          <w:tcPr>
            <w:tcW w:w="1341" w:type="pct"/>
            <w:tcBorders>
              <w:top w:val="single" w:color="auto" w:sz="2" w:space="0"/>
              <w:left w:val="single" w:color="auto" w:sz="2" w:space="0"/>
              <w:bottom w:val="single" w:color="auto" w:sz="2" w:space="0"/>
              <w:right w:val="single" w:color="auto" w:sz="2" w:space="0"/>
            </w:tcBorders>
            <w:noWrap w:val="0"/>
            <w:vAlign w:val="center"/>
          </w:tcPr>
          <w:p w14:paraId="0323043D">
            <w:pPr>
              <w:adjustRightInd w:val="0"/>
              <w:snapToGrid w:val="0"/>
              <w:spacing w:line="240" w:lineRule="auto"/>
              <w:jc w:val="center"/>
              <w:rPr>
                <w:rFonts w:hint="eastAsia" w:ascii="宋体" w:hAnsi="宋体" w:eastAsia="宋体" w:cs="宋体"/>
                <w:szCs w:val="21"/>
              </w:rPr>
            </w:pPr>
          </w:p>
        </w:tc>
        <w:tc>
          <w:tcPr>
            <w:tcW w:w="1162" w:type="pct"/>
            <w:tcBorders>
              <w:top w:val="single" w:color="auto" w:sz="2" w:space="0"/>
              <w:left w:val="single" w:color="auto" w:sz="2" w:space="0"/>
              <w:bottom w:val="single" w:color="auto" w:sz="2" w:space="0"/>
              <w:right w:val="single" w:color="auto" w:sz="2" w:space="0"/>
            </w:tcBorders>
            <w:noWrap w:val="0"/>
            <w:vAlign w:val="center"/>
          </w:tcPr>
          <w:p w14:paraId="0B9D77B8">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电子邮箱</w:t>
            </w:r>
          </w:p>
        </w:tc>
        <w:tc>
          <w:tcPr>
            <w:tcW w:w="1306" w:type="pct"/>
            <w:tcBorders>
              <w:top w:val="single" w:color="auto" w:sz="2" w:space="0"/>
              <w:left w:val="single" w:color="auto" w:sz="2" w:space="0"/>
              <w:bottom w:val="single" w:color="auto" w:sz="2" w:space="0"/>
            </w:tcBorders>
            <w:noWrap w:val="0"/>
            <w:vAlign w:val="center"/>
          </w:tcPr>
          <w:p w14:paraId="4A282AA1">
            <w:pPr>
              <w:adjustRightInd w:val="0"/>
              <w:snapToGrid w:val="0"/>
              <w:spacing w:line="300" w:lineRule="exact"/>
              <w:jc w:val="center"/>
              <w:rPr>
                <w:rFonts w:hint="eastAsia" w:ascii="宋体" w:hAnsi="宋体" w:eastAsia="宋体" w:cs="宋体"/>
                <w:spacing w:val="20"/>
                <w:szCs w:val="21"/>
              </w:rPr>
            </w:pPr>
          </w:p>
        </w:tc>
      </w:tr>
      <w:tr w14:paraId="1EEB16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189" w:type="pct"/>
            <w:tcBorders>
              <w:top w:val="single" w:color="auto" w:sz="2" w:space="0"/>
              <w:bottom w:val="single" w:color="auto" w:sz="2" w:space="0"/>
              <w:right w:val="single" w:color="auto" w:sz="2" w:space="0"/>
            </w:tcBorders>
            <w:noWrap w:val="0"/>
            <w:vAlign w:val="center"/>
          </w:tcPr>
          <w:p w14:paraId="61D276CD">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统一社会信用代码</w:t>
            </w:r>
          </w:p>
        </w:tc>
        <w:tc>
          <w:tcPr>
            <w:tcW w:w="1341" w:type="pct"/>
            <w:tcBorders>
              <w:top w:val="single" w:color="auto" w:sz="2" w:space="0"/>
              <w:left w:val="single" w:color="auto" w:sz="2" w:space="0"/>
              <w:bottom w:val="single" w:color="auto" w:sz="2" w:space="0"/>
              <w:right w:val="single" w:color="auto" w:sz="2" w:space="0"/>
            </w:tcBorders>
            <w:noWrap w:val="0"/>
            <w:vAlign w:val="center"/>
          </w:tcPr>
          <w:p w14:paraId="6E031438">
            <w:pPr>
              <w:adjustRightInd w:val="0"/>
              <w:snapToGrid w:val="0"/>
              <w:spacing w:line="240" w:lineRule="auto"/>
              <w:jc w:val="center"/>
              <w:rPr>
                <w:rFonts w:hint="eastAsia" w:ascii="宋体" w:hAnsi="宋体" w:eastAsia="宋体" w:cs="宋体"/>
                <w:szCs w:val="21"/>
              </w:rPr>
            </w:pPr>
          </w:p>
        </w:tc>
        <w:tc>
          <w:tcPr>
            <w:tcW w:w="1162" w:type="pct"/>
            <w:tcBorders>
              <w:top w:val="single" w:color="auto" w:sz="2" w:space="0"/>
              <w:left w:val="single" w:color="auto" w:sz="2" w:space="0"/>
              <w:bottom w:val="single" w:color="auto" w:sz="2" w:space="0"/>
              <w:right w:val="single" w:color="auto" w:sz="2" w:space="0"/>
            </w:tcBorders>
            <w:noWrap w:val="0"/>
            <w:vAlign w:val="center"/>
          </w:tcPr>
          <w:p w14:paraId="7A1CC337">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统一社会信用代码</w:t>
            </w:r>
          </w:p>
        </w:tc>
        <w:tc>
          <w:tcPr>
            <w:tcW w:w="1306" w:type="pct"/>
            <w:tcBorders>
              <w:top w:val="single" w:color="auto" w:sz="2" w:space="0"/>
              <w:left w:val="single" w:color="auto" w:sz="2" w:space="0"/>
              <w:bottom w:val="single" w:color="auto" w:sz="2" w:space="0"/>
            </w:tcBorders>
            <w:noWrap w:val="0"/>
            <w:vAlign w:val="center"/>
          </w:tcPr>
          <w:p w14:paraId="4C382C63">
            <w:pPr>
              <w:adjustRightInd w:val="0"/>
              <w:snapToGrid w:val="0"/>
              <w:spacing w:line="300" w:lineRule="exact"/>
              <w:jc w:val="center"/>
              <w:rPr>
                <w:rFonts w:hint="eastAsia" w:ascii="宋体" w:hAnsi="宋体" w:eastAsia="宋体" w:cs="宋体"/>
                <w:spacing w:val="20"/>
                <w:szCs w:val="21"/>
              </w:rPr>
            </w:pPr>
          </w:p>
        </w:tc>
      </w:tr>
      <w:tr w14:paraId="25B2FE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189" w:type="pct"/>
            <w:tcBorders>
              <w:top w:val="single" w:color="auto" w:sz="2" w:space="0"/>
              <w:bottom w:val="single" w:color="auto" w:sz="2" w:space="0"/>
              <w:right w:val="single" w:color="auto" w:sz="2" w:space="0"/>
            </w:tcBorders>
            <w:noWrap w:val="0"/>
            <w:vAlign w:val="center"/>
          </w:tcPr>
          <w:p w14:paraId="20A676E2">
            <w:pPr>
              <w:adjustRightInd w:val="0"/>
              <w:snapToGrid w:val="0"/>
              <w:spacing w:line="240" w:lineRule="auto"/>
              <w:jc w:val="center"/>
              <w:rPr>
                <w:rFonts w:hint="eastAsia" w:ascii="宋体" w:hAnsi="宋体" w:eastAsia="宋体" w:cs="宋体"/>
                <w:szCs w:val="21"/>
              </w:rPr>
            </w:pPr>
          </w:p>
        </w:tc>
        <w:tc>
          <w:tcPr>
            <w:tcW w:w="1341" w:type="pct"/>
            <w:tcBorders>
              <w:top w:val="single" w:color="auto" w:sz="2" w:space="0"/>
              <w:left w:val="single" w:color="auto" w:sz="2" w:space="0"/>
              <w:bottom w:val="single" w:color="auto" w:sz="2" w:space="0"/>
              <w:right w:val="single" w:color="auto" w:sz="2" w:space="0"/>
            </w:tcBorders>
            <w:noWrap w:val="0"/>
            <w:vAlign w:val="center"/>
          </w:tcPr>
          <w:p w14:paraId="4CFA65A7">
            <w:pPr>
              <w:adjustRightInd w:val="0"/>
              <w:snapToGrid w:val="0"/>
              <w:spacing w:line="240" w:lineRule="auto"/>
              <w:jc w:val="center"/>
              <w:rPr>
                <w:rFonts w:hint="eastAsia" w:ascii="宋体" w:hAnsi="宋体" w:eastAsia="宋体" w:cs="宋体"/>
                <w:szCs w:val="21"/>
              </w:rPr>
            </w:pPr>
          </w:p>
        </w:tc>
        <w:tc>
          <w:tcPr>
            <w:tcW w:w="1162" w:type="pct"/>
            <w:tcBorders>
              <w:top w:val="single" w:color="auto" w:sz="2" w:space="0"/>
              <w:left w:val="single" w:color="auto" w:sz="2" w:space="0"/>
              <w:bottom w:val="single" w:color="auto" w:sz="2" w:space="0"/>
              <w:right w:val="single" w:color="auto" w:sz="2" w:space="0"/>
            </w:tcBorders>
            <w:noWrap w:val="0"/>
            <w:vAlign w:val="center"/>
          </w:tcPr>
          <w:p w14:paraId="17BB3E96">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开户名称</w:t>
            </w:r>
          </w:p>
        </w:tc>
        <w:tc>
          <w:tcPr>
            <w:tcW w:w="1306" w:type="pct"/>
            <w:tcBorders>
              <w:top w:val="single" w:color="auto" w:sz="2" w:space="0"/>
              <w:left w:val="single" w:color="auto" w:sz="2" w:space="0"/>
              <w:bottom w:val="single" w:color="auto" w:sz="2" w:space="0"/>
            </w:tcBorders>
            <w:noWrap w:val="0"/>
            <w:vAlign w:val="center"/>
          </w:tcPr>
          <w:p w14:paraId="0B6D61B5">
            <w:pPr>
              <w:adjustRightInd w:val="0"/>
              <w:snapToGrid w:val="0"/>
              <w:spacing w:line="300" w:lineRule="exact"/>
              <w:jc w:val="center"/>
              <w:rPr>
                <w:rFonts w:hint="eastAsia" w:ascii="宋体" w:hAnsi="宋体" w:eastAsia="宋体" w:cs="宋体"/>
                <w:spacing w:val="20"/>
                <w:szCs w:val="21"/>
              </w:rPr>
            </w:pPr>
          </w:p>
        </w:tc>
      </w:tr>
      <w:tr w14:paraId="4A9672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189" w:type="pct"/>
            <w:tcBorders>
              <w:top w:val="single" w:color="auto" w:sz="2" w:space="0"/>
              <w:bottom w:val="single" w:color="auto" w:sz="2" w:space="0"/>
              <w:right w:val="single" w:color="auto" w:sz="2" w:space="0"/>
            </w:tcBorders>
            <w:noWrap w:val="0"/>
            <w:vAlign w:val="center"/>
          </w:tcPr>
          <w:p w14:paraId="33730F10">
            <w:pPr>
              <w:adjustRightInd w:val="0"/>
              <w:snapToGrid w:val="0"/>
              <w:spacing w:line="240" w:lineRule="auto"/>
              <w:jc w:val="center"/>
              <w:rPr>
                <w:rFonts w:hint="eastAsia" w:ascii="宋体" w:hAnsi="宋体" w:eastAsia="宋体" w:cs="宋体"/>
                <w:szCs w:val="21"/>
              </w:rPr>
            </w:pPr>
          </w:p>
        </w:tc>
        <w:tc>
          <w:tcPr>
            <w:tcW w:w="1341" w:type="pct"/>
            <w:tcBorders>
              <w:top w:val="single" w:color="auto" w:sz="2" w:space="0"/>
              <w:left w:val="single" w:color="auto" w:sz="2" w:space="0"/>
              <w:bottom w:val="single" w:color="auto" w:sz="2" w:space="0"/>
              <w:right w:val="single" w:color="auto" w:sz="2" w:space="0"/>
            </w:tcBorders>
            <w:noWrap w:val="0"/>
            <w:vAlign w:val="center"/>
          </w:tcPr>
          <w:p w14:paraId="23A96DB1">
            <w:pPr>
              <w:adjustRightInd w:val="0"/>
              <w:snapToGrid w:val="0"/>
              <w:spacing w:line="240" w:lineRule="auto"/>
              <w:jc w:val="center"/>
              <w:rPr>
                <w:rFonts w:hint="eastAsia" w:ascii="宋体" w:hAnsi="宋体" w:eastAsia="宋体" w:cs="宋体"/>
                <w:szCs w:val="21"/>
              </w:rPr>
            </w:pPr>
          </w:p>
        </w:tc>
        <w:tc>
          <w:tcPr>
            <w:tcW w:w="1162" w:type="pct"/>
            <w:tcBorders>
              <w:top w:val="single" w:color="auto" w:sz="2" w:space="0"/>
              <w:left w:val="single" w:color="auto" w:sz="2" w:space="0"/>
              <w:bottom w:val="single" w:color="auto" w:sz="2" w:space="0"/>
              <w:right w:val="single" w:color="auto" w:sz="2" w:space="0"/>
            </w:tcBorders>
            <w:noWrap w:val="0"/>
            <w:vAlign w:val="center"/>
          </w:tcPr>
          <w:p w14:paraId="0EF63BEC">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开户银行</w:t>
            </w:r>
          </w:p>
        </w:tc>
        <w:tc>
          <w:tcPr>
            <w:tcW w:w="1306" w:type="pct"/>
            <w:tcBorders>
              <w:top w:val="single" w:color="auto" w:sz="2" w:space="0"/>
              <w:left w:val="single" w:color="auto" w:sz="2" w:space="0"/>
              <w:bottom w:val="single" w:color="auto" w:sz="2" w:space="0"/>
            </w:tcBorders>
            <w:noWrap w:val="0"/>
            <w:vAlign w:val="center"/>
          </w:tcPr>
          <w:p w14:paraId="352D99FE">
            <w:pPr>
              <w:adjustRightInd w:val="0"/>
              <w:snapToGrid w:val="0"/>
              <w:spacing w:line="300" w:lineRule="exact"/>
              <w:jc w:val="center"/>
              <w:rPr>
                <w:rFonts w:hint="eastAsia" w:ascii="宋体" w:hAnsi="宋体" w:eastAsia="宋体" w:cs="宋体"/>
                <w:spacing w:val="20"/>
                <w:szCs w:val="21"/>
              </w:rPr>
            </w:pPr>
          </w:p>
        </w:tc>
      </w:tr>
      <w:tr w14:paraId="169863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189" w:type="pct"/>
            <w:tcBorders>
              <w:top w:val="single" w:color="auto" w:sz="2" w:space="0"/>
              <w:bottom w:val="single" w:color="auto" w:sz="2" w:space="0"/>
              <w:right w:val="single" w:color="auto" w:sz="2" w:space="0"/>
            </w:tcBorders>
            <w:noWrap w:val="0"/>
            <w:vAlign w:val="center"/>
          </w:tcPr>
          <w:p w14:paraId="4A40E6D9">
            <w:pPr>
              <w:adjustRightInd w:val="0"/>
              <w:snapToGrid w:val="0"/>
              <w:spacing w:line="240" w:lineRule="auto"/>
              <w:jc w:val="center"/>
              <w:rPr>
                <w:rFonts w:hint="eastAsia" w:ascii="宋体" w:hAnsi="宋体" w:eastAsia="宋体" w:cs="宋体"/>
                <w:szCs w:val="21"/>
              </w:rPr>
            </w:pPr>
          </w:p>
        </w:tc>
        <w:tc>
          <w:tcPr>
            <w:tcW w:w="1341" w:type="pct"/>
            <w:tcBorders>
              <w:top w:val="single" w:color="auto" w:sz="2" w:space="0"/>
              <w:left w:val="single" w:color="auto" w:sz="2" w:space="0"/>
              <w:bottom w:val="single" w:color="auto" w:sz="2" w:space="0"/>
              <w:right w:val="single" w:color="auto" w:sz="2" w:space="0"/>
            </w:tcBorders>
            <w:noWrap w:val="0"/>
            <w:vAlign w:val="center"/>
          </w:tcPr>
          <w:p w14:paraId="46E47777">
            <w:pPr>
              <w:adjustRightInd w:val="0"/>
              <w:snapToGrid w:val="0"/>
              <w:spacing w:line="240" w:lineRule="auto"/>
              <w:jc w:val="center"/>
              <w:rPr>
                <w:rFonts w:hint="eastAsia" w:ascii="宋体" w:hAnsi="宋体" w:eastAsia="宋体" w:cs="宋体"/>
                <w:szCs w:val="21"/>
              </w:rPr>
            </w:pPr>
          </w:p>
        </w:tc>
        <w:tc>
          <w:tcPr>
            <w:tcW w:w="1162" w:type="pct"/>
            <w:tcBorders>
              <w:top w:val="single" w:color="auto" w:sz="2" w:space="0"/>
              <w:left w:val="single" w:color="auto" w:sz="2" w:space="0"/>
              <w:bottom w:val="single" w:color="auto" w:sz="2" w:space="0"/>
              <w:right w:val="single" w:color="auto" w:sz="2" w:space="0"/>
            </w:tcBorders>
            <w:noWrap w:val="0"/>
            <w:vAlign w:val="center"/>
          </w:tcPr>
          <w:p w14:paraId="5195188D">
            <w:pPr>
              <w:adjustRightInd w:val="0"/>
              <w:snapToGrid w:val="0"/>
              <w:spacing w:line="240" w:lineRule="auto"/>
              <w:jc w:val="center"/>
              <w:rPr>
                <w:rFonts w:hint="eastAsia" w:ascii="宋体" w:hAnsi="宋体" w:eastAsia="宋体" w:cs="宋体"/>
                <w:szCs w:val="21"/>
              </w:rPr>
            </w:pPr>
            <w:r>
              <w:rPr>
                <w:rFonts w:hint="eastAsia" w:ascii="宋体" w:hAnsi="宋体" w:eastAsia="宋体" w:cs="宋体"/>
                <w:szCs w:val="21"/>
              </w:rPr>
              <w:t>银行账号</w:t>
            </w:r>
          </w:p>
        </w:tc>
        <w:tc>
          <w:tcPr>
            <w:tcW w:w="1306" w:type="pct"/>
            <w:tcBorders>
              <w:top w:val="single" w:color="auto" w:sz="2" w:space="0"/>
              <w:left w:val="single" w:color="auto" w:sz="2" w:space="0"/>
              <w:bottom w:val="single" w:color="auto" w:sz="2" w:space="0"/>
            </w:tcBorders>
            <w:noWrap w:val="0"/>
            <w:vAlign w:val="center"/>
          </w:tcPr>
          <w:p w14:paraId="11963258">
            <w:pPr>
              <w:adjustRightInd w:val="0"/>
              <w:snapToGrid w:val="0"/>
              <w:spacing w:line="300" w:lineRule="exact"/>
              <w:jc w:val="center"/>
              <w:rPr>
                <w:rFonts w:hint="eastAsia" w:ascii="宋体" w:hAnsi="宋体" w:eastAsia="宋体" w:cs="宋体"/>
                <w:spacing w:val="20"/>
                <w:szCs w:val="21"/>
              </w:rPr>
            </w:pPr>
          </w:p>
        </w:tc>
      </w:tr>
    </w:tbl>
    <w:p w14:paraId="52D0836C">
      <w:pPr>
        <w:keepNext/>
        <w:keepLines/>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备注：具体合同条款以实际签订的合同条款为准。</w:t>
      </w:r>
    </w:p>
    <w:p w14:paraId="7F888BA6">
      <w:pPr>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9"/>
        <w:rPr>
          <w:rFonts w:hint="eastAsia" w:ascii="宋体" w:hAnsi="宋体" w:eastAsia="宋体" w:cs="宋体"/>
          <w:sz w:val="28"/>
          <w:szCs w:val="28"/>
        </w:rPr>
      </w:pPr>
      <w:r>
        <w:rPr>
          <w:rFonts w:hint="eastAsia" w:ascii="宋体" w:hAnsi="宋体" w:eastAsia="宋体" w:cs="宋体"/>
          <w:b/>
          <w:bCs/>
          <w:sz w:val="32"/>
          <w:szCs w:val="32"/>
        </w:rPr>
        <w:br w:type="page"/>
      </w:r>
      <w:r>
        <w:rPr>
          <w:rFonts w:hint="eastAsia" w:ascii="宋体" w:hAnsi="宋体" w:eastAsia="宋体" w:cs="宋体"/>
          <w:b/>
          <w:bCs/>
          <w:sz w:val="32"/>
          <w:szCs w:val="32"/>
        </w:rPr>
        <w:t xml:space="preserve">第二节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政府采购合同通用条款</w:t>
      </w:r>
      <w:bookmarkEnd w:id="36"/>
    </w:p>
    <w:p w14:paraId="55F399A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4935E6E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D38509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37D598D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45D327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03980A8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507211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02E3561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6EF22F94">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5F8A4A9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义务。</w:t>
      </w:r>
    </w:p>
    <w:p w14:paraId="56411C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4FB28E0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0E72C92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37E78B21">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6A8B0C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任何费用。</w:t>
      </w:r>
    </w:p>
    <w:p w14:paraId="64D72C5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3775FA4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6000F9D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1708A9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724EC4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661790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41F9F74">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61DCCB80">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D87B4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3E2EAD2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7B788DE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7CC5C6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79B1FE04">
      <w:pPr>
        <w:pStyle w:val="13"/>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A8B3C49">
      <w:pPr>
        <w:pStyle w:val="13"/>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6903279A">
      <w:pPr>
        <w:pageBreakBefore w:val="0"/>
        <w:numPr>
          <w:ilvl w:val="0"/>
          <w:numId w:val="8"/>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3FC2E8D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117AEF6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5C12570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1A6521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0FC5BB6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1FE856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586711A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4D1D1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45D366DD">
      <w:pPr>
        <w:pStyle w:val="128"/>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794C89FC">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F107BDD">
      <w:pPr>
        <w:pStyle w:val="16"/>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1E52C1B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53814E72">
      <w:pPr>
        <w:pStyle w:val="16"/>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4D3D5A5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4613BE9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0D6353C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046C481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3CF782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C2D09E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D8234C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5421C67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36E7BB0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096141D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0D4238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rPr>
        <w:t>乙方保证在交付的货物上不存在抵押权等担保物权。</w:t>
      </w:r>
    </w:p>
    <w:p w14:paraId="5153ED3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427E17C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5607AAF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38"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38"/>
      <w:r>
        <w:rPr>
          <w:rFonts w:hint="eastAsia" w:ascii="宋体" w:hAnsi="宋体" w:eastAsia="宋体" w:cs="宋体"/>
          <w:color w:val="auto"/>
          <w:sz w:val="24"/>
          <w:szCs w:val="24"/>
          <w:highlight w:val="none"/>
        </w:rPr>
        <w:t>。</w:t>
      </w:r>
    </w:p>
    <w:p w14:paraId="710FDE0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75F158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317A810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B082695">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2BFCCF9E">
      <w:pPr>
        <w:pageBreakBefore w:val="0"/>
        <w:kinsoku/>
        <w:wordWrap/>
        <w:overflowPunct/>
        <w:topLinePunct w:val="0"/>
        <w:bidi w:val="0"/>
        <w:spacing w:after="0"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1F0A7B18">
      <w:pPr>
        <w:pStyle w:val="13"/>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27BDDEB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7BFE0F7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3636CE65">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249ECB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32F28A1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3D4BF68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4E5DE3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56FAE7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057225A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6C71769D">
      <w:pPr>
        <w:pStyle w:val="128"/>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238944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D937F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7A1118D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2961DE8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77C4B18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3039DE3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04797CC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12D58B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736DC80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4C79E39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31EE4B7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8541351">
      <w:pPr>
        <w:pageBreakBefore w:val="0"/>
        <w:numPr>
          <w:ilvl w:val="0"/>
          <w:numId w:val="9"/>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14350C54">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A2D03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796E830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53A6C6E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32175C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7ABA4A53">
      <w:pPr>
        <w:pStyle w:val="12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72D7702A">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48B36E0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DDC46A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6E2530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12A8E9AC">
      <w:pPr>
        <w:pStyle w:val="128"/>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1F973FE9">
      <w:pPr>
        <w:pStyle w:val="12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046802D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2544BB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827DEC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0C03F64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A11532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7572E6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905CF7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04AB7AF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2E89CBFE">
      <w:pPr>
        <w:pStyle w:val="12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42B3283C">
      <w:pPr>
        <w:pStyle w:val="12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4A2740DE">
      <w:pPr>
        <w:pStyle w:val="12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231D663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5F62A29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569105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6BAC0B06">
      <w:pPr>
        <w:pStyle w:val="13"/>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462010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3C3909CB">
      <w:pPr>
        <w:pStyle w:val="12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6C23E387">
      <w:pPr>
        <w:pStyle w:val="12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5FE184CD">
      <w:pPr>
        <w:pageBreakBefore w:val="0"/>
        <w:numPr>
          <w:ilvl w:val="0"/>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6DA95C6A">
      <w:pPr>
        <w:pStyle w:val="12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115A7FBF">
      <w:pPr>
        <w:pStyle w:val="128"/>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137773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198CE9E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20622EFD">
      <w:pPr>
        <w:pageBreakBefore w:val="0"/>
        <w:numPr>
          <w:ilvl w:val="0"/>
          <w:numId w:val="10"/>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5439343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7BD62CD5">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2B4739B8">
      <w:pPr>
        <w:pStyle w:val="28"/>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宋体" w:hAnsi="宋体" w:eastAsia="宋体" w:cs="宋体"/>
          <w:color w:val="auto"/>
        </w:rPr>
      </w:pPr>
    </w:p>
    <w:p w14:paraId="0F9C2F15">
      <w:pPr>
        <w:rPr>
          <w:rFonts w:hint="eastAsia" w:ascii="宋体" w:hAnsi="宋体" w:eastAsia="宋体" w:cs="宋体"/>
        </w:rPr>
      </w:pPr>
    </w:p>
    <w:p w14:paraId="636527A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b/>
          <w:bCs/>
          <w:color w:val="auto"/>
          <w:sz w:val="32"/>
          <w:szCs w:val="20"/>
        </w:rPr>
      </w:pPr>
      <w:r>
        <w:rPr>
          <w:rFonts w:hint="eastAsia" w:ascii="宋体" w:hAnsi="宋体" w:cs="宋体"/>
          <w:b/>
          <w:color w:val="auto"/>
          <w:spacing w:val="10"/>
          <w:kern w:val="0"/>
          <w:sz w:val="24"/>
        </w:rPr>
        <w:t>注：经双方协商，在不改变</w:t>
      </w:r>
      <w:r>
        <w:rPr>
          <w:rFonts w:hint="eastAsia" w:ascii="宋体" w:hAnsi="宋体" w:cs="宋体"/>
          <w:b/>
          <w:color w:val="auto"/>
          <w:spacing w:val="10"/>
          <w:kern w:val="0"/>
          <w:sz w:val="24"/>
          <w:lang w:val="en-US" w:eastAsia="zh-CN"/>
        </w:rPr>
        <w:t>招标</w:t>
      </w:r>
      <w:r>
        <w:rPr>
          <w:rFonts w:hint="eastAsia" w:ascii="宋体" w:hAnsi="宋体" w:cs="宋体"/>
          <w:b/>
          <w:color w:val="auto"/>
          <w:spacing w:val="10"/>
          <w:kern w:val="0"/>
          <w:sz w:val="24"/>
        </w:rPr>
        <w:t>实质性内容的基础上，可采用其他合同格式</w:t>
      </w:r>
      <w:r>
        <w:rPr>
          <w:rFonts w:hint="eastAsia" w:ascii="宋体" w:hAnsi="宋体" w:cs="宋体"/>
          <w:b/>
          <w:color w:val="auto"/>
          <w:spacing w:val="10"/>
          <w:kern w:val="0"/>
          <w:sz w:val="24"/>
          <w:lang w:eastAsia="zh-CN"/>
        </w:rPr>
        <w:t>。</w:t>
      </w:r>
    </w:p>
    <w:p w14:paraId="7C5F3AAE">
      <w:pPr>
        <w:rPr>
          <w:rStyle w:val="87"/>
          <w:rFonts w:ascii="宋体" w:hAnsi="宋体" w:cs="宋体"/>
          <w:color w:val="auto"/>
          <w:sz w:val="32"/>
          <w:szCs w:val="32"/>
        </w:rPr>
      </w:pPr>
      <w:r>
        <w:rPr>
          <w:rStyle w:val="87"/>
          <w:rFonts w:hint="eastAsia" w:ascii="宋体" w:hAnsi="宋体" w:cs="宋体"/>
          <w:color w:val="auto"/>
          <w:sz w:val="32"/>
          <w:szCs w:val="32"/>
        </w:rPr>
        <w:br w:type="page"/>
      </w:r>
    </w:p>
    <w:p w14:paraId="3AE70ED2">
      <w:pPr>
        <w:widowControl/>
        <w:snapToGrid w:val="0"/>
        <w:jc w:val="center"/>
        <w:outlineLvl w:val="0"/>
        <w:rPr>
          <w:rFonts w:ascii="宋体" w:hAnsi="宋体" w:cs="宋体"/>
          <w:b/>
          <w:color w:val="auto"/>
          <w:kern w:val="0"/>
          <w:sz w:val="32"/>
          <w:szCs w:val="32"/>
        </w:rPr>
      </w:pPr>
      <w:bookmarkStart w:id="39" w:name="_Toc100594743"/>
      <w:r>
        <w:rPr>
          <w:rStyle w:val="87"/>
          <w:rFonts w:hint="eastAsia" w:ascii="宋体" w:hAnsi="宋体" w:cs="宋体"/>
          <w:color w:val="auto"/>
          <w:sz w:val="32"/>
          <w:szCs w:val="32"/>
        </w:rPr>
        <w:t>第六章  投标文件</w:t>
      </w:r>
      <w:bookmarkEnd w:id="34"/>
      <w:bookmarkEnd w:id="35"/>
      <w:r>
        <w:rPr>
          <w:rStyle w:val="87"/>
          <w:rFonts w:hint="eastAsia" w:ascii="宋体" w:hAnsi="宋体" w:cs="宋体"/>
          <w:color w:val="auto"/>
          <w:sz w:val="32"/>
          <w:szCs w:val="32"/>
        </w:rPr>
        <w:t>格式</w:t>
      </w:r>
      <w:bookmarkEnd w:id="39"/>
    </w:p>
    <w:p w14:paraId="1610B882">
      <w:pPr>
        <w:widowControl/>
        <w:snapToGrid w:val="0"/>
        <w:spacing w:line="360" w:lineRule="auto"/>
        <w:jc w:val="right"/>
        <w:rPr>
          <w:rFonts w:ascii="宋体" w:hAnsi="宋体" w:cs="宋体"/>
          <w:color w:val="auto"/>
          <w:kern w:val="0"/>
          <w:szCs w:val="21"/>
        </w:rPr>
      </w:pPr>
    </w:p>
    <w:p w14:paraId="452A5E2C">
      <w:pPr>
        <w:widowControl/>
        <w:snapToGrid w:val="0"/>
        <w:spacing w:line="360" w:lineRule="auto"/>
        <w:jc w:val="right"/>
        <w:rPr>
          <w:rFonts w:ascii="宋体" w:hAnsi="宋体" w:cs="宋体"/>
          <w:color w:val="auto"/>
          <w:kern w:val="0"/>
          <w:szCs w:val="21"/>
        </w:rPr>
      </w:pPr>
    </w:p>
    <w:p w14:paraId="74663925">
      <w:pPr>
        <w:widowControl/>
        <w:snapToGrid w:val="0"/>
        <w:spacing w:line="360" w:lineRule="auto"/>
        <w:jc w:val="right"/>
        <w:rPr>
          <w:rFonts w:ascii="宋体" w:hAnsi="宋体" w:cs="宋体"/>
          <w:color w:val="auto"/>
          <w:kern w:val="0"/>
          <w:szCs w:val="21"/>
        </w:rPr>
      </w:pPr>
    </w:p>
    <w:p w14:paraId="5877B009">
      <w:pPr>
        <w:widowControl/>
        <w:snapToGrid w:val="0"/>
        <w:jc w:val="center"/>
        <w:rPr>
          <w:rFonts w:ascii="宋体" w:hAnsi="宋体" w:cs="宋体"/>
          <w:color w:val="auto"/>
          <w:kern w:val="0"/>
          <w:szCs w:val="21"/>
        </w:rPr>
      </w:pPr>
    </w:p>
    <w:p w14:paraId="07E8B2D7">
      <w:pPr>
        <w:widowControl/>
        <w:snapToGrid w:val="0"/>
        <w:jc w:val="center"/>
        <w:rPr>
          <w:rFonts w:ascii="宋体" w:hAnsi="宋体" w:cs="宋体"/>
          <w:b/>
          <w:color w:val="auto"/>
          <w:kern w:val="0"/>
          <w:szCs w:val="21"/>
        </w:rPr>
      </w:pPr>
      <w:r>
        <w:rPr>
          <w:rFonts w:hint="eastAsia" w:ascii="宋体" w:hAnsi="宋体" w:cs="宋体"/>
          <w:b/>
          <w:color w:val="auto"/>
          <w:spacing w:val="60"/>
          <w:kern w:val="0"/>
          <w:sz w:val="72"/>
          <w:szCs w:val="72"/>
        </w:rPr>
        <w:t>(项目名称)项目</w:t>
      </w:r>
    </w:p>
    <w:p w14:paraId="522AA53D">
      <w:pPr>
        <w:widowControl/>
        <w:snapToGrid w:val="0"/>
        <w:rPr>
          <w:rFonts w:ascii="宋体" w:hAnsi="宋体" w:cs="宋体"/>
          <w:b/>
          <w:bCs/>
          <w:color w:val="auto"/>
          <w:kern w:val="0"/>
          <w:szCs w:val="21"/>
        </w:rPr>
      </w:pPr>
      <w:r>
        <w:rPr>
          <w:rFonts w:hint="eastAsia" w:ascii="宋体" w:hAnsi="宋体" w:cs="宋体"/>
          <w:b/>
          <w:bCs/>
          <w:color w:val="auto"/>
          <w:kern w:val="0"/>
          <w:szCs w:val="21"/>
        </w:rPr>
        <w:t xml:space="preserve">               </w:t>
      </w:r>
    </w:p>
    <w:p w14:paraId="49BED84D">
      <w:pPr>
        <w:widowControl/>
        <w:snapToGrid w:val="0"/>
        <w:rPr>
          <w:rFonts w:ascii="宋体" w:hAnsi="宋体" w:cs="宋体"/>
          <w:b/>
          <w:bCs/>
          <w:color w:val="auto"/>
          <w:kern w:val="0"/>
          <w:szCs w:val="28"/>
        </w:rPr>
      </w:pPr>
      <w:r>
        <w:rPr>
          <w:rFonts w:hint="eastAsia" w:ascii="宋体" w:hAnsi="宋体" w:cs="宋体"/>
          <w:b/>
          <w:bCs/>
          <w:color w:val="auto"/>
          <w:kern w:val="0"/>
          <w:szCs w:val="28"/>
        </w:rPr>
        <w:t xml:space="preserve">                    项目编号：</w:t>
      </w:r>
      <w:r>
        <w:rPr>
          <w:rFonts w:hint="eastAsia" w:ascii="宋体" w:hAnsi="宋体" w:cs="宋体"/>
          <w:b/>
          <w:bCs/>
          <w:color w:val="auto"/>
          <w:kern w:val="0"/>
          <w:szCs w:val="28"/>
          <w:u w:val="single"/>
        </w:rPr>
        <w:t xml:space="preserve">              </w:t>
      </w:r>
    </w:p>
    <w:p w14:paraId="579E25C8">
      <w:pPr>
        <w:widowControl/>
        <w:snapToGrid w:val="0"/>
        <w:jc w:val="center"/>
        <w:rPr>
          <w:rFonts w:ascii="宋体" w:hAnsi="宋体" w:cs="宋体"/>
          <w:color w:val="auto"/>
          <w:kern w:val="0"/>
          <w:szCs w:val="21"/>
        </w:rPr>
      </w:pPr>
    </w:p>
    <w:p w14:paraId="6657A4BA">
      <w:pPr>
        <w:pStyle w:val="32"/>
        <w:rPr>
          <w:rFonts w:hint="default" w:ascii="宋体" w:hAnsi="宋体" w:eastAsia="宋体" w:cs="宋体"/>
          <w:color w:val="auto"/>
          <w:szCs w:val="21"/>
        </w:rPr>
      </w:pPr>
    </w:p>
    <w:p w14:paraId="78107D1A">
      <w:pPr>
        <w:pStyle w:val="32"/>
        <w:rPr>
          <w:rFonts w:hint="default" w:ascii="宋体" w:hAnsi="宋体" w:eastAsia="宋体" w:cs="宋体"/>
          <w:color w:val="auto"/>
          <w:szCs w:val="21"/>
        </w:rPr>
      </w:pPr>
    </w:p>
    <w:p w14:paraId="6D22789E">
      <w:pPr>
        <w:pStyle w:val="32"/>
        <w:rPr>
          <w:rFonts w:hint="default" w:ascii="宋体" w:hAnsi="宋体" w:eastAsia="宋体" w:cs="宋体"/>
          <w:color w:val="auto"/>
          <w:szCs w:val="21"/>
        </w:rPr>
      </w:pPr>
    </w:p>
    <w:p w14:paraId="17DCAA6F">
      <w:pPr>
        <w:pStyle w:val="32"/>
        <w:rPr>
          <w:rFonts w:hint="default" w:ascii="宋体" w:hAnsi="宋体" w:eastAsia="宋体" w:cs="宋体"/>
          <w:color w:val="auto"/>
          <w:szCs w:val="21"/>
        </w:rPr>
      </w:pPr>
    </w:p>
    <w:p w14:paraId="186D618C">
      <w:pPr>
        <w:widowControl/>
        <w:snapToGrid w:val="0"/>
        <w:jc w:val="center"/>
        <w:rPr>
          <w:rFonts w:ascii="宋体" w:hAnsi="宋体" w:cs="宋体"/>
          <w:color w:val="auto"/>
          <w:kern w:val="0"/>
          <w:szCs w:val="21"/>
        </w:rPr>
      </w:pPr>
    </w:p>
    <w:p w14:paraId="341D3208">
      <w:pPr>
        <w:widowControl/>
        <w:snapToGrid w:val="0"/>
        <w:spacing w:line="360" w:lineRule="auto"/>
        <w:jc w:val="center"/>
        <w:rPr>
          <w:rFonts w:ascii="宋体" w:hAnsi="宋体" w:cs="宋体"/>
          <w:color w:val="auto"/>
          <w:kern w:val="0"/>
          <w:sz w:val="96"/>
          <w:szCs w:val="96"/>
        </w:rPr>
      </w:pPr>
      <w:r>
        <w:rPr>
          <w:rFonts w:hint="eastAsia" w:ascii="宋体" w:hAnsi="宋体" w:cs="宋体"/>
          <w:b/>
          <w:color w:val="auto"/>
          <w:kern w:val="0"/>
          <w:sz w:val="96"/>
          <w:szCs w:val="96"/>
        </w:rPr>
        <w:t>投 标 文 件</w:t>
      </w:r>
    </w:p>
    <w:p w14:paraId="51BD092B">
      <w:pPr>
        <w:widowControl/>
        <w:snapToGrid w:val="0"/>
        <w:jc w:val="center"/>
        <w:rPr>
          <w:rFonts w:ascii="宋体" w:hAnsi="宋体" w:cs="宋体"/>
          <w:color w:val="auto"/>
          <w:kern w:val="0"/>
          <w:szCs w:val="21"/>
        </w:rPr>
      </w:pPr>
    </w:p>
    <w:p w14:paraId="5EFCAB67">
      <w:pPr>
        <w:widowControl/>
        <w:snapToGrid w:val="0"/>
        <w:jc w:val="center"/>
        <w:rPr>
          <w:rFonts w:ascii="宋体" w:hAnsi="宋体" w:cs="宋体"/>
          <w:color w:val="auto"/>
          <w:kern w:val="0"/>
          <w:szCs w:val="21"/>
        </w:rPr>
      </w:pPr>
    </w:p>
    <w:p w14:paraId="43AB7954">
      <w:pPr>
        <w:widowControl/>
        <w:snapToGrid w:val="0"/>
        <w:jc w:val="center"/>
        <w:rPr>
          <w:rFonts w:ascii="宋体" w:hAnsi="宋体" w:cs="宋体"/>
          <w:color w:val="auto"/>
          <w:kern w:val="0"/>
          <w:szCs w:val="21"/>
        </w:rPr>
      </w:pPr>
    </w:p>
    <w:p w14:paraId="33008952">
      <w:pPr>
        <w:widowControl/>
        <w:snapToGrid w:val="0"/>
        <w:jc w:val="center"/>
        <w:rPr>
          <w:rFonts w:ascii="宋体" w:hAnsi="宋体" w:cs="宋体"/>
          <w:color w:val="auto"/>
          <w:kern w:val="0"/>
          <w:szCs w:val="21"/>
        </w:rPr>
      </w:pPr>
    </w:p>
    <w:p w14:paraId="363E1995">
      <w:pPr>
        <w:widowControl/>
        <w:snapToGrid w:val="0"/>
        <w:jc w:val="center"/>
        <w:rPr>
          <w:rFonts w:ascii="宋体" w:hAnsi="宋体" w:cs="宋体"/>
          <w:color w:val="auto"/>
          <w:kern w:val="0"/>
          <w:szCs w:val="21"/>
        </w:rPr>
      </w:pPr>
    </w:p>
    <w:p w14:paraId="2A1400F0">
      <w:pPr>
        <w:widowControl/>
        <w:snapToGrid w:val="0"/>
        <w:jc w:val="center"/>
        <w:rPr>
          <w:rFonts w:ascii="宋体" w:hAnsi="宋体" w:cs="宋体"/>
          <w:color w:val="auto"/>
          <w:kern w:val="0"/>
          <w:szCs w:val="21"/>
        </w:rPr>
      </w:pPr>
    </w:p>
    <w:p w14:paraId="47B4A670">
      <w:pPr>
        <w:widowControl/>
        <w:snapToGrid w:val="0"/>
        <w:spacing w:line="720" w:lineRule="auto"/>
        <w:rPr>
          <w:rFonts w:ascii="宋体" w:hAnsi="宋体" w:cs="宋体"/>
          <w:b/>
          <w:bCs/>
          <w:color w:val="auto"/>
          <w:spacing w:val="20"/>
          <w:kern w:val="0"/>
          <w:szCs w:val="21"/>
        </w:rPr>
      </w:pPr>
      <w:r>
        <w:rPr>
          <w:rFonts w:hint="eastAsia" w:ascii="宋体" w:hAnsi="宋体" w:cs="宋体"/>
          <w:b/>
          <w:bCs/>
          <w:color w:val="auto"/>
          <w:spacing w:val="20"/>
          <w:kern w:val="0"/>
          <w:szCs w:val="21"/>
        </w:rPr>
        <w:t xml:space="preserve">  </w:t>
      </w:r>
    </w:p>
    <w:p w14:paraId="1C57FE8D">
      <w:pPr>
        <w:widowControl/>
        <w:snapToGrid w:val="0"/>
        <w:spacing w:line="480" w:lineRule="auto"/>
        <w:ind w:firstLine="542" w:firstLineChars="150"/>
        <w:jc w:val="both"/>
        <w:rPr>
          <w:rFonts w:ascii="宋体" w:hAnsi="宋体" w:cs="宋体"/>
          <w:b/>
          <w:bCs/>
          <w:color w:val="auto"/>
          <w:spacing w:val="20"/>
          <w:kern w:val="0"/>
          <w:sz w:val="32"/>
          <w:szCs w:val="32"/>
        </w:rPr>
      </w:pPr>
      <w:r>
        <w:rPr>
          <w:rFonts w:hint="eastAsia" w:ascii="宋体" w:hAnsi="宋体" w:cs="宋体"/>
          <w:b/>
          <w:bCs/>
          <w:color w:val="auto"/>
          <w:spacing w:val="20"/>
          <w:kern w:val="0"/>
          <w:sz w:val="32"/>
          <w:szCs w:val="32"/>
          <w:lang w:val="en-US" w:eastAsia="zh-CN"/>
        </w:rPr>
        <w:t>投标人</w:t>
      </w:r>
      <w:r>
        <w:rPr>
          <w:rFonts w:hint="eastAsia" w:ascii="宋体" w:hAnsi="宋体" w:cs="宋体"/>
          <w:b/>
          <w:bCs/>
          <w:color w:val="auto"/>
          <w:spacing w:val="20"/>
          <w:kern w:val="0"/>
          <w:sz w:val="32"/>
          <w:szCs w:val="32"/>
        </w:rPr>
        <w:t>名称：</w:t>
      </w:r>
      <w:r>
        <w:rPr>
          <w:rFonts w:hint="eastAsia" w:ascii="宋体" w:hAnsi="宋体" w:cs="宋体"/>
          <w:b/>
          <w:bCs/>
          <w:color w:val="auto"/>
          <w:spacing w:val="20"/>
          <w:kern w:val="0"/>
          <w:sz w:val="32"/>
          <w:szCs w:val="32"/>
          <w:u w:val="single"/>
        </w:rPr>
        <w:t xml:space="preserve">              （加盖单位公章）</w:t>
      </w:r>
    </w:p>
    <w:p w14:paraId="599852B0">
      <w:pPr>
        <w:widowControl/>
        <w:snapToGrid w:val="0"/>
        <w:spacing w:line="480" w:lineRule="auto"/>
        <w:ind w:firstLine="542" w:firstLineChars="150"/>
        <w:jc w:val="both"/>
        <w:rPr>
          <w:rFonts w:ascii="宋体" w:hAnsi="宋体" w:cs="宋体"/>
          <w:b/>
          <w:bCs/>
          <w:color w:val="auto"/>
          <w:spacing w:val="20"/>
          <w:kern w:val="0"/>
          <w:sz w:val="32"/>
          <w:szCs w:val="32"/>
          <w:u w:val="single"/>
        </w:rPr>
      </w:pPr>
      <w:r>
        <w:rPr>
          <w:rFonts w:hint="eastAsia" w:ascii="宋体" w:hAnsi="宋体" w:cs="宋体"/>
          <w:b/>
          <w:bCs/>
          <w:color w:val="auto"/>
          <w:spacing w:val="20"/>
          <w:kern w:val="0"/>
          <w:sz w:val="32"/>
          <w:szCs w:val="32"/>
        </w:rPr>
        <w:t>法定代表人或其委托代理人:</w:t>
      </w:r>
      <w:r>
        <w:rPr>
          <w:rFonts w:hint="eastAsia" w:ascii="宋体" w:hAnsi="宋体" w:cs="宋体"/>
          <w:b/>
          <w:bCs/>
          <w:color w:val="auto"/>
          <w:spacing w:val="20"/>
          <w:kern w:val="0"/>
          <w:sz w:val="32"/>
          <w:szCs w:val="32"/>
          <w:u w:val="single"/>
        </w:rPr>
        <w:t xml:space="preserve">     (签字或盖章) </w:t>
      </w:r>
    </w:p>
    <w:p w14:paraId="57545366">
      <w:pPr>
        <w:widowControl/>
        <w:snapToGrid w:val="0"/>
        <w:spacing w:line="480" w:lineRule="auto"/>
        <w:ind w:firstLine="482" w:firstLineChars="150"/>
        <w:jc w:val="both"/>
        <w:rPr>
          <w:rFonts w:ascii="宋体" w:hAnsi="宋体" w:cs="宋体"/>
          <w:b/>
          <w:bCs/>
          <w:color w:val="auto"/>
          <w:kern w:val="0"/>
          <w:sz w:val="32"/>
          <w:szCs w:val="32"/>
        </w:rPr>
      </w:pPr>
      <w:r>
        <w:rPr>
          <w:rFonts w:hint="eastAsia" w:ascii="宋体" w:hAnsi="宋体" w:cs="宋体"/>
          <w:b/>
          <w:bCs/>
          <w:color w:val="auto"/>
          <w:kern w:val="0"/>
          <w:sz w:val="32"/>
          <w:szCs w:val="32"/>
        </w:rPr>
        <w:t>日   期：</w:t>
      </w:r>
      <w:r>
        <w:rPr>
          <w:rFonts w:hint="eastAsia" w:ascii="宋体" w:hAnsi="宋体" w:cs="宋体"/>
          <w:b/>
          <w:bCs/>
          <w:color w:val="auto"/>
          <w:kern w:val="0"/>
          <w:sz w:val="32"/>
          <w:szCs w:val="32"/>
          <w:u w:val="single"/>
        </w:rPr>
        <w:t xml:space="preserve">     </w:t>
      </w:r>
      <w:r>
        <w:rPr>
          <w:rFonts w:hint="eastAsia" w:ascii="宋体" w:hAnsi="宋体" w:cs="宋体"/>
          <w:b/>
          <w:bCs/>
          <w:color w:val="auto"/>
          <w:kern w:val="0"/>
          <w:sz w:val="32"/>
          <w:szCs w:val="32"/>
        </w:rPr>
        <w:t>年</w:t>
      </w:r>
      <w:r>
        <w:rPr>
          <w:rFonts w:hint="eastAsia" w:ascii="宋体" w:hAnsi="宋体" w:cs="宋体"/>
          <w:b/>
          <w:bCs/>
          <w:color w:val="auto"/>
          <w:kern w:val="0"/>
          <w:sz w:val="32"/>
          <w:szCs w:val="32"/>
          <w:u w:val="single"/>
        </w:rPr>
        <w:t xml:space="preserve">    </w:t>
      </w:r>
      <w:r>
        <w:rPr>
          <w:rFonts w:hint="eastAsia" w:ascii="宋体" w:hAnsi="宋体" w:cs="宋体"/>
          <w:b/>
          <w:bCs/>
          <w:color w:val="auto"/>
          <w:kern w:val="0"/>
          <w:sz w:val="32"/>
          <w:szCs w:val="32"/>
        </w:rPr>
        <w:t>月</w:t>
      </w:r>
      <w:r>
        <w:rPr>
          <w:rFonts w:hint="eastAsia" w:ascii="宋体" w:hAnsi="宋体" w:cs="宋体"/>
          <w:b/>
          <w:bCs/>
          <w:color w:val="auto"/>
          <w:kern w:val="0"/>
          <w:sz w:val="32"/>
          <w:szCs w:val="32"/>
          <w:u w:val="single"/>
        </w:rPr>
        <w:t xml:space="preserve">    </w:t>
      </w:r>
      <w:r>
        <w:rPr>
          <w:rFonts w:hint="eastAsia" w:ascii="宋体" w:hAnsi="宋体" w:cs="宋体"/>
          <w:b/>
          <w:bCs/>
          <w:color w:val="auto"/>
          <w:kern w:val="0"/>
          <w:sz w:val="32"/>
          <w:szCs w:val="32"/>
        </w:rPr>
        <w:t>日</w:t>
      </w:r>
    </w:p>
    <w:p w14:paraId="30174004">
      <w:pPr>
        <w:spacing w:line="300" w:lineRule="exact"/>
        <w:jc w:val="center"/>
        <w:rPr>
          <w:rFonts w:hint="eastAsia" w:ascii="宋体" w:hAnsi="宋体" w:cs="宋体"/>
          <w:b/>
          <w:color w:val="auto"/>
          <w:szCs w:val="28"/>
        </w:rPr>
      </w:pPr>
      <w:r>
        <w:rPr>
          <w:rFonts w:hint="eastAsia" w:ascii="宋体" w:hAnsi="宋体" w:cs="宋体"/>
          <w:b/>
          <w:color w:val="auto"/>
          <w:szCs w:val="28"/>
        </w:rPr>
        <w:br w:type="page"/>
      </w:r>
    </w:p>
    <w:p w14:paraId="7C4A2848">
      <w:pPr>
        <w:jc w:val="center"/>
        <w:rPr>
          <w:rFonts w:hint="default" w:ascii="宋体" w:hAnsi="宋体" w:cs="宋体"/>
          <w:b/>
          <w:color w:val="auto"/>
          <w:szCs w:val="28"/>
          <w:lang w:val="en-US" w:eastAsia="zh-CN"/>
        </w:rPr>
      </w:pPr>
      <w:r>
        <w:rPr>
          <w:rFonts w:hint="eastAsia" w:ascii="宋体" w:hAnsi="宋体" w:cs="宋体"/>
          <w:b/>
          <w:color w:val="auto"/>
          <w:szCs w:val="28"/>
          <w:lang w:val="en-US" w:eastAsia="zh-CN"/>
        </w:rPr>
        <w:t>目录</w:t>
      </w:r>
    </w:p>
    <w:p w14:paraId="086EEAE9">
      <w:pPr>
        <w:keepNext w:val="0"/>
        <w:keepLines w:val="0"/>
        <w:pageBreakBefore w:val="0"/>
        <w:widowControl/>
        <w:tabs>
          <w:tab w:val="left" w:pos="1440"/>
        </w:tabs>
        <w:kinsoku/>
        <w:wordWrap/>
        <w:overflowPunct/>
        <w:topLinePunct w:val="0"/>
        <w:autoSpaceDE/>
        <w:autoSpaceDN/>
        <w:bidi w:val="0"/>
        <w:adjustRightInd/>
        <w:snapToGrid w:val="0"/>
        <w:spacing w:line="420" w:lineRule="exact"/>
        <w:ind w:firstLine="595" w:firstLineChars="247"/>
        <w:textAlignment w:val="auto"/>
        <w:outlineLvl w:val="2"/>
        <w:rPr>
          <w:rFonts w:ascii="宋体" w:hAnsi="宋体" w:cs="宋体"/>
          <w:color w:val="auto"/>
          <w:kern w:val="0"/>
          <w:sz w:val="24"/>
        </w:rPr>
      </w:pPr>
      <w:bookmarkStart w:id="45" w:name="_GoBack"/>
      <w:bookmarkEnd w:id="45"/>
      <w:r>
        <w:rPr>
          <w:rFonts w:hint="eastAsia" w:ascii="宋体" w:hAnsi="宋体" w:cs="宋体"/>
          <w:b/>
          <w:color w:val="auto"/>
          <w:kern w:val="0"/>
          <w:sz w:val="24"/>
        </w:rPr>
        <w:t>商务部分</w:t>
      </w:r>
    </w:p>
    <w:p w14:paraId="202A24AE">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（1）投标函；</w:t>
      </w:r>
    </w:p>
    <w:p w14:paraId="68176810">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（2）法定代表人身份证明书、授权委托书（法定代表人出席开标会议可不提供）；</w:t>
      </w:r>
    </w:p>
    <w:p w14:paraId="067C7670">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rPr>
        <w:t>（3）</w:t>
      </w:r>
      <w:r>
        <w:rPr>
          <w:rFonts w:hint="eastAsia" w:ascii="宋体" w:hAnsi="宋体" w:cs="宋体"/>
          <w:color w:val="auto"/>
          <w:sz w:val="24"/>
          <w:lang w:val="en-US" w:eastAsia="zh-CN"/>
        </w:rPr>
        <w:t>营业执照副本</w:t>
      </w:r>
    </w:p>
    <w:p w14:paraId="52999A58">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（4）银行基本账户开户许可证或基本存款账户信息；</w:t>
      </w:r>
    </w:p>
    <w:p w14:paraId="4EB33238">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eastAsia="宋体" w:cs="宋体"/>
          <w:color w:val="auto"/>
          <w:sz w:val="24"/>
          <w:lang w:eastAsia="zh-CN"/>
        </w:rPr>
        <w:t>具有独立承担民事责任的能力</w:t>
      </w:r>
      <w:r>
        <w:rPr>
          <w:rFonts w:hint="eastAsia" w:ascii="宋体" w:hAnsi="宋体" w:eastAsia="宋体" w:cs="宋体"/>
          <w:color w:val="auto"/>
          <w:sz w:val="24"/>
        </w:rPr>
        <w:t>；</w:t>
      </w:r>
    </w:p>
    <w:p w14:paraId="6500CDBC">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6</w:t>
      </w:r>
      <w:r>
        <w:rPr>
          <w:rFonts w:hint="eastAsia" w:ascii="宋体" w:hAnsi="宋体" w:eastAsia="宋体" w:cs="宋体"/>
          <w:color w:val="auto"/>
          <w:sz w:val="24"/>
        </w:rPr>
        <w:t>）</w:t>
      </w:r>
      <w:r>
        <w:rPr>
          <w:rFonts w:hint="eastAsia" w:ascii="宋体" w:hAnsi="宋体" w:eastAsia="宋体" w:cs="宋体"/>
          <w:color w:val="auto"/>
          <w:sz w:val="24"/>
          <w:lang w:eastAsia="zh-CN"/>
        </w:rPr>
        <w:t>有依法缴纳税收和社会保障资金的良好记录</w:t>
      </w:r>
      <w:r>
        <w:rPr>
          <w:rFonts w:hint="eastAsia" w:ascii="宋体" w:hAnsi="宋体" w:eastAsia="宋体" w:cs="宋体"/>
          <w:color w:val="auto"/>
          <w:sz w:val="24"/>
        </w:rPr>
        <w:t>；</w:t>
      </w:r>
    </w:p>
    <w:p w14:paraId="7F81A385">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7</w:t>
      </w:r>
      <w:r>
        <w:rPr>
          <w:rFonts w:hint="eastAsia" w:ascii="宋体" w:hAnsi="宋体" w:eastAsia="宋体" w:cs="宋体"/>
          <w:color w:val="auto"/>
          <w:sz w:val="24"/>
        </w:rPr>
        <w:t>）</w:t>
      </w:r>
      <w:r>
        <w:rPr>
          <w:rFonts w:hint="eastAsia" w:ascii="宋体" w:hAnsi="宋体" w:eastAsia="宋体" w:cs="宋体"/>
          <w:color w:val="auto"/>
          <w:sz w:val="24"/>
          <w:lang w:eastAsia="zh-CN"/>
        </w:rPr>
        <w:t>具有履行合同所必需的设备和专业技术能力</w:t>
      </w:r>
      <w:r>
        <w:rPr>
          <w:rFonts w:hint="eastAsia" w:ascii="宋体" w:hAnsi="宋体" w:eastAsia="宋体" w:cs="宋体"/>
          <w:color w:val="auto"/>
          <w:sz w:val="24"/>
        </w:rPr>
        <w:t>；</w:t>
      </w:r>
    </w:p>
    <w:p w14:paraId="26F2A3CD">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8</w:t>
      </w:r>
      <w:r>
        <w:rPr>
          <w:rFonts w:hint="eastAsia" w:ascii="宋体" w:hAnsi="宋体" w:eastAsia="宋体" w:cs="宋体"/>
          <w:color w:val="auto"/>
          <w:sz w:val="24"/>
        </w:rPr>
        <w:t>）</w:t>
      </w:r>
      <w:r>
        <w:rPr>
          <w:rFonts w:hint="eastAsia" w:ascii="宋体" w:hAnsi="宋体" w:eastAsia="宋体" w:cs="宋体"/>
          <w:color w:val="auto"/>
          <w:sz w:val="24"/>
          <w:lang w:eastAsia="zh-CN"/>
        </w:rPr>
        <w:t>具有良好的商业信誉和健全的财务会计制度</w:t>
      </w:r>
      <w:r>
        <w:rPr>
          <w:rFonts w:hint="eastAsia" w:ascii="宋体" w:hAnsi="宋体" w:eastAsia="宋体" w:cs="宋体"/>
          <w:color w:val="auto"/>
          <w:sz w:val="24"/>
        </w:rPr>
        <w:t>；</w:t>
      </w:r>
    </w:p>
    <w:p w14:paraId="7D6FE4E2">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9</w:t>
      </w:r>
      <w:r>
        <w:rPr>
          <w:rFonts w:hint="eastAsia" w:ascii="宋体" w:hAnsi="宋体" w:eastAsia="宋体" w:cs="宋体"/>
          <w:color w:val="auto"/>
          <w:sz w:val="24"/>
        </w:rPr>
        <w:t>）参加政府采购活动前三年内</w:t>
      </w:r>
      <w:r>
        <w:rPr>
          <w:rFonts w:hint="eastAsia" w:ascii="宋体" w:hAnsi="宋体" w:cs="宋体"/>
          <w:color w:val="auto"/>
          <w:sz w:val="24"/>
          <w:lang w:eastAsia="zh-CN"/>
        </w:rPr>
        <w:t>，</w:t>
      </w:r>
      <w:r>
        <w:rPr>
          <w:rFonts w:hint="eastAsia" w:ascii="宋体" w:hAnsi="宋体" w:eastAsia="宋体" w:cs="宋体"/>
          <w:color w:val="auto"/>
          <w:sz w:val="24"/>
        </w:rPr>
        <w:t>在经营活动中没有重大违法记录的书面声明；</w:t>
      </w:r>
    </w:p>
    <w:p w14:paraId="73006167">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10</w:t>
      </w:r>
      <w:r>
        <w:rPr>
          <w:rFonts w:hint="eastAsia" w:ascii="宋体" w:hAnsi="宋体" w:eastAsia="宋体" w:cs="宋体"/>
          <w:color w:val="auto"/>
          <w:sz w:val="24"/>
        </w:rPr>
        <w:t>）诚信投标承诺书；</w:t>
      </w:r>
    </w:p>
    <w:p w14:paraId="7E5A5D9B">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11</w:t>
      </w:r>
      <w:r>
        <w:rPr>
          <w:rFonts w:hint="eastAsia" w:ascii="宋体" w:hAnsi="宋体" w:eastAsia="宋体" w:cs="宋体"/>
          <w:color w:val="auto"/>
          <w:sz w:val="24"/>
        </w:rPr>
        <w:t>）信用中国网站（www.creditchina.gov.cn）“</w:t>
      </w:r>
      <w:r>
        <w:rPr>
          <w:rFonts w:hint="eastAsia" w:ascii="宋体" w:hAnsi="宋体" w:cs="宋体"/>
          <w:color w:val="auto"/>
          <w:sz w:val="24"/>
          <w:lang w:eastAsia="zh-CN"/>
        </w:rPr>
        <w:t>信息公示或者专项查询</w:t>
      </w:r>
      <w:r>
        <w:rPr>
          <w:rFonts w:hint="eastAsia" w:ascii="宋体" w:hAnsi="宋体" w:eastAsia="宋体" w:cs="宋体"/>
          <w:color w:val="auto"/>
          <w:sz w:val="24"/>
        </w:rPr>
        <w:t>”（包括“失信被执行人”及“重大税收违法失信主体”）查询结果以及中国政府采购网（www.ccgp.gov.cn）“政府采购严重违法失信行为记录名单”查询结果；</w:t>
      </w:r>
    </w:p>
    <w:p w14:paraId="334D5FFD">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2</w:t>
      </w:r>
      <w:r>
        <w:rPr>
          <w:rFonts w:hint="eastAsia" w:ascii="宋体" w:hAnsi="宋体" w:eastAsia="宋体" w:cs="宋体"/>
          <w:color w:val="auto"/>
          <w:sz w:val="24"/>
        </w:rPr>
        <w:t>）投标保证金缴纳凭证；</w:t>
      </w:r>
    </w:p>
    <w:p w14:paraId="70BD8CF3">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13</w:t>
      </w:r>
      <w:r>
        <w:rPr>
          <w:rFonts w:hint="eastAsia" w:ascii="宋体" w:hAnsi="宋体" w:eastAsia="宋体" w:cs="宋体"/>
          <w:color w:val="auto"/>
          <w:sz w:val="24"/>
        </w:rPr>
        <w:t>）商务条款偏离表；</w:t>
      </w:r>
    </w:p>
    <w:p w14:paraId="0889D01F">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4</w:t>
      </w:r>
      <w:r>
        <w:rPr>
          <w:rFonts w:hint="eastAsia" w:ascii="宋体" w:hAnsi="宋体" w:eastAsia="宋体" w:cs="宋体"/>
          <w:color w:val="auto"/>
          <w:sz w:val="24"/>
        </w:rPr>
        <w:t>）近三年类似项目案例及相关证明资料；</w:t>
      </w:r>
    </w:p>
    <w:p w14:paraId="6873C165">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15</w:t>
      </w:r>
      <w:r>
        <w:rPr>
          <w:rFonts w:hint="eastAsia" w:ascii="宋体" w:hAnsi="宋体" w:eastAsia="宋体" w:cs="宋体"/>
          <w:color w:val="auto"/>
          <w:sz w:val="24"/>
        </w:rPr>
        <w:t>）</w:t>
      </w:r>
      <w:r>
        <w:rPr>
          <w:rFonts w:hint="eastAsia" w:ascii="宋体" w:hAnsi="宋体" w:cs="宋体"/>
          <w:color w:val="auto"/>
          <w:sz w:val="24"/>
          <w:lang w:eastAsia="zh-CN"/>
        </w:rPr>
        <w:t>投标人中小企业、监狱企业、残疾人福利性单位证明文件（如有）</w:t>
      </w:r>
      <w:r>
        <w:rPr>
          <w:rFonts w:hint="eastAsia" w:ascii="宋体" w:hAnsi="宋体" w:eastAsia="宋体" w:cs="宋体"/>
          <w:color w:val="auto"/>
          <w:sz w:val="24"/>
        </w:rPr>
        <w:t>；</w:t>
      </w:r>
    </w:p>
    <w:p w14:paraId="2CBC360F">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（16）</w:t>
      </w:r>
      <w:r>
        <w:rPr>
          <w:rFonts w:hint="eastAsia" w:ascii="宋体" w:hAnsi="宋体" w:eastAsia="宋体" w:cs="宋体"/>
          <w:color w:val="auto"/>
          <w:sz w:val="24"/>
          <w:lang w:val="en-US" w:eastAsia="zh-CN"/>
        </w:rPr>
        <w:t>《关于符合本国产品标准的声明函》（见‘投标文件格式’）或财政部会同有关部门规定的有关证明文件</w:t>
      </w:r>
    </w:p>
    <w:p w14:paraId="32A2498C">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17</w:t>
      </w:r>
      <w:r>
        <w:rPr>
          <w:rFonts w:hint="eastAsia" w:ascii="宋体" w:hAnsi="宋体" w:eastAsia="宋体" w:cs="宋体"/>
          <w:color w:val="auto"/>
          <w:sz w:val="24"/>
        </w:rPr>
        <w:t>）</w:t>
      </w:r>
      <w:r>
        <w:rPr>
          <w:rFonts w:hint="eastAsia" w:ascii="宋体" w:hAnsi="宋体" w:cs="宋体"/>
          <w:color w:val="auto"/>
          <w:sz w:val="24"/>
          <w:lang w:val="en-US" w:eastAsia="zh-CN"/>
        </w:rPr>
        <w:t>投标人</w:t>
      </w:r>
      <w:r>
        <w:rPr>
          <w:rFonts w:hint="eastAsia" w:ascii="宋体" w:hAnsi="宋体" w:eastAsia="宋体" w:cs="宋体"/>
          <w:color w:val="auto"/>
          <w:sz w:val="24"/>
        </w:rPr>
        <w:t>认为需要提供的其他商务资料。</w:t>
      </w:r>
    </w:p>
    <w:p w14:paraId="655FCF58">
      <w:pPr>
        <w:keepNext w:val="0"/>
        <w:keepLines w:val="0"/>
        <w:pageBreakBefore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技术服务部分</w:t>
      </w:r>
    </w:p>
    <w:p w14:paraId="4CE986B6">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（1）开标一览表及分项报价表；</w:t>
      </w:r>
    </w:p>
    <w:p w14:paraId="1FE99B73">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（2）技术规格偏离表；</w:t>
      </w:r>
    </w:p>
    <w:p w14:paraId="4A208EE8">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（3）投标货物型号一致的产品手册、介绍、说明书等技术材料；</w:t>
      </w:r>
    </w:p>
    <w:p w14:paraId="70191C89">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cs="宋体"/>
          <w:color w:val="auto"/>
          <w:sz w:val="24"/>
          <w:lang w:val="en-US" w:eastAsia="zh-CN"/>
        </w:rPr>
        <w:t>供货实施方案</w:t>
      </w:r>
      <w:r>
        <w:rPr>
          <w:rFonts w:hint="eastAsia" w:ascii="宋体" w:hAnsi="宋体" w:eastAsia="宋体" w:cs="宋体"/>
          <w:color w:val="auto"/>
          <w:sz w:val="24"/>
        </w:rPr>
        <w:t>；</w:t>
      </w:r>
    </w:p>
    <w:p w14:paraId="7A6BB4AC">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val="en-US" w:eastAsia="zh-CN"/>
        </w:rPr>
        <w:t>装修改造实施方案</w:t>
      </w:r>
    </w:p>
    <w:p w14:paraId="3A2C78B8">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（6）货物质量及保证措施；</w:t>
      </w:r>
    </w:p>
    <w:p w14:paraId="34C91A73">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7</w:t>
      </w:r>
      <w:r>
        <w:rPr>
          <w:rFonts w:hint="eastAsia" w:ascii="宋体" w:hAnsi="宋体" w:cs="宋体"/>
          <w:color w:val="auto"/>
          <w:sz w:val="24"/>
          <w:lang w:eastAsia="zh-CN"/>
        </w:rPr>
        <w:t>）</w:t>
      </w:r>
      <w:r>
        <w:rPr>
          <w:rFonts w:hint="eastAsia" w:ascii="宋体" w:hAnsi="宋体" w:cs="宋体"/>
          <w:color w:val="auto"/>
          <w:sz w:val="24"/>
          <w:lang w:val="en-US" w:eastAsia="zh-CN"/>
        </w:rPr>
        <w:t>应急预案；</w:t>
      </w:r>
    </w:p>
    <w:p w14:paraId="68E06B1A">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（8</w:t>
      </w:r>
      <w:r>
        <w:rPr>
          <w:rFonts w:hint="eastAsia" w:ascii="宋体" w:hAnsi="宋体" w:eastAsia="宋体" w:cs="宋体"/>
          <w:color w:val="auto"/>
          <w:sz w:val="24"/>
          <w:lang w:val="en-US" w:eastAsia="zh-CN"/>
        </w:rPr>
        <w:t>）售后服务方案、承诺及保证措施；</w:t>
      </w:r>
    </w:p>
    <w:p w14:paraId="2AFB593E">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s="宋体"/>
          <w:b/>
          <w:color w:val="auto"/>
          <w:szCs w:val="28"/>
          <w:lang w:val="en-US" w:eastAsia="zh-CN"/>
        </w:rPr>
      </w:pP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9</w:t>
      </w:r>
      <w:r>
        <w:rPr>
          <w:rFonts w:hint="eastAsia" w:ascii="宋体" w:hAnsi="宋体" w:eastAsia="宋体" w:cs="宋体"/>
          <w:color w:val="auto"/>
          <w:sz w:val="24"/>
          <w:lang w:val="en-US" w:eastAsia="zh-CN"/>
        </w:rPr>
        <w:t>）投标人认为需要提供的其他技术资料。</w:t>
      </w:r>
      <w:r>
        <w:rPr>
          <w:rFonts w:hint="eastAsia" w:ascii="宋体" w:hAnsi="宋体" w:cs="宋体"/>
          <w:b/>
          <w:color w:val="auto"/>
          <w:szCs w:val="28"/>
          <w:lang w:val="en-US" w:eastAsia="zh-CN"/>
        </w:rPr>
        <w:br w:type="page"/>
      </w:r>
    </w:p>
    <w:p w14:paraId="1F2CBDFF">
      <w:pPr>
        <w:spacing w:line="360" w:lineRule="auto"/>
        <w:jc w:val="center"/>
        <w:rPr>
          <w:rFonts w:hint="default" w:ascii="宋体" w:hAnsi="宋体" w:eastAsia="宋体" w:cs="宋体"/>
          <w:b/>
          <w:color w:val="auto"/>
          <w:szCs w:val="28"/>
          <w:lang w:val="en-US" w:eastAsia="zh-CN"/>
        </w:rPr>
      </w:pPr>
      <w:r>
        <w:rPr>
          <w:rFonts w:hint="eastAsia" w:ascii="宋体" w:hAnsi="宋体" w:cs="宋体"/>
          <w:b/>
          <w:color w:val="auto"/>
          <w:szCs w:val="28"/>
          <w:lang w:val="en-US" w:eastAsia="zh-CN"/>
        </w:rPr>
        <w:t>商务部分</w:t>
      </w:r>
    </w:p>
    <w:p w14:paraId="5FE09F7C">
      <w:pPr>
        <w:spacing w:line="360" w:lineRule="auto"/>
        <w:jc w:val="center"/>
        <w:rPr>
          <w:rFonts w:ascii="宋体" w:hAnsi="宋体" w:cs="宋体"/>
          <w:b/>
          <w:color w:val="auto"/>
          <w:sz w:val="24"/>
        </w:rPr>
      </w:pPr>
      <w:r>
        <w:rPr>
          <w:rFonts w:hint="eastAsia" w:ascii="宋体" w:hAnsi="宋体" w:cs="宋体"/>
          <w:b/>
          <w:color w:val="auto"/>
          <w:sz w:val="24"/>
          <w:lang w:val="en-US" w:eastAsia="zh-CN"/>
        </w:rPr>
        <w:t>一、</w:t>
      </w:r>
      <w:r>
        <w:rPr>
          <w:rFonts w:hint="eastAsia" w:ascii="宋体" w:hAnsi="宋体" w:cs="宋体"/>
          <w:b/>
          <w:color w:val="auto"/>
          <w:sz w:val="24"/>
        </w:rPr>
        <w:t>投标函</w:t>
      </w:r>
    </w:p>
    <w:p w14:paraId="1307B131">
      <w:pPr>
        <w:spacing w:line="400" w:lineRule="exact"/>
        <w:ind w:left="-3" w:leftChars="-1"/>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w:t>
      </w:r>
      <w:r>
        <w:rPr>
          <w:rFonts w:hint="eastAsia" w:ascii="宋体" w:hAnsi="宋体" w:cs="宋体"/>
          <w:color w:val="auto"/>
          <w:sz w:val="24"/>
          <w:lang w:val="en-US" w:eastAsia="zh-CN"/>
        </w:rPr>
        <w:t>人</w:t>
      </w:r>
      <w:r>
        <w:rPr>
          <w:rFonts w:hint="eastAsia" w:ascii="宋体" w:hAnsi="宋体" w:cs="宋体"/>
          <w:color w:val="auto"/>
          <w:sz w:val="24"/>
        </w:rPr>
        <w:t>）：</w:t>
      </w:r>
    </w:p>
    <w:p w14:paraId="498C931F">
      <w:pPr>
        <w:spacing w:line="400" w:lineRule="exact"/>
        <w:ind w:firstLine="480" w:firstLineChars="200"/>
        <w:rPr>
          <w:rFonts w:ascii="宋体" w:hAnsi="宋体" w:cs="宋体"/>
          <w:color w:val="auto"/>
          <w:sz w:val="24"/>
        </w:rPr>
      </w:pPr>
      <w:r>
        <w:rPr>
          <w:rFonts w:hint="eastAsia" w:ascii="宋体" w:hAnsi="宋体" w:cs="宋体"/>
          <w:color w:val="auto"/>
          <w:sz w:val="24"/>
        </w:rPr>
        <w:t>根据贵方</w:t>
      </w:r>
      <w:r>
        <w:rPr>
          <w:rFonts w:hint="eastAsia" w:ascii="宋体" w:hAnsi="宋体" w:cs="宋体"/>
          <w:color w:val="auto"/>
          <w:sz w:val="24"/>
          <w:u w:val="single"/>
        </w:rPr>
        <w:t xml:space="preserve">               </w:t>
      </w:r>
      <w:r>
        <w:rPr>
          <w:rFonts w:hint="eastAsia" w:ascii="宋体" w:hAnsi="宋体" w:cs="宋体"/>
          <w:color w:val="auto"/>
          <w:sz w:val="24"/>
        </w:rPr>
        <w:t>（项目名称）的招标文件（项目编</w:t>
      </w:r>
      <w:r>
        <w:rPr>
          <w:rFonts w:hint="eastAsia" w:ascii="宋体" w:hAnsi="宋体" w:cs="宋体"/>
          <w:color w:val="auto"/>
          <w:sz w:val="24"/>
          <w:lang w:val="en-US" w:eastAsia="zh-CN"/>
        </w:rPr>
        <w:t>号</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），我方签字代表</w:t>
      </w:r>
      <w:r>
        <w:rPr>
          <w:rFonts w:hint="eastAsia" w:ascii="宋体" w:hAnsi="宋体" w:cs="宋体"/>
          <w:color w:val="auto"/>
          <w:sz w:val="24"/>
          <w:u w:val="single"/>
        </w:rPr>
        <w:t xml:space="preserve">             </w:t>
      </w:r>
      <w:r>
        <w:rPr>
          <w:rFonts w:hint="eastAsia" w:ascii="宋体" w:hAnsi="宋体" w:cs="宋体"/>
          <w:color w:val="auto"/>
          <w:sz w:val="24"/>
        </w:rPr>
        <w:t>（姓名、职务）经正式授权并代表</w:t>
      </w:r>
      <w:r>
        <w:rPr>
          <w:rFonts w:hint="eastAsia" w:ascii="宋体" w:hAnsi="宋体" w:cs="宋体"/>
          <w:color w:val="auto"/>
          <w:sz w:val="24"/>
          <w:lang w:val="en-US" w:eastAsia="zh-CN"/>
        </w:rPr>
        <w:t>投标人</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lang w:val="en-US" w:eastAsia="zh-CN"/>
        </w:rPr>
        <w:t>投标人</w:t>
      </w:r>
      <w:r>
        <w:rPr>
          <w:rFonts w:hint="eastAsia" w:ascii="宋体" w:hAnsi="宋体" w:cs="宋体"/>
          <w:color w:val="auto"/>
          <w:sz w:val="24"/>
        </w:rPr>
        <w:t>名称、地址）提交下述</w:t>
      </w:r>
      <w:r>
        <w:rPr>
          <w:rFonts w:hint="eastAsia" w:ascii="宋体" w:hAnsi="宋体" w:cs="宋体"/>
          <w:color w:val="auto"/>
          <w:sz w:val="24"/>
          <w:lang w:val="en-US" w:eastAsia="zh-CN"/>
        </w:rPr>
        <w:t>投标</w:t>
      </w:r>
      <w:r>
        <w:rPr>
          <w:rFonts w:hint="eastAsia" w:ascii="宋体" w:hAnsi="宋体" w:cs="宋体"/>
          <w:color w:val="auto"/>
          <w:sz w:val="24"/>
        </w:rPr>
        <w:t>文件，并在此声明：所递交的投标文件内容完整、真实。</w:t>
      </w:r>
    </w:p>
    <w:p w14:paraId="71270B17">
      <w:pPr>
        <w:spacing w:line="400" w:lineRule="exact"/>
        <w:ind w:firstLine="480" w:firstLineChars="200"/>
        <w:rPr>
          <w:rFonts w:ascii="宋体" w:hAnsi="宋体" w:cs="宋体"/>
          <w:color w:val="auto"/>
          <w:sz w:val="24"/>
        </w:rPr>
      </w:pPr>
      <w:r>
        <w:rPr>
          <w:rFonts w:hint="eastAsia" w:ascii="宋体" w:hAnsi="宋体" w:cs="宋体"/>
          <w:color w:val="auto"/>
          <w:sz w:val="24"/>
        </w:rPr>
        <w:t>在此，我方宣布同意如下：</w:t>
      </w:r>
    </w:p>
    <w:p w14:paraId="47A07365">
      <w:pPr>
        <w:spacing w:line="400" w:lineRule="exact"/>
        <w:ind w:firstLine="480" w:firstLineChars="200"/>
        <w:rPr>
          <w:rFonts w:ascii="宋体" w:hAnsi="宋体" w:cs="宋体"/>
          <w:color w:val="auto"/>
          <w:sz w:val="24"/>
        </w:rPr>
      </w:pPr>
      <w:r>
        <w:rPr>
          <w:rFonts w:hint="eastAsia" w:ascii="宋体" w:hAnsi="宋体" w:cs="宋体"/>
          <w:color w:val="auto"/>
          <w:sz w:val="24"/>
        </w:rPr>
        <w:t>1．所附投标价格表中规定的投标价为：人民币（大写）</w:t>
      </w:r>
      <w:r>
        <w:rPr>
          <w:rFonts w:hint="eastAsia" w:ascii="宋体" w:hAnsi="宋体" w:cs="宋体"/>
          <w:color w:val="auto"/>
          <w:sz w:val="24"/>
          <w:u w:val="single"/>
        </w:rPr>
        <w:t xml:space="preserve">                 </w:t>
      </w:r>
      <w:r>
        <w:rPr>
          <w:rFonts w:hint="eastAsia" w:ascii="宋体" w:hAnsi="宋体" w:cs="宋体"/>
          <w:color w:val="auto"/>
          <w:sz w:val="24"/>
        </w:rPr>
        <w:t>，（小写）</w:t>
      </w:r>
      <w:r>
        <w:rPr>
          <w:rFonts w:hint="eastAsia" w:ascii="宋体" w:hAnsi="宋体" w:cs="宋体"/>
          <w:color w:val="auto"/>
          <w:sz w:val="24"/>
          <w:u w:val="single"/>
        </w:rPr>
        <w:t xml:space="preserve">                </w:t>
      </w:r>
      <w:r>
        <w:rPr>
          <w:rFonts w:hint="eastAsia" w:ascii="宋体" w:hAnsi="宋体" w:cs="宋体"/>
          <w:color w:val="auto"/>
          <w:sz w:val="24"/>
        </w:rPr>
        <w:t>。</w:t>
      </w:r>
    </w:p>
    <w:p w14:paraId="124ABDA4">
      <w:pPr>
        <w:spacing w:line="40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投标人</w:t>
      </w:r>
      <w:r>
        <w:rPr>
          <w:rFonts w:hint="eastAsia" w:ascii="宋体" w:hAnsi="宋体" w:cs="宋体"/>
          <w:color w:val="auto"/>
          <w:sz w:val="24"/>
        </w:rPr>
        <w:t>将按招标文件的规定履行合同责任和义务。</w:t>
      </w:r>
    </w:p>
    <w:p w14:paraId="6A4B4A3E">
      <w:pPr>
        <w:spacing w:line="400" w:lineRule="exact"/>
        <w:ind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投标人</w:t>
      </w:r>
      <w:r>
        <w:rPr>
          <w:rFonts w:hint="eastAsia" w:ascii="宋体" w:hAnsi="宋体" w:cs="宋体"/>
          <w:color w:val="auto"/>
          <w:sz w:val="24"/>
        </w:rPr>
        <w:t>已详细审查全部招标文件。我们完全理解并同意放弃对这方面有不明及误解的权力。</w:t>
      </w:r>
    </w:p>
    <w:p w14:paraId="15A53C5D">
      <w:pPr>
        <w:spacing w:line="400" w:lineRule="exact"/>
        <w:ind w:firstLine="480" w:firstLineChars="200"/>
        <w:rPr>
          <w:rFonts w:ascii="宋体" w:hAnsi="宋体" w:cs="宋体"/>
          <w:color w:val="auto"/>
          <w:sz w:val="24"/>
        </w:rPr>
      </w:pPr>
      <w:r>
        <w:rPr>
          <w:rFonts w:hint="eastAsia" w:ascii="宋体" w:hAnsi="宋体" w:cs="宋体"/>
          <w:color w:val="auto"/>
          <w:sz w:val="24"/>
        </w:rPr>
        <w:t>4．本投标有效期为自招标文件规定的提交投标文件截止之日起</w:t>
      </w:r>
      <w:r>
        <w:rPr>
          <w:rFonts w:hint="eastAsia" w:ascii="宋体" w:hAnsi="宋体" w:cs="宋体"/>
          <w:color w:val="auto"/>
          <w:sz w:val="24"/>
          <w:u w:val="single"/>
        </w:rPr>
        <w:t xml:space="preserve">    </w:t>
      </w:r>
      <w:r>
        <w:rPr>
          <w:rFonts w:hint="eastAsia" w:ascii="宋体" w:hAnsi="宋体" w:cs="宋体"/>
          <w:color w:val="auto"/>
          <w:sz w:val="24"/>
        </w:rPr>
        <w:t>日历天。在投标有效期内我方同意遵守本投标文件中的承诺且在此期限期满之前投标文件对我方具有法律约束力。</w:t>
      </w:r>
    </w:p>
    <w:p w14:paraId="76DC16E4">
      <w:pPr>
        <w:spacing w:line="400" w:lineRule="exact"/>
        <w:ind w:firstLine="480" w:firstLineChars="200"/>
        <w:rPr>
          <w:rFonts w:ascii="宋体" w:hAnsi="宋体" w:cs="宋体"/>
          <w:color w:val="auto"/>
          <w:sz w:val="24"/>
        </w:rPr>
      </w:pPr>
      <w:r>
        <w:rPr>
          <w:rFonts w:hint="eastAsia" w:ascii="宋体" w:hAnsi="宋体" w:cs="宋体"/>
          <w:color w:val="auto"/>
          <w:sz w:val="24"/>
        </w:rPr>
        <w:t>5．我方承诺：</w:t>
      </w:r>
    </w:p>
    <w:p w14:paraId="70FD0A52">
      <w:pPr>
        <w:spacing w:line="400" w:lineRule="exact"/>
        <w:ind w:firstLine="480" w:firstLineChars="200"/>
        <w:rPr>
          <w:rFonts w:ascii="宋体" w:hAnsi="宋体" w:cs="宋体"/>
          <w:color w:val="auto"/>
          <w:sz w:val="24"/>
        </w:rPr>
      </w:pPr>
      <w:r>
        <w:rPr>
          <w:rFonts w:hint="eastAsia" w:ascii="宋体" w:hAnsi="宋体" w:cs="宋体"/>
          <w:color w:val="auto"/>
          <w:sz w:val="24"/>
        </w:rPr>
        <w:t>（1）我们在参加本项目政府采购活动前三年内，在经营活动中没有违背法律的行为，并提供“参加政府采购活动前三年内</w:t>
      </w:r>
      <w:r>
        <w:rPr>
          <w:rFonts w:hint="eastAsia" w:ascii="宋体" w:hAnsi="宋体" w:cs="宋体"/>
          <w:color w:val="auto"/>
          <w:sz w:val="24"/>
          <w:lang w:eastAsia="zh-CN"/>
        </w:rPr>
        <w:t>，</w:t>
      </w:r>
      <w:r>
        <w:rPr>
          <w:rFonts w:hint="eastAsia" w:ascii="宋体" w:hAnsi="宋体" w:cs="宋体"/>
          <w:color w:val="auto"/>
          <w:sz w:val="24"/>
        </w:rPr>
        <w:t>在经营活动中没有重大违法记录的书面声明”。</w:t>
      </w:r>
    </w:p>
    <w:p w14:paraId="10FB5319">
      <w:pPr>
        <w:spacing w:line="400" w:lineRule="exact"/>
        <w:ind w:firstLine="480" w:firstLineChars="200"/>
        <w:rPr>
          <w:rFonts w:ascii="宋体" w:hAnsi="宋体" w:cs="宋体"/>
          <w:color w:val="auto"/>
          <w:sz w:val="24"/>
        </w:rPr>
      </w:pPr>
      <w:r>
        <w:rPr>
          <w:rFonts w:hint="eastAsia" w:ascii="宋体" w:hAnsi="宋体" w:cs="宋体"/>
          <w:color w:val="auto"/>
          <w:sz w:val="24"/>
        </w:rPr>
        <w:t>（2）我们依照有关法律的规定，没有偷税、漏税的行为，没有逃避缴纳社会保险资金的行为；</w:t>
      </w:r>
    </w:p>
    <w:p w14:paraId="5AE218E5">
      <w:pPr>
        <w:spacing w:line="400" w:lineRule="exact"/>
        <w:ind w:firstLine="480" w:firstLineChars="200"/>
        <w:rPr>
          <w:rFonts w:ascii="宋体" w:hAnsi="宋体" w:cs="宋体"/>
          <w:color w:val="auto"/>
          <w:sz w:val="24"/>
        </w:rPr>
      </w:pPr>
      <w:r>
        <w:rPr>
          <w:rFonts w:hint="eastAsia" w:ascii="宋体" w:hAnsi="宋体" w:cs="宋体"/>
          <w:color w:val="auto"/>
          <w:sz w:val="24"/>
        </w:rPr>
        <w:t>（3）与采购人和采购代理机构无任何的隶属关系或者其他利害关系。</w:t>
      </w:r>
    </w:p>
    <w:p w14:paraId="554164C9">
      <w:pPr>
        <w:spacing w:line="400" w:lineRule="exact"/>
        <w:ind w:firstLine="480" w:firstLineChars="200"/>
        <w:rPr>
          <w:rFonts w:ascii="宋体" w:hAnsi="宋体" w:cs="宋体"/>
          <w:color w:val="auto"/>
          <w:sz w:val="24"/>
        </w:rPr>
      </w:pPr>
      <w:r>
        <w:rPr>
          <w:rFonts w:hint="eastAsia" w:ascii="宋体" w:hAnsi="宋体" w:cs="宋体"/>
          <w:color w:val="auto"/>
          <w:sz w:val="24"/>
        </w:rPr>
        <w:t>6．同意提供贵方可能要求的与其投标有关的一切数据或资料。</w:t>
      </w:r>
    </w:p>
    <w:p w14:paraId="6AF541EF">
      <w:pPr>
        <w:spacing w:line="400" w:lineRule="exact"/>
        <w:ind w:firstLine="480" w:firstLineChars="200"/>
        <w:rPr>
          <w:rFonts w:ascii="宋体" w:hAnsi="宋体" w:cs="宋体"/>
          <w:color w:val="auto"/>
          <w:sz w:val="24"/>
        </w:rPr>
      </w:pPr>
      <w:r>
        <w:rPr>
          <w:rFonts w:hint="eastAsia" w:ascii="宋体" w:hAnsi="宋体" w:cs="宋体"/>
          <w:color w:val="auto"/>
          <w:sz w:val="24"/>
        </w:rPr>
        <w:t>7．与本投标有关的一切正式往来信函请寄：</w:t>
      </w:r>
    </w:p>
    <w:p w14:paraId="2E2BFC49">
      <w:pPr>
        <w:spacing w:line="400" w:lineRule="exact"/>
        <w:ind w:firstLine="480" w:firstLineChars="200"/>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r>
        <w:rPr>
          <w:rFonts w:hint="eastAsia" w:ascii="宋体" w:hAnsi="宋体" w:cs="宋体"/>
          <w:color w:val="auto"/>
          <w:sz w:val="24"/>
        </w:rPr>
        <w:t xml:space="preserve">    邮   编：</w:t>
      </w:r>
      <w:r>
        <w:rPr>
          <w:rFonts w:hint="eastAsia" w:ascii="宋体" w:hAnsi="宋体" w:cs="宋体"/>
          <w:color w:val="auto"/>
          <w:sz w:val="24"/>
          <w:u w:val="single"/>
        </w:rPr>
        <w:t xml:space="preserve">                 </w:t>
      </w:r>
    </w:p>
    <w:p w14:paraId="39EFE737">
      <w:pPr>
        <w:spacing w:line="400" w:lineRule="exact"/>
        <w:ind w:firstLine="480" w:firstLineChars="200"/>
        <w:rPr>
          <w:rFonts w:ascii="宋体" w:hAnsi="宋体" w:cs="宋体"/>
          <w:color w:val="auto"/>
          <w:sz w:val="24"/>
        </w:rPr>
      </w:pPr>
      <w:r>
        <w:rPr>
          <w:rFonts w:hint="eastAsia" w:ascii="宋体" w:hAnsi="宋体" w:cs="宋体"/>
          <w:color w:val="auto"/>
          <w:sz w:val="24"/>
        </w:rPr>
        <w:t>电   话：</w:t>
      </w:r>
      <w:r>
        <w:rPr>
          <w:rFonts w:hint="eastAsia" w:ascii="宋体" w:hAnsi="宋体" w:cs="宋体"/>
          <w:color w:val="auto"/>
          <w:sz w:val="24"/>
          <w:u w:val="single"/>
        </w:rPr>
        <w:t xml:space="preserve">                 </w:t>
      </w:r>
      <w:r>
        <w:rPr>
          <w:rFonts w:hint="eastAsia" w:ascii="宋体" w:hAnsi="宋体" w:cs="宋体"/>
          <w:color w:val="auto"/>
          <w:sz w:val="24"/>
        </w:rPr>
        <w:t xml:space="preserve">    传   真：</w:t>
      </w:r>
      <w:r>
        <w:rPr>
          <w:rFonts w:hint="eastAsia" w:ascii="宋体" w:hAnsi="宋体" w:cs="宋体"/>
          <w:color w:val="auto"/>
          <w:sz w:val="24"/>
          <w:u w:val="single"/>
        </w:rPr>
        <w:t xml:space="preserve">                 </w:t>
      </w:r>
    </w:p>
    <w:p w14:paraId="720F774F">
      <w:pPr>
        <w:spacing w:line="400" w:lineRule="exact"/>
        <w:ind w:firstLine="480" w:firstLineChars="200"/>
        <w:rPr>
          <w:rFonts w:ascii="宋体" w:hAnsi="宋体" w:cs="宋体"/>
          <w:color w:val="auto"/>
          <w:sz w:val="24"/>
        </w:rPr>
      </w:pPr>
      <w:r>
        <w:rPr>
          <w:rFonts w:hint="eastAsia" w:ascii="宋体" w:hAnsi="宋体" w:cs="宋体"/>
          <w:color w:val="auto"/>
          <w:sz w:val="24"/>
          <w:lang w:val="en-US" w:eastAsia="zh-CN"/>
        </w:rPr>
        <w:t>投标人</w:t>
      </w:r>
      <w:r>
        <w:rPr>
          <w:rFonts w:hint="eastAsia" w:ascii="宋体" w:hAnsi="宋体" w:cs="宋体"/>
          <w:color w:val="auto"/>
          <w:sz w:val="24"/>
        </w:rPr>
        <w:t>名称（加盖公章）：</w:t>
      </w:r>
      <w:r>
        <w:rPr>
          <w:rFonts w:hint="eastAsia" w:ascii="宋体" w:hAnsi="宋体" w:cs="宋体"/>
          <w:color w:val="auto"/>
          <w:sz w:val="24"/>
          <w:u w:val="single"/>
        </w:rPr>
        <w:t xml:space="preserve">             </w:t>
      </w:r>
    </w:p>
    <w:p w14:paraId="1DA3D444">
      <w:pPr>
        <w:spacing w:line="400" w:lineRule="exact"/>
        <w:ind w:firstLine="480" w:firstLineChars="200"/>
        <w:rPr>
          <w:rFonts w:ascii="宋体" w:hAnsi="宋体" w:cs="宋体"/>
          <w:color w:val="auto"/>
          <w:sz w:val="24"/>
        </w:rPr>
      </w:pPr>
      <w:r>
        <w:rPr>
          <w:rFonts w:hint="eastAsia" w:ascii="宋体" w:hAnsi="宋体" w:cs="宋体"/>
          <w:color w:val="auto"/>
          <w:sz w:val="24"/>
        </w:rPr>
        <w:t>法定代表人或其授权的代理人（签字或盖章）：</w:t>
      </w:r>
      <w:r>
        <w:rPr>
          <w:rFonts w:hint="eastAsia" w:ascii="宋体" w:hAnsi="宋体" w:cs="宋体"/>
          <w:color w:val="auto"/>
          <w:sz w:val="24"/>
          <w:u w:val="single"/>
        </w:rPr>
        <w:t xml:space="preserve">             </w:t>
      </w:r>
    </w:p>
    <w:p w14:paraId="0EC7A54B">
      <w:pPr>
        <w:spacing w:line="400" w:lineRule="exact"/>
        <w:ind w:firstLine="480" w:firstLineChars="200"/>
        <w:rPr>
          <w:rFonts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0BE25A8">
      <w:pPr>
        <w:widowControl/>
        <w:snapToGrid w:val="0"/>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备注：1、除可填报项目外，对本招标响应声明的任何修改将被视为非实质性响应投标，从而导致参加政府采购活动的资格被拒绝。</w:t>
      </w:r>
    </w:p>
    <w:p w14:paraId="1B5775BD">
      <w:pPr>
        <w:widowControl/>
        <w:snapToGrid w:val="0"/>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 xml:space="preserve">      2、</w:t>
      </w:r>
      <w:r>
        <w:rPr>
          <w:rFonts w:hint="eastAsia" w:ascii="宋体" w:hAnsi="宋体" w:cs="宋体"/>
          <w:color w:val="auto"/>
          <w:kern w:val="0"/>
          <w:sz w:val="24"/>
          <w:lang w:val="en-US" w:eastAsia="zh-CN"/>
        </w:rPr>
        <w:t>投标人</w:t>
      </w:r>
      <w:r>
        <w:rPr>
          <w:rFonts w:hint="eastAsia" w:ascii="宋体" w:hAnsi="宋体" w:cs="宋体"/>
          <w:color w:val="auto"/>
          <w:kern w:val="0"/>
          <w:sz w:val="24"/>
        </w:rPr>
        <w:t>注册成立不足三年的，承诺与声明从单位成立始至参加本项目政府采购活动止（后同）。</w:t>
      </w:r>
    </w:p>
    <w:p w14:paraId="370720C4">
      <w:pPr>
        <w:widowControl/>
        <w:snapToGrid w:val="0"/>
        <w:spacing w:line="300" w:lineRule="auto"/>
        <w:ind w:left="560" w:hanging="480" w:hangingChars="200"/>
        <w:jc w:val="center"/>
        <w:rPr>
          <w:rFonts w:ascii="宋体" w:hAnsi="宋体" w:cs="宋体"/>
          <w:bCs/>
          <w:color w:val="auto"/>
          <w:kern w:val="0"/>
          <w:sz w:val="24"/>
        </w:rPr>
      </w:pPr>
    </w:p>
    <w:p w14:paraId="069CEFB1">
      <w:pPr>
        <w:widowControl/>
        <w:tabs>
          <w:tab w:val="left" w:pos="4000"/>
        </w:tabs>
        <w:snapToGrid w:val="0"/>
        <w:spacing w:line="360" w:lineRule="auto"/>
        <w:jc w:val="center"/>
        <w:rPr>
          <w:rFonts w:hint="eastAsia" w:ascii="宋体" w:hAnsi="宋体" w:eastAsia="宋体" w:cs="宋体"/>
          <w:bCs/>
          <w:color w:val="auto"/>
          <w:kern w:val="0"/>
          <w:sz w:val="24"/>
          <w:lang w:eastAsia="zh-CN"/>
        </w:rPr>
      </w:pPr>
      <w:r>
        <w:rPr>
          <w:rFonts w:hint="eastAsia" w:ascii="宋体" w:hAnsi="宋体" w:cs="宋体"/>
          <w:b/>
          <w:color w:val="auto"/>
          <w:sz w:val="24"/>
        </w:rPr>
        <w:br w:type="page"/>
      </w:r>
      <w:bookmarkStart w:id="40" w:name="_Toc175644065"/>
      <w:bookmarkStart w:id="41" w:name="_Toc86202635"/>
      <w:r>
        <w:rPr>
          <w:rFonts w:hint="eastAsia" w:ascii="宋体" w:hAnsi="宋体" w:cs="宋体"/>
          <w:b/>
          <w:color w:val="auto"/>
          <w:sz w:val="24"/>
          <w:lang w:val="en-US" w:eastAsia="zh-CN"/>
        </w:rPr>
        <w:t>二、</w:t>
      </w:r>
      <w:r>
        <w:rPr>
          <w:rFonts w:hint="eastAsia" w:ascii="宋体" w:hAnsi="宋体" w:cs="宋体"/>
          <w:b/>
          <w:color w:val="auto"/>
          <w:kern w:val="0"/>
          <w:sz w:val="24"/>
        </w:rPr>
        <w:t>法定代表人身份证明书</w:t>
      </w:r>
      <w:r>
        <w:rPr>
          <w:rFonts w:hint="eastAsia" w:ascii="宋体" w:hAnsi="宋体" w:cs="宋体"/>
          <w:b/>
          <w:color w:val="auto"/>
          <w:kern w:val="0"/>
          <w:sz w:val="24"/>
          <w:lang w:eastAsia="zh-CN"/>
        </w:rPr>
        <w:t>、授权委托书</w:t>
      </w:r>
    </w:p>
    <w:p w14:paraId="73399708">
      <w:pPr>
        <w:widowControl/>
        <w:snapToGrid w:val="0"/>
        <w:spacing w:line="360" w:lineRule="auto"/>
        <w:ind w:firstLine="570"/>
        <w:jc w:val="center"/>
        <w:rPr>
          <w:rFonts w:hint="eastAsia" w:ascii="宋体" w:hAnsi="宋体" w:cs="宋体"/>
          <w:b/>
          <w:color w:val="auto"/>
          <w:kern w:val="0"/>
          <w:sz w:val="24"/>
        </w:rPr>
      </w:pPr>
    </w:p>
    <w:p w14:paraId="5F885365">
      <w:pPr>
        <w:widowControl/>
        <w:snapToGrid w:val="0"/>
        <w:spacing w:line="360" w:lineRule="auto"/>
        <w:ind w:firstLine="570"/>
        <w:jc w:val="center"/>
        <w:rPr>
          <w:rFonts w:ascii="宋体" w:hAnsi="宋体" w:cs="宋体"/>
          <w:color w:val="auto"/>
          <w:kern w:val="0"/>
          <w:sz w:val="24"/>
        </w:rPr>
      </w:pPr>
      <w:r>
        <w:rPr>
          <w:rFonts w:hint="eastAsia" w:ascii="宋体" w:hAnsi="宋体" w:cs="宋体"/>
          <w:b/>
          <w:color w:val="auto"/>
          <w:kern w:val="0"/>
          <w:sz w:val="24"/>
        </w:rPr>
        <w:t>法定代表人身份证明书</w:t>
      </w:r>
    </w:p>
    <w:p w14:paraId="3580C8A5">
      <w:pPr>
        <w:widowControl/>
        <w:snapToGrid w:val="0"/>
        <w:spacing w:line="400" w:lineRule="exact"/>
        <w:ind w:firstLine="480" w:firstLineChars="200"/>
        <w:rPr>
          <w:rFonts w:ascii="宋体" w:hAnsi="宋体" w:cs="宋体"/>
          <w:color w:val="auto"/>
          <w:kern w:val="0"/>
          <w:sz w:val="24"/>
          <w:u w:val="single"/>
        </w:rPr>
      </w:pPr>
      <w:r>
        <w:rPr>
          <w:rFonts w:hint="eastAsia" w:ascii="宋体" w:hAnsi="宋体" w:cs="宋体"/>
          <w:color w:val="auto"/>
          <w:kern w:val="0"/>
          <w:sz w:val="24"/>
          <w:lang w:val="en-US" w:eastAsia="zh-CN"/>
        </w:rPr>
        <w:t>投标人</w:t>
      </w:r>
      <w:r>
        <w:rPr>
          <w:rFonts w:hint="eastAsia" w:ascii="宋体" w:hAnsi="宋体" w:cs="宋体"/>
          <w:color w:val="auto"/>
          <w:kern w:val="0"/>
          <w:sz w:val="24"/>
        </w:rPr>
        <w:t>名称：</w:t>
      </w:r>
      <w:r>
        <w:rPr>
          <w:rFonts w:hint="eastAsia" w:ascii="宋体" w:hAnsi="宋体" w:cs="宋体"/>
          <w:color w:val="auto"/>
          <w:kern w:val="0"/>
          <w:sz w:val="24"/>
          <w:u w:val="single"/>
        </w:rPr>
        <w:t xml:space="preserve">                                    </w:t>
      </w:r>
    </w:p>
    <w:p w14:paraId="5B19A3A8">
      <w:pPr>
        <w:widowControl/>
        <w:snapToGrid w:val="0"/>
        <w:spacing w:line="400" w:lineRule="exact"/>
        <w:ind w:firstLine="480" w:firstLineChars="200"/>
        <w:rPr>
          <w:rFonts w:ascii="宋体" w:hAnsi="宋体" w:cs="宋体"/>
          <w:color w:val="auto"/>
          <w:kern w:val="0"/>
          <w:sz w:val="24"/>
        </w:rPr>
      </w:pPr>
      <w:r>
        <w:rPr>
          <w:rFonts w:hint="eastAsia" w:ascii="宋体" w:hAnsi="宋体" w:cs="宋体"/>
          <w:color w:val="auto"/>
          <w:kern w:val="0"/>
          <w:sz w:val="24"/>
          <w:lang w:val="en-US" w:eastAsia="zh-CN"/>
        </w:rPr>
        <w:t>统一社会信用代码</w:t>
      </w:r>
      <w:r>
        <w:rPr>
          <w:rFonts w:hint="eastAsia" w:ascii="宋体" w:hAnsi="宋体" w:cs="宋体"/>
          <w:color w:val="auto"/>
          <w:kern w:val="0"/>
          <w:sz w:val="24"/>
        </w:rPr>
        <w:t>：</w:t>
      </w:r>
      <w:r>
        <w:rPr>
          <w:rFonts w:hint="eastAsia" w:ascii="宋体" w:hAnsi="宋体" w:cs="宋体"/>
          <w:color w:val="auto"/>
          <w:kern w:val="0"/>
          <w:sz w:val="24"/>
          <w:u w:val="single"/>
        </w:rPr>
        <w:t xml:space="preserve">                                        </w:t>
      </w:r>
    </w:p>
    <w:p w14:paraId="3F9ED543">
      <w:pPr>
        <w:widowControl/>
        <w:snapToGrid w:val="0"/>
        <w:spacing w:line="400" w:lineRule="exact"/>
        <w:ind w:firstLine="480" w:firstLineChars="200"/>
        <w:rPr>
          <w:rFonts w:ascii="宋体" w:hAnsi="宋体" w:cs="宋体"/>
          <w:color w:val="auto"/>
          <w:kern w:val="0"/>
          <w:sz w:val="24"/>
          <w:u w:val="single"/>
        </w:rPr>
      </w:pPr>
      <w:r>
        <w:rPr>
          <w:rFonts w:hint="eastAsia" w:ascii="宋体" w:hAnsi="宋体" w:cs="宋体"/>
          <w:color w:val="auto"/>
          <w:kern w:val="0"/>
          <w:sz w:val="24"/>
        </w:rPr>
        <w:t>注册地址：</w:t>
      </w:r>
      <w:r>
        <w:rPr>
          <w:rFonts w:hint="eastAsia" w:ascii="宋体" w:hAnsi="宋体" w:cs="宋体"/>
          <w:color w:val="auto"/>
          <w:kern w:val="0"/>
          <w:sz w:val="24"/>
          <w:u w:val="single"/>
        </w:rPr>
        <w:t xml:space="preserve">                                      </w:t>
      </w:r>
    </w:p>
    <w:p w14:paraId="4921DADE">
      <w:pPr>
        <w:widowControl/>
        <w:snapToGrid w:val="0"/>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成立时间：</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14:paraId="61A3C338">
      <w:pPr>
        <w:widowControl/>
        <w:snapToGrid w:val="0"/>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经营期限：</w:t>
      </w:r>
      <w:r>
        <w:rPr>
          <w:rFonts w:hint="eastAsia" w:ascii="宋体" w:hAnsi="宋体" w:cs="宋体"/>
          <w:color w:val="auto"/>
          <w:kern w:val="0"/>
          <w:sz w:val="24"/>
          <w:u w:val="single"/>
        </w:rPr>
        <w:t xml:space="preserve">                     </w:t>
      </w:r>
    </w:p>
    <w:p w14:paraId="76786589">
      <w:pPr>
        <w:widowControl/>
        <w:snapToGrid w:val="0"/>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姓    名：</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性  别：</w:t>
      </w:r>
      <w:r>
        <w:rPr>
          <w:rFonts w:hint="eastAsia" w:ascii="宋体" w:hAnsi="宋体" w:cs="宋体"/>
          <w:color w:val="auto"/>
          <w:kern w:val="0"/>
          <w:sz w:val="24"/>
          <w:u w:val="single"/>
        </w:rPr>
        <w:t xml:space="preserve">         </w:t>
      </w:r>
    </w:p>
    <w:p w14:paraId="7CB2B941">
      <w:pPr>
        <w:widowControl/>
        <w:snapToGrid w:val="0"/>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年    龄：</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职  务：</w:t>
      </w:r>
      <w:r>
        <w:rPr>
          <w:rFonts w:hint="eastAsia" w:ascii="宋体" w:hAnsi="宋体" w:cs="宋体"/>
          <w:color w:val="auto"/>
          <w:kern w:val="0"/>
          <w:sz w:val="24"/>
          <w:u w:val="single"/>
        </w:rPr>
        <w:t xml:space="preserve">         </w:t>
      </w:r>
    </w:p>
    <w:p w14:paraId="44D1E8BA">
      <w:pPr>
        <w:widowControl/>
        <w:snapToGrid w:val="0"/>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投标人</w:t>
      </w:r>
      <w:r>
        <w:rPr>
          <w:rFonts w:hint="eastAsia" w:ascii="宋体" w:hAnsi="宋体" w:cs="宋体"/>
          <w:color w:val="auto"/>
          <w:kern w:val="0"/>
          <w:sz w:val="24"/>
          <w:u w:val="single"/>
        </w:rPr>
        <w:t xml:space="preserve">名称）          </w:t>
      </w:r>
      <w:r>
        <w:rPr>
          <w:rFonts w:hint="eastAsia" w:ascii="宋体" w:hAnsi="宋体" w:cs="宋体"/>
          <w:color w:val="auto"/>
          <w:kern w:val="0"/>
          <w:sz w:val="24"/>
        </w:rPr>
        <w:t>的法定代表人。</w:t>
      </w:r>
    </w:p>
    <w:p w14:paraId="690653E8">
      <w:pPr>
        <w:widowControl/>
        <w:snapToGrid w:val="0"/>
        <w:spacing w:line="400" w:lineRule="exact"/>
        <w:rPr>
          <w:rFonts w:ascii="宋体" w:hAnsi="宋体" w:cs="宋体"/>
          <w:color w:val="auto"/>
          <w:kern w:val="0"/>
          <w:sz w:val="24"/>
        </w:rPr>
      </w:pPr>
      <w:r>
        <w:rPr>
          <w:rFonts w:hint="eastAsia" w:ascii="宋体" w:hAnsi="宋体" w:cs="宋体"/>
          <w:color w:val="auto"/>
          <w:kern w:val="0"/>
          <w:sz w:val="24"/>
        </w:rPr>
        <w:t xml:space="preserve">      </w:t>
      </w:r>
    </w:p>
    <w:p w14:paraId="0F98AF62">
      <w:pPr>
        <w:widowControl/>
        <w:snapToGrid w:val="0"/>
        <w:spacing w:line="400" w:lineRule="exact"/>
        <w:rPr>
          <w:rFonts w:ascii="宋体" w:hAnsi="宋体" w:cs="宋体"/>
          <w:color w:val="auto"/>
          <w:kern w:val="0"/>
          <w:sz w:val="24"/>
        </w:rPr>
      </w:pPr>
      <w:r>
        <w:rPr>
          <w:rFonts w:hint="eastAsia" w:ascii="宋体" w:hAnsi="宋体" w:cs="宋体"/>
          <w:color w:val="auto"/>
          <w:kern w:val="0"/>
          <w:sz w:val="24"/>
        </w:rPr>
        <w:t> </w:t>
      </w:r>
    </w:p>
    <w:p w14:paraId="230607FF">
      <w:pPr>
        <w:widowControl/>
        <w:snapToGrid w:val="0"/>
        <w:spacing w:line="400" w:lineRule="exact"/>
        <w:ind w:firstLine="960" w:firstLineChars="400"/>
        <w:rPr>
          <w:rFonts w:ascii="宋体" w:hAnsi="宋体" w:cs="宋体"/>
          <w:color w:val="auto"/>
          <w:kern w:val="0"/>
          <w:sz w:val="24"/>
        </w:rPr>
      </w:pPr>
      <w:r>
        <w:rPr>
          <w:rFonts w:hint="eastAsia" w:ascii="宋体" w:hAnsi="宋体" w:cs="宋体"/>
          <w:color w:val="auto"/>
          <w:kern w:val="0"/>
          <w:sz w:val="24"/>
        </w:rPr>
        <w:t xml:space="preserve"> 特此证明。</w:t>
      </w:r>
    </w:p>
    <w:p w14:paraId="44A5758D">
      <w:pPr>
        <w:widowControl/>
        <w:snapToGrid w:val="0"/>
        <w:spacing w:line="400" w:lineRule="exact"/>
        <w:rPr>
          <w:rFonts w:ascii="宋体" w:hAnsi="宋体" w:cs="宋体"/>
          <w:color w:val="auto"/>
          <w:kern w:val="0"/>
          <w:sz w:val="24"/>
        </w:rPr>
      </w:pPr>
      <w:r>
        <w:rPr>
          <w:rFonts w:hint="eastAsia" w:ascii="宋体" w:hAnsi="宋体" w:cs="宋体"/>
          <w:color w:val="auto"/>
          <w:kern w:val="0"/>
          <w:sz w:val="24"/>
        </w:rPr>
        <w:t xml:space="preserve">   </w:t>
      </w:r>
    </w:p>
    <w:p w14:paraId="6CA03A60">
      <w:pPr>
        <w:widowControl/>
        <w:snapToGrid w:val="0"/>
        <w:spacing w:line="400" w:lineRule="exact"/>
        <w:rPr>
          <w:rFonts w:ascii="宋体" w:hAnsi="宋体" w:cs="宋体"/>
          <w:color w:val="auto"/>
          <w:kern w:val="0"/>
          <w:sz w:val="24"/>
        </w:rPr>
      </w:pPr>
    </w:p>
    <w:p w14:paraId="3E5E87D8">
      <w:pPr>
        <w:widowControl/>
        <w:snapToGrid w:val="0"/>
        <w:spacing w:line="400" w:lineRule="exact"/>
        <w:rPr>
          <w:rFonts w:ascii="宋体" w:hAnsi="宋体" w:cs="宋体"/>
          <w:color w:val="auto"/>
          <w:kern w:val="0"/>
          <w:sz w:val="24"/>
        </w:rPr>
      </w:pPr>
    </w:p>
    <w:p w14:paraId="49EC03CE">
      <w:pPr>
        <w:widowControl/>
        <w:snapToGrid w:val="0"/>
        <w:spacing w:line="400" w:lineRule="exact"/>
        <w:rPr>
          <w:rFonts w:ascii="宋体" w:hAnsi="宋体" w:cs="宋体"/>
          <w:color w:val="auto"/>
          <w:kern w:val="0"/>
          <w:sz w:val="24"/>
        </w:rPr>
      </w:pPr>
    </w:p>
    <w:p w14:paraId="65922951">
      <w:pPr>
        <w:widowControl/>
        <w:snapToGrid w:val="0"/>
        <w:spacing w:line="400" w:lineRule="exact"/>
        <w:rPr>
          <w:rFonts w:ascii="宋体" w:hAnsi="宋体" w:cs="宋体"/>
          <w:color w:val="auto"/>
          <w:kern w:val="0"/>
          <w:sz w:val="24"/>
        </w:rPr>
      </w:pPr>
      <w:r>
        <w:rPr>
          <w:rFonts w:hint="eastAsia" w:ascii="宋体" w:hAnsi="宋体" w:cs="宋体"/>
          <w:color w:val="auto"/>
          <w:spacing w:val="6"/>
          <w:kern w:val="0"/>
          <w:sz w:val="24"/>
        </w:rPr>
        <w:t> </w:t>
      </w:r>
    </w:p>
    <w:p w14:paraId="0D0BC3D5">
      <w:pPr>
        <w:widowControl/>
        <w:snapToGrid w:val="0"/>
        <w:spacing w:line="400" w:lineRule="exact"/>
        <w:rPr>
          <w:rFonts w:ascii="宋体" w:hAnsi="宋体" w:cs="宋体"/>
          <w:color w:val="auto"/>
          <w:kern w:val="0"/>
          <w:sz w:val="24"/>
        </w:rPr>
      </w:pPr>
      <w:r>
        <w:rPr>
          <w:rFonts w:hint="eastAsia" w:ascii="宋体" w:hAnsi="宋体" w:cs="宋体"/>
          <w:color w:val="auto"/>
          <w:spacing w:val="6"/>
          <w:kern w:val="0"/>
          <w:sz w:val="24"/>
        </w:rPr>
        <w:t> </w:t>
      </w:r>
    </w:p>
    <w:p w14:paraId="0B650633">
      <w:pPr>
        <w:widowControl/>
        <w:tabs>
          <w:tab w:val="left" w:pos="4000"/>
        </w:tabs>
        <w:snapToGrid w:val="0"/>
        <w:spacing w:line="400" w:lineRule="exact"/>
        <w:ind w:firstLine="480" w:firstLineChars="200"/>
        <w:rPr>
          <w:rFonts w:ascii="宋体" w:hAnsi="宋体" w:cs="宋体"/>
          <w:color w:val="auto"/>
          <w:kern w:val="0"/>
          <w:sz w:val="24"/>
          <w:u w:val="single"/>
        </w:rPr>
      </w:pPr>
      <w:r>
        <w:rPr>
          <w:rFonts w:hint="eastAsia" w:ascii="宋体" w:hAnsi="宋体" w:cs="宋体"/>
          <w:color w:val="auto"/>
          <w:kern w:val="0"/>
          <w:sz w:val="24"/>
          <w:lang w:val="en-US" w:eastAsia="zh-CN"/>
        </w:rPr>
        <w:t>投标人</w:t>
      </w:r>
      <w:r>
        <w:rPr>
          <w:rFonts w:hint="eastAsia" w:ascii="宋体" w:hAnsi="宋体" w:cs="宋体"/>
          <w:color w:val="auto"/>
          <w:kern w:val="0"/>
          <w:sz w:val="24"/>
        </w:rPr>
        <w:t>名称(盖公章)：</w:t>
      </w:r>
      <w:r>
        <w:rPr>
          <w:rFonts w:hint="eastAsia" w:ascii="宋体" w:hAnsi="宋体" w:cs="宋体"/>
          <w:color w:val="auto"/>
          <w:kern w:val="0"/>
          <w:sz w:val="24"/>
          <w:u w:val="single"/>
        </w:rPr>
        <w:t>　　　　　　　　　　　　</w:t>
      </w:r>
    </w:p>
    <w:p w14:paraId="33DCD1EC">
      <w:pPr>
        <w:widowControl/>
        <w:tabs>
          <w:tab w:val="left" w:pos="4000"/>
        </w:tabs>
        <w:snapToGrid w:val="0"/>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　</w:t>
      </w:r>
    </w:p>
    <w:p w14:paraId="781C5592">
      <w:pPr>
        <w:widowControl/>
        <w:tabs>
          <w:tab w:val="left" w:pos="4945"/>
        </w:tabs>
        <w:snapToGrid w:val="0"/>
        <w:spacing w:line="400" w:lineRule="exact"/>
        <w:ind w:firstLine="480" w:firstLineChars="200"/>
        <w:rPr>
          <w:rFonts w:ascii="宋体" w:hAnsi="宋体" w:cs="宋体"/>
          <w:color w:val="auto"/>
          <w:kern w:val="0"/>
          <w:sz w:val="24"/>
          <w:u w:val="single"/>
        </w:rPr>
      </w:pPr>
      <w:r>
        <w:rPr>
          <w:rFonts w:hint="eastAsia" w:ascii="宋体" w:hAnsi="宋体" w:cs="宋体"/>
          <w:color w:val="auto"/>
          <w:kern w:val="0"/>
          <w:sz w:val="24"/>
        </w:rPr>
        <w:t>日　　期：</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14:paraId="3AD9BFE5">
      <w:pPr>
        <w:widowControl/>
        <w:snapToGrid w:val="0"/>
        <w:spacing w:line="400" w:lineRule="exact"/>
        <w:rPr>
          <w:rFonts w:ascii="宋体" w:hAnsi="宋体" w:cs="宋体"/>
          <w:color w:val="auto"/>
          <w:kern w:val="0"/>
          <w:sz w:val="24"/>
        </w:rPr>
      </w:pPr>
      <w:r>
        <w:rPr>
          <w:rFonts w:hint="eastAsia" w:ascii="宋体" w:hAnsi="宋体" w:cs="宋体"/>
          <w:color w:val="auto"/>
          <w:kern w:val="0"/>
          <w:sz w:val="24"/>
        </w:rPr>
        <w:t> </w:t>
      </w:r>
    </w:p>
    <w:p w14:paraId="2B00E75A">
      <w:pPr>
        <w:widowControl/>
        <w:tabs>
          <w:tab w:val="left" w:pos="4000"/>
        </w:tabs>
        <w:snapToGrid w:val="0"/>
        <w:spacing w:line="400" w:lineRule="exact"/>
        <w:jc w:val="center"/>
        <w:rPr>
          <w:rFonts w:ascii="宋体" w:hAnsi="宋体" w:cs="宋体"/>
          <w:bCs/>
          <w:color w:val="auto"/>
          <w:kern w:val="0"/>
          <w:sz w:val="24"/>
        </w:rPr>
      </w:pPr>
    </w:p>
    <w:p w14:paraId="0A1A80C4">
      <w:pPr>
        <w:widowControl/>
        <w:tabs>
          <w:tab w:val="left" w:pos="4000"/>
        </w:tabs>
        <w:snapToGrid w:val="0"/>
        <w:spacing w:line="400" w:lineRule="exact"/>
        <w:jc w:val="center"/>
        <w:rPr>
          <w:rFonts w:ascii="宋体" w:hAnsi="宋体" w:cs="宋体"/>
          <w:bCs/>
          <w:color w:val="auto"/>
          <w:kern w:val="0"/>
          <w:sz w:val="24"/>
        </w:rPr>
      </w:pPr>
    </w:p>
    <w:p w14:paraId="58E6BE60">
      <w:pPr>
        <w:pStyle w:val="32"/>
        <w:spacing w:line="400" w:lineRule="exact"/>
        <w:rPr>
          <w:rFonts w:hint="default" w:ascii="宋体" w:hAnsi="宋体" w:eastAsia="宋体" w:cs="宋体"/>
          <w:bCs/>
          <w:color w:val="auto"/>
          <w:szCs w:val="24"/>
        </w:rPr>
      </w:pPr>
    </w:p>
    <w:p w14:paraId="1623DF3F">
      <w:pPr>
        <w:widowControl/>
        <w:tabs>
          <w:tab w:val="left" w:pos="4000"/>
        </w:tabs>
        <w:snapToGrid w:val="0"/>
        <w:spacing w:line="400" w:lineRule="exact"/>
        <w:rPr>
          <w:rFonts w:ascii="宋体" w:hAnsi="宋体" w:cs="宋体"/>
          <w:bCs/>
          <w:color w:val="auto"/>
          <w:kern w:val="0"/>
          <w:sz w:val="24"/>
        </w:rPr>
      </w:pPr>
      <w:r>
        <w:rPr>
          <w:rFonts w:hint="eastAsia" w:ascii="宋体" w:hAnsi="宋体" w:cs="宋体"/>
          <w:bCs/>
          <w:color w:val="auto"/>
          <w:kern w:val="0"/>
          <w:sz w:val="24"/>
        </w:rPr>
        <w:t>附：法定代表人的身份证复印件</w:t>
      </w:r>
      <w:r>
        <w:rPr>
          <w:rFonts w:hint="eastAsia" w:ascii="宋体" w:hAnsi="宋体" w:cs="宋体"/>
          <w:color w:val="auto"/>
          <w:sz w:val="24"/>
        </w:rPr>
        <w:t>。</w:t>
      </w:r>
    </w:p>
    <w:p w14:paraId="6B8A3A1B">
      <w:pPr>
        <w:widowControl/>
        <w:snapToGrid w:val="0"/>
        <w:spacing w:line="300" w:lineRule="exact"/>
        <w:jc w:val="center"/>
        <w:rPr>
          <w:rFonts w:ascii="宋体" w:hAnsi="宋体" w:cs="宋体"/>
          <w:b/>
          <w:color w:val="auto"/>
          <w:kern w:val="0"/>
          <w:sz w:val="24"/>
        </w:rPr>
      </w:pPr>
      <w:r>
        <w:rPr>
          <w:rFonts w:hint="eastAsia" w:ascii="宋体" w:hAnsi="宋体" w:cs="宋体"/>
          <w:b/>
          <w:bCs/>
          <w:color w:val="auto"/>
          <w:kern w:val="0"/>
          <w:sz w:val="24"/>
        </w:rPr>
        <w:br w:type="page"/>
      </w:r>
      <w:r>
        <w:rPr>
          <w:rFonts w:hint="eastAsia" w:ascii="宋体" w:hAnsi="宋体" w:cs="宋体"/>
          <w:b/>
          <w:bCs/>
          <w:color w:val="auto"/>
          <w:kern w:val="0"/>
          <w:sz w:val="24"/>
        </w:rPr>
        <w:t xml:space="preserve"> </w:t>
      </w:r>
      <w:r>
        <w:rPr>
          <w:rFonts w:hint="eastAsia" w:ascii="宋体" w:hAnsi="宋体" w:cs="宋体"/>
          <w:b/>
          <w:color w:val="auto"/>
          <w:kern w:val="0"/>
          <w:sz w:val="24"/>
        </w:rPr>
        <w:t>法定代表人授权委托书</w:t>
      </w:r>
    </w:p>
    <w:p w14:paraId="43DDFA1A">
      <w:pPr>
        <w:widowControl/>
        <w:snapToGrid w:val="0"/>
        <w:spacing w:line="300" w:lineRule="exact"/>
        <w:rPr>
          <w:rFonts w:ascii="宋体" w:hAnsi="宋体" w:cs="宋体"/>
          <w:color w:val="auto"/>
          <w:kern w:val="0"/>
          <w:sz w:val="24"/>
        </w:rPr>
      </w:pPr>
      <w:r>
        <w:rPr>
          <w:rFonts w:hint="eastAsia" w:ascii="宋体" w:hAnsi="宋体" w:cs="宋体"/>
          <w:color w:val="auto"/>
          <w:kern w:val="0"/>
          <w:sz w:val="24"/>
        </w:rPr>
        <w:t> </w:t>
      </w:r>
    </w:p>
    <w:p w14:paraId="38B4D6A9">
      <w:pPr>
        <w:widowControl/>
        <w:snapToGrid w:val="0"/>
        <w:spacing w:line="400" w:lineRule="exact"/>
        <w:rPr>
          <w:rFonts w:ascii="宋体" w:hAnsi="宋体" w:cs="宋体"/>
          <w:color w:val="auto"/>
          <w:kern w:val="0"/>
          <w:sz w:val="24"/>
        </w:rPr>
      </w:pPr>
      <w:r>
        <w:rPr>
          <w:rFonts w:hint="eastAsia" w:ascii="宋体" w:hAnsi="宋体" w:cs="宋体"/>
          <w:bCs/>
          <w:color w:val="auto"/>
          <w:spacing w:val="20"/>
          <w:kern w:val="0"/>
          <w:sz w:val="24"/>
          <w:u w:val="single"/>
        </w:rPr>
        <w:t xml:space="preserve">         </w:t>
      </w:r>
      <w:r>
        <w:rPr>
          <w:rFonts w:hint="eastAsia" w:ascii="宋体" w:hAnsi="宋体" w:cs="宋体"/>
          <w:bCs/>
          <w:color w:val="auto"/>
          <w:spacing w:val="20"/>
          <w:kern w:val="0"/>
          <w:sz w:val="24"/>
        </w:rPr>
        <w:t>（采购</w:t>
      </w:r>
      <w:r>
        <w:rPr>
          <w:rFonts w:hint="eastAsia" w:ascii="宋体" w:hAnsi="宋体" w:cs="宋体"/>
          <w:bCs/>
          <w:color w:val="auto"/>
          <w:spacing w:val="20"/>
          <w:kern w:val="0"/>
          <w:sz w:val="24"/>
          <w:lang w:val="en-US" w:eastAsia="zh-CN"/>
        </w:rPr>
        <w:t>人</w:t>
      </w:r>
      <w:r>
        <w:rPr>
          <w:rFonts w:hint="eastAsia" w:ascii="宋体" w:hAnsi="宋体" w:cs="宋体"/>
          <w:bCs/>
          <w:color w:val="auto"/>
          <w:spacing w:val="20"/>
          <w:kern w:val="0"/>
          <w:sz w:val="24"/>
        </w:rPr>
        <w:t>）</w:t>
      </w:r>
      <w:r>
        <w:rPr>
          <w:rFonts w:hint="eastAsia" w:ascii="宋体" w:hAnsi="宋体" w:cs="宋体"/>
          <w:color w:val="auto"/>
          <w:spacing w:val="20"/>
          <w:kern w:val="0"/>
          <w:sz w:val="24"/>
        </w:rPr>
        <w:t>：</w:t>
      </w:r>
    </w:p>
    <w:p w14:paraId="022F743A">
      <w:pPr>
        <w:widowControl/>
        <w:snapToGrid w:val="0"/>
        <w:spacing w:line="400" w:lineRule="exact"/>
        <w:ind w:firstLine="680"/>
        <w:rPr>
          <w:rFonts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 xml:space="preserve">            </w:t>
      </w:r>
      <w:r>
        <w:rPr>
          <w:rFonts w:hint="eastAsia" w:ascii="宋体" w:hAnsi="宋体" w:cs="宋体"/>
          <w:color w:val="auto"/>
          <w:kern w:val="0"/>
          <w:sz w:val="24"/>
        </w:rPr>
        <w:t>（姓名、职务）系</w:t>
      </w:r>
      <w:r>
        <w:rPr>
          <w:rFonts w:hint="eastAsia" w:ascii="宋体" w:hAnsi="宋体" w:cs="宋体"/>
          <w:color w:val="auto"/>
          <w:kern w:val="0"/>
          <w:sz w:val="24"/>
          <w:u w:val="single"/>
        </w:rPr>
        <w:t xml:space="preserve">               </w:t>
      </w:r>
      <w:r>
        <w:rPr>
          <w:rFonts w:hint="eastAsia" w:ascii="宋体" w:hAnsi="宋体" w:cs="宋体"/>
          <w:color w:val="auto"/>
          <w:kern w:val="0"/>
          <w:sz w:val="24"/>
        </w:rPr>
        <w:t>（</w:t>
      </w:r>
      <w:r>
        <w:rPr>
          <w:rFonts w:hint="eastAsia" w:ascii="宋体" w:hAnsi="宋体" w:cs="宋体"/>
          <w:color w:val="auto"/>
          <w:kern w:val="0"/>
          <w:sz w:val="24"/>
          <w:lang w:val="en-US" w:eastAsia="zh-CN"/>
        </w:rPr>
        <w:t>投标人</w:t>
      </w:r>
      <w:r>
        <w:rPr>
          <w:rFonts w:hint="eastAsia" w:ascii="宋体" w:hAnsi="宋体" w:cs="宋体"/>
          <w:color w:val="auto"/>
          <w:kern w:val="0"/>
          <w:sz w:val="24"/>
        </w:rPr>
        <w:t>名称）的法定代表人，现授权</w:t>
      </w:r>
      <w:r>
        <w:rPr>
          <w:rFonts w:hint="eastAsia" w:ascii="宋体" w:hAnsi="宋体" w:cs="宋体"/>
          <w:color w:val="auto"/>
          <w:kern w:val="0"/>
          <w:sz w:val="24"/>
          <w:u w:val="single"/>
        </w:rPr>
        <w:t xml:space="preserve">          </w:t>
      </w:r>
      <w:r>
        <w:rPr>
          <w:rFonts w:hint="eastAsia" w:ascii="宋体" w:hAnsi="宋体" w:cs="宋体"/>
          <w:color w:val="auto"/>
          <w:kern w:val="0"/>
          <w:sz w:val="24"/>
        </w:rPr>
        <w:t>（委托代理人姓名、身份证号）为我方代理人，代理人根据授权，以我方名义签署、澄清、说明、补正、递交、撤回、修改</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（项目名称、项目编号）投标文件、签订合同和处理有关事宜，其法律后果由我方承担。</w:t>
      </w:r>
    </w:p>
    <w:p w14:paraId="239A054F">
      <w:pPr>
        <w:widowControl/>
        <w:snapToGrid w:val="0"/>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自本委托书签署之日起至投标有效期期满</w:t>
      </w:r>
      <w:r>
        <w:rPr>
          <w:rFonts w:hint="eastAsia" w:ascii="宋体" w:hAnsi="宋体" w:cs="宋体"/>
          <w:color w:val="auto"/>
          <w:kern w:val="0"/>
          <w:sz w:val="24"/>
        </w:rPr>
        <w:t>。</w:t>
      </w:r>
    </w:p>
    <w:p w14:paraId="4E1E6D08">
      <w:pPr>
        <w:widowControl/>
        <w:snapToGrid w:val="0"/>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代理人无转委托权。</w:t>
      </w:r>
    </w:p>
    <w:p w14:paraId="68F1FA2B">
      <w:pPr>
        <w:widowControl/>
        <w:snapToGrid w:val="0"/>
        <w:spacing w:line="400" w:lineRule="exact"/>
        <w:rPr>
          <w:rFonts w:ascii="宋体" w:hAnsi="宋体" w:cs="宋体"/>
          <w:color w:val="auto"/>
          <w:kern w:val="0"/>
          <w:sz w:val="24"/>
        </w:rPr>
      </w:pPr>
      <w:r>
        <w:rPr>
          <w:rFonts w:hint="eastAsia" w:ascii="宋体" w:hAnsi="宋体" w:cs="宋体"/>
          <w:color w:val="auto"/>
          <w:kern w:val="0"/>
          <w:sz w:val="24"/>
        </w:rPr>
        <w:t xml:space="preserve">    本授权书于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日签字生效，特此声明。</w:t>
      </w:r>
    </w:p>
    <w:p w14:paraId="0F3F416C">
      <w:pPr>
        <w:widowControl/>
        <w:snapToGrid w:val="0"/>
        <w:spacing w:line="400" w:lineRule="exact"/>
        <w:rPr>
          <w:rFonts w:ascii="宋体" w:hAnsi="宋体" w:cs="宋体"/>
          <w:color w:val="auto"/>
          <w:kern w:val="0"/>
          <w:sz w:val="24"/>
        </w:rPr>
      </w:pPr>
      <w:r>
        <w:rPr>
          <w:rFonts w:hint="eastAsia" w:ascii="宋体" w:hAnsi="宋体" w:cs="宋体"/>
          <w:color w:val="auto"/>
          <w:kern w:val="0"/>
          <w:sz w:val="24"/>
        </w:rPr>
        <w:t xml:space="preserve">    </w:t>
      </w:r>
    </w:p>
    <w:p w14:paraId="491E403B">
      <w:pPr>
        <w:widowControl/>
        <w:snapToGrid w:val="0"/>
        <w:spacing w:line="400" w:lineRule="exact"/>
        <w:ind w:firstLine="480" w:firstLineChars="200"/>
        <w:rPr>
          <w:rFonts w:ascii="宋体" w:hAnsi="宋体" w:cs="宋体"/>
          <w:color w:val="auto"/>
          <w:kern w:val="0"/>
          <w:sz w:val="24"/>
        </w:rPr>
      </w:pPr>
    </w:p>
    <w:p w14:paraId="15F406C1">
      <w:pPr>
        <w:widowControl/>
        <w:snapToGrid w:val="0"/>
        <w:spacing w:line="400" w:lineRule="exact"/>
        <w:ind w:firstLine="480" w:firstLineChars="200"/>
        <w:rPr>
          <w:rFonts w:ascii="宋体" w:hAnsi="宋体" w:cs="宋体"/>
          <w:color w:val="auto"/>
          <w:kern w:val="0"/>
          <w:sz w:val="24"/>
        </w:rPr>
      </w:pPr>
    </w:p>
    <w:p w14:paraId="169C5B0F">
      <w:pPr>
        <w:widowControl/>
        <w:snapToGrid w:val="0"/>
        <w:spacing w:line="400" w:lineRule="exact"/>
        <w:ind w:firstLine="480" w:firstLineChars="200"/>
        <w:rPr>
          <w:rFonts w:ascii="宋体" w:hAnsi="宋体" w:cs="宋体"/>
          <w:color w:val="auto"/>
          <w:kern w:val="0"/>
          <w:sz w:val="24"/>
        </w:rPr>
      </w:pPr>
    </w:p>
    <w:p w14:paraId="40B62055">
      <w:pPr>
        <w:widowControl/>
        <w:snapToGrid w:val="0"/>
        <w:spacing w:line="400" w:lineRule="exact"/>
        <w:ind w:firstLine="480" w:firstLineChars="200"/>
        <w:rPr>
          <w:rFonts w:ascii="宋体" w:hAnsi="宋体" w:cs="宋体"/>
          <w:color w:val="auto"/>
          <w:kern w:val="0"/>
          <w:sz w:val="24"/>
        </w:rPr>
      </w:pPr>
    </w:p>
    <w:p w14:paraId="7E33A22E">
      <w:pPr>
        <w:widowControl/>
        <w:snapToGrid w:val="0"/>
        <w:spacing w:line="400" w:lineRule="exact"/>
        <w:ind w:firstLine="480" w:firstLineChars="200"/>
        <w:rPr>
          <w:rFonts w:ascii="宋体" w:hAnsi="宋体" w:cs="宋体"/>
          <w:color w:val="auto"/>
          <w:kern w:val="0"/>
          <w:sz w:val="24"/>
        </w:rPr>
      </w:pPr>
    </w:p>
    <w:p w14:paraId="012DA38F">
      <w:pPr>
        <w:widowControl/>
        <w:tabs>
          <w:tab w:val="left" w:pos="730"/>
        </w:tabs>
        <w:snapToGrid w:val="0"/>
        <w:spacing w:line="400" w:lineRule="exact"/>
        <w:ind w:firstLine="480" w:firstLineChars="200"/>
        <w:rPr>
          <w:rFonts w:ascii="宋体" w:hAnsi="宋体" w:cs="宋体"/>
          <w:color w:val="auto"/>
          <w:kern w:val="0"/>
          <w:sz w:val="24"/>
        </w:rPr>
      </w:pPr>
      <w:r>
        <w:rPr>
          <w:rFonts w:hint="eastAsia" w:ascii="宋体" w:hAnsi="宋体" w:cs="宋体"/>
          <w:color w:val="auto"/>
          <w:kern w:val="0"/>
          <w:sz w:val="24"/>
          <w:lang w:val="en-US" w:eastAsia="zh-CN"/>
        </w:rPr>
        <w:t>投标人</w:t>
      </w:r>
      <w:r>
        <w:rPr>
          <w:rFonts w:hint="eastAsia" w:ascii="宋体" w:hAnsi="宋体" w:cs="宋体"/>
          <w:color w:val="auto"/>
          <w:kern w:val="0"/>
          <w:sz w:val="24"/>
        </w:rPr>
        <w:t>名称（加盖公章）：</w:t>
      </w:r>
      <w:r>
        <w:rPr>
          <w:rFonts w:hint="eastAsia" w:ascii="宋体" w:hAnsi="宋体" w:cs="宋体"/>
          <w:color w:val="auto"/>
          <w:kern w:val="0"/>
          <w:sz w:val="24"/>
          <w:u w:val="single"/>
        </w:rPr>
        <w:t xml:space="preserve">                     </w:t>
      </w:r>
    </w:p>
    <w:p w14:paraId="3E26A22C">
      <w:pPr>
        <w:widowControl/>
        <w:snapToGrid w:val="0"/>
        <w:spacing w:line="400" w:lineRule="exact"/>
        <w:ind w:firstLine="480" w:firstLineChars="200"/>
        <w:rPr>
          <w:rFonts w:ascii="宋体" w:hAnsi="宋体" w:cs="宋体"/>
          <w:color w:val="auto"/>
          <w:kern w:val="0"/>
          <w:sz w:val="24"/>
        </w:rPr>
      </w:pPr>
    </w:p>
    <w:p w14:paraId="2FA03216">
      <w:pPr>
        <w:widowControl/>
        <w:snapToGrid w:val="0"/>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法定代表人（签字或盖章）：</w:t>
      </w:r>
      <w:r>
        <w:rPr>
          <w:rFonts w:hint="eastAsia" w:ascii="宋体" w:hAnsi="宋体" w:cs="宋体"/>
          <w:color w:val="auto"/>
          <w:kern w:val="0"/>
          <w:sz w:val="24"/>
          <w:u w:val="single"/>
        </w:rPr>
        <w:t xml:space="preserve">                  </w:t>
      </w:r>
    </w:p>
    <w:p w14:paraId="541BF812">
      <w:pPr>
        <w:widowControl/>
        <w:snapToGrid w:val="0"/>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 xml:space="preserve">    </w:t>
      </w:r>
    </w:p>
    <w:p w14:paraId="3B6CCBBF">
      <w:pPr>
        <w:widowControl/>
        <w:snapToGrid w:val="0"/>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日　　期：</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14:paraId="79528043">
      <w:pPr>
        <w:widowControl/>
        <w:snapToGrid w:val="0"/>
        <w:spacing w:line="400" w:lineRule="exact"/>
        <w:ind w:firstLine="480" w:firstLineChars="200"/>
        <w:rPr>
          <w:rFonts w:ascii="宋体" w:hAnsi="宋体" w:cs="宋体"/>
          <w:color w:val="auto"/>
          <w:kern w:val="0"/>
          <w:sz w:val="24"/>
        </w:rPr>
      </w:pPr>
    </w:p>
    <w:p w14:paraId="0756EB69">
      <w:pPr>
        <w:widowControl/>
        <w:snapToGrid w:val="0"/>
        <w:spacing w:line="400" w:lineRule="exact"/>
        <w:ind w:firstLine="480" w:firstLineChars="200"/>
        <w:rPr>
          <w:rFonts w:ascii="宋体" w:hAnsi="宋体" w:cs="宋体"/>
          <w:color w:val="auto"/>
          <w:kern w:val="0"/>
          <w:sz w:val="24"/>
        </w:rPr>
      </w:pPr>
    </w:p>
    <w:p w14:paraId="6CAF1AE6">
      <w:pPr>
        <w:widowControl/>
        <w:snapToGrid w:val="0"/>
        <w:spacing w:line="400" w:lineRule="exact"/>
        <w:ind w:firstLine="480" w:firstLineChars="200"/>
        <w:rPr>
          <w:rFonts w:ascii="宋体" w:hAnsi="宋体" w:cs="宋体"/>
          <w:color w:val="auto"/>
          <w:kern w:val="0"/>
          <w:sz w:val="24"/>
        </w:rPr>
      </w:pPr>
    </w:p>
    <w:p w14:paraId="3779D2FF">
      <w:pPr>
        <w:widowControl/>
        <w:snapToGrid w:val="0"/>
        <w:spacing w:line="400" w:lineRule="exact"/>
        <w:ind w:firstLine="480" w:firstLineChars="200"/>
        <w:rPr>
          <w:rFonts w:ascii="宋体" w:hAnsi="宋体" w:cs="宋体"/>
          <w:color w:val="auto"/>
          <w:kern w:val="0"/>
          <w:sz w:val="24"/>
        </w:rPr>
      </w:pPr>
    </w:p>
    <w:p w14:paraId="4795E6F9">
      <w:pPr>
        <w:widowControl/>
        <w:tabs>
          <w:tab w:val="left" w:pos="4000"/>
        </w:tabs>
        <w:snapToGrid w:val="0"/>
        <w:spacing w:line="400" w:lineRule="exact"/>
        <w:rPr>
          <w:rFonts w:ascii="宋体" w:hAnsi="宋体" w:cs="宋体"/>
          <w:bCs/>
          <w:color w:val="auto"/>
          <w:kern w:val="0"/>
          <w:sz w:val="24"/>
        </w:rPr>
      </w:pPr>
    </w:p>
    <w:p w14:paraId="4D77839F">
      <w:pPr>
        <w:widowControl/>
        <w:tabs>
          <w:tab w:val="left" w:pos="4000"/>
        </w:tabs>
        <w:snapToGrid w:val="0"/>
        <w:spacing w:line="400" w:lineRule="exact"/>
        <w:rPr>
          <w:rFonts w:ascii="宋体" w:hAnsi="宋体" w:cs="宋体"/>
          <w:bCs/>
          <w:color w:val="auto"/>
          <w:kern w:val="0"/>
          <w:sz w:val="24"/>
        </w:rPr>
      </w:pPr>
      <w:r>
        <w:rPr>
          <w:rFonts w:hint="eastAsia" w:ascii="宋体" w:hAnsi="宋体" w:cs="宋体"/>
          <w:bCs/>
          <w:color w:val="auto"/>
          <w:kern w:val="0"/>
          <w:sz w:val="24"/>
        </w:rPr>
        <w:t>附：法定代表人、委托代理人的身份证复印件</w:t>
      </w:r>
      <w:r>
        <w:rPr>
          <w:rFonts w:hint="eastAsia" w:ascii="宋体" w:hAnsi="宋体" w:cs="宋体"/>
          <w:color w:val="auto"/>
          <w:sz w:val="24"/>
        </w:rPr>
        <w:t>。</w:t>
      </w:r>
    </w:p>
    <w:p w14:paraId="63B5A9F5">
      <w:pPr>
        <w:snapToGrid w:val="0"/>
        <w:spacing w:line="360" w:lineRule="auto"/>
        <w:jc w:val="center"/>
        <w:rPr>
          <w:rFonts w:ascii="宋体" w:hAnsi="宋体" w:cs="宋体"/>
          <w:b/>
          <w:color w:val="auto"/>
          <w:kern w:val="0"/>
          <w:sz w:val="24"/>
        </w:rPr>
      </w:pPr>
    </w:p>
    <w:p w14:paraId="0700FB36">
      <w:pPr>
        <w:snapToGrid w:val="0"/>
        <w:spacing w:line="360" w:lineRule="auto"/>
        <w:jc w:val="center"/>
        <w:rPr>
          <w:rFonts w:ascii="宋体" w:hAnsi="宋体" w:cs="宋体"/>
          <w:b/>
          <w:color w:val="auto"/>
          <w:kern w:val="0"/>
          <w:sz w:val="24"/>
        </w:rPr>
      </w:pPr>
    </w:p>
    <w:p w14:paraId="44E15553">
      <w:pPr>
        <w:pStyle w:val="32"/>
        <w:rPr>
          <w:rFonts w:hint="default" w:ascii="宋体" w:hAnsi="宋体" w:eastAsia="宋体" w:cs="宋体"/>
          <w:b/>
          <w:color w:val="auto"/>
          <w:szCs w:val="28"/>
        </w:rPr>
      </w:pPr>
    </w:p>
    <w:p w14:paraId="5D862EC7">
      <w:pPr>
        <w:rPr>
          <w:rFonts w:ascii="宋体" w:hAnsi="宋体" w:cs="宋体"/>
          <w:b/>
          <w:color w:val="auto"/>
          <w:kern w:val="0"/>
          <w:szCs w:val="28"/>
        </w:rPr>
      </w:pPr>
      <w:r>
        <w:rPr>
          <w:rFonts w:hint="eastAsia" w:ascii="宋体" w:hAnsi="宋体" w:cs="宋体"/>
          <w:b/>
          <w:color w:val="auto"/>
          <w:kern w:val="0"/>
          <w:szCs w:val="28"/>
        </w:rPr>
        <w:br w:type="page"/>
      </w:r>
    </w:p>
    <w:p w14:paraId="2CA6F61C">
      <w:pPr>
        <w:jc w:val="center"/>
        <w:rPr>
          <w:rFonts w:hint="eastAsia" w:ascii="宋体" w:hAnsi="宋体" w:cs="宋体"/>
          <w:b/>
          <w:color w:val="auto"/>
          <w:kern w:val="0"/>
          <w:sz w:val="24"/>
          <w:szCs w:val="24"/>
          <w:lang w:val="en-US" w:eastAsia="zh-CN"/>
        </w:rPr>
      </w:pPr>
      <w:r>
        <w:rPr>
          <w:rFonts w:hint="eastAsia" w:ascii="宋体" w:hAnsi="宋体" w:cs="宋体"/>
          <w:b/>
          <w:color w:val="auto"/>
          <w:kern w:val="0"/>
          <w:sz w:val="24"/>
          <w:szCs w:val="24"/>
          <w:lang w:val="en-US" w:eastAsia="zh-CN"/>
        </w:rPr>
        <w:t>三、营业执照副本</w:t>
      </w:r>
      <w:r>
        <w:rPr>
          <w:rFonts w:hint="eastAsia" w:ascii="宋体" w:hAnsi="宋体" w:cs="宋体"/>
          <w:b/>
          <w:color w:val="auto"/>
          <w:kern w:val="0"/>
          <w:sz w:val="24"/>
          <w:szCs w:val="24"/>
          <w:lang w:val="en-US" w:eastAsia="zh-CN"/>
        </w:rPr>
        <w:br w:type="page"/>
      </w:r>
    </w:p>
    <w:p w14:paraId="1C667539">
      <w:pPr>
        <w:snapToGrid w:val="0"/>
        <w:spacing w:line="360" w:lineRule="auto"/>
        <w:ind w:firstLine="482" w:firstLineChars="200"/>
        <w:jc w:val="center"/>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银行基本账户开户许可证或基本存款账户信息</w:t>
      </w:r>
    </w:p>
    <w:p w14:paraId="10E303D4">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br w:type="page"/>
      </w:r>
    </w:p>
    <w:p w14:paraId="02980B8A">
      <w:pPr>
        <w:snapToGrid w:val="0"/>
        <w:spacing w:line="360" w:lineRule="auto"/>
        <w:jc w:val="center"/>
        <w:rPr>
          <w:rFonts w:ascii="宋体" w:hAnsi="宋体" w:cs="宋体"/>
          <w:b/>
          <w:color w:val="auto"/>
          <w:kern w:val="0"/>
          <w:szCs w:val="28"/>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具有独立承担民事责任的能力</w:t>
      </w:r>
    </w:p>
    <w:p w14:paraId="200D27F0">
      <w:pPr>
        <w:spacing w:line="360" w:lineRule="auto"/>
        <w:ind w:left="280" w:leftChars="100"/>
        <w:jc w:val="center"/>
        <w:rPr>
          <w:rFonts w:hint="eastAsia" w:ascii="宋体" w:hAnsi="宋体" w:eastAsia="宋体" w:cs="宋体"/>
          <w:b/>
          <w:bCs/>
          <w:color w:val="auto"/>
          <w:sz w:val="24"/>
          <w:szCs w:val="24"/>
        </w:rPr>
      </w:pPr>
    </w:p>
    <w:p w14:paraId="750F77ED">
      <w:pPr>
        <w:spacing w:line="360" w:lineRule="auto"/>
        <w:ind w:left="280" w:leftChars="100"/>
        <w:jc w:val="center"/>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供应商</w:t>
      </w:r>
      <w:r>
        <w:rPr>
          <w:rFonts w:hint="eastAsia" w:ascii="宋体" w:hAnsi="宋体" w:eastAsia="宋体" w:cs="宋体"/>
          <w:b/>
          <w:bCs/>
          <w:color w:val="auto"/>
          <w:sz w:val="24"/>
          <w:szCs w:val="24"/>
        </w:rPr>
        <w:t>信用承诺书</w:t>
      </w:r>
    </w:p>
    <w:p w14:paraId="6C119216">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运城市公安局运城经济技术开发区分局</w:t>
      </w:r>
      <w:r>
        <w:rPr>
          <w:rFonts w:hint="eastAsia" w:ascii="宋体" w:hAnsi="宋体" w:eastAsia="宋体" w:cs="宋体"/>
          <w:color w:val="auto"/>
          <w:kern w:val="0"/>
          <w:sz w:val="24"/>
          <w:szCs w:val="24"/>
          <w:lang w:val="en-US" w:eastAsia="zh-CN" w:bidi="ar-SA"/>
        </w:rPr>
        <w:t>：</w:t>
      </w:r>
    </w:p>
    <w:p w14:paraId="28963718">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为维护公平竞争、规范有序的市场秩序，营造诚实守信的信用环境，共同推进社会信用体系建设完善，树立企业诚信守法形象，本企业对</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（项目</w:t>
      </w:r>
      <w:r>
        <w:rPr>
          <w:rFonts w:hint="eastAsia" w:ascii="宋体" w:hAnsi="宋体" w:cs="宋体"/>
          <w:color w:val="auto"/>
          <w:kern w:val="0"/>
          <w:sz w:val="24"/>
          <w:szCs w:val="24"/>
          <w:lang w:val="en-US" w:eastAsia="zh-CN" w:bidi="ar-SA"/>
        </w:rPr>
        <w:t>名称、</w:t>
      </w:r>
      <w:r>
        <w:rPr>
          <w:rFonts w:hint="eastAsia" w:ascii="宋体" w:hAnsi="宋体" w:eastAsia="宋体" w:cs="宋体"/>
          <w:color w:val="auto"/>
          <w:kern w:val="0"/>
          <w:sz w:val="24"/>
          <w:szCs w:val="24"/>
          <w:lang w:val="en-US" w:eastAsia="zh-CN" w:bidi="ar-SA"/>
        </w:rPr>
        <w:t>项目编号</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的政府采购活动，现郑重承诺本企业</w:t>
      </w:r>
      <w:r>
        <w:rPr>
          <w:rFonts w:hint="eastAsia" w:ascii="宋体" w:hAnsi="宋体" w:eastAsia="宋体" w:cs="宋体"/>
          <w:b/>
          <w:bCs/>
          <w:color w:val="auto"/>
          <w:kern w:val="0"/>
          <w:sz w:val="24"/>
          <w:szCs w:val="24"/>
          <w:lang w:val="en-US" w:eastAsia="zh-CN" w:bidi="ar-SA"/>
        </w:rPr>
        <w:t>具有独立承担民事责任的能力</w:t>
      </w:r>
      <w:r>
        <w:rPr>
          <w:rFonts w:hint="eastAsia" w:ascii="宋体" w:hAnsi="宋体" w:eastAsia="宋体" w:cs="宋体"/>
          <w:color w:val="auto"/>
          <w:kern w:val="0"/>
          <w:sz w:val="24"/>
          <w:szCs w:val="24"/>
          <w:lang w:val="en-US" w:eastAsia="zh-CN" w:bidi="ar-SA"/>
        </w:rPr>
        <w:t>。</w:t>
      </w:r>
    </w:p>
    <w:p w14:paraId="04659444">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如违反承诺，自愿接受管理部门依法给予的行政处罚，同意将违反承诺的行为作为不良记录记入信用档案，依法依规进行信息公示，并承担所产生的一切法律责任和经济损失。</w:t>
      </w:r>
    </w:p>
    <w:p w14:paraId="1E055D70">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p>
    <w:p w14:paraId="4B80FD13">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p>
    <w:p w14:paraId="10B05E3E">
      <w:pPr>
        <w:widowControl w:val="0"/>
        <w:adjustRightInd w:val="0"/>
        <w:snapToGrid w:val="0"/>
        <w:spacing w:line="360" w:lineRule="auto"/>
        <w:ind w:firstLine="6000" w:firstLineChars="25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承诺单位(</w:t>
      </w:r>
      <w:r>
        <w:rPr>
          <w:rFonts w:hint="eastAsia" w:ascii="宋体" w:hAnsi="宋体" w:cs="宋体"/>
          <w:color w:val="auto"/>
          <w:kern w:val="0"/>
          <w:sz w:val="24"/>
          <w:szCs w:val="24"/>
          <w:lang w:val="en-US" w:eastAsia="zh-CN" w:bidi="ar-SA"/>
        </w:rPr>
        <w:t>公</w:t>
      </w:r>
      <w:r>
        <w:rPr>
          <w:rFonts w:hint="eastAsia" w:ascii="宋体" w:hAnsi="宋体" w:eastAsia="宋体" w:cs="宋体"/>
          <w:color w:val="auto"/>
          <w:kern w:val="0"/>
          <w:sz w:val="24"/>
          <w:szCs w:val="24"/>
          <w:lang w:val="en-US" w:eastAsia="zh-CN" w:bidi="ar-SA"/>
        </w:rPr>
        <w:t>章)：</w:t>
      </w:r>
    </w:p>
    <w:p w14:paraId="40AD53C7">
      <w:pPr>
        <w:widowControl w:val="0"/>
        <w:adjustRightInd w:val="0"/>
        <w:snapToGrid w:val="0"/>
        <w:spacing w:line="360" w:lineRule="auto"/>
        <w:ind w:firstLine="6000" w:firstLineChars="25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法定代表人(签</w:t>
      </w:r>
      <w:r>
        <w:rPr>
          <w:rFonts w:hint="eastAsia" w:ascii="宋体" w:hAnsi="宋体" w:cs="宋体"/>
          <w:color w:val="auto"/>
          <w:kern w:val="0"/>
          <w:sz w:val="24"/>
          <w:szCs w:val="24"/>
          <w:lang w:val="en-US" w:eastAsia="zh-CN" w:bidi="ar-SA"/>
        </w:rPr>
        <w:t>字或盖章</w:t>
      </w:r>
      <w:r>
        <w:rPr>
          <w:rFonts w:hint="eastAsia" w:ascii="宋体" w:hAnsi="宋体" w:eastAsia="宋体" w:cs="宋体"/>
          <w:color w:val="auto"/>
          <w:kern w:val="0"/>
          <w:sz w:val="24"/>
          <w:szCs w:val="24"/>
          <w:lang w:val="en-US" w:eastAsia="zh-CN" w:bidi="ar-SA"/>
        </w:rPr>
        <w:t>)：</w:t>
      </w:r>
    </w:p>
    <w:p w14:paraId="0FE59AF2">
      <w:pPr>
        <w:widowControl w:val="0"/>
        <w:adjustRightInd w:val="0"/>
        <w:snapToGrid w:val="0"/>
        <w:spacing w:line="360" w:lineRule="auto"/>
        <w:ind w:firstLine="6000" w:firstLineChars="25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年  月  日</w:t>
      </w:r>
    </w:p>
    <w:p w14:paraId="7DC35A32">
      <w:pPr>
        <w:tabs>
          <w:tab w:val="left" w:pos="5242"/>
        </w:tabs>
        <w:jc w:val="left"/>
        <w:rPr>
          <w:rFonts w:ascii="Times New Roman" w:hAnsi="Times New Roman" w:eastAsia="宋体" w:cs="Times New Roman"/>
          <w:color w:val="auto"/>
          <w:sz w:val="21"/>
        </w:rPr>
      </w:pPr>
    </w:p>
    <w:p w14:paraId="1433EB01">
      <w:pPr>
        <w:widowControl w:val="0"/>
        <w:spacing w:after="120"/>
        <w:jc w:val="both"/>
        <w:rPr>
          <w:rFonts w:ascii="Times New Roman" w:hAnsi="Times New Roman" w:eastAsia="宋体" w:cs="Times New Roman"/>
          <w:color w:val="auto"/>
          <w:kern w:val="2"/>
          <w:sz w:val="21"/>
          <w:szCs w:val="24"/>
          <w:lang w:val="en-US" w:eastAsia="zh-CN" w:bidi="ar-SA"/>
        </w:rPr>
      </w:pPr>
    </w:p>
    <w:p w14:paraId="4D14F7AB">
      <w:pPr>
        <w:snapToGrid w:val="0"/>
        <w:spacing w:line="360" w:lineRule="auto"/>
        <w:ind w:firstLine="562" w:firstLineChars="200"/>
        <w:jc w:val="both"/>
        <w:rPr>
          <w:rFonts w:ascii="宋体" w:hAnsi="宋体" w:cs="宋体"/>
          <w:b/>
          <w:color w:val="auto"/>
          <w:kern w:val="0"/>
          <w:szCs w:val="28"/>
        </w:rPr>
      </w:pPr>
    </w:p>
    <w:p w14:paraId="3B364A0D">
      <w:pPr>
        <w:rPr>
          <w:rFonts w:hint="eastAsia" w:ascii="宋体" w:hAnsi="宋体" w:cs="宋体"/>
          <w:b/>
          <w:color w:val="auto"/>
          <w:kern w:val="0"/>
          <w:szCs w:val="28"/>
        </w:rPr>
      </w:pPr>
      <w:r>
        <w:rPr>
          <w:rFonts w:hint="eastAsia" w:ascii="宋体" w:hAnsi="宋体" w:cs="宋体"/>
          <w:b/>
          <w:color w:val="auto"/>
          <w:kern w:val="0"/>
          <w:szCs w:val="28"/>
        </w:rPr>
        <w:br w:type="page"/>
      </w:r>
    </w:p>
    <w:p w14:paraId="52C83E2E">
      <w:pPr>
        <w:snapToGrid w:val="0"/>
        <w:spacing w:line="360" w:lineRule="auto"/>
        <w:ind w:firstLine="482" w:firstLineChars="200"/>
        <w:jc w:val="center"/>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lang w:eastAsia="zh-CN"/>
        </w:rPr>
        <w:t>有依法缴纳税收和社会保障资金的良好记录</w:t>
      </w:r>
    </w:p>
    <w:p w14:paraId="5BBE8639">
      <w:pPr>
        <w:spacing w:line="360" w:lineRule="auto"/>
        <w:ind w:left="280" w:leftChars="100"/>
        <w:jc w:val="center"/>
        <w:rPr>
          <w:rFonts w:hint="eastAsia" w:ascii="宋体" w:hAnsi="宋体" w:eastAsia="宋体" w:cs="宋体"/>
          <w:b/>
          <w:bCs/>
          <w:color w:val="auto"/>
          <w:sz w:val="24"/>
          <w:szCs w:val="24"/>
        </w:rPr>
      </w:pPr>
    </w:p>
    <w:p w14:paraId="135E48CD">
      <w:pPr>
        <w:spacing w:line="360" w:lineRule="auto"/>
        <w:ind w:left="280" w:leftChars="100"/>
        <w:jc w:val="center"/>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供应商</w:t>
      </w:r>
      <w:r>
        <w:rPr>
          <w:rFonts w:hint="eastAsia" w:ascii="宋体" w:hAnsi="宋体" w:eastAsia="宋体" w:cs="宋体"/>
          <w:b/>
          <w:bCs/>
          <w:color w:val="auto"/>
          <w:sz w:val="24"/>
          <w:szCs w:val="24"/>
        </w:rPr>
        <w:t>信用承诺书</w:t>
      </w:r>
    </w:p>
    <w:p w14:paraId="422AA613">
      <w:pPr>
        <w:widowControl w:val="0"/>
        <w:adjustRightInd w:val="0"/>
        <w:snapToGrid w:val="0"/>
        <w:spacing w:line="360" w:lineRule="auto"/>
        <w:jc w:val="both"/>
        <w:textAlignment w:val="baseline"/>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运城市公安局运城经济技术开发区分局</w:t>
      </w:r>
      <w:r>
        <w:rPr>
          <w:rFonts w:hint="eastAsia" w:ascii="宋体" w:hAnsi="宋体" w:eastAsia="宋体" w:cs="宋体"/>
          <w:color w:val="auto"/>
          <w:kern w:val="0"/>
          <w:sz w:val="24"/>
          <w:szCs w:val="24"/>
          <w:lang w:val="en-US" w:eastAsia="zh-CN" w:bidi="ar-SA"/>
        </w:rPr>
        <w:t>：</w:t>
      </w:r>
    </w:p>
    <w:p w14:paraId="113AA70B">
      <w:pPr>
        <w:widowControl w:val="0"/>
        <w:adjustRightInd w:val="0"/>
        <w:snapToGrid w:val="0"/>
        <w:spacing w:line="360" w:lineRule="auto"/>
        <w:ind w:firstLine="480" w:firstLineChars="200"/>
        <w:jc w:val="both"/>
        <w:textAlignment w:val="baseline"/>
        <w:rPr>
          <w:rFonts w:hint="eastAsia" w:ascii="宋体" w:hAnsi="宋体" w:eastAsia="宋体" w:cs="宋体"/>
          <w:b/>
          <w:bCs/>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为维护公平竞争、规范有序的市场秩序，营造诚实守信的信用环境，共同推进社会信用体系建设完善，树立企业诚信守法形象，本企业对</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（项目</w:t>
      </w:r>
      <w:r>
        <w:rPr>
          <w:rFonts w:hint="eastAsia" w:ascii="宋体" w:hAnsi="宋体" w:cs="宋体"/>
          <w:color w:val="auto"/>
          <w:kern w:val="0"/>
          <w:sz w:val="24"/>
          <w:szCs w:val="24"/>
          <w:lang w:val="en-US" w:eastAsia="zh-CN" w:bidi="ar-SA"/>
        </w:rPr>
        <w:t>名称、</w:t>
      </w:r>
      <w:r>
        <w:rPr>
          <w:rFonts w:hint="eastAsia" w:ascii="宋体" w:hAnsi="宋体" w:eastAsia="宋体" w:cs="宋体"/>
          <w:color w:val="auto"/>
          <w:kern w:val="0"/>
          <w:sz w:val="24"/>
          <w:szCs w:val="24"/>
          <w:lang w:val="en-US" w:eastAsia="zh-CN" w:bidi="ar-SA"/>
        </w:rPr>
        <w:t>项目编号</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的政府采购活动，现郑重承诺本企业</w:t>
      </w:r>
      <w:r>
        <w:rPr>
          <w:rFonts w:hint="eastAsia" w:ascii="宋体" w:hAnsi="宋体" w:eastAsia="宋体" w:cs="宋体"/>
          <w:b/>
          <w:bCs/>
          <w:color w:val="auto"/>
          <w:kern w:val="0"/>
          <w:sz w:val="24"/>
          <w:szCs w:val="24"/>
          <w:lang w:val="en-US" w:eastAsia="zh-CN" w:bidi="ar-SA"/>
        </w:rPr>
        <w:t>具有依法缴纳税收和社会保障资金的良好记录。</w:t>
      </w:r>
    </w:p>
    <w:p w14:paraId="14DA399D">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如违反承诺，自愿接受管理部门依法给予的行政处罚，同意将违反承诺的行为作为不良记录记入信用档案，依法依规进行信息公示，并承担所产生的一切法律责任和经济损失。</w:t>
      </w:r>
    </w:p>
    <w:p w14:paraId="1208EFC5">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ab/>
      </w:r>
      <w:r>
        <w:rPr>
          <w:rFonts w:hint="eastAsia" w:ascii="宋体" w:hAnsi="宋体" w:eastAsia="宋体" w:cs="宋体"/>
          <w:color w:val="auto"/>
          <w:kern w:val="0"/>
          <w:sz w:val="24"/>
          <w:szCs w:val="24"/>
          <w:lang w:val="en-US" w:eastAsia="zh-CN" w:bidi="ar-SA"/>
        </w:rPr>
        <w:t xml:space="preserve">                                          </w:t>
      </w:r>
    </w:p>
    <w:p w14:paraId="543644B1">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p>
    <w:p w14:paraId="6A879909">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p>
    <w:p w14:paraId="37FE2481">
      <w:pPr>
        <w:widowControl w:val="0"/>
        <w:adjustRightInd w:val="0"/>
        <w:snapToGrid w:val="0"/>
        <w:spacing w:line="360" w:lineRule="auto"/>
        <w:ind w:firstLine="6000" w:firstLineChars="25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承诺单位(</w:t>
      </w:r>
      <w:r>
        <w:rPr>
          <w:rFonts w:hint="eastAsia" w:ascii="宋体" w:hAnsi="宋体" w:cs="宋体"/>
          <w:color w:val="auto"/>
          <w:kern w:val="0"/>
          <w:sz w:val="24"/>
          <w:szCs w:val="24"/>
          <w:lang w:val="en-US" w:eastAsia="zh-CN" w:bidi="ar-SA"/>
        </w:rPr>
        <w:t>公</w:t>
      </w:r>
      <w:r>
        <w:rPr>
          <w:rFonts w:hint="eastAsia" w:ascii="宋体" w:hAnsi="宋体" w:eastAsia="宋体" w:cs="宋体"/>
          <w:color w:val="auto"/>
          <w:kern w:val="0"/>
          <w:sz w:val="24"/>
          <w:szCs w:val="24"/>
          <w:lang w:val="en-US" w:eastAsia="zh-CN" w:bidi="ar-SA"/>
        </w:rPr>
        <w:t>章)：</w:t>
      </w:r>
    </w:p>
    <w:p w14:paraId="2C5BCC66">
      <w:pPr>
        <w:widowControl w:val="0"/>
        <w:adjustRightInd w:val="0"/>
        <w:snapToGrid w:val="0"/>
        <w:spacing w:line="360" w:lineRule="auto"/>
        <w:ind w:firstLine="6000" w:firstLineChars="25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法定代表人(</w:t>
      </w:r>
      <w:r>
        <w:rPr>
          <w:rFonts w:hint="eastAsia" w:ascii="宋体" w:hAnsi="宋体" w:cs="宋体"/>
          <w:color w:val="auto"/>
          <w:kern w:val="0"/>
          <w:sz w:val="24"/>
          <w:szCs w:val="24"/>
          <w:lang w:val="en-US" w:eastAsia="zh-CN" w:bidi="ar-SA"/>
        </w:rPr>
        <w:t>签字或盖章</w:t>
      </w:r>
      <w:r>
        <w:rPr>
          <w:rFonts w:hint="eastAsia" w:ascii="宋体" w:hAnsi="宋体" w:eastAsia="宋体" w:cs="宋体"/>
          <w:color w:val="auto"/>
          <w:kern w:val="0"/>
          <w:sz w:val="24"/>
          <w:szCs w:val="24"/>
          <w:lang w:val="en-US" w:eastAsia="zh-CN" w:bidi="ar-SA"/>
        </w:rPr>
        <w:t>)：</w:t>
      </w:r>
    </w:p>
    <w:p w14:paraId="0DA1BE76">
      <w:pPr>
        <w:widowControl w:val="0"/>
        <w:adjustRightInd w:val="0"/>
        <w:snapToGrid w:val="0"/>
        <w:spacing w:line="360" w:lineRule="auto"/>
        <w:ind w:firstLine="6000" w:firstLineChars="25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年  月  日</w:t>
      </w:r>
    </w:p>
    <w:p w14:paraId="67856744">
      <w:pPr>
        <w:rPr>
          <w:rFonts w:ascii="宋体" w:hAnsi="宋体" w:cs="宋体"/>
          <w:b/>
          <w:color w:val="auto"/>
          <w:kern w:val="0"/>
          <w:sz w:val="24"/>
          <w:szCs w:val="24"/>
        </w:rPr>
      </w:pPr>
    </w:p>
    <w:p w14:paraId="22B549C8">
      <w:pPr>
        <w:rPr>
          <w:rFonts w:ascii="宋体" w:hAnsi="宋体" w:cs="宋体"/>
          <w:b/>
          <w:color w:val="auto"/>
          <w:kern w:val="0"/>
          <w:sz w:val="24"/>
          <w:szCs w:val="24"/>
        </w:rPr>
      </w:pPr>
      <w:r>
        <w:rPr>
          <w:rFonts w:ascii="宋体" w:hAnsi="宋体" w:cs="宋体"/>
          <w:b/>
          <w:color w:val="auto"/>
          <w:kern w:val="0"/>
          <w:sz w:val="24"/>
          <w:szCs w:val="24"/>
        </w:rPr>
        <w:br w:type="page"/>
      </w:r>
    </w:p>
    <w:p w14:paraId="102E8FF9">
      <w:pPr>
        <w:snapToGrid w:val="0"/>
        <w:spacing w:line="360" w:lineRule="auto"/>
        <w:ind w:firstLine="482" w:firstLineChars="200"/>
        <w:jc w:val="center"/>
        <w:rPr>
          <w:rFonts w:hint="eastAsia" w:ascii="宋体" w:hAnsi="宋体" w:eastAsia="宋体" w:cs="宋体"/>
          <w:b/>
          <w:color w:val="auto"/>
          <w:kern w:val="0"/>
          <w:sz w:val="24"/>
          <w:szCs w:val="24"/>
          <w:lang w:eastAsia="zh-CN"/>
        </w:rPr>
      </w:pPr>
      <w:r>
        <w:rPr>
          <w:rFonts w:hint="eastAsia" w:ascii="宋体" w:hAnsi="宋体" w:cs="宋体"/>
          <w:b/>
          <w:color w:val="auto"/>
          <w:kern w:val="0"/>
          <w:sz w:val="24"/>
          <w:szCs w:val="24"/>
          <w:lang w:val="en-US" w:eastAsia="zh-CN"/>
        </w:rPr>
        <w:t>七、</w:t>
      </w:r>
      <w:r>
        <w:rPr>
          <w:rFonts w:hint="eastAsia" w:ascii="宋体" w:hAnsi="宋体" w:cs="宋体"/>
          <w:b/>
          <w:color w:val="auto"/>
          <w:kern w:val="0"/>
          <w:sz w:val="24"/>
          <w:szCs w:val="24"/>
          <w:lang w:eastAsia="zh-CN"/>
        </w:rPr>
        <w:t>具有履行合同所必需的设备和专业技术能力</w:t>
      </w:r>
    </w:p>
    <w:p w14:paraId="0C5B0F41">
      <w:pPr>
        <w:spacing w:line="360" w:lineRule="auto"/>
        <w:ind w:left="280" w:leftChars="100"/>
        <w:jc w:val="center"/>
        <w:rPr>
          <w:rFonts w:hint="eastAsia" w:ascii="宋体" w:hAnsi="宋体" w:eastAsia="宋体" w:cs="宋体"/>
          <w:b/>
          <w:bCs/>
          <w:color w:val="auto"/>
          <w:sz w:val="24"/>
          <w:szCs w:val="24"/>
        </w:rPr>
      </w:pPr>
    </w:p>
    <w:p w14:paraId="4AABF3C4">
      <w:pPr>
        <w:spacing w:line="360" w:lineRule="auto"/>
        <w:ind w:left="280" w:leftChars="100"/>
        <w:jc w:val="center"/>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供应商</w:t>
      </w:r>
      <w:r>
        <w:rPr>
          <w:rFonts w:hint="eastAsia" w:ascii="宋体" w:hAnsi="宋体" w:eastAsia="宋体" w:cs="宋体"/>
          <w:b/>
          <w:bCs/>
          <w:color w:val="auto"/>
          <w:sz w:val="24"/>
          <w:szCs w:val="24"/>
        </w:rPr>
        <w:t>信用承诺书</w:t>
      </w:r>
    </w:p>
    <w:p w14:paraId="55AB50FD">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运城市公安局运城经济技术开发区分局</w:t>
      </w:r>
      <w:r>
        <w:rPr>
          <w:rFonts w:hint="eastAsia" w:ascii="宋体" w:hAnsi="宋体" w:eastAsia="宋体" w:cs="宋体"/>
          <w:color w:val="auto"/>
          <w:kern w:val="0"/>
          <w:sz w:val="24"/>
          <w:szCs w:val="24"/>
          <w:lang w:val="en-US" w:eastAsia="zh-CN" w:bidi="ar-SA"/>
        </w:rPr>
        <w:t>：</w:t>
      </w:r>
    </w:p>
    <w:p w14:paraId="6257487E">
      <w:pPr>
        <w:widowControl w:val="0"/>
        <w:adjustRightInd w:val="0"/>
        <w:snapToGrid w:val="0"/>
        <w:spacing w:line="360" w:lineRule="auto"/>
        <w:ind w:firstLine="480" w:firstLineChars="200"/>
        <w:jc w:val="both"/>
        <w:textAlignment w:val="baseline"/>
        <w:rPr>
          <w:rFonts w:hint="eastAsia" w:ascii="宋体" w:hAnsi="宋体" w:eastAsia="宋体" w:cs="宋体"/>
          <w:b/>
          <w:bCs/>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为维护公平竞争、规范有序的市场秩序，营造诚实守信的信用环境，共同推进社会信用体系建设完善，树立企业诚信守法形象，本企业对</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（项目</w:t>
      </w:r>
      <w:r>
        <w:rPr>
          <w:rFonts w:hint="eastAsia" w:ascii="宋体" w:hAnsi="宋体" w:cs="宋体"/>
          <w:color w:val="auto"/>
          <w:kern w:val="0"/>
          <w:sz w:val="24"/>
          <w:szCs w:val="24"/>
          <w:lang w:val="en-US" w:eastAsia="zh-CN" w:bidi="ar-SA"/>
        </w:rPr>
        <w:t>名称、</w:t>
      </w:r>
      <w:r>
        <w:rPr>
          <w:rFonts w:hint="eastAsia" w:ascii="宋体" w:hAnsi="宋体" w:eastAsia="宋体" w:cs="宋体"/>
          <w:color w:val="auto"/>
          <w:kern w:val="0"/>
          <w:sz w:val="24"/>
          <w:szCs w:val="24"/>
          <w:lang w:val="en-US" w:eastAsia="zh-CN" w:bidi="ar-SA"/>
        </w:rPr>
        <w:t>项目编号</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的政府采购活动，现郑重承诺本企业</w:t>
      </w:r>
      <w:r>
        <w:rPr>
          <w:rFonts w:hint="eastAsia" w:ascii="宋体" w:hAnsi="宋体" w:eastAsia="宋体" w:cs="宋体"/>
          <w:b/>
          <w:bCs/>
          <w:color w:val="auto"/>
          <w:kern w:val="0"/>
          <w:sz w:val="24"/>
          <w:szCs w:val="24"/>
          <w:lang w:val="en-US" w:eastAsia="zh-CN" w:bidi="ar-SA"/>
        </w:rPr>
        <w:t>具有履行合同所必需的设备和专业技术能力。</w:t>
      </w:r>
    </w:p>
    <w:p w14:paraId="7BF8774C">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如违反承诺，自愿接受管理部门依法给予的行政处罚，同意将违反承诺的行为作为不良记录记入信用档案，依法依规进行信息公示，并承担所产生的一切法律责任和经济损失。</w:t>
      </w:r>
    </w:p>
    <w:p w14:paraId="07A32273">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ab/>
      </w:r>
      <w:r>
        <w:rPr>
          <w:rFonts w:hint="eastAsia" w:ascii="宋体" w:hAnsi="宋体" w:eastAsia="宋体" w:cs="宋体"/>
          <w:color w:val="auto"/>
          <w:kern w:val="0"/>
          <w:sz w:val="24"/>
          <w:szCs w:val="24"/>
          <w:lang w:val="en-US" w:eastAsia="zh-CN" w:bidi="ar-SA"/>
        </w:rPr>
        <w:t xml:space="preserve">                                          </w:t>
      </w:r>
    </w:p>
    <w:p w14:paraId="7268912B">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p>
    <w:p w14:paraId="22D2B6DC">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p>
    <w:p w14:paraId="419C8E44">
      <w:pPr>
        <w:widowControl w:val="0"/>
        <w:adjustRightInd w:val="0"/>
        <w:snapToGrid w:val="0"/>
        <w:spacing w:line="360" w:lineRule="auto"/>
        <w:ind w:firstLine="6000" w:firstLineChars="25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承诺单位(</w:t>
      </w:r>
      <w:r>
        <w:rPr>
          <w:rFonts w:hint="eastAsia" w:ascii="宋体" w:hAnsi="宋体" w:cs="宋体"/>
          <w:color w:val="auto"/>
          <w:kern w:val="0"/>
          <w:sz w:val="24"/>
          <w:szCs w:val="24"/>
          <w:lang w:val="en-US" w:eastAsia="zh-CN" w:bidi="ar-SA"/>
        </w:rPr>
        <w:t>公</w:t>
      </w:r>
      <w:r>
        <w:rPr>
          <w:rFonts w:hint="eastAsia" w:ascii="宋体" w:hAnsi="宋体" w:eastAsia="宋体" w:cs="宋体"/>
          <w:color w:val="auto"/>
          <w:kern w:val="0"/>
          <w:sz w:val="24"/>
          <w:szCs w:val="24"/>
          <w:lang w:val="en-US" w:eastAsia="zh-CN" w:bidi="ar-SA"/>
        </w:rPr>
        <w:t>章)：</w:t>
      </w:r>
    </w:p>
    <w:p w14:paraId="0B756902">
      <w:pPr>
        <w:widowControl w:val="0"/>
        <w:adjustRightInd w:val="0"/>
        <w:snapToGrid w:val="0"/>
        <w:spacing w:line="360" w:lineRule="auto"/>
        <w:ind w:firstLine="6000" w:firstLineChars="25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法定代表人(签</w:t>
      </w:r>
      <w:r>
        <w:rPr>
          <w:rFonts w:hint="eastAsia" w:ascii="宋体" w:hAnsi="宋体" w:cs="宋体"/>
          <w:color w:val="auto"/>
          <w:kern w:val="0"/>
          <w:sz w:val="24"/>
          <w:szCs w:val="24"/>
          <w:lang w:val="en-US" w:eastAsia="zh-CN" w:bidi="ar-SA"/>
        </w:rPr>
        <w:t>字或盖</w:t>
      </w:r>
      <w:r>
        <w:rPr>
          <w:rFonts w:hint="eastAsia" w:ascii="宋体" w:hAnsi="宋体" w:eastAsia="宋体" w:cs="宋体"/>
          <w:color w:val="auto"/>
          <w:kern w:val="0"/>
          <w:sz w:val="24"/>
          <w:szCs w:val="24"/>
          <w:lang w:val="en-US" w:eastAsia="zh-CN" w:bidi="ar-SA"/>
        </w:rPr>
        <w:t>章)：</w:t>
      </w:r>
    </w:p>
    <w:p w14:paraId="00E23CEF">
      <w:pPr>
        <w:widowControl w:val="0"/>
        <w:adjustRightInd w:val="0"/>
        <w:snapToGrid w:val="0"/>
        <w:spacing w:line="360" w:lineRule="auto"/>
        <w:ind w:firstLine="6000" w:firstLineChars="25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年  月  日</w:t>
      </w:r>
    </w:p>
    <w:p w14:paraId="05C27CC5">
      <w:pPr>
        <w:rPr>
          <w:rFonts w:ascii="宋体" w:hAnsi="宋体" w:cs="宋体"/>
          <w:color w:val="auto"/>
          <w:kern w:val="0"/>
          <w:sz w:val="24"/>
          <w:szCs w:val="24"/>
        </w:rPr>
      </w:pPr>
    </w:p>
    <w:p w14:paraId="5DC28A81">
      <w:pPr>
        <w:rPr>
          <w:rFonts w:ascii="宋体" w:hAnsi="宋体" w:cs="宋体"/>
          <w:color w:val="auto"/>
          <w:kern w:val="0"/>
          <w:sz w:val="24"/>
          <w:szCs w:val="24"/>
        </w:rPr>
      </w:pPr>
      <w:r>
        <w:rPr>
          <w:rFonts w:ascii="宋体" w:hAnsi="宋体" w:cs="宋体"/>
          <w:color w:val="auto"/>
          <w:kern w:val="0"/>
          <w:sz w:val="24"/>
          <w:szCs w:val="24"/>
        </w:rPr>
        <w:br w:type="page"/>
      </w:r>
    </w:p>
    <w:p w14:paraId="410CC1D2">
      <w:pPr>
        <w:snapToGrid w:val="0"/>
        <w:spacing w:line="360" w:lineRule="auto"/>
        <w:jc w:val="center"/>
        <w:rPr>
          <w:rFonts w:hint="eastAsia" w:ascii="宋体" w:hAnsi="宋体" w:eastAsia="宋体" w:cs="宋体"/>
          <w:b/>
          <w:color w:val="auto"/>
          <w:kern w:val="0"/>
          <w:sz w:val="24"/>
          <w:szCs w:val="24"/>
          <w:lang w:eastAsia="zh-CN"/>
        </w:rPr>
      </w:pPr>
      <w:r>
        <w:rPr>
          <w:rFonts w:hint="eastAsia" w:ascii="宋体" w:hAnsi="宋体" w:cs="宋体"/>
          <w:b/>
          <w:color w:val="auto"/>
          <w:kern w:val="0"/>
          <w:sz w:val="24"/>
          <w:szCs w:val="24"/>
          <w:lang w:val="en-US" w:eastAsia="zh-CN"/>
        </w:rPr>
        <w:t>八、</w:t>
      </w:r>
      <w:r>
        <w:rPr>
          <w:rFonts w:hint="eastAsia" w:ascii="宋体" w:hAnsi="宋体" w:cs="宋体"/>
          <w:b/>
          <w:color w:val="auto"/>
          <w:kern w:val="0"/>
          <w:sz w:val="24"/>
          <w:szCs w:val="24"/>
          <w:lang w:eastAsia="zh-CN"/>
        </w:rPr>
        <w:t>具有良好的商业信誉和健全的财务会计制度</w:t>
      </w:r>
    </w:p>
    <w:p w14:paraId="1B4F495D">
      <w:pPr>
        <w:rPr>
          <w:rFonts w:ascii="宋体" w:hAnsi="宋体" w:cs="宋体"/>
          <w:b/>
          <w:color w:val="auto"/>
          <w:kern w:val="0"/>
          <w:sz w:val="24"/>
          <w:szCs w:val="24"/>
        </w:rPr>
      </w:pPr>
    </w:p>
    <w:p w14:paraId="4B485B9D">
      <w:pPr>
        <w:spacing w:line="360" w:lineRule="auto"/>
        <w:ind w:left="280" w:leftChars="100"/>
        <w:jc w:val="center"/>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供应商</w:t>
      </w:r>
      <w:r>
        <w:rPr>
          <w:rFonts w:hint="eastAsia" w:ascii="宋体" w:hAnsi="宋体" w:eastAsia="宋体" w:cs="宋体"/>
          <w:b/>
          <w:bCs/>
          <w:color w:val="auto"/>
          <w:sz w:val="24"/>
          <w:szCs w:val="24"/>
        </w:rPr>
        <w:t>信用承诺书</w:t>
      </w:r>
    </w:p>
    <w:p w14:paraId="3AA4C7CE">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运城市公安局运城经济技术开发区分局</w:t>
      </w:r>
      <w:r>
        <w:rPr>
          <w:rFonts w:hint="eastAsia" w:ascii="宋体" w:hAnsi="宋体" w:eastAsia="宋体" w:cs="宋体"/>
          <w:color w:val="auto"/>
          <w:kern w:val="0"/>
          <w:sz w:val="24"/>
          <w:szCs w:val="24"/>
          <w:lang w:val="en-US" w:eastAsia="zh-CN" w:bidi="ar-SA"/>
        </w:rPr>
        <w:t>：</w:t>
      </w:r>
    </w:p>
    <w:p w14:paraId="17EDDCAF">
      <w:pPr>
        <w:widowControl w:val="0"/>
        <w:adjustRightInd w:val="0"/>
        <w:snapToGrid w:val="0"/>
        <w:spacing w:line="360" w:lineRule="auto"/>
        <w:ind w:firstLine="480" w:firstLineChars="200"/>
        <w:jc w:val="both"/>
        <w:textAlignment w:val="baseline"/>
        <w:rPr>
          <w:rFonts w:hint="eastAsia" w:ascii="宋体" w:hAnsi="宋体" w:eastAsia="宋体" w:cs="宋体"/>
          <w:b/>
          <w:bCs/>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为维护公平竞争、规范有序的市场秩序，营造诚实守信的信用环境，共同推进社会信用体系建设完善，树立企业诚信守法形象，本企业对</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（项目</w:t>
      </w:r>
      <w:r>
        <w:rPr>
          <w:rFonts w:hint="eastAsia" w:ascii="宋体" w:hAnsi="宋体" w:cs="宋体"/>
          <w:color w:val="auto"/>
          <w:kern w:val="0"/>
          <w:sz w:val="24"/>
          <w:szCs w:val="24"/>
          <w:lang w:val="en-US" w:eastAsia="zh-CN" w:bidi="ar-SA"/>
        </w:rPr>
        <w:t>名称、</w:t>
      </w:r>
      <w:r>
        <w:rPr>
          <w:rFonts w:hint="eastAsia" w:ascii="宋体" w:hAnsi="宋体" w:eastAsia="宋体" w:cs="宋体"/>
          <w:color w:val="auto"/>
          <w:kern w:val="0"/>
          <w:sz w:val="24"/>
          <w:szCs w:val="24"/>
          <w:lang w:val="en-US" w:eastAsia="zh-CN" w:bidi="ar-SA"/>
        </w:rPr>
        <w:t>项目编号</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的政府采购活动，现郑重承诺本企业</w:t>
      </w:r>
      <w:r>
        <w:rPr>
          <w:rFonts w:hint="eastAsia" w:ascii="宋体" w:hAnsi="宋体" w:eastAsia="宋体" w:cs="宋体"/>
          <w:b/>
          <w:bCs/>
          <w:color w:val="auto"/>
          <w:kern w:val="0"/>
          <w:sz w:val="24"/>
          <w:szCs w:val="24"/>
          <w:lang w:val="en-US" w:eastAsia="zh-CN" w:bidi="ar-SA"/>
        </w:rPr>
        <w:t>具有良好的商业信誉和健全的财务会计制度。</w:t>
      </w:r>
    </w:p>
    <w:p w14:paraId="4B2E03B2">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如违反承诺，自愿接受管理部门依法给予的行政处罚，同意将违反承诺的行为作为不良记录记入信用档案，依法依规进行信息公示，并承担所产生的一切法律责任和经济损失。</w:t>
      </w:r>
    </w:p>
    <w:p w14:paraId="50B45D98">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ab/>
      </w:r>
      <w:r>
        <w:rPr>
          <w:rFonts w:hint="eastAsia" w:ascii="宋体" w:hAnsi="宋体" w:eastAsia="宋体" w:cs="宋体"/>
          <w:color w:val="auto"/>
          <w:kern w:val="0"/>
          <w:sz w:val="24"/>
          <w:szCs w:val="24"/>
          <w:lang w:val="en-US" w:eastAsia="zh-CN" w:bidi="ar-SA"/>
        </w:rPr>
        <w:t xml:space="preserve">                                          </w:t>
      </w:r>
    </w:p>
    <w:p w14:paraId="6AE82708">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p>
    <w:p w14:paraId="7BF6EA59">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p>
    <w:p w14:paraId="0AB56F86">
      <w:pPr>
        <w:widowControl w:val="0"/>
        <w:adjustRightInd w:val="0"/>
        <w:snapToGrid w:val="0"/>
        <w:spacing w:line="360" w:lineRule="auto"/>
        <w:ind w:firstLine="6000" w:firstLineChars="25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承诺单位(</w:t>
      </w:r>
      <w:r>
        <w:rPr>
          <w:rFonts w:hint="eastAsia" w:ascii="宋体" w:hAnsi="宋体" w:cs="宋体"/>
          <w:color w:val="auto"/>
          <w:kern w:val="0"/>
          <w:sz w:val="24"/>
          <w:szCs w:val="24"/>
          <w:lang w:val="en-US" w:eastAsia="zh-CN" w:bidi="ar-SA"/>
        </w:rPr>
        <w:t>公</w:t>
      </w:r>
      <w:r>
        <w:rPr>
          <w:rFonts w:hint="eastAsia" w:ascii="宋体" w:hAnsi="宋体" w:eastAsia="宋体" w:cs="宋体"/>
          <w:color w:val="auto"/>
          <w:kern w:val="0"/>
          <w:sz w:val="24"/>
          <w:szCs w:val="24"/>
          <w:lang w:val="en-US" w:eastAsia="zh-CN" w:bidi="ar-SA"/>
        </w:rPr>
        <w:t>章)：</w:t>
      </w:r>
    </w:p>
    <w:p w14:paraId="726F6B4E">
      <w:pPr>
        <w:widowControl w:val="0"/>
        <w:adjustRightInd w:val="0"/>
        <w:snapToGrid w:val="0"/>
        <w:spacing w:line="360" w:lineRule="auto"/>
        <w:ind w:firstLine="6000" w:firstLineChars="25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法定代表人(签</w:t>
      </w:r>
      <w:r>
        <w:rPr>
          <w:rFonts w:hint="eastAsia" w:ascii="宋体" w:hAnsi="宋体" w:cs="宋体"/>
          <w:color w:val="auto"/>
          <w:kern w:val="0"/>
          <w:sz w:val="24"/>
          <w:szCs w:val="24"/>
          <w:lang w:val="en-US" w:eastAsia="zh-CN" w:bidi="ar-SA"/>
        </w:rPr>
        <w:t>字或盖</w:t>
      </w:r>
      <w:r>
        <w:rPr>
          <w:rFonts w:hint="eastAsia" w:ascii="宋体" w:hAnsi="宋体" w:eastAsia="宋体" w:cs="宋体"/>
          <w:color w:val="auto"/>
          <w:kern w:val="0"/>
          <w:sz w:val="24"/>
          <w:szCs w:val="24"/>
          <w:lang w:val="en-US" w:eastAsia="zh-CN" w:bidi="ar-SA"/>
        </w:rPr>
        <w:t>章)：</w:t>
      </w:r>
    </w:p>
    <w:p w14:paraId="4154A3B1">
      <w:pPr>
        <w:widowControl w:val="0"/>
        <w:adjustRightInd w:val="0"/>
        <w:snapToGrid w:val="0"/>
        <w:spacing w:line="360" w:lineRule="auto"/>
        <w:ind w:firstLine="6000" w:firstLineChars="25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年  月  日</w:t>
      </w:r>
    </w:p>
    <w:p w14:paraId="4C49BD73">
      <w:pPr>
        <w:pStyle w:val="13"/>
        <w:rPr>
          <w:color w:val="auto"/>
        </w:rPr>
      </w:pPr>
    </w:p>
    <w:p w14:paraId="1B2250B0">
      <w:pPr>
        <w:rPr>
          <w:rFonts w:ascii="宋体" w:hAnsi="宋体" w:cs="宋体"/>
          <w:b/>
          <w:color w:val="auto"/>
          <w:kern w:val="0"/>
          <w:sz w:val="24"/>
          <w:szCs w:val="24"/>
        </w:rPr>
      </w:pPr>
      <w:r>
        <w:rPr>
          <w:rFonts w:ascii="宋体" w:hAnsi="宋体" w:cs="宋体"/>
          <w:b/>
          <w:color w:val="auto"/>
          <w:kern w:val="0"/>
          <w:sz w:val="24"/>
          <w:szCs w:val="24"/>
        </w:rPr>
        <w:br w:type="page"/>
      </w:r>
    </w:p>
    <w:p w14:paraId="035496E5">
      <w:pPr>
        <w:spacing w:line="300" w:lineRule="exact"/>
        <w:jc w:val="center"/>
        <w:rPr>
          <w:rFonts w:ascii="宋体" w:hAnsi="宋体" w:cs="宋体"/>
          <w:b/>
          <w:color w:val="auto"/>
          <w:sz w:val="24"/>
        </w:rPr>
      </w:pPr>
      <w:r>
        <w:rPr>
          <w:rFonts w:hint="eastAsia" w:ascii="宋体" w:hAnsi="宋体" w:cs="宋体"/>
          <w:b/>
          <w:color w:val="auto"/>
          <w:sz w:val="24"/>
          <w:lang w:val="en-US" w:eastAsia="zh-CN"/>
        </w:rPr>
        <w:t>九、</w:t>
      </w:r>
      <w:r>
        <w:rPr>
          <w:rFonts w:hint="eastAsia" w:ascii="宋体" w:hAnsi="宋体" w:cs="宋体"/>
          <w:b/>
          <w:color w:val="auto"/>
          <w:sz w:val="24"/>
        </w:rPr>
        <w:t>参加政府采购活动前三年内</w:t>
      </w:r>
      <w:r>
        <w:rPr>
          <w:rFonts w:hint="eastAsia" w:ascii="宋体" w:hAnsi="宋体" w:cs="宋体"/>
          <w:b/>
          <w:color w:val="auto"/>
          <w:sz w:val="24"/>
          <w:lang w:eastAsia="zh-CN"/>
        </w:rPr>
        <w:t>，</w:t>
      </w:r>
      <w:r>
        <w:rPr>
          <w:rFonts w:hint="eastAsia" w:ascii="宋体" w:hAnsi="宋体" w:cs="宋体"/>
          <w:b/>
          <w:color w:val="auto"/>
          <w:sz w:val="24"/>
        </w:rPr>
        <w:t>在经营活动中没有重大违法记录的书面声明</w:t>
      </w:r>
    </w:p>
    <w:p w14:paraId="64372C49">
      <w:pPr>
        <w:spacing w:line="400" w:lineRule="exact"/>
        <w:ind w:left="1080" w:hanging="1080" w:hangingChars="450"/>
        <w:rPr>
          <w:rFonts w:hint="eastAsia" w:ascii="宋体" w:hAnsi="宋体" w:cs="宋体"/>
          <w:color w:val="auto"/>
          <w:sz w:val="24"/>
        </w:rPr>
      </w:pPr>
    </w:p>
    <w:p w14:paraId="62027B2B">
      <w:pPr>
        <w:spacing w:line="400" w:lineRule="exact"/>
        <w:ind w:left="1080" w:hanging="1080" w:hangingChars="450"/>
        <w:rPr>
          <w:rFonts w:ascii="宋体" w:hAnsi="宋体" w:cs="宋体"/>
          <w:color w:val="auto"/>
          <w:sz w:val="24"/>
        </w:rPr>
      </w:pPr>
      <w:r>
        <w:rPr>
          <w:rFonts w:hint="eastAsia" w:ascii="宋体" w:hAnsi="宋体" w:cs="宋体"/>
          <w:color w:val="auto"/>
          <w:sz w:val="24"/>
          <w:lang w:eastAsia="zh-CN"/>
        </w:rPr>
        <w:t>运城市公安局运城经济技术开发区分局</w:t>
      </w:r>
      <w:r>
        <w:rPr>
          <w:rFonts w:hint="eastAsia" w:ascii="宋体" w:hAnsi="宋体" w:cs="宋体"/>
          <w:color w:val="auto"/>
          <w:sz w:val="24"/>
        </w:rPr>
        <w:t>：</w:t>
      </w:r>
    </w:p>
    <w:p w14:paraId="6506710C">
      <w:pPr>
        <w:spacing w:line="400" w:lineRule="exact"/>
        <w:ind w:left="1080" w:hanging="1080" w:hangingChars="450"/>
        <w:rPr>
          <w:rFonts w:ascii="宋体" w:hAnsi="宋体" w:cs="宋体"/>
          <w:color w:val="auto"/>
          <w:sz w:val="24"/>
        </w:rPr>
      </w:pPr>
      <w:r>
        <w:rPr>
          <w:rFonts w:hint="eastAsia" w:ascii="宋体" w:hAnsi="宋体" w:cs="宋体"/>
          <w:color w:val="auto"/>
          <w:sz w:val="24"/>
        </w:rPr>
        <w:t xml:space="preserve"> </w:t>
      </w:r>
    </w:p>
    <w:p w14:paraId="1CF9B416">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企业在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65AF59">
      <w:pPr>
        <w:spacing w:line="400" w:lineRule="exact"/>
        <w:ind w:left="420"/>
        <w:rPr>
          <w:rFonts w:ascii="宋体" w:hAnsi="宋体" w:cs="宋体"/>
          <w:color w:val="auto"/>
          <w:sz w:val="24"/>
        </w:rPr>
      </w:pPr>
      <w:r>
        <w:rPr>
          <w:rFonts w:hint="eastAsia" w:ascii="宋体" w:hAnsi="宋体" w:eastAsia="宋体" w:cs="宋体"/>
          <w:color w:val="auto"/>
          <w:kern w:val="0"/>
          <w:sz w:val="24"/>
          <w:szCs w:val="24"/>
          <w:lang w:val="en-US" w:eastAsia="zh-CN" w:bidi="ar-SA"/>
        </w:rPr>
        <w:t xml:space="preserve"> 特此声明！</w:t>
      </w:r>
    </w:p>
    <w:p w14:paraId="208B905D">
      <w:pPr>
        <w:widowControl/>
        <w:snapToGrid w:val="0"/>
        <w:spacing w:line="400" w:lineRule="exact"/>
        <w:ind w:firstLine="482" w:firstLineChars="200"/>
        <w:jc w:val="center"/>
        <w:rPr>
          <w:rFonts w:ascii="宋体" w:hAnsi="宋体" w:cs="宋体"/>
          <w:b/>
          <w:bCs/>
          <w:color w:val="auto"/>
          <w:kern w:val="0"/>
          <w:sz w:val="24"/>
        </w:rPr>
      </w:pPr>
    </w:p>
    <w:p w14:paraId="22F81DCB">
      <w:pPr>
        <w:pStyle w:val="32"/>
        <w:spacing w:line="400" w:lineRule="exact"/>
        <w:rPr>
          <w:rFonts w:hint="default" w:ascii="宋体" w:hAnsi="宋体" w:eastAsia="宋体" w:cs="宋体"/>
          <w:b/>
          <w:bCs/>
          <w:color w:val="auto"/>
          <w:szCs w:val="24"/>
        </w:rPr>
      </w:pPr>
    </w:p>
    <w:p w14:paraId="50097C98">
      <w:pPr>
        <w:pStyle w:val="32"/>
        <w:spacing w:line="400" w:lineRule="exact"/>
        <w:rPr>
          <w:rFonts w:hint="default" w:ascii="宋体" w:hAnsi="宋体" w:eastAsia="宋体" w:cs="宋体"/>
          <w:b/>
          <w:bCs/>
          <w:color w:val="auto"/>
          <w:szCs w:val="24"/>
        </w:rPr>
      </w:pPr>
    </w:p>
    <w:p w14:paraId="434563E6">
      <w:pPr>
        <w:pStyle w:val="32"/>
        <w:spacing w:line="400" w:lineRule="exact"/>
        <w:rPr>
          <w:rFonts w:hint="default" w:ascii="宋体" w:hAnsi="宋体" w:eastAsia="宋体" w:cs="宋体"/>
          <w:b/>
          <w:bCs/>
          <w:color w:val="auto"/>
          <w:szCs w:val="24"/>
        </w:rPr>
      </w:pPr>
    </w:p>
    <w:p w14:paraId="6B74F41E">
      <w:pPr>
        <w:widowControl/>
        <w:snapToGrid w:val="0"/>
        <w:spacing w:line="400" w:lineRule="exact"/>
        <w:ind w:firstLine="482" w:firstLineChars="200"/>
        <w:jc w:val="center"/>
        <w:rPr>
          <w:rFonts w:ascii="宋体" w:hAnsi="宋体" w:cs="宋体"/>
          <w:b/>
          <w:bCs/>
          <w:color w:val="auto"/>
          <w:kern w:val="0"/>
          <w:sz w:val="24"/>
        </w:rPr>
      </w:pPr>
    </w:p>
    <w:p w14:paraId="69984852">
      <w:pPr>
        <w:keepNext w:val="0"/>
        <w:keepLines w:val="0"/>
        <w:pageBreakBefore w:val="0"/>
        <w:widowControl w:val="0"/>
        <w:kinsoku/>
        <w:wordWrap/>
        <w:overflowPunct/>
        <w:topLinePunct w:val="0"/>
        <w:autoSpaceDE/>
        <w:autoSpaceDN/>
        <w:bidi w:val="0"/>
        <w:adjustRightInd/>
        <w:snapToGrid w:val="0"/>
        <w:spacing w:line="360" w:lineRule="auto"/>
        <w:ind w:firstLine="4800" w:firstLineChars="2000"/>
        <w:textAlignment w:val="auto"/>
        <w:rPr>
          <w:rFonts w:hint="eastAsia" w:ascii="宋体" w:hAnsi="宋体" w:cs="宋体"/>
          <w:color w:val="auto"/>
          <w:sz w:val="24"/>
        </w:rPr>
      </w:pPr>
      <w:r>
        <w:rPr>
          <w:rFonts w:hint="eastAsia" w:ascii="宋体" w:hAnsi="宋体" w:cs="宋体"/>
          <w:color w:val="auto"/>
          <w:sz w:val="24"/>
        </w:rPr>
        <w:t>承诺单位(</w:t>
      </w:r>
      <w:r>
        <w:rPr>
          <w:rFonts w:hint="eastAsia" w:ascii="宋体" w:hAnsi="宋体" w:cs="宋体"/>
          <w:color w:val="auto"/>
          <w:sz w:val="24"/>
          <w:lang w:val="en-US" w:eastAsia="zh-CN"/>
        </w:rPr>
        <w:t>公</w:t>
      </w:r>
      <w:r>
        <w:rPr>
          <w:rFonts w:hint="eastAsia" w:ascii="宋体" w:hAnsi="宋体" w:cs="宋体"/>
          <w:color w:val="auto"/>
          <w:sz w:val="24"/>
        </w:rPr>
        <w:t>章)：</w:t>
      </w:r>
    </w:p>
    <w:p w14:paraId="0E2F574A">
      <w:pPr>
        <w:keepNext w:val="0"/>
        <w:keepLines w:val="0"/>
        <w:pageBreakBefore w:val="0"/>
        <w:widowControl w:val="0"/>
        <w:kinsoku/>
        <w:wordWrap/>
        <w:overflowPunct/>
        <w:topLinePunct w:val="0"/>
        <w:autoSpaceDE/>
        <w:autoSpaceDN/>
        <w:bidi w:val="0"/>
        <w:adjustRightInd/>
        <w:snapToGrid w:val="0"/>
        <w:spacing w:line="360" w:lineRule="auto"/>
        <w:ind w:firstLine="4800" w:firstLineChars="2000"/>
        <w:textAlignment w:val="auto"/>
        <w:rPr>
          <w:rFonts w:hint="eastAsia" w:ascii="宋体" w:hAnsi="宋体" w:cs="宋体"/>
          <w:color w:val="auto"/>
          <w:sz w:val="24"/>
        </w:rPr>
      </w:pPr>
      <w:r>
        <w:rPr>
          <w:rFonts w:hint="eastAsia" w:ascii="宋体" w:hAnsi="宋体" w:cs="宋体"/>
          <w:color w:val="auto"/>
          <w:sz w:val="24"/>
        </w:rPr>
        <w:t>法定代表人(签</w:t>
      </w:r>
      <w:r>
        <w:rPr>
          <w:rFonts w:hint="eastAsia" w:ascii="宋体" w:hAnsi="宋体" w:cs="宋体"/>
          <w:color w:val="auto"/>
          <w:sz w:val="24"/>
          <w:lang w:val="en-US" w:eastAsia="zh-CN"/>
        </w:rPr>
        <w:t>字或盖</w:t>
      </w:r>
      <w:r>
        <w:rPr>
          <w:rFonts w:hint="eastAsia" w:ascii="宋体" w:hAnsi="宋体" w:cs="宋体"/>
          <w:color w:val="auto"/>
          <w:sz w:val="24"/>
        </w:rPr>
        <w:t>章)：</w:t>
      </w:r>
    </w:p>
    <w:p w14:paraId="191B5ED0">
      <w:pPr>
        <w:keepNext w:val="0"/>
        <w:keepLines w:val="0"/>
        <w:pageBreakBefore w:val="0"/>
        <w:widowControl w:val="0"/>
        <w:kinsoku/>
        <w:wordWrap/>
        <w:overflowPunct/>
        <w:topLinePunct w:val="0"/>
        <w:autoSpaceDE/>
        <w:autoSpaceDN/>
        <w:bidi w:val="0"/>
        <w:adjustRightInd/>
        <w:snapToGrid w:val="0"/>
        <w:spacing w:line="360" w:lineRule="auto"/>
        <w:ind w:firstLine="4800" w:firstLineChars="2000"/>
        <w:textAlignment w:val="auto"/>
        <w:rPr>
          <w:rFonts w:ascii="宋体" w:hAnsi="宋体" w:cs="宋体"/>
          <w:b/>
          <w:bCs/>
          <w:color w:val="auto"/>
          <w:kern w:val="0"/>
          <w:sz w:val="24"/>
        </w:rPr>
      </w:pPr>
      <w:r>
        <w:rPr>
          <w:rFonts w:hint="eastAsia" w:ascii="宋体" w:hAnsi="宋体" w:cs="宋体"/>
          <w:color w:val="auto"/>
          <w:sz w:val="24"/>
        </w:rPr>
        <w:t>年  月  日</w:t>
      </w:r>
    </w:p>
    <w:p w14:paraId="59AF5639">
      <w:pPr>
        <w:rPr>
          <w:color w:val="auto"/>
        </w:rPr>
      </w:pPr>
      <w:r>
        <w:rPr>
          <w:color w:val="auto"/>
        </w:rPr>
        <w:br w:type="page"/>
      </w:r>
    </w:p>
    <w:p w14:paraId="66710629">
      <w:pPr>
        <w:widowControl/>
        <w:spacing w:before="100" w:beforeAutospacing="1" w:after="100" w:afterAutospacing="1" w:line="300" w:lineRule="exact"/>
        <w:jc w:val="center"/>
        <w:rPr>
          <w:rFonts w:ascii="宋体" w:hAnsi="宋体" w:eastAsia="宋体" w:cs="宋体"/>
          <w:b/>
          <w:color w:val="auto"/>
          <w:kern w:val="0"/>
          <w:sz w:val="24"/>
          <w:szCs w:val="24"/>
          <w:lang w:val="en-US" w:eastAsia="zh-CN" w:bidi="ar-SA"/>
        </w:rPr>
      </w:pPr>
      <w:r>
        <w:rPr>
          <w:rFonts w:hint="eastAsia" w:ascii="宋体" w:hAnsi="宋体" w:cs="宋体"/>
          <w:b/>
          <w:color w:val="auto"/>
          <w:kern w:val="0"/>
          <w:sz w:val="24"/>
          <w:szCs w:val="24"/>
          <w:lang w:val="en-US" w:eastAsia="zh-CN" w:bidi="ar-SA"/>
        </w:rPr>
        <w:t>十</w:t>
      </w:r>
      <w:r>
        <w:rPr>
          <w:rFonts w:hint="eastAsia" w:ascii="宋体" w:hAnsi="宋体" w:eastAsia="宋体" w:cs="宋体"/>
          <w:b/>
          <w:color w:val="auto"/>
          <w:kern w:val="0"/>
          <w:sz w:val="24"/>
          <w:szCs w:val="24"/>
          <w:lang w:val="en-US" w:eastAsia="zh-CN" w:bidi="ar-SA"/>
        </w:rPr>
        <w:t>、诚信投标承诺书</w:t>
      </w:r>
    </w:p>
    <w:p w14:paraId="2497E65D">
      <w:pPr>
        <w:widowControl/>
        <w:spacing w:before="0" w:beforeAutospacing="0" w:after="0" w:afterAutospacing="0" w:line="400" w:lineRule="exac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本人以企业法定代表人的身份郑重承诺：</w:t>
      </w:r>
    </w:p>
    <w:p w14:paraId="661B246F">
      <w:pPr>
        <w:widowControl/>
        <w:spacing w:before="0" w:beforeAutospacing="0" w:after="0" w:afterAutospacing="0" w:line="400" w:lineRule="exact"/>
        <w:ind w:firstLine="360" w:firstLineChars="150"/>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一、将遵循公开、公正和诚实信用的原则自愿参加</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（项目</w:t>
      </w:r>
      <w:r>
        <w:rPr>
          <w:rFonts w:hint="eastAsia" w:ascii="宋体" w:hAnsi="宋体" w:cs="宋体"/>
          <w:color w:val="auto"/>
          <w:kern w:val="0"/>
          <w:sz w:val="24"/>
          <w:szCs w:val="24"/>
          <w:lang w:val="en-US" w:eastAsia="zh-CN" w:bidi="ar-SA"/>
        </w:rPr>
        <w:t>名称、</w:t>
      </w:r>
      <w:r>
        <w:rPr>
          <w:rFonts w:hint="eastAsia" w:ascii="宋体" w:hAnsi="宋体" w:eastAsia="宋体" w:cs="宋体"/>
          <w:color w:val="auto"/>
          <w:kern w:val="0"/>
          <w:sz w:val="24"/>
          <w:szCs w:val="24"/>
          <w:lang w:val="en-US" w:eastAsia="zh-CN" w:bidi="ar-SA"/>
        </w:rPr>
        <w:t>项目编号</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的投标；</w:t>
      </w:r>
    </w:p>
    <w:p w14:paraId="36311D8F">
      <w:pPr>
        <w:widowControl/>
        <w:spacing w:before="0" w:beforeAutospacing="0" w:after="0" w:afterAutospacing="0" w:line="400" w:lineRule="exact"/>
        <w:ind w:firstLine="360" w:firstLineChars="150"/>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二、所提供的一切材料都是真实、有效、合法的；</w:t>
      </w:r>
    </w:p>
    <w:p w14:paraId="54F0701B">
      <w:pPr>
        <w:widowControl/>
        <w:spacing w:before="0" w:beforeAutospacing="0" w:after="0" w:afterAutospacing="0" w:line="400" w:lineRule="exact"/>
        <w:ind w:firstLine="360" w:firstLineChars="150"/>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三、不出借、转让资质证书，不让他人挂靠投标，不以他人名义投标或者以其他方式弄虚作假，骗取</w:t>
      </w:r>
      <w:r>
        <w:rPr>
          <w:rFonts w:hint="eastAsia" w:ascii="宋体" w:hAnsi="宋体" w:cs="宋体"/>
          <w:color w:val="auto"/>
          <w:kern w:val="0"/>
          <w:sz w:val="24"/>
          <w:szCs w:val="24"/>
          <w:lang w:val="en-US" w:eastAsia="zh-CN" w:bidi="ar-SA"/>
        </w:rPr>
        <w:t>成交</w:t>
      </w:r>
      <w:r>
        <w:rPr>
          <w:rFonts w:hint="eastAsia" w:ascii="宋体" w:hAnsi="宋体" w:eastAsia="宋体" w:cs="宋体"/>
          <w:color w:val="auto"/>
          <w:kern w:val="0"/>
          <w:sz w:val="24"/>
          <w:szCs w:val="24"/>
          <w:lang w:val="en-US" w:eastAsia="zh-CN" w:bidi="ar-SA"/>
        </w:rPr>
        <w:t>；</w:t>
      </w:r>
    </w:p>
    <w:p w14:paraId="4AC1275D">
      <w:pPr>
        <w:widowControl/>
        <w:spacing w:before="0" w:beforeAutospacing="0" w:after="0" w:afterAutospacing="0" w:line="400" w:lineRule="exact"/>
        <w:ind w:firstLine="360" w:firstLineChars="150"/>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四、不与其他供应商相互串通投标报价，不排挤其他供应商的公平竞争、损害</w:t>
      </w:r>
      <w:r>
        <w:rPr>
          <w:rFonts w:hint="eastAsia" w:ascii="宋体" w:hAnsi="宋体" w:cs="宋体"/>
          <w:color w:val="auto"/>
          <w:kern w:val="0"/>
          <w:sz w:val="24"/>
          <w:szCs w:val="24"/>
          <w:lang w:val="en-US" w:eastAsia="zh-CN" w:bidi="ar-SA"/>
        </w:rPr>
        <w:t>采购人</w:t>
      </w:r>
      <w:r>
        <w:rPr>
          <w:rFonts w:hint="eastAsia" w:ascii="宋体" w:hAnsi="宋体" w:eastAsia="宋体" w:cs="宋体"/>
          <w:color w:val="auto"/>
          <w:kern w:val="0"/>
          <w:sz w:val="24"/>
          <w:szCs w:val="24"/>
          <w:lang w:val="en-US" w:eastAsia="zh-CN" w:bidi="ar-SA"/>
        </w:rPr>
        <w:t>的合法权益；</w:t>
      </w:r>
    </w:p>
    <w:p w14:paraId="3BEABD77">
      <w:pPr>
        <w:widowControl/>
        <w:spacing w:before="0" w:beforeAutospacing="0" w:after="0" w:afterAutospacing="0" w:line="400" w:lineRule="exact"/>
        <w:ind w:firstLine="360" w:firstLineChars="150"/>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五、不与</w:t>
      </w:r>
      <w:r>
        <w:rPr>
          <w:rFonts w:hint="eastAsia" w:ascii="宋体" w:hAnsi="宋体" w:cs="宋体"/>
          <w:color w:val="auto"/>
          <w:kern w:val="0"/>
          <w:sz w:val="24"/>
          <w:szCs w:val="24"/>
          <w:lang w:val="en-US" w:eastAsia="zh-CN" w:bidi="ar-SA"/>
        </w:rPr>
        <w:t>采购人</w:t>
      </w:r>
      <w:r>
        <w:rPr>
          <w:rFonts w:hint="eastAsia" w:ascii="宋体" w:hAnsi="宋体" w:eastAsia="宋体" w:cs="宋体"/>
          <w:color w:val="auto"/>
          <w:kern w:val="0"/>
          <w:sz w:val="24"/>
          <w:szCs w:val="24"/>
          <w:lang w:val="en-US" w:eastAsia="zh-CN" w:bidi="ar-SA"/>
        </w:rPr>
        <w:t>、招标代理机构或其他供应商串通投标，损害国家利益、社会公共利益或者他人的合法权益；</w:t>
      </w:r>
    </w:p>
    <w:p w14:paraId="37D5F1EC">
      <w:pPr>
        <w:widowControl/>
        <w:spacing w:before="0" w:beforeAutospacing="0" w:after="0" w:afterAutospacing="0" w:line="400" w:lineRule="exact"/>
        <w:ind w:firstLine="360" w:firstLineChars="150"/>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六、严格遵守开标现场纪律，服从监管人员管理；</w:t>
      </w:r>
    </w:p>
    <w:p w14:paraId="27CC0CEF">
      <w:pPr>
        <w:widowControl/>
        <w:spacing w:before="0" w:beforeAutospacing="0" w:after="0" w:afterAutospacing="0" w:line="400" w:lineRule="exact"/>
        <w:ind w:firstLine="360" w:firstLineChars="150"/>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七、保证</w:t>
      </w:r>
      <w:r>
        <w:rPr>
          <w:rFonts w:hint="eastAsia" w:ascii="宋体" w:hAnsi="宋体" w:cs="宋体"/>
          <w:color w:val="auto"/>
          <w:kern w:val="0"/>
          <w:sz w:val="24"/>
          <w:szCs w:val="24"/>
          <w:lang w:val="en-US" w:eastAsia="zh-CN" w:bidi="ar-SA"/>
        </w:rPr>
        <w:t>成交</w:t>
      </w:r>
      <w:r>
        <w:rPr>
          <w:rFonts w:hint="eastAsia" w:ascii="宋体" w:hAnsi="宋体" w:eastAsia="宋体" w:cs="宋体"/>
          <w:color w:val="auto"/>
          <w:kern w:val="0"/>
          <w:sz w:val="24"/>
          <w:szCs w:val="24"/>
          <w:lang w:val="en-US" w:eastAsia="zh-CN" w:bidi="ar-SA"/>
        </w:rPr>
        <w:t>后不转包，若有分包征得采购单位同意；</w:t>
      </w:r>
    </w:p>
    <w:p w14:paraId="6E15B791">
      <w:pPr>
        <w:widowControl/>
        <w:spacing w:before="0" w:beforeAutospacing="0" w:after="0" w:afterAutospacing="0" w:line="400" w:lineRule="exact"/>
        <w:ind w:firstLine="360" w:firstLineChars="150"/>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八、保证</w:t>
      </w:r>
      <w:r>
        <w:rPr>
          <w:rFonts w:hint="eastAsia" w:ascii="宋体" w:hAnsi="宋体" w:cs="宋体"/>
          <w:color w:val="auto"/>
          <w:kern w:val="0"/>
          <w:sz w:val="24"/>
          <w:szCs w:val="24"/>
          <w:lang w:val="en-US" w:eastAsia="zh-CN" w:bidi="ar-SA"/>
        </w:rPr>
        <w:t>成交</w:t>
      </w:r>
      <w:r>
        <w:rPr>
          <w:rFonts w:hint="eastAsia" w:ascii="宋体" w:hAnsi="宋体" w:eastAsia="宋体" w:cs="宋体"/>
          <w:color w:val="auto"/>
          <w:kern w:val="0"/>
          <w:sz w:val="24"/>
          <w:szCs w:val="24"/>
          <w:lang w:val="en-US" w:eastAsia="zh-CN" w:bidi="ar-SA"/>
        </w:rPr>
        <w:t>之后，按照投标文件承诺履约，如有违反，同意接受采购单位违约处罚；</w:t>
      </w:r>
    </w:p>
    <w:p w14:paraId="0F83F8E2">
      <w:pPr>
        <w:widowControl/>
        <w:spacing w:before="0" w:beforeAutospacing="0" w:after="0" w:afterAutospacing="0" w:line="400" w:lineRule="exact"/>
        <w:ind w:firstLine="360" w:firstLineChars="150"/>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九、保证企业及所属相关人员在本次投标中无行贿等犯罪行为；</w:t>
      </w:r>
    </w:p>
    <w:p w14:paraId="71252B65">
      <w:pPr>
        <w:widowControl/>
        <w:spacing w:before="0" w:beforeAutospacing="0" w:after="0" w:afterAutospacing="0" w:line="400" w:lineRule="exact"/>
        <w:ind w:firstLine="360" w:firstLineChars="150"/>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十、如在投标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7500622A">
      <w:pPr>
        <w:widowControl/>
        <w:spacing w:before="0" w:beforeAutospacing="0" w:after="0" w:afterAutospacing="0" w:line="400" w:lineRule="exact"/>
        <w:ind w:firstLine="360" w:firstLineChars="150"/>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以上内容我已仔细阅读，本公司若有违反承诺内容的行为，自愿依法接受取消投标资格、记入信用档案、取消</w:t>
      </w:r>
      <w:r>
        <w:rPr>
          <w:rFonts w:hint="eastAsia" w:ascii="宋体" w:hAnsi="宋体" w:cs="宋体"/>
          <w:color w:val="auto"/>
          <w:kern w:val="0"/>
          <w:sz w:val="24"/>
          <w:szCs w:val="24"/>
          <w:lang w:val="en-US" w:eastAsia="zh-CN" w:bidi="ar-SA"/>
        </w:rPr>
        <w:t>成交</w:t>
      </w:r>
      <w:r>
        <w:rPr>
          <w:rFonts w:hint="eastAsia" w:ascii="宋体" w:hAnsi="宋体" w:eastAsia="宋体" w:cs="宋体"/>
          <w:color w:val="auto"/>
          <w:kern w:val="0"/>
          <w:sz w:val="24"/>
          <w:szCs w:val="24"/>
          <w:lang w:val="en-US" w:eastAsia="zh-CN" w:bidi="ar-SA"/>
        </w:rPr>
        <w:t>资格、没收投标保证金等有关处理，愿意承担法律责任，给</w:t>
      </w:r>
      <w:r>
        <w:rPr>
          <w:rFonts w:hint="eastAsia" w:ascii="宋体" w:hAnsi="宋体" w:cs="宋体"/>
          <w:color w:val="auto"/>
          <w:kern w:val="0"/>
          <w:sz w:val="24"/>
          <w:szCs w:val="24"/>
          <w:lang w:val="en-US" w:eastAsia="zh-CN" w:bidi="ar-SA"/>
        </w:rPr>
        <w:t>采购人</w:t>
      </w:r>
      <w:r>
        <w:rPr>
          <w:rFonts w:hint="eastAsia" w:ascii="宋体" w:hAnsi="宋体" w:eastAsia="宋体" w:cs="宋体"/>
          <w:color w:val="auto"/>
          <w:kern w:val="0"/>
          <w:sz w:val="24"/>
          <w:szCs w:val="24"/>
          <w:lang w:val="en-US" w:eastAsia="zh-CN" w:bidi="ar-SA"/>
        </w:rPr>
        <w:t>造成损失的，依法承担赔偿责任。</w:t>
      </w:r>
    </w:p>
    <w:p w14:paraId="75C5236A">
      <w:pPr>
        <w:widowControl/>
        <w:spacing w:before="0" w:beforeAutospacing="0" w:after="0" w:afterAutospacing="0" w:line="400" w:lineRule="exact"/>
        <w:ind w:firstLine="360" w:firstLineChars="150"/>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开户银行：                 基本账</w:t>
      </w:r>
      <w:r>
        <w:rPr>
          <w:rFonts w:hint="eastAsia" w:ascii="宋体" w:hAnsi="宋体" w:cs="宋体"/>
          <w:color w:val="auto"/>
          <w:kern w:val="0"/>
          <w:sz w:val="24"/>
          <w:szCs w:val="24"/>
          <w:lang w:val="en-US" w:eastAsia="zh-CN" w:bidi="ar-SA"/>
        </w:rPr>
        <w:t>号</w:t>
      </w:r>
      <w:r>
        <w:rPr>
          <w:rFonts w:hint="eastAsia" w:ascii="宋体" w:hAnsi="宋体" w:eastAsia="宋体" w:cs="宋体"/>
          <w:color w:val="auto"/>
          <w:kern w:val="0"/>
          <w:sz w:val="24"/>
          <w:szCs w:val="24"/>
          <w:lang w:val="en-US" w:eastAsia="zh-CN" w:bidi="ar-SA"/>
        </w:rPr>
        <w:t>：</w:t>
      </w:r>
    </w:p>
    <w:p w14:paraId="3E3F02D6">
      <w:pPr>
        <w:widowControl/>
        <w:spacing w:before="0" w:beforeAutospacing="0" w:after="0" w:afterAutospacing="0" w:line="400" w:lineRule="exact"/>
        <w:ind w:firstLine="360" w:firstLineChars="150"/>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投标单位（公章）：         法定代表人（签字或盖章）：</w:t>
      </w:r>
    </w:p>
    <w:p w14:paraId="53DAF0AE">
      <w:pPr>
        <w:tabs>
          <w:tab w:val="left" w:pos="5205"/>
        </w:tabs>
        <w:spacing w:line="400" w:lineRule="exact"/>
        <w:rPr>
          <w:rFonts w:ascii="宋体" w:hAnsi="宋体" w:eastAsia="宋体" w:cs="宋体"/>
          <w:color w:val="auto"/>
          <w:sz w:val="24"/>
        </w:rPr>
      </w:pPr>
      <w:r>
        <w:rPr>
          <w:rFonts w:hint="eastAsia" w:ascii="宋体" w:hAnsi="宋体" w:eastAsia="宋体" w:cs="宋体"/>
          <w:color w:val="auto"/>
          <w:sz w:val="24"/>
        </w:rPr>
        <w:t xml:space="preserve">                              日   期：   年   月   日</w:t>
      </w:r>
    </w:p>
    <w:p w14:paraId="70174285">
      <w:pPr>
        <w:autoSpaceDE w:val="0"/>
        <w:autoSpaceDN w:val="0"/>
        <w:adjustRightInd w:val="0"/>
        <w:spacing w:line="400" w:lineRule="exact"/>
        <w:rPr>
          <w:rFonts w:ascii="宋体" w:hAnsi="宋体" w:eastAsia="宋体" w:cs="宋体"/>
          <w:bCs/>
          <w:color w:val="auto"/>
          <w:sz w:val="24"/>
        </w:rPr>
      </w:pPr>
    </w:p>
    <w:p w14:paraId="09E2E813">
      <w:pPr>
        <w:autoSpaceDE w:val="0"/>
        <w:autoSpaceDN w:val="0"/>
        <w:adjustRightInd w:val="0"/>
        <w:spacing w:line="400" w:lineRule="exact"/>
        <w:rPr>
          <w:rFonts w:ascii="宋体" w:hAnsi="宋体" w:eastAsia="宋体" w:cs="宋体"/>
          <w:color w:val="auto"/>
          <w:sz w:val="24"/>
        </w:rPr>
      </w:pPr>
    </w:p>
    <w:p w14:paraId="122123E4">
      <w:pPr>
        <w:spacing w:line="360" w:lineRule="auto"/>
        <w:ind w:left="1084" w:hanging="1084" w:hangingChars="450"/>
        <w:jc w:val="center"/>
        <w:rPr>
          <w:rFonts w:ascii="宋体" w:hAnsi="宋体" w:eastAsia="宋体" w:cs="宋体"/>
          <w:b/>
          <w:color w:val="auto"/>
          <w:sz w:val="24"/>
        </w:rPr>
      </w:pPr>
    </w:p>
    <w:p w14:paraId="066125DF">
      <w:pPr>
        <w:rPr>
          <w:rFonts w:ascii="宋体" w:hAnsi="宋体" w:eastAsia="宋体" w:cs="宋体"/>
          <w:b/>
          <w:color w:val="auto"/>
          <w:sz w:val="24"/>
        </w:rPr>
      </w:pPr>
      <w:r>
        <w:rPr>
          <w:rFonts w:ascii="宋体" w:hAnsi="宋体" w:eastAsia="宋体" w:cs="宋体"/>
          <w:b/>
          <w:color w:val="auto"/>
          <w:sz w:val="24"/>
        </w:rPr>
        <w:br w:type="page"/>
      </w:r>
    </w:p>
    <w:p w14:paraId="42C03C36">
      <w:pPr>
        <w:rPr>
          <w:rFonts w:hint="eastAsia" w:ascii="宋体" w:hAnsi="宋体" w:cs="宋体"/>
          <w:b/>
          <w:color w:val="auto"/>
          <w:kern w:val="0"/>
          <w:sz w:val="24"/>
          <w:szCs w:val="24"/>
        </w:rPr>
      </w:pPr>
    </w:p>
    <w:p w14:paraId="2244A9F7">
      <w:pPr>
        <w:snapToGrid w:val="0"/>
        <w:spacing w:line="360" w:lineRule="auto"/>
        <w:ind w:firstLine="482" w:firstLineChars="200"/>
        <w:jc w:val="center"/>
        <w:rPr>
          <w:rFonts w:ascii="宋体" w:hAnsi="宋体" w:cs="宋体"/>
          <w:b/>
          <w:color w:val="auto"/>
          <w:kern w:val="0"/>
          <w:sz w:val="24"/>
          <w:szCs w:val="24"/>
        </w:rPr>
      </w:pPr>
      <w:r>
        <w:rPr>
          <w:rFonts w:hint="eastAsia" w:ascii="宋体" w:hAnsi="宋体" w:cs="宋体"/>
          <w:b/>
          <w:color w:val="auto"/>
          <w:kern w:val="0"/>
          <w:sz w:val="24"/>
          <w:szCs w:val="24"/>
          <w:lang w:val="en-US" w:eastAsia="zh-CN"/>
        </w:rPr>
        <w:t>十一、</w:t>
      </w:r>
      <w:r>
        <w:rPr>
          <w:rFonts w:hint="eastAsia" w:ascii="宋体" w:hAnsi="宋体" w:cs="宋体"/>
          <w:b/>
          <w:color w:val="auto"/>
          <w:kern w:val="0"/>
          <w:sz w:val="24"/>
          <w:szCs w:val="24"/>
        </w:rPr>
        <w:t>信用中国网站（www.creditchina.gov.cn）“</w:t>
      </w:r>
      <w:r>
        <w:rPr>
          <w:rFonts w:hint="eastAsia" w:ascii="宋体" w:hAnsi="宋体" w:cs="宋体"/>
          <w:b/>
          <w:color w:val="auto"/>
          <w:kern w:val="0"/>
          <w:sz w:val="24"/>
          <w:szCs w:val="24"/>
          <w:lang w:eastAsia="zh-CN"/>
        </w:rPr>
        <w:t>信息公示或者专项查询</w:t>
      </w:r>
      <w:r>
        <w:rPr>
          <w:rFonts w:hint="eastAsia" w:ascii="宋体" w:hAnsi="宋体" w:cs="宋体"/>
          <w:b/>
          <w:color w:val="auto"/>
          <w:kern w:val="0"/>
          <w:sz w:val="24"/>
          <w:szCs w:val="24"/>
        </w:rPr>
        <w:t>”（包括“失信被执行人”及“重大税收违法失信主体”）查询结果以及中国政府采购网（www.ccgp.gov.cn）“政府采购严重违法失信行为记录名单”查询结果；</w:t>
      </w:r>
    </w:p>
    <w:p w14:paraId="7D682D43">
      <w:pPr>
        <w:rPr>
          <w:rFonts w:ascii="宋体" w:hAnsi="宋体" w:cs="宋体"/>
          <w:b/>
          <w:color w:val="auto"/>
          <w:kern w:val="0"/>
          <w:sz w:val="24"/>
          <w:szCs w:val="24"/>
        </w:rPr>
      </w:pPr>
      <w:r>
        <w:rPr>
          <w:rFonts w:ascii="宋体" w:hAnsi="宋体" w:cs="宋体"/>
          <w:b/>
          <w:color w:val="auto"/>
          <w:kern w:val="0"/>
          <w:sz w:val="24"/>
          <w:szCs w:val="24"/>
        </w:rPr>
        <w:br w:type="page"/>
      </w:r>
    </w:p>
    <w:p w14:paraId="6864FA6F">
      <w:pPr>
        <w:snapToGrid w:val="0"/>
        <w:spacing w:line="360" w:lineRule="auto"/>
        <w:ind w:firstLine="482" w:firstLineChars="200"/>
        <w:jc w:val="center"/>
        <w:rPr>
          <w:rFonts w:ascii="宋体" w:hAnsi="宋体" w:cs="宋体"/>
          <w:b/>
          <w:color w:val="auto"/>
          <w:kern w:val="0"/>
          <w:szCs w:val="28"/>
        </w:rPr>
      </w:pPr>
      <w:r>
        <w:rPr>
          <w:rFonts w:hint="eastAsia" w:ascii="宋体" w:hAnsi="宋体" w:cs="宋体"/>
          <w:b/>
          <w:color w:val="auto"/>
          <w:kern w:val="0"/>
          <w:sz w:val="24"/>
          <w:szCs w:val="24"/>
          <w:lang w:val="en-US" w:eastAsia="zh-CN"/>
        </w:rPr>
        <w:t>十二、</w:t>
      </w:r>
      <w:r>
        <w:rPr>
          <w:rFonts w:hint="eastAsia" w:ascii="宋体" w:hAnsi="宋体" w:cs="宋体"/>
          <w:b/>
          <w:color w:val="auto"/>
          <w:kern w:val="0"/>
          <w:sz w:val="24"/>
          <w:szCs w:val="24"/>
        </w:rPr>
        <w:t>投标保证金缴纳凭证</w:t>
      </w:r>
    </w:p>
    <w:p w14:paraId="51408360">
      <w:pPr>
        <w:spacing w:line="360" w:lineRule="auto"/>
        <w:ind w:left="180"/>
        <w:jc w:val="center"/>
        <w:rPr>
          <w:rFonts w:ascii="宋体" w:hAnsi="宋体" w:cs="宋体"/>
          <w:color w:val="auto"/>
          <w:sz w:val="24"/>
        </w:rPr>
      </w:pPr>
    </w:p>
    <w:p w14:paraId="435AA829">
      <w:pPr>
        <w:rPr>
          <w:rFonts w:hint="eastAsia"/>
          <w:b/>
          <w:color w:val="auto"/>
          <w:szCs w:val="28"/>
        </w:rPr>
      </w:pPr>
      <w:r>
        <w:rPr>
          <w:rFonts w:hint="eastAsia"/>
          <w:b/>
          <w:color w:val="auto"/>
          <w:szCs w:val="28"/>
        </w:rPr>
        <w:br w:type="page"/>
      </w:r>
    </w:p>
    <w:p w14:paraId="68864237">
      <w:pPr>
        <w:pStyle w:val="13"/>
        <w:rPr>
          <w:rFonts w:hint="eastAsia"/>
          <w:color w:val="auto"/>
          <w:lang w:val="en-US" w:eastAsia="zh-CN"/>
        </w:rPr>
      </w:pPr>
    </w:p>
    <w:p w14:paraId="36EFA76A">
      <w:pPr>
        <w:numPr>
          <w:ilvl w:val="0"/>
          <w:numId w:val="0"/>
        </w:numPr>
        <w:snapToGrid w:val="0"/>
        <w:spacing w:line="300" w:lineRule="exact"/>
        <w:jc w:val="center"/>
        <w:rPr>
          <w:rFonts w:ascii="宋体" w:hAnsi="宋体" w:eastAsia="宋体" w:cs="宋体"/>
          <w:b/>
          <w:bCs/>
          <w:color w:val="auto"/>
          <w:kern w:val="0"/>
          <w:sz w:val="24"/>
        </w:rPr>
      </w:pPr>
      <w:r>
        <w:rPr>
          <w:rFonts w:hint="eastAsia" w:ascii="宋体" w:hAnsi="宋体" w:eastAsia="宋体" w:cs="宋体"/>
          <w:b/>
          <w:bCs/>
          <w:color w:val="auto"/>
          <w:kern w:val="0"/>
          <w:sz w:val="24"/>
          <w:szCs w:val="24"/>
          <w:lang w:val="en-US" w:eastAsia="zh-CN" w:bidi="ar-SA"/>
        </w:rPr>
        <w:t>十</w:t>
      </w:r>
      <w:r>
        <w:rPr>
          <w:rFonts w:hint="eastAsia" w:ascii="宋体" w:hAnsi="宋体" w:cs="宋体"/>
          <w:b/>
          <w:bCs/>
          <w:color w:val="auto"/>
          <w:kern w:val="0"/>
          <w:sz w:val="24"/>
          <w:szCs w:val="24"/>
          <w:lang w:val="en-US" w:eastAsia="zh-CN" w:bidi="ar-SA"/>
        </w:rPr>
        <w:t>三</w:t>
      </w:r>
      <w:r>
        <w:rPr>
          <w:rFonts w:hint="eastAsia" w:ascii="宋体" w:hAnsi="宋体" w:eastAsia="宋体" w:cs="宋体"/>
          <w:b/>
          <w:bCs/>
          <w:color w:val="auto"/>
          <w:kern w:val="0"/>
          <w:sz w:val="24"/>
          <w:szCs w:val="24"/>
          <w:lang w:val="en-US" w:eastAsia="zh-CN" w:bidi="ar-SA"/>
        </w:rPr>
        <w:t>、</w:t>
      </w:r>
      <w:r>
        <w:rPr>
          <w:rFonts w:hint="eastAsia" w:ascii="宋体" w:hAnsi="宋体" w:eastAsia="宋体" w:cs="宋体"/>
          <w:b/>
          <w:bCs/>
          <w:color w:val="auto"/>
          <w:kern w:val="0"/>
          <w:sz w:val="24"/>
        </w:rPr>
        <w:t>商务条款偏离表</w:t>
      </w:r>
    </w:p>
    <w:p w14:paraId="2AEC07A1">
      <w:pPr>
        <w:spacing w:line="400" w:lineRule="exact"/>
        <w:ind w:firstLine="720" w:firstLineChars="300"/>
        <w:rPr>
          <w:rFonts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p>
    <w:p w14:paraId="492AC32B">
      <w:pPr>
        <w:spacing w:line="400" w:lineRule="exact"/>
        <w:ind w:firstLine="720" w:firstLineChars="300"/>
        <w:rPr>
          <w:rFonts w:ascii="宋体" w:hAnsi="宋体" w:eastAsia="宋体" w:cs="宋体"/>
          <w:color w:val="auto"/>
          <w:sz w:val="24"/>
        </w:rPr>
      </w:pP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68A64207">
      <w:pPr>
        <w:widowControl w:val="0"/>
        <w:autoSpaceDE w:val="0"/>
        <w:autoSpaceDN w:val="0"/>
        <w:spacing w:line="400" w:lineRule="exact"/>
        <w:rPr>
          <w:rFonts w:hint="default" w:ascii="宋体" w:hAnsi="宋体" w:eastAsia="宋体" w:cs="宋体"/>
          <w:color w:val="auto"/>
          <w:sz w:val="24"/>
          <w:szCs w:val="24"/>
          <w:lang w:val="en-US" w:eastAsia="zh-CN" w:bidi="ar-SA"/>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3245"/>
        <w:gridCol w:w="3260"/>
        <w:gridCol w:w="1575"/>
      </w:tblGrid>
      <w:tr w14:paraId="5B46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21" w:type="dxa"/>
          </w:tcPr>
          <w:p w14:paraId="2ADFEF17">
            <w:pPr>
              <w:spacing w:line="400" w:lineRule="exact"/>
              <w:rPr>
                <w:rFonts w:ascii="宋体" w:hAnsi="宋体" w:eastAsia="宋体" w:cs="宋体"/>
                <w:color w:val="auto"/>
                <w:sz w:val="24"/>
              </w:rPr>
            </w:pPr>
            <w:r>
              <w:rPr>
                <w:rFonts w:hint="eastAsia" w:ascii="宋体" w:hAnsi="宋体" w:eastAsia="宋体" w:cs="宋体"/>
                <w:color w:val="auto"/>
                <w:sz w:val="24"/>
              </w:rPr>
              <w:t>序号</w:t>
            </w:r>
          </w:p>
        </w:tc>
        <w:tc>
          <w:tcPr>
            <w:tcW w:w="3245" w:type="dxa"/>
          </w:tcPr>
          <w:p w14:paraId="646F9A8A">
            <w:pPr>
              <w:spacing w:line="400" w:lineRule="exact"/>
              <w:rPr>
                <w:rFonts w:ascii="宋体" w:hAnsi="宋体" w:eastAsia="宋体" w:cs="宋体"/>
                <w:color w:val="auto"/>
                <w:sz w:val="24"/>
              </w:rPr>
            </w:pPr>
            <w:r>
              <w:rPr>
                <w:rFonts w:hint="eastAsia" w:ascii="宋体" w:hAnsi="宋体" w:eastAsia="宋体" w:cs="宋体"/>
                <w:color w:val="auto"/>
                <w:sz w:val="24"/>
              </w:rPr>
              <w:t>招标文件的商务条款</w:t>
            </w:r>
          </w:p>
        </w:tc>
        <w:tc>
          <w:tcPr>
            <w:tcW w:w="3260" w:type="dxa"/>
          </w:tcPr>
          <w:p w14:paraId="399CE6FE">
            <w:pPr>
              <w:spacing w:line="400" w:lineRule="exact"/>
              <w:rPr>
                <w:rFonts w:ascii="宋体" w:hAnsi="宋体" w:eastAsia="宋体" w:cs="宋体"/>
                <w:color w:val="auto"/>
                <w:sz w:val="24"/>
              </w:rPr>
            </w:pPr>
            <w:r>
              <w:rPr>
                <w:rFonts w:hint="eastAsia" w:ascii="宋体" w:hAnsi="宋体" w:eastAsia="宋体" w:cs="宋体"/>
                <w:color w:val="auto"/>
                <w:sz w:val="24"/>
              </w:rPr>
              <w:t>投标文件的商务条款</w:t>
            </w:r>
          </w:p>
        </w:tc>
        <w:tc>
          <w:tcPr>
            <w:tcW w:w="1575" w:type="dxa"/>
          </w:tcPr>
          <w:p w14:paraId="638FD4E6">
            <w:pPr>
              <w:spacing w:line="400" w:lineRule="exact"/>
              <w:jc w:val="center"/>
              <w:rPr>
                <w:rFonts w:ascii="宋体" w:hAnsi="宋体" w:eastAsia="宋体" w:cs="宋体"/>
                <w:color w:val="auto"/>
                <w:sz w:val="24"/>
              </w:rPr>
            </w:pPr>
            <w:r>
              <w:rPr>
                <w:rFonts w:hint="eastAsia" w:ascii="宋体" w:hAnsi="宋体" w:eastAsia="宋体" w:cs="宋体"/>
                <w:color w:val="auto"/>
                <w:sz w:val="24"/>
              </w:rPr>
              <w:t>说明</w:t>
            </w:r>
          </w:p>
        </w:tc>
      </w:tr>
      <w:tr w14:paraId="3B66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21" w:type="dxa"/>
          </w:tcPr>
          <w:p w14:paraId="6C9EBB09">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45" w:type="dxa"/>
          </w:tcPr>
          <w:p w14:paraId="44AB21AC">
            <w:pPr>
              <w:widowControl w:val="0"/>
              <w:spacing w:line="400" w:lineRule="exact"/>
              <w:ind w:left="1260" w:leftChars="257" w:hanging="540"/>
              <w:jc w:val="center"/>
              <w:rPr>
                <w:rFonts w:ascii="宋体" w:hAnsi="宋体" w:eastAsia="宋体" w:cs="宋体"/>
                <w:color w:val="auto"/>
                <w:kern w:val="2"/>
                <w:sz w:val="24"/>
                <w:szCs w:val="24"/>
                <w:lang w:val="en-US" w:eastAsia="zh-CN" w:bidi="ar-SA"/>
              </w:rPr>
            </w:pPr>
          </w:p>
        </w:tc>
        <w:tc>
          <w:tcPr>
            <w:tcW w:w="3260" w:type="dxa"/>
          </w:tcPr>
          <w:p w14:paraId="67A0BB20">
            <w:pPr>
              <w:widowControl w:val="0"/>
              <w:spacing w:line="400" w:lineRule="exact"/>
              <w:ind w:left="1260" w:leftChars="257" w:hanging="540"/>
              <w:jc w:val="center"/>
              <w:rPr>
                <w:rFonts w:ascii="宋体" w:hAnsi="宋体" w:eastAsia="宋体" w:cs="宋体"/>
                <w:color w:val="auto"/>
                <w:kern w:val="2"/>
                <w:sz w:val="24"/>
                <w:szCs w:val="24"/>
                <w:lang w:val="en-US" w:eastAsia="zh-CN" w:bidi="ar-SA"/>
              </w:rPr>
            </w:pPr>
          </w:p>
        </w:tc>
        <w:tc>
          <w:tcPr>
            <w:tcW w:w="1575" w:type="dxa"/>
          </w:tcPr>
          <w:p w14:paraId="09E55535">
            <w:pPr>
              <w:widowControl w:val="0"/>
              <w:spacing w:line="400" w:lineRule="exact"/>
              <w:ind w:left="1260" w:leftChars="257" w:hanging="540"/>
              <w:rPr>
                <w:rFonts w:ascii="宋体" w:hAnsi="宋体" w:eastAsia="宋体" w:cs="宋体"/>
                <w:color w:val="auto"/>
                <w:kern w:val="2"/>
                <w:sz w:val="24"/>
                <w:szCs w:val="24"/>
                <w:lang w:val="en-US" w:eastAsia="zh-CN" w:bidi="ar-SA"/>
              </w:rPr>
            </w:pPr>
          </w:p>
        </w:tc>
      </w:tr>
      <w:tr w14:paraId="5A10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21" w:type="dxa"/>
          </w:tcPr>
          <w:p w14:paraId="5FF60CEF">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45" w:type="dxa"/>
          </w:tcPr>
          <w:p w14:paraId="72409234">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60" w:type="dxa"/>
          </w:tcPr>
          <w:p w14:paraId="06B5CB60">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1575" w:type="dxa"/>
          </w:tcPr>
          <w:p w14:paraId="09576DB9">
            <w:pPr>
              <w:widowControl w:val="0"/>
              <w:spacing w:line="400" w:lineRule="exact"/>
              <w:ind w:left="1260" w:leftChars="257" w:hanging="540"/>
              <w:rPr>
                <w:rFonts w:ascii="宋体" w:hAnsi="宋体" w:eastAsia="宋体" w:cs="宋体"/>
                <w:color w:val="auto"/>
                <w:kern w:val="2"/>
                <w:sz w:val="24"/>
                <w:szCs w:val="24"/>
                <w:lang w:val="en-US" w:eastAsia="zh-CN" w:bidi="ar-SA"/>
              </w:rPr>
            </w:pPr>
          </w:p>
        </w:tc>
      </w:tr>
      <w:tr w14:paraId="2E04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21" w:type="dxa"/>
          </w:tcPr>
          <w:p w14:paraId="46232099">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45" w:type="dxa"/>
          </w:tcPr>
          <w:p w14:paraId="4073B024">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60" w:type="dxa"/>
          </w:tcPr>
          <w:p w14:paraId="41AE2ACD">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1575" w:type="dxa"/>
          </w:tcPr>
          <w:p w14:paraId="20410033">
            <w:pPr>
              <w:widowControl w:val="0"/>
              <w:spacing w:line="400" w:lineRule="exact"/>
              <w:ind w:left="1260" w:leftChars="257" w:hanging="540"/>
              <w:rPr>
                <w:rFonts w:ascii="宋体" w:hAnsi="宋体" w:eastAsia="宋体" w:cs="宋体"/>
                <w:color w:val="auto"/>
                <w:kern w:val="2"/>
                <w:sz w:val="24"/>
                <w:szCs w:val="24"/>
                <w:lang w:val="en-US" w:eastAsia="zh-CN" w:bidi="ar-SA"/>
              </w:rPr>
            </w:pPr>
          </w:p>
        </w:tc>
      </w:tr>
      <w:tr w14:paraId="72ED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21" w:type="dxa"/>
          </w:tcPr>
          <w:p w14:paraId="35E17637">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45" w:type="dxa"/>
          </w:tcPr>
          <w:p w14:paraId="68483651">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60" w:type="dxa"/>
          </w:tcPr>
          <w:p w14:paraId="047CA2A1">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1575" w:type="dxa"/>
          </w:tcPr>
          <w:p w14:paraId="78502AFB">
            <w:pPr>
              <w:widowControl w:val="0"/>
              <w:spacing w:line="400" w:lineRule="exact"/>
              <w:ind w:left="1260" w:leftChars="257" w:hanging="540"/>
              <w:rPr>
                <w:rFonts w:ascii="宋体" w:hAnsi="宋体" w:eastAsia="宋体" w:cs="宋体"/>
                <w:color w:val="auto"/>
                <w:kern w:val="2"/>
                <w:sz w:val="24"/>
                <w:szCs w:val="24"/>
                <w:lang w:val="en-US" w:eastAsia="zh-CN" w:bidi="ar-SA"/>
              </w:rPr>
            </w:pPr>
          </w:p>
        </w:tc>
      </w:tr>
      <w:tr w14:paraId="0095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21" w:type="dxa"/>
          </w:tcPr>
          <w:p w14:paraId="0D721F24">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45" w:type="dxa"/>
          </w:tcPr>
          <w:p w14:paraId="0BA5E416">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60" w:type="dxa"/>
          </w:tcPr>
          <w:p w14:paraId="1277D28F">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1575" w:type="dxa"/>
          </w:tcPr>
          <w:p w14:paraId="761E3C1B">
            <w:pPr>
              <w:widowControl w:val="0"/>
              <w:spacing w:line="400" w:lineRule="exact"/>
              <w:ind w:left="1260" w:leftChars="257" w:hanging="540"/>
              <w:rPr>
                <w:rFonts w:ascii="宋体" w:hAnsi="宋体" w:eastAsia="宋体" w:cs="宋体"/>
                <w:color w:val="auto"/>
                <w:kern w:val="2"/>
                <w:sz w:val="24"/>
                <w:szCs w:val="24"/>
                <w:lang w:val="en-US" w:eastAsia="zh-CN" w:bidi="ar-SA"/>
              </w:rPr>
            </w:pPr>
          </w:p>
        </w:tc>
      </w:tr>
      <w:tr w14:paraId="5A20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21" w:type="dxa"/>
          </w:tcPr>
          <w:p w14:paraId="3A7B3B3A">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45" w:type="dxa"/>
          </w:tcPr>
          <w:p w14:paraId="0527B3D6">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60" w:type="dxa"/>
          </w:tcPr>
          <w:p w14:paraId="06030654">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1575" w:type="dxa"/>
          </w:tcPr>
          <w:p w14:paraId="5C56E13D">
            <w:pPr>
              <w:widowControl w:val="0"/>
              <w:spacing w:line="400" w:lineRule="exact"/>
              <w:ind w:left="1260" w:leftChars="257" w:hanging="540"/>
              <w:rPr>
                <w:rFonts w:ascii="宋体" w:hAnsi="宋体" w:eastAsia="宋体" w:cs="宋体"/>
                <w:color w:val="auto"/>
                <w:kern w:val="2"/>
                <w:sz w:val="24"/>
                <w:szCs w:val="24"/>
                <w:lang w:val="en-US" w:eastAsia="zh-CN" w:bidi="ar-SA"/>
              </w:rPr>
            </w:pPr>
          </w:p>
        </w:tc>
      </w:tr>
      <w:tr w14:paraId="1D4C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21" w:type="dxa"/>
          </w:tcPr>
          <w:p w14:paraId="014CCA19">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45" w:type="dxa"/>
          </w:tcPr>
          <w:p w14:paraId="788B2E55">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60" w:type="dxa"/>
          </w:tcPr>
          <w:p w14:paraId="4F83C92C">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1575" w:type="dxa"/>
          </w:tcPr>
          <w:p w14:paraId="4E6EACD1">
            <w:pPr>
              <w:widowControl w:val="0"/>
              <w:spacing w:line="400" w:lineRule="exact"/>
              <w:ind w:left="1260" w:leftChars="257" w:hanging="540"/>
              <w:rPr>
                <w:rFonts w:ascii="宋体" w:hAnsi="宋体" w:eastAsia="宋体" w:cs="宋体"/>
                <w:color w:val="auto"/>
                <w:kern w:val="2"/>
                <w:sz w:val="24"/>
                <w:szCs w:val="24"/>
                <w:lang w:val="en-US" w:eastAsia="zh-CN" w:bidi="ar-SA"/>
              </w:rPr>
            </w:pPr>
          </w:p>
        </w:tc>
      </w:tr>
      <w:tr w14:paraId="08A4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21" w:type="dxa"/>
          </w:tcPr>
          <w:p w14:paraId="3CCE3817">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45" w:type="dxa"/>
          </w:tcPr>
          <w:p w14:paraId="59D005FF">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60" w:type="dxa"/>
          </w:tcPr>
          <w:p w14:paraId="0155F4FE">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1575" w:type="dxa"/>
          </w:tcPr>
          <w:p w14:paraId="3F26DA5C">
            <w:pPr>
              <w:widowControl w:val="0"/>
              <w:spacing w:line="400" w:lineRule="exact"/>
              <w:ind w:left="1260" w:leftChars="257" w:hanging="540"/>
              <w:rPr>
                <w:rFonts w:ascii="宋体" w:hAnsi="宋体" w:eastAsia="宋体" w:cs="宋体"/>
                <w:color w:val="auto"/>
                <w:kern w:val="2"/>
                <w:sz w:val="24"/>
                <w:szCs w:val="24"/>
                <w:lang w:val="en-US" w:eastAsia="zh-CN" w:bidi="ar-SA"/>
              </w:rPr>
            </w:pPr>
          </w:p>
        </w:tc>
      </w:tr>
      <w:tr w14:paraId="22F0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21" w:type="dxa"/>
          </w:tcPr>
          <w:p w14:paraId="533ECD81">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45" w:type="dxa"/>
          </w:tcPr>
          <w:p w14:paraId="600E1622">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60" w:type="dxa"/>
          </w:tcPr>
          <w:p w14:paraId="2D77B8D5">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1575" w:type="dxa"/>
          </w:tcPr>
          <w:p w14:paraId="652208A7">
            <w:pPr>
              <w:widowControl w:val="0"/>
              <w:spacing w:line="400" w:lineRule="exact"/>
              <w:ind w:left="1260" w:leftChars="257" w:hanging="540"/>
              <w:rPr>
                <w:rFonts w:ascii="宋体" w:hAnsi="宋体" w:eastAsia="宋体" w:cs="宋体"/>
                <w:color w:val="auto"/>
                <w:kern w:val="2"/>
                <w:sz w:val="24"/>
                <w:szCs w:val="24"/>
                <w:lang w:val="en-US" w:eastAsia="zh-CN" w:bidi="ar-SA"/>
              </w:rPr>
            </w:pPr>
          </w:p>
        </w:tc>
      </w:tr>
      <w:tr w14:paraId="63C7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21" w:type="dxa"/>
          </w:tcPr>
          <w:p w14:paraId="528468E8">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45" w:type="dxa"/>
          </w:tcPr>
          <w:p w14:paraId="23CC3961">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60" w:type="dxa"/>
          </w:tcPr>
          <w:p w14:paraId="39696286">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1575" w:type="dxa"/>
          </w:tcPr>
          <w:p w14:paraId="2C0F9A56">
            <w:pPr>
              <w:widowControl w:val="0"/>
              <w:spacing w:line="400" w:lineRule="exact"/>
              <w:ind w:left="1260" w:leftChars="257" w:hanging="540"/>
              <w:rPr>
                <w:rFonts w:ascii="宋体" w:hAnsi="宋体" w:eastAsia="宋体" w:cs="宋体"/>
                <w:color w:val="auto"/>
                <w:kern w:val="2"/>
                <w:sz w:val="24"/>
                <w:szCs w:val="24"/>
                <w:lang w:val="en-US" w:eastAsia="zh-CN" w:bidi="ar-SA"/>
              </w:rPr>
            </w:pPr>
          </w:p>
        </w:tc>
      </w:tr>
      <w:tr w14:paraId="702B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21" w:type="dxa"/>
          </w:tcPr>
          <w:p w14:paraId="08F8771B">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45" w:type="dxa"/>
          </w:tcPr>
          <w:p w14:paraId="1B73ED4F">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60" w:type="dxa"/>
          </w:tcPr>
          <w:p w14:paraId="0FCF0AA0">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1575" w:type="dxa"/>
          </w:tcPr>
          <w:p w14:paraId="52972D1B">
            <w:pPr>
              <w:widowControl w:val="0"/>
              <w:spacing w:line="400" w:lineRule="exact"/>
              <w:ind w:left="1260" w:leftChars="257" w:hanging="540"/>
              <w:rPr>
                <w:rFonts w:ascii="宋体" w:hAnsi="宋体" w:eastAsia="宋体" w:cs="宋体"/>
                <w:color w:val="auto"/>
                <w:kern w:val="2"/>
                <w:sz w:val="24"/>
                <w:szCs w:val="24"/>
                <w:lang w:val="en-US" w:eastAsia="zh-CN" w:bidi="ar-SA"/>
              </w:rPr>
            </w:pPr>
          </w:p>
        </w:tc>
      </w:tr>
      <w:tr w14:paraId="4D86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21" w:type="dxa"/>
          </w:tcPr>
          <w:p w14:paraId="63FD2865">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45" w:type="dxa"/>
          </w:tcPr>
          <w:p w14:paraId="2CDE8A94">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3260" w:type="dxa"/>
          </w:tcPr>
          <w:p w14:paraId="3536A7E6">
            <w:pPr>
              <w:widowControl w:val="0"/>
              <w:spacing w:line="400" w:lineRule="exact"/>
              <w:ind w:left="1260" w:leftChars="257" w:hanging="540"/>
              <w:rPr>
                <w:rFonts w:ascii="宋体" w:hAnsi="宋体" w:eastAsia="宋体" w:cs="宋体"/>
                <w:color w:val="auto"/>
                <w:kern w:val="2"/>
                <w:sz w:val="24"/>
                <w:szCs w:val="24"/>
                <w:lang w:val="en-US" w:eastAsia="zh-CN" w:bidi="ar-SA"/>
              </w:rPr>
            </w:pPr>
          </w:p>
        </w:tc>
        <w:tc>
          <w:tcPr>
            <w:tcW w:w="1575" w:type="dxa"/>
          </w:tcPr>
          <w:p w14:paraId="3CD52459">
            <w:pPr>
              <w:widowControl w:val="0"/>
              <w:spacing w:line="400" w:lineRule="exact"/>
              <w:ind w:left="1260" w:leftChars="257" w:hanging="540"/>
              <w:rPr>
                <w:rFonts w:ascii="宋体" w:hAnsi="宋体" w:eastAsia="宋体" w:cs="宋体"/>
                <w:color w:val="auto"/>
                <w:kern w:val="2"/>
                <w:sz w:val="24"/>
                <w:szCs w:val="24"/>
                <w:lang w:val="en-US" w:eastAsia="zh-CN" w:bidi="ar-SA"/>
              </w:rPr>
            </w:pPr>
          </w:p>
        </w:tc>
      </w:tr>
    </w:tbl>
    <w:p w14:paraId="468B4772">
      <w:pPr>
        <w:widowControl/>
        <w:tabs>
          <w:tab w:val="left" w:pos="4000"/>
        </w:tabs>
        <w:snapToGrid w:val="0"/>
        <w:spacing w:line="400" w:lineRule="exact"/>
        <w:rPr>
          <w:rFonts w:ascii="宋体" w:hAnsi="宋体" w:eastAsia="宋体" w:cs="宋体"/>
          <w:bCs/>
          <w:color w:val="auto"/>
          <w:kern w:val="0"/>
          <w:sz w:val="24"/>
        </w:rPr>
      </w:pPr>
    </w:p>
    <w:p w14:paraId="7D0AB92C">
      <w:pPr>
        <w:widowControl/>
        <w:tabs>
          <w:tab w:val="left" w:pos="4000"/>
        </w:tabs>
        <w:snapToGrid w:val="0"/>
        <w:spacing w:line="400" w:lineRule="exact"/>
        <w:rPr>
          <w:rFonts w:ascii="宋体" w:hAnsi="宋体" w:cs="宋体"/>
          <w:bCs/>
          <w:color w:val="auto"/>
          <w:kern w:val="0"/>
          <w:sz w:val="24"/>
        </w:rPr>
      </w:pPr>
      <w:r>
        <w:rPr>
          <w:rFonts w:hint="eastAsia" w:ascii="宋体" w:hAnsi="宋体" w:cs="宋体"/>
          <w:bCs/>
          <w:color w:val="auto"/>
          <w:kern w:val="0"/>
          <w:sz w:val="24"/>
        </w:rPr>
        <w:t>备注：1、除本偏离表所列的偏离外，其它均完全响应“招标文件”中的要求。</w:t>
      </w:r>
    </w:p>
    <w:p w14:paraId="4C3453C5">
      <w:pPr>
        <w:widowControl/>
        <w:tabs>
          <w:tab w:val="left" w:pos="4000"/>
        </w:tabs>
        <w:snapToGrid w:val="0"/>
        <w:spacing w:line="400" w:lineRule="exact"/>
        <w:rPr>
          <w:rFonts w:ascii="宋体" w:hAnsi="宋体" w:eastAsia="宋体" w:cs="宋体"/>
          <w:bCs/>
          <w:color w:val="auto"/>
          <w:kern w:val="0"/>
          <w:sz w:val="24"/>
        </w:rPr>
      </w:pPr>
      <w:r>
        <w:rPr>
          <w:rFonts w:hint="eastAsia" w:ascii="宋体" w:hAnsi="宋体" w:cs="宋体"/>
          <w:bCs/>
          <w:color w:val="auto"/>
          <w:kern w:val="0"/>
          <w:sz w:val="24"/>
        </w:rPr>
        <w:t xml:space="preserve">      2、如无偏离，供应商不需要填表，但应声明：“本投标文件完全响应招标文件所有条款的要求，无偏离。”</w:t>
      </w:r>
    </w:p>
    <w:p w14:paraId="15B69E2C">
      <w:pPr>
        <w:spacing w:line="400" w:lineRule="exact"/>
        <w:rPr>
          <w:rFonts w:ascii="宋体" w:hAnsi="宋体" w:eastAsia="宋体" w:cs="宋体"/>
          <w:color w:val="auto"/>
          <w:sz w:val="24"/>
        </w:rPr>
      </w:pPr>
    </w:p>
    <w:p w14:paraId="14A00D6A">
      <w:pPr>
        <w:spacing w:line="400" w:lineRule="exact"/>
        <w:rPr>
          <w:rFonts w:ascii="宋体" w:hAnsi="宋体" w:eastAsia="宋体" w:cs="宋体"/>
          <w:color w:val="auto"/>
          <w:sz w:val="24"/>
          <w:u w:val="single"/>
        </w:rPr>
      </w:pPr>
      <w:r>
        <w:rPr>
          <w:rFonts w:hint="eastAsia" w:ascii="宋体" w:hAnsi="宋体" w:cs="宋体"/>
          <w:color w:val="auto"/>
          <w:sz w:val="24"/>
          <w:lang w:val="en-US" w:eastAsia="zh-CN"/>
        </w:rPr>
        <w:t>投标人</w:t>
      </w:r>
      <w:r>
        <w:rPr>
          <w:rFonts w:hint="eastAsia" w:ascii="宋体" w:hAnsi="宋体" w:eastAsia="宋体" w:cs="宋体"/>
          <w:color w:val="auto"/>
          <w:sz w:val="24"/>
        </w:rPr>
        <w:t>名称（加盖公章）：</w:t>
      </w:r>
      <w:r>
        <w:rPr>
          <w:rFonts w:hint="eastAsia" w:ascii="宋体" w:hAnsi="宋体" w:eastAsia="宋体" w:cs="宋体"/>
          <w:color w:val="auto"/>
          <w:sz w:val="24"/>
          <w:u w:val="single"/>
        </w:rPr>
        <w:t xml:space="preserve">             </w:t>
      </w:r>
    </w:p>
    <w:p w14:paraId="2A08D7DA">
      <w:pPr>
        <w:spacing w:line="400" w:lineRule="exact"/>
        <w:rPr>
          <w:rFonts w:ascii="宋体" w:hAnsi="宋体" w:eastAsia="宋体" w:cs="宋体"/>
          <w:color w:val="auto"/>
          <w:sz w:val="24"/>
          <w:u w:val="single"/>
        </w:rPr>
      </w:pPr>
      <w:r>
        <w:rPr>
          <w:rFonts w:hint="eastAsia" w:ascii="宋体" w:hAnsi="宋体" w:eastAsia="宋体" w:cs="宋体"/>
          <w:color w:val="auto"/>
          <w:sz w:val="24"/>
        </w:rPr>
        <w:t>法定代表人或其授权的代理人（签字或盖章）：</w:t>
      </w:r>
      <w:r>
        <w:rPr>
          <w:rFonts w:hint="eastAsia" w:ascii="宋体" w:hAnsi="宋体" w:eastAsia="宋体" w:cs="宋体"/>
          <w:color w:val="auto"/>
          <w:sz w:val="24"/>
          <w:u w:val="single"/>
        </w:rPr>
        <w:t xml:space="preserve">             </w:t>
      </w:r>
    </w:p>
    <w:p w14:paraId="243A7047">
      <w:pPr>
        <w:spacing w:line="400" w:lineRule="exact"/>
        <w:rPr>
          <w:rFonts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31C29D9">
      <w:pPr>
        <w:tabs>
          <w:tab w:val="left" w:pos="0"/>
        </w:tabs>
        <w:spacing w:line="400" w:lineRule="exact"/>
        <w:jc w:val="center"/>
        <w:rPr>
          <w:rFonts w:ascii="宋体" w:hAnsi="宋体" w:eastAsia="宋体" w:cs="宋体"/>
          <w:b/>
          <w:color w:val="auto"/>
          <w:sz w:val="24"/>
        </w:rPr>
      </w:pPr>
    </w:p>
    <w:p w14:paraId="02BD491B">
      <w:pPr>
        <w:tabs>
          <w:tab w:val="left" w:pos="0"/>
        </w:tabs>
        <w:spacing w:line="300" w:lineRule="exact"/>
        <w:jc w:val="center"/>
        <w:rPr>
          <w:rFonts w:ascii="宋体" w:hAnsi="宋体" w:eastAsia="宋体" w:cs="宋体"/>
          <w:b/>
          <w:color w:val="auto"/>
          <w:sz w:val="24"/>
        </w:rPr>
      </w:pPr>
    </w:p>
    <w:p w14:paraId="4F8C9399">
      <w:pPr>
        <w:tabs>
          <w:tab w:val="left" w:pos="0"/>
        </w:tabs>
        <w:spacing w:line="300" w:lineRule="exact"/>
        <w:jc w:val="center"/>
        <w:rPr>
          <w:rFonts w:ascii="宋体" w:hAnsi="宋体" w:eastAsia="宋体" w:cs="宋体"/>
          <w:b/>
          <w:color w:val="auto"/>
          <w:sz w:val="24"/>
        </w:rPr>
      </w:pPr>
    </w:p>
    <w:p w14:paraId="29F1C41D">
      <w:pPr>
        <w:rPr>
          <w:rFonts w:ascii="宋体" w:hAnsi="宋体" w:eastAsia="宋体" w:cs="宋体"/>
          <w:b/>
          <w:color w:val="auto"/>
          <w:sz w:val="24"/>
        </w:rPr>
      </w:pPr>
      <w:r>
        <w:rPr>
          <w:rFonts w:ascii="宋体" w:hAnsi="宋体" w:eastAsia="宋体" w:cs="宋体"/>
          <w:b/>
          <w:color w:val="auto"/>
          <w:sz w:val="24"/>
        </w:rPr>
        <w:br w:type="page"/>
      </w:r>
    </w:p>
    <w:p w14:paraId="50B3C6D6">
      <w:pPr>
        <w:spacing w:line="300" w:lineRule="exact"/>
        <w:ind w:firstLine="420"/>
        <w:jc w:val="center"/>
        <w:rPr>
          <w:rFonts w:ascii="宋体" w:hAnsi="宋体" w:eastAsia="宋体" w:cs="宋体"/>
          <w:b/>
          <w:color w:val="auto"/>
          <w:sz w:val="24"/>
        </w:rPr>
      </w:pPr>
      <w:r>
        <w:rPr>
          <w:rFonts w:hint="eastAsia" w:ascii="宋体" w:hAnsi="宋体" w:eastAsia="宋体" w:cs="宋体"/>
          <w:b/>
          <w:color w:val="auto"/>
          <w:sz w:val="24"/>
          <w:lang w:val="en-US" w:eastAsia="zh-CN"/>
        </w:rPr>
        <w:t>十</w:t>
      </w:r>
      <w:r>
        <w:rPr>
          <w:rFonts w:hint="eastAsia" w:ascii="宋体" w:hAnsi="宋体" w:cs="宋体"/>
          <w:b/>
          <w:color w:val="auto"/>
          <w:sz w:val="24"/>
          <w:lang w:val="en-US" w:eastAsia="zh-CN"/>
        </w:rPr>
        <w:t>四</w:t>
      </w:r>
      <w:r>
        <w:rPr>
          <w:rFonts w:hint="eastAsia" w:ascii="宋体" w:hAnsi="宋体" w:eastAsia="宋体" w:cs="宋体"/>
          <w:b/>
          <w:color w:val="auto"/>
          <w:sz w:val="24"/>
          <w:lang w:val="en-US" w:eastAsia="zh-CN"/>
        </w:rPr>
        <w:t>、</w:t>
      </w:r>
      <w:r>
        <w:rPr>
          <w:rFonts w:hint="eastAsia" w:ascii="宋体" w:hAnsi="宋体" w:eastAsia="宋体" w:cs="宋体"/>
          <w:b/>
          <w:color w:val="auto"/>
          <w:sz w:val="24"/>
        </w:rPr>
        <w:t>近三年类似项目案例及相关证明资料</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835"/>
        <w:gridCol w:w="1701"/>
        <w:gridCol w:w="1701"/>
        <w:gridCol w:w="1701"/>
        <w:gridCol w:w="810"/>
      </w:tblGrid>
      <w:tr w14:paraId="2418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0A009776">
            <w:pPr>
              <w:spacing w:line="400" w:lineRule="exact"/>
              <w:jc w:val="center"/>
              <w:rPr>
                <w:rFonts w:ascii="宋体" w:hAnsi="宋体" w:eastAsia="宋体" w:cs="宋体"/>
                <w:b/>
                <w:bCs/>
                <w:color w:val="auto"/>
                <w:sz w:val="24"/>
              </w:rPr>
            </w:pPr>
            <w:r>
              <w:rPr>
                <w:rFonts w:hint="eastAsia" w:ascii="宋体" w:hAnsi="宋体" w:eastAsia="宋体" w:cs="宋体"/>
                <w:b/>
                <w:bCs/>
                <w:color w:val="auto"/>
                <w:sz w:val="24"/>
              </w:rPr>
              <w:t>序号</w:t>
            </w:r>
          </w:p>
        </w:tc>
        <w:tc>
          <w:tcPr>
            <w:tcW w:w="2835" w:type="dxa"/>
            <w:vAlign w:val="center"/>
          </w:tcPr>
          <w:p w14:paraId="35857025">
            <w:pPr>
              <w:spacing w:line="400" w:lineRule="exact"/>
              <w:jc w:val="center"/>
              <w:rPr>
                <w:rFonts w:ascii="宋体" w:hAnsi="宋体" w:eastAsia="宋体" w:cs="宋体"/>
                <w:b/>
                <w:bCs/>
                <w:color w:val="auto"/>
                <w:sz w:val="24"/>
              </w:rPr>
            </w:pPr>
            <w:r>
              <w:rPr>
                <w:rFonts w:hint="eastAsia" w:ascii="宋体" w:hAnsi="宋体" w:eastAsia="宋体" w:cs="宋体"/>
                <w:b/>
                <w:bCs/>
                <w:color w:val="auto"/>
                <w:sz w:val="24"/>
              </w:rPr>
              <w:t>项目名称</w:t>
            </w:r>
          </w:p>
        </w:tc>
        <w:tc>
          <w:tcPr>
            <w:tcW w:w="1701" w:type="dxa"/>
            <w:vAlign w:val="center"/>
          </w:tcPr>
          <w:p w14:paraId="232A8C30">
            <w:pPr>
              <w:spacing w:line="400" w:lineRule="exact"/>
              <w:jc w:val="center"/>
              <w:rPr>
                <w:rFonts w:ascii="宋体" w:hAnsi="宋体" w:eastAsia="宋体" w:cs="宋体"/>
                <w:b/>
                <w:bCs/>
                <w:color w:val="auto"/>
                <w:sz w:val="24"/>
              </w:rPr>
            </w:pPr>
            <w:r>
              <w:rPr>
                <w:rFonts w:hint="eastAsia" w:ascii="宋体" w:hAnsi="宋体" w:cs="宋体"/>
                <w:b/>
                <w:bCs/>
                <w:color w:val="auto"/>
                <w:sz w:val="24"/>
                <w:lang w:val="en-US" w:eastAsia="zh-CN"/>
              </w:rPr>
              <w:t>采购人名称</w:t>
            </w:r>
          </w:p>
        </w:tc>
        <w:tc>
          <w:tcPr>
            <w:tcW w:w="1701" w:type="dxa"/>
            <w:vAlign w:val="center"/>
          </w:tcPr>
          <w:p w14:paraId="32354A60">
            <w:pPr>
              <w:spacing w:line="400" w:lineRule="exact"/>
              <w:jc w:val="center"/>
              <w:rPr>
                <w:rFonts w:ascii="宋体" w:hAnsi="宋体" w:eastAsia="宋体" w:cs="宋体"/>
                <w:b/>
                <w:bCs/>
                <w:color w:val="auto"/>
                <w:sz w:val="24"/>
              </w:rPr>
            </w:pPr>
            <w:r>
              <w:rPr>
                <w:rFonts w:hint="eastAsia" w:ascii="宋体" w:hAnsi="宋体" w:eastAsia="宋体" w:cs="宋体"/>
                <w:b/>
                <w:bCs/>
                <w:color w:val="auto"/>
                <w:sz w:val="24"/>
              </w:rPr>
              <w:t>项目</w:t>
            </w:r>
            <w:r>
              <w:rPr>
                <w:rFonts w:hint="eastAsia" w:ascii="宋体" w:hAnsi="宋体" w:cs="宋体"/>
                <w:b/>
                <w:bCs/>
                <w:color w:val="auto"/>
                <w:sz w:val="24"/>
                <w:lang w:val="en-US" w:eastAsia="zh-CN"/>
              </w:rPr>
              <w:t>内容</w:t>
            </w:r>
          </w:p>
        </w:tc>
        <w:tc>
          <w:tcPr>
            <w:tcW w:w="1701" w:type="dxa"/>
            <w:vAlign w:val="center"/>
          </w:tcPr>
          <w:p w14:paraId="4FAAA2B2">
            <w:pPr>
              <w:spacing w:line="400" w:lineRule="exact"/>
              <w:jc w:val="center"/>
              <w:rPr>
                <w:rFonts w:ascii="宋体" w:hAnsi="宋体" w:eastAsia="宋体" w:cs="宋体"/>
                <w:b/>
                <w:bCs/>
                <w:color w:val="auto"/>
                <w:sz w:val="24"/>
              </w:rPr>
            </w:pPr>
            <w:r>
              <w:rPr>
                <w:rFonts w:hint="eastAsia" w:ascii="宋体" w:hAnsi="宋体" w:cs="宋体"/>
                <w:b/>
                <w:bCs/>
                <w:color w:val="auto"/>
                <w:sz w:val="24"/>
                <w:lang w:val="en-US" w:eastAsia="zh-CN"/>
              </w:rPr>
              <w:t>供货时间</w:t>
            </w:r>
          </w:p>
        </w:tc>
        <w:tc>
          <w:tcPr>
            <w:tcW w:w="810" w:type="dxa"/>
            <w:vAlign w:val="center"/>
          </w:tcPr>
          <w:p w14:paraId="5E0D755E">
            <w:pPr>
              <w:spacing w:line="400" w:lineRule="exact"/>
              <w:jc w:val="center"/>
              <w:rPr>
                <w:rFonts w:ascii="宋体" w:hAnsi="宋体" w:eastAsia="宋体" w:cs="宋体"/>
                <w:b/>
                <w:bCs/>
                <w:color w:val="auto"/>
                <w:sz w:val="24"/>
              </w:rPr>
            </w:pPr>
            <w:r>
              <w:rPr>
                <w:rFonts w:hint="eastAsia" w:ascii="宋体" w:hAnsi="宋体" w:eastAsia="宋体" w:cs="宋体"/>
                <w:b/>
                <w:bCs/>
                <w:color w:val="auto"/>
                <w:sz w:val="24"/>
              </w:rPr>
              <w:t>备注</w:t>
            </w:r>
          </w:p>
        </w:tc>
      </w:tr>
      <w:tr w14:paraId="0E34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7AB21EF4">
            <w:pPr>
              <w:tabs>
                <w:tab w:val="left" w:pos="322"/>
              </w:tabs>
              <w:spacing w:line="400" w:lineRule="exact"/>
              <w:jc w:val="center"/>
              <w:rPr>
                <w:rFonts w:ascii="宋体" w:hAnsi="宋体" w:eastAsia="宋体" w:cs="宋体"/>
                <w:color w:val="auto"/>
                <w:sz w:val="24"/>
              </w:rPr>
            </w:pPr>
          </w:p>
        </w:tc>
        <w:tc>
          <w:tcPr>
            <w:tcW w:w="2835" w:type="dxa"/>
            <w:vAlign w:val="center"/>
          </w:tcPr>
          <w:p w14:paraId="37612994">
            <w:pPr>
              <w:spacing w:line="400" w:lineRule="exact"/>
              <w:jc w:val="center"/>
              <w:rPr>
                <w:rFonts w:ascii="宋体" w:hAnsi="宋体" w:eastAsia="宋体" w:cs="宋体"/>
                <w:color w:val="auto"/>
                <w:sz w:val="24"/>
              </w:rPr>
            </w:pPr>
          </w:p>
        </w:tc>
        <w:tc>
          <w:tcPr>
            <w:tcW w:w="1701" w:type="dxa"/>
            <w:vAlign w:val="center"/>
          </w:tcPr>
          <w:p w14:paraId="0DD5DADC">
            <w:pPr>
              <w:spacing w:line="400" w:lineRule="exact"/>
              <w:jc w:val="center"/>
              <w:rPr>
                <w:rFonts w:ascii="宋体" w:hAnsi="宋体" w:eastAsia="宋体" w:cs="宋体"/>
                <w:color w:val="auto"/>
                <w:sz w:val="24"/>
              </w:rPr>
            </w:pPr>
          </w:p>
        </w:tc>
        <w:tc>
          <w:tcPr>
            <w:tcW w:w="1701" w:type="dxa"/>
            <w:vAlign w:val="center"/>
          </w:tcPr>
          <w:p w14:paraId="22884282">
            <w:pPr>
              <w:spacing w:line="400" w:lineRule="exact"/>
              <w:jc w:val="center"/>
              <w:rPr>
                <w:rFonts w:ascii="宋体" w:hAnsi="宋体" w:eastAsia="宋体" w:cs="宋体"/>
                <w:color w:val="auto"/>
                <w:sz w:val="24"/>
              </w:rPr>
            </w:pPr>
          </w:p>
        </w:tc>
        <w:tc>
          <w:tcPr>
            <w:tcW w:w="1701" w:type="dxa"/>
            <w:vAlign w:val="center"/>
          </w:tcPr>
          <w:p w14:paraId="031840CB">
            <w:pPr>
              <w:spacing w:line="400" w:lineRule="exact"/>
              <w:jc w:val="center"/>
              <w:rPr>
                <w:rFonts w:ascii="宋体" w:hAnsi="宋体" w:eastAsia="宋体" w:cs="宋体"/>
                <w:color w:val="auto"/>
                <w:sz w:val="24"/>
              </w:rPr>
            </w:pPr>
          </w:p>
        </w:tc>
        <w:tc>
          <w:tcPr>
            <w:tcW w:w="810" w:type="dxa"/>
            <w:vAlign w:val="center"/>
          </w:tcPr>
          <w:p w14:paraId="717A3FDC">
            <w:pPr>
              <w:spacing w:line="400" w:lineRule="exact"/>
              <w:jc w:val="center"/>
              <w:rPr>
                <w:rFonts w:ascii="宋体" w:hAnsi="宋体" w:eastAsia="宋体" w:cs="宋体"/>
                <w:color w:val="auto"/>
                <w:sz w:val="24"/>
              </w:rPr>
            </w:pPr>
          </w:p>
        </w:tc>
      </w:tr>
      <w:tr w14:paraId="64EE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1942FE2E">
            <w:pPr>
              <w:tabs>
                <w:tab w:val="left" w:pos="322"/>
              </w:tabs>
              <w:spacing w:line="400" w:lineRule="exact"/>
              <w:jc w:val="center"/>
              <w:rPr>
                <w:rFonts w:ascii="宋体" w:hAnsi="宋体" w:eastAsia="宋体" w:cs="宋体"/>
                <w:color w:val="auto"/>
                <w:sz w:val="24"/>
              </w:rPr>
            </w:pPr>
          </w:p>
        </w:tc>
        <w:tc>
          <w:tcPr>
            <w:tcW w:w="2835" w:type="dxa"/>
            <w:vAlign w:val="center"/>
          </w:tcPr>
          <w:p w14:paraId="1BFD6EFF">
            <w:pPr>
              <w:spacing w:line="400" w:lineRule="exact"/>
              <w:jc w:val="center"/>
              <w:rPr>
                <w:rFonts w:ascii="宋体" w:hAnsi="宋体" w:eastAsia="宋体" w:cs="宋体"/>
                <w:color w:val="auto"/>
                <w:sz w:val="24"/>
              </w:rPr>
            </w:pPr>
          </w:p>
        </w:tc>
        <w:tc>
          <w:tcPr>
            <w:tcW w:w="1701" w:type="dxa"/>
            <w:vAlign w:val="center"/>
          </w:tcPr>
          <w:p w14:paraId="5711D9F5">
            <w:pPr>
              <w:spacing w:line="400" w:lineRule="exact"/>
              <w:jc w:val="center"/>
              <w:rPr>
                <w:rFonts w:ascii="宋体" w:hAnsi="宋体" w:eastAsia="宋体" w:cs="宋体"/>
                <w:color w:val="auto"/>
                <w:sz w:val="24"/>
              </w:rPr>
            </w:pPr>
          </w:p>
        </w:tc>
        <w:tc>
          <w:tcPr>
            <w:tcW w:w="1701" w:type="dxa"/>
            <w:vAlign w:val="center"/>
          </w:tcPr>
          <w:p w14:paraId="410D25DF">
            <w:pPr>
              <w:spacing w:line="400" w:lineRule="exact"/>
              <w:jc w:val="center"/>
              <w:rPr>
                <w:rFonts w:ascii="宋体" w:hAnsi="宋体" w:eastAsia="宋体" w:cs="宋体"/>
                <w:color w:val="auto"/>
                <w:sz w:val="24"/>
              </w:rPr>
            </w:pPr>
          </w:p>
        </w:tc>
        <w:tc>
          <w:tcPr>
            <w:tcW w:w="1701" w:type="dxa"/>
            <w:vAlign w:val="center"/>
          </w:tcPr>
          <w:p w14:paraId="3645D288">
            <w:pPr>
              <w:spacing w:line="400" w:lineRule="exact"/>
              <w:jc w:val="center"/>
              <w:rPr>
                <w:rFonts w:ascii="宋体" w:hAnsi="宋体" w:eastAsia="宋体" w:cs="宋体"/>
                <w:color w:val="auto"/>
                <w:sz w:val="24"/>
              </w:rPr>
            </w:pPr>
          </w:p>
        </w:tc>
        <w:tc>
          <w:tcPr>
            <w:tcW w:w="810" w:type="dxa"/>
            <w:vAlign w:val="center"/>
          </w:tcPr>
          <w:p w14:paraId="2500138D">
            <w:pPr>
              <w:spacing w:line="400" w:lineRule="exact"/>
              <w:jc w:val="center"/>
              <w:rPr>
                <w:rFonts w:ascii="宋体" w:hAnsi="宋体" w:eastAsia="宋体" w:cs="宋体"/>
                <w:color w:val="auto"/>
                <w:sz w:val="24"/>
              </w:rPr>
            </w:pPr>
          </w:p>
        </w:tc>
      </w:tr>
      <w:tr w14:paraId="4D5A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117691A1">
            <w:pPr>
              <w:tabs>
                <w:tab w:val="left" w:pos="322"/>
              </w:tabs>
              <w:spacing w:line="400" w:lineRule="exact"/>
              <w:jc w:val="center"/>
              <w:rPr>
                <w:rFonts w:ascii="宋体" w:hAnsi="宋体" w:eastAsia="宋体" w:cs="宋体"/>
                <w:color w:val="auto"/>
                <w:sz w:val="24"/>
              </w:rPr>
            </w:pPr>
          </w:p>
        </w:tc>
        <w:tc>
          <w:tcPr>
            <w:tcW w:w="2835" w:type="dxa"/>
            <w:vAlign w:val="center"/>
          </w:tcPr>
          <w:p w14:paraId="337B4A13">
            <w:pPr>
              <w:spacing w:line="400" w:lineRule="exact"/>
              <w:jc w:val="center"/>
              <w:rPr>
                <w:rFonts w:ascii="宋体" w:hAnsi="宋体" w:eastAsia="宋体" w:cs="宋体"/>
                <w:color w:val="auto"/>
                <w:sz w:val="24"/>
              </w:rPr>
            </w:pPr>
          </w:p>
        </w:tc>
        <w:tc>
          <w:tcPr>
            <w:tcW w:w="1701" w:type="dxa"/>
            <w:vAlign w:val="center"/>
          </w:tcPr>
          <w:p w14:paraId="7ECA87A2">
            <w:pPr>
              <w:spacing w:line="400" w:lineRule="exact"/>
              <w:jc w:val="center"/>
              <w:rPr>
                <w:rFonts w:ascii="宋体" w:hAnsi="宋体" w:eastAsia="宋体" w:cs="宋体"/>
                <w:color w:val="auto"/>
                <w:sz w:val="24"/>
              </w:rPr>
            </w:pPr>
          </w:p>
        </w:tc>
        <w:tc>
          <w:tcPr>
            <w:tcW w:w="1701" w:type="dxa"/>
            <w:vAlign w:val="center"/>
          </w:tcPr>
          <w:p w14:paraId="6010D388">
            <w:pPr>
              <w:spacing w:line="400" w:lineRule="exact"/>
              <w:jc w:val="center"/>
              <w:rPr>
                <w:rFonts w:ascii="宋体" w:hAnsi="宋体" w:eastAsia="宋体" w:cs="宋体"/>
                <w:color w:val="auto"/>
                <w:sz w:val="24"/>
              </w:rPr>
            </w:pPr>
          </w:p>
        </w:tc>
        <w:tc>
          <w:tcPr>
            <w:tcW w:w="1701" w:type="dxa"/>
            <w:vAlign w:val="center"/>
          </w:tcPr>
          <w:p w14:paraId="6C74AAC5">
            <w:pPr>
              <w:spacing w:line="400" w:lineRule="exact"/>
              <w:jc w:val="center"/>
              <w:rPr>
                <w:rFonts w:ascii="宋体" w:hAnsi="宋体" w:eastAsia="宋体" w:cs="宋体"/>
                <w:color w:val="auto"/>
                <w:sz w:val="24"/>
              </w:rPr>
            </w:pPr>
          </w:p>
        </w:tc>
        <w:tc>
          <w:tcPr>
            <w:tcW w:w="810" w:type="dxa"/>
            <w:vAlign w:val="center"/>
          </w:tcPr>
          <w:p w14:paraId="1BFD5374">
            <w:pPr>
              <w:spacing w:line="400" w:lineRule="exact"/>
              <w:jc w:val="center"/>
              <w:rPr>
                <w:rFonts w:ascii="宋体" w:hAnsi="宋体" w:eastAsia="宋体" w:cs="宋体"/>
                <w:color w:val="auto"/>
                <w:sz w:val="24"/>
              </w:rPr>
            </w:pPr>
          </w:p>
        </w:tc>
      </w:tr>
      <w:tr w14:paraId="15B7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1F3D5E2D">
            <w:pPr>
              <w:tabs>
                <w:tab w:val="left" w:pos="322"/>
              </w:tabs>
              <w:spacing w:line="400" w:lineRule="exact"/>
              <w:jc w:val="center"/>
              <w:rPr>
                <w:rFonts w:ascii="宋体" w:hAnsi="宋体" w:eastAsia="宋体" w:cs="宋体"/>
                <w:color w:val="auto"/>
                <w:sz w:val="24"/>
              </w:rPr>
            </w:pPr>
          </w:p>
        </w:tc>
        <w:tc>
          <w:tcPr>
            <w:tcW w:w="2835" w:type="dxa"/>
            <w:vAlign w:val="center"/>
          </w:tcPr>
          <w:p w14:paraId="707A0249">
            <w:pPr>
              <w:spacing w:line="400" w:lineRule="exact"/>
              <w:jc w:val="center"/>
              <w:rPr>
                <w:rFonts w:ascii="宋体" w:hAnsi="宋体" w:eastAsia="宋体" w:cs="宋体"/>
                <w:color w:val="auto"/>
                <w:sz w:val="24"/>
              </w:rPr>
            </w:pPr>
          </w:p>
        </w:tc>
        <w:tc>
          <w:tcPr>
            <w:tcW w:w="1701" w:type="dxa"/>
            <w:vAlign w:val="center"/>
          </w:tcPr>
          <w:p w14:paraId="7CA51E0B">
            <w:pPr>
              <w:spacing w:line="400" w:lineRule="exact"/>
              <w:jc w:val="center"/>
              <w:rPr>
                <w:rFonts w:ascii="宋体" w:hAnsi="宋体" w:eastAsia="宋体" w:cs="宋体"/>
                <w:color w:val="auto"/>
                <w:sz w:val="24"/>
              </w:rPr>
            </w:pPr>
          </w:p>
        </w:tc>
        <w:tc>
          <w:tcPr>
            <w:tcW w:w="1701" w:type="dxa"/>
            <w:vAlign w:val="center"/>
          </w:tcPr>
          <w:p w14:paraId="78938504">
            <w:pPr>
              <w:spacing w:line="400" w:lineRule="exact"/>
              <w:jc w:val="center"/>
              <w:rPr>
                <w:rFonts w:ascii="宋体" w:hAnsi="宋体" w:eastAsia="宋体" w:cs="宋体"/>
                <w:color w:val="auto"/>
                <w:sz w:val="24"/>
              </w:rPr>
            </w:pPr>
          </w:p>
        </w:tc>
        <w:tc>
          <w:tcPr>
            <w:tcW w:w="1701" w:type="dxa"/>
            <w:vAlign w:val="center"/>
          </w:tcPr>
          <w:p w14:paraId="5C61C089">
            <w:pPr>
              <w:spacing w:line="400" w:lineRule="exact"/>
              <w:jc w:val="center"/>
              <w:rPr>
                <w:rFonts w:ascii="宋体" w:hAnsi="宋体" w:eastAsia="宋体" w:cs="宋体"/>
                <w:color w:val="auto"/>
                <w:sz w:val="24"/>
              </w:rPr>
            </w:pPr>
          </w:p>
        </w:tc>
        <w:tc>
          <w:tcPr>
            <w:tcW w:w="810" w:type="dxa"/>
            <w:vAlign w:val="center"/>
          </w:tcPr>
          <w:p w14:paraId="1390E613">
            <w:pPr>
              <w:spacing w:line="400" w:lineRule="exact"/>
              <w:jc w:val="center"/>
              <w:rPr>
                <w:rFonts w:ascii="宋体" w:hAnsi="宋体" w:eastAsia="宋体" w:cs="宋体"/>
                <w:color w:val="auto"/>
                <w:sz w:val="24"/>
              </w:rPr>
            </w:pPr>
          </w:p>
        </w:tc>
      </w:tr>
      <w:tr w14:paraId="5863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4445F29D">
            <w:pPr>
              <w:tabs>
                <w:tab w:val="left" w:pos="322"/>
              </w:tabs>
              <w:spacing w:line="400" w:lineRule="exact"/>
              <w:jc w:val="center"/>
              <w:rPr>
                <w:rFonts w:ascii="宋体" w:hAnsi="宋体" w:eastAsia="宋体" w:cs="宋体"/>
                <w:color w:val="auto"/>
                <w:sz w:val="24"/>
              </w:rPr>
            </w:pPr>
          </w:p>
        </w:tc>
        <w:tc>
          <w:tcPr>
            <w:tcW w:w="2835" w:type="dxa"/>
            <w:vAlign w:val="center"/>
          </w:tcPr>
          <w:p w14:paraId="136CC7DD">
            <w:pPr>
              <w:spacing w:line="400" w:lineRule="exact"/>
              <w:jc w:val="center"/>
              <w:rPr>
                <w:rFonts w:ascii="宋体" w:hAnsi="宋体" w:eastAsia="宋体" w:cs="宋体"/>
                <w:color w:val="auto"/>
                <w:sz w:val="24"/>
              </w:rPr>
            </w:pPr>
          </w:p>
        </w:tc>
        <w:tc>
          <w:tcPr>
            <w:tcW w:w="1701" w:type="dxa"/>
            <w:vAlign w:val="center"/>
          </w:tcPr>
          <w:p w14:paraId="799EB48E">
            <w:pPr>
              <w:spacing w:line="400" w:lineRule="exact"/>
              <w:jc w:val="center"/>
              <w:rPr>
                <w:rFonts w:ascii="宋体" w:hAnsi="宋体" w:eastAsia="宋体" w:cs="宋体"/>
                <w:color w:val="auto"/>
                <w:sz w:val="24"/>
              </w:rPr>
            </w:pPr>
          </w:p>
        </w:tc>
        <w:tc>
          <w:tcPr>
            <w:tcW w:w="1701" w:type="dxa"/>
            <w:vAlign w:val="center"/>
          </w:tcPr>
          <w:p w14:paraId="28BE4551">
            <w:pPr>
              <w:spacing w:line="400" w:lineRule="exact"/>
              <w:jc w:val="center"/>
              <w:rPr>
                <w:rFonts w:ascii="宋体" w:hAnsi="宋体" w:eastAsia="宋体" w:cs="宋体"/>
                <w:color w:val="auto"/>
                <w:sz w:val="24"/>
              </w:rPr>
            </w:pPr>
          </w:p>
        </w:tc>
        <w:tc>
          <w:tcPr>
            <w:tcW w:w="1701" w:type="dxa"/>
            <w:vAlign w:val="center"/>
          </w:tcPr>
          <w:p w14:paraId="426F015B">
            <w:pPr>
              <w:spacing w:line="400" w:lineRule="exact"/>
              <w:jc w:val="center"/>
              <w:rPr>
                <w:rFonts w:ascii="宋体" w:hAnsi="宋体" w:eastAsia="宋体" w:cs="宋体"/>
                <w:color w:val="auto"/>
                <w:sz w:val="24"/>
              </w:rPr>
            </w:pPr>
          </w:p>
        </w:tc>
        <w:tc>
          <w:tcPr>
            <w:tcW w:w="810" w:type="dxa"/>
            <w:vAlign w:val="center"/>
          </w:tcPr>
          <w:p w14:paraId="039FA6A4">
            <w:pPr>
              <w:spacing w:line="400" w:lineRule="exact"/>
              <w:jc w:val="center"/>
              <w:rPr>
                <w:rFonts w:ascii="宋体" w:hAnsi="宋体" w:eastAsia="宋体" w:cs="宋体"/>
                <w:color w:val="auto"/>
                <w:sz w:val="24"/>
              </w:rPr>
            </w:pPr>
          </w:p>
        </w:tc>
      </w:tr>
      <w:tr w14:paraId="2A12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5F46FCBC">
            <w:pPr>
              <w:tabs>
                <w:tab w:val="left" w:pos="322"/>
              </w:tabs>
              <w:spacing w:line="400" w:lineRule="exact"/>
              <w:jc w:val="center"/>
              <w:rPr>
                <w:rFonts w:ascii="宋体" w:hAnsi="宋体" w:eastAsia="宋体" w:cs="宋体"/>
                <w:color w:val="auto"/>
                <w:sz w:val="24"/>
              </w:rPr>
            </w:pPr>
          </w:p>
        </w:tc>
        <w:tc>
          <w:tcPr>
            <w:tcW w:w="2835" w:type="dxa"/>
            <w:vAlign w:val="center"/>
          </w:tcPr>
          <w:p w14:paraId="34E3B10E">
            <w:pPr>
              <w:spacing w:line="400" w:lineRule="exact"/>
              <w:jc w:val="center"/>
              <w:rPr>
                <w:rFonts w:ascii="宋体" w:hAnsi="宋体" w:eastAsia="宋体" w:cs="宋体"/>
                <w:color w:val="auto"/>
                <w:sz w:val="24"/>
              </w:rPr>
            </w:pPr>
          </w:p>
        </w:tc>
        <w:tc>
          <w:tcPr>
            <w:tcW w:w="1701" w:type="dxa"/>
            <w:vAlign w:val="center"/>
          </w:tcPr>
          <w:p w14:paraId="1AF18FDA">
            <w:pPr>
              <w:spacing w:line="400" w:lineRule="exact"/>
              <w:jc w:val="center"/>
              <w:rPr>
                <w:rFonts w:ascii="宋体" w:hAnsi="宋体" w:eastAsia="宋体" w:cs="宋体"/>
                <w:color w:val="auto"/>
                <w:sz w:val="24"/>
              </w:rPr>
            </w:pPr>
          </w:p>
        </w:tc>
        <w:tc>
          <w:tcPr>
            <w:tcW w:w="1701" w:type="dxa"/>
            <w:vAlign w:val="center"/>
          </w:tcPr>
          <w:p w14:paraId="6CD8BC0B">
            <w:pPr>
              <w:spacing w:line="400" w:lineRule="exact"/>
              <w:jc w:val="center"/>
              <w:rPr>
                <w:rFonts w:ascii="宋体" w:hAnsi="宋体" w:eastAsia="宋体" w:cs="宋体"/>
                <w:color w:val="auto"/>
                <w:sz w:val="24"/>
              </w:rPr>
            </w:pPr>
          </w:p>
        </w:tc>
        <w:tc>
          <w:tcPr>
            <w:tcW w:w="1701" w:type="dxa"/>
            <w:vAlign w:val="center"/>
          </w:tcPr>
          <w:p w14:paraId="26AD0684">
            <w:pPr>
              <w:spacing w:line="400" w:lineRule="exact"/>
              <w:jc w:val="center"/>
              <w:rPr>
                <w:rFonts w:ascii="宋体" w:hAnsi="宋体" w:eastAsia="宋体" w:cs="宋体"/>
                <w:color w:val="auto"/>
                <w:sz w:val="24"/>
              </w:rPr>
            </w:pPr>
          </w:p>
        </w:tc>
        <w:tc>
          <w:tcPr>
            <w:tcW w:w="810" w:type="dxa"/>
            <w:vAlign w:val="center"/>
          </w:tcPr>
          <w:p w14:paraId="75EB8549">
            <w:pPr>
              <w:spacing w:line="400" w:lineRule="exact"/>
              <w:jc w:val="center"/>
              <w:rPr>
                <w:rFonts w:ascii="宋体" w:hAnsi="宋体" w:eastAsia="宋体" w:cs="宋体"/>
                <w:color w:val="auto"/>
                <w:sz w:val="24"/>
              </w:rPr>
            </w:pPr>
          </w:p>
        </w:tc>
      </w:tr>
      <w:tr w14:paraId="710C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70CC509E">
            <w:pPr>
              <w:tabs>
                <w:tab w:val="left" w:pos="322"/>
              </w:tabs>
              <w:spacing w:line="400" w:lineRule="exact"/>
              <w:jc w:val="center"/>
              <w:rPr>
                <w:rFonts w:ascii="宋体" w:hAnsi="宋体" w:eastAsia="宋体" w:cs="宋体"/>
                <w:color w:val="auto"/>
                <w:sz w:val="24"/>
              </w:rPr>
            </w:pPr>
          </w:p>
        </w:tc>
        <w:tc>
          <w:tcPr>
            <w:tcW w:w="2835" w:type="dxa"/>
            <w:vAlign w:val="center"/>
          </w:tcPr>
          <w:p w14:paraId="48DAD129">
            <w:pPr>
              <w:spacing w:line="400" w:lineRule="exact"/>
              <w:jc w:val="center"/>
              <w:rPr>
                <w:rFonts w:ascii="宋体" w:hAnsi="宋体" w:eastAsia="宋体" w:cs="宋体"/>
                <w:color w:val="auto"/>
                <w:sz w:val="24"/>
              </w:rPr>
            </w:pPr>
          </w:p>
        </w:tc>
        <w:tc>
          <w:tcPr>
            <w:tcW w:w="1701" w:type="dxa"/>
            <w:vAlign w:val="center"/>
          </w:tcPr>
          <w:p w14:paraId="245298C9">
            <w:pPr>
              <w:spacing w:line="400" w:lineRule="exact"/>
              <w:jc w:val="center"/>
              <w:rPr>
                <w:rFonts w:ascii="宋体" w:hAnsi="宋体" w:eastAsia="宋体" w:cs="宋体"/>
                <w:color w:val="auto"/>
                <w:sz w:val="24"/>
              </w:rPr>
            </w:pPr>
          </w:p>
        </w:tc>
        <w:tc>
          <w:tcPr>
            <w:tcW w:w="1701" w:type="dxa"/>
            <w:vAlign w:val="center"/>
          </w:tcPr>
          <w:p w14:paraId="42AF88EF">
            <w:pPr>
              <w:spacing w:line="400" w:lineRule="exact"/>
              <w:jc w:val="center"/>
              <w:rPr>
                <w:rFonts w:ascii="宋体" w:hAnsi="宋体" w:eastAsia="宋体" w:cs="宋体"/>
                <w:color w:val="auto"/>
                <w:sz w:val="24"/>
              </w:rPr>
            </w:pPr>
          </w:p>
        </w:tc>
        <w:tc>
          <w:tcPr>
            <w:tcW w:w="1701" w:type="dxa"/>
            <w:vAlign w:val="center"/>
          </w:tcPr>
          <w:p w14:paraId="09DBC49B">
            <w:pPr>
              <w:spacing w:line="400" w:lineRule="exact"/>
              <w:jc w:val="center"/>
              <w:rPr>
                <w:rFonts w:ascii="宋体" w:hAnsi="宋体" w:eastAsia="宋体" w:cs="宋体"/>
                <w:color w:val="auto"/>
                <w:sz w:val="24"/>
              </w:rPr>
            </w:pPr>
          </w:p>
        </w:tc>
        <w:tc>
          <w:tcPr>
            <w:tcW w:w="810" w:type="dxa"/>
            <w:vAlign w:val="center"/>
          </w:tcPr>
          <w:p w14:paraId="5F38C6AD">
            <w:pPr>
              <w:spacing w:line="400" w:lineRule="exact"/>
              <w:jc w:val="center"/>
              <w:rPr>
                <w:rFonts w:ascii="宋体" w:hAnsi="宋体" w:eastAsia="宋体" w:cs="宋体"/>
                <w:color w:val="auto"/>
                <w:sz w:val="24"/>
              </w:rPr>
            </w:pPr>
          </w:p>
        </w:tc>
      </w:tr>
      <w:tr w14:paraId="5D5D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48DCE13B">
            <w:pPr>
              <w:tabs>
                <w:tab w:val="left" w:pos="322"/>
              </w:tabs>
              <w:spacing w:line="400" w:lineRule="exact"/>
              <w:jc w:val="center"/>
              <w:rPr>
                <w:rFonts w:ascii="宋体" w:hAnsi="宋体" w:eastAsia="宋体" w:cs="宋体"/>
                <w:color w:val="auto"/>
                <w:sz w:val="24"/>
              </w:rPr>
            </w:pPr>
          </w:p>
        </w:tc>
        <w:tc>
          <w:tcPr>
            <w:tcW w:w="2835" w:type="dxa"/>
            <w:vAlign w:val="center"/>
          </w:tcPr>
          <w:p w14:paraId="6D7C5D62">
            <w:pPr>
              <w:spacing w:line="400" w:lineRule="exact"/>
              <w:jc w:val="center"/>
              <w:rPr>
                <w:rFonts w:ascii="宋体" w:hAnsi="宋体" w:eastAsia="宋体" w:cs="宋体"/>
                <w:color w:val="auto"/>
                <w:sz w:val="24"/>
              </w:rPr>
            </w:pPr>
          </w:p>
        </w:tc>
        <w:tc>
          <w:tcPr>
            <w:tcW w:w="1701" w:type="dxa"/>
            <w:vAlign w:val="center"/>
          </w:tcPr>
          <w:p w14:paraId="55F38894">
            <w:pPr>
              <w:spacing w:line="400" w:lineRule="exact"/>
              <w:jc w:val="center"/>
              <w:rPr>
                <w:rFonts w:ascii="宋体" w:hAnsi="宋体" w:eastAsia="宋体" w:cs="宋体"/>
                <w:color w:val="auto"/>
                <w:sz w:val="24"/>
              </w:rPr>
            </w:pPr>
          </w:p>
        </w:tc>
        <w:tc>
          <w:tcPr>
            <w:tcW w:w="1701" w:type="dxa"/>
            <w:vAlign w:val="center"/>
          </w:tcPr>
          <w:p w14:paraId="678C3ADD">
            <w:pPr>
              <w:spacing w:line="400" w:lineRule="exact"/>
              <w:jc w:val="center"/>
              <w:rPr>
                <w:rFonts w:ascii="宋体" w:hAnsi="宋体" w:eastAsia="宋体" w:cs="宋体"/>
                <w:color w:val="auto"/>
                <w:sz w:val="24"/>
              </w:rPr>
            </w:pPr>
          </w:p>
        </w:tc>
        <w:tc>
          <w:tcPr>
            <w:tcW w:w="1701" w:type="dxa"/>
            <w:vAlign w:val="center"/>
          </w:tcPr>
          <w:p w14:paraId="51025069">
            <w:pPr>
              <w:spacing w:line="400" w:lineRule="exact"/>
              <w:jc w:val="center"/>
              <w:rPr>
                <w:rFonts w:ascii="宋体" w:hAnsi="宋体" w:eastAsia="宋体" w:cs="宋体"/>
                <w:color w:val="auto"/>
                <w:sz w:val="24"/>
              </w:rPr>
            </w:pPr>
          </w:p>
        </w:tc>
        <w:tc>
          <w:tcPr>
            <w:tcW w:w="810" w:type="dxa"/>
            <w:vAlign w:val="center"/>
          </w:tcPr>
          <w:p w14:paraId="3F312EA4">
            <w:pPr>
              <w:spacing w:line="400" w:lineRule="exact"/>
              <w:jc w:val="center"/>
              <w:rPr>
                <w:rFonts w:ascii="宋体" w:hAnsi="宋体" w:eastAsia="宋体" w:cs="宋体"/>
                <w:color w:val="auto"/>
                <w:sz w:val="24"/>
              </w:rPr>
            </w:pPr>
          </w:p>
        </w:tc>
      </w:tr>
      <w:tr w14:paraId="755E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7C12163E">
            <w:pPr>
              <w:tabs>
                <w:tab w:val="left" w:pos="322"/>
              </w:tabs>
              <w:spacing w:line="400" w:lineRule="exact"/>
              <w:jc w:val="center"/>
              <w:rPr>
                <w:rFonts w:ascii="宋体" w:hAnsi="宋体" w:eastAsia="宋体" w:cs="宋体"/>
                <w:color w:val="auto"/>
                <w:sz w:val="24"/>
              </w:rPr>
            </w:pPr>
          </w:p>
        </w:tc>
        <w:tc>
          <w:tcPr>
            <w:tcW w:w="2835" w:type="dxa"/>
            <w:vAlign w:val="center"/>
          </w:tcPr>
          <w:p w14:paraId="571EC343">
            <w:pPr>
              <w:spacing w:line="400" w:lineRule="exact"/>
              <w:jc w:val="center"/>
              <w:rPr>
                <w:rFonts w:ascii="宋体" w:hAnsi="宋体" w:eastAsia="宋体" w:cs="宋体"/>
                <w:color w:val="auto"/>
                <w:sz w:val="24"/>
              </w:rPr>
            </w:pPr>
          </w:p>
        </w:tc>
        <w:tc>
          <w:tcPr>
            <w:tcW w:w="1701" w:type="dxa"/>
            <w:vAlign w:val="center"/>
          </w:tcPr>
          <w:p w14:paraId="33C3CE82">
            <w:pPr>
              <w:spacing w:line="400" w:lineRule="exact"/>
              <w:jc w:val="center"/>
              <w:rPr>
                <w:rFonts w:ascii="宋体" w:hAnsi="宋体" w:eastAsia="宋体" w:cs="宋体"/>
                <w:color w:val="auto"/>
                <w:sz w:val="24"/>
              </w:rPr>
            </w:pPr>
          </w:p>
        </w:tc>
        <w:tc>
          <w:tcPr>
            <w:tcW w:w="1701" w:type="dxa"/>
            <w:vAlign w:val="center"/>
          </w:tcPr>
          <w:p w14:paraId="6B3A1BD1">
            <w:pPr>
              <w:spacing w:line="400" w:lineRule="exact"/>
              <w:jc w:val="center"/>
              <w:rPr>
                <w:rFonts w:ascii="宋体" w:hAnsi="宋体" w:eastAsia="宋体" w:cs="宋体"/>
                <w:color w:val="auto"/>
                <w:sz w:val="24"/>
              </w:rPr>
            </w:pPr>
          </w:p>
        </w:tc>
        <w:tc>
          <w:tcPr>
            <w:tcW w:w="1701" w:type="dxa"/>
            <w:vAlign w:val="center"/>
          </w:tcPr>
          <w:p w14:paraId="690E4F72">
            <w:pPr>
              <w:spacing w:line="400" w:lineRule="exact"/>
              <w:jc w:val="center"/>
              <w:rPr>
                <w:rFonts w:ascii="宋体" w:hAnsi="宋体" w:eastAsia="宋体" w:cs="宋体"/>
                <w:color w:val="auto"/>
                <w:sz w:val="24"/>
              </w:rPr>
            </w:pPr>
          </w:p>
        </w:tc>
        <w:tc>
          <w:tcPr>
            <w:tcW w:w="810" w:type="dxa"/>
            <w:vAlign w:val="center"/>
          </w:tcPr>
          <w:p w14:paraId="2741815E">
            <w:pPr>
              <w:spacing w:line="400" w:lineRule="exact"/>
              <w:jc w:val="center"/>
              <w:rPr>
                <w:rFonts w:ascii="宋体" w:hAnsi="宋体" w:eastAsia="宋体" w:cs="宋体"/>
                <w:color w:val="auto"/>
                <w:sz w:val="24"/>
              </w:rPr>
            </w:pPr>
          </w:p>
        </w:tc>
      </w:tr>
      <w:tr w14:paraId="6876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21E1B319">
            <w:pPr>
              <w:tabs>
                <w:tab w:val="left" w:pos="322"/>
              </w:tabs>
              <w:spacing w:line="400" w:lineRule="exact"/>
              <w:jc w:val="center"/>
              <w:rPr>
                <w:rFonts w:ascii="宋体" w:hAnsi="宋体" w:eastAsia="宋体" w:cs="宋体"/>
                <w:color w:val="auto"/>
                <w:sz w:val="24"/>
              </w:rPr>
            </w:pPr>
          </w:p>
        </w:tc>
        <w:tc>
          <w:tcPr>
            <w:tcW w:w="2835" w:type="dxa"/>
            <w:vAlign w:val="center"/>
          </w:tcPr>
          <w:p w14:paraId="7BF5E42E">
            <w:pPr>
              <w:spacing w:line="400" w:lineRule="exact"/>
              <w:jc w:val="center"/>
              <w:rPr>
                <w:rFonts w:ascii="宋体" w:hAnsi="宋体" w:eastAsia="宋体" w:cs="宋体"/>
                <w:color w:val="auto"/>
                <w:sz w:val="24"/>
              </w:rPr>
            </w:pPr>
          </w:p>
        </w:tc>
        <w:tc>
          <w:tcPr>
            <w:tcW w:w="1701" w:type="dxa"/>
            <w:vAlign w:val="center"/>
          </w:tcPr>
          <w:p w14:paraId="1CD26A28">
            <w:pPr>
              <w:spacing w:line="400" w:lineRule="exact"/>
              <w:jc w:val="center"/>
              <w:rPr>
                <w:rFonts w:ascii="宋体" w:hAnsi="宋体" w:eastAsia="宋体" w:cs="宋体"/>
                <w:color w:val="auto"/>
                <w:sz w:val="24"/>
              </w:rPr>
            </w:pPr>
          </w:p>
        </w:tc>
        <w:tc>
          <w:tcPr>
            <w:tcW w:w="1701" w:type="dxa"/>
            <w:vAlign w:val="center"/>
          </w:tcPr>
          <w:p w14:paraId="3F1C5B2E">
            <w:pPr>
              <w:spacing w:line="400" w:lineRule="exact"/>
              <w:jc w:val="center"/>
              <w:rPr>
                <w:rFonts w:ascii="宋体" w:hAnsi="宋体" w:eastAsia="宋体" w:cs="宋体"/>
                <w:color w:val="auto"/>
                <w:sz w:val="24"/>
              </w:rPr>
            </w:pPr>
          </w:p>
        </w:tc>
        <w:tc>
          <w:tcPr>
            <w:tcW w:w="1701" w:type="dxa"/>
            <w:vAlign w:val="center"/>
          </w:tcPr>
          <w:p w14:paraId="6758D758">
            <w:pPr>
              <w:spacing w:line="400" w:lineRule="exact"/>
              <w:jc w:val="center"/>
              <w:rPr>
                <w:rFonts w:ascii="宋体" w:hAnsi="宋体" w:eastAsia="宋体" w:cs="宋体"/>
                <w:color w:val="auto"/>
                <w:sz w:val="24"/>
              </w:rPr>
            </w:pPr>
          </w:p>
        </w:tc>
        <w:tc>
          <w:tcPr>
            <w:tcW w:w="810" w:type="dxa"/>
            <w:vAlign w:val="center"/>
          </w:tcPr>
          <w:p w14:paraId="405A9D92">
            <w:pPr>
              <w:spacing w:line="400" w:lineRule="exact"/>
              <w:jc w:val="center"/>
              <w:rPr>
                <w:rFonts w:ascii="宋体" w:hAnsi="宋体" w:eastAsia="宋体" w:cs="宋体"/>
                <w:color w:val="auto"/>
                <w:sz w:val="24"/>
              </w:rPr>
            </w:pPr>
          </w:p>
        </w:tc>
      </w:tr>
      <w:tr w14:paraId="3195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72BCC330">
            <w:pPr>
              <w:tabs>
                <w:tab w:val="left" w:pos="322"/>
              </w:tabs>
              <w:spacing w:line="400" w:lineRule="exact"/>
              <w:jc w:val="center"/>
              <w:rPr>
                <w:rFonts w:ascii="宋体" w:hAnsi="宋体" w:eastAsia="宋体" w:cs="宋体"/>
                <w:color w:val="auto"/>
                <w:sz w:val="24"/>
              </w:rPr>
            </w:pPr>
          </w:p>
        </w:tc>
        <w:tc>
          <w:tcPr>
            <w:tcW w:w="2835" w:type="dxa"/>
            <w:vAlign w:val="center"/>
          </w:tcPr>
          <w:p w14:paraId="25A0CDED">
            <w:pPr>
              <w:spacing w:line="400" w:lineRule="exact"/>
              <w:jc w:val="center"/>
              <w:rPr>
                <w:rFonts w:ascii="宋体" w:hAnsi="宋体" w:eastAsia="宋体" w:cs="宋体"/>
                <w:color w:val="auto"/>
                <w:sz w:val="24"/>
              </w:rPr>
            </w:pPr>
          </w:p>
        </w:tc>
        <w:tc>
          <w:tcPr>
            <w:tcW w:w="1701" w:type="dxa"/>
            <w:vAlign w:val="center"/>
          </w:tcPr>
          <w:p w14:paraId="63D251D9">
            <w:pPr>
              <w:spacing w:line="400" w:lineRule="exact"/>
              <w:jc w:val="center"/>
              <w:rPr>
                <w:rFonts w:ascii="宋体" w:hAnsi="宋体" w:eastAsia="宋体" w:cs="宋体"/>
                <w:color w:val="auto"/>
                <w:sz w:val="24"/>
              </w:rPr>
            </w:pPr>
          </w:p>
        </w:tc>
        <w:tc>
          <w:tcPr>
            <w:tcW w:w="1701" w:type="dxa"/>
            <w:vAlign w:val="center"/>
          </w:tcPr>
          <w:p w14:paraId="60D00DDB">
            <w:pPr>
              <w:spacing w:line="400" w:lineRule="exact"/>
              <w:jc w:val="center"/>
              <w:rPr>
                <w:rFonts w:ascii="宋体" w:hAnsi="宋体" w:eastAsia="宋体" w:cs="宋体"/>
                <w:color w:val="auto"/>
                <w:sz w:val="24"/>
              </w:rPr>
            </w:pPr>
          </w:p>
        </w:tc>
        <w:tc>
          <w:tcPr>
            <w:tcW w:w="1701" w:type="dxa"/>
            <w:vAlign w:val="center"/>
          </w:tcPr>
          <w:p w14:paraId="2EF31485">
            <w:pPr>
              <w:spacing w:line="400" w:lineRule="exact"/>
              <w:jc w:val="center"/>
              <w:rPr>
                <w:rFonts w:ascii="宋体" w:hAnsi="宋体" w:eastAsia="宋体" w:cs="宋体"/>
                <w:color w:val="auto"/>
                <w:sz w:val="24"/>
              </w:rPr>
            </w:pPr>
          </w:p>
        </w:tc>
        <w:tc>
          <w:tcPr>
            <w:tcW w:w="810" w:type="dxa"/>
            <w:vAlign w:val="center"/>
          </w:tcPr>
          <w:p w14:paraId="13A38416">
            <w:pPr>
              <w:spacing w:line="400" w:lineRule="exact"/>
              <w:jc w:val="center"/>
              <w:rPr>
                <w:rFonts w:ascii="宋体" w:hAnsi="宋体" w:eastAsia="宋体" w:cs="宋体"/>
                <w:color w:val="auto"/>
                <w:sz w:val="24"/>
              </w:rPr>
            </w:pPr>
          </w:p>
        </w:tc>
      </w:tr>
      <w:tr w14:paraId="5EE2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02E27616">
            <w:pPr>
              <w:tabs>
                <w:tab w:val="left" w:pos="322"/>
              </w:tabs>
              <w:spacing w:line="400" w:lineRule="exact"/>
              <w:jc w:val="center"/>
              <w:rPr>
                <w:rFonts w:ascii="宋体" w:hAnsi="宋体" w:eastAsia="宋体" w:cs="宋体"/>
                <w:color w:val="auto"/>
                <w:sz w:val="24"/>
              </w:rPr>
            </w:pPr>
          </w:p>
        </w:tc>
        <w:tc>
          <w:tcPr>
            <w:tcW w:w="2835" w:type="dxa"/>
            <w:vAlign w:val="center"/>
          </w:tcPr>
          <w:p w14:paraId="5459A73A">
            <w:pPr>
              <w:spacing w:line="400" w:lineRule="exact"/>
              <w:jc w:val="center"/>
              <w:rPr>
                <w:rFonts w:ascii="宋体" w:hAnsi="宋体" w:eastAsia="宋体" w:cs="宋体"/>
                <w:color w:val="auto"/>
                <w:sz w:val="24"/>
              </w:rPr>
            </w:pPr>
          </w:p>
        </w:tc>
        <w:tc>
          <w:tcPr>
            <w:tcW w:w="1701" w:type="dxa"/>
            <w:vAlign w:val="center"/>
          </w:tcPr>
          <w:p w14:paraId="3446CEB8">
            <w:pPr>
              <w:spacing w:line="400" w:lineRule="exact"/>
              <w:jc w:val="center"/>
              <w:rPr>
                <w:rFonts w:ascii="宋体" w:hAnsi="宋体" w:eastAsia="宋体" w:cs="宋体"/>
                <w:color w:val="auto"/>
                <w:sz w:val="24"/>
              </w:rPr>
            </w:pPr>
          </w:p>
        </w:tc>
        <w:tc>
          <w:tcPr>
            <w:tcW w:w="1701" w:type="dxa"/>
            <w:vAlign w:val="center"/>
          </w:tcPr>
          <w:p w14:paraId="6E70D632">
            <w:pPr>
              <w:spacing w:line="400" w:lineRule="exact"/>
              <w:jc w:val="center"/>
              <w:rPr>
                <w:rFonts w:ascii="宋体" w:hAnsi="宋体" w:eastAsia="宋体" w:cs="宋体"/>
                <w:color w:val="auto"/>
                <w:sz w:val="24"/>
              </w:rPr>
            </w:pPr>
          </w:p>
        </w:tc>
        <w:tc>
          <w:tcPr>
            <w:tcW w:w="1701" w:type="dxa"/>
            <w:vAlign w:val="center"/>
          </w:tcPr>
          <w:p w14:paraId="04B21E18">
            <w:pPr>
              <w:spacing w:line="400" w:lineRule="exact"/>
              <w:jc w:val="center"/>
              <w:rPr>
                <w:rFonts w:ascii="宋体" w:hAnsi="宋体" w:eastAsia="宋体" w:cs="宋体"/>
                <w:color w:val="auto"/>
                <w:sz w:val="24"/>
              </w:rPr>
            </w:pPr>
          </w:p>
        </w:tc>
        <w:tc>
          <w:tcPr>
            <w:tcW w:w="810" w:type="dxa"/>
            <w:vAlign w:val="center"/>
          </w:tcPr>
          <w:p w14:paraId="02940556">
            <w:pPr>
              <w:spacing w:line="400" w:lineRule="exact"/>
              <w:jc w:val="center"/>
              <w:rPr>
                <w:rFonts w:ascii="宋体" w:hAnsi="宋体" w:eastAsia="宋体" w:cs="宋体"/>
                <w:color w:val="auto"/>
                <w:sz w:val="24"/>
              </w:rPr>
            </w:pPr>
          </w:p>
        </w:tc>
      </w:tr>
      <w:tr w14:paraId="6E33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1988586A">
            <w:pPr>
              <w:tabs>
                <w:tab w:val="left" w:pos="322"/>
              </w:tabs>
              <w:spacing w:line="400" w:lineRule="exact"/>
              <w:jc w:val="center"/>
              <w:rPr>
                <w:rFonts w:ascii="宋体" w:hAnsi="宋体" w:eastAsia="宋体" w:cs="宋体"/>
                <w:color w:val="auto"/>
                <w:sz w:val="24"/>
              </w:rPr>
            </w:pPr>
          </w:p>
        </w:tc>
        <w:tc>
          <w:tcPr>
            <w:tcW w:w="2835" w:type="dxa"/>
            <w:vAlign w:val="center"/>
          </w:tcPr>
          <w:p w14:paraId="6A422016">
            <w:pPr>
              <w:spacing w:line="400" w:lineRule="exact"/>
              <w:jc w:val="center"/>
              <w:rPr>
                <w:rFonts w:ascii="宋体" w:hAnsi="宋体" w:eastAsia="宋体" w:cs="宋体"/>
                <w:color w:val="auto"/>
                <w:sz w:val="24"/>
              </w:rPr>
            </w:pPr>
          </w:p>
        </w:tc>
        <w:tc>
          <w:tcPr>
            <w:tcW w:w="1701" w:type="dxa"/>
            <w:vAlign w:val="center"/>
          </w:tcPr>
          <w:p w14:paraId="0534701B">
            <w:pPr>
              <w:spacing w:line="400" w:lineRule="exact"/>
              <w:jc w:val="center"/>
              <w:rPr>
                <w:rFonts w:ascii="宋体" w:hAnsi="宋体" w:eastAsia="宋体" w:cs="宋体"/>
                <w:color w:val="auto"/>
                <w:sz w:val="24"/>
              </w:rPr>
            </w:pPr>
          </w:p>
        </w:tc>
        <w:tc>
          <w:tcPr>
            <w:tcW w:w="1701" w:type="dxa"/>
            <w:vAlign w:val="center"/>
          </w:tcPr>
          <w:p w14:paraId="08C3422D">
            <w:pPr>
              <w:spacing w:line="400" w:lineRule="exact"/>
              <w:jc w:val="center"/>
              <w:rPr>
                <w:rFonts w:ascii="宋体" w:hAnsi="宋体" w:eastAsia="宋体" w:cs="宋体"/>
                <w:color w:val="auto"/>
                <w:sz w:val="24"/>
              </w:rPr>
            </w:pPr>
          </w:p>
        </w:tc>
        <w:tc>
          <w:tcPr>
            <w:tcW w:w="1701" w:type="dxa"/>
            <w:vAlign w:val="center"/>
          </w:tcPr>
          <w:p w14:paraId="262BCB8A">
            <w:pPr>
              <w:spacing w:line="400" w:lineRule="exact"/>
              <w:jc w:val="center"/>
              <w:rPr>
                <w:rFonts w:ascii="宋体" w:hAnsi="宋体" w:eastAsia="宋体" w:cs="宋体"/>
                <w:color w:val="auto"/>
                <w:sz w:val="24"/>
              </w:rPr>
            </w:pPr>
          </w:p>
        </w:tc>
        <w:tc>
          <w:tcPr>
            <w:tcW w:w="810" w:type="dxa"/>
            <w:vAlign w:val="center"/>
          </w:tcPr>
          <w:p w14:paraId="75652680">
            <w:pPr>
              <w:spacing w:line="400" w:lineRule="exact"/>
              <w:jc w:val="center"/>
              <w:rPr>
                <w:rFonts w:ascii="宋体" w:hAnsi="宋体" w:eastAsia="宋体" w:cs="宋体"/>
                <w:color w:val="auto"/>
                <w:sz w:val="24"/>
              </w:rPr>
            </w:pPr>
          </w:p>
        </w:tc>
      </w:tr>
      <w:tr w14:paraId="595A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3960CCA8">
            <w:pPr>
              <w:tabs>
                <w:tab w:val="left" w:pos="322"/>
              </w:tabs>
              <w:spacing w:line="400" w:lineRule="exact"/>
              <w:jc w:val="center"/>
              <w:rPr>
                <w:rFonts w:ascii="宋体" w:hAnsi="宋体" w:eastAsia="宋体" w:cs="宋体"/>
                <w:color w:val="auto"/>
                <w:sz w:val="24"/>
              </w:rPr>
            </w:pPr>
          </w:p>
        </w:tc>
        <w:tc>
          <w:tcPr>
            <w:tcW w:w="2835" w:type="dxa"/>
            <w:vAlign w:val="center"/>
          </w:tcPr>
          <w:p w14:paraId="1090FA00">
            <w:pPr>
              <w:spacing w:line="400" w:lineRule="exact"/>
              <w:jc w:val="center"/>
              <w:rPr>
                <w:rFonts w:ascii="宋体" w:hAnsi="宋体" w:eastAsia="宋体" w:cs="宋体"/>
                <w:color w:val="auto"/>
                <w:sz w:val="24"/>
              </w:rPr>
            </w:pPr>
          </w:p>
        </w:tc>
        <w:tc>
          <w:tcPr>
            <w:tcW w:w="1701" w:type="dxa"/>
            <w:vAlign w:val="center"/>
          </w:tcPr>
          <w:p w14:paraId="1A48244F">
            <w:pPr>
              <w:spacing w:line="400" w:lineRule="exact"/>
              <w:jc w:val="center"/>
              <w:rPr>
                <w:rFonts w:ascii="宋体" w:hAnsi="宋体" w:eastAsia="宋体" w:cs="宋体"/>
                <w:color w:val="auto"/>
                <w:sz w:val="24"/>
              </w:rPr>
            </w:pPr>
          </w:p>
        </w:tc>
        <w:tc>
          <w:tcPr>
            <w:tcW w:w="1701" w:type="dxa"/>
            <w:vAlign w:val="center"/>
          </w:tcPr>
          <w:p w14:paraId="39019A7B">
            <w:pPr>
              <w:spacing w:line="400" w:lineRule="exact"/>
              <w:jc w:val="center"/>
              <w:rPr>
                <w:rFonts w:ascii="宋体" w:hAnsi="宋体" w:eastAsia="宋体" w:cs="宋体"/>
                <w:color w:val="auto"/>
                <w:sz w:val="24"/>
              </w:rPr>
            </w:pPr>
          </w:p>
        </w:tc>
        <w:tc>
          <w:tcPr>
            <w:tcW w:w="1701" w:type="dxa"/>
            <w:vAlign w:val="center"/>
          </w:tcPr>
          <w:p w14:paraId="7C789309">
            <w:pPr>
              <w:spacing w:line="400" w:lineRule="exact"/>
              <w:jc w:val="center"/>
              <w:rPr>
                <w:rFonts w:ascii="宋体" w:hAnsi="宋体" w:eastAsia="宋体" w:cs="宋体"/>
                <w:color w:val="auto"/>
                <w:sz w:val="24"/>
              </w:rPr>
            </w:pPr>
          </w:p>
        </w:tc>
        <w:tc>
          <w:tcPr>
            <w:tcW w:w="810" w:type="dxa"/>
            <w:vAlign w:val="center"/>
          </w:tcPr>
          <w:p w14:paraId="6BCFC254">
            <w:pPr>
              <w:spacing w:line="400" w:lineRule="exact"/>
              <w:jc w:val="center"/>
              <w:rPr>
                <w:rFonts w:ascii="宋体" w:hAnsi="宋体" w:eastAsia="宋体" w:cs="宋体"/>
                <w:color w:val="auto"/>
                <w:sz w:val="24"/>
              </w:rPr>
            </w:pPr>
          </w:p>
        </w:tc>
      </w:tr>
    </w:tbl>
    <w:p w14:paraId="014D4D87">
      <w:pPr>
        <w:spacing w:line="300" w:lineRule="exact"/>
        <w:ind w:firstLine="240" w:firstLineChars="100"/>
        <w:rPr>
          <w:rFonts w:ascii="宋体" w:hAnsi="宋体" w:eastAsia="宋体" w:cs="宋体"/>
          <w:bCs/>
          <w:color w:val="auto"/>
          <w:sz w:val="24"/>
        </w:rPr>
      </w:pPr>
      <w:r>
        <w:rPr>
          <w:rFonts w:hint="eastAsia" w:ascii="宋体" w:hAnsi="宋体" w:eastAsia="宋体" w:cs="宋体"/>
          <w:bCs/>
          <w:color w:val="auto"/>
          <w:sz w:val="24"/>
        </w:rPr>
        <w:t>注：</w:t>
      </w:r>
      <w:r>
        <w:rPr>
          <w:rFonts w:hint="eastAsia" w:ascii="宋体" w:hAnsi="宋体" w:cs="宋体"/>
          <w:bCs/>
          <w:color w:val="auto"/>
          <w:sz w:val="24"/>
          <w:lang w:val="en-US" w:eastAsia="zh-CN"/>
        </w:rPr>
        <w:t>后附相关证明材料</w:t>
      </w:r>
      <w:r>
        <w:rPr>
          <w:rFonts w:hint="eastAsia" w:ascii="宋体" w:hAnsi="宋体" w:eastAsia="宋体" w:cs="宋体"/>
          <w:bCs/>
          <w:color w:val="auto"/>
          <w:sz w:val="24"/>
        </w:rPr>
        <w:t>。</w:t>
      </w:r>
    </w:p>
    <w:p w14:paraId="78DB424C">
      <w:pPr>
        <w:spacing w:line="300" w:lineRule="exact"/>
        <w:jc w:val="both"/>
        <w:rPr>
          <w:rFonts w:ascii="宋体" w:hAnsi="宋体" w:eastAsia="宋体" w:cs="宋体"/>
          <w:b/>
          <w:color w:val="auto"/>
          <w:sz w:val="24"/>
        </w:rPr>
      </w:pPr>
      <w:r>
        <w:rPr>
          <w:rFonts w:hint="eastAsia" w:ascii="宋体" w:hAnsi="宋体" w:eastAsia="宋体" w:cs="宋体"/>
          <w:b/>
          <w:color w:val="auto"/>
          <w:sz w:val="24"/>
        </w:rPr>
        <w:t xml:space="preserve"> </w:t>
      </w:r>
    </w:p>
    <w:p w14:paraId="110A507C">
      <w:pPr>
        <w:spacing w:line="300" w:lineRule="exact"/>
        <w:jc w:val="center"/>
        <w:rPr>
          <w:rFonts w:ascii="宋体" w:hAnsi="宋体" w:eastAsia="宋体" w:cs="宋体"/>
          <w:b/>
          <w:color w:val="auto"/>
          <w:sz w:val="24"/>
        </w:rPr>
      </w:pPr>
    </w:p>
    <w:p w14:paraId="36F15172">
      <w:pPr>
        <w:spacing w:line="300" w:lineRule="exact"/>
        <w:jc w:val="center"/>
        <w:rPr>
          <w:rFonts w:ascii="宋体" w:hAnsi="宋体" w:eastAsia="宋体" w:cs="宋体"/>
          <w:b/>
          <w:color w:val="auto"/>
          <w:sz w:val="24"/>
        </w:rPr>
      </w:pPr>
    </w:p>
    <w:p w14:paraId="2CECE676">
      <w:pPr>
        <w:widowControl w:val="0"/>
        <w:autoSpaceDE w:val="0"/>
        <w:autoSpaceDN w:val="0"/>
        <w:spacing w:line="300" w:lineRule="exact"/>
        <w:rPr>
          <w:rFonts w:hint="default" w:ascii="宋体" w:hAnsi="宋体" w:eastAsia="宋体" w:cs="宋体"/>
          <w:color w:val="auto"/>
          <w:sz w:val="24"/>
          <w:szCs w:val="24"/>
          <w:lang w:val="en-US" w:eastAsia="zh-CN" w:bidi="ar-SA"/>
        </w:rPr>
      </w:pPr>
    </w:p>
    <w:p w14:paraId="5BA2243A">
      <w:pPr>
        <w:widowControl w:val="0"/>
        <w:autoSpaceDE w:val="0"/>
        <w:autoSpaceDN w:val="0"/>
        <w:spacing w:line="300" w:lineRule="exact"/>
        <w:rPr>
          <w:rFonts w:hint="default" w:ascii="宋体" w:hAnsi="宋体" w:eastAsia="宋体" w:cs="宋体"/>
          <w:b/>
          <w:color w:val="auto"/>
          <w:sz w:val="24"/>
          <w:szCs w:val="24"/>
          <w:lang w:val="en-US" w:eastAsia="zh-CN" w:bidi="ar-SA"/>
        </w:rPr>
      </w:pPr>
    </w:p>
    <w:p w14:paraId="298E489F">
      <w:pPr>
        <w:widowControl w:val="0"/>
        <w:autoSpaceDE w:val="0"/>
        <w:autoSpaceDN w:val="0"/>
        <w:spacing w:line="300" w:lineRule="exact"/>
        <w:rPr>
          <w:rFonts w:hint="default" w:ascii="宋体" w:hAnsi="宋体" w:eastAsia="宋体" w:cs="宋体"/>
          <w:b/>
          <w:color w:val="auto"/>
          <w:sz w:val="24"/>
          <w:szCs w:val="24"/>
          <w:lang w:val="en-US" w:eastAsia="zh-CN" w:bidi="ar-SA"/>
        </w:rPr>
      </w:pPr>
    </w:p>
    <w:p w14:paraId="3A3847EE">
      <w:pPr>
        <w:widowControl w:val="0"/>
        <w:autoSpaceDE w:val="0"/>
        <w:autoSpaceDN w:val="0"/>
        <w:spacing w:line="300" w:lineRule="exact"/>
        <w:rPr>
          <w:rFonts w:hint="default" w:ascii="宋体" w:hAnsi="宋体" w:eastAsia="宋体" w:cs="宋体"/>
          <w:b/>
          <w:color w:val="auto"/>
          <w:sz w:val="24"/>
          <w:szCs w:val="24"/>
          <w:lang w:val="en-US" w:eastAsia="zh-CN" w:bidi="ar-SA"/>
        </w:rPr>
      </w:pPr>
    </w:p>
    <w:p w14:paraId="1A09FEEF">
      <w:pPr>
        <w:rPr>
          <w:rFonts w:ascii="宋体" w:hAnsi="宋体" w:eastAsia="宋体" w:cs="宋体"/>
          <w:b/>
          <w:bCs/>
          <w:color w:val="auto"/>
          <w:kern w:val="0"/>
          <w:sz w:val="24"/>
        </w:rPr>
      </w:pPr>
      <w:r>
        <w:rPr>
          <w:rFonts w:hint="eastAsia" w:ascii="宋体" w:hAnsi="宋体" w:eastAsia="宋体" w:cs="宋体"/>
          <w:b/>
          <w:bCs/>
          <w:color w:val="auto"/>
          <w:kern w:val="0"/>
          <w:sz w:val="24"/>
        </w:rPr>
        <w:br w:type="page"/>
      </w:r>
    </w:p>
    <w:p w14:paraId="2181C12C">
      <w:pPr>
        <w:spacing w:line="360" w:lineRule="auto"/>
        <w:jc w:val="center"/>
        <w:rPr>
          <w:rFonts w:ascii="宋体" w:hAnsi="宋体" w:cs="宋体"/>
          <w:b/>
          <w:bCs/>
          <w:color w:val="auto"/>
          <w:kern w:val="0"/>
          <w:sz w:val="24"/>
        </w:rPr>
      </w:pPr>
      <w:r>
        <w:rPr>
          <w:rFonts w:hint="eastAsia" w:ascii="宋体" w:hAnsi="宋体" w:cs="宋体"/>
          <w:b/>
          <w:bCs/>
          <w:color w:val="auto"/>
          <w:kern w:val="0"/>
          <w:sz w:val="24"/>
          <w:lang w:val="en-US" w:eastAsia="zh-CN"/>
        </w:rPr>
        <w:t>十五、</w:t>
      </w:r>
      <w:r>
        <w:rPr>
          <w:rFonts w:hint="eastAsia" w:ascii="宋体" w:hAnsi="宋体" w:cs="宋体"/>
          <w:b/>
          <w:bCs/>
          <w:color w:val="auto"/>
          <w:kern w:val="0"/>
          <w:sz w:val="24"/>
          <w:lang w:eastAsia="zh-CN"/>
        </w:rPr>
        <w:t>投标人中小企业、监狱企业、残疾人福利性单位证明文件（如有）</w:t>
      </w:r>
      <w:r>
        <w:rPr>
          <w:rFonts w:hint="eastAsia" w:ascii="宋体" w:hAnsi="宋体" w:cs="宋体"/>
          <w:b/>
          <w:bCs/>
          <w:color w:val="auto"/>
          <w:kern w:val="0"/>
          <w:sz w:val="24"/>
        </w:rPr>
        <w:t>；</w:t>
      </w:r>
    </w:p>
    <w:p w14:paraId="143D2987">
      <w:pPr>
        <w:pStyle w:val="27"/>
        <w:spacing w:line="300" w:lineRule="exact"/>
        <w:jc w:val="center"/>
        <w:rPr>
          <w:b/>
          <w:bCs/>
          <w:color w:val="auto"/>
        </w:rPr>
      </w:pPr>
      <w:r>
        <w:rPr>
          <w:rFonts w:hint="eastAsia"/>
          <w:b/>
          <w:bCs/>
          <w:color w:val="auto"/>
        </w:rPr>
        <w:t>中小企业声明函</w:t>
      </w:r>
    </w:p>
    <w:p w14:paraId="6ACC4197">
      <w:pPr>
        <w:adjustRightInd w:val="0"/>
        <w:snapToGrid w:val="0"/>
        <w:spacing w:line="360" w:lineRule="auto"/>
        <w:ind w:firstLine="480" w:firstLineChars="200"/>
        <w:jc w:val="both"/>
        <w:rPr>
          <w:rFonts w:ascii="宋体" w:hAnsi="宋体" w:cs="宋体"/>
          <w:color w:val="auto"/>
          <w:kern w:val="0"/>
          <w:sz w:val="24"/>
        </w:rPr>
      </w:pPr>
      <w:r>
        <w:rPr>
          <w:rFonts w:hint="eastAsia" w:ascii="宋体" w:hAnsi="宋体" w:cs="宋体"/>
          <w:color w:val="auto"/>
          <w:kern w:val="0"/>
          <w:sz w:val="24"/>
          <w:lang w:bidi="ar"/>
        </w:rPr>
        <w:t>本公司（联合体）郑重声明，根据《政府采购促进中小企业发展管理办法》（财库﹝2020﹞46 号）的规定，本公司（联合体）参加</w:t>
      </w:r>
      <w:r>
        <w:rPr>
          <w:rFonts w:hint="eastAsia" w:ascii="宋体" w:hAnsi="宋体" w:cs="宋体"/>
          <w:color w:val="auto"/>
          <w:kern w:val="0"/>
          <w:sz w:val="24"/>
          <w:u w:val="single"/>
          <w:lang w:bidi="ar"/>
        </w:rPr>
        <w:t>（单位名称）</w:t>
      </w:r>
      <w:r>
        <w:rPr>
          <w:rFonts w:hint="eastAsia" w:ascii="宋体" w:hAnsi="宋体" w:cs="宋体"/>
          <w:color w:val="auto"/>
          <w:kern w:val="0"/>
          <w:sz w:val="24"/>
          <w:lang w:bidi="ar"/>
        </w:rPr>
        <w:t>的</w:t>
      </w:r>
      <w:r>
        <w:rPr>
          <w:rFonts w:hint="eastAsia" w:ascii="宋体" w:hAnsi="宋体" w:cs="宋体"/>
          <w:color w:val="auto"/>
          <w:kern w:val="0"/>
          <w:sz w:val="24"/>
          <w:u w:val="single"/>
          <w:lang w:bidi="ar"/>
        </w:rPr>
        <w:t>（项目名称）</w:t>
      </w:r>
      <w:r>
        <w:rPr>
          <w:rFonts w:hint="eastAsia" w:ascii="宋体" w:hAnsi="宋体" w:cs="宋体"/>
          <w:color w:val="auto"/>
          <w:kern w:val="0"/>
          <w:sz w:val="24"/>
          <w:lang w:bidi="ar"/>
        </w:rPr>
        <w:t>采购活动，提供的货物全部由符合政策要求的中小企业制造。相关企业（含联合体中的中小企业、签订分包意向协议的中小企业）的具体情况如下：</w:t>
      </w:r>
    </w:p>
    <w:p w14:paraId="516DF178">
      <w:pPr>
        <w:adjustRightInd w:val="0"/>
        <w:snapToGrid w:val="0"/>
        <w:spacing w:line="360" w:lineRule="auto"/>
        <w:ind w:firstLine="480" w:firstLineChars="200"/>
        <w:jc w:val="both"/>
        <w:rPr>
          <w:rFonts w:ascii="宋体" w:hAnsi="宋体" w:cs="宋体"/>
          <w:color w:val="auto"/>
          <w:kern w:val="0"/>
          <w:sz w:val="24"/>
        </w:rPr>
      </w:pPr>
      <w:r>
        <w:rPr>
          <w:rFonts w:hint="eastAsia" w:ascii="宋体" w:hAnsi="宋体" w:cs="宋体"/>
          <w:color w:val="auto"/>
          <w:kern w:val="0"/>
          <w:sz w:val="24"/>
          <w:lang w:bidi="ar"/>
        </w:rPr>
        <w:t>1.</w:t>
      </w:r>
      <w:r>
        <w:rPr>
          <w:rFonts w:hint="eastAsia" w:ascii="宋体" w:hAnsi="宋体" w:cs="宋体"/>
          <w:color w:val="auto"/>
          <w:kern w:val="0"/>
          <w:sz w:val="24"/>
          <w:u w:val="single"/>
          <w:lang w:bidi="ar"/>
        </w:rPr>
        <w:t xml:space="preserve"> （标的名称）</w:t>
      </w:r>
      <w:r>
        <w:rPr>
          <w:rFonts w:hint="eastAsia" w:ascii="宋体" w:hAnsi="宋体" w:cs="宋体"/>
          <w:color w:val="auto"/>
          <w:kern w:val="0"/>
          <w:sz w:val="24"/>
          <w:lang w:bidi="ar"/>
        </w:rPr>
        <w:t xml:space="preserve"> ，属于</w:t>
      </w:r>
      <w:r>
        <w:rPr>
          <w:rFonts w:hint="eastAsia" w:ascii="宋体" w:hAnsi="宋体" w:cs="宋体"/>
          <w:color w:val="auto"/>
          <w:kern w:val="0"/>
          <w:sz w:val="24"/>
          <w:u w:val="single"/>
          <w:lang w:bidi="ar"/>
        </w:rPr>
        <w:t>（采购文件中明确的所属行业）</w:t>
      </w:r>
      <w:r>
        <w:rPr>
          <w:rFonts w:hint="eastAsia" w:ascii="宋体" w:hAnsi="宋体" w:cs="宋体"/>
          <w:color w:val="auto"/>
          <w:kern w:val="0"/>
          <w:sz w:val="24"/>
          <w:lang w:bidi="ar"/>
        </w:rPr>
        <w:t>；制造商为</w:t>
      </w:r>
      <w:r>
        <w:rPr>
          <w:rFonts w:hint="eastAsia" w:ascii="宋体" w:hAnsi="宋体" w:cs="宋体"/>
          <w:color w:val="auto"/>
          <w:kern w:val="0"/>
          <w:sz w:val="24"/>
          <w:u w:val="single"/>
          <w:lang w:bidi="ar"/>
        </w:rPr>
        <w:t>（企业名称）</w:t>
      </w:r>
      <w:r>
        <w:rPr>
          <w:rFonts w:hint="eastAsia" w:ascii="宋体" w:hAnsi="宋体" w:cs="宋体"/>
          <w:color w:val="auto"/>
          <w:kern w:val="0"/>
          <w:sz w:val="24"/>
          <w:lang w:bidi="ar"/>
        </w:rPr>
        <w:t>，从业人员</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人，营业收入为</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万元，资产总额为</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万元，属于</w:t>
      </w:r>
      <w:r>
        <w:rPr>
          <w:rFonts w:hint="eastAsia" w:ascii="宋体" w:hAnsi="宋体" w:cs="宋体"/>
          <w:color w:val="auto"/>
          <w:kern w:val="0"/>
          <w:sz w:val="24"/>
          <w:u w:val="single"/>
          <w:lang w:bidi="ar"/>
        </w:rPr>
        <w:t>（中型企业、小型企业、微型企业）</w:t>
      </w:r>
      <w:r>
        <w:rPr>
          <w:rFonts w:hint="eastAsia" w:ascii="宋体" w:hAnsi="宋体" w:cs="宋体"/>
          <w:color w:val="auto"/>
          <w:kern w:val="0"/>
          <w:sz w:val="24"/>
          <w:lang w:bidi="ar"/>
        </w:rPr>
        <w:t xml:space="preserve">； </w:t>
      </w:r>
    </w:p>
    <w:p w14:paraId="00A9DDF7">
      <w:pPr>
        <w:adjustRightInd w:val="0"/>
        <w:snapToGrid w:val="0"/>
        <w:spacing w:line="360" w:lineRule="auto"/>
        <w:ind w:firstLine="480" w:firstLineChars="200"/>
        <w:jc w:val="both"/>
        <w:rPr>
          <w:rFonts w:ascii="宋体" w:hAnsi="宋体" w:cs="宋体"/>
          <w:color w:val="auto"/>
          <w:kern w:val="0"/>
          <w:sz w:val="24"/>
        </w:rPr>
      </w:pPr>
      <w:r>
        <w:rPr>
          <w:rFonts w:hint="eastAsia" w:ascii="宋体" w:hAnsi="宋体" w:cs="宋体"/>
          <w:color w:val="auto"/>
          <w:kern w:val="0"/>
          <w:sz w:val="24"/>
          <w:lang w:bidi="ar"/>
        </w:rPr>
        <w:t>2.</w:t>
      </w:r>
      <w:r>
        <w:rPr>
          <w:rFonts w:hint="eastAsia" w:ascii="宋体" w:hAnsi="宋体" w:cs="宋体"/>
          <w:color w:val="auto"/>
          <w:kern w:val="0"/>
          <w:sz w:val="24"/>
          <w:u w:val="single"/>
          <w:lang w:bidi="ar"/>
        </w:rPr>
        <w:t xml:space="preserve"> （标的名称） </w:t>
      </w:r>
      <w:r>
        <w:rPr>
          <w:rFonts w:hint="eastAsia" w:ascii="宋体" w:hAnsi="宋体" w:cs="宋体"/>
          <w:color w:val="auto"/>
          <w:kern w:val="0"/>
          <w:sz w:val="24"/>
          <w:lang w:bidi="ar"/>
        </w:rPr>
        <w:t>，属于</w:t>
      </w:r>
      <w:r>
        <w:rPr>
          <w:rFonts w:hint="eastAsia" w:ascii="宋体" w:hAnsi="宋体" w:cs="宋体"/>
          <w:color w:val="auto"/>
          <w:kern w:val="0"/>
          <w:sz w:val="24"/>
          <w:u w:val="single"/>
          <w:lang w:bidi="ar"/>
        </w:rPr>
        <w:t>（采购文件中明确的所属行业）</w:t>
      </w:r>
      <w:r>
        <w:rPr>
          <w:rFonts w:hint="eastAsia" w:ascii="宋体" w:hAnsi="宋体" w:cs="宋体"/>
          <w:color w:val="auto"/>
          <w:kern w:val="0"/>
          <w:sz w:val="24"/>
          <w:lang w:bidi="ar"/>
        </w:rPr>
        <w:t>；制造商为</w:t>
      </w:r>
      <w:r>
        <w:rPr>
          <w:rFonts w:hint="eastAsia" w:ascii="宋体" w:hAnsi="宋体" w:cs="宋体"/>
          <w:color w:val="auto"/>
          <w:kern w:val="0"/>
          <w:sz w:val="24"/>
          <w:u w:val="single"/>
          <w:lang w:bidi="ar"/>
        </w:rPr>
        <w:t>（企业名称）</w:t>
      </w:r>
      <w:r>
        <w:rPr>
          <w:rFonts w:hint="eastAsia" w:ascii="宋体" w:hAnsi="宋体" w:cs="宋体"/>
          <w:color w:val="auto"/>
          <w:kern w:val="0"/>
          <w:sz w:val="24"/>
          <w:lang w:bidi="ar"/>
        </w:rPr>
        <w:t>，从业人员</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人，营业收入为</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万元，资产总额为</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万元，属于</w:t>
      </w:r>
      <w:r>
        <w:rPr>
          <w:rFonts w:hint="eastAsia" w:ascii="宋体" w:hAnsi="宋体" w:cs="宋体"/>
          <w:color w:val="auto"/>
          <w:kern w:val="0"/>
          <w:sz w:val="24"/>
          <w:u w:val="single"/>
          <w:lang w:bidi="ar"/>
        </w:rPr>
        <w:t>（中型企业、小型企业、微型企业）</w:t>
      </w:r>
      <w:r>
        <w:rPr>
          <w:rFonts w:hint="eastAsia" w:ascii="宋体" w:hAnsi="宋体" w:cs="宋体"/>
          <w:color w:val="auto"/>
          <w:kern w:val="0"/>
          <w:sz w:val="24"/>
          <w:lang w:bidi="ar"/>
        </w:rPr>
        <w:t xml:space="preserve">； </w:t>
      </w:r>
    </w:p>
    <w:p w14:paraId="77E293DF">
      <w:pPr>
        <w:adjustRightInd w:val="0"/>
        <w:snapToGrid w:val="0"/>
        <w:spacing w:line="360" w:lineRule="auto"/>
        <w:ind w:firstLine="480" w:firstLineChars="200"/>
        <w:jc w:val="both"/>
        <w:rPr>
          <w:rFonts w:ascii="宋体" w:hAnsi="宋体" w:cs="宋体"/>
          <w:color w:val="auto"/>
          <w:kern w:val="0"/>
          <w:sz w:val="24"/>
        </w:rPr>
      </w:pPr>
      <w:r>
        <w:rPr>
          <w:rFonts w:hint="eastAsia" w:ascii="宋体" w:hAnsi="宋体" w:cs="宋体"/>
          <w:color w:val="auto"/>
          <w:kern w:val="0"/>
          <w:sz w:val="24"/>
          <w:lang w:bidi="ar"/>
        </w:rPr>
        <w:t>……</w:t>
      </w:r>
    </w:p>
    <w:p w14:paraId="73BE5A36">
      <w:pPr>
        <w:adjustRightInd w:val="0"/>
        <w:snapToGrid w:val="0"/>
        <w:spacing w:line="360" w:lineRule="auto"/>
        <w:ind w:firstLine="480" w:firstLineChars="200"/>
        <w:jc w:val="both"/>
        <w:rPr>
          <w:rFonts w:ascii="宋体" w:hAnsi="宋体" w:cs="宋体"/>
          <w:color w:val="auto"/>
          <w:kern w:val="0"/>
          <w:sz w:val="24"/>
        </w:rPr>
      </w:pPr>
      <w:r>
        <w:rPr>
          <w:rFonts w:hint="eastAsia" w:ascii="宋体" w:hAnsi="宋体" w:cs="宋体"/>
          <w:color w:val="auto"/>
          <w:kern w:val="0"/>
          <w:sz w:val="24"/>
          <w:lang w:bidi="ar"/>
        </w:rPr>
        <w:t>以上企业，不属于大企业的分支机构，不存在控股股东为大企业的情形，也不存在与大企业的负责人为同一人的情形。</w:t>
      </w:r>
    </w:p>
    <w:p w14:paraId="5B8BFCD3">
      <w:pPr>
        <w:adjustRightInd w:val="0"/>
        <w:snapToGrid w:val="0"/>
        <w:spacing w:line="360" w:lineRule="auto"/>
        <w:ind w:firstLine="480" w:firstLineChars="200"/>
        <w:jc w:val="both"/>
        <w:rPr>
          <w:rFonts w:ascii="宋体" w:hAnsi="宋体" w:cs="宋体"/>
          <w:color w:val="auto"/>
          <w:kern w:val="0"/>
          <w:sz w:val="24"/>
        </w:rPr>
      </w:pPr>
      <w:r>
        <w:rPr>
          <w:rFonts w:hint="eastAsia" w:ascii="宋体" w:hAnsi="宋体" w:cs="宋体"/>
          <w:color w:val="auto"/>
          <w:kern w:val="0"/>
          <w:sz w:val="24"/>
          <w:lang w:bidi="ar"/>
        </w:rPr>
        <w:t xml:space="preserve">本企业对上述声明内容的真实性负责。如有虚假，将依法承担相应责任。 </w:t>
      </w:r>
    </w:p>
    <w:p w14:paraId="5AE29DC5">
      <w:pPr>
        <w:widowControl/>
        <w:spacing w:line="360" w:lineRule="auto"/>
        <w:ind w:firstLine="470" w:firstLineChars="196"/>
        <w:jc w:val="both"/>
        <w:rPr>
          <w:rFonts w:ascii="宋体" w:hAnsi="宋体" w:cs="宋体"/>
          <w:color w:val="auto"/>
          <w:kern w:val="0"/>
          <w:sz w:val="24"/>
        </w:rPr>
      </w:pPr>
    </w:p>
    <w:p w14:paraId="2F54B48C">
      <w:pPr>
        <w:jc w:val="both"/>
        <w:rPr>
          <w:rFonts w:ascii="宋体" w:hAnsi="宋体"/>
          <w:color w:val="auto"/>
          <w:sz w:val="21"/>
        </w:rPr>
      </w:pPr>
    </w:p>
    <w:p w14:paraId="3152A7BA">
      <w:pPr>
        <w:widowControl/>
        <w:spacing w:line="360" w:lineRule="auto"/>
        <w:ind w:firstLine="470" w:firstLineChars="196"/>
        <w:jc w:val="both"/>
        <w:rPr>
          <w:rFonts w:ascii="宋体" w:hAnsi="宋体" w:cs="宋体"/>
          <w:color w:val="auto"/>
          <w:kern w:val="0"/>
          <w:sz w:val="24"/>
        </w:rPr>
      </w:pPr>
      <w:r>
        <w:rPr>
          <w:rFonts w:hint="eastAsia" w:ascii="宋体" w:hAnsi="宋体" w:cs="宋体"/>
          <w:color w:val="auto"/>
          <w:kern w:val="0"/>
          <w:sz w:val="24"/>
        </w:rPr>
        <w:t xml:space="preserve">                                            企业名称（盖章）： </w:t>
      </w:r>
    </w:p>
    <w:p w14:paraId="485E4C90">
      <w:pPr>
        <w:widowControl/>
        <w:tabs>
          <w:tab w:val="left" w:pos="1680"/>
        </w:tabs>
        <w:snapToGrid w:val="0"/>
        <w:spacing w:line="360" w:lineRule="auto"/>
        <w:ind w:firstLine="5822" w:firstLineChars="2426"/>
        <w:jc w:val="both"/>
        <w:rPr>
          <w:rFonts w:ascii="宋体" w:hAnsi="宋体"/>
          <w:color w:val="auto"/>
          <w:kern w:val="0"/>
          <w:sz w:val="24"/>
        </w:rPr>
      </w:pPr>
      <w:r>
        <w:rPr>
          <w:rFonts w:hint="eastAsia" w:ascii="宋体" w:hAnsi="宋体" w:cs="宋体"/>
          <w:color w:val="auto"/>
          <w:kern w:val="0"/>
          <w:sz w:val="24"/>
        </w:rPr>
        <w:t xml:space="preserve">日   期：  </w:t>
      </w:r>
    </w:p>
    <w:p w14:paraId="0774453C">
      <w:pPr>
        <w:spacing w:line="360" w:lineRule="auto"/>
        <w:ind w:firstLine="480"/>
        <w:jc w:val="both"/>
        <w:rPr>
          <w:rFonts w:ascii="宋体" w:hAnsi="宋体"/>
          <w:color w:val="auto"/>
          <w:sz w:val="24"/>
          <w:szCs w:val="20"/>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本项目所属行业：</w:t>
      </w:r>
      <w:r>
        <w:rPr>
          <w:rFonts w:hint="eastAsia" w:ascii="宋体" w:hAnsi="宋体" w:eastAsia="宋体" w:cs="宋体"/>
          <w:b/>
          <w:color w:val="auto"/>
          <w:sz w:val="24"/>
          <w:highlight w:val="none"/>
          <w:lang w:val="en-US" w:eastAsia="zh-CN"/>
        </w:rPr>
        <w:t>工业</w:t>
      </w:r>
      <w:r>
        <w:rPr>
          <w:rFonts w:hint="eastAsia" w:ascii="宋体" w:hAnsi="宋体" w:eastAsia="宋体" w:cs="宋体"/>
          <w:color w:val="auto"/>
          <w:sz w:val="24"/>
          <w:highlight w:val="none"/>
        </w:rPr>
        <w:t>；中小企业划分依据《工业和信息化部、国家统计局、国家发展和改革委员会、财政部关于印发中小企业划型标准规定的通知》（工信部联企业[2011]300号）文件。</w:t>
      </w:r>
    </w:p>
    <w:p w14:paraId="0D85E623">
      <w:pPr>
        <w:rPr>
          <w:color w:val="auto"/>
        </w:rPr>
      </w:pPr>
      <w:r>
        <w:rPr>
          <w:color w:val="auto"/>
        </w:rPr>
        <w:br w:type="page"/>
      </w:r>
    </w:p>
    <w:p w14:paraId="2A68B204">
      <w:pPr>
        <w:widowControl/>
        <w:snapToGrid w:val="0"/>
        <w:spacing w:line="400" w:lineRule="exact"/>
        <w:jc w:val="center"/>
        <w:rPr>
          <w:rFonts w:ascii="宋体" w:hAnsi="宋体" w:cs="宋体"/>
          <w:b/>
          <w:color w:val="auto"/>
          <w:spacing w:val="6"/>
          <w:sz w:val="24"/>
        </w:rPr>
      </w:pPr>
      <w:bookmarkStart w:id="42" w:name="OLE_LINK14"/>
      <w:bookmarkStart w:id="43" w:name="OLE_LINK13"/>
      <w:r>
        <w:rPr>
          <w:rFonts w:hint="eastAsia" w:ascii="宋体" w:hAnsi="宋体" w:cs="宋体"/>
          <w:b/>
          <w:color w:val="auto"/>
          <w:spacing w:val="6"/>
          <w:sz w:val="24"/>
        </w:rPr>
        <w:t>残疾人福利性单位声明函</w:t>
      </w:r>
      <w:r>
        <w:rPr>
          <w:rFonts w:hint="eastAsia" w:ascii="宋体" w:hAnsi="宋体" w:cs="宋体"/>
          <w:b/>
          <w:bCs/>
          <w:color w:val="auto"/>
          <w:kern w:val="0"/>
          <w:sz w:val="24"/>
        </w:rPr>
        <w:t>（若有）</w:t>
      </w:r>
    </w:p>
    <w:p w14:paraId="0C0B707A">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kern w:val="0"/>
          <w:sz w:val="24"/>
          <w:u w:val="single"/>
        </w:rPr>
        <w:t xml:space="preserve">          </w:t>
      </w:r>
      <w:r>
        <w:rPr>
          <w:rFonts w:hint="eastAsia" w:ascii="宋体" w:hAnsi="宋体" w:cs="宋体"/>
          <w:color w:val="auto"/>
          <w:kern w:val="0"/>
          <w:sz w:val="24"/>
        </w:rPr>
        <w:t>单位的</w:t>
      </w:r>
      <w:r>
        <w:rPr>
          <w:rFonts w:hint="eastAsia" w:ascii="宋体" w:hAnsi="宋体" w:cs="宋体"/>
          <w:color w:val="auto"/>
          <w:kern w:val="0"/>
          <w:sz w:val="24"/>
          <w:u w:val="single"/>
        </w:rPr>
        <w:t xml:space="preserve">             </w:t>
      </w:r>
      <w:r>
        <w:rPr>
          <w:rFonts w:hint="eastAsia" w:ascii="宋体" w:hAnsi="宋体" w:cs="宋体"/>
          <w:color w:val="auto"/>
          <w:kern w:val="0"/>
          <w:sz w:val="24"/>
        </w:rPr>
        <w:t>项目采购活动提供本单位制造的货物（由本单位承担工程/提供服务），或者提供其他残疾人福利性单位制造的货物（不包括使用非残疾人福利性单位注册商标的货物）。</w:t>
      </w:r>
    </w:p>
    <w:p w14:paraId="769FBBE2">
      <w:pPr>
        <w:spacing w:line="400" w:lineRule="exact"/>
        <w:ind w:firstLine="480" w:firstLineChars="200"/>
        <w:rPr>
          <w:rFonts w:ascii="宋体" w:hAnsi="宋体" w:cs="宋体"/>
          <w:color w:val="auto"/>
          <w:spacing w:val="6"/>
          <w:sz w:val="24"/>
        </w:rPr>
      </w:pPr>
      <w:r>
        <w:rPr>
          <w:rFonts w:hint="eastAsia" w:ascii="宋体" w:hAnsi="宋体" w:cs="宋体"/>
          <w:color w:val="auto"/>
          <w:kern w:val="0"/>
          <w:sz w:val="24"/>
        </w:rPr>
        <w:t>本单位对上述声明的真实性负责。如有虚假，将依法承担相应责任。</w:t>
      </w:r>
    </w:p>
    <w:p w14:paraId="623EE303">
      <w:pPr>
        <w:spacing w:line="400" w:lineRule="exact"/>
        <w:ind w:firstLine="504" w:firstLineChars="200"/>
        <w:rPr>
          <w:rFonts w:ascii="宋体" w:hAnsi="宋体" w:cs="宋体"/>
          <w:color w:val="auto"/>
          <w:spacing w:val="6"/>
          <w:sz w:val="24"/>
        </w:rPr>
      </w:pPr>
    </w:p>
    <w:p w14:paraId="57057A82">
      <w:pPr>
        <w:spacing w:line="400" w:lineRule="exact"/>
        <w:ind w:firstLine="504" w:firstLineChars="200"/>
        <w:rPr>
          <w:rFonts w:ascii="宋体" w:hAnsi="宋体" w:cs="宋体"/>
          <w:color w:val="auto"/>
          <w:spacing w:val="6"/>
          <w:sz w:val="24"/>
        </w:rPr>
      </w:pPr>
    </w:p>
    <w:p w14:paraId="56E4A6D0">
      <w:pPr>
        <w:pStyle w:val="27"/>
        <w:wordWrap w:val="0"/>
        <w:spacing w:line="400" w:lineRule="exact"/>
        <w:jc w:val="center"/>
        <w:rPr>
          <w:color w:val="auto"/>
          <w:u w:val="single"/>
        </w:rPr>
      </w:pPr>
      <w:r>
        <w:rPr>
          <w:rFonts w:hint="eastAsia"/>
          <w:color w:val="auto"/>
        </w:rPr>
        <w:t xml:space="preserve">                       单位名称（盖章）：</w:t>
      </w:r>
    </w:p>
    <w:p w14:paraId="7575FFD9">
      <w:pPr>
        <w:pStyle w:val="27"/>
        <w:spacing w:line="400" w:lineRule="exact"/>
        <w:rPr>
          <w:color w:val="auto"/>
        </w:rPr>
      </w:pPr>
      <w:r>
        <w:rPr>
          <w:rFonts w:hint="eastAsia"/>
          <w:color w:val="auto"/>
        </w:rPr>
        <w:t xml:space="preserve">                                           日    期：</w:t>
      </w:r>
    </w:p>
    <w:p w14:paraId="1C57ABC3">
      <w:pPr>
        <w:tabs>
          <w:tab w:val="left" w:pos="4860"/>
        </w:tabs>
        <w:spacing w:line="400" w:lineRule="exact"/>
        <w:ind w:right="1560" w:firstLine="504" w:firstLineChars="200"/>
        <w:jc w:val="center"/>
        <w:rPr>
          <w:rFonts w:ascii="宋体" w:hAnsi="宋体" w:cs="宋体"/>
          <w:color w:val="auto"/>
          <w:spacing w:val="6"/>
          <w:sz w:val="24"/>
        </w:rPr>
      </w:pPr>
    </w:p>
    <w:p w14:paraId="49AC7CAA">
      <w:pPr>
        <w:widowControl/>
        <w:snapToGrid w:val="0"/>
        <w:spacing w:line="400" w:lineRule="exact"/>
        <w:rPr>
          <w:rFonts w:ascii="宋体" w:hAnsi="宋体" w:cs="宋体"/>
          <w:b/>
          <w:bCs/>
          <w:color w:val="auto"/>
          <w:spacing w:val="6"/>
          <w:sz w:val="24"/>
        </w:rPr>
      </w:pPr>
    </w:p>
    <w:p w14:paraId="0402DAA2">
      <w:pPr>
        <w:widowControl/>
        <w:snapToGrid w:val="0"/>
        <w:spacing w:line="400" w:lineRule="exact"/>
        <w:rPr>
          <w:rFonts w:ascii="宋体" w:hAnsi="宋体" w:cs="宋体"/>
          <w:b/>
          <w:bCs/>
          <w:color w:val="auto"/>
          <w:spacing w:val="6"/>
          <w:sz w:val="24"/>
        </w:rPr>
      </w:pPr>
    </w:p>
    <w:p w14:paraId="59B844D9">
      <w:pPr>
        <w:widowControl/>
        <w:snapToGrid w:val="0"/>
        <w:spacing w:line="400" w:lineRule="exact"/>
        <w:rPr>
          <w:rFonts w:ascii="宋体" w:hAnsi="宋体" w:cs="宋体"/>
          <w:b/>
          <w:bCs/>
          <w:color w:val="auto"/>
          <w:spacing w:val="6"/>
          <w:sz w:val="24"/>
        </w:rPr>
      </w:pPr>
    </w:p>
    <w:p w14:paraId="2B2D5023">
      <w:pPr>
        <w:widowControl/>
        <w:snapToGrid w:val="0"/>
        <w:spacing w:line="400" w:lineRule="exact"/>
        <w:rPr>
          <w:rFonts w:ascii="宋体" w:hAnsi="宋体" w:cs="宋体"/>
          <w:b/>
          <w:bCs/>
          <w:color w:val="auto"/>
          <w:spacing w:val="6"/>
          <w:sz w:val="24"/>
        </w:rPr>
      </w:pPr>
    </w:p>
    <w:p w14:paraId="023A49F5">
      <w:pPr>
        <w:widowControl/>
        <w:snapToGrid w:val="0"/>
        <w:spacing w:line="400" w:lineRule="exact"/>
        <w:rPr>
          <w:rFonts w:ascii="宋体" w:hAnsi="宋体" w:cs="宋体"/>
          <w:color w:val="auto"/>
          <w:spacing w:val="6"/>
          <w:sz w:val="24"/>
        </w:rPr>
      </w:pPr>
    </w:p>
    <w:p w14:paraId="4FE04C55">
      <w:pPr>
        <w:widowControl/>
        <w:snapToGrid w:val="0"/>
        <w:spacing w:line="400" w:lineRule="exact"/>
        <w:rPr>
          <w:rFonts w:ascii="宋体" w:hAnsi="宋体" w:cs="宋体"/>
          <w:color w:val="auto"/>
          <w:spacing w:val="6"/>
          <w:sz w:val="24"/>
        </w:rPr>
      </w:pPr>
    </w:p>
    <w:p w14:paraId="28F5EB62">
      <w:pPr>
        <w:widowControl/>
        <w:snapToGrid w:val="0"/>
        <w:spacing w:line="400" w:lineRule="exact"/>
        <w:rPr>
          <w:rFonts w:ascii="宋体" w:hAnsi="宋体" w:cs="宋体"/>
          <w:color w:val="auto"/>
          <w:spacing w:val="6"/>
          <w:sz w:val="24"/>
        </w:rPr>
      </w:pPr>
    </w:p>
    <w:p w14:paraId="3ECC58E2">
      <w:pPr>
        <w:widowControl/>
        <w:snapToGrid w:val="0"/>
        <w:spacing w:line="400" w:lineRule="exact"/>
        <w:rPr>
          <w:rFonts w:ascii="宋体" w:hAnsi="宋体" w:cs="宋体"/>
          <w:color w:val="auto"/>
          <w:spacing w:val="6"/>
          <w:sz w:val="24"/>
        </w:rPr>
      </w:pPr>
    </w:p>
    <w:p w14:paraId="399C2D83">
      <w:pPr>
        <w:widowControl/>
        <w:snapToGrid w:val="0"/>
        <w:spacing w:line="400" w:lineRule="exact"/>
        <w:rPr>
          <w:rFonts w:ascii="宋体" w:hAnsi="宋体" w:cs="宋体"/>
          <w:color w:val="auto"/>
          <w:spacing w:val="6"/>
          <w:sz w:val="24"/>
        </w:rPr>
      </w:pPr>
    </w:p>
    <w:p w14:paraId="19AA398F">
      <w:pPr>
        <w:widowControl/>
        <w:snapToGrid w:val="0"/>
        <w:spacing w:line="400" w:lineRule="exact"/>
        <w:ind w:firstLine="504" w:firstLineChars="200"/>
        <w:rPr>
          <w:rFonts w:ascii="宋体" w:hAnsi="宋体" w:cs="宋体"/>
          <w:color w:val="auto"/>
          <w:sz w:val="24"/>
        </w:rPr>
      </w:pPr>
      <w:r>
        <w:rPr>
          <w:rFonts w:hint="eastAsia" w:ascii="宋体" w:hAnsi="宋体" w:cs="宋体"/>
          <w:color w:val="auto"/>
          <w:spacing w:val="6"/>
          <w:sz w:val="24"/>
        </w:rPr>
        <w:t>注：供应商若为残疾人福利性单位，在投标时须提供《残疾人福利性单位声明函》。</w:t>
      </w:r>
    </w:p>
    <w:p w14:paraId="019951DB">
      <w:pPr>
        <w:pStyle w:val="27"/>
        <w:spacing w:line="300" w:lineRule="exact"/>
        <w:jc w:val="center"/>
        <w:rPr>
          <w:b/>
          <w:color w:val="auto"/>
          <w:sz w:val="28"/>
          <w:szCs w:val="28"/>
        </w:rPr>
      </w:pPr>
    </w:p>
    <w:p w14:paraId="5760FE0E">
      <w:pPr>
        <w:rPr>
          <w:b/>
          <w:color w:val="auto"/>
          <w:szCs w:val="28"/>
        </w:rPr>
      </w:pPr>
      <w:r>
        <w:rPr>
          <w:b/>
          <w:color w:val="auto"/>
          <w:szCs w:val="28"/>
        </w:rPr>
        <w:br w:type="page"/>
      </w:r>
    </w:p>
    <w:p w14:paraId="43D4D37E">
      <w:pPr>
        <w:spacing w:line="300" w:lineRule="exact"/>
        <w:jc w:val="center"/>
        <w:rPr>
          <w:rFonts w:ascii="宋体" w:hAnsi="宋体" w:cs="宋体"/>
          <w:b/>
          <w:bCs/>
          <w:color w:val="auto"/>
          <w:kern w:val="0"/>
          <w:sz w:val="24"/>
        </w:rPr>
      </w:pPr>
      <w:r>
        <w:rPr>
          <w:rFonts w:hint="eastAsia" w:ascii="宋体" w:hAnsi="宋体" w:cs="宋体"/>
          <w:b/>
          <w:bCs/>
          <w:color w:val="auto"/>
          <w:kern w:val="0"/>
          <w:sz w:val="24"/>
        </w:rPr>
        <w:t>监狱企业声明函（若有）</w:t>
      </w:r>
    </w:p>
    <w:p w14:paraId="102B4758">
      <w:pPr>
        <w:spacing w:line="300" w:lineRule="exact"/>
        <w:ind w:left="1260" w:leftChars="257" w:hanging="540"/>
        <w:jc w:val="center"/>
        <w:rPr>
          <w:rFonts w:ascii="宋体" w:hAnsi="宋体" w:cs="宋体"/>
          <w:b/>
          <w:color w:val="auto"/>
          <w:kern w:val="0"/>
          <w:sz w:val="24"/>
        </w:rPr>
      </w:pPr>
    </w:p>
    <w:p w14:paraId="25C9AEBD">
      <w:pPr>
        <w:pStyle w:val="27"/>
        <w:spacing w:before="0" w:beforeAutospacing="0" w:after="0" w:afterAutospacing="0" w:line="400" w:lineRule="exact"/>
        <w:ind w:firstLine="480" w:firstLineChars="200"/>
        <w:rPr>
          <w:color w:val="auto"/>
        </w:rPr>
      </w:pPr>
      <w:r>
        <w:rPr>
          <w:rFonts w:hint="eastAsia"/>
          <w:color w:val="auto"/>
        </w:rPr>
        <w:t>本企业（单位）郑重声明下列事项（按照实际情况勾选或填空）：</w:t>
      </w:r>
    </w:p>
    <w:p w14:paraId="2FE624A7">
      <w:pPr>
        <w:pStyle w:val="27"/>
        <w:spacing w:before="0" w:beforeAutospacing="0" w:after="0" w:afterAutospacing="0" w:line="400" w:lineRule="exact"/>
        <w:ind w:firstLine="480" w:firstLineChars="200"/>
        <w:rPr>
          <w:color w:val="auto"/>
        </w:rPr>
      </w:pPr>
      <w:r>
        <w:rPr>
          <w:rFonts w:hint="eastAsia"/>
          <w:color w:val="auto"/>
        </w:rPr>
        <w:t>本企业（单位）为直接投标人提供本企业（单位）制造的货物。</w:t>
      </w:r>
    </w:p>
    <w:p w14:paraId="1BF8C3A7">
      <w:pPr>
        <w:pStyle w:val="27"/>
        <w:spacing w:before="0" w:beforeAutospacing="0" w:after="0" w:afterAutospacing="0" w:line="400" w:lineRule="exact"/>
        <w:ind w:firstLine="480" w:firstLineChars="200"/>
        <w:rPr>
          <w:color w:val="auto"/>
        </w:rPr>
      </w:pPr>
      <w:r>
        <w:rPr>
          <w:rFonts w:hint="eastAsia"/>
          <w:color w:val="auto"/>
        </w:rPr>
        <w:t>（1）本企业（单位）</w:t>
      </w:r>
      <w:r>
        <w:rPr>
          <w:rFonts w:hint="eastAsia"/>
          <w:color w:val="auto"/>
          <w:u w:val="single"/>
        </w:rPr>
        <w:t xml:space="preserve">        </w:t>
      </w:r>
      <w:r>
        <w:rPr>
          <w:rFonts w:hint="eastAsia"/>
          <w:color w:val="auto"/>
        </w:rPr>
        <w:t>（请填写：是、不是）监狱企业。后附省级以上监狱管理局、戒毒管理局（含新疆生产建设兵团）出具的属于监狱企业的证明文件。</w:t>
      </w:r>
    </w:p>
    <w:p w14:paraId="174FB009">
      <w:pPr>
        <w:pStyle w:val="27"/>
        <w:spacing w:before="0" w:beforeAutospacing="0" w:after="0" w:afterAutospacing="0" w:line="400" w:lineRule="exact"/>
        <w:ind w:firstLine="480" w:firstLineChars="200"/>
        <w:rPr>
          <w:color w:val="auto"/>
        </w:rPr>
      </w:pPr>
      <w:r>
        <w:rPr>
          <w:rFonts w:hint="eastAsia"/>
          <w:color w:val="auto"/>
        </w:rPr>
        <w:t>（2）本企业（单位）</w:t>
      </w:r>
      <w:r>
        <w:rPr>
          <w:rFonts w:hint="eastAsia"/>
          <w:color w:val="auto"/>
          <w:u w:val="single"/>
        </w:rPr>
        <w:t xml:space="preserve">        </w:t>
      </w:r>
      <w:r>
        <w:rPr>
          <w:rFonts w:hint="eastAsia"/>
          <w:color w:val="auto"/>
        </w:rPr>
        <w:t>（请填写：是、不是）为联合体一方，提供本企业（单位）制造的货物，由本企业（单位）承担工程、提供服务。本企业（单位）提供协议合同金额占到共同投标协议合同总金额的比例为       。</w:t>
      </w:r>
    </w:p>
    <w:p w14:paraId="035873DA">
      <w:pPr>
        <w:pStyle w:val="27"/>
        <w:spacing w:before="0" w:beforeAutospacing="0" w:after="0" w:afterAutospacing="0" w:line="400" w:lineRule="exact"/>
        <w:rPr>
          <w:color w:val="auto"/>
        </w:rPr>
      </w:pPr>
      <w:r>
        <w:rPr>
          <w:rFonts w:hint="eastAsia"/>
          <w:color w:val="auto"/>
        </w:rPr>
        <w:t>　　本企业（单位）对上述声明的真实性负责。如有虚假，将依法承担相应责任。</w:t>
      </w:r>
    </w:p>
    <w:p w14:paraId="7687A6A3">
      <w:pPr>
        <w:pStyle w:val="27"/>
        <w:spacing w:before="0" w:beforeAutospacing="0" w:after="0" w:afterAutospacing="0" w:line="400" w:lineRule="exact"/>
        <w:rPr>
          <w:color w:val="auto"/>
        </w:rPr>
      </w:pPr>
      <w:r>
        <w:rPr>
          <w:rFonts w:hint="eastAsia"/>
          <w:color w:val="auto"/>
        </w:rPr>
        <w:t>　　</w:t>
      </w:r>
    </w:p>
    <w:p w14:paraId="2011098E">
      <w:pPr>
        <w:pStyle w:val="27"/>
        <w:spacing w:before="0" w:beforeAutospacing="0" w:after="0" w:afterAutospacing="0" w:line="400" w:lineRule="exact"/>
        <w:rPr>
          <w:color w:val="auto"/>
        </w:rPr>
      </w:pPr>
    </w:p>
    <w:p w14:paraId="36FF880A">
      <w:pPr>
        <w:pStyle w:val="27"/>
        <w:spacing w:before="0" w:beforeAutospacing="0" w:after="0" w:afterAutospacing="0" w:line="400" w:lineRule="exact"/>
        <w:rPr>
          <w:color w:val="auto"/>
        </w:rPr>
      </w:pPr>
    </w:p>
    <w:p w14:paraId="486365C6">
      <w:pPr>
        <w:pStyle w:val="27"/>
        <w:spacing w:before="0" w:beforeAutospacing="0" w:after="0" w:afterAutospacing="0" w:line="400" w:lineRule="exact"/>
        <w:rPr>
          <w:color w:val="auto"/>
        </w:rPr>
      </w:pPr>
      <w:r>
        <w:rPr>
          <w:rFonts w:hint="eastAsia"/>
          <w:color w:val="auto"/>
        </w:rPr>
        <w:t>　</w:t>
      </w:r>
    </w:p>
    <w:p w14:paraId="0AC6ACA2">
      <w:pPr>
        <w:pStyle w:val="27"/>
        <w:spacing w:before="0" w:beforeAutospacing="0" w:after="0" w:afterAutospacing="0" w:line="400" w:lineRule="exact"/>
        <w:rPr>
          <w:color w:val="auto"/>
        </w:rPr>
      </w:pPr>
    </w:p>
    <w:p w14:paraId="57A99528">
      <w:pPr>
        <w:widowControl/>
        <w:wordWrap w:val="0"/>
        <w:spacing w:before="100" w:beforeAutospacing="1" w:after="100" w:afterAutospacing="1" w:line="375" w:lineRule="atLeast"/>
        <w:jc w:val="center"/>
        <w:rPr>
          <w:rFonts w:ascii="宋体" w:hAnsi="宋体" w:cs="宋体"/>
          <w:color w:val="auto"/>
          <w:kern w:val="0"/>
          <w:sz w:val="24"/>
          <w:u w:val="single"/>
        </w:rPr>
      </w:pPr>
      <w:r>
        <w:rPr>
          <w:rFonts w:hint="eastAsia" w:ascii="宋体" w:hAnsi="宋体" w:cs="宋体"/>
          <w:color w:val="auto"/>
          <w:kern w:val="0"/>
          <w:sz w:val="24"/>
        </w:rPr>
        <w:t xml:space="preserve">                     </w:t>
      </w:r>
      <w:r>
        <w:rPr>
          <w:rFonts w:ascii="宋体" w:hAnsi="宋体" w:cs="宋体"/>
          <w:color w:val="auto"/>
          <w:kern w:val="0"/>
          <w:sz w:val="24"/>
        </w:rPr>
        <w:t>企业名称（盖章）：</w:t>
      </w:r>
      <w:r>
        <w:rPr>
          <w:rFonts w:hint="eastAsia" w:ascii="宋体" w:hAnsi="宋体" w:cs="宋体"/>
          <w:color w:val="auto"/>
          <w:kern w:val="0"/>
          <w:sz w:val="24"/>
          <w:u w:val="single"/>
        </w:rPr>
        <w:t xml:space="preserve">             </w:t>
      </w:r>
    </w:p>
    <w:p w14:paraId="5B8170E2">
      <w:pPr>
        <w:pStyle w:val="27"/>
        <w:spacing w:before="0" w:beforeAutospacing="0" w:after="0" w:afterAutospacing="0" w:line="400" w:lineRule="exact"/>
        <w:rPr>
          <w:color w:val="auto"/>
        </w:rPr>
      </w:pPr>
      <w:r>
        <w:rPr>
          <w:rFonts w:hint="eastAsia"/>
          <w:color w:val="auto"/>
          <w:szCs w:val="22"/>
        </w:rPr>
        <w:t xml:space="preserve">                                    日    期：</w:t>
      </w:r>
      <w:r>
        <w:rPr>
          <w:rFonts w:hint="eastAsia"/>
          <w:color w:val="auto"/>
          <w:szCs w:val="22"/>
          <w:u w:val="single"/>
        </w:rPr>
        <w:t xml:space="preserve">       </w:t>
      </w:r>
      <w:r>
        <w:rPr>
          <w:rFonts w:hint="eastAsia"/>
          <w:color w:val="auto"/>
          <w:szCs w:val="22"/>
        </w:rPr>
        <w:t>年</w:t>
      </w:r>
      <w:r>
        <w:rPr>
          <w:rFonts w:hint="eastAsia"/>
          <w:color w:val="auto"/>
          <w:szCs w:val="22"/>
          <w:u w:val="single"/>
        </w:rPr>
        <w:t xml:space="preserve">    </w:t>
      </w:r>
      <w:r>
        <w:rPr>
          <w:rFonts w:hint="eastAsia"/>
          <w:color w:val="auto"/>
          <w:szCs w:val="22"/>
        </w:rPr>
        <w:t>月</w:t>
      </w:r>
      <w:r>
        <w:rPr>
          <w:rFonts w:hint="eastAsia"/>
          <w:color w:val="auto"/>
          <w:szCs w:val="22"/>
          <w:u w:val="single"/>
        </w:rPr>
        <w:t xml:space="preserve">    </w:t>
      </w:r>
      <w:r>
        <w:rPr>
          <w:rFonts w:hint="eastAsia"/>
          <w:color w:val="auto"/>
          <w:szCs w:val="22"/>
        </w:rPr>
        <w:t>日</w:t>
      </w:r>
    </w:p>
    <w:p w14:paraId="2294606B">
      <w:pPr>
        <w:spacing w:line="400" w:lineRule="exact"/>
        <w:jc w:val="center"/>
        <w:rPr>
          <w:rFonts w:ascii="宋体" w:hAnsi="宋体" w:cs="宋体"/>
          <w:b/>
          <w:color w:val="auto"/>
          <w:spacing w:val="6"/>
          <w:sz w:val="24"/>
        </w:rPr>
      </w:pPr>
    </w:p>
    <w:p w14:paraId="1D9D0268">
      <w:pPr>
        <w:spacing w:line="400" w:lineRule="exact"/>
        <w:jc w:val="center"/>
        <w:rPr>
          <w:rFonts w:ascii="宋体" w:hAnsi="宋体" w:cs="宋体"/>
          <w:b/>
          <w:color w:val="auto"/>
          <w:spacing w:val="6"/>
          <w:sz w:val="24"/>
        </w:rPr>
      </w:pPr>
    </w:p>
    <w:p w14:paraId="7659448D">
      <w:pPr>
        <w:spacing w:line="400" w:lineRule="exact"/>
        <w:jc w:val="center"/>
        <w:rPr>
          <w:rFonts w:ascii="宋体" w:hAnsi="宋体" w:cs="宋体"/>
          <w:b/>
          <w:color w:val="auto"/>
          <w:spacing w:val="6"/>
          <w:sz w:val="24"/>
        </w:rPr>
      </w:pPr>
    </w:p>
    <w:p w14:paraId="2E85579D">
      <w:pPr>
        <w:spacing w:line="400" w:lineRule="exact"/>
        <w:jc w:val="center"/>
        <w:rPr>
          <w:rFonts w:ascii="宋体" w:hAnsi="宋体" w:cs="宋体"/>
          <w:b/>
          <w:color w:val="auto"/>
          <w:spacing w:val="6"/>
          <w:sz w:val="24"/>
        </w:rPr>
      </w:pPr>
    </w:p>
    <w:p w14:paraId="5823FEE2">
      <w:pPr>
        <w:spacing w:line="400" w:lineRule="exact"/>
        <w:jc w:val="center"/>
        <w:rPr>
          <w:rFonts w:ascii="宋体" w:hAnsi="宋体" w:cs="宋体"/>
          <w:b/>
          <w:color w:val="auto"/>
          <w:spacing w:val="6"/>
          <w:sz w:val="24"/>
        </w:rPr>
      </w:pPr>
    </w:p>
    <w:p w14:paraId="214FED99">
      <w:pPr>
        <w:spacing w:line="400" w:lineRule="exact"/>
        <w:jc w:val="center"/>
        <w:rPr>
          <w:rFonts w:ascii="宋体" w:hAnsi="宋体" w:cs="宋体"/>
          <w:b/>
          <w:color w:val="auto"/>
          <w:spacing w:val="6"/>
          <w:sz w:val="24"/>
        </w:rPr>
      </w:pPr>
    </w:p>
    <w:p w14:paraId="08546D50">
      <w:pPr>
        <w:widowControl/>
        <w:snapToGrid w:val="0"/>
        <w:spacing w:line="400" w:lineRule="exact"/>
        <w:ind w:firstLine="504" w:firstLineChars="200"/>
        <w:rPr>
          <w:rFonts w:ascii="宋体" w:hAnsi="宋体" w:cs="宋体"/>
          <w:color w:val="auto"/>
          <w:spacing w:val="6"/>
          <w:sz w:val="24"/>
        </w:rPr>
      </w:pPr>
      <w:r>
        <w:rPr>
          <w:rFonts w:hint="eastAsia" w:ascii="宋体" w:hAnsi="宋体" w:cs="宋体"/>
          <w:color w:val="auto"/>
          <w:spacing w:val="6"/>
          <w:sz w:val="24"/>
        </w:rPr>
        <w:t>注：供应商若为监狱企业，在投标时须提供《监狱企业声明函》，并附相关证明材料。</w:t>
      </w:r>
    </w:p>
    <w:p w14:paraId="193CFBD4">
      <w:pPr>
        <w:widowControl/>
        <w:snapToGrid w:val="0"/>
        <w:spacing w:line="360" w:lineRule="auto"/>
        <w:jc w:val="center"/>
        <w:rPr>
          <w:rFonts w:ascii="宋体" w:hAnsi="宋体" w:cs="宋体"/>
          <w:b/>
          <w:color w:val="auto"/>
          <w:spacing w:val="6"/>
          <w:sz w:val="24"/>
        </w:rPr>
      </w:pPr>
    </w:p>
    <w:p w14:paraId="0F7064C2">
      <w:pPr>
        <w:widowControl/>
        <w:snapToGrid w:val="0"/>
        <w:spacing w:line="360" w:lineRule="auto"/>
        <w:jc w:val="center"/>
        <w:rPr>
          <w:rFonts w:ascii="宋体" w:hAnsi="宋体" w:cs="宋体"/>
          <w:b/>
          <w:color w:val="auto"/>
          <w:spacing w:val="6"/>
          <w:sz w:val="24"/>
        </w:rPr>
      </w:pPr>
    </w:p>
    <w:p w14:paraId="288AF7A0">
      <w:pPr>
        <w:widowControl/>
        <w:snapToGrid w:val="0"/>
        <w:spacing w:line="360" w:lineRule="auto"/>
        <w:jc w:val="center"/>
        <w:rPr>
          <w:rFonts w:ascii="宋体" w:hAnsi="宋体" w:cs="宋体"/>
          <w:b/>
          <w:color w:val="auto"/>
          <w:spacing w:val="6"/>
          <w:sz w:val="24"/>
        </w:rPr>
      </w:pPr>
    </w:p>
    <w:p w14:paraId="4EAC50AB">
      <w:pPr>
        <w:widowControl/>
        <w:snapToGrid w:val="0"/>
        <w:spacing w:line="360" w:lineRule="auto"/>
        <w:jc w:val="center"/>
        <w:rPr>
          <w:rFonts w:ascii="宋体" w:hAnsi="宋体" w:cs="宋体"/>
          <w:b/>
          <w:color w:val="auto"/>
          <w:spacing w:val="6"/>
          <w:sz w:val="24"/>
        </w:rPr>
      </w:pPr>
    </w:p>
    <w:p w14:paraId="3C4DBA17">
      <w:pPr>
        <w:widowControl/>
        <w:snapToGrid w:val="0"/>
        <w:spacing w:line="360" w:lineRule="auto"/>
        <w:jc w:val="center"/>
        <w:rPr>
          <w:rFonts w:ascii="宋体" w:hAnsi="宋体" w:cs="宋体"/>
          <w:b/>
          <w:color w:val="auto"/>
          <w:spacing w:val="6"/>
          <w:sz w:val="24"/>
        </w:rPr>
      </w:pPr>
    </w:p>
    <w:p w14:paraId="13ABA717">
      <w:pPr>
        <w:rPr>
          <w:rFonts w:ascii="宋体" w:hAnsi="宋体" w:cs="宋体"/>
          <w:b/>
          <w:color w:val="auto"/>
          <w:spacing w:val="6"/>
          <w:sz w:val="24"/>
        </w:rPr>
      </w:pPr>
      <w:r>
        <w:rPr>
          <w:rFonts w:ascii="宋体" w:hAnsi="宋体" w:cs="宋体"/>
          <w:b/>
          <w:color w:val="auto"/>
          <w:spacing w:val="6"/>
          <w:sz w:val="24"/>
        </w:rPr>
        <w:br w:type="page"/>
      </w:r>
    </w:p>
    <w:bookmarkEnd w:id="42"/>
    <w:bookmarkEnd w:id="43"/>
    <w:p w14:paraId="6A68773E">
      <w:pPr>
        <w:spacing w:line="360" w:lineRule="auto"/>
        <w:jc w:val="center"/>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十六、《关于符合本国产品标准的声明函》或财政部会同有关部门规定的有关证明文件</w:t>
      </w:r>
    </w:p>
    <w:p w14:paraId="3BCFAD55">
      <w:pPr>
        <w:rPr>
          <w:rFonts w:hint="eastAsia" w:ascii="宋体" w:hAnsi="宋体" w:cs="宋体"/>
          <w:b/>
          <w:color w:val="auto"/>
          <w:sz w:val="24"/>
          <w:lang w:val="en-US" w:eastAsia="zh-CN"/>
        </w:rPr>
      </w:pPr>
    </w:p>
    <w:p w14:paraId="0EA6F22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Fonts w:hint="eastAsia" w:ascii="宋体" w:hAnsi="宋体" w:eastAsia="宋体" w:cs="宋体"/>
          <w:b/>
          <w:szCs w:val="24"/>
        </w:rPr>
        <w:t>关于符合本国产品标准的声明函</w:t>
      </w:r>
      <w:r>
        <w:rPr>
          <w:rFonts w:hint="eastAsia"/>
          <w:b/>
          <w:szCs w:val="24"/>
        </w:rPr>
        <w:t>（格式）</w:t>
      </w:r>
    </w:p>
    <w:p w14:paraId="79AF12D9">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66B1500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本公司</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（单位）郑重声明，根据《国务院办公厅关于在政府采购中实施本国产品标准及相关政策的通知》（国办发〔2025〕34号）的规定，本公司</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（单位）提供的以下产品属于本国产品。具体情况如下：</w:t>
      </w:r>
    </w:p>
    <w:p w14:paraId="4E0B35C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1.</w:t>
      </w:r>
      <w:r>
        <w:rPr>
          <w:rStyle w:val="39"/>
          <w:rFonts w:hint="eastAsia" w:ascii="宋体" w:hAnsi="宋体" w:eastAsia="宋体" w:cs="宋体"/>
          <w:i w:val="0"/>
          <w:iCs w:val="0"/>
          <w:caps w:val="0"/>
          <w:color w:val="333333"/>
          <w:spacing w:val="0"/>
          <w:sz w:val="24"/>
          <w:szCs w:val="24"/>
          <w:u w:val="single"/>
          <w:shd w:val="clear" w:color="auto" w:fill="FFFFFF"/>
        </w:rPr>
        <w:t>（产品名称1）</w:t>
      </w:r>
      <w:r>
        <w:rPr>
          <w:rStyle w:val="39"/>
          <w:rFonts w:hint="eastAsia" w:ascii="宋体" w:hAnsi="宋体" w:eastAsia="宋体" w:cs="宋体"/>
          <w:i w:val="0"/>
          <w:iCs w:val="0"/>
          <w:caps w:val="0"/>
          <w:color w:val="333333"/>
          <w:spacing w:val="0"/>
          <w:sz w:val="24"/>
          <w:szCs w:val="24"/>
          <w:u w:val="none"/>
          <w:shd w:val="clear" w:color="auto" w:fill="FFFFFF"/>
          <w:vertAlign w:val="superscript"/>
        </w:rPr>
        <w:t>1</w:t>
      </w:r>
      <w:r>
        <w:rPr>
          <w:rFonts w:hint="eastAsia" w:ascii="宋体" w:hAnsi="宋体" w:eastAsia="宋体" w:cs="宋体"/>
          <w:i w:val="0"/>
          <w:iCs w:val="0"/>
          <w:caps w:val="0"/>
          <w:color w:val="333333"/>
          <w:spacing w:val="0"/>
          <w:sz w:val="24"/>
          <w:szCs w:val="24"/>
          <w:shd w:val="clear" w:color="auto" w:fill="FFFFFF"/>
        </w:rPr>
        <w:t>，生产厂为</w:t>
      </w:r>
      <w:r>
        <w:rPr>
          <w:rStyle w:val="39"/>
          <w:rFonts w:hint="eastAsia" w:ascii="宋体" w:hAnsi="宋体" w:eastAsia="宋体" w:cs="宋体"/>
          <w:i w:val="0"/>
          <w:iCs w:val="0"/>
          <w:caps w:val="0"/>
          <w:color w:val="333333"/>
          <w:spacing w:val="0"/>
          <w:sz w:val="24"/>
          <w:szCs w:val="24"/>
          <w:u w:val="single"/>
          <w:shd w:val="clear" w:color="auto" w:fill="FFFFFF"/>
        </w:rPr>
        <w:t>（厂名）</w:t>
      </w:r>
      <w:r>
        <w:rPr>
          <w:rStyle w:val="39"/>
          <w:rFonts w:hint="eastAsia" w:ascii="宋体" w:hAnsi="宋体" w:eastAsia="宋体" w:cs="宋体"/>
          <w:i w:val="0"/>
          <w:iCs w:val="0"/>
          <w:caps w:val="0"/>
          <w:color w:val="333333"/>
          <w:spacing w:val="0"/>
          <w:sz w:val="24"/>
          <w:szCs w:val="24"/>
          <w:u w:val="none"/>
          <w:shd w:val="clear" w:color="auto" w:fill="FFFFFF"/>
          <w:vertAlign w:val="superscript"/>
        </w:rPr>
        <w:t>2</w:t>
      </w:r>
      <w:r>
        <w:rPr>
          <w:rFonts w:hint="eastAsia" w:ascii="宋体" w:hAnsi="宋体" w:eastAsia="宋体" w:cs="宋体"/>
          <w:i w:val="0"/>
          <w:iCs w:val="0"/>
          <w:caps w:val="0"/>
          <w:color w:val="333333"/>
          <w:spacing w:val="0"/>
          <w:sz w:val="24"/>
          <w:szCs w:val="24"/>
          <w:shd w:val="clear" w:color="auto" w:fill="FFFFFF"/>
        </w:rPr>
        <w:t>，厂址为</w:t>
      </w:r>
      <w:r>
        <w:rPr>
          <w:rStyle w:val="39"/>
          <w:rFonts w:hint="eastAsia" w:ascii="宋体" w:hAnsi="宋体" w:eastAsia="宋体" w:cs="宋体"/>
          <w:i w:val="0"/>
          <w:iCs w:val="0"/>
          <w:caps w:val="0"/>
          <w:color w:val="333333"/>
          <w:spacing w:val="0"/>
          <w:sz w:val="24"/>
          <w:szCs w:val="24"/>
          <w:u w:val="single"/>
          <w:shd w:val="clear" w:color="auto" w:fill="FFFFFF"/>
        </w:rPr>
        <w:t>（生产厂址）</w:t>
      </w:r>
      <w:r>
        <w:rPr>
          <w:rFonts w:hint="eastAsia" w:ascii="宋体" w:hAnsi="宋体" w:eastAsia="宋体" w:cs="宋体"/>
          <w:i w:val="0"/>
          <w:iCs w:val="0"/>
          <w:caps w:val="0"/>
          <w:color w:val="333333"/>
          <w:spacing w:val="0"/>
          <w:sz w:val="24"/>
          <w:szCs w:val="24"/>
          <w:shd w:val="clear" w:color="auto" w:fill="FFFFFF"/>
        </w:rPr>
        <w:t>。</w:t>
      </w:r>
      <w:r>
        <w:rPr>
          <w:rStyle w:val="39"/>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的中国境内生产的组件成本占比≥</w:t>
      </w:r>
      <w:r>
        <w:rPr>
          <w:rStyle w:val="39"/>
          <w:rFonts w:hint="eastAsia" w:ascii="宋体" w:hAnsi="宋体" w:eastAsia="宋体" w:cs="宋体"/>
          <w:i w:val="0"/>
          <w:iCs w:val="0"/>
          <w:caps w:val="0"/>
          <w:color w:val="333333"/>
          <w:spacing w:val="0"/>
          <w:sz w:val="24"/>
          <w:szCs w:val="24"/>
          <w:u w:val="single"/>
          <w:shd w:val="clear" w:color="auto" w:fill="FFFFFF"/>
        </w:rPr>
        <w:t>（规定比例）</w:t>
      </w:r>
      <w:r>
        <w:rPr>
          <w:rStyle w:val="39"/>
          <w:rFonts w:hint="eastAsia" w:ascii="宋体" w:hAnsi="宋体" w:eastAsia="宋体" w:cs="宋体"/>
          <w:i w:val="0"/>
          <w:iCs w:val="0"/>
          <w:caps w:val="0"/>
          <w:color w:val="333333"/>
          <w:spacing w:val="0"/>
          <w:sz w:val="24"/>
          <w:szCs w:val="24"/>
          <w:u w:val="none"/>
          <w:shd w:val="clear" w:color="auto" w:fill="FFFFFF"/>
          <w:vertAlign w:val="superscript"/>
        </w:rPr>
        <w:t>3</w:t>
      </w:r>
      <w:r>
        <w:rPr>
          <w:rFonts w:hint="eastAsia" w:ascii="宋体" w:hAnsi="宋体" w:eastAsia="宋体" w:cs="宋体"/>
          <w:i w:val="0"/>
          <w:iCs w:val="0"/>
          <w:caps w:val="0"/>
          <w:color w:val="333333"/>
          <w:spacing w:val="0"/>
          <w:sz w:val="24"/>
          <w:szCs w:val="24"/>
          <w:shd w:val="clear" w:color="auto" w:fill="FFFFFF"/>
        </w:rPr>
        <w:t>。</w:t>
      </w:r>
      <w:r>
        <w:rPr>
          <w:rStyle w:val="39"/>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w:t>
      </w:r>
      <w:r>
        <w:rPr>
          <w:rStyle w:val="39"/>
          <w:rFonts w:hint="eastAsia" w:ascii="宋体" w:hAnsi="宋体" w:eastAsia="宋体" w:cs="宋体"/>
          <w:i w:val="0"/>
          <w:iCs w:val="0"/>
          <w:caps w:val="0"/>
          <w:color w:val="333333"/>
          <w:spacing w:val="0"/>
          <w:sz w:val="24"/>
          <w:szCs w:val="24"/>
          <w:u w:val="single"/>
          <w:shd w:val="clear" w:color="auto" w:fill="FFFFFF"/>
        </w:rPr>
        <w:t>（关键组件）</w:t>
      </w:r>
      <w:r>
        <w:rPr>
          <w:rStyle w:val="39"/>
          <w:rFonts w:hint="eastAsia" w:ascii="宋体" w:hAnsi="宋体" w:eastAsia="宋体" w:cs="宋体"/>
          <w:i w:val="0"/>
          <w:iCs w:val="0"/>
          <w:caps w:val="0"/>
          <w:color w:val="333333"/>
          <w:spacing w:val="0"/>
          <w:sz w:val="24"/>
          <w:szCs w:val="24"/>
          <w:u w:val="none"/>
          <w:shd w:val="clear" w:color="auto" w:fill="FFFFFF"/>
          <w:vertAlign w:val="superscript"/>
        </w:rPr>
        <w:t>4</w:t>
      </w:r>
      <w:r>
        <w:rPr>
          <w:rFonts w:hint="eastAsia" w:ascii="宋体" w:hAnsi="宋体" w:eastAsia="宋体" w:cs="宋体"/>
          <w:i w:val="0"/>
          <w:iCs w:val="0"/>
          <w:caps w:val="0"/>
          <w:color w:val="333333"/>
          <w:spacing w:val="0"/>
          <w:sz w:val="24"/>
          <w:szCs w:val="24"/>
          <w:shd w:val="clear" w:color="auto" w:fill="FFFFFF"/>
        </w:rPr>
        <w:t>在中国境内生产。</w:t>
      </w:r>
      <w:r>
        <w:rPr>
          <w:rStyle w:val="39"/>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w:t>
      </w:r>
      <w:r>
        <w:rPr>
          <w:rStyle w:val="39"/>
          <w:rFonts w:hint="eastAsia" w:ascii="宋体" w:hAnsi="宋体" w:eastAsia="宋体" w:cs="宋体"/>
          <w:i w:val="0"/>
          <w:iCs w:val="0"/>
          <w:caps w:val="0"/>
          <w:color w:val="333333"/>
          <w:spacing w:val="0"/>
          <w:sz w:val="24"/>
          <w:szCs w:val="24"/>
          <w:u w:val="single"/>
          <w:shd w:val="clear" w:color="auto" w:fill="FFFFFF"/>
        </w:rPr>
        <w:t>（关键工序）</w:t>
      </w:r>
      <w:r>
        <w:rPr>
          <w:rStyle w:val="39"/>
          <w:rFonts w:hint="eastAsia" w:ascii="宋体" w:hAnsi="宋体" w:eastAsia="宋体" w:cs="宋体"/>
          <w:i w:val="0"/>
          <w:iCs w:val="0"/>
          <w:caps w:val="0"/>
          <w:color w:val="333333"/>
          <w:spacing w:val="0"/>
          <w:sz w:val="24"/>
          <w:szCs w:val="24"/>
          <w:u w:val="none"/>
          <w:shd w:val="clear" w:color="auto" w:fill="FFFFFF"/>
          <w:vertAlign w:val="superscript"/>
        </w:rPr>
        <w:t>5</w:t>
      </w:r>
      <w:r>
        <w:rPr>
          <w:rFonts w:hint="eastAsia" w:ascii="宋体" w:hAnsi="宋体" w:eastAsia="宋体" w:cs="宋体"/>
          <w:i w:val="0"/>
          <w:iCs w:val="0"/>
          <w:caps w:val="0"/>
          <w:color w:val="333333"/>
          <w:spacing w:val="0"/>
          <w:sz w:val="24"/>
          <w:szCs w:val="24"/>
          <w:shd w:val="clear" w:color="auto" w:fill="FFFFFF"/>
        </w:rPr>
        <w:t>在中国境内完成。</w:t>
      </w:r>
    </w:p>
    <w:p w14:paraId="2C00865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2.</w:t>
      </w:r>
      <w:r>
        <w:rPr>
          <w:rStyle w:val="39"/>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，生产厂为</w:t>
      </w:r>
      <w:r>
        <w:rPr>
          <w:rStyle w:val="39"/>
          <w:rFonts w:hint="eastAsia" w:ascii="宋体" w:hAnsi="宋体" w:eastAsia="宋体" w:cs="宋体"/>
          <w:i w:val="0"/>
          <w:iCs w:val="0"/>
          <w:caps w:val="0"/>
          <w:color w:val="333333"/>
          <w:spacing w:val="0"/>
          <w:sz w:val="24"/>
          <w:szCs w:val="24"/>
          <w:u w:val="single"/>
          <w:shd w:val="clear" w:color="auto" w:fill="FFFFFF"/>
        </w:rPr>
        <w:t>（厂名）</w:t>
      </w:r>
      <w:r>
        <w:rPr>
          <w:rFonts w:hint="eastAsia" w:ascii="宋体" w:hAnsi="宋体" w:eastAsia="宋体" w:cs="宋体"/>
          <w:i w:val="0"/>
          <w:iCs w:val="0"/>
          <w:caps w:val="0"/>
          <w:color w:val="333333"/>
          <w:spacing w:val="0"/>
          <w:sz w:val="24"/>
          <w:szCs w:val="24"/>
          <w:shd w:val="clear" w:color="auto" w:fill="FFFFFF"/>
        </w:rPr>
        <w:t>，厂址为</w:t>
      </w:r>
      <w:r>
        <w:rPr>
          <w:rStyle w:val="39"/>
          <w:rFonts w:hint="eastAsia" w:ascii="宋体" w:hAnsi="宋体" w:eastAsia="宋体" w:cs="宋体"/>
          <w:i w:val="0"/>
          <w:iCs w:val="0"/>
          <w:caps w:val="0"/>
          <w:color w:val="333333"/>
          <w:spacing w:val="0"/>
          <w:sz w:val="24"/>
          <w:szCs w:val="24"/>
          <w:u w:val="single"/>
          <w:shd w:val="clear" w:color="auto" w:fill="FFFFFF"/>
        </w:rPr>
        <w:t>（生产厂址）</w:t>
      </w:r>
      <w:r>
        <w:rPr>
          <w:rFonts w:hint="eastAsia" w:ascii="宋体" w:hAnsi="宋体" w:eastAsia="宋体" w:cs="宋体"/>
          <w:i w:val="0"/>
          <w:iCs w:val="0"/>
          <w:caps w:val="0"/>
          <w:color w:val="333333"/>
          <w:spacing w:val="0"/>
          <w:sz w:val="24"/>
          <w:szCs w:val="24"/>
          <w:shd w:val="clear" w:color="auto" w:fill="FFFFFF"/>
        </w:rPr>
        <w:t>。</w:t>
      </w:r>
      <w:r>
        <w:rPr>
          <w:rStyle w:val="39"/>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的中国境内生产的组件成本占比≥</w:t>
      </w:r>
      <w:r>
        <w:rPr>
          <w:rStyle w:val="39"/>
          <w:rFonts w:hint="eastAsia" w:ascii="宋体" w:hAnsi="宋体" w:eastAsia="宋体" w:cs="宋体"/>
          <w:i w:val="0"/>
          <w:iCs w:val="0"/>
          <w:caps w:val="0"/>
          <w:color w:val="333333"/>
          <w:spacing w:val="0"/>
          <w:sz w:val="24"/>
          <w:szCs w:val="24"/>
          <w:u w:val="single"/>
          <w:shd w:val="clear" w:color="auto" w:fill="FFFFFF"/>
        </w:rPr>
        <w:t>（规定比例）</w:t>
      </w:r>
      <w:r>
        <w:rPr>
          <w:rFonts w:hint="eastAsia" w:ascii="宋体" w:hAnsi="宋体" w:eastAsia="宋体" w:cs="宋体"/>
          <w:i w:val="0"/>
          <w:iCs w:val="0"/>
          <w:caps w:val="0"/>
          <w:color w:val="333333"/>
          <w:spacing w:val="0"/>
          <w:sz w:val="24"/>
          <w:szCs w:val="24"/>
          <w:shd w:val="clear" w:color="auto" w:fill="FFFFFF"/>
        </w:rPr>
        <w:t>。</w:t>
      </w:r>
      <w:r>
        <w:rPr>
          <w:rStyle w:val="39"/>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w:t>
      </w:r>
      <w:r>
        <w:rPr>
          <w:rStyle w:val="39"/>
          <w:rFonts w:hint="eastAsia" w:ascii="宋体" w:hAnsi="宋体" w:eastAsia="宋体" w:cs="宋体"/>
          <w:i w:val="0"/>
          <w:iCs w:val="0"/>
          <w:caps w:val="0"/>
          <w:color w:val="333333"/>
          <w:spacing w:val="0"/>
          <w:sz w:val="24"/>
          <w:szCs w:val="24"/>
          <w:u w:val="single"/>
          <w:shd w:val="clear" w:color="auto" w:fill="FFFFFF"/>
        </w:rPr>
        <w:t>（关键组件）</w:t>
      </w:r>
      <w:r>
        <w:rPr>
          <w:rFonts w:hint="eastAsia" w:ascii="宋体" w:hAnsi="宋体" w:eastAsia="宋体" w:cs="宋体"/>
          <w:i w:val="0"/>
          <w:iCs w:val="0"/>
          <w:caps w:val="0"/>
          <w:color w:val="333333"/>
          <w:spacing w:val="0"/>
          <w:sz w:val="24"/>
          <w:szCs w:val="24"/>
          <w:shd w:val="clear" w:color="auto" w:fill="FFFFFF"/>
        </w:rPr>
        <w:t>在中国境内生产。</w:t>
      </w:r>
      <w:r>
        <w:rPr>
          <w:rStyle w:val="39"/>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w:t>
      </w:r>
      <w:r>
        <w:rPr>
          <w:rStyle w:val="39"/>
          <w:rFonts w:hint="eastAsia" w:ascii="宋体" w:hAnsi="宋体" w:eastAsia="宋体" w:cs="宋体"/>
          <w:i w:val="0"/>
          <w:iCs w:val="0"/>
          <w:caps w:val="0"/>
          <w:color w:val="333333"/>
          <w:spacing w:val="0"/>
          <w:sz w:val="24"/>
          <w:szCs w:val="24"/>
          <w:u w:val="single"/>
          <w:shd w:val="clear" w:color="auto" w:fill="FFFFFF"/>
        </w:rPr>
        <w:t>（关键工序）</w:t>
      </w:r>
      <w:r>
        <w:rPr>
          <w:rFonts w:hint="eastAsia" w:ascii="宋体" w:hAnsi="宋体" w:eastAsia="宋体" w:cs="宋体"/>
          <w:i w:val="0"/>
          <w:iCs w:val="0"/>
          <w:caps w:val="0"/>
          <w:color w:val="333333"/>
          <w:spacing w:val="0"/>
          <w:sz w:val="24"/>
          <w:szCs w:val="24"/>
          <w:shd w:val="clear" w:color="auto" w:fill="FFFFFF"/>
        </w:rPr>
        <w:t>在中国境内完成。</w:t>
      </w:r>
    </w:p>
    <w:p w14:paraId="1E4B0E4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w:t>
      </w:r>
    </w:p>
    <w:p w14:paraId="02816F2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本公司（单位）对上述声明内容的真实性负责。如有虚假，愿承担相应法律责任。</w:t>
      </w:r>
    </w:p>
    <w:p w14:paraId="2E22BEF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p>
    <w:p w14:paraId="72B96C4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公司（单位）名称（盖章）：　        </w:t>
      </w:r>
    </w:p>
    <w:p w14:paraId="1B78237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日期：　     年　  月　  日         </w:t>
      </w:r>
    </w:p>
    <w:p w14:paraId="12C0A47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shd w:val="clear" w:color="auto" w:fill="FFFFFF"/>
        </w:rPr>
      </w:pPr>
    </w:p>
    <w:p w14:paraId="6BE2431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1.产品如有型号，请在“产品名称”栏一并填写。</w:t>
      </w:r>
    </w:p>
    <w:p w14:paraId="3A8A37A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2.生产厂名与厂址应与生产厂营业执照载明的相关信息保持一致。</w:t>
      </w:r>
    </w:p>
    <w:p w14:paraId="3C7C3FA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3.该产品的中国境内生产的组件成本占比相关要求实施前，“规定比例”栏可不填，下同。</w:t>
      </w:r>
    </w:p>
    <w:p w14:paraId="19DA93E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4.该产品的关键组件要求实施前，“关键组件”栏可不填，下同。</w:t>
      </w:r>
    </w:p>
    <w:p w14:paraId="5C78E30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5.该产品的关键工序要求实施前，“关键工序”栏可不填，下同。</w:t>
      </w:r>
    </w:p>
    <w:p w14:paraId="685DB530">
      <w:pPr>
        <w:rPr>
          <w:rFonts w:hint="eastAsia" w:ascii="宋体" w:hAnsi="宋体" w:cs="宋体"/>
          <w:b/>
          <w:color w:val="auto"/>
          <w:sz w:val="24"/>
          <w:lang w:val="en-US" w:eastAsia="zh-CN"/>
        </w:rPr>
      </w:pPr>
    </w:p>
    <w:p w14:paraId="794E05E0">
      <w:pPr>
        <w:rPr>
          <w:rFonts w:hint="eastAsia" w:ascii="宋体" w:hAnsi="宋体" w:cs="宋体"/>
          <w:b/>
          <w:color w:val="auto"/>
          <w:sz w:val="24"/>
          <w:lang w:val="en-US" w:eastAsia="zh-CN"/>
        </w:rPr>
      </w:pPr>
      <w:r>
        <w:rPr>
          <w:rFonts w:hint="eastAsia" w:ascii="宋体" w:hAnsi="宋体" w:cs="宋体"/>
          <w:b/>
          <w:color w:val="auto"/>
          <w:sz w:val="24"/>
          <w:lang w:val="en-US" w:eastAsia="zh-CN"/>
        </w:rPr>
        <w:br w:type="page"/>
      </w:r>
    </w:p>
    <w:p w14:paraId="0444A43B">
      <w:pPr>
        <w:spacing w:line="360" w:lineRule="auto"/>
        <w:jc w:val="center"/>
        <w:rPr>
          <w:rFonts w:ascii="宋体" w:hAnsi="宋体" w:cs="宋体"/>
          <w:b/>
          <w:color w:val="auto"/>
          <w:sz w:val="24"/>
        </w:rPr>
      </w:pPr>
      <w:r>
        <w:rPr>
          <w:rFonts w:hint="eastAsia" w:ascii="宋体" w:hAnsi="宋体" w:cs="宋体"/>
          <w:b/>
          <w:color w:val="auto"/>
          <w:sz w:val="24"/>
          <w:lang w:val="en-US" w:eastAsia="zh-CN"/>
        </w:rPr>
        <w:t>十七、投标人</w:t>
      </w:r>
      <w:r>
        <w:rPr>
          <w:rFonts w:hint="eastAsia" w:ascii="宋体" w:hAnsi="宋体" w:cs="宋体"/>
          <w:b/>
          <w:color w:val="auto"/>
          <w:sz w:val="24"/>
        </w:rPr>
        <w:t>认为需要提供的其他商务资料</w:t>
      </w:r>
    </w:p>
    <w:p w14:paraId="48234BC6">
      <w:pPr>
        <w:spacing w:line="360" w:lineRule="auto"/>
        <w:ind w:firstLine="420"/>
        <w:jc w:val="center"/>
        <w:rPr>
          <w:rFonts w:ascii="宋体" w:hAnsi="宋体" w:cs="宋体"/>
          <w:color w:val="auto"/>
          <w:sz w:val="24"/>
        </w:rPr>
      </w:pPr>
      <w:r>
        <w:rPr>
          <w:rFonts w:hint="eastAsia" w:ascii="宋体" w:hAnsi="宋体" w:cs="宋体"/>
          <w:color w:val="auto"/>
          <w:sz w:val="24"/>
        </w:rPr>
        <w:t>（以下表格仅供参考）</w:t>
      </w:r>
    </w:p>
    <w:p w14:paraId="7D0032D2">
      <w:pPr>
        <w:widowControl/>
        <w:tabs>
          <w:tab w:val="left" w:pos="4000"/>
        </w:tabs>
        <w:snapToGrid w:val="0"/>
        <w:spacing w:line="300" w:lineRule="exact"/>
        <w:jc w:val="center"/>
        <w:rPr>
          <w:rFonts w:ascii="宋体" w:hAnsi="宋体" w:cs="宋体"/>
          <w:b/>
          <w:color w:val="auto"/>
          <w:sz w:val="24"/>
        </w:rPr>
      </w:pPr>
      <w:r>
        <w:rPr>
          <w:rFonts w:hint="eastAsia" w:ascii="宋体" w:hAnsi="宋体" w:cs="宋体"/>
          <w:b/>
          <w:color w:val="auto"/>
          <w:sz w:val="24"/>
          <w:lang w:val="en-US" w:eastAsia="zh-CN"/>
        </w:rPr>
        <w:t>投标人</w:t>
      </w:r>
      <w:r>
        <w:rPr>
          <w:rFonts w:hint="eastAsia" w:ascii="宋体" w:hAnsi="宋体" w:cs="宋体"/>
          <w:b/>
          <w:color w:val="auto"/>
          <w:sz w:val="24"/>
        </w:rPr>
        <w:t>基本情况</w:t>
      </w:r>
    </w:p>
    <w:tbl>
      <w:tblPr>
        <w:tblStyle w:val="33"/>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1133"/>
        <w:gridCol w:w="2526"/>
        <w:gridCol w:w="1269"/>
        <w:gridCol w:w="2531"/>
      </w:tblGrid>
      <w:tr w14:paraId="4D7E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722" w:type="dxa"/>
            <w:vAlign w:val="center"/>
          </w:tcPr>
          <w:p w14:paraId="35511187">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 </w:t>
            </w:r>
            <w:r>
              <w:rPr>
                <w:rFonts w:hint="eastAsia" w:ascii="宋体" w:hAnsi="宋体" w:cs="宋体"/>
                <w:color w:val="auto"/>
                <w:kern w:val="0"/>
                <w:sz w:val="24"/>
                <w:lang w:val="en-US" w:eastAsia="zh-CN"/>
              </w:rPr>
              <w:t>投标人</w:t>
            </w:r>
            <w:r>
              <w:rPr>
                <w:rFonts w:hint="eastAsia" w:ascii="宋体" w:hAnsi="宋体" w:cs="宋体"/>
                <w:color w:val="auto"/>
                <w:kern w:val="0"/>
                <w:sz w:val="24"/>
              </w:rPr>
              <w:t>名称</w:t>
            </w:r>
          </w:p>
        </w:tc>
        <w:tc>
          <w:tcPr>
            <w:tcW w:w="7459" w:type="dxa"/>
            <w:gridSpan w:val="4"/>
            <w:vAlign w:val="center"/>
          </w:tcPr>
          <w:p w14:paraId="4CAC62E2">
            <w:pPr>
              <w:widowControl/>
              <w:snapToGrid w:val="0"/>
              <w:spacing w:line="400" w:lineRule="exact"/>
              <w:jc w:val="center"/>
              <w:rPr>
                <w:rFonts w:ascii="宋体" w:hAnsi="宋体" w:cs="宋体"/>
                <w:color w:val="auto"/>
                <w:kern w:val="0"/>
                <w:sz w:val="24"/>
              </w:rPr>
            </w:pPr>
          </w:p>
        </w:tc>
      </w:tr>
      <w:tr w14:paraId="656D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722" w:type="dxa"/>
            <w:vAlign w:val="center"/>
          </w:tcPr>
          <w:p w14:paraId="3562EBFD">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注册地址</w:t>
            </w:r>
          </w:p>
        </w:tc>
        <w:tc>
          <w:tcPr>
            <w:tcW w:w="3659" w:type="dxa"/>
            <w:gridSpan w:val="2"/>
            <w:vAlign w:val="center"/>
          </w:tcPr>
          <w:p w14:paraId="1FFA5B4F">
            <w:pPr>
              <w:widowControl/>
              <w:snapToGrid w:val="0"/>
              <w:spacing w:line="400" w:lineRule="exact"/>
              <w:jc w:val="center"/>
              <w:rPr>
                <w:rFonts w:ascii="宋体" w:hAnsi="宋体" w:cs="宋体"/>
                <w:color w:val="auto"/>
                <w:kern w:val="0"/>
                <w:sz w:val="24"/>
              </w:rPr>
            </w:pPr>
          </w:p>
        </w:tc>
        <w:tc>
          <w:tcPr>
            <w:tcW w:w="1269" w:type="dxa"/>
            <w:vAlign w:val="center"/>
          </w:tcPr>
          <w:p w14:paraId="5A3C1099">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邮政编码</w:t>
            </w:r>
          </w:p>
        </w:tc>
        <w:tc>
          <w:tcPr>
            <w:tcW w:w="2531" w:type="dxa"/>
            <w:vAlign w:val="center"/>
          </w:tcPr>
          <w:p w14:paraId="27B4A5BB">
            <w:pPr>
              <w:widowControl/>
              <w:snapToGrid w:val="0"/>
              <w:spacing w:line="400" w:lineRule="exact"/>
              <w:jc w:val="center"/>
              <w:rPr>
                <w:rFonts w:ascii="宋体" w:hAnsi="宋体" w:cs="宋体"/>
                <w:color w:val="auto"/>
                <w:kern w:val="0"/>
                <w:sz w:val="24"/>
              </w:rPr>
            </w:pPr>
          </w:p>
        </w:tc>
      </w:tr>
      <w:tr w14:paraId="4138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722" w:type="dxa"/>
            <w:vMerge w:val="restart"/>
            <w:vAlign w:val="center"/>
          </w:tcPr>
          <w:p w14:paraId="28D5D322">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联系方式</w:t>
            </w:r>
          </w:p>
        </w:tc>
        <w:tc>
          <w:tcPr>
            <w:tcW w:w="1133" w:type="dxa"/>
            <w:vAlign w:val="center"/>
          </w:tcPr>
          <w:p w14:paraId="76FF02E5">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联系人</w:t>
            </w:r>
          </w:p>
        </w:tc>
        <w:tc>
          <w:tcPr>
            <w:tcW w:w="2526" w:type="dxa"/>
            <w:vAlign w:val="center"/>
          </w:tcPr>
          <w:p w14:paraId="280E749D">
            <w:pPr>
              <w:widowControl/>
              <w:snapToGrid w:val="0"/>
              <w:spacing w:line="400" w:lineRule="exact"/>
              <w:jc w:val="center"/>
              <w:rPr>
                <w:rFonts w:ascii="宋体" w:hAnsi="宋体" w:cs="宋体"/>
                <w:color w:val="auto"/>
                <w:kern w:val="0"/>
                <w:sz w:val="24"/>
              </w:rPr>
            </w:pPr>
          </w:p>
        </w:tc>
        <w:tc>
          <w:tcPr>
            <w:tcW w:w="1269" w:type="dxa"/>
            <w:vAlign w:val="center"/>
          </w:tcPr>
          <w:p w14:paraId="5227D939">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电   话</w:t>
            </w:r>
          </w:p>
        </w:tc>
        <w:tc>
          <w:tcPr>
            <w:tcW w:w="2531" w:type="dxa"/>
            <w:vAlign w:val="center"/>
          </w:tcPr>
          <w:p w14:paraId="082F90E3">
            <w:pPr>
              <w:widowControl/>
              <w:snapToGrid w:val="0"/>
              <w:spacing w:line="400" w:lineRule="exact"/>
              <w:jc w:val="center"/>
              <w:rPr>
                <w:rFonts w:ascii="宋体" w:hAnsi="宋体" w:cs="宋体"/>
                <w:color w:val="auto"/>
                <w:kern w:val="0"/>
                <w:sz w:val="24"/>
              </w:rPr>
            </w:pPr>
          </w:p>
        </w:tc>
      </w:tr>
      <w:tr w14:paraId="2650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722" w:type="dxa"/>
            <w:vMerge w:val="continue"/>
            <w:vAlign w:val="center"/>
          </w:tcPr>
          <w:p w14:paraId="6B1DAC0E">
            <w:pPr>
              <w:widowControl/>
              <w:snapToGrid w:val="0"/>
              <w:spacing w:line="400" w:lineRule="exact"/>
              <w:jc w:val="center"/>
              <w:rPr>
                <w:rFonts w:ascii="宋体" w:hAnsi="宋体" w:cs="宋体"/>
                <w:color w:val="auto"/>
                <w:kern w:val="0"/>
                <w:sz w:val="24"/>
              </w:rPr>
            </w:pPr>
          </w:p>
        </w:tc>
        <w:tc>
          <w:tcPr>
            <w:tcW w:w="1133" w:type="dxa"/>
            <w:vAlign w:val="center"/>
          </w:tcPr>
          <w:p w14:paraId="54F506E7">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传  真</w:t>
            </w:r>
          </w:p>
        </w:tc>
        <w:tc>
          <w:tcPr>
            <w:tcW w:w="2526" w:type="dxa"/>
            <w:vAlign w:val="center"/>
          </w:tcPr>
          <w:p w14:paraId="6DBEC969">
            <w:pPr>
              <w:widowControl/>
              <w:snapToGrid w:val="0"/>
              <w:spacing w:line="400" w:lineRule="exact"/>
              <w:jc w:val="center"/>
              <w:rPr>
                <w:rFonts w:ascii="宋体" w:hAnsi="宋体" w:cs="宋体"/>
                <w:color w:val="auto"/>
                <w:kern w:val="0"/>
                <w:sz w:val="24"/>
              </w:rPr>
            </w:pPr>
          </w:p>
        </w:tc>
        <w:tc>
          <w:tcPr>
            <w:tcW w:w="1269" w:type="dxa"/>
            <w:vAlign w:val="center"/>
          </w:tcPr>
          <w:p w14:paraId="5EB182BB">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网   址</w:t>
            </w:r>
          </w:p>
        </w:tc>
        <w:tc>
          <w:tcPr>
            <w:tcW w:w="2531" w:type="dxa"/>
            <w:vAlign w:val="center"/>
          </w:tcPr>
          <w:p w14:paraId="07962D96">
            <w:pPr>
              <w:widowControl/>
              <w:snapToGrid w:val="0"/>
              <w:spacing w:line="400" w:lineRule="exact"/>
              <w:jc w:val="center"/>
              <w:rPr>
                <w:rFonts w:ascii="宋体" w:hAnsi="宋体" w:cs="宋体"/>
                <w:color w:val="auto"/>
                <w:kern w:val="0"/>
                <w:sz w:val="24"/>
              </w:rPr>
            </w:pPr>
          </w:p>
        </w:tc>
      </w:tr>
      <w:tr w14:paraId="0694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722" w:type="dxa"/>
            <w:vAlign w:val="center"/>
          </w:tcPr>
          <w:p w14:paraId="0EEAFD66">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组织机构</w:t>
            </w:r>
          </w:p>
          <w:p w14:paraId="68B96906">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代码</w:t>
            </w:r>
          </w:p>
        </w:tc>
        <w:tc>
          <w:tcPr>
            <w:tcW w:w="7459" w:type="dxa"/>
            <w:gridSpan w:val="4"/>
            <w:vAlign w:val="center"/>
          </w:tcPr>
          <w:p w14:paraId="55C689AC">
            <w:pPr>
              <w:widowControl/>
              <w:snapToGrid w:val="0"/>
              <w:spacing w:line="400" w:lineRule="exact"/>
              <w:jc w:val="center"/>
              <w:rPr>
                <w:rFonts w:ascii="宋体" w:hAnsi="宋体" w:cs="宋体"/>
                <w:color w:val="auto"/>
                <w:kern w:val="0"/>
                <w:sz w:val="24"/>
              </w:rPr>
            </w:pPr>
          </w:p>
        </w:tc>
      </w:tr>
      <w:tr w14:paraId="55DB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722" w:type="dxa"/>
            <w:vAlign w:val="center"/>
          </w:tcPr>
          <w:p w14:paraId="2B913700">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法定代表人</w:t>
            </w:r>
          </w:p>
        </w:tc>
        <w:tc>
          <w:tcPr>
            <w:tcW w:w="1133" w:type="dxa"/>
            <w:vAlign w:val="center"/>
          </w:tcPr>
          <w:p w14:paraId="60A9EF06">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姓名</w:t>
            </w:r>
          </w:p>
        </w:tc>
        <w:tc>
          <w:tcPr>
            <w:tcW w:w="2526" w:type="dxa"/>
            <w:vAlign w:val="center"/>
          </w:tcPr>
          <w:p w14:paraId="099143A4">
            <w:pPr>
              <w:widowControl/>
              <w:snapToGrid w:val="0"/>
              <w:spacing w:line="400" w:lineRule="exact"/>
              <w:jc w:val="center"/>
              <w:rPr>
                <w:rFonts w:ascii="宋体" w:hAnsi="宋体" w:cs="宋体"/>
                <w:color w:val="auto"/>
                <w:kern w:val="0"/>
                <w:sz w:val="24"/>
              </w:rPr>
            </w:pPr>
          </w:p>
        </w:tc>
        <w:tc>
          <w:tcPr>
            <w:tcW w:w="1269" w:type="dxa"/>
            <w:vAlign w:val="center"/>
          </w:tcPr>
          <w:p w14:paraId="523E54E2">
            <w:pPr>
              <w:widowControl/>
              <w:snapToGrid w:val="0"/>
              <w:spacing w:line="400" w:lineRule="exact"/>
              <w:jc w:val="both"/>
              <w:rPr>
                <w:rFonts w:ascii="宋体" w:hAnsi="宋体" w:cs="宋体"/>
                <w:color w:val="auto"/>
                <w:kern w:val="0"/>
                <w:sz w:val="24"/>
              </w:rPr>
            </w:pPr>
            <w:r>
              <w:rPr>
                <w:rFonts w:hint="eastAsia" w:ascii="宋体" w:hAnsi="宋体" w:cs="宋体"/>
                <w:color w:val="auto"/>
                <w:kern w:val="0"/>
                <w:sz w:val="24"/>
              </w:rPr>
              <w:t>电话</w:t>
            </w:r>
          </w:p>
        </w:tc>
        <w:tc>
          <w:tcPr>
            <w:tcW w:w="2531" w:type="dxa"/>
            <w:vAlign w:val="center"/>
          </w:tcPr>
          <w:p w14:paraId="7AA7E6EA">
            <w:pPr>
              <w:widowControl/>
              <w:snapToGrid w:val="0"/>
              <w:spacing w:line="400" w:lineRule="exact"/>
              <w:jc w:val="center"/>
              <w:rPr>
                <w:rFonts w:ascii="宋体" w:hAnsi="宋体" w:cs="宋体"/>
                <w:color w:val="auto"/>
                <w:kern w:val="0"/>
                <w:sz w:val="24"/>
              </w:rPr>
            </w:pPr>
          </w:p>
        </w:tc>
      </w:tr>
      <w:tr w14:paraId="48FB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722" w:type="dxa"/>
            <w:vAlign w:val="center"/>
          </w:tcPr>
          <w:p w14:paraId="52140016">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成立时间</w:t>
            </w:r>
          </w:p>
        </w:tc>
        <w:tc>
          <w:tcPr>
            <w:tcW w:w="3659" w:type="dxa"/>
            <w:gridSpan w:val="2"/>
            <w:vAlign w:val="center"/>
          </w:tcPr>
          <w:p w14:paraId="60311ECA">
            <w:pPr>
              <w:widowControl/>
              <w:snapToGrid w:val="0"/>
              <w:spacing w:line="400" w:lineRule="exact"/>
              <w:jc w:val="center"/>
              <w:rPr>
                <w:rFonts w:ascii="宋体" w:hAnsi="宋体" w:cs="宋体"/>
                <w:color w:val="auto"/>
                <w:kern w:val="0"/>
                <w:sz w:val="24"/>
              </w:rPr>
            </w:pPr>
          </w:p>
        </w:tc>
        <w:tc>
          <w:tcPr>
            <w:tcW w:w="3800" w:type="dxa"/>
            <w:gridSpan w:val="2"/>
            <w:vAlign w:val="center"/>
          </w:tcPr>
          <w:p w14:paraId="2CADD2D5">
            <w:pPr>
              <w:widowControl/>
              <w:snapToGrid w:val="0"/>
              <w:spacing w:line="400" w:lineRule="exact"/>
              <w:rPr>
                <w:rFonts w:ascii="宋体" w:hAnsi="宋体" w:cs="宋体"/>
                <w:color w:val="auto"/>
                <w:kern w:val="0"/>
                <w:sz w:val="24"/>
              </w:rPr>
            </w:pPr>
            <w:r>
              <w:rPr>
                <w:rFonts w:hint="eastAsia" w:ascii="宋体" w:hAnsi="宋体" w:cs="宋体"/>
                <w:color w:val="auto"/>
                <w:kern w:val="0"/>
                <w:sz w:val="24"/>
              </w:rPr>
              <w:t>员工总人数：</w:t>
            </w:r>
          </w:p>
        </w:tc>
      </w:tr>
      <w:tr w14:paraId="4855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722" w:type="dxa"/>
            <w:vAlign w:val="center"/>
          </w:tcPr>
          <w:p w14:paraId="25CB6A0C">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营业执照号</w:t>
            </w:r>
          </w:p>
        </w:tc>
        <w:tc>
          <w:tcPr>
            <w:tcW w:w="7459" w:type="dxa"/>
            <w:gridSpan w:val="4"/>
            <w:vAlign w:val="center"/>
          </w:tcPr>
          <w:p w14:paraId="537A038E">
            <w:pPr>
              <w:widowControl/>
              <w:snapToGrid w:val="0"/>
              <w:spacing w:line="400" w:lineRule="exact"/>
              <w:jc w:val="center"/>
              <w:rPr>
                <w:rFonts w:ascii="宋体" w:hAnsi="宋体" w:cs="宋体"/>
                <w:color w:val="auto"/>
                <w:kern w:val="0"/>
                <w:sz w:val="24"/>
              </w:rPr>
            </w:pPr>
          </w:p>
        </w:tc>
      </w:tr>
      <w:tr w14:paraId="39F1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722" w:type="dxa"/>
            <w:vAlign w:val="center"/>
          </w:tcPr>
          <w:p w14:paraId="0478859B">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注册资本金</w:t>
            </w:r>
          </w:p>
        </w:tc>
        <w:tc>
          <w:tcPr>
            <w:tcW w:w="7459" w:type="dxa"/>
            <w:gridSpan w:val="4"/>
            <w:vAlign w:val="center"/>
          </w:tcPr>
          <w:p w14:paraId="5DEA3B2F">
            <w:pPr>
              <w:widowControl/>
              <w:snapToGrid w:val="0"/>
              <w:spacing w:line="400" w:lineRule="exact"/>
              <w:jc w:val="center"/>
              <w:rPr>
                <w:rFonts w:ascii="宋体" w:hAnsi="宋体" w:cs="宋体"/>
                <w:color w:val="auto"/>
                <w:kern w:val="0"/>
                <w:sz w:val="24"/>
              </w:rPr>
            </w:pPr>
          </w:p>
        </w:tc>
      </w:tr>
      <w:tr w14:paraId="74F3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722" w:type="dxa"/>
            <w:vAlign w:val="center"/>
          </w:tcPr>
          <w:p w14:paraId="5A0829AC">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开户银行</w:t>
            </w:r>
          </w:p>
        </w:tc>
        <w:tc>
          <w:tcPr>
            <w:tcW w:w="7459" w:type="dxa"/>
            <w:gridSpan w:val="4"/>
            <w:vAlign w:val="center"/>
          </w:tcPr>
          <w:p w14:paraId="328CC7A9">
            <w:pPr>
              <w:widowControl/>
              <w:snapToGrid w:val="0"/>
              <w:spacing w:line="400" w:lineRule="exact"/>
              <w:jc w:val="center"/>
              <w:rPr>
                <w:rFonts w:ascii="宋体" w:hAnsi="宋体" w:cs="宋体"/>
                <w:color w:val="auto"/>
                <w:kern w:val="0"/>
                <w:sz w:val="24"/>
              </w:rPr>
            </w:pPr>
          </w:p>
        </w:tc>
      </w:tr>
      <w:tr w14:paraId="6DEF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722" w:type="dxa"/>
            <w:vAlign w:val="center"/>
          </w:tcPr>
          <w:p w14:paraId="7217220B">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账    号</w:t>
            </w:r>
          </w:p>
        </w:tc>
        <w:tc>
          <w:tcPr>
            <w:tcW w:w="7459" w:type="dxa"/>
            <w:gridSpan w:val="4"/>
            <w:vAlign w:val="center"/>
          </w:tcPr>
          <w:p w14:paraId="69C62E3F">
            <w:pPr>
              <w:widowControl/>
              <w:snapToGrid w:val="0"/>
              <w:spacing w:line="400" w:lineRule="exact"/>
              <w:jc w:val="center"/>
              <w:rPr>
                <w:rFonts w:ascii="宋体" w:hAnsi="宋体" w:cs="宋体"/>
                <w:color w:val="auto"/>
                <w:kern w:val="0"/>
                <w:sz w:val="24"/>
              </w:rPr>
            </w:pPr>
          </w:p>
        </w:tc>
      </w:tr>
      <w:tr w14:paraId="7430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1722" w:type="dxa"/>
            <w:vAlign w:val="center"/>
          </w:tcPr>
          <w:p w14:paraId="31AA210D">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经营范围</w:t>
            </w:r>
          </w:p>
        </w:tc>
        <w:tc>
          <w:tcPr>
            <w:tcW w:w="7459" w:type="dxa"/>
            <w:gridSpan w:val="4"/>
            <w:vAlign w:val="center"/>
          </w:tcPr>
          <w:p w14:paraId="6B07945F">
            <w:pPr>
              <w:widowControl/>
              <w:snapToGrid w:val="0"/>
              <w:spacing w:line="400" w:lineRule="exact"/>
              <w:jc w:val="center"/>
              <w:rPr>
                <w:rFonts w:ascii="宋体" w:hAnsi="宋体" w:cs="宋体"/>
                <w:color w:val="auto"/>
                <w:sz w:val="24"/>
              </w:rPr>
            </w:pPr>
          </w:p>
          <w:p w14:paraId="264E47A8">
            <w:pPr>
              <w:pStyle w:val="32"/>
              <w:spacing w:line="400" w:lineRule="exact"/>
              <w:rPr>
                <w:rFonts w:hint="default" w:ascii="宋体" w:hAnsi="宋体" w:eastAsia="宋体" w:cs="宋体"/>
                <w:color w:val="auto"/>
                <w:szCs w:val="24"/>
              </w:rPr>
            </w:pPr>
          </w:p>
          <w:p w14:paraId="4B1F7560">
            <w:pPr>
              <w:pStyle w:val="32"/>
              <w:spacing w:line="400" w:lineRule="exact"/>
              <w:rPr>
                <w:rFonts w:hint="default" w:ascii="宋体" w:hAnsi="宋体" w:eastAsia="宋体" w:cs="宋体"/>
                <w:color w:val="auto"/>
                <w:szCs w:val="24"/>
              </w:rPr>
            </w:pPr>
          </w:p>
          <w:p w14:paraId="5FC71E57">
            <w:pPr>
              <w:pStyle w:val="32"/>
              <w:spacing w:line="400" w:lineRule="exact"/>
              <w:rPr>
                <w:rFonts w:hint="default" w:ascii="宋体" w:hAnsi="宋体" w:eastAsia="宋体" w:cs="宋体"/>
                <w:color w:val="auto"/>
                <w:szCs w:val="24"/>
              </w:rPr>
            </w:pPr>
          </w:p>
          <w:p w14:paraId="1CEF3335">
            <w:pPr>
              <w:pStyle w:val="32"/>
              <w:spacing w:line="400" w:lineRule="exact"/>
              <w:rPr>
                <w:rFonts w:hint="default" w:ascii="宋体" w:hAnsi="宋体" w:eastAsia="宋体" w:cs="宋体"/>
                <w:color w:val="auto"/>
                <w:szCs w:val="24"/>
              </w:rPr>
            </w:pPr>
          </w:p>
          <w:p w14:paraId="76A1ADC8">
            <w:pPr>
              <w:pStyle w:val="32"/>
              <w:spacing w:line="400" w:lineRule="exact"/>
              <w:rPr>
                <w:rFonts w:hint="default" w:ascii="宋体" w:hAnsi="宋体" w:eastAsia="宋体" w:cs="宋体"/>
                <w:color w:val="auto"/>
                <w:szCs w:val="24"/>
              </w:rPr>
            </w:pPr>
          </w:p>
          <w:p w14:paraId="1D35650F">
            <w:pPr>
              <w:pStyle w:val="32"/>
              <w:spacing w:line="400" w:lineRule="exact"/>
              <w:rPr>
                <w:rFonts w:hint="default" w:ascii="宋体" w:hAnsi="宋体" w:eastAsia="宋体" w:cs="宋体"/>
                <w:color w:val="auto"/>
                <w:szCs w:val="24"/>
              </w:rPr>
            </w:pPr>
          </w:p>
        </w:tc>
      </w:tr>
      <w:tr w14:paraId="2CDD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722" w:type="dxa"/>
            <w:vAlign w:val="center"/>
          </w:tcPr>
          <w:p w14:paraId="5BD80793">
            <w:pPr>
              <w:widowControl/>
              <w:snapToGrid w:val="0"/>
              <w:spacing w:line="400" w:lineRule="exact"/>
              <w:jc w:val="center"/>
              <w:rPr>
                <w:rFonts w:ascii="宋体" w:hAnsi="宋体" w:cs="宋体"/>
                <w:color w:val="auto"/>
                <w:kern w:val="0"/>
                <w:sz w:val="24"/>
              </w:rPr>
            </w:pPr>
            <w:r>
              <w:rPr>
                <w:rFonts w:hint="eastAsia" w:ascii="宋体" w:hAnsi="宋体" w:cs="宋体"/>
                <w:color w:val="auto"/>
                <w:kern w:val="0"/>
                <w:sz w:val="24"/>
              </w:rPr>
              <w:t>备    注</w:t>
            </w:r>
          </w:p>
        </w:tc>
        <w:tc>
          <w:tcPr>
            <w:tcW w:w="7459" w:type="dxa"/>
            <w:gridSpan w:val="4"/>
            <w:vAlign w:val="center"/>
          </w:tcPr>
          <w:p w14:paraId="44422E5E">
            <w:pPr>
              <w:widowControl/>
              <w:snapToGrid w:val="0"/>
              <w:spacing w:line="400" w:lineRule="exact"/>
              <w:jc w:val="center"/>
              <w:rPr>
                <w:rFonts w:ascii="宋体" w:hAnsi="宋体" w:cs="宋体"/>
                <w:color w:val="auto"/>
                <w:kern w:val="0"/>
                <w:sz w:val="24"/>
              </w:rPr>
            </w:pPr>
          </w:p>
        </w:tc>
      </w:tr>
    </w:tbl>
    <w:p w14:paraId="01892E7E">
      <w:pPr>
        <w:rPr>
          <w:rFonts w:hint="eastAsia" w:ascii="宋体" w:hAnsi="宋体" w:cs="宋体"/>
          <w:b/>
          <w:color w:val="auto"/>
          <w:kern w:val="0"/>
          <w:sz w:val="24"/>
        </w:rPr>
      </w:pPr>
      <w:r>
        <w:rPr>
          <w:rFonts w:hint="eastAsia" w:ascii="宋体" w:hAnsi="宋体" w:cs="宋体"/>
          <w:b/>
          <w:color w:val="auto"/>
          <w:kern w:val="0"/>
          <w:sz w:val="24"/>
        </w:rPr>
        <w:br w:type="page"/>
      </w:r>
    </w:p>
    <w:p w14:paraId="6625BC80">
      <w:pPr>
        <w:tabs>
          <w:tab w:val="left" w:pos="0"/>
        </w:tabs>
        <w:spacing w:line="360" w:lineRule="auto"/>
        <w:jc w:val="center"/>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技术服务部分</w:t>
      </w:r>
    </w:p>
    <w:p w14:paraId="1BA0086B">
      <w:pPr>
        <w:tabs>
          <w:tab w:val="left" w:pos="0"/>
        </w:tabs>
        <w:spacing w:line="360" w:lineRule="auto"/>
        <w:jc w:val="center"/>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一、</w:t>
      </w:r>
      <w:r>
        <w:rPr>
          <w:rFonts w:hint="eastAsia" w:ascii="宋体" w:hAnsi="宋体" w:cs="宋体"/>
          <w:b/>
          <w:color w:val="auto"/>
          <w:sz w:val="24"/>
        </w:rPr>
        <w:t>开标一览表</w:t>
      </w:r>
      <w:r>
        <w:rPr>
          <w:rFonts w:hint="eastAsia" w:ascii="宋体" w:hAnsi="宋体" w:cs="宋体"/>
          <w:b/>
          <w:color w:val="auto"/>
          <w:sz w:val="24"/>
          <w:lang w:val="en-US" w:eastAsia="zh-CN"/>
        </w:rPr>
        <w:t>及分项报价表</w:t>
      </w:r>
    </w:p>
    <w:p w14:paraId="3BD047F9">
      <w:pPr>
        <w:spacing w:line="400" w:lineRule="exact"/>
        <w:ind w:firstLine="241" w:firstLineChars="100"/>
        <w:jc w:val="center"/>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开标一览表</w:t>
      </w:r>
    </w:p>
    <w:p w14:paraId="7541432F">
      <w:pPr>
        <w:spacing w:line="400" w:lineRule="exact"/>
        <w:ind w:firstLine="240" w:firstLineChars="10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022BA21D">
      <w:pPr>
        <w:spacing w:line="400" w:lineRule="exact"/>
        <w:ind w:firstLine="240" w:firstLineChars="100"/>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381ECA48">
      <w:pPr>
        <w:spacing w:line="400" w:lineRule="exact"/>
        <w:ind w:firstLine="240" w:firstLineChars="100"/>
        <w:rPr>
          <w:rFonts w:ascii="宋体" w:hAnsi="宋体" w:cs="宋体"/>
          <w:color w:val="auto"/>
          <w:sz w:val="24"/>
        </w:rPr>
      </w:pPr>
      <w:r>
        <w:rPr>
          <w:rFonts w:hint="eastAsia" w:ascii="宋体" w:hAnsi="宋体" w:cs="宋体"/>
          <w:color w:val="auto"/>
          <w:sz w:val="24"/>
        </w:rPr>
        <w:t xml:space="preserve">                                                    金额单位：人民币  元</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3"/>
      </w:tblGrid>
      <w:tr w14:paraId="35D6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2" w:hRule="atLeast"/>
          <w:jc w:val="center"/>
        </w:trPr>
        <w:tc>
          <w:tcPr>
            <w:tcW w:w="8313" w:type="dxa"/>
          </w:tcPr>
          <w:p w14:paraId="3411E3B0">
            <w:pPr>
              <w:spacing w:line="400" w:lineRule="exact"/>
              <w:rPr>
                <w:rFonts w:ascii="宋体" w:hAnsi="宋体" w:cs="宋体"/>
                <w:color w:val="auto"/>
                <w:sz w:val="24"/>
              </w:rPr>
            </w:pPr>
          </w:p>
          <w:p w14:paraId="20DCC27E">
            <w:pPr>
              <w:spacing w:line="400" w:lineRule="exact"/>
              <w:rPr>
                <w:rFonts w:ascii="宋体" w:hAnsi="宋体" w:cs="宋体"/>
                <w:color w:val="auto"/>
                <w:sz w:val="24"/>
              </w:rPr>
            </w:pPr>
            <w:r>
              <w:rPr>
                <w:rFonts w:hint="eastAsia" w:ascii="宋体" w:hAnsi="宋体" w:cs="宋体"/>
                <w:color w:val="auto"/>
                <w:sz w:val="24"/>
              </w:rPr>
              <w:t>投标报价：</w:t>
            </w:r>
          </w:p>
          <w:p w14:paraId="6655B036">
            <w:pPr>
              <w:spacing w:line="400" w:lineRule="exact"/>
              <w:rPr>
                <w:rFonts w:ascii="宋体" w:hAnsi="宋体" w:cs="宋体"/>
                <w:color w:val="auto"/>
                <w:sz w:val="24"/>
              </w:rPr>
            </w:pPr>
            <w:r>
              <w:rPr>
                <w:rFonts w:hint="eastAsia" w:ascii="宋体" w:hAnsi="宋体" w:cs="宋体"/>
                <w:color w:val="auto"/>
                <w:sz w:val="24"/>
              </w:rPr>
              <w:t>大  写：</w:t>
            </w:r>
            <w:r>
              <w:rPr>
                <w:rFonts w:hint="eastAsia" w:ascii="宋体" w:hAnsi="宋体" w:cs="宋体"/>
                <w:color w:val="auto"/>
                <w:sz w:val="24"/>
                <w:u w:val="single"/>
              </w:rPr>
              <w:t xml:space="preserve">                                </w:t>
            </w:r>
          </w:p>
          <w:p w14:paraId="75879AA9">
            <w:pPr>
              <w:spacing w:line="400" w:lineRule="exact"/>
              <w:rPr>
                <w:rFonts w:ascii="宋体" w:hAnsi="宋体" w:cs="宋体"/>
                <w:color w:val="auto"/>
                <w:sz w:val="24"/>
                <w:u w:val="single"/>
              </w:rPr>
            </w:pPr>
            <w:r>
              <w:rPr>
                <w:rFonts w:hint="eastAsia" w:ascii="宋体" w:hAnsi="宋体" w:cs="宋体"/>
                <w:color w:val="auto"/>
                <w:sz w:val="24"/>
              </w:rPr>
              <w:t>小  写：</w:t>
            </w:r>
            <w:r>
              <w:rPr>
                <w:rFonts w:hint="eastAsia" w:ascii="宋体" w:hAnsi="宋体" w:cs="宋体"/>
                <w:color w:val="auto"/>
                <w:sz w:val="24"/>
                <w:u w:val="single"/>
              </w:rPr>
              <w:t xml:space="preserve">                                </w:t>
            </w:r>
          </w:p>
          <w:p w14:paraId="3A986AA7">
            <w:pPr>
              <w:spacing w:line="400" w:lineRule="exact"/>
              <w:rPr>
                <w:rFonts w:ascii="宋体" w:hAnsi="宋体" w:cs="宋体"/>
                <w:color w:val="auto"/>
                <w:sz w:val="24"/>
                <w:u w:val="single"/>
              </w:rPr>
            </w:pPr>
            <w:r>
              <w:rPr>
                <w:rFonts w:hint="eastAsia" w:ascii="宋体" w:hAnsi="宋体" w:cs="宋体"/>
                <w:color w:val="auto"/>
                <w:sz w:val="24"/>
                <w:lang w:eastAsia="zh-CN"/>
              </w:rPr>
              <w:t>合同履约期限</w:t>
            </w:r>
            <w:r>
              <w:rPr>
                <w:rFonts w:hint="eastAsia" w:ascii="宋体" w:hAnsi="宋体" w:cs="宋体"/>
                <w:color w:val="auto"/>
                <w:sz w:val="24"/>
              </w:rPr>
              <w:t>：</w:t>
            </w:r>
            <w:r>
              <w:rPr>
                <w:rFonts w:hint="eastAsia" w:ascii="宋体" w:hAnsi="宋体" w:cs="宋体"/>
                <w:color w:val="auto"/>
                <w:sz w:val="24"/>
                <w:u w:val="single"/>
              </w:rPr>
              <w:t xml:space="preserve">                                </w:t>
            </w:r>
          </w:p>
          <w:p w14:paraId="3202F367">
            <w:pPr>
              <w:spacing w:line="400" w:lineRule="exact"/>
              <w:rPr>
                <w:rFonts w:ascii="宋体" w:hAnsi="宋体" w:cs="宋体"/>
                <w:color w:val="auto"/>
                <w:sz w:val="24"/>
              </w:rPr>
            </w:pPr>
            <w:r>
              <w:rPr>
                <w:rFonts w:hint="eastAsia" w:ascii="宋体" w:hAnsi="宋体" w:cs="宋体"/>
                <w:color w:val="auto"/>
                <w:sz w:val="24"/>
              </w:rPr>
              <w:t>质保期：</w:t>
            </w:r>
            <w:r>
              <w:rPr>
                <w:rFonts w:hint="eastAsia" w:ascii="宋体" w:hAnsi="宋体" w:cs="宋体"/>
                <w:color w:val="auto"/>
                <w:sz w:val="24"/>
                <w:u w:val="single"/>
              </w:rPr>
              <w:t xml:space="preserve">                                </w:t>
            </w:r>
          </w:p>
          <w:p w14:paraId="6AADC3AE">
            <w:pPr>
              <w:spacing w:line="400" w:lineRule="exact"/>
              <w:rPr>
                <w:rFonts w:ascii="宋体" w:hAnsi="宋体" w:cs="宋体"/>
                <w:color w:val="auto"/>
                <w:sz w:val="24"/>
              </w:rPr>
            </w:pPr>
            <w:r>
              <w:rPr>
                <w:rFonts w:hint="eastAsia" w:ascii="宋体" w:hAnsi="宋体" w:cs="宋体"/>
                <w:color w:val="auto"/>
                <w:sz w:val="24"/>
              </w:rPr>
              <w:t>质量标准：</w:t>
            </w:r>
            <w:r>
              <w:rPr>
                <w:rFonts w:hint="eastAsia" w:ascii="宋体" w:hAnsi="宋体" w:cs="宋体"/>
                <w:color w:val="auto"/>
                <w:sz w:val="24"/>
                <w:u w:val="single"/>
              </w:rPr>
              <w:t xml:space="preserve">                              </w:t>
            </w:r>
          </w:p>
        </w:tc>
      </w:tr>
      <w:tr w14:paraId="0364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313" w:type="dxa"/>
          </w:tcPr>
          <w:p w14:paraId="5BF2FD30">
            <w:pPr>
              <w:spacing w:line="400" w:lineRule="exact"/>
              <w:rPr>
                <w:rFonts w:hint="eastAsia" w:ascii="宋体" w:hAnsi="宋体" w:cs="宋体"/>
                <w:color w:val="auto"/>
                <w:sz w:val="24"/>
                <w:lang w:val="en-US" w:eastAsia="zh-CN"/>
              </w:rPr>
            </w:pPr>
            <w:r>
              <w:rPr>
                <w:rFonts w:hint="eastAsia" w:ascii="宋体" w:hAnsi="宋体" w:cs="宋体"/>
                <w:color w:val="auto"/>
                <w:sz w:val="24"/>
              </w:rPr>
              <w:t>备注：</w:t>
            </w:r>
            <w:r>
              <w:rPr>
                <w:rFonts w:hint="eastAsia" w:ascii="宋体" w:hAnsi="宋体" w:cs="宋体"/>
                <w:color w:val="auto"/>
                <w:sz w:val="24"/>
                <w:lang w:val="en-US" w:eastAsia="zh-CN"/>
              </w:rPr>
              <w:t>其中智慧法制一体化管理系统报价为：</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w:t>
            </w:r>
          </w:p>
          <w:p w14:paraId="4F816747">
            <w:pPr>
              <w:spacing w:line="400" w:lineRule="exact"/>
              <w:ind w:firstLine="720" w:firstLineChars="300"/>
              <w:rPr>
                <w:rFonts w:ascii="宋体" w:hAnsi="宋体" w:cs="宋体"/>
                <w:color w:val="auto"/>
                <w:sz w:val="24"/>
              </w:rPr>
            </w:pPr>
            <w:r>
              <w:rPr>
                <w:rFonts w:hint="eastAsia" w:ascii="宋体" w:hAnsi="宋体" w:cs="宋体"/>
                <w:color w:val="auto"/>
                <w:sz w:val="24"/>
                <w:lang w:val="en-US" w:eastAsia="zh-CN"/>
              </w:rPr>
              <w:t>执法办案中心装修报价为：</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元</w:t>
            </w:r>
          </w:p>
        </w:tc>
      </w:tr>
    </w:tbl>
    <w:p w14:paraId="6FBBEEB2">
      <w:pPr>
        <w:spacing w:line="40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bCs/>
          <w:color w:val="auto"/>
          <w:sz w:val="24"/>
        </w:rPr>
        <w:t xml:space="preserve"> </w:t>
      </w:r>
    </w:p>
    <w:p w14:paraId="17F8FB63">
      <w:pPr>
        <w:spacing w:line="400" w:lineRule="exact"/>
        <w:rPr>
          <w:rFonts w:ascii="宋体" w:hAnsi="宋体" w:cs="宋体"/>
          <w:color w:val="auto"/>
          <w:sz w:val="24"/>
        </w:rPr>
      </w:pPr>
    </w:p>
    <w:p w14:paraId="325923BB">
      <w:pPr>
        <w:spacing w:line="400" w:lineRule="exact"/>
        <w:ind w:firstLine="480" w:firstLineChars="200"/>
        <w:rPr>
          <w:rFonts w:ascii="宋体" w:hAnsi="宋体" w:cs="宋体"/>
          <w:color w:val="auto"/>
          <w:sz w:val="24"/>
        </w:rPr>
      </w:pPr>
      <w:r>
        <w:rPr>
          <w:rFonts w:hint="eastAsia" w:ascii="宋体" w:hAnsi="宋体" w:cs="宋体"/>
          <w:color w:val="auto"/>
          <w:sz w:val="24"/>
          <w:lang w:val="en-US" w:eastAsia="zh-CN"/>
        </w:rPr>
        <w:t>投标人</w:t>
      </w:r>
      <w:r>
        <w:rPr>
          <w:rFonts w:hint="eastAsia" w:ascii="宋体" w:hAnsi="宋体" w:cs="宋体"/>
          <w:color w:val="auto"/>
          <w:sz w:val="24"/>
        </w:rPr>
        <w:t>名称（加盖公章）：</w:t>
      </w:r>
      <w:r>
        <w:rPr>
          <w:rFonts w:hint="eastAsia" w:ascii="宋体" w:hAnsi="宋体" w:cs="宋体"/>
          <w:color w:val="auto"/>
          <w:sz w:val="24"/>
          <w:u w:val="single"/>
        </w:rPr>
        <w:t xml:space="preserve">             </w:t>
      </w:r>
    </w:p>
    <w:p w14:paraId="2E1B0A3E">
      <w:pPr>
        <w:spacing w:line="400" w:lineRule="exact"/>
        <w:ind w:firstLine="480" w:firstLineChars="200"/>
        <w:rPr>
          <w:rFonts w:ascii="宋体" w:hAnsi="宋体" w:cs="宋体"/>
          <w:color w:val="auto"/>
          <w:sz w:val="24"/>
        </w:rPr>
      </w:pPr>
      <w:r>
        <w:rPr>
          <w:rFonts w:hint="eastAsia" w:ascii="宋体" w:hAnsi="宋体" w:cs="宋体"/>
          <w:color w:val="auto"/>
          <w:sz w:val="24"/>
        </w:rPr>
        <w:t>法定代表人或其授权的代理人（签字或盖章）：</w:t>
      </w:r>
      <w:r>
        <w:rPr>
          <w:rFonts w:hint="eastAsia" w:ascii="宋体" w:hAnsi="宋体" w:cs="宋体"/>
          <w:color w:val="auto"/>
          <w:sz w:val="24"/>
          <w:u w:val="single"/>
        </w:rPr>
        <w:t xml:space="preserve">             </w:t>
      </w:r>
    </w:p>
    <w:p w14:paraId="147C5CB9">
      <w:pPr>
        <w:widowControl/>
        <w:tabs>
          <w:tab w:val="left" w:pos="4000"/>
        </w:tabs>
        <w:snapToGrid w:val="0"/>
        <w:spacing w:line="400" w:lineRule="exact"/>
        <w:ind w:firstLine="480" w:firstLineChars="200"/>
        <w:jc w:val="both"/>
        <w:rPr>
          <w:rFonts w:ascii="宋体" w:hAnsi="宋体" w:cs="宋体"/>
          <w:b/>
          <w:color w:val="auto"/>
          <w:kern w:val="0"/>
          <w:sz w:val="24"/>
        </w:rPr>
        <w:sectPr>
          <w:pgSz w:w="11907" w:h="16840"/>
          <w:pgMar w:top="1440" w:right="1080" w:bottom="1440" w:left="1080" w:header="850" w:footer="850" w:gutter="0"/>
          <w:pgBorders>
            <w:top w:val="none" w:sz="0" w:space="0"/>
            <w:left w:val="none" w:sz="0" w:space="0"/>
            <w:bottom w:val="none" w:sz="0" w:space="0"/>
            <w:right w:val="none" w:sz="0" w:space="0"/>
          </w:pgBorders>
          <w:pgNumType w:fmt="decimal"/>
          <w:cols w:space="720" w:num="1"/>
          <w:titlePg/>
          <w:docGrid w:linePitch="381" w:charSpace="0"/>
        </w:sect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F2E0B4F">
      <w:pPr>
        <w:widowControl/>
        <w:tabs>
          <w:tab w:val="left" w:pos="4000"/>
        </w:tabs>
        <w:snapToGrid w:val="0"/>
        <w:spacing w:line="400" w:lineRule="exact"/>
        <w:jc w:val="center"/>
        <w:rPr>
          <w:rFonts w:ascii="仿宋" w:hAnsi="仿宋" w:eastAsia="仿宋" w:cs="仿宋"/>
          <w:b/>
          <w:color w:val="auto"/>
          <w:kern w:val="0"/>
          <w:sz w:val="24"/>
        </w:rPr>
      </w:pPr>
      <w:r>
        <w:rPr>
          <w:rFonts w:hint="eastAsia" w:ascii="仿宋" w:hAnsi="仿宋" w:eastAsia="仿宋" w:cs="仿宋"/>
          <w:b/>
          <w:color w:val="auto"/>
          <w:kern w:val="0"/>
          <w:sz w:val="24"/>
          <w:lang w:val="en-US" w:eastAsia="zh-CN"/>
        </w:rPr>
        <w:t>智慧法制一体化管理系统</w:t>
      </w:r>
      <w:r>
        <w:rPr>
          <w:rFonts w:hint="eastAsia" w:ascii="仿宋" w:hAnsi="仿宋" w:eastAsia="仿宋" w:cs="仿宋"/>
          <w:b/>
          <w:color w:val="auto"/>
          <w:kern w:val="0"/>
          <w:sz w:val="24"/>
        </w:rPr>
        <w:t>投标分项报价表</w:t>
      </w:r>
    </w:p>
    <w:p w14:paraId="3F547E3A">
      <w:pPr>
        <w:spacing w:line="400" w:lineRule="exact"/>
        <w:ind w:firstLine="720" w:firstLineChars="30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6D3FAA83">
      <w:pPr>
        <w:spacing w:line="400" w:lineRule="exact"/>
        <w:ind w:firstLine="720" w:firstLineChars="300"/>
        <w:rPr>
          <w:rFonts w:hint="eastAsia"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18527CFC">
      <w:pPr>
        <w:pStyle w:val="16"/>
        <w:spacing w:line="400" w:lineRule="exact"/>
        <w:jc w:val="right"/>
        <w:rPr>
          <w:rFonts w:hAnsi="宋体" w:cs="宋体"/>
          <w:color w:val="auto"/>
          <w:kern w:val="0"/>
          <w:sz w:val="24"/>
          <w:szCs w:val="24"/>
        </w:rPr>
      </w:pPr>
      <w:r>
        <w:rPr>
          <w:rFonts w:hint="eastAsia" w:hAnsi="宋体" w:cs="宋体"/>
          <w:color w:val="auto"/>
          <w:kern w:val="0"/>
          <w:sz w:val="24"/>
          <w:szCs w:val="24"/>
        </w:rPr>
        <w:t>报价单位：人民币 元</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874"/>
        <w:gridCol w:w="1254"/>
        <w:gridCol w:w="1320"/>
        <w:gridCol w:w="1153"/>
        <w:gridCol w:w="2996"/>
        <w:gridCol w:w="1552"/>
        <w:gridCol w:w="1552"/>
        <w:gridCol w:w="2082"/>
      </w:tblGrid>
      <w:tr w14:paraId="3202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5" w:hRule="atLeast"/>
          <w:jc w:val="center"/>
        </w:trPr>
        <w:tc>
          <w:tcPr>
            <w:tcW w:w="371" w:type="pct"/>
            <w:vAlign w:val="center"/>
          </w:tcPr>
          <w:p w14:paraId="74C3E569">
            <w:pPr>
              <w:pStyle w:val="16"/>
              <w:spacing w:line="400" w:lineRule="exact"/>
              <w:jc w:val="center"/>
              <w:rPr>
                <w:rFonts w:hAnsi="宋体" w:cs="宋体"/>
                <w:color w:val="auto"/>
                <w:kern w:val="0"/>
                <w:sz w:val="24"/>
                <w:szCs w:val="24"/>
              </w:rPr>
            </w:pPr>
            <w:r>
              <w:rPr>
                <w:rFonts w:hint="eastAsia" w:hAnsi="宋体" w:cs="宋体"/>
                <w:color w:val="auto"/>
                <w:kern w:val="0"/>
                <w:sz w:val="24"/>
                <w:szCs w:val="24"/>
              </w:rPr>
              <w:t>序号</w:t>
            </w:r>
          </w:p>
        </w:tc>
        <w:tc>
          <w:tcPr>
            <w:tcW w:w="629" w:type="pct"/>
            <w:vAlign w:val="center"/>
          </w:tcPr>
          <w:p w14:paraId="3F3D6FE2">
            <w:pPr>
              <w:pStyle w:val="16"/>
              <w:spacing w:line="400" w:lineRule="exact"/>
              <w:jc w:val="center"/>
              <w:rPr>
                <w:rFonts w:hAnsi="宋体" w:cs="宋体"/>
                <w:color w:val="auto"/>
                <w:kern w:val="0"/>
                <w:sz w:val="24"/>
                <w:szCs w:val="24"/>
              </w:rPr>
            </w:pPr>
            <w:r>
              <w:rPr>
                <w:rFonts w:hint="eastAsia" w:hAnsi="宋体" w:cs="宋体"/>
                <w:color w:val="auto"/>
                <w:kern w:val="0"/>
                <w:sz w:val="24"/>
                <w:szCs w:val="24"/>
                <w:lang w:val="en-US" w:eastAsia="zh-CN"/>
              </w:rPr>
              <w:t>设备</w:t>
            </w:r>
            <w:r>
              <w:rPr>
                <w:rFonts w:hint="eastAsia" w:hAnsi="宋体" w:cs="宋体"/>
                <w:color w:val="auto"/>
                <w:kern w:val="0"/>
                <w:sz w:val="24"/>
                <w:szCs w:val="24"/>
              </w:rPr>
              <w:t>名称</w:t>
            </w:r>
          </w:p>
        </w:tc>
        <w:tc>
          <w:tcPr>
            <w:tcW w:w="421" w:type="pct"/>
            <w:vAlign w:val="center"/>
          </w:tcPr>
          <w:p w14:paraId="585D56AB">
            <w:pPr>
              <w:pStyle w:val="16"/>
              <w:spacing w:line="400" w:lineRule="exact"/>
              <w:jc w:val="center"/>
              <w:rPr>
                <w:rFonts w:hAnsi="宋体" w:cs="宋体"/>
                <w:color w:val="auto"/>
                <w:kern w:val="0"/>
                <w:sz w:val="24"/>
                <w:szCs w:val="24"/>
              </w:rPr>
            </w:pPr>
            <w:r>
              <w:rPr>
                <w:rFonts w:hint="eastAsia" w:hAnsi="宋体" w:cs="宋体"/>
                <w:color w:val="auto"/>
                <w:kern w:val="0"/>
                <w:sz w:val="24"/>
                <w:szCs w:val="24"/>
              </w:rPr>
              <w:t>品牌</w:t>
            </w:r>
          </w:p>
        </w:tc>
        <w:tc>
          <w:tcPr>
            <w:tcW w:w="443" w:type="pct"/>
            <w:vAlign w:val="center"/>
          </w:tcPr>
          <w:p w14:paraId="365ABE38">
            <w:pPr>
              <w:pStyle w:val="16"/>
              <w:spacing w:line="400" w:lineRule="exact"/>
              <w:jc w:val="center"/>
              <w:rPr>
                <w:rFonts w:hAnsi="宋体" w:cs="宋体"/>
                <w:color w:val="auto"/>
                <w:kern w:val="0"/>
                <w:sz w:val="24"/>
                <w:szCs w:val="24"/>
              </w:rPr>
            </w:pPr>
            <w:r>
              <w:rPr>
                <w:rFonts w:hint="eastAsia" w:hAnsi="宋体" w:cs="宋体"/>
                <w:color w:val="auto"/>
                <w:kern w:val="0"/>
                <w:sz w:val="24"/>
                <w:szCs w:val="24"/>
              </w:rPr>
              <w:t>规格型号</w:t>
            </w:r>
          </w:p>
        </w:tc>
        <w:tc>
          <w:tcPr>
            <w:tcW w:w="387" w:type="pct"/>
            <w:vAlign w:val="center"/>
          </w:tcPr>
          <w:p w14:paraId="20750175">
            <w:pPr>
              <w:pStyle w:val="16"/>
              <w:spacing w:line="400" w:lineRule="exact"/>
              <w:jc w:val="center"/>
              <w:rPr>
                <w:rFonts w:hAnsi="宋体" w:cs="宋体"/>
                <w:color w:val="auto"/>
                <w:kern w:val="0"/>
                <w:sz w:val="24"/>
                <w:szCs w:val="24"/>
              </w:rPr>
            </w:pPr>
            <w:r>
              <w:rPr>
                <w:rFonts w:hint="eastAsia" w:hAnsi="宋体" w:cs="宋体"/>
                <w:color w:val="auto"/>
                <w:kern w:val="0"/>
                <w:sz w:val="24"/>
                <w:szCs w:val="24"/>
              </w:rPr>
              <w:t>数量</w:t>
            </w:r>
          </w:p>
        </w:tc>
        <w:tc>
          <w:tcPr>
            <w:tcW w:w="1006" w:type="pct"/>
            <w:vAlign w:val="center"/>
          </w:tcPr>
          <w:p w14:paraId="3F2D0134">
            <w:pPr>
              <w:pStyle w:val="16"/>
              <w:spacing w:line="400" w:lineRule="exact"/>
              <w:jc w:val="center"/>
              <w:rPr>
                <w:rFonts w:hAnsi="宋体" w:cs="宋体"/>
                <w:color w:val="auto"/>
                <w:kern w:val="0"/>
                <w:sz w:val="24"/>
                <w:szCs w:val="24"/>
              </w:rPr>
            </w:pPr>
            <w:r>
              <w:rPr>
                <w:rFonts w:hint="eastAsia" w:hAnsi="宋体" w:cs="宋体"/>
                <w:color w:val="auto"/>
                <w:kern w:val="0"/>
                <w:sz w:val="24"/>
                <w:szCs w:val="24"/>
              </w:rPr>
              <w:t>制造商（服务商）名称</w:t>
            </w:r>
          </w:p>
        </w:tc>
        <w:tc>
          <w:tcPr>
            <w:tcW w:w="521" w:type="pct"/>
            <w:vAlign w:val="center"/>
          </w:tcPr>
          <w:p w14:paraId="079C6191">
            <w:pPr>
              <w:pStyle w:val="16"/>
              <w:spacing w:line="400" w:lineRule="exact"/>
              <w:jc w:val="center"/>
              <w:rPr>
                <w:rFonts w:hint="eastAsia" w:hAnsi="宋体" w:eastAsia="宋体" w:cs="宋体"/>
                <w:color w:val="auto"/>
                <w:kern w:val="0"/>
                <w:sz w:val="24"/>
                <w:szCs w:val="24"/>
                <w:lang w:eastAsia="zh-CN"/>
              </w:rPr>
            </w:pPr>
            <w:r>
              <w:rPr>
                <w:rFonts w:hint="eastAsia" w:hAnsi="宋体" w:cs="宋体"/>
                <w:color w:val="auto"/>
                <w:kern w:val="0"/>
                <w:sz w:val="24"/>
                <w:szCs w:val="24"/>
                <w:lang w:val="en-US" w:eastAsia="zh-CN"/>
              </w:rPr>
              <w:t>单价</w:t>
            </w:r>
          </w:p>
        </w:tc>
        <w:tc>
          <w:tcPr>
            <w:tcW w:w="521" w:type="pct"/>
            <w:vAlign w:val="center"/>
          </w:tcPr>
          <w:p w14:paraId="09E3651D">
            <w:pPr>
              <w:pStyle w:val="16"/>
              <w:spacing w:line="400" w:lineRule="exact"/>
              <w:jc w:val="center"/>
              <w:rPr>
                <w:rFonts w:hint="default" w:hAnsi="宋体" w:cs="宋体"/>
                <w:color w:val="auto"/>
                <w:kern w:val="0"/>
                <w:sz w:val="24"/>
                <w:szCs w:val="24"/>
                <w:lang w:val="en-US" w:eastAsia="zh-CN"/>
              </w:rPr>
            </w:pPr>
            <w:r>
              <w:rPr>
                <w:rFonts w:hint="eastAsia" w:hAnsi="宋体" w:cs="宋体"/>
                <w:color w:val="auto"/>
                <w:kern w:val="0"/>
                <w:sz w:val="24"/>
                <w:szCs w:val="24"/>
                <w:lang w:val="en-US" w:eastAsia="zh-CN"/>
              </w:rPr>
              <w:t>合价</w:t>
            </w:r>
          </w:p>
        </w:tc>
        <w:tc>
          <w:tcPr>
            <w:tcW w:w="699" w:type="pct"/>
            <w:vAlign w:val="center"/>
          </w:tcPr>
          <w:p w14:paraId="58983E58">
            <w:pPr>
              <w:pStyle w:val="16"/>
              <w:spacing w:line="400" w:lineRule="exact"/>
              <w:jc w:val="center"/>
              <w:rPr>
                <w:rFonts w:hAnsi="宋体" w:cs="宋体"/>
                <w:color w:val="auto"/>
                <w:kern w:val="0"/>
                <w:sz w:val="24"/>
                <w:szCs w:val="24"/>
              </w:rPr>
            </w:pPr>
            <w:r>
              <w:rPr>
                <w:rFonts w:hint="eastAsia" w:hAnsi="宋体" w:cs="宋体"/>
                <w:color w:val="auto"/>
                <w:kern w:val="0"/>
                <w:sz w:val="24"/>
                <w:szCs w:val="24"/>
              </w:rPr>
              <w:t>备注</w:t>
            </w:r>
          </w:p>
        </w:tc>
      </w:tr>
      <w:tr w14:paraId="75E6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71" w:type="pct"/>
            <w:vAlign w:val="center"/>
          </w:tcPr>
          <w:p w14:paraId="1DF3557D">
            <w:pPr>
              <w:pStyle w:val="16"/>
              <w:spacing w:line="400" w:lineRule="exact"/>
              <w:jc w:val="center"/>
              <w:rPr>
                <w:rFonts w:hAnsi="宋体" w:cs="宋体"/>
                <w:color w:val="auto"/>
                <w:kern w:val="0"/>
                <w:sz w:val="24"/>
                <w:szCs w:val="24"/>
              </w:rPr>
            </w:pPr>
          </w:p>
        </w:tc>
        <w:tc>
          <w:tcPr>
            <w:tcW w:w="629" w:type="pct"/>
            <w:vAlign w:val="center"/>
          </w:tcPr>
          <w:p w14:paraId="1247E0D0">
            <w:pPr>
              <w:pStyle w:val="16"/>
              <w:spacing w:line="400" w:lineRule="exact"/>
              <w:jc w:val="center"/>
              <w:rPr>
                <w:rFonts w:hAnsi="宋体" w:cs="宋体"/>
                <w:color w:val="auto"/>
                <w:kern w:val="0"/>
                <w:sz w:val="24"/>
                <w:szCs w:val="24"/>
              </w:rPr>
            </w:pPr>
          </w:p>
        </w:tc>
        <w:tc>
          <w:tcPr>
            <w:tcW w:w="421" w:type="pct"/>
          </w:tcPr>
          <w:p w14:paraId="0A843419">
            <w:pPr>
              <w:pStyle w:val="16"/>
              <w:spacing w:line="400" w:lineRule="exact"/>
              <w:ind w:left="1260" w:leftChars="257" w:hanging="540"/>
              <w:jc w:val="center"/>
              <w:rPr>
                <w:rFonts w:hAnsi="宋体" w:cs="宋体"/>
                <w:color w:val="auto"/>
                <w:kern w:val="0"/>
                <w:sz w:val="24"/>
                <w:szCs w:val="24"/>
              </w:rPr>
            </w:pPr>
          </w:p>
        </w:tc>
        <w:tc>
          <w:tcPr>
            <w:tcW w:w="443" w:type="pct"/>
            <w:vAlign w:val="center"/>
          </w:tcPr>
          <w:p w14:paraId="649239A1">
            <w:pPr>
              <w:pStyle w:val="16"/>
              <w:spacing w:line="400" w:lineRule="exact"/>
              <w:ind w:left="1260" w:leftChars="257" w:hanging="540"/>
              <w:jc w:val="center"/>
              <w:rPr>
                <w:rFonts w:hAnsi="宋体" w:cs="宋体"/>
                <w:color w:val="auto"/>
                <w:kern w:val="0"/>
                <w:sz w:val="24"/>
                <w:szCs w:val="24"/>
              </w:rPr>
            </w:pPr>
          </w:p>
        </w:tc>
        <w:tc>
          <w:tcPr>
            <w:tcW w:w="387" w:type="pct"/>
            <w:vAlign w:val="center"/>
          </w:tcPr>
          <w:p w14:paraId="3FBF6BF9">
            <w:pPr>
              <w:pStyle w:val="16"/>
              <w:spacing w:line="400" w:lineRule="exact"/>
              <w:ind w:left="1260" w:leftChars="257" w:hanging="540"/>
              <w:jc w:val="center"/>
              <w:rPr>
                <w:rFonts w:hAnsi="宋体" w:cs="宋体"/>
                <w:color w:val="auto"/>
                <w:kern w:val="0"/>
                <w:sz w:val="24"/>
                <w:szCs w:val="24"/>
              </w:rPr>
            </w:pPr>
          </w:p>
        </w:tc>
        <w:tc>
          <w:tcPr>
            <w:tcW w:w="1006" w:type="pct"/>
            <w:vAlign w:val="center"/>
          </w:tcPr>
          <w:p w14:paraId="7CB8F182">
            <w:pPr>
              <w:pStyle w:val="16"/>
              <w:spacing w:line="400" w:lineRule="exact"/>
              <w:ind w:left="1260" w:leftChars="257" w:hanging="540"/>
              <w:jc w:val="center"/>
              <w:rPr>
                <w:rFonts w:hAnsi="宋体" w:cs="宋体"/>
                <w:color w:val="auto"/>
                <w:kern w:val="0"/>
                <w:sz w:val="24"/>
                <w:szCs w:val="24"/>
              </w:rPr>
            </w:pPr>
          </w:p>
        </w:tc>
        <w:tc>
          <w:tcPr>
            <w:tcW w:w="521" w:type="pct"/>
            <w:vAlign w:val="center"/>
          </w:tcPr>
          <w:p w14:paraId="40F3FB43">
            <w:pPr>
              <w:pStyle w:val="16"/>
              <w:spacing w:line="400" w:lineRule="exact"/>
              <w:ind w:left="1260" w:leftChars="257" w:hanging="540"/>
              <w:jc w:val="center"/>
              <w:rPr>
                <w:rFonts w:hAnsi="宋体" w:cs="宋体"/>
                <w:color w:val="auto"/>
                <w:kern w:val="0"/>
                <w:sz w:val="24"/>
                <w:szCs w:val="24"/>
              </w:rPr>
            </w:pPr>
          </w:p>
        </w:tc>
        <w:tc>
          <w:tcPr>
            <w:tcW w:w="521" w:type="pct"/>
            <w:vAlign w:val="center"/>
          </w:tcPr>
          <w:p w14:paraId="10FA5C9D">
            <w:pPr>
              <w:pStyle w:val="16"/>
              <w:spacing w:line="400" w:lineRule="exact"/>
              <w:ind w:left="1260" w:leftChars="257" w:hanging="540"/>
              <w:jc w:val="center"/>
              <w:rPr>
                <w:rFonts w:hAnsi="宋体" w:cs="宋体"/>
                <w:color w:val="auto"/>
                <w:kern w:val="0"/>
                <w:sz w:val="24"/>
                <w:szCs w:val="24"/>
              </w:rPr>
            </w:pPr>
          </w:p>
        </w:tc>
        <w:tc>
          <w:tcPr>
            <w:tcW w:w="699" w:type="pct"/>
            <w:vAlign w:val="center"/>
          </w:tcPr>
          <w:p w14:paraId="08A39693">
            <w:pPr>
              <w:pStyle w:val="16"/>
              <w:spacing w:line="400" w:lineRule="exact"/>
              <w:ind w:left="1260" w:leftChars="257" w:hanging="540"/>
              <w:jc w:val="center"/>
              <w:rPr>
                <w:rFonts w:hAnsi="宋体" w:cs="宋体"/>
                <w:color w:val="auto"/>
                <w:kern w:val="0"/>
                <w:sz w:val="24"/>
                <w:szCs w:val="24"/>
              </w:rPr>
            </w:pPr>
          </w:p>
        </w:tc>
      </w:tr>
      <w:tr w14:paraId="424A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71" w:type="pct"/>
            <w:vAlign w:val="center"/>
          </w:tcPr>
          <w:p w14:paraId="58CF2EF9">
            <w:pPr>
              <w:pStyle w:val="16"/>
              <w:spacing w:line="400" w:lineRule="exact"/>
              <w:jc w:val="center"/>
              <w:rPr>
                <w:rFonts w:hAnsi="宋体" w:cs="宋体"/>
                <w:color w:val="auto"/>
                <w:kern w:val="0"/>
                <w:sz w:val="24"/>
                <w:szCs w:val="24"/>
              </w:rPr>
            </w:pPr>
          </w:p>
        </w:tc>
        <w:tc>
          <w:tcPr>
            <w:tcW w:w="629" w:type="pct"/>
            <w:vAlign w:val="center"/>
          </w:tcPr>
          <w:p w14:paraId="02458203">
            <w:pPr>
              <w:pStyle w:val="16"/>
              <w:spacing w:line="400" w:lineRule="exact"/>
              <w:jc w:val="center"/>
              <w:rPr>
                <w:rFonts w:hAnsi="宋体" w:cs="宋体"/>
                <w:color w:val="auto"/>
                <w:kern w:val="0"/>
                <w:sz w:val="24"/>
                <w:szCs w:val="24"/>
              </w:rPr>
            </w:pPr>
          </w:p>
        </w:tc>
        <w:tc>
          <w:tcPr>
            <w:tcW w:w="421" w:type="pct"/>
          </w:tcPr>
          <w:p w14:paraId="3CD5849E">
            <w:pPr>
              <w:pStyle w:val="16"/>
              <w:spacing w:line="400" w:lineRule="exact"/>
              <w:ind w:left="1260" w:leftChars="257" w:hanging="540"/>
              <w:jc w:val="center"/>
              <w:rPr>
                <w:rFonts w:hAnsi="宋体" w:cs="宋体"/>
                <w:color w:val="auto"/>
                <w:kern w:val="0"/>
                <w:sz w:val="24"/>
                <w:szCs w:val="24"/>
              </w:rPr>
            </w:pPr>
          </w:p>
        </w:tc>
        <w:tc>
          <w:tcPr>
            <w:tcW w:w="443" w:type="pct"/>
            <w:vAlign w:val="center"/>
          </w:tcPr>
          <w:p w14:paraId="10300D32">
            <w:pPr>
              <w:pStyle w:val="16"/>
              <w:spacing w:line="400" w:lineRule="exact"/>
              <w:ind w:left="1260" w:leftChars="257" w:hanging="540"/>
              <w:jc w:val="center"/>
              <w:rPr>
                <w:rFonts w:hAnsi="宋体" w:cs="宋体"/>
                <w:color w:val="auto"/>
                <w:kern w:val="0"/>
                <w:sz w:val="24"/>
                <w:szCs w:val="24"/>
              </w:rPr>
            </w:pPr>
          </w:p>
        </w:tc>
        <w:tc>
          <w:tcPr>
            <w:tcW w:w="387" w:type="pct"/>
            <w:vAlign w:val="center"/>
          </w:tcPr>
          <w:p w14:paraId="71842541">
            <w:pPr>
              <w:pStyle w:val="16"/>
              <w:spacing w:line="400" w:lineRule="exact"/>
              <w:ind w:left="1260" w:leftChars="257" w:hanging="540"/>
              <w:jc w:val="center"/>
              <w:rPr>
                <w:rFonts w:hAnsi="宋体" w:cs="宋体"/>
                <w:color w:val="auto"/>
                <w:kern w:val="0"/>
                <w:sz w:val="24"/>
                <w:szCs w:val="24"/>
              </w:rPr>
            </w:pPr>
          </w:p>
        </w:tc>
        <w:tc>
          <w:tcPr>
            <w:tcW w:w="1006" w:type="pct"/>
            <w:vAlign w:val="center"/>
          </w:tcPr>
          <w:p w14:paraId="4F95EB89">
            <w:pPr>
              <w:pStyle w:val="16"/>
              <w:spacing w:line="400" w:lineRule="exact"/>
              <w:ind w:left="1260" w:leftChars="257" w:hanging="540"/>
              <w:jc w:val="center"/>
              <w:rPr>
                <w:rFonts w:hAnsi="宋体" w:cs="宋体"/>
                <w:color w:val="auto"/>
                <w:kern w:val="0"/>
                <w:sz w:val="24"/>
                <w:szCs w:val="24"/>
              </w:rPr>
            </w:pPr>
          </w:p>
        </w:tc>
        <w:tc>
          <w:tcPr>
            <w:tcW w:w="521" w:type="pct"/>
            <w:vAlign w:val="center"/>
          </w:tcPr>
          <w:p w14:paraId="06542162">
            <w:pPr>
              <w:pStyle w:val="16"/>
              <w:spacing w:line="400" w:lineRule="exact"/>
              <w:ind w:left="1260" w:leftChars="257" w:hanging="540"/>
              <w:jc w:val="center"/>
              <w:rPr>
                <w:rFonts w:hAnsi="宋体" w:cs="宋体"/>
                <w:color w:val="auto"/>
                <w:kern w:val="0"/>
                <w:sz w:val="24"/>
                <w:szCs w:val="24"/>
              </w:rPr>
            </w:pPr>
          </w:p>
        </w:tc>
        <w:tc>
          <w:tcPr>
            <w:tcW w:w="521" w:type="pct"/>
            <w:vAlign w:val="center"/>
          </w:tcPr>
          <w:p w14:paraId="55601C5C">
            <w:pPr>
              <w:pStyle w:val="16"/>
              <w:spacing w:line="400" w:lineRule="exact"/>
              <w:ind w:left="1260" w:leftChars="257" w:hanging="540"/>
              <w:jc w:val="center"/>
              <w:rPr>
                <w:rFonts w:hAnsi="宋体" w:cs="宋体"/>
                <w:color w:val="auto"/>
                <w:kern w:val="0"/>
                <w:sz w:val="24"/>
                <w:szCs w:val="24"/>
              </w:rPr>
            </w:pPr>
          </w:p>
        </w:tc>
        <w:tc>
          <w:tcPr>
            <w:tcW w:w="699" w:type="pct"/>
            <w:vAlign w:val="center"/>
          </w:tcPr>
          <w:p w14:paraId="11D6EACB">
            <w:pPr>
              <w:pStyle w:val="16"/>
              <w:spacing w:line="400" w:lineRule="exact"/>
              <w:ind w:left="1260" w:leftChars="257" w:hanging="540"/>
              <w:jc w:val="center"/>
              <w:rPr>
                <w:rFonts w:hAnsi="宋体" w:cs="宋体"/>
                <w:color w:val="auto"/>
                <w:kern w:val="0"/>
                <w:sz w:val="24"/>
                <w:szCs w:val="24"/>
              </w:rPr>
            </w:pPr>
          </w:p>
        </w:tc>
      </w:tr>
      <w:tr w14:paraId="7CA3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71" w:type="pct"/>
            <w:vAlign w:val="center"/>
          </w:tcPr>
          <w:p w14:paraId="359D923A">
            <w:pPr>
              <w:pStyle w:val="16"/>
              <w:spacing w:line="400" w:lineRule="exact"/>
              <w:jc w:val="center"/>
              <w:rPr>
                <w:rFonts w:hAnsi="宋体" w:cs="宋体"/>
                <w:color w:val="auto"/>
                <w:kern w:val="0"/>
                <w:sz w:val="24"/>
                <w:szCs w:val="24"/>
              </w:rPr>
            </w:pPr>
          </w:p>
        </w:tc>
        <w:tc>
          <w:tcPr>
            <w:tcW w:w="629" w:type="pct"/>
            <w:vAlign w:val="center"/>
          </w:tcPr>
          <w:p w14:paraId="280A51A6">
            <w:pPr>
              <w:pStyle w:val="16"/>
              <w:spacing w:line="400" w:lineRule="exact"/>
              <w:jc w:val="center"/>
              <w:rPr>
                <w:rFonts w:hAnsi="宋体" w:cs="宋体"/>
                <w:color w:val="auto"/>
                <w:kern w:val="0"/>
                <w:sz w:val="24"/>
                <w:szCs w:val="24"/>
              </w:rPr>
            </w:pPr>
          </w:p>
        </w:tc>
        <w:tc>
          <w:tcPr>
            <w:tcW w:w="421" w:type="pct"/>
          </w:tcPr>
          <w:p w14:paraId="630F8812">
            <w:pPr>
              <w:pStyle w:val="16"/>
              <w:spacing w:line="400" w:lineRule="exact"/>
              <w:ind w:left="1260" w:leftChars="257" w:hanging="540"/>
              <w:jc w:val="center"/>
              <w:rPr>
                <w:rFonts w:hAnsi="宋体" w:cs="宋体"/>
                <w:color w:val="auto"/>
                <w:kern w:val="0"/>
                <w:sz w:val="24"/>
                <w:szCs w:val="24"/>
              </w:rPr>
            </w:pPr>
          </w:p>
        </w:tc>
        <w:tc>
          <w:tcPr>
            <w:tcW w:w="443" w:type="pct"/>
            <w:vAlign w:val="center"/>
          </w:tcPr>
          <w:p w14:paraId="7C0580B0">
            <w:pPr>
              <w:pStyle w:val="16"/>
              <w:spacing w:line="400" w:lineRule="exact"/>
              <w:ind w:left="1260" w:leftChars="257" w:hanging="540"/>
              <w:jc w:val="center"/>
              <w:rPr>
                <w:rFonts w:hAnsi="宋体" w:cs="宋体"/>
                <w:color w:val="auto"/>
                <w:kern w:val="0"/>
                <w:sz w:val="24"/>
                <w:szCs w:val="24"/>
              </w:rPr>
            </w:pPr>
          </w:p>
        </w:tc>
        <w:tc>
          <w:tcPr>
            <w:tcW w:w="387" w:type="pct"/>
            <w:vAlign w:val="center"/>
          </w:tcPr>
          <w:p w14:paraId="235E95E8">
            <w:pPr>
              <w:pStyle w:val="16"/>
              <w:spacing w:line="400" w:lineRule="exact"/>
              <w:ind w:left="1260" w:leftChars="257" w:hanging="540"/>
              <w:jc w:val="center"/>
              <w:rPr>
                <w:rFonts w:hAnsi="宋体" w:cs="宋体"/>
                <w:color w:val="auto"/>
                <w:kern w:val="0"/>
                <w:sz w:val="24"/>
                <w:szCs w:val="24"/>
              </w:rPr>
            </w:pPr>
          </w:p>
        </w:tc>
        <w:tc>
          <w:tcPr>
            <w:tcW w:w="1006" w:type="pct"/>
            <w:vAlign w:val="center"/>
          </w:tcPr>
          <w:p w14:paraId="3D61C5EE">
            <w:pPr>
              <w:pStyle w:val="16"/>
              <w:spacing w:line="400" w:lineRule="exact"/>
              <w:ind w:left="1260" w:leftChars="257" w:hanging="540"/>
              <w:jc w:val="center"/>
              <w:rPr>
                <w:rFonts w:hAnsi="宋体" w:cs="宋体"/>
                <w:color w:val="auto"/>
                <w:kern w:val="0"/>
                <w:sz w:val="24"/>
                <w:szCs w:val="24"/>
              </w:rPr>
            </w:pPr>
          </w:p>
        </w:tc>
        <w:tc>
          <w:tcPr>
            <w:tcW w:w="521" w:type="pct"/>
            <w:vAlign w:val="center"/>
          </w:tcPr>
          <w:p w14:paraId="24225686">
            <w:pPr>
              <w:pStyle w:val="16"/>
              <w:spacing w:line="400" w:lineRule="exact"/>
              <w:ind w:left="1260" w:leftChars="257" w:hanging="540"/>
              <w:jc w:val="center"/>
              <w:rPr>
                <w:rFonts w:hAnsi="宋体" w:cs="宋体"/>
                <w:color w:val="auto"/>
                <w:kern w:val="0"/>
                <w:sz w:val="24"/>
                <w:szCs w:val="24"/>
              </w:rPr>
            </w:pPr>
          </w:p>
        </w:tc>
        <w:tc>
          <w:tcPr>
            <w:tcW w:w="521" w:type="pct"/>
            <w:vAlign w:val="center"/>
          </w:tcPr>
          <w:p w14:paraId="69331803">
            <w:pPr>
              <w:pStyle w:val="16"/>
              <w:spacing w:line="400" w:lineRule="exact"/>
              <w:ind w:left="1260" w:leftChars="257" w:hanging="540"/>
              <w:jc w:val="center"/>
              <w:rPr>
                <w:rFonts w:hAnsi="宋体" w:cs="宋体"/>
                <w:color w:val="auto"/>
                <w:kern w:val="0"/>
                <w:sz w:val="24"/>
                <w:szCs w:val="24"/>
              </w:rPr>
            </w:pPr>
          </w:p>
        </w:tc>
        <w:tc>
          <w:tcPr>
            <w:tcW w:w="699" w:type="pct"/>
            <w:vAlign w:val="center"/>
          </w:tcPr>
          <w:p w14:paraId="60A343EC">
            <w:pPr>
              <w:pStyle w:val="16"/>
              <w:spacing w:line="400" w:lineRule="exact"/>
              <w:ind w:left="1260" w:leftChars="257" w:hanging="540"/>
              <w:jc w:val="center"/>
              <w:rPr>
                <w:rFonts w:hAnsi="宋体" w:cs="宋体"/>
                <w:color w:val="auto"/>
                <w:kern w:val="0"/>
                <w:sz w:val="24"/>
                <w:szCs w:val="24"/>
              </w:rPr>
            </w:pPr>
          </w:p>
        </w:tc>
      </w:tr>
      <w:tr w14:paraId="715F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71" w:type="pct"/>
            <w:vAlign w:val="center"/>
          </w:tcPr>
          <w:p w14:paraId="1EDA1D22">
            <w:pPr>
              <w:pStyle w:val="16"/>
              <w:spacing w:line="400" w:lineRule="exact"/>
              <w:jc w:val="center"/>
              <w:rPr>
                <w:rFonts w:hAnsi="宋体" w:cs="宋体"/>
                <w:color w:val="auto"/>
                <w:kern w:val="0"/>
                <w:sz w:val="24"/>
                <w:szCs w:val="24"/>
              </w:rPr>
            </w:pPr>
          </w:p>
        </w:tc>
        <w:tc>
          <w:tcPr>
            <w:tcW w:w="629" w:type="pct"/>
            <w:vAlign w:val="center"/>
          </w:tcPr>
          <w:p w14:paraId="4559B63B">
            <w:pPr>
              <w:pStyle w:val="16"/>
              <w:spacing w:line="400" w:lineRule="exact"/>
              <w:jc w:val="center"/>
              <w:rPr>
                <w:rFonts w:hAnsi="宋体" w:cs="宋体"/>
                <w:color w:val="auto"/>
                <w:kern w:val="0"/>
                <w:sz w:val="24"/>
                <w:szCs w:val="24"/>
              </w:rPr>
            </w:pPr>
          </w:p>
        </w:tc>
        <w:tc>
          <w:tcPr>
            <w:tcW w:w="421" w:type="pct"/>
          </w:tcPr>
          <w:p w14:paraId="2D8E2AAF">
            <w:pPr>
              <w:pStyle w:val="16"/>
              <w:spacing w:line="400" w:lineRule="exact"/>
              <w:ind w:left="1260" w:leftChars="257" w:hanging="540"/>
              <w:jc w:val="center"/>
              <w:rPr>
                <w:rFonts w:hAnsi="宋体" w:cs="宋体"/>
                <w:color w:val="auto"/>
                <w:kern w:val="0"/>
                <w:sz w:val="24"/>
                <w:szCs w:val="24"/>
              </w:rPr>
            </w:pPr>
          </w:p>
        </w:tc>
        <w:tc>
          <w:tcPr>
            <w:tcW w:w="443" w:type="pct"/>
            <w:vAlign w:val="center"/>
          </w:tcPr>
          <w:p w14:paraId="744A0385">
            <w:pPr>
              <w:pStyle w:val="16"/>
              <w:spacing w:line="400" w:lineRule="exact"/>
              <w:ind w:left="1260" w:leftChars="257" w:hanging="540"/>
              <w:jc w:val="center"/>
              <w:rPr>
                <w:rFonts w:hAnsi="宋体" w:cs="宋体"/>
                <w:color w:val="auto"/>
                <w:kern w:val="0"/>
                <w:sz w:val="24"/>
                <w:szCs w:val="24"/>
              </w:rPr>
            </w:pPr>
          </w:p>
        </w:tc>
        <w:tc>
          <w:tcPr>
            <w:tcW w:w="387" w:type="pct"/>
            <w:vAlign w:val="center"/>
          </w:tcPr>
          <w:p w14:paraId="17833564">
            <w:pPr>
              <w:pStyle w:val="16"/>
              <w:spacing w:line="400" w:lineRule="exact"/>
              <w:ind w:left="1260" w:leftChars="257" w:hanging="540"/>
              <w:jc w:val="center"/>
              <w:rPr>
                <w:rFonts w:hAnsi="宋体" w:cs="宋体"/>
                <w:color w:val="auto"/>
                <w:kern w:val="0"/>
                <w:sz w:val="24"/>
                <w:szCs w:val="24"/>
              </w:rPr>
            </w:pPr>
          </w:p>
        </w:tc>
        <w:tc>
          <w:tcPr>
            <w:tcW w:w="1006" w:type="pct"/>
            <w:vAlign w:val="center"/>
          </w:tcPr>
          <w:p w14:paraId="278E7DF8">
            <w:pPr>
              <w:pStyle w:val="16"/>
              <w:spacing w:line="400" w:lineRule="exact"/>
              <w:ind w:left="1260" w:leftChars="257" w:hanging="540"/>
              <w:jc w:val="center"/>
              <w:rPr>
                <w:rFonts w:hAnsi="宋体" w:cs="宋体"/>
                <w:color w:val="auto"/>
                <w:kern w:val="0"/>
                <w:sz w:val="24"/>
                <w:szCs w:val="24"/>
              </w:rPr>
            </w:pPr>
          </w:p>
        </w:tc>
        <w:tc>
          <w:tcPr>
            <w:tcW w:w="521" w:type="pct"/>
            <w:vAlign w:val="center"/>
          </w:tcPr>
          <w:p w14:paraId="38B3DF17">
            <w:pPr>
              <w:pStyle w:val="16"/>
              <w:spacing w:line="400" w:lineRule="exact"/>
              <w:ind w:left="1260" w:leftChars="257" w:hanging="540"/>
              <w:jc w:val="center"/>
              <w:rPr>
                <w:rFonts w:hAnsi="宋体" w:cs="宋体"/>
                <w:color w:val="auto"/>
                <w:kern w:val="0"/>
                <w:sz w:val="24"/>
                <w:szCs w:val="24"/>
              </w:rPr>
            </w:pPr>
          </w:p>
        </w:tc>
        <w:tc>
          <w:tcPr>
            <w:tcW w:w="521" w:type="pct"/>
            <w:vAlign w:val="center"/>
          </w:tcPr>
          <w:p w14:paraId="71A78C34">
            <w:pPr>
              <w:pStyle w:val="16"/>
              <w:spacing w:line="400" w:lineRule="exact"/>
              <w:ind w:left="1260" w:leftChars="257" w:hanging="540"/>
              <w:jc w:val="center"/>
              <w:rPr>
                <w:rFonts w:hAnsi="宋体" w:cs="宋体"/>
                <w:color w:val="auto"/>
                <w:kern w:val="0"/>
                <w:sz w:val="24"/>
                <w:szCs w:val="24"/>
              </w:rPr>
            </w:pPr>
          </w:p>
        </w:tc>
        <w:tc>
          <w:tcPr>
            <w:tcW w:w="699" w:type="pct"/>
            <w:vAlign w:val="center"/>
          </w:tcPr>
          <w:p w14:paraId="0588B825">
            <w:pPr>
              <w:pStyle w:val="16"/>
              <w:spacing w:line="400" w:lineRule="exact"/>
              <w:ind w:left="1260" w:leftChars="257" w:hanging="540"/>
              <w:jc w:val="center"/>
              <w:rPr>
                <w:rFonts w:hAnsi="宋体" w:cs="宋体"/>
                <w:color w:val="auto"/>
                <w:kern w:val="0"/>
                <w:sz w:val="24"/>
                <w:szCs w:val="24"/>
              </w:rPr>
            </w:pPr>
          </w:p>
        </w:tc>
      </w:tr>
      <w:tr w14:paraId="20E5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71" w:type="pct"/>
            <w:vAlign w:val="center"/>
          </w:tcPr>
          <w:p w14:paraId="19E09CC7">
            <w:pPr>
              <w:pStyle w:val="16"/>
              <w:spacing w:line="400" w:lineRule="exact"/>
              <w:jc w:val="center"/>
              <w:rPr>
                <w:rFonts w:hAnsi="宋体" w:cs="宋体"/>
                <w:color w:val="auto"/>
                <w:kern w:val="0"/>
                <w:sz w:val="24"/>
                <w:szCs w:val="24"/>
              </w:rPr>
            </w:pPr>
            <w:r>
              <w:rPr>
                <w:rFonts w:hint="eastAsia" w:hAnsi="宋体" w:cs="宋体"/>
                <w:color w:val="auto"/>
                <w:kern w:val="0"/>
                <w:sz w:val="24"/>
                <w:szCs w:val="24"/>
              </w:rPr>
              <w:t>……</w:t>
            </w:r>
          </w:p>
        </w:tc>
        <w:tc>
          <w:tcPr>
            <w:tcW w:w="629" w:type="pct"/>
            <w:vAlign w:val="center"/>
          </w:tcPr>
          <w:p w14:paraId="79D73D92">
            <w:pPr>
              <w:pStyle w:val="16"/>
              <w:spacing w:line="400" w:lineRule="exact"/>
              <w:jc w:val="center"/>
              <w:rPr>
                <w:rFonts w:hAnsi="宋体" w:cs="宋体"/>
                <w:color w:val="auto"/>
                <w:kern w:val="0"/>
                <w:sz w:val="24"/>
                <w:szCs w:val="24"/>
              </w:rPr>
            </w:pPr>
          </w:p>
        </w:tc>
        <w:tc>
          <w:tcPr>
            <w:tcW w:w="421" w:type="pct"/>
          </w:tcPr>
          <w:p w14:paraId="6C1D51B7">
            <w:pPr>
              <w:pStyle w:val="16"/>
              <w:spacing w:line="400" w:lineRule="exact"/>
              <w:ind w:left="1260" w:leftChars="257" w:hanging="540"/>
              <w:jc w:val="center"/>
              <w:rPr>
                <w:rFonts w:hAnsi="宋体" w:cs="宋体"/>
                <w:color w:val="auto"/>
                <w:kern w:val="0"/>
                <w:sz w:val="24"/>
                <w:szCs w:val="24"/>
              </w:rPr>
            </w:pPr>
          </w:p>
        </w:tc>
        <w:tc>
          <w:tcPr>
            <w:tcW w:w="443" w:type="pct"/>
            <w:vAlign w:val="center"/>
          </w:tcPr>
          <w:p w14:paraId="7B40BC0F">
            <w:pPr>
              <w:pStyle w:val="16"/>
              <w:spacing w:line="400" w:lineRule="exact"/>
              <w:ind w:left="1260" w:leftChars="257" w:hanging="540"/>
              <w:jc w:val="center"/>
              <w:rPr>
                <w:rFonts w:hAnsi="宋体" w:cs="宋体"/>
                <w:color w:val="auto"/>
                <w:kern w:val="0"/>
                <w:sz w:val="24"/>
                <w:szCs w:val="24"/>
              </w:rPr>
            </w:pPr>
          </w:p>
        </w:tc>
        <w:tc>
          <w:tcPr>
            <w:tcW w:w="387" w:type="pct"/>
            <w:vAlign w:val="center"/>
          </w:tcPr>
          <w:p w14:paraId="2691C978">
            <w:pPr>
              <w:pStyle w:val="16"/>
              <w:spacing w:line="400" w:lineRule="exact"/>
              <w:ind w:left="1260" w:leftChars="257" w:hanging="540"/>
              <w:jc w:val="center"/>
              <w:rPr>
                <w:rFonts w:hAnsi="宋体" w:cs="宋体"/>
                <w:color w:val="auto"/>
                <w:kern w:val="0"/>
                <w:sz w:val="24"/>
                <w:szCs w:val="24"/>
              </w:rPr>
            </w:pPr>
          </w:p>
        </w:tc>
        <w:tc>
          <w:tcPr>
            <w:tcW w:w="1006" w:type="pct"/>
            <w:vAlign w:val="center"/>
          </w:tcPr>
          <w:p w14:paraId="10184D68">
            <w:pPr>
              <w:pStyle w:val="16"/>
              <w:spacing w:line="400" w:lineRule="exact"/>
              <w:ind w:left="1260" w:leftChars="257" w:hanging="540"/>
              <w:jc w:val="center"/>
              <w:rPr>
                <w:rFonts w:hAnsi="宋体" w:cs="宋体"/>
                <w:color w:val="auto"/>
                <w:kern w:val="0"/>
                <w:sz w:val="24"/>
                <w:szCs w:val="24"/>
              </w:rPr>
            </w:pPr>
          </w:p>
        </w:tc>
        <w:tc>
          <w:tcPr>
            <w:tcW w:w="521" w:type="pct"/>
            <w:vAlign w:val="center"/>
          </w:tcPr>
          <w:p w14:paraId="234C6548">
            <w:pPr>
              <w:pStyle w:val="16"/>
              <w:spacing w:line="400" w:lineRule="exact"/>
              <w:ind w:left="1260" w:leftChars="257" w:hanging="540"/>
              <w:jc w:val="center"/>
              <w:rPr>
                <w:rFonts w:hAnsi="宋体" w:cs="宋体"/>
                <w:color w:val="auto"/>
                <w:kern w:val="0"/>
                <w:sz w:val="24"/>
                <w:szCs w:val="24"/>
              </w:rPr>
            </w:pPr>
          </w:p>
        </w:tc>
        <w:tc>
          <w:tcPr>
            <w:tcW w:w="521" w:type="pct"/>
            <w:vAlign w:val="center"/>
          </w:tcPr>
          <w:p w14:paraId="25108DE9">
            <w:pPr>
              <w:pStyle w:val="16"/>
              <w:spacing w:line="400" w:lineRule="exact"/>
              <w:ind w:left="1260" w:leftChars="257" w:hanging="540"/>
              <w:jc w:val="center"/>
              <w:rPr>
                <w:rFonts w:hAnsi="宋体" w:cs="宋体"/>
                <w:color w:val="auto"/>
                <w:kern w:val="0"/>
                <w:sz w:val="24"/>
                <w:szCs w:val="24"/>
              </w:rPr>
            </w:pPr>
          </w:p>
        </w:tc>
        <w:tc>
          <w:tcPr>
            <w:tcW w:w="699" w:type="pct"/>
            <w:vAlign w:val="center"/>
          </w:tcPr>
          <w:p w14:paraId="2AD15A44">
            <w:pPr>
              <w:pStyle w:val="16"/>
              <w:spacing w:line="400" w:lineRule="exact"/>
              <w:ind w:left="1260" w:leftChars="257" w:hanging="540"/>
              <w:jc w:val="center"/>
              <w:rPr>
                <w:rFonts w:hAnsi="宋体" w:cs="宋体"/>
                <w:color w:val="auto"/>
                <w:kern w:val="0"/>
                <w:sz w:val="24"/>
                <w:szCs w:val="24"/>
              </w:rPr>
            </w:pPr>
          </w:p>
        </w:tc>
      </w:tr>
      <w:tr w14:paraId="0045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71" w:type="pct"/>
            <w:vAlign w:val="center"/>
          </w:tcPr>
          <w:p w14:paraId="57E95E27">
            <w:pPr>
              <w:pStyle w:val="16"/>
              <w:spacing w:line="400" w:lineRule="exact"/>
              <w:jc w:val="center"/>
              <w:rPr>
                <w:rFonts w:hAnsi="宋体" w:cs="宋体"/>
                <w:color w:val="auto"/>
                <w:kern w:val="0"/>
                <w:sz w:val="24"/>
                <w:szCs w:val="24"/>
              </w:rPr>
            </w:pPr>
            <w:r>
              <w:rPr>
                <w:rFonts w:hint="eastAsia" w:hAnsi="宋体" w:cs="宋体"/>
                <w:color w:val="auto"/>
                <w:kern w:val="0"/>
                <w:sz w:val="24"/>
                <w:szCs w:val="24"/>
              </w:rPr>
              <w:t>合计</w:t>
            </w:r>
          </w:p>
        </w:tc>
        <w:tc>
          <w:tcPr>
            <w:tcW w:w="629" w:type="pct"/>
            <w:vAlign w:val="center"/>
          </w:tcPr>
          <w:p w14:paraId="2709A843">
            <w:pPr>
              <w:pStyle w:val="16"/>
              <w:spacing w:line="400" w:lineRule="exact"/>
              <w:jc w:val="center"/>
              <w:rPr>
                <w:rFonts w:hAnsi="宋体" w:cs="宋体"/>
                <w:color w:val="auto"/>
                <w:kern w:val="0"/>
                <w:sz w:val="24"/>
                <w:szCs w:val="24"/>
              </w:rPr>
            </w:pPr>
          </w:p>
        </w:tc>
        <w:tc>
          <w:tcPr>
            <w:tcW w:w="421" w:type="pct"/>
          </w:tcPr>
          <w:p w14:paraId="63E65F2A">
            <w:pPr>
              <w:pStyle w:val="16"/>
              <w:spacing w:line="400" w:lineRule="exact"/>
              <w:ind w:left="1260" w:leftChars="257" w:hanging="540"/>
              <w:jc w:val="center"/>
              <w:rPr>
                <w:rFonts w:hAnsi="宋体" w:cs="宋体"/>
                <w:color w:val="auto"/>
                <w:kern w:val="0"/>
                <w:sz w:val="24"/>
                <w:szCs w:val="24"/>
              </w:rPr>
            </w:pPr>
          </w:p>
        </w:tc>
        <w:tc>
          <w:tcPr>
            <w:tcW w:w="443" w:type="pct"/>
            <w:vAlign w:val="center"/>
          </w:tcPr>
          <w:p w14:paraId="42EE624D">
            <w:pPr>
              <w:pStyle w:val="16"/>
              <w:spacing w:line="400" w:lineRule="exact"/>
              <w:ind w:left="1260" w:leftChars="257" w:hanging="540"/>
              <w:jc w:val="center"/>
              <w:rPr>
                <w:rFonts w:hAnsi="宋体" w:cs="宋体"/>
                <w:color w:val="auto"/>
                <w:kern w:val="0"/>
                <w:sz w:val="24"/>
                <w:szCs w:val="24"/>
              </w:rPr>
            </w:pPr>
          </w:p>
        </w:tc>
        <w:tc>
          <w:tcPr>
            <w:tcW w:w="387" w:type="pct"/>
            <w:vAlign w:val="center"/>
          </w:tcPr>
          <w:p w14:paraId="5A9CD49C">
            <w:pPr>
              <w:pStyle w:val="16"/>
              <w:spacing w:line="400" w:lineRule="exact"/>
              <w:ind w:left="1260" w:leftChars="257" w:hanging="540"/>
              <w:jc w:val="center"/>
              <w:rPr>
                <w:rFonts w:hAnsi="宋体" w:cs="宋体"/>
                <w:color w:val="auto"/>
                <w:kern w:val="0"/>
                <w:sz w:val="24"/>
                <w:szCs w:val="24"/>
              </w:rPr>
            </w:pPr>
          </w:p>
        </w:tc>
        <w:tc>
          <w:tcPr>
            <w:tcW w:w="1006" w:type="pct"/>
            <w:vAlign w:val="center"/>
          </w:tcPr>
          <w:p w14:paraId="45AE1038">
            <w:pPr>
              <w:pStyle w:val="16"/>
              <w:spacing w:line="400" w:lineRule="exact"/>
              <w:ind w:left="1260" w:leftChars="257" w:hanging="540"/>
              <w:jc w:val="center"/>
              <w:rPr>
                <w:rFonts w:hAnsi="宋体" w:cs="宋体"/>
                <w:color w:val="auto"/>
                <w:kern w:val="0"/>
                <w:sz w:val="24"/>
                <w:szCs w:val="24"/>
              </w:rPr>
            </w:pPr>
          </w:p>
        </w:tc>
        <w:tc>
          <w:tcPr>
            <w:tcW w:w="521" w:type="pct"/>
            <w:vAlign w:val="center"/>
          </w:tcPr>
          <w:p w14:paraId="4A86EE86">
            <w:pPr>
              <w:pStyle w:val="16"/>
              <w:spacing w:line="400" w:lineRule="exact"/>
              <w:ind w:left="1260" w:leftChars="257" w:hanging="540"/>
              <w:jc w:val="center"/>
              <w:rPr>
                <w:rFonts w:hAnsi="宋体" w:cs="宋体"/>
                <w:color w:val="auto"/>
                <w:kern w:val="0"/>
                <w:sz w:val="24"/>
                <w:szCs w:val="24"/>
              </w:rPr>
            </w:pPr>
          </w:p>
        </w:tc>
        <w:tc>
          <w:tcPr>
            <w:tcW w:w="521" w:type="pct"/>
            <w:vAlign w:val="center"/>
          </w:tcPr>
          <w:p w14:paraId="2E9F3070">
            <w:pPr>
              <w:pStyle w:val="16"/>
              <w:spacing w:line="400" w:lineRule="exact"/>
              <w:ind w:left="1260" w:leftChars="257" w:hanging="540"/>
              <w:jc w:val="center"/>
              <w:rPr>
                <w:rFonts w:hAnsi="宋体" w:cs="宋体"/>
                <w:color w:val="auto"/>
                <w:kern w:val="0"/>
                <w:sz w:val="24"/>
                <w:szCs w:val="24"/>
              </w:rPr>
            </w:pPr>
          </w:p>
        </w:tc>
        <w:tc>
          <w:tcPr>
            <w:tcW w:w="699" w:type="pct"/>
            <w:vAlign w:val="center"/>
          </w:tcPr>
          <w:p w14:paraId="20A7DCF5">
            <w:pPr>
              <w:pStyle w:val="16"/>
              <w:spacing w:line="400" w:lineRule="exact"/>
              <w:ind w:left="1260" w:leftChars="257" w:hanging="540"/>
              <w:jc w:val="center"/>
              <w:rPr>
                <w:rFonts w:hAnsi="宋体" w:cs="宋体"/>
                <w:color w:val="auto"/>
                <w:kern w:val="0"/>
                <w:sz w:val="24"/>
                <w:szCs w:val="24"/>
              </w:rPr>
            </w:pPr>
          </w:p>
        </w:tc>
      </w:tr>
    </w:tbl>
    <w:p w14:paraId="2F58E828">
      <w:pPr>
        <w:spacing w:line="400" w:lineRule="exact"/>
        <w:ind w:firstLine="7200" w:firstLineChars="3000"/>
        <w:rPr>
          <w:rFonts w:ascii="宋体" w:hAnsi="宋体" w:cs="宋体"/>
          <w:color w:val="auto"/>
          <w:sz w:val="24"/>
        </w:rPr>
      </w:pPr>
    </w:p>
    <w:p w14:paraId="3F1526AA">
      <w:pPr>
        <w:spacing w:line="400" w:lineRule="exact"/>
        <w:ind w:firstLine="7200" w:firstLineChars="3000"/>
        <w:rPr>
          <w:rFonts w:ascii="宋体" w:hAnsi="宋体" w:cs="宋体"/>
          <w:color w:val="auto"/>
          <w:sz w:val="24"/>
        </w:rPr>
      </w:pPr>
      <w:r>
        <w:rPr>
          <w:rFonts w:hint="eastAsia" w:ascii="宋体" w:hAnsi="宋体" w:cs="宋体"/>
          <w:color w:val="auto"/>
          <w:sz w:val="24"/>
          <w:lang w:val="en-US" w:eastAsia="zh-CN"/>
        </w:rPr>
        <w:t>投标人</w:t>
      </w:r>
      <w:r>
        <w:rPr>
          <w:rFonts w:hint="eastAsia" w:ascii="宋体" w:hAnsi="宋体" w:cs="宋体"/>
          <w:color w:val="auto"/>
          <w:sz w:val="24"/>
        </w:rPr>
        <w:t>名称（加盖公章）：</w:t>
      </w:r>
      <w:r>
        <w:rPr>
          <w:rFonts w:hint="eastAsia" w:ascii="宋体" w:hAnsi="宋体" w:cs="宋体"/>
          <w:color w:val="auto"/>
          <w:sz w:val="24"/>
          <w:u w:val="single"/>
        </w:rPr>
        <w:t xml:space="preserve">             </w:t>
      </w:r>
    </w:p>
    <w:p w14:paraId="7C2C5777">
      <w:pPr>
        <w:spacing w:line="400" w:lineRule="exact"/>
        <w:ind w:firstLine="7200" w:firstLineChars="3000"/>
        <w:rPr>
          <w:rFonts w:ascii="宋体" w:hAnsi="宋体" w:cs="宋体"/>
          <w:color w:val="auto"/>
          <w:sz w:val="24"/>
        </w:rPr>
      </w:pPr>
      <w:r>
        <w:rPr>
          <w:rFonts w:hint="eastAsia" w:ascii="宋体" w:hAnsi="宋体" w:cs="宋体"/>
          <w:color w:val="auto"/>
          <w:sz w:val="24"/>
        </w:rPr>
        <w:t>法定代表人或其授权的代理人（签字或盖章）：</w:t>
      </w:r>
      <w:r>
        <w:rPr>
          <w:rFonts w:hint="eastAsia" w:ascii="宋体" w:hAnsi="宋体" w:cs="宋体"/>
          <w:color w:val="auto"/>
          <w:sz w:val="24"/>
          <w:u w:val="single"/>
        </w:rPr>
        <w:t xml:space="preserve">             </w:t>
      </w:r>
    </w:p>
    <w:p w14:paraId="59B9B9E9">
      <w:pPr>
        <w:spacing w:line="400" w:lineRule="exact"/>
        <w:ind w:firstLine="7200" w:firstLineChars="3000"/>
        <w:rPr>
          <w:rFonts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4A57BD3">
      <w:pPr>
        <w:pStyle w:val="16"/>
        <w:spacing w:line="400" w:lineRule="exact"/>
        <w:ind w:left="1260" w:leftChars="257" w:hanging="540"/>
        <w:rPr>
          <w:rFonts w:hint="eastAsia" w:hAnsi="宋体" w:eastAsia="宋体" w:cs="宋体"/>
          <w:color w:val="auto"/>
          <w:kern w:val="0"/>
          <w:sz w:val="24"/>
          <w:szCs w:val="24"/>
          <w:lang w:eastAsia="zh-CN"/>
        </w:rPr>
        <w:sectPr>
          <w:pgSz w:w="16840" w:h="11907" w:orient="landscape"/>
          <w:pgMar w:top="1440" w:right="1080" w:bottom="1440" w:left="1080" w:header="850" w:footer="850" w:gutter="0"/>
          <w:pgBorders>
            <w:top w:val="none" w:sz="0" w:space="0"/>
            <w:left w:val="none" w:sz="0" w:space="0"/>
            <w:bottom w:val="none" w:sz="0" w:space="0"/>
            <w:right w:val="none" w:sz="0" w:space="0"/>
          </w:pgBorders>
          <w:pgNumType w:fmt="decimal"/>
          <w:cols w:space="720" w:num="1"/>
          <w:titlePg/>
          <w:docGrid w:linePitch="381" w:charSpace="0"/>
        </w:sectPr>
      </w:pPr>
    </w:p>
    <w:p w14:paraId="1FD09E7E">
      <w:pPr>
        <w:jc w:val="center"/>
        <w:rPr>
          <w:rFonts w:hint="default" w:ascii="宋体" w:hAnsi="宋体" w:cs="宋体"/>
          <w:b/>
          <w:bCs/>
          <w:color w:val="auto"/>
          <w:kern w:val="0"/>
          <w:sz w:val="24"/>
          <w:lang w:val="en-US" w:eastAsia="zh-CN"/>
        </w:rPr>
      </w:pPr>
      <w:r>
        <w:rPr>
          <w:rFonts w:hint="eastAsia" w:ascii="仿宋" w:hAnsi="仿宋" w:eastAsia="仿宋" w:cs="仿宋"/>
          <w:b/>
          <w:color w:val="auto"/>
          <w:kern w:val="0"/>
          <w:sz w:val="24"/>
          <w:lang w:val="en-US" w:eastAsia="zh-CN"/>
        </w:rPr>
        <w:t>执法办案中心装修已标价工程量清单</w:t>
      </w:r>
    </w:p>
    <w:p w14:paraId="3096005B">
      <w:pPr>
        <w:rPr>
          <w:rFonts w:hint="eastAsia" w:ascii="宋体" w:hAnsi="宋体" w:cs="宋体"/>
          <w:b/>
          <w:bCs/>
          <w:color w:val="auto"/>
          <w:kern w:val="0"/>
          <w:sz w:val="24"/>
          <w:lang w:val="en-US" w:eastAsia="zh-CN"/>
        </w:rPr>
      </w:pPr>
      <w:r>
        <w:rPr>
          <w:rFonts w:hint="eastAsia" w:ascii="宋体" w:hAnsi="宋体" w:cs="宋体"/>
          <w:b/>
          <w:bCs/>
          <w:color w:val="auto"/>
          <w:kern w:val="0"/>
          <w:sz w:val="24"/>
          <w:lang w:val="en-US" w:eastAsia="zh-CN"/>
        </w:rPr>
        <w:br w:type="page"/>
      </w:r>
    </w:p>
    <w:p w14:paraId="417AA6AD">
      <w:pPr>
        <w:snapToGrid w:val="0"/>
        <w:spacing w:line="300" w:lineRule="exact"/>
        <w:jc w:val="center"/>
        <w:rPr>
          <w:rFonts w:ascii="宋体" w:hAnsi="宋体" w:cs="宋体"/>
          <w:b/>
          <w:bCs/>
          <w:color w:val="auto"/>
          <w:kern w:val="0"/>
          <w:sz w:val="24"/>
        </w:rPr>
      </w:pPr>
      <w:r>
        <w:rPr>
          <w:rFonts w:hint="eastAsia" w:ascii="宋体" w:hAnsi="宋体" w:cs="宋体"/>
          <w:b/>
          <w:bCs/>
          <w:color w:val="auto"/>
          <w:kern w:val="0"/>
          <w:sz w:val="24"/>
          <w:lang w:val="en-US" w:eastAsia="zh-CN"/>
        </w:rPr>
        <w:t>二、</w:t>
      </w:r>
      <w:r>
        <w:rPr>
          <w:rFonts w:hint="eastAsia" w:ascii="宋体" w:hAnsi="宋体" w:cs="宋体"/>
          <w:b/>
          <w:bCs/>
          <w:color w:val="auto"/>
          <w:kern w:val="0"/>
          <w:sz w:val="24"/>
        </w:rPr>
        <w:t>技术规格偏离表</w:t>
      </w:r>
    </w:p>
    <w:p w14:paraId="290B4A80">
      <w:pPr>
        <w:spacing w:line="400" w:lineRule="exact"/>
        <w:ind w:firstLine="720" w:firstLineChars="30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4D9AE3EE">
      <w:pPr>
        <w:spacing w:line="400" w:lineRule="exact"/>
        <w:ind w:firstLine="720" w:firstLineChars="300"/>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6B9A42B8">
      <w:pPr>
        <w:pStyle w:val="32"/>
        <w:spacing w:line="400" w:lineRule="exact"/>
        <w:rPr>
          <w:rFonts w:hint="default" w:ascii="宋体" w:hAnsi="宋体" w:eastAsia="宋体" w:cs="宋体"/>
          <w:color w:val="auto"/>
          <w:szCs w:val="24"/>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2495"/>
        <w:gridCol w:w="2126"/>
        <w:gridCol w:w="971"/>
        <w:gridCol w:w="2204"/>
      </w:tblGrid>
      <w:tr w14:paraId="134E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19" w:type="dxa"/>
            <w:vAlign w:val="center"/>
          </w:tcPr>
          <w:p w14:paraId="474F3197">
            <w:pPr>
              <w:pStyle w:val="16"/>
              <w:spacing w:line="400" w:lineRule="exact"/>
              <w:ind w:left="-42" w:leftChars="-15"/>
              <w:jc w:val="center"/>
              <w:rPr>
                <w:rFonts w:hAnsi="宋体" w:cs="宋体"/>
                <w:color w:val="auto"/>
                <w:sz w:val="24"/>
                <w:szCs w:val="24"/>
              </w:rPr>
            </w:pPr>
            <w:r>
              <w:rPr>
                <w:rFonts w:hint="eastAsia" w:hAnsi="宋体" w:cs="宋体"/>
                <w:color w:val="auto"/>
                <w:sz w:val="24"/>
                <w:szCs w:val="24"/>
              </w:rPr>
              <w:t>序号</w:t>
            </w:r>
          </w:p>
        </w:tc>
        <w:tc>
          <w:tcPr>
            <w:tcW w:w="2495" w:type="dxa"/>
            <w:vAlign w:val="center"/>
          </w:tcPr>
          <w:p w14:paraId="17C05E5A">
            <w:pPr>
              <w:pStyle w:val="16"/>
              <w:spacing w:line="400" w:lineRule="exact"/>
              <w:ind w:left="-42" w:leftChars="-15"/>
              <w:jc w:val="center"/>
              <w:rPr>
                <w:rFonts w:hAnsi="宋体" w:cs="宋体"/>
                <w:color w:val="auto"/>
                <w:sz w:val="24"/>
                <w:szCs w:val="24"/>
              </w:rPr>
            </w:pPr>
            <w:r>
              <w:rPr>
                <w:rFonts w:hint="eastAsia" w:hAnsi="宋体" w:cs="宋体"/>
                <w:color w:val="auto"/>
                <w:sz w:val="24"/>
                <w:szCs w:val="24"/>
              </w:rPr>
              <w:t>招标要求</w:t>
            </w:r>
          </w:p>
        </w:tc>
        <w:tc>
          <w:tcPr>
            <w:tcW w:w="2126" w:type="dxa"/>
            <w:vAlign w:val="center"/>
          </w:tcPr>
          <w:p w14:paraId="6AFFC252">
            <w:pPr>
              <w:pStyle w:val="16"/>
              <w:spacing w:line="400" w:lineRule="exact"/>
              <w:ind w:left="-42" w:leftChars="-15"/>
              <w:jc w:val="center"/>
              <w:rPr>
                <w:rFonts w:hAnsi="宋体" w:cs="宋体"/>
                <w:color w:val="auto"/>
                <w:sz w:val="24"/>
                <w:szCs w:val="24"/>
              </w:rPr>
            </w:pPr>
            <w:r>
              <w:rPr>
                <w:rFonts w:hint="eastAsia" w:hAnsi="宋体" w:cs="宋体"/>
                <w:color w:val="auto"/>
                <w:sz w:val="24"/>
                <w:szCs w:val="24"/>
              </w:rPr>
              <w:t>投标响应</w:t>
            </w:r>
          </w:p>
        </w:tc>
        <w:tc>
          <w:tcPr>
            <w:tcW w:w="971" w:type="dxa"/>
            <w:vAlign w:val="center"/>
          </w:tcPr>
          <w:p w14:paraId="334A1074">
            <w:pPr>
              <w:pStyle w:val="16"/>
              <w:spacing w:line="400" w:lineRule="exact"/>
              <w:ind w:left="-42" w:leftChars="-15"/>
              <w:jc w:val="center"/>
              <w:rPr>
                <w:rFonts w:hAnsi="宋体" w:cs="宋体"/>
                <w:color w:val="auto"/>
                <w:sz w:val="24"/>
                <w:szCs w:val="24"/>
              </w:rPr>
            </w:pPr>
            <w:r>
              <w:rPr>
                <w:rFonts w:hint="eastAsia" w:hAnsi="宋体" w:cs="宋体"/>
                <w:color w:val="auto"/>
                <w:sz w:val="24"/>
                <w:szCs w:val="24"/>
              </w:rPr>
              <w:t>偏离</w:t>
            </w:r>
          </w:p>
        </w:tc>
        <w:tc>
          <w:tcPr>
            <w:tcW w:w="2204" w:type="dxa"/>
            <w:vAlign w:val="center"/>
          </w:tcPr>
          <w:p w14:paraId="2E132F45">
            <w:pPr>
              <w:pStyle w:val="16"/>
              <w:spacing w:line="400" w:lineRule="exact"/>
              <w:ind w:left="-42" w:leftChars="-15"/>
              <w:jc w:val="center"/>
              <w:rPr>
                <w:rFonts w:hAnsi="宋体" w:cs="宋体"/>
                <w:color w:val="auto"/>
                <w:sz w:val="24"/>
                <w:szCs w:val="24"/>
              </w:rPr>
            </w:pPr>
            <w:r>
              <w:rPr>
                <w:rFonts w:hint="eastAsia" w:hAnsi="宋体" w:cs="宋体"/>
                <w:color w:val="auto"/>
                <w:sz w:val="24"/>
                <w:szCs w:val="24"/>
              </w:rPr>
              <w:t>说明</w:t>
            </w:r>
          </w:p>
        </w:tc>
      </w:tr>
      <w:tr w14:paraId="1A63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19" w:type="dxa"/>
          </w:tcPr>
          <w:p w14:paraId="69E2AB48">
            <w:pPr>
              <w:pStyle w:val="16"/>
              <w:spacing w:line="400" w:lineRule="exact"/>
              <w:ind w:left="1260" w:leftChars="257" w:hanging="540"/>
              <w:rPr>
                <w:rFonts w:hAnsi="宋体" w:cs="宋体"/>
                <w:color w:val="auto"/>
                <w:sz w:val="24"/>
                <w:szCs w:val="24"/>
              </w:rPr>
            </w:pPr>
          </w:p>
        </w:tc>
        <w:tc>
          <w:tcPr>
            <w:tcW w:w="2495" w:type="dxa"/>
          </w:tcPr>
          <w:p w14:paraId="5CA1B1CA">
            <w:pPr>
              <w:pStyle w:val="16"/>
              <w:spacing w:line="400" w:lineRule="exact"/>
              <w:ind w:left="1260" w:leftChars="257" w:hanging="540"/>
              <w:rPr>
                <w:rFonts w:hAnsi="宋体" w:cs="宋体"/>
                <w:color w:val="auto"/>
                <w:sz w:val="24"/>
                <w:szCs w:val="24"/>
              </w:rPr>
            </w:pPr>
          </w:p>
        </w:tc>
        <w:tc>
          <w:tcPr>
            <w:tcW w:w="2126" w:type="dxa"/>
          </w:tcPr>
          <w:p w14:paraId="72CC8278">
            <w:pPr>
              <w:pStyle w:val="16"/>
              <w:spacing w:line="400" w:lineRule="exact"/>
              <w:ind w:left="1260" w:leftChars="257" w:hanging="540"/>
              <w:rPr>
                <w:rFonts w:hAnsi="宋体" w:cs="宋体"/>
                <w:color w:val="auto"/>
                <w:sz w:val="24"/>
                <w:szCs w:val="24"/>
              </w:rPr>
            </w:pPr>
          </w:p>
        </w:tc>
        <w:tc>
          <w:tcPr>
            <w:tcW w:w="971" w:type="dxa"/>
          </w:tcPr>
          <w:p w14:paraId="4388E414">
            <w:pPr>
              <w:pStyle w:val="16"/>
              <w:spacing w:line="400" w:lineRule="exact"/>
              <w:ind w:left="1260" w:leftChars="257" w:hanging="540"/>
              <w:rPr>
                <w:rFonts w:hAnsi="宋体" w:cs="宋体"/>
                <w:color w:val="auto"/>
                <w:sz w:val="24"/>
                <w:szCs w:val="24"/>
              </w:rPr>
            </w:pPr>
          </w:p>
        </w:tc>
        <w:tc>
          <w:tcPr>
            <w:tcW w:w="2204" w:type="dxa"/>
          </w:tcPr>
          <w:p w14:paraId="45882FE1">
            <w:pPr>
              <w:pStyle w:val="16"/>
              <w:spacing w:line="400" w:lineRule="exact"/>
              <w:ind w:left="1260" w:leftChars="257" w:hanging="540"/>
              <w:rPr>
                <w:rFonts w:hAnsi="宋体" w:cs="宋体"/>
                <w:color w:val="auto"/>
                <w:sz w:val="24"/>
                <w:szCs w:val="24"/>
              </w:rPr>
            </w:pPr>
          </w:p>
        </w:tc>
      </w:tr>
      <w:tr w14:paraId="6F7B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19" w:type="dxa"/>
          </w:tcPr>
          <w:p w14:paraId="5A95DB7F">
            <w:pPr>
              <w:pStyle w:val="16"/>
              <w:spacing w:line="400" w:lineRule="exact"/>
              <w:ind w:left="1260" w:leftChars="257" w:hanging="540"/>
              <w:rPr>
                <w:rFonts w:hAnsi="宋体" w:cs="宋体"/>
                <w:color w:val="auto"/>
                <w:sz w:val="24"/>
                <w:szCs w:val="24"/>
              </w:rPr>
            </w:pPr>
          </w:p>
        </w:tc>
        <w:tc>
          <w:tcPr>
            <w:tcW w:w="2495" w:type="dxa"/>
          </w:tcPr>
          <w:p w14:paraId="79AB934D">
            <w:pPr>
              <w:pStyle w:val="16"/>
              <w:spacing w:line="400" w:lineRule="exact"/>
              <w:ind w:left="1260" w:leftChars="257" w:hanging="540"/>
              <w:rPr>
                <w:rFonts w:hAnsi="宋体" w:cs="宋体"/>
                <w:color w:val="auto"/>
                <w:sz w:val="24"/>
                <w:szCs w:val="24"/>
              </w:rPr>
            </w:pPr>
          </w:p>
        </w:tc>
        <w:tc>
          <w:tcPr>
            <w:tcW w:w="2126" w:type="dxa"/>
          </w:tcPr>
          <w:p w14:paraId="62EBDC26">
            <w:pPr>
              <w:pStyle w:val="16"/>
              <w:spacing w:line="400" w:lineRule="exact"/>
              <w:ind w:left="1260" w:leftChars="257" w:hanging="540"/>
              <w:rPr>
                <w:rFonts w:hAnsi="宋体" w:cs="宋体"/>
                <w:color w:val="auto"/>
                <w:sz w:val="24"/>
                <w:szCs w:val="24"/>
              </w:rPr>
            </w:pPr>
          </w:p>
        </w:tc>
        <w:tc>
          <w:tcPr>
            <w:tcW w:w="971" w:type="dxa"/>
          </w:tcPr>
          <w:p w14:paraId="1B615984">
            <w:pPr>
              <w:pStyle w:val="16"/>
              <w:spacing w:line="400" w:lineRule="exact"/>
              <w:ind w:left="1260" w:leftChars="257" w:hanging="540"/>
              <w:rPr>
                <w:rFonts w:hAnsi="宋体" w:cs="宋体"/>
                <w:color w:val="auto"/>
                <w:sz w:val="24"/>
                <w:szCs w:val="24"/>
              </w:rPr>
            </w:pPr>
          </w:p>
        </w:tc>
        <w:tc>
          <w:tcPr>
            <w:tcW w:w="2204" w:type="dxa"/>
          </w:tcPr>
          <w:p w14:paraId="496AB3E7">
            <w:pPr>
              <w:pStyle w:val="16"/>
              <w:spacing w:line="400" w:lineRule="exact"/>
              <w:ind w:left="1260" w:leftChars="257" w:hanging="540"/>
              <w:rPr>
                <w:rFonts w:hAnsi="宋体" w:cs="宋体"/>
                <w:color w:val="auto"/>
                <w:sz w:val="24"/>
                <w:szCs w:val="24"/>
              </w:rPr>
            </w:pPr>
          </w:p>
        </w:tc>
      </w:tr>
      <w:tr w14:paraId="05FF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19" w:type="dxa"/>
          </w:tcPr>
          <w:p w14:paraId="1A9F407A">
            <w:pPr>
              <w:pStyle w:val="16"/>
              <w:spacing w:line="400" w:lineRule="exact"/>
              <w:ind w:left="1260" w:leftChars="257" w:hanging="540"/>
              <w:rPr>
                <w:rFonts w:hAnsi="宋体" w:cs="宋体"/>
                <w:color w:val="auto"/>
                <w:sz w:val="24"/>
                <w:szCs w:val="24"/>
              </w:rPr>
            </w:pPr>
          </w:p>
        </w:tc>
        <w:tc>
          <w:tcPr>
            <w:tcW w:w="2495" w:type="dxa"/>
          </w:tcPr>
          <w:p w14:paraId="5875BB3A">
            <w:pPr>
              <w:pStyle w:val="16"/>
              <w:spacing w:line="400" w:lineRule="exact"/>
              <w:ind w:left="1260" w:leftChars="257" w:hanging="540"/>
              <w:rPr>
                <w:rFonts w:hAnsi="宋体" w:cs="宋体"/>
                <w:color w:val="auto"/>
                <w:sz w:val="24"/>
                <w:szCs w:val="24"/>
              </w:rPr>
            </w:pPr>
          </w:p>
        </w:tc>
        <w:tc>
          <w:tcPr>
            <w:tcW w:w="2126" w:type="dxa"/>
          </w:tcPr>
          <w:p w14:paraId="04C485B8">
            <w:pPr>
              <w:pStyle w:val="16"/>
              <w:spacing w:line="400" w:lineRule="exact"/>
              <w:ind w:left="1260" w:leftChars="257" w:hanging="540"/>
              <w:rPr>
                <w:rFonts w:hAnsi="宋体" w:cs="宋体"/>
                <w:color w:val="auto"/>
                <w:sz w:val="24"/>
                <w:szCs w:val="24"/>
              </w:rPr>
            </w:pPr>
          </w:p>
        </w:tc>
        <w:tc>
          <w:tcPr>
            <w:tcW w:w="971" w:type="dxa"/>
          </w:tcPr>
          <w:p w14:paraId="06DAD3D3">
            <w:pPr>
              <w:pStyle w:val="16"/>
              <w:spacing w:line="400" w:lineRule="exact"/>
              <w:ind w:left="1260" w:leftChars="257" w:hanging="540"/>
              <w:rPr>
                <w:rFonts w:hAnsi="宋体" w:cs="宋体"/>
                <w:color w:val="auto"/>
                <w:sz w:val="24"/>
                <w:szCs w:val="24"/>
              </w:rPr>
            </w:pPr>
          </w:p>
        </w:tc>
        <w:tc>
          <w:tcPr>
            <w:tcW w:w="2204" w:type="dxa"/>
          </w:tcPr>
          <w:p w14:paraId="1C9F4B09">
            <w:pPr>
              <w:pStyle w:val="16"/>
              <w:spacing w:line="400" w:lineRule="exact"/>
              <w:ind w:left="1260" w:leftChars="257" w:hanging="540"/>
              <w:rPr>
                <w:rFonts w:hAnsi="宋体" w:cs="宋体"/>
                <w:color w:val="auto"/>
                <w:sz w:val="24"/>
                <w:szCs w:val="24"/>
              </w:rPr>
            </w:pPr>
          </w:p>
        </w:tc>
      </w:tr>
      <w:tr w14:paraId="16B9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19" w:type="dxa"/>
          </w:tcPr>
          <w:p w14:paraId="3A331C05">
            <w:pPr>
              <w:pStyle w:val="16"/>
              <w:spacing w:line="400" w:lineRule="exact"/>
              <w:ind w:left="1260" w:leftChars="257" w:hanging="540"/>
              <w:rPr>
                <w:rFonts w:hAnsi="宋体" w:cs="宋体"/>
                <w:color w:val="auto"/>
                <w:sz w:val="24"/>
                <w:szCs w:val="24"/>
              </w:rPr>
            </w:pPr>
          </w:p>
        </w:tc>
        <w:tc>
          <w:tcPr>
            <w:tcW w:w="2495" w:type="dxa"/>
          </w:tcPr>
          <w:p w14:paraId="4C122DF6">
            <w:pPr>
              <w:pStyle w:val="16"/>
              <w:spacing w:line="400" w:lineRule="exact"/>
              <w:ind w:left="1260" w:leftChars="257" w:hanging="540"/>
              <w:rPr>
                <w:rFonts w:hAnsi="宋体" w:cs="宋体"/>
                <w:color w:val="auto"/>
                <w:sz w:val="24"/>
                <w:szCs w:val="24"/>
              </w:rPr>
            </w:pPr>
          </w:p>
        </w:tc>
        <w:tc>
          <w:tcPr>
            <w:tcW w:w="2126" w:type="dxa"/>
          </w:tcPr>
          <w:p w14:paraId="4638A4FC">
            <w:pPr>
              <w:pStyle w:val="16"/>
              <w:spacing w:line="400" w:lineRule="exact"/>
              <w:ind w:left="1260" w:leftChars="257" w:hanging="540"/>
              <w:rPr>
                <w:rFonts w:hAnsi="宋体" w:cs="宋体"/>
                <w:color w:val="auto"/>
                <w:sz w:val="24"/>
                <w:szCs w:val="24"/>
              </w:rPr>
            </w:pPr>
          </w:p>
        </w:tc>
        <w:tc>
          <w:tcPr>
            <w:tcW w:w="971" w:type="dxa"/>
          </w:tcPr>
          <w:p w14:paraId="2B6CBDCE">
            <w:pPr>
              <w:pStyle w:val="16"/>
              <w:spacing w:line="400" w:lineRule="exact"/>
              <w:ind w:left="1260" w:leftChars="257" w:hanging="540"/>
              <w:rPr>
                <w:rFonts w:hAnsi="宋体" w:cs="宋体"/>
                <w:color w:val="auto"/>
                <w:sz w:val="24"/>
                <w:szCs w:val="24"/>
              </w:rPr>
            </w:pPr>
          </w:p>
        </w:tc>
        <w:tc>
          <w:tcPr>
            <w:tcW w:w="2204" w:type="dxa"/>
          </w:tcPr>
          <w:p w14:paraId="61F89491">
            <w:pPr>
              <w:pStyle w:val="16"/>
              <w:spacing w:line="400" w:lineRule="exact"/>
              <w:ind w:left="1260" w:leftChars="257" w:hanging="540"/>
              <w:rPr>
                <w:rFonts w:hAnsi="宋体" w:cs="宋体"/>
                <w:color w:val="auto"/>
                <w:sz w:val="24"/>
                <w:szCs w:val="24"/>
              </w:rPr>
            </w:pPr>
          </w:p>
        </w:tc>
      </w:tr>
      <w:tr w14:paraId="0D2B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19" w:type="dxa"/>
          </w:tcPr>
          <w:p w14:paraId="1D43EFBC">
            <w:pPr>
              <w:pStyle w:val="16"/>
              <w:spacing w:line="400" w:lineRule="exact"/>
              <w:ind w:left="1260" w:leftChars="257" w:hanging="540"/>
              <w:rPr>
                <w:rFonts w:hAnsi="宋体" w:cs="宋体"/>
                <w:color w:val="auto"/>
                <w:sz w:val="24"/>
                <w:szCs w:val="24"/>
              </w:rPr>
            </w:pPr>
          </w:p>
        </w:tc>
        <w:tc>
          <w:tcPr>
            <w:tcW w:w="2495" w:type="dxa"/>
          </w:tcPr>
          <w:p w14:paraId="139BA955">
            <w:pPr>
              <w:pStyle w:val="16"/>
              <w:spacing w:line="400" w:lineRule="exact"/>
              <w:ind w:left="1260" w:leftChars="257" w:hanging="540"/>
              <w:rPr>
                <w:rFonts w:hAnsi="宋体" w:cs="宋体"/>
                <w:color w:val="auto"/>
                <w:sz w:val="24"/>
                <w:szCs w:val="24"/>
              </w:rPr>
            </w:pPr>
          </w:p>
        </w:tc>
        <w:tc>
          <w:tcPr>
            <w:tcW w:w="2126" w:type="dxa"/>
          </w:tcPr>
          <w:p w14:paraId="741356FF">
            <w:pPr>
              <w:pStyle w:val="16"/>
              <w:spacing w:line="400" w:lineRule="exact"/>
              <w:ind w:left="1260" w:leftChars="257" w:hanging="540"/>
              <w:rPr>
                <w:rFonts w:hAnsi="宋体" w:cs="宋体"/>
                <w:color w:val="auto"/>
                <w:sz w:val="24"/>
                <w:szCs w:val="24"/>
              </w:rPr>
            </w:pPr>
          </w:p>
        </w:tc>
        <w:tc>
          <w:tcPr>
            <w:tcW w:w="971" w:type="dxa"/>
          </w:tcPr>
          <w:p w14:paraId="245063B4">
            <w:pPr>
              <w:pStyle w:val="16"/>
              <w:spacing w:line="400" w:lineRule="exact"/>
              <w:ind w:left="1260" w:leftChars="257" w:hanging="540"/>
              <w:rPr>
                <w:rFonts w:hAnsi="宋体" w:cs="宋体"/>
                <w:color w:val="auto"/>
                <w:sz w:val="24"/>
                <w:szCs w:val="24"/>
              </w:rPr>
            </w:pPr>
          </w:p>
        </w:tc>
        <w:tc>
          <w:tcPr>
            <w:tcW w:w="2204" w:type="dxa"/>
          </w:tcPr>
          <w:p w14:paraId="6D8CF5FD">
            <w:pPr>
              <w:pStyle w:val="16"/>
              <w:spacing w:line="400" w:lineRule="exact"/>
              <w:ind w:left="1260" w:leftChars="257" w:hanging="540"/>
              <w:rPr>
                <w:rFonts w:hAnsi="宋体" w:cs="宋体"/>
                <w:color w:val="auto"/>
                <w:sz w:val="24"/>
                <w:szCs w:val="24"/>
              </w:rPr>
            </w:pPr>
          </w:p>
        </w:tc>
      </w:tr>
      <w:tr w14:paraId="78C2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19" w:type="dxa"/>
          </w:tcPr>
          <w:p w14:paraId="1EF5B761">
            <w:pPr>
              <w:pStyle w:val="16"/>
              <w:spacing w:line="400" w:lineRule="exact"/>
              <w:ind w:left="1260" w:leftChars="257" w:hanging="540"/>
              <w:rPr>
                <w:rFonts w:hAnsi="宋体" w:cs="宋体"/>
                <w:color w:val="auto"/>
                <w:sz w:val="24"/>
                <w:szCs w:val="24"/>
              </w:rPr>
            </w:pPr>
          </w:p>
        </w:tc>
        <w:tc>
          <w:tcPr>
            <w:tcW w:w="2495" w:type="dxa"/>
          </w:tcPr>
          <w:p w14:paraId="22970D15">
            <w:pPr>
              <w:pStyle w:val="16"/>
              <w:spacing w:line="400" w:lineRule="exact"/>
              <w:ind w:left="1260" w:leftChars="257" w:hanging="540"/>
              <w:rPr>
                <w:rFonts w:hAnsi="宋体" w:cs="宋体"/>
                <w:color w:val="auto"/>
                <w:sz w:val="24"/>
                <w:szCs w:val="24"/>
              </w:rPr>
            </w:pPr>
          </w:p>
        </w:tc>
        <w:tc>
          <w:tcPr>
            <w:tcW w:w="2126" w:type="dxa"/>
          </w:tcPr>
          <w:p w14:paraId="4FE6C0F4">
            <w:pPr>
              <w:pStyle w:val="16"/>
              <w:spacing w:line="400" w:lineRule="exact"/>
              <w:ind w:left="1260" w:leftChars="257" w:hanging="540"/>
              <w:rPr>
                <w:rFonts w:hAnsi="宋体" w:cs="宋体"/>
                <w:color w:val="auto"/>
                <w:sz w:val="24"/>
                <w:szCs w:val="24"/>
              </w:rPr>
            </w:pPr>
          </w:p>
        </w:tc>
        <w:tc>
          <w:tcPr>
            <w:tcW w:w="971" w:type="dxa"/>
          </w:tcPr>
          <w:p w14:paraId="70260686">
            <w:pPr>
              <w:pStyle w:val="16"/>
              <w:spacing w:line="400" w:lineRule="exact"/>
              <w:ind w:left="1260" w:leftChars="257" w:hanging="540"/>
              <w:rPr>
                <w:rFonts w:hAnsi="宋体" w:cs="宋体"/>
                <w:color w:val="auto"/>
                <w:sz w:val="24"/>
                <w:szCs w:val="24"/>
              </w:rPr>
            </w:pPr>
          </w:p>
        </w:tc>
        <w:tc>
          <w:tcPr>
            <w:tcW w:w="2204" w:type="dxa"/>
          </w:tcPr>
          <w:p w14:paraId="286A094A">
            <w:pPr>
              <w:pStyle w:val="16"/>
              <w:spacing w:line="400" w:lineRule="exact"/>
              <w:ind w:left="1260" w:leftChars="257" w:hanging="540"/>
              <w:rPr>
                <w:rFonts w:hAnsi="宋体" w:cs="宋体"/>
                <w:color w:val="auto"/>
                <w:sz w:val="24"/>
                <w:szCs w:val="24"/>
              </w:rPr>
            </w:pPr>
          </w:p>
        </w:tc>
      </w:tr>
      <w:tr w14:paraId="2702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19" w:type="dxa"/>
          </w:tcPr>
          <w:p w14:paraId="21878658">
            <w:pPr>
              <w:pStyle w:val="16"/>
              <w:spacing w:line="400" w:lineRule="exact"/>
              <w:ind w:left="1260" w:leftChars="257" w:hanging="540"/>
              <w:rPr>
                <w:rFonts w:hAnsi="宋体" w:cs="宋体"/>
                <w:color w:val="auto"/>
                <w:sz w:val="24"/>
                <w:szCs w:val="24"/>
              </w:rPr>
            </w:pPr>
          </w:p>
        </w:tc>
        <w:tc>
          <w:tcPr>
            <w:tcW w:w="2495" w:type="dxa"/>
          </w:tcPr>
          <w:p w14:paraId="506AA718">
            <w:pPr>
              <w:pStyle w:val="16"/>
              <w:spacing w:line="400" w:lineRule="exact"/>
              <w:ind w:left="1260" w:leftChars="257" w:hanging="540"/>
              <w:rPr>
                <w:rFonts w:hAnsi="宋体" w:cs="宋体"/>
                <w:color w:val="auto"/>
                <w:sz w:val="24"/>
                <w:szCs w:val="24"/>
              </w:rPr>
            </w:pPr>
          </w:p>
        </w:tc>
        <w:tc>
          <w:tcPr>
            <w:tcW w:w="2126" w:type="dxa"/>
          </w:tcPr>
          <w:p w14:paraId="6C183FC7">
            <w:pPr>
              <w:pStyle w:val="16"/>
              <w:spacing w:line="400" w:lineRule="exact"/>
              <w:ind w:left="1260" w:leftChars="257" w:hanging="540"/>
              <w:rPr>
                <w:rFonts w:hAnsi="宋体" w:cs="宋体"/>
                <w:color w:val="auto"/>
                <w:sz w:val="24"/>
                <w:szCs w:val="24"/>
              </w:rPr>
            </w:pPr>
          </w:p>
        </w:tc>
        <w:tc>
          <w:tcPr>
            <w:tcW w:w="971" w:type="dxa"/>
          </w:tcPr>
          <w:p w14:paraId="1DE6ACA8">
            <w:pPr>
              <w:pStyle w:val="16"/>
              <w:spacing w:line="400" w:lineRule="exact"/>
              <w:ind w:left="1260" w:leftChars="257" w:hanging="540"/>
              <w:rPr>
                <w:rFonts w:hAnsi="宋体" w:cs="宋体"/>
                <w:color w:val="auto"/>
                <w:sz w:val="24"/>
                <w:szCs w:val="24"/>
              </w:rPr>
            </w:pPr>
          </w:p>
        </w:tc>
        <w:tc>
          <w:tcPr>
            <w:tcW w:w="2204" w:type="dxa"/>
          </w:tcPr>
          <w:p w14:paraId="1864AA0F">
            <w:pPr>
              <w:pStyle w:val="16"/>
              <w:spacing w:line="400" w:lineRule="exact"/>
              <w:ind w:left="1260" w:leftChars="257" w:hanging="540"/>
              <w:rPr>
                <w:rFonts w:hAnsi="宋体" w:cs="宋体"/>
                <w:color w:val="auto"/>
                <w:sz w:val="24"/>
                <w:szCs w:val="24"/>
              </w:rPr>
            </w:pPr>
          </w:p>
        </w:tc>
      </w:tr>
      <w:tr w14:paraId="33B2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19" w:type="dxa"/>
          </w:tcPr>
          <w:p w14:paraId="46489B37">
            <w:pPr>
              <w:pStyle w:val="16"/>
              <w:spacing w:line="400" w:lineRule="exact"/>
              <w:ind w:left="1260" w:leftChars="257" w:hanging="540"/>
              <w:rPr>
                <w:rFonts w:hAnsi="宋体" w:cs="宋体"/>
                <w:color w:val="auto"/>
                <w:sz w:val="24"/>
                <w:szCs w:val="24"/>
              </w:rPr>
            </w:pPr>
          </w:p>
        </w:tc>
        <w:tc>
          <w:tcPr>
            <w:tcW w:w="2495" w:type="dxa"/>
          </w:tcPr>
          <w:p w14:paraId="2E32CB1A">
            <w:pPr>
              <w:pStyle w:val="16"/>
              <w:spacing w:line="400" w:lineRule="exact"/>
              <w:ind w:left="1260" w:leftChars="257" w:hanging="540"/>
              <w:rPr>
                <w:rFonts w:hAnsi="宋体" w:cs="宋体"/>
                <w:color w:val="auto"/>
                <w:sz w:val="24"/>
                <w:szCs w:val="24"/>
              </w:rPr>
            </w:pPr>
          </w:p>
        </w:tc>
        <w:tc>
          <w:tcPr>
            <w:tcW w:w="2126" w:type="dxa"/>
          </w:tcPr>
          <w:p w14:paraId="47EE25C2">
            <w:pPr>
              <w:pStyle w:val="16"/>
              <w:spacing w:line="400" w:lineRule="exact"/>
              <w:ind w:left="1260" w:leftChars="257" w:hanging="540"/>
              <w:rPr>
                <w:rFonts w:hAnsi="宋体" w:cs="宋体"/>
                <w:color w:val="auto"/>
                <w:sz w:val="24"/>
                <w:szCs w:val="24"/>
              </w:rPr>
            </w:pPr>
          </w:p>
        </w:tc>
        <w:tc>
          <w:tcPr>
            <w:tcW w:w="971" w:type="dxa"/>
          </w:tcPr>
          <w:p w14:paraId="632517C7">
            <w:pPr>
              <w:pStyle w:val="16"/>
              <w:spacing w:line="400" w:lineRule="exact"/>
              <w:ind w:left="1260" w:leftChars="257" w:hanging="540"/>
              <w:rPr>
                <w:rFonts w:hAnsi="宋体" w:cs="宋体"/>
                <w:color w:val="auto"/>
                <w:sz w:val="24"/>
                <w:szCs w:val="24"/>
              </w:rPr>
            </w:pPr>
          </w:p>
        </w:tc>
        <w:tc>
          <w:tcPr>
            <w:tcW w:w="2204" w:type="dxa"/>
          </w:tcPr>
          <w:p w14:paraId="2517AAB0">
            <w:pPr>
              <w:pStyle w:val="16"/>
              <w:spacing w:line="400" w:lineRule="exact"/>
              <w:ind w:left="1260" w:leftChars="257" w:hanging="540"/>
              <w:rPr>
                <w:rFonts w:hAnsi="宋体" w:cs="宋体"/>
                <w:color w:val="auto"/>
                <w:sz w:val="24"/>
                <w:szCs w:val="24"/>
              </w:rPr>
            </w:pPr>
          </w:p>
        </w:tc>
      </w:tr>
      <w:tr w14:paraId="0FD5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219" w:type="dxa"/>
          </w:tcPr>
          <w:p w14:paraId="3B964D57">
            <w:pPr>
              <w:pStyle w:val="16"/>
              <w:spacing w:line="400" w:lineRule="exact"/>
              <w:ind w:left="1260" w:leftChars="257" w:hanging="540"/>
              <w:rPr>
                <w:rFonts w:hAnsi="宋体" w:cs="宋体"/>
                <w:color w:val="auto"/>
                <w:sz w:val="24"/>
                <w:szCs w:val="24"/>
              </w:rPr>
            </w:pPr>
          </w:p>
        </w:tc>
        <w:tc>
          <w:tcPr>
            <w:tcW w:w="2495" w:type="dxa"/>
          </w:tcPr>
          <w:p w14:paraId="0460CA56">
            <w:pPr>
              <w:pStyle w:val="16"/>
              <w:spacing w:line="400" w:lineRule="exact"/>
              <w:ind w:left="1260" w:leftChars="257" w:hanging="540"/>
              <w:rPr>
                <w:rFonts w:hAnsi="宋体" w:cs="宋体"/>
                <w:color w:val="auto"/>
                <w:sz w:val="24"/>
                <w:szCs w:val="24"/>
              </w:rPr>
            </w:pPr>
          </w:p>
        </w:tc>
        <w:tc>
          <w:tcPr>
            <w:tcW w:w="2126" w:type="dxa"/>
          </w:tcPr>
          <w:p w14:paraId="407FAF47">
            <w:pPr>
              <w:pStyle w:val="16"/>
              <w:spacing w:line="400" w:lineRule="exact"/>
              <w:ind w:left="1260" w:leftChars="257" w:hanging="540"/>
              <w:rPr>
                <w:rFonts w:hAnsi="宋体" w:cs="宋体"/>
                <w:color w:val="auto"/>
                <w:sz w:val="24"/>
                <w:szCs w:val="24"/>
              </w:rPr>
            </w:pPr>
          </w:p>
        </w:tc>
        <w:tc>
          <w:tcPr>
            <w:tcW w:w="971" w:type="dxa"/>
          </w:tcPr>
          <w:p w14:paraId="11FF61AE">
            <w:pPr>
              <w:pStyle w:val="16"/>
              <w:spacing w:line="400" w:lineRule="exact"/>
              <w:ind w:left="1260" w:leftChars="257" w:hanging="540"/>
              <w:rPr>
                <w:rFonts w:hAnsi="宋体" w:cs="宋体"/>
                <w:color w:val="auto"/>
                <w:sz w:val="24"/>
                <w:szCs w:val="24"/>
              </w:rPr>
            </w:pPr>
          </w:p>
        </w:tc>
        <w:tc>
          <w:tcPr>
            <w:tcW w:w="2204" w:type="dxa"/>
          </w:tcPr>
          <w:p w14:paraId="72AE698B">
            <w:pPr>
              <w:pStyle w:val="16"/>
              <w:spacing w:line="400" w:lineRule="exact"/>
              <w:ind w:left="1260" w:leftChars="257" w:hanging="540"/>
              <w:rPr>
                <w:rFonts w:hAnsi="宋体" w:cs="宋体"/>
                <w:color w:val="auto"/>
                <w:sz w:val="24"/>
                <w:szCs w:val="24"/>
              </w:rPr>
            </w:pPr>
          </w:p>
        </w:tc>
      </w:tr>
      <w:tr w14:paraId="01ED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19" w:type="dxa"/>
          </w:tcPr>
          <w:p w14:paraId="07331167">
            <w:pPr>
              <w:pStyle w:val="16"/>
              <w:spacing w:line="400" w:lineRule="exact"/>
              <w:ind w:left="1260" w:leftChars="257" w:hanging="540"/>
              <w:rPr>
                <w:rFonts w:hAnsi="宋体" w:cs="宋体"/>
                <w:color w:val="auto"/>
                <w:sz w:val="24"/>
                <w:szCs w:val="24"/>
              </w:rPr>
            </w:pPr>
          </w:p>
        </w:tc>
        <w:tc>
          <w:tcPr>
            <w:tcW w:w="2495" w:type="dxa"/>
          </w:tcPr>
          <w:p w14:paraId="3DBC6324">
            <w:pPr>
              <w:pStyle w:val="16"/>
              <w:spacing w:line="400" w:lineRule="exact"/>
              <w:ind w:left="1260" w:leftChars="257" w:hanging="540"/>
              <w:rPr>
                <w:rFonts w:hAnsi="宋体" w:cs="宋体"/>
                <w:color w:val="auto"/>
                <w:sz w:val="24"/>
                <w:szCs w:val="24"/>
              </w:rPr>
            </w:pPr>
          </w:p>
        </w:tc>
        <w:tc>
          <w:tcPr>
            <w:tcW w:w="2126" w:type="dxa"/>
          </w:tcPr>
          <w:p w14:paraId="739D88A2">
            <w:pPr>
              <w:pStyle w:val="16"/>
              <w:spacing w:line="400" w:lineRule="exact"/>
              <w:ind w:left="1260" w:leftChars="257" w:hanging="540"/>
              <w:rPr>
                <w:rFonts w:hAnsi="宋体" w:cs="宋体"/>
                <w:color w:val="auto"/>
                <w:sz w:val="24"/>
                <w:szCs w:val="24"/>
              </w:rPr>
            </w:pPr>
          </w:p>
        </w:tc>
        <w:tc>
          <w:tcPr>
            <w:tcW w:w="971" w:type="dxa"/>
          </w:tcPr>
          <w:p w14:paraId="404BFD8B">
            <w:pPr>
              <w:pStyle w:val="16"/>
              <w:spacing w:line="400" w:lineRule="exact"/>
              <w:ind w:left="1260" w:leftChars="257" w:hanging="540"/>
              <w:rPr>
                <w:rFonts w:hAnsi="宋体" w:cs="宋体"/>
                <w:color w:val="auto"/>
                <w:sz w:val="24"/>
                <w:szCs w:val="24"/>
              </w:rPr>
            </w:pPr>
          </w:p>
        </w:tc>
        <w:tc>
          <w:tcPr>
            <w:tcW w:w="2204" w:type="dxa"/>
          </w:tcPr>
          <w:p w14:paraId="3CBF4707">
            <w:pPr>
              <w:pStyle w:val="16"/>
              <w:spacing w:line="400" w:lineRule="exact"/>
              <w:ind w:left="1260" w:leftChars="257" w:hanging="540"/>
              <w:rPr>
                <w:rFonts w:hAnsi="宋体" w:cs="宋体"/>
                <w:color w:val="auto"/>
                <w:sz w:val="24"/>
                <w:szCs w:val="24"/>
              </w:rPr>
            </w:pPr>
          </w:p>
        </w:tc>
      </w:tr>
      <w:tr w14:paraId="6463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219" w:type="dxa"/>
          </w:tcPr>
          <w:p w14:paraId="64EAFA78">
            <w:pPr>
              <w:pStyle w:val="16"/>
              <w:spacing w:line="400" w:lineRule="exact"/>
              <w:ind w:left="1260" w:leftChars="257" w:hanging="540"/>
              <w:rPr>
                <w:rFonts w:hAnsi="宋体" w:cs="宋体"/>
                <w:color w:val="auto"/>
                <w:sz w:val="24"/>
                <w:szCs w:val="24"/>
              </w:rPr>
            </w:pPr>
          </w:p>
        </w:tc>
        <w:tc>
          <w:tcPr>
            <w:tcW w:w="2495" w:type="dxa"/>
          </w:tcPr>
          <w:p w14:paraId="467FF211">
            <w:pPr>
              <w:pStyle w:val="16"/>
              <w:spacing w:line="400" w:lineRule="exact"/>
              <w:ind w:left="1260" w:leftChars="257" w:hanging="540"/>
              <w:rPr>
                <w:rFonts w:hAnsi="宋体" w:cs="宋体"/>
                <w:color w:val="auto"/>
                <w:sz w:val="24"/>
                <w:szCs w:val="24"/>
              </w:rPr>
            </w:pPr>
          </w:p>
        </w:tc>
        <w:tc>
          <w:tcPr>
            <w:tcW w:w="2126" w:type="dxa"/>
          </w:tcPr>
          <w:p w14:paraId="79106B38">
            <w:pPr>
              <w:pStyle w:val="16"/>
              <w:spacing w:line="400" w:lineRule="exact"/>
              <w:ind w:left="1260" w:leftChars="257" w:hanging="540"/>
              <w:rPr>
                <w:rFonts w:hAnsi="宋体" w:cs="宋体"/>
                <w:color w:val="auto"/>
                <w:sz w:val="24"/>
                <w:szCs w:val="24"/>
              </w:rPr>
            </w:pPr>
          </w:p>
        </w:tc>
        <w:tc>
          <w:tcPr>
            <w:tcW w:w="971" w:type="dxa"/>
          </w:tcPr>
          <w:p w14:paraId="356EF1F9">
            <w:pPr>
              <w:pStyle w:val="16"/>
              <w:spacing w:line="400" w:lineRule="exact"/>
              <w:ind w:left="1260" w:leftChars="257" w:hanging="540"/>
              <w:rPr>
                <w:rFonts w:hAnsi="宋体" w:cs="宋体"/>
                <w:color w:val="auto"/>
                <w:sz w:val="24"/>
                <w:szCs w:val="24"/>
              </w:rPr>
            </w:pPr>
          </w:p>
        </w:tc>
        <w:tc>
          <w:tcPr>
            <w:tcW w:w="2204" w:type="dxa"/>
          </w:tcPr>
          <w:p w14:paraId="566AA765">
            <w:pPr>
              <w:pStyle w:val="16"/>
              <w:spacing w:line="400" w:lineRule="exact"/>
              <w:ind w:left="1260" w:leftChars="257" w:hanging="540"/>
              <w:rPr>
                <w:rFonts w:hAnsi="宋体" w:cs="宋体"/>
                <w:color w:val="auto"/>
                <w:sz w:val="24"/>
                <w:szCs w:val="24"/>
              </w:rPr>
            </w:pPr>
          </w:p>
        </w:tc>
      </w:tr>
      <w:tr w14:paraId="61D8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219" w:type="dxa"/>
          </w:tcPr>
          <w:p w14:paraId="30D909DA">
            <w:pPr>
              <w:pStyle w:val="16"/>
              <w:spacing w:line="400" w:lineRule="exact"/>
              <w:ind w:left="1260" w:leftChars="257" w:hanging="540"/>
              <w:rPr>
                <w:rFonts w:hAnsi="宋体" w:cs="宋体"/>
                <w:color w:val="auto"/>
                <w:sz w:val="24"/>
                <w:szCs w:val="24"/>
              </w:rPr>
            </w:pPr>
          </w:p>
        </w:tc>
        <w:tc>
          <w:tcPr>
            <w:tcW w:w="2495" w:type="dxa"/>
          </w:tcPr>
          <w:p w14:paraId="40E56B94">
            <w:pPr>
              <w:pStyle w:val="16"/>
              <w:spacing w:line="400" w:lineRule="exact"/>
              <w:ind w:left="1260" w:leftChars="257" w:hanging="540"/>
              <w:rPr>
                <w:rFonts w:hAnsi="宋体" w:cs="宋体"/>
                <w:color w:val="auto"/>
                <w:sz w:val="24"/>
                <w:szCs w:val="24"/>
              </w:rPr>
            </w:pPr>
          </w:p>
        </w:tc>
        <w:tc>
          <w:tcPr>
            <w:tcW w:w="2126" w:type="dxa"/>
          </w:tcPr>
          <w:p w14:paraId="1305C484">
            <w:pPr>
              <w:pStyle w:val="16"/>
              <w:spacing w:line="400" w:lineRule="exact"/>
              <w:ind w:left="1260" w:leftChars="257" w:hanging="540"/>
              <w:rPr>
                <w:rFonts w:hAnsi="宋体" w:cs="宋体"/>
                <w:color w:val="auto"/>
                <w:sz w:val="24"/>
                <w:szCs w:val="24"/>
              </w:rPr>
            </w:pPr>
          </w:p>
        </w:tc>
        <w:tc>
          <w:tcPr>
            <w:tcW w:w="971" w:type="dxa"/>
          </w:tcPr>
          <w:p w14:paraId="1D2E193C">
            <w:pPr>
              <w:pStyle w:val="16"/>
              <w:spacing w:line="400" w:lineRule="exact"/>
              <w:ind w:left="1260" w:leftChars="257" w:hanging="540"/>
              <w:rPr>
                <w:rFonts w:hAnsi="宋体" w:cs="宋体"/>
                <w:color w:val="auto"/>
                <w:sz w:val="24"/>
                <w:szCs w:val="24"/>
              </w:rPr>
            </w:pPr>
          </w:p>
        </w:tc>
        <w:tc>
          <w:tcPr>
            <w:tcW w:w="2204" w:type="dxa"/>
          </w:tcPr>
          <w:p w14:paraId="27DCA204">
            <w:pPr>
              <w:pStyle w:val="16"/>
              <w:spacing w:line="400" w:lineRule="exact"/>
              <w:ind w:left="1260" w:leftChars="257" w:hanging="540"/>
              <w:rPr>
                <w:rFonts w:hAnsi="宋体" w:cs="宋体"/>
                <w:color w:val="auto"/>
                <w:sz w:val="24"/>
                <w:szCs w:val="24"/>
              </w:rPr>
            </w:pPr>
          </w:p>
        </w:tc>
      </w:tr>
    </w:tbl>
    <w:p w14:paraId="497AE78A">
      <w:pPr>
        <w:widowControl/>
        <w:tabs>
          <w:tab w:val="left" w:pos="4000"/>
        </w:tabs>
        <w:snapToGrid w:val="0"/>
        <w:spacing w:line="400" w:lineRule="exact"/>
        <w:rPr>
          <w:rFonts w:ascii="宋体" w:hAnsi="宋体" w:cs="宋体"/>
          <w:bCs/>
          <w:color w:val="auto"/>
          <w:kern w:val="0"/>
          <w:sz w:val="24"/>
        </w:rPr>
      </w:pPr>
    </w:p>
    <w:p w14:paraId="604EE567">
      <w:pPr>
        <w:widowControl/>
        <w:tabs>
          <w:tab w:val="left" w:pos="4000"/>
        </w:tabs>
        <w:snapToGrid w:val="0"/>
        <w:spacing w:line="400" w:lineRule="exact"/>
        <w:rPr>
          <w:rFonts w:ascii="宋体" w:hAnsi="宋体" w:cs="宋体"/>
          <w:bCs/>
          <w:color w:val="auto"/>
          <w:kern w:val="0"/>
          <w:sz w:val="24"/>
        </w:rPr>
      </w:pPr>
      <w:r>
        <w:rPr>
          <w:rFonts w:hint="eastAsia" w:ascii="宋体" w:hAnsi="宋体" w:cs="宋体"/>
          <w:bCs/>
          <w:color w:val="auto"/>
          <w:kern w:val="0"/>
          <w:sz w:val="24"/>
        </w:rPr>
        <w:t>备注：1、除本偏离表所列的偏离外，其它均完全响应“招标文件”中的要求。</w:t>
      </w:r>
    </w:p>
    <w:p w14:paraId="235DE1AD">
      <w:pPr>
        <w:widowControl/>
        <w:tabs>
          <w:tab w:val="left" w:pos="4000"/>
        </w:tabs>
        <w:snapToGrid w:val="0"/>
        <w:spacing w:line="400" w:lineRule="exact"/>
        <w:rPr>
          <w:rFonts w:ascii="宋体" w:hAnsi="宋体" w:cs="宋体"/>
          <w:bCs/>
          <w:color w:val="auto"/>
          <w:kern w:val="0"/>
          <w:sz w:val="24"/>
        </w:rPr>
      </w:pPr>
      <w:r>
        <w:rPr>
          <w:rFonts w:hint="eastAsia" w:ascii="宋体" w:hAnsi="宋体" w:cs="宋体"/>
          <w:bCs/>
          <w:color w:val="auto"/>
          <w:kern w:val="0"/>
          <w:sz w:val="24"/>
        </w:rPr>
        <w:t xml:space="preserve">      2、如无偏离，供应商不需要填表，但应声明：“本投标文件完全响应招标文件所有条款的要求，无偏离。”</w:t>
      </w:r>
    </w:p>
    <w:p w14:paraId="5D60FAD2">
      <w:pPr>
        <w:spacing w:line="400" w:lineRule="exact"/>
        <w:ind w:firstLine="480" w:firstLineChars="200"/>
        <w:rPr>
          <w:rFonts w:hint="eastAsia" w:ascii="宋体" w:hAnsi="宋体" w:cs="宋体"/>
          <w:color w:val="auto"/>
          <w:sz w:val="24"/>
          <w:lang w:val="en-US" w:eastAsia="zh-CN"/>
        </w:rPr>
      </w:pPr>
    </w:p>
    <w:p w14:paraId="4028B4E0">
      <w:pPr>
        <w:spacing w:line="400" w:lineRule="exact"/>
        <w:ind w:firstLine="480" w:firstLineChars="200"/>
        <w:rPr>
          <w:rFonts w:ascii="宋体" w:hAnsi="宋体" w:cs="宋体"/>
          <w:color w:val="auto"/>
          <w:sz w:val="24"/>
        </w:rPr>
      </w:pPr>
      <w:r>
        <w:rPr>
          <w:rFonts w:hint="eastAsia" w:ascii="宋体" w:hAnsi="宋体" w:cs="宋体"/>
          <w:color w:val="auto"/>
          <w:sz w:val="24"/>
          <w:lang w:val="en-US" w:eastAsia="zh-CN"/>
        </w:rPr>
        <w:t>投标人</w:t>
      </w:r>
      <w:r>
        <w:rPr>
          <w:rFonts w:hint="eastAsia" w:ascii="宋体" w:hAnsi="宋体" w:cs="宋体"/>
          <w:color w:val="auto"/>
          <w:sz w:val="24"/>
        </w:rPr>
        <w:t>名称（加盖公章）：</w:t>
      </w:r>
      <w:r>
        <w:rPr>
          <w:rFonts w:hint="eastAsia" w:ascii="宋体" w:hAnsi="宋体" w:cs="宋体"/>
          <w:color w:val="auto"/>
          <w:sz w:val="24"/>
          <w:u w:val="single"/>
        </w:rPr>
        <w:t xml:space="preserve">             </w:t>
      </w:r>
    </w:p>
    <w:p w14:paraId="4BD1731E">
      <w:pPr>
        <w:spacing w:line="400" w:lineRule="exact"/>
        <w:ind w:firstLine="480" w:firstLineChars="200"/>
        <w:rPr>
          <w:rFonts w:ascii="宋体" w:hAnsi="宋体" w:cs="宋体"/>
          <w:color w:val="auto"/>
          <w:sz w:val="24"/>
        </w:rPr>
      </w:pPr>
      <w:r>
        <w:rPr>
          <w:rFonts w:hint="eastAsia" w:ascii="宋体" w:hAnsi="宋体" w:cs="宋体"/>
          <w:color w:val="auto"/>
          <w:sz w:val="24"/>
        </w:rPr>
        <w:t>法定代表人或其授权的代理人（签字或盖章）：</w:t>
      </w:r>
      <w:r>
        <w:rPr>
          <w:rFonts w:hint="eastAsia" w:ascii="宋体" w:hAnsi="宋体" w:cs="宋体"/>
          <w:color w:val="auto"/>
          <w:sz w:val="24"/>
          <w:u w:val="single"/>
        </w:rPr>
        <w:t xml:space="preserve">             </w:t>
      </w:r>
    </w:p>
    <w:p w14:paraId="3F604BA2">
      <w:pPr>
        <w:spacing w:line="400" w:lineRule="exact"/>
        <w:ind w:firstLine="480" w:firstLineChars="200"/>
        <w:rPr>
          <w:rFonts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bookmarkEnd w:id="40"/>
    <w:bookmarkEnd w:id="41"/>
    <w:p w14:paraId="0899E407">
      <w:pPr>
        <w:rPr>
          <w:rFonts w:ascii="宋体" w:hAnsi="宋体" w:cs="宋体"/>
          <w:b/>
          <w:bCs/>
          <w:color w:val="auto"/>
          <w:sz w:val="24"/>
        </w:rPr>
      </w:pPr>
      <w:bookmarkStart w:id="44" w:name="_Toc175644078"/>
      <w:r>
        <w:rPr>
          <w:rFonts w:ascii="宋体" w:hAnsi="宋体" w:cs="宋体"/>
          <w:b/>
          <w:bCs/>
          <w:color w:val="auto"/>
          <w:sz w:val="24"/>
        </w:rPr>
        <w:br w:type="page"/>
      </w:r>
    </w:p>
    <w:p w14:paraId="03B3C6E3">
      <w:pPr>
        <w:jc w:val="center"/>
        <w:rPr>
          <w:rFonts w:ascii="宋体" w:hAnsi="宋体" w:cs="宋体"/>
          <w:b/>
          <w:bCs/>
          <w:color w:val="auto"/>
          <w:sz w:val="24"/>
        </w:rPr>
      </w:pPr>
      <w:r>
        <w:rPr>
          <w:rFonts w:hint="eastAsia" w:ascii="宋体" w:hAnsi="宋体" w:cs="宋体"/>
          <w:b/>
          <w:bCs/>
          <w:color w:val="auto"/>
          <w:kern w:val="0"/>
          <w:sz w:val="24"/>
          <w:lang w:val="en-US" w:eastAsia="zh-CN"/>
        </w:rPr>
        <w:t>三、</w:t>
      </w:r>
      <w:r>
        <w:rPr>
          <w:rFonts w:hint="eastAsia" w:ascii="宋体" w:hAnsi="宋体" w:cs="宋体"/>
          <w:b/>
          <w:bCs/>
          <w:color w:val="auto"/>
          <w:kern w:val="0"/>
          <w:sz w:val="24"/>
        </w:rPr>
        <w:t>投标货物</w:t>
      </w:r>
      <w:r>
        <w:rPr>
          <w:rFonts w:hint="eastAsia" w:ascii="宋体" w:hAnsi="宋体" w:cs="宋体"/>
          <w:b/>
          <w:bCs/>
          <w:color w:val="auto"/>
          <w:kern w:val="0"/>
          <w:sz w:val="24"/>
          <w:lang w:val="en-US" w:eastAsia="zh-CN"/>
        </w:rPr>
        <w:t>型号</w:t>
      </w:r>
      <w:r>
        <w:rPr>
          <w:rFonts w:hint="eastAsia" w:ascii="宋体" w:hAnsi="宋体" w:cs="宋体"/>
          <w:b/>
          <w:bCs/>
          <w:color w:val="auto"/>
          <w:kern w:val="0"/>
          <w:sz w:val="24"/>
        </w:rPr>
        <w:t>一致的产品手册、介绍、说明书等技术材料</w:t>
      </w:r>
    </w:p>
    <w:p w14:paraId="628E8BA6">
      <w:pPr>
        <w:rPr>
          <w:rFonts w:ascii="宋体" w:hAnsi="宋体" w:cs="宋体"/>
          <w:b/>
          <w:bCs/>
          <w:color w:val="auto"/>
          <w:sz w:val="24"/>
        </w:rPr>
      </w:pPr>
      <w:r>
        <w:rPr>
          <w:rFonts w:ascii="宋体" w:hAnsi="宋体" w:cs="宋体"/>
          <w:b/>
          <w:bCs/>
          <w:color w:val="auto"/>
          <w:sz w:val="24"/>
        </w:rPr>
        <w:br w:type="page"/>
      </w:r>
    </w:p>
    <w:p w14:paraId="141D4FB0">
      <w:pPr>
        <w:spacing w:line="360" w:lineRule="auto"/>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四、供货实施方案</w:t>
      </w:r>
    </w:p>
    <w:p w14:paraId="4902A9F8">
      <w:pPr>
        <w:spacing w:line="360" w:lineRule="auto"/>
        <w:jc w:val="center"/>
        <w:rPr>
          <w:rFonts w:ascii="宋体" w:hAnsi="宋体" w:cs="宋体"/>
          <w:color w:val="auto"/>
          <w:sz w:val="24"/>
          <w:szCs w:val="24"/>
        </w:rPr>
      </w:pPr>
      <w:r>
        <w:rPr>
          <w:rFonts w:hint="eastAsia" w:ascii="宋体" w:hAnsi="宋体" w:cs="宋体"/>
          <w:color w:val="auto"/>
          <w:sz w:val="24"/>
          <w:szCs w:val="24"/>
        </w:rPr>
        <w:t>（格式自拟）</w:t>
      </w:r>
    </w:p>
    <w:bookmarkEnd w:id="44"/>
    <w:p w14:paraId="5753A98D">
      <w:pPr>
        <w:spacing w:line="360" w:lineRule="auto"/>
        <w:jc w:val="center"/>
        <w:rPr>
          <w:rFonts w:ascii="宋体" w:hAnsi="宋体" w:cs="宋体"/>
          <w:b/>
          <w:bCs/>
          <w:color w:val="auto"/>
          <w:sz w:val="24"/>
          <w:szCs w:val="24"/>
        </w:rPr>
      </w:pPr>
      <w:r>
        <w:rPr>
          <w:rFonts w:hint="eastAsia" w:ascii="宋体" w:hAnsi="宋体" w:cs="宋体"/>
          <w:b/>
          <w:bCs/>
          <w:color w:val="auto"/>
          <w:sz w:val="24"/>
          <w:szCs w:val="24"/>
          <w:lang w:val="en-US" w:eastAsia="zh-CN"/>
        </w:rPr>
        <w:t>投标人</w:t>
      </w:r>
      <w:r>
        <w:rPr>
          <w:rFonts w:hint="eastAsia" w:ascii="宋体" w:hAnsi="宋体" w:cs="宋体"/>
          <w:b/>
          <w:bCs/>
          <w:color w:val="auto"/>
          <w:sz w:val="24"/>
          <w:szCs w:val="24"/>
        </w:rPr>
        <w:t>依据采购人需求，参考评审要点编制本项目的技术服务方案。</w:t>
      </w:r>
    </w:p>
    <w:p w14:paraId="7CA3A04C">
      <w:pPr>
        <w:spacing w:line="360" w:lineRule="auto"/>
        <w:jc w:val="center"/>
        <w:rPr>
          <w:rFonts w:ascii="宋体" w:hAnsi="宋体" w:cs="宋体"/>
          <w:b/>
          <w:bCs/>
          <w:color w:val="auto"/>
          <w:sz w:val="24"/>
          <w:szCs w:val="24"/>
        </w:rPr>
      </w:pPr>
    </w:p>
    <w:p w14:paraId="070E09E5">
      <w:pPr>
        <w:spacing w:line="360" w:lineRule="auto"/>
        <w:jc w:val="center"/>
        <w:rPr>
          <w:rFonts w:ascii="宋体" w:hAnsi="宋体" w:cs="宋体"/>
          <w:b/>
          <w:bCs/>
          <w:color w:val="auto"/>
          <w:szCs w:val="28"/>
        </w:rPr>
      </w:pPr>
    </w:p>
    <w:p w14:paraId="2295946A">
      <w:pPr>
        <w:rPr>
          <w:rFonts w:ascii="宋体" w:hAnsi="宋体" w:cs="宋体"/>
          <w:b/>
          <w:bCs/>
          <w:color w:val="auto"/>
          <w:szCs w:val="28"/>
        </w:rPr>
      </w:pPr>
      <w:r>
        <w:rPr>
          <w:rFonts w:hint="eastAsia" w:ascii="宋体" w:hAnsi="宋体" w:cs="宋体"/>
          <w:b/>
          <w:bCs/>
          <w:color w:val="auto"/>
          <w:szCs w:val="28"/>
        </w:rPr>
        <w:br w:type="page"/>
      </w:r>
    </w:p>
    <w:p w14:paraId="398C6780">
      <w:pPr>
        <w:spacing w:line="360" w:lineRule="auto"/>
        <w:jc w:val="center"/>
        <w:outlineLvl w:val="9"/>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五、装修改造实施方案</w:t>
      </w:r>
    </w:p>
    <w:p w14:paraId="7FE013EC">
      <w:pPr>
        <w:spacing w:line="360" w:lineRule="auto"/>
        <w:jc w:val="center"/>
        <w:rPr>
          <w:rFonts w:ascii="宋体" w:hAnsi="宋体" w:cs="宋体"/>
          <w:color w:val="auto"/>
          <w:sz w:val="24"/>
          <w:szCs w:val="24"/>
        </w:rPr>
      </w:pPr>
      <w:r>
        <w:rPr>
          <w:rFonts w:hint="eastAsia" w:ascii="宋体" w:hAnsi="宋体" w:cs="宋体"/>
          <w:color w:val="auto"/>
          <w:sz w:val="24"/>
          <w:szCs w:val="24"/>
        </w:rPr>
        <w:t>（格式自拟）</w:t>
      </w:r>
    </w:p>
    <w:p w14:paraId="073A8052">
      <w:pPr>
        <w:spacing w:line="360" w:lineRule="auto"/>
        <w:jc w:val="center"/>
        <w:rPr>
          <w:rFonts w:ascii="宋体" w:hAnsi="宋体" w:cs="宋体"/>
          <w:b/>
          <w:bCs/>
          <w:color w:val="auto"/>
          <w:sz w:val="24"/>
          <w:szCs w:val="24"/>
        </w:rPr>
      </w:pPr>
      <w:r>
        <w:rPr>
          <w:rFonts w:hint="eastAsia" w:ascii="宋体" w:hAnsi="宋体" w:cs="宋体"/>
          <w:b/>
          <w:bCs/>
          <w:color w:val="auto"/>
          <w:sz w:val="24"/>
          <w:szCs w:val="24"/>
          <w:lang w:val="en-US" w:eastAsia="zh-CN"/>
        </w:rPr>
        <w:t>投标人</w:t>
      </w:r>
      <w:r>
        <w:rPr>
          <w:rFonts w:hint="eastAsia" w:ascii="宋体" w:hAnsi="宋体" w:cs="宋体"/>
          <w:b/>
          <w:bCs/>
          <w:color w:val="auto"/>
          <w:sz w:val="24"/>
          <w:szCs w:val="24"/>
        </w:rPr>
        <w:t>依据采购人需求，参考评审要点编制本项目的技术服务方案。</w:t>
      </w:r>
    </w:p>
    <w:p w14:paraId="2D497E7D">
      <w:pPr>
        <w:spacing w:line="360" w:lineRule="auto"/>
        <w:jc w:val="center"/>
        <w:rPr>
          <w:rFonts w:hint="eastAsia" w:ascii="宋体" w:hAnsi="宋体" w:eastAsia="宋体" w:cs="宋体"/>
          <w:b/>
          <w:bCs/>
          <w:color w:val="auto"/>
          <w:sz w:val="24"/>
          <w:szCs w:val="24"/>
          <w:lang w:val="en-US" w:eastAsia="zh-CN"/>
        </w:rPr>
      </w:pPr>
    </w:p>
    <w:p w14:paraId="008AED15">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4887982B">
      <w:pPr>
        <w:spacing w:line="360" w:lineRule="auto"/>
        <w:jc w:val="cente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lang w:val="en-US" w:eastAsia="zh-CN"/>
        </w:rPr>
        <w:t>、货物质量及保证措施</w:t>
      </w:r>
    </w:p>
    <w:p w14:paraId="0985AC5C">
      <w:pPr>
        <w:spacing w:line="360" w:lineRule="auto"/>
        <w:ind w:left="1960"/>
        <w:jc w:val="both"/>
        <w:rPr>
          <w:rFonts w:ascii="宋体" w:hAnsi="宋体" w:cs="宋体"/>
          <w:b/>
          <w:bCs/>
          <w:color w:val="auto"/>
          <w:szCs w:val="28"/>
        </w:rPr>
      </w:pPr>
    </w:p>
    <w:p w14:paraId="7DA4E9F0">
      <w:pPr>
        <w:rPr>
          <w:rFonts w:ascii="宋体" w:hAnsi="宋体" w:cs="宋体"/>
          <w:b/>
          <w:bCs/>
          <w:color w:val="auto"/>
          <w:szCs w:val="28"/>
        </w:rPr>
      </w:pPr>
      <w:r>
        <w:rPr>
          <w:rFonts w:hint="eastAsia" w:ascii="宋体" w:hAnsi="宋体" w:cs="宋体"/>
          <w:b/>
          <w:bCs/>
          <w:color w:val="auto"/>
          <w:szCs w:val="28"/>
        </w:rPr>
        <w:br w:type="page"/>
      </w:r>
    </w:p>
    <w:p w14:paraId="2F2B662B">
      <w:pPr>
        <w:rPr>
          <w:color w:val="auto"/>
        </w:rPr>
      </w:pPr>
    </w:p>
    <w:p w14:paraId="720E5119">
      <w:pPr>
        <w:spacing w:line="360" w:lineRule="auto"/>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七、应急预案</w:t>
      </w:r>
    </w:p>
    <w:p w14:paraId="13E4CC9E">
      <w:pP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br w:type="page"/>
      </w:r>
    </w:p>
    <w:p w14:paraId="77E65AAF">
      <w:pPr>
        <w:spacing w:line="360" w:lineRule="auto"/>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八、培训、售后服务方案、承诺及保证措施</w:t>
      </w:r>
    </w:p>
    <w:p w14:paraId="07183AF1">
      <w:pP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br w:type="page"/>
      </w:r>
    </w:p>
    <w:p w14:paraId="4684E782">
      <w:pPr>
        <w:pStyle w:val="28"/>
        <w:outlineLvl w:val="9"/>
        <w:rPr>
          <w:rFonts w:hint="eastAsia"/>
          <w:color w:val="auto"/>
          <w:lang w:val="en-US" w:eastAsia="zh-CN"/>
        </w:rPr>
      </w:pPr>
    </w:p>
    <w:p w14:paraId="41CA5EEE">
      <w:pPr>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lang w:val="en-US" w:eastAsia="zh-CN"/>
        </w:rPr>
        <w:t>九、投标人</w:t>
      </w:r>
      <w:r>
        <w:rPr>
          <w:rFonts w:hint="eastAsia" w:ascii="宋体" w:hAnsi="宋体" w:cs="宋体"/>
          <w:b/>
          <w:bCs/>
          <w:color w:val="auto"/>
          <w:sz w:val="24"/>
          <w:szCs w:val="24"/>
        </w:rPr>
        <w:t>认为需要提供的其他技术资料</w:t>
      </w:r>
    </w:p>
    <w:p w14:paraId="0246A8C1">
      <w:pPr>
        <w:rPr>
          <w:rFonts w:hint="eastAsia" w:ascii="宋体" w:hAnsi="宋体" w:cs="宋体"/>
          <w:b/>
          <w:bCs/>
          <w:color w:val="auto"/>
          <w:sz w:val="24"/>
          <w:szCs w:val="24"/>
        </w:rPr>
      </w:pPr>
      <w:r>
        <w:rPr>
          <w:rFonts w:hint="eastAsia" w:ascii="宋体" w:hAnsi="宋体" w:cs="宋体"/>
          <w:b/>
          <w:bCs/>
          <w:color w:val="auto"/>
          <w:sz w:val="24"/>
          <w:szCs w:val="24"/>
        </w:rPr>
        <w:br w:type="page"/>
      </w:r>
    </w:p>
    <w:p w14:paraId="1291A78F">
      <w:pPr>
        <w:spacing w:line="360" w:lineRule="auto"/>
        <w:jc w:val="both"/>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其他附件</w:t>
      </w:r>
    </w:p>
    <w:p w14:paraId="19B44F8B">
      <w:pPr>
        <w:adjustRightInd w:val="0"/>
        <w:snapToGrid w:val="0"/>
        <w:spacing w:line="360" w:lineRule="auto"/>
        <w:jc w:val="center"/>
        <w:rPr>
          <w:rFonts w:hint="eastAsia" w:ascii="宋体" w:hAnsi="等线" w:eastAsia="宋体" w:cs="宋体"/>
          <w:b/>
          <w:bCs/>
          <w:color w:val="auto"/>
          <w:kern w:val="0"/>
          <w:sz w:val="28"/>
          <w:szCs w:val="28"/>
          <w:highlight w:val="none"/>
        </w:rPr>
      </w:pPr>
      <w:r>
        <w:rPr>
          <w:rFonts w:hint="eastAsia" w:ascii="宋体" w:hAnsi="等线" w:eastAsia="宋体" w:cs="宋体"/>
          <w:b/>
          <w:bCs/>
          <w:color w:val="auto"/>
          <w:kern w:val="0"/>
          <w:sz w:val="28"/>
          <w:szCs w:val="28"/>
          <w:highlight w:val="none"/>
        </w:rPr>
        <w:t>节能产品明细表（如适用）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1559"/>
        <w:gridCol w:w="992"/>
        <w:gridCol w:w="2233"/>
        <w:gridCol w:w="2445"/>
      </w:tblGrid>
      <w:tr w14:paraId="15C1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noWrap w:val="0"/>
            <w:vAlign w:val="center"/>
          </w:tcPr>
          <w:p w14:paraId="43E5150A">
            <w:pPr>
              <w:keepNext/>
              <w:snapToGrid w:val="0"/>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812" w:type="dxa"/>
            <w:noWrap w:val="0"/>
            <w:vAlign w:val="center"/>
          </w:tcPr>
          <w:p w14:paraId="71FFAAFD">
            <w:pPr>
              <w:keepNext/>
              <w:snapToGrid w:val="0"/>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产品名称</w:t>
            </w:r>
          </w:p>
        </w:tc>
        <w:tc>
          <w:tcPr>
            <w:tcW w:w="1559" w:type="dxa"/>
            <w:noWrap w:val="0"/>
            <w:vAlign w:val="center"/>
          </w:tcPr>
          <w:p w14:paraId="7622710D">
            <w:pPr>
              <w:keepNext/>
              <w:snapToGrid w:val="0"/>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制造商</w:t>
            </w:r>
          </w:p>
        </w:tc>
        <w:tc>
          <w:tcPr>
            <w:tcW w:w="992" w:type="dxa"/>
            <w:noWrap w:val="0"/>
            <w:vAlign w:val="center"/>
          </w:tcPr>
          <w:p w14:paraId="2B9EC2F4">
            <w:pPr>
              <w:keepNext/>
              <w:snapToGrid w:val="0"/>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产品</w:t>
            </w:r>
          </w:p>
          <w:p w14:paraId="095912A9">
            <w:pPr>
              <w:keepNext/>
              <w:snapToGrid w:val="0"/>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型号</w:t>
            </w:r>
          </w:p>
        </w:tc>
        <w:tc>
          <w:tcPr>
            <w:tcW w:w="2233" w:type="dxa"/>
            <w:noWrap w:val="0"/>
            <w:vAlign w:val="center"/>
          </w:tcPr>
          <w:p w14:paraId="255572F5">
            <w:pPr>
              <w:keepNext/>
              <w:snapToGrid w:val="0"/>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节能产品认证证书号</w:t>
            </w:r>
          </w:p>
        </w:tc>
        <w:tc>
          <w:tcPr>
            <w:tcW w:w="2445" w:type="dxa"/>
            <w:noWrap w:val="0"/>
            <w:vAlign w:val="center"/>
          </w:tcPr>
          <w:p w14:paraId="4509A8B8">
            <w:pPr>
              <w:keepNext/>
              <w:snapToGrid w:val="0"/>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认证证书有效截止日期</w:t>
            </w:r>
          </w:p>
        </w:tc>
      </w:tr>
      <w:tr w14:paraId="3D05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750E939F">
            <w:pPr>
              <w:keepNext/>
              <w:snapToGrid w:val="0"/>
              <w:spacing w:line="260" w:lineRule="exact"/>
              <w:jc w:val="center"/>
              <w:rPr>
                <w:rFonts w:hint="eastAsia" w:ascii="宋体" w:hAnsi="宋体" w:cs="宋体"/>
                <w:color w:val="auto"/>
                <w:sz w:val="24"/>
                <w:highlight w:val="none"/>
              </w:rPr>
            </w:pPr>
          </w:p>
        </w:tc>
        <w:tc>
          <w:tcPr>
            <w:tcW w:w="812" w:type="dxa"/>
            <w:noWrap w:val="0"/>
            <w:vAlign w:val="top"/>
          </w:tcPr>
          <w:p w14:paraId="38435D04">
            <w:pPr>
              <w:keepNext/>
              <w:snapToGrid w:val="0"/>
              <w:spacing w:line="260" w:lineRule="exact"/>
              <w:jc w:val="center"/>
              <w:rPr>
                <w:rFonts w:hint="eastAsia" w:ascii="宋体" w:hAnsi="宋体" w:cs="宋体"/>
                <w:color w:val="auto"/>
                <w:sz w:val="24"/>
                <w:highlight w:val="none"/>
              </w:rPr>
            </w:pPr>
          </w:p>
        </w:tc>
        <w:tc>
          <w:tcPr>
            <w:tcW w:w="1559" w:type="dxa"/>
            <w:noWrap w:val="0"/>
            <w:vAlign w:val="top"/>
          </w:tcPr>
          <w:p w14:paraId="639BFE3B">
            <w:pPr>
              <w:keepNext/>
              <w:snapToGrid w:val="0"/>
              <w:spacing w:line="260" w:lineRule="exact"/>
              <w:jc w:val="center"/>
              <w:rPr>
                <w:rFonts w:hint="eastAsia" w:ascii="宋体" w:hAnsi="宋体" w:cs="宋体"/>
                <w:color w:val="auto"/>
                <w:sz w:val="24"/>
                <w:highlight w:val="none"/>
              </w:rPr>
            </w:pPr>
          </w:p>
        </w:tc>
        <w:tc>
          <w:tcPr>
            <w:tcW w:w="992" w:type="dxa"/>
            <w:noWrap w:val="0"/>
            <w:vAlign w:val="top"/>
          </w:tcPr>
          <w:p w14:paraId="55DEFD7E">
            <w:pPr>
              <w:keepNext/>
              <w:snapToGrid w:val="0"/>
              <w:spacing w:line="260" w:lineRule="exact"/>
              <w:jc w:val="center"/>
              <w:rPr>
                <w:rFonts w:hint="eastAsia" w:ascii="宋体" w:hAnsi="宋体" w:cs="宋体"/>
                <w:color w:val="auto"/>
                <w:sz w:val="24"/>
                <w:highlight w:val="none"/>
              </w:rPr>
            </w:pPr>
          </w:p>
        </w:tc>
        <w:tc>
          <w:tcPr>
            <w:tcW w:w="2233" w:type="dxa"/>
            <w:noWrap w:val="0"/>
            <w:vAlign w:val="top"/>
          </w:tcPr>
          <w:p w14:paraId="6468F74F">
            <w:pPr>
              <w:keepNext/>
              <w:snapToGrid w:val="0"/>
              <w:spacing w:line="260" w:lineRule="exact"/>
              <w:jc w:val="center"/>
              <w:rPr>
                <w:rFonts w:hint="eastAsia" w:ascii="宋体" w:hAnsi="宋体" w:cs="宋体"/>
                <w:color w:val="auto"/>
                <w:sz w:val="24"/>
                <w:highlight w:val="none"/>
              </w:rPr>
            </w:pPr>
          </w:p>
        </w:tc>
        <w:tc>
          <w:tcPr>
            <w:tcW w:w="2445" w:type="dxa"/>
            <w:noWrap w:val="0"/>
            <w:vAlign w:val="top"/>
          </w:tcPr>
          <w:p w14:paraId="2C51A33B">
            <w:pPr>
              <w:keepNext/>
              <w:snapToGrid w:val="0"/>
              <w:spacing w:line="260" w:lineRule="exact"/>
              <w:jc w:val="center"/>
              <w:rPr>
                <w:rFonts w:hint="eastAsia" w:ascii="宋体" w:hAnsi="宋体" w:cs="宋体"/>
                <w:color w:val="auto"/>
                <w:sz w:val="24"/>
                <w:highlight w:val="none"/>
              </w:rPr>
            </w:pPr>
          </w:p>
        </w:tc>
      </w:tr>
      <w:tr w14:paraId="7B7B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1EFAA239">
            <w:pPr>
              <w:keepNext/>
              <w:snapToGrid w:val="0"/>
              <w:spacing w:line="260" w:lineRule="exact"/>
              <w:jc w:val="center"/>
              <w:rPr>
                <w:rFonts w:hint="eastAsia" w:ascii="宋体" w:hAnsi="宋体" w:cs="宋体"/>
                <w:color w:val="auto"/>
                <w:sz w:val="24"/>
                <w:highlight w:val="none"/>
              </w:rPr>
            </w:pPr>
          </w:p>
        </w:tc>
        <w:tc>
          <w:tcPr>
            <w:tcW w:w="812" w:type="dxa"/>
            <w:noWrap w:val="0"/>
            <w:vAlign w:val="top"/>
          </w:tcPr>
          <w:p w14:paraId="6B66F17A">
            <w:pPr>
              <w:keepNext/>
              <w:snapToGrid w:val="0"/>
              <w:spacing w:line="260" w:lineRule="exact"/>
              <w:jc w:val="center"/>
              <w:rPr>
                <w:rFonts w:hint="eastAsia" w:ascii="宋体" w:hAnsi="宋体" w:cs="宋体"/>
                <w:color w:val="auto"/>
                <w:sz w:val="24"/>
                <w:highlight w:val="none"/>
              </w:rPr>
            </w:pPr>
          </w:p>
        </w:tc>
        <w:tc>
          <w:tcPr>
            <w:tcW w:w="1559" w:type="dxa"/>
            <w:noWrap w:val="0"/>
            <w:vAlign w:val="top"/>
          </w:tcPr>
          <w:p w14:paraId="79A16B7F">
            <w:pPr>
              <w:keepNext/>
              <w:snapToGrid w:val="0"/>
              <w:spacing w:line="260" w:lineRule="exact"/>
              <w:jc w:val="center"/>
              <w:rPr>
                <w:rFonts w:hint="eastAsia" w:ascii="宋体" w:hAnsi="宋体" w:cs="宋体"/>
                <w:color w:val="auto"/>
                <w:sz w:val="24"/>
                <w:highlight w:val="none"/>
              </w:rPr>
            </w:pPr>
          </w:p>
        </w:tc>
        <w:tc>
          <w:tcPr>
            <w:tcW w:w="992" w:type="dxa"/>
            <w:noWrap w:val="0"/>
            <w:vAlign w:val="top"/>
          </w:tcPr>
          <w:p w14:paraId="3DFC42E0">
            <w:pPr>
              <w:keepNext/>
              <w:snapToGrid w:val="0"/>
              <w:spacing w:line="260" w:lineRule="exact"/>
              <w:jc w:val="center"/>
              <w:rPr>
                <w:rFonts w:hint="eastAsia" w:ascii="宋体" w:hAnsi="宋体" w:cs="宋体"/>
                <w:color w:val="auto"/>
                <w:sz w:val="24"/>
                <w:highlight w:val="none"/>
              </w:rPr>
            </w:pPr>
          </w:p>
        </w:tc>
        <w:tc>
          <w:tcPr>
            <w:tcW w:w="2233" w:type="dxa"/>
            <w:noWrap w:val="0"/>
            <w:vAlign w:val="top"/>
          </w:tcPr>
          <w:p w14:paraId="614DCDBC">
            <w:pPr>
              <w:keepNext/>
              <w:snapToGrid w:val="0"/>
              <w:spacing w:line="260" w:lineRule="exact"/>
              <w:jc w:val="center"/>
              <w:rPr>
                <w:rFonts w:hint="eastAsia" w:ascii="宋体" w:hAnsi="宋体" w:cs="宋体"/>
                <w:color w:val="auto"/>
                <w:sz w:val="24"/>
                <w:highlight w:val="none"/>
              </w:rPr>
            </w:pPr>
          </w:p>
        </w:tc>
        <w:tc>
          <w:tcPr>
            <w:tcW w:w="2445" w:type="dxa"/>
            <w:noWrap w:val="0"/>
            <w:vAlign w:val="top"/>
          </w:tcPr>
          <w:p w14:paraId="4D5F92B5">
            <w:pPr>
              <w:keepNext/>
              <w:snapToGrid w:val="0"/>
              <w:spacing w:line="260" w:lineRule="exact"/>
              <w:jc w:val="center"/>
              <w:rPr>
                <w:rFonts w:hint="eastAsia" w:ascii="宋体" w:hAnsi="宋体" w:cs="宋体"/>
                <w:color w:val="auto"/>
                <w:sz w:val="24"/>
                <w:highlight w:val="none"/>
              </w:rPr>
            </w:pPr>
          </w:p>
        </w:tc>
      </w:tr>
    </w:tbl>
    <w:p w14:paraId="2DD3ABFD">
      <w:pPr>
        <w:spacing w:line="480" w:lineRule="exact"/>
        <w:ind w:firstLine="480" w:firstLineChars="200"/>
        <w:rPr>
          <w:rFonts w:hint="eastAsia" w:ascii="宋体" w:hAnsi="宋体" w:cs="宋体"/>
          <w:b/>
          <w:color w:val="auto"/>
          <w:sz w:val="24"/>
          <w:highlight w:val="none"/>
        </w:rPr>
      </w:pPr>
      <w:r>
        <w:rPr>
          <w:rFonts w:hint="eastAsia" w:ascii="宋体" w:hAnsi="宋体" w:cs="宋体"/>
          <w:snapToGrid w:val="0"/>
          <w:color w:val="auto"/>
          <w:sz w:val="24"/>
          <w:highlight w:val="none"/>
        </w:rPr>
        <w:t>提供国家确定的认证机构出具的、处于有效期之内的节能产品认证证书的扫描件</w:t>
      </w:r>
      <w:r>
        <w:rPr>
          <w:rFonts w:hint="eastAsia" w:ascii="宋体" w:hAnsi="宋体" w:cs="宋体"/>
          <w:color w:val="auto"/>
          <w:sz w:val="24"/>
          <w:highlight w:val="none"/>
        </w:rPr>
        <w:t>。</w:t>
      </w:r>
    </w:p>
    <w:p w14:paraId="6D70C8CB">
      <w:pPr>
        <w:pStyle w:val="31"/>
        <w:ind w:firstLine="480"/>
        <w:rPr>
          <w:rFonts w:hint="eastAsia"/>
          <w:color w:val="auto"/>
          <w:highlight w:val="none"/>
        </w:rPr>
      </w:pPr>
    </w:p>
    <w:p w14:paraId="7C9CE634">
      <w:pPr>
        <w:adjustRightInd w:val="0"/>
        <w:snapToGrid w:val="0"/>
        <w:spacing w:line="360" w:lineRule="auto"/>
        <w:jc w:val="center"/>
        <w:rPr>
          <w:rFonts w:hint="eastAsia" w:ascii="宋体" w:hAnsi="等线" w:eastAsia="宋体" w:cs="宋体"/>
          <w:b/>
          <w:bCs/>
          <w:color w:val="auto"/>
          <w:kern w:val="0"/>
          <w:sz w:val="28"/>
          <w:szCs w:val="28"/>
          <w:highlight w:val="none"/>
        </w:rPr>
      </w:pPr>
      <w:r>
        <w:rPr>
          <w:rFonts w:hint="eastAsia" w:ascii="宋体" w:hAnsi="等线" w:eastAsia="宋体" w:cs="宋体"/>
          <w:b/>
          <w:bCs/>
          <w:color w:val="auto"/>
          <w:kern w:val="0"/>
          <w:sz w:val="28"/>
          <w:szCs w:val="28"/>
          <w:highlight w:val="none"/>
        </w:rPr>
        <w:t>环境标志产品明细表（如适用）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10"/>
        <w:gridCol w:w="939"/>
        <w:gridCol w:w="2127"/>
        <w:gridCol w:w="1984"/>
      </w:tblGrid>
      <w:tr w14:paraId="59DA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noWrap w:val="0"/>
            <w:vAlign w:val="center"/>
          </w:tcPr>
          <w:p w14:paraId="71E6C2C0">
            <w:pPr>
              <w:keepNext/>
              <w:snapToGrid w:val="0"/>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080" w:type="dxa"/>
            <w:noWrap w:val="0"/>
            <w:vAlign w:val="center"/>
          </w:tcPr>
          <w:p w14:paraId="38E2E878">
            <w:pPr>
              <w:keepNext/>
              <w:snapToGrid w:val="0"/>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产品</w:t>
            </w:r>
          </w:p>
          <w:p w14:paraId="56525C3A">
            <w:pPr>
              <w:keepNext/>
              <w:snapToGrid w:val="0"/>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900" w:type="dxa"/>
            <w:noWrap w:val="0"/>
            <w:vAlign w:val="center"/>
          </w:tcPr>
          <w:p w14:paraId="6E7BACB9">
            <w:pPr>
              <w:keepNext/>
              <w:snapToGrid w:val="0"/>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制造商</w:t>
            </w:r>
          </w:p>
        </w:tc>
        <w:tc>
          <w:tcPr>
            <w:tcW w:w="1010" w:type="dxa"/>
            <w:noWrap w:val="0"/>
            <w:vAlign w:val="center"/>
          </w:tcPr>
          <w:p w14:paraId="36A3B794">
            <w:pPr>
              <w:keepNext/>
              <w:snapToGrid w:val="0"/>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注册</w:t>
            </w:r>
          </w:p>
          <w:p w14:paraId="1658B6F5">
            <w:pPr>
              <w:keepNext/>
              <w:snapToGrid w:val="0"/>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商标</w:t>
            </w:r>
          </w:p>
        </w:tc>
        <w:tc>
          <w:tcPr>
            <w:tcW w:w="939" w:type="dxa"/>
            <w:noWrap w:val="0"/>
            <w:vAlign w:val="center"/>
          </w:tcPr>
          <w:p w14:paraId="2A3FE1BB">
            <w:pPr>
              <w:keepNext/>
              <w:snapToGrid w:val="0"/>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产品</w:t>
            </w:r>
          </w:p>
          <w:p w14:paraId="4888A1BA">
            <w:pPr>
              <w:keepNext/>
              <w:snapToGrid w:val="0"/>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型号</w:t>
            </w:r>
          </w:p>
        </w:tc>
        <w:tc>
          <w:tcPr>
            <w:tcW w:w="2127" w:type="dxa"/>
            <w:noWrap w:val="0"/>
            <w:vAlign w:val="center"/>
          </w:tcPr>
          <w:p w14:paraId="669E1A1D">
            <w:pPr>
              <w:keepNext/>
              <w:snapToGrid w:val="0"/>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环境标志产品认证证书号</w:t>
            </w:r>
          </w:p>
        </w:tc>
        <w:tc>
          <w:tcPr>
            <w:tcW w:w="1984" w:type="dxa"/>
            <w:noWrap w:val="0"/>
            <w:vAlign w:val="center"/>
          </w:tcPr>
          <w:p w14:paraId="214B923C">
            <w:pPr>
              <w:keepNext/>
              <w:snapToGrid w:val="0"/>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认证证书</w:t>
            </w:r>
          </w:p>
          <w:p w14:paraId="673B918C">
            <w:pPr>
              <w:keepNext/>
              <w:snapToGrid w:val="0"/>
              <w:spacing w:line="260" w:lineRule="exact"/>
              <w:jc w:val="center"/>
              <w:rPr>
                <w:rFonts w:hint="eastAsia" w:ascii="宋体" w:hAnsi="宋体" w:cs="宋体"/>
                <w:color w:val="auto"/>
                <w:sz w:val="24"/>
                <w:highlight w:val="none"/>
              </w:rPr>
            </w:pPr>
            <w:r>
              <w:rPr>
                <w:rFonts w:hint="eastAsia" w:ascii="宋体" w:hAnsi="宋体" w:cs="宋体"/>
                <w:color w:val="auto"/>
                <w:sz w:val="24"/>
                <w:highlight w:val="none"/>
              </w:rPr>
              <w:t>有效截止日期</w:t>
            </w:r>
          </w:p>
        </w:tc>
      </w:tr>
      <w:tr w14:paraId="2072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87" w:type="dxa"/>
            <w:noWrap w:val="0"/>
            <w:vAlign w:val="top"/>
          </w:tcPr>
          <w:p w14:paraId="6DD4F8D8">
            <w:pPr>
              <w:keepNext/>
              <w:snapToGrid w:val="0"/>
              <w:spacing w:line="260" w:lineRule="exact"/>
              <w:jc w:val="center"/>
              <w:rPr>
                <w:rFonts w:hint="eastAsia" w:ascii="宋体" w:hAnsi="宋体" w:cs="宋体"/>
                <w:color w:val="auto"/>
                <w:sz w:val="24"/>
                <w:highlight w:val="none"/>
              </w:rPr>
            </w:pPr>
          </w:p>
        </w:tc>
        <w:tc>
          <w:tcPr>
            <w:tcW w:w="1080" w:type="dxa"/>
            <w:noWrap w:val="0"/>
            <w:vAlign w:val="top"/>
          </w:tcPr>
          <w:p w14:paraId="442482A1">
            <w:pPr>
              <w:keepNext/>
              <w:snapToGrid w:val="0"/>
              <w:spacing w:line="260" w:lineRule="exact"/>
              <w:jc w:val="center"/>
              <w:rPr>
                <w:rFonts w:hint="eastAsia" w:ascii="宋体" w:hAnsi="宋体" w:cs="宋体"/>
                <w:color w:val="auto"/>
                <w:sz w:val="24"/>
                <w:highlight w:val="none"/>
              </w:rPr>
            </w:pPr>
          </w:p>
        </w:tc>
        <w:tc>
          <w:tcPr>
            <w:tcW w:w="900" w:type="dxa"/>
            <w:noWrap w:val="0"/>
            <w:vAlign w:val="top"/>
          </w:tcPr>
          <w:p w14:paraId="6AD9F83B">
            <w:pPr>
              <w:keepNext/>
              <w:snapToGrid w:val="0"/>
              <w:spacing w:line="260" w:lineRule="exact"/>
              <w:jc w:val="center"/>
              <w:rPr>
                <w:rFonts w:hint="eastAsia" w:ascii="宋体" w:hAnsi="宋体" w:cs="宋体"/>
                <w:color w:val="auto"/>
                <w:sz w:val="24"/>
                <w:highlight w:val="none"/>
              </w:rPr>
            </w:pPr>
          </w:p>
        </w:tc>
        <w:tc>
          <w:tcPr>
            <w:tcW w:w="1010" w:type="dxa"/>
            <w:noWrap w:val="0"/>
            <w:vAlign w:val="top"/>
          </w:tcPr>
          <w:p w14:paraId="2266F341">
            <w:pPr>
              <w:keepNext/>
              <w:snapToGrid w:val="0"/>
              <w:spacing w:line="260" w:lineRule="exact"/>
              <w:jc w:val="center"/>
              <w:rPr>
                <w:rFonts w:hint="eastAsia" w:ascii="宋体" w:hAnsi="宋体" w:cs="宋体"/>
                <w:color w:val="auto"/>
                <w:sz w:val="24"/>
                <w:highlight w:val="none"/>
              </w:rPr>
            </w:pPr>
          </w:p>
        </w:tc>
        <w:tc>
          <w:tcPr>
            <w:tcW w:w="939" w:type="dxa"/>
            <w:noWrap w:val="0"/>
            <w:vAlign w:val="top"/>
          </w:tcPr>
          <w:p w14:paraId="79B9BF0E">
            <w:pPr>
              <w:keepNext/>
              <w:snapToGrid w:val="0"/>
              <w:spacing w:line="260" w:lineRule="exact"/>
              <w:jc w:val="center"/>
              <w:rPr>
                <w:rFonts w:hint="eastAsia" w:ascii="宋体" w:hAnsi="宋体" w:cs="宋体"/>
                <w:color w:val="auto"/>
                <w:sz w:val="24"/>
                <w:highlight w:val="none"/>
              </w:rPr>
            </w:pPr>
          </w:p>
        </w:tc>
        <w:tc>
          <w:tcPr>
            <w:tcW w:w="2127" w:type="dxa"/>
            <w:noWrap w:val="0"/>
            <w:vAlign w:val="top"/>
          </w:tcPr>
          <w:p w14:paraId="6CFC1BBC">
            <w:pPr>
              <w:keepNext/>
              <w:snapToGrid w:val="0"/>
              <w:spacing w:line="260" w:lineRule="exact"/>
              <w:jc w:val="center"/>
              <w:rPr>
                <w:rFonts w:hint="eastAsia" w:ascii="宋体" w:hAnsi="宋体" w:cs="宋体"/>
                <w:color w:val="auto"/>
                <w:sz w:val="24"/>
                <w:highlight w:val="none"/>
              </w:rPr>
            </w:pPr>
          </w:p>
        </w:tc>
        <w:tc>
          <w:tcPr>
            <w:tcW w:w="1984" w:type="dxa"/>
            <w:noWrap w:val="0"/>
            <w:vAlign w:val="top"/>
          </w:tcPr>
          <w:p w14:paraId="76C3C0E9">
            <w:pPr>
              <w:keepNext/>
              <w:snapToGrid w:val="0"/>
              <w:spacing w:line="260" w:lineRule="exact"/>
              <w:rPr>
                <w:rFonts w:hint="eastAsia" w:ascii="宋体" w:hAnsi="宋体" w:cs="宋体"/>
                <w:color w:val="auto"/>
                <w:sz w:val="24"/>
                <w:highlight w:val="none"/>
              </w:rPr>
            </w:pPr>
          </w:p>
        </w:tc>
      </w:tr>
      <w:tr w14:paraId="72FE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noWrap w:val="0"/>
            <w:vAlign w:val="top"/>
          </w:tcPr>
          <w:p w14:paraId="5E8B5983">
            <w:pPr>
              <w:keepNext/>
              <w:snapToGrid w:val="0"/>
              <w:spacing w:line="260" w:lineRule="exact"/>
              <w:jc w:val="center"/>
              <w:rPr>
                <w:rFonts w:hint="eastAsia" w:ascii="宋体" w:hAnsi="宋体" w:cs="宋体"/>
                <w:color w:val="auto"/>
                <w:sz w:val="24"/>
                <w:highlight w:val="none"/>
              </w:rPr>
            </w:pPr>
          </w:p>
        </w:tc>
        <w:tc>
          <w:tcPr>
            <w:tcW w:w="1080" w:type="dxa"/>
            <w:noWrap w:val="0"/>
            <w:vAlign w:val="top"/>
          </w:tcPr>
          <w:p w14:paraId="033DA821">
            <w:pPr>
              <w:keepNext/>
              <w:snapToGrid w:val="0"/>
              <w:spacing w:line="260" w:lineRule="exact"/>
              <w:jc w:val="center"/>
              <w:rPr>
                <w:rFonts w:hint="eastAsia" w:ascii="宋体" w:hAnsi="宋体" w:cs="宋体"/>
                <w:color w:val="auto"/>
                <w:sz w:val="24"/>
                <w:highlight w:val="none"/>
              </w:rPr>
            </w:pPr>
          </w:p>
        </w:tc>
        <w:tc>
          <w:tcPr>
            <w:tcW w:w="900" w:type="dxa"/>
            <w:noWrap w:val="0"/>
            <w:vAlign w:val="top"/>
          </w:tcPr>
          <w:p w14:paraId="2194B2EF">
            <w:pPr>
              <w:keepNext/>
              <w:snapToGrid w:val="0"/>
              <w:spacing w:line="260" w:lineRule="exact"/>
              <w:jc w:val="center"/>
              <w:rPr>
                <w:rFonts w:hint="eastAsia" w:ascii="宋体" w:hAnsi="宋体" w:cs="宋体"/>
                <w:color w:val="auto"/>
                <w:sz w:val="24"/>
                <w:highlight w:val="none"/>
              </w:rPr>
            </w:pPr>
          </w:p>
        </w:tc>
        <w:tc>
          <w:tcPr>
            <w:tcW w:w="1010" w:type="dxa"/>
            <w:noWrap w:val="0"/>
            <w:vAlign w:val="top"/>
          </w:tcPr>
          <w:p w14:paraId="13522A60">
            <w:pPr>
              <w:keepNext/>
              <w:snapToGrid w:val="0"/>
              <w:spacing w:line="260" w:lineRule="exact"/>
              <w:jc w:val="center"/>
              <w:rPr>
                <w:rFonts w:hint="eastAsia" w:ascii="宋体" w:hAnsi="宋体" w:cs="宋体"/>
                <w:color w:val="auto"/>
                <w:sz w:val="24"/>
                <w:highlight w:val="none"/>
              </w:rPr>
            </w:pPr>
          </w:p>
        </w:tc>
        <w:tc>
          <w:tcPr>
            <w:tcW w:w="939" w:type="dxa"/>
            <w:noWrap w:val="0"/>
            <w:vAlign w:val="top"/>
          </w:tcPr>
          <w:p w14:paraId="19A0CDF7">
            <w:pPr>
              <w:keepNext/>
              <w:snapToGrid w:val="0"/>
              <w:spacing w:line="260" w:lineRule="exact"/>
              <w:jc w:val="center"/>
              <w:rPr>
                <w:rFonts w:hint="eastAsia" w:ascii="宋体" w:hAnsi="宋体" w:cs="宋体"/>
                <w:color w:val="auto"/>
                <w:sz w:val="24"/>
                <w:highlight w:val="none"/>
              </w:rPr>
            </w:pPr>
          </w:p>
        </w:tc>
        <w:tc>
          <w:tcPr>
            <w:tcW w:w="2127" w:type="dxa"/>
            <w:noWrap w:val="0"/>
            <w:vAlign w:val="top"/>
          </w:tcPr>
          <w:p w14:paraId="2C0B9B64">
            <w:pPr>
              <w:keepNext/>
              <w:snapToGrid w:val="0"/>
              <w:spacing w:line="260" w:lineRule="exact"/>
              <w:jc w:val="center"/>
              <w:rPr>
                <w:rFonts w:hint="eastAsia" w:ascii="宋体" w:hAnsi="宋体" w:cs="宋体"/>
                <w:color w:val="auto"/>
                <w:sz w:val="24"/>
                <w:highlight w:val="none"/>
              </w:rPr>
            </w:pPr>
          </w:p>
        </w:tc>
        <w:tc>
          <w:tcPr>
            <w:tcW w:w="1984" w:type="dxa"/>
            <w:noWrap w:val="0"/>
            <w:vAlign w:val="top"/>
          </w:tcPr>
          <w:p w14:paraId="3B478033">
            <w:pPr>
              <w:keepNext/>
              <w:snapToGrid w:val="0"/>
              <w:spacing w:line="260" w:lineRule="exact"/>
              <w:rPr>
                <w:rFonts w:hint="eastAsia" w:ascii="宋体" w:hAnsi="宋体" w:cs="宋体"/>
                <w:color w:val="auto"/>
                <w:sz w:val="24"/>
                <w:highlight w:val="none"/>
              </w:rPr>
            </w:pPr>
          </w:p>
        </w:tc>
      </w:tr>
    </w:tbl>
    <w:p w14:paraId="498B41F5">
      <w:pPr>
        <w:spacing w:line="480" w:lineRule="exact"/>
        <w:ind w:firstLine="480" w:firstLineChars="200"/>
        <w:rPr>
          <w:rFonts w:hint="eastAsia" w:ascii="宋体" w:hAnsi="宋体" w:cs="宋体"/>
          <w:snapToGrid w:val="0"/>
          <w:color w:val="auto"/>
          <w:sz w:val="24"/>
          <w:highlight w:val="none"/>
        </w:rPr>
      </w:pPr>
      <w:r>
        <w:rPr>
          <w:rFonts w:hint="eastAsia" w:ascii="宋体" w:hAnsi="宋体" w:cs="宋体"/>
          <w:snapToGrid w:val="0"/>
          <w:color w:val="auto"/>
          <w:sz w:val="24"/>
          <w:highlight w:val="none"/>
        </w:rPr>
        <w:t>提供国家确定的认证机构出具的、处于有效期之内的环境标志产品认证证书的扫描件。</w:t>
      </w:r>
    </w:p>
    <w:p w14:paraId="48BCEFC1">
      <w:pPr>
        <w:pStyle w:val="31"/>
        <w:ind w:firstLine="643"/>
        <w:rPr>
          <w:rFonts w:hint="eastAsia" w:ascii="宋体" w:hAnsi="宋体" w:cs="宋体"/>
          <w:b/>
          <w:bCs/>
          <w:color w:val="auto"/>
          <w:sz w:val="32"/>
          <w:szCs w:val="32"/>
          <w:highlight w:val="none"/>
        </w:rPr>
      </w:pPr>
    </w:p>
    <w:p w14:paraId="0154F527">
      <w:pPr>
        <w:adjustRightInd w:val="0"/>
        <w:snapToGrid w:val="0"/>
        <w:spacing w:line="360" w:lineRule="auto"/>
        <w:jc w:val="center"/>
        <w:rPr>
          <w:rFonts w:hint="eastAsia" w:ascii="宋体" w:hAnsi="宋体" w:cs="宋体"/>
          <w:bCs/>
          <w:color w:val="auto"/>
          <w:sz w:val="24"/>
          <w:highlight w:val="none"/>
        </w:rPr>
      </w:pPr>
      <w:r>
        <w:rPr>
          <w:rFonts w:hint="eastAsia" w:ascii="宋体" w:hAnsi="宋体" w:cs="宋体"/>
          <w:b/>
          <w:bCs/>
          <w:color w:val="auto"/>
          <w:sz w:val="28"/>
          <w:szCs w:val="28"/>
          <w:highlight w:val="none"/>
        </w:rPr>
        <w:t>所投报的计算机预装正版操作系统，软件产品为正版软件</w:t>
      </w:r>
      <w:r>
        <w:rPr>
          <w:rFonts w:hint="eastAsia" w:ascii="宋体" w:hAnsi="宋体" w:cs="宋体"/>
          <w:b/>
          <w:color w:val="auto"/>
          <w:kern w:val="0"/>
          <w:sz w:val="28"/>
          <w:szCs w:val="28"/>
          <w:highlight w:val="none"/>
        </w:rPr>
        <w:t>（如适用）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435"/>
        <w:gridCol w:w="1275"/>
        <w:gridCol w:w="1418"/>
        <w:gridCol w:w="1559"/>
        <w:gridCol w:w="2673"/>
      </w:tblGrid>
      <w:tr w14:paraId="3638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5F06DB72">
            <w:pPr>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DC87D86">
            <w:pPr>
              <w:snapToGrid w:val="0"/>
              <w:jc w:val="center"/>
              <w:rPr>
                <w:rFonts w:hint="eastAsia" w:ascii="宋体" w:hAnsi="宋体" w:cs="宋体"/>
                <w:color w:val="auto"/>
                <w:sz w:val="24"/>
                <w:highlight w:val="none"/>
              </w:rPr>
            </w:pPr>
            <w:r>
              <w:rPr>
                <w:rFonts w:hint="eastAsia" w:ascii="宋体" w:hAnsi="宋体" w:cs="宋体"/>
                <w:color w:val="auto"/>
                <w:sz w:val="24"/>
                <w:highlight w:val="none"/>
              </w:rPr>
              <w:t>软件名称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431939B">
            <w:pPr>
              <w:snapToGrid w:val="0"/>
              <w:jc w:val="center"/>
              <w:rPr>
                <w:rFonts w:hint="eastAsia" w:ascii="宋体" w:hAnsi="宋体" w:cs="宋体"/>
                <w:color w:val="auto"/>
                <w:sz w:val="24"/>
                <w:highlight w:val="none"/>
              </w:rPr>
            </w:pPr>
            <w:r>
              <w:rPr>
                <w:rFonts w:hint="eastAsia" w:ascii="宋体" w:hAnsi="宋体" w:cs="宋体"/>
                <w:color w:val="auto"/>
                <w:sz w:val="24"/>
                <w:highlight w:val="none"/>
              </w:rPr>
              <w:t>开发商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3F70FC9">
            <w:pPr>
              <w:snapToGrid w:val="0"/>
              <w:jc w:val="center"/>
              <w:rPr>
                <w:rFonts w:hint="eastAsia" w:ascii="宋体" w:hAnsi="宋体" w:cs="宋体"/>
                <w:color w:val="auto"/>
                <w:sz w:val="24"/>
                <w:highlight w:val="none"/>
              </w:rPr>
            </w:pPr>
            <w:r>
              <w:rPr>
                <w:rFonts w:hint="eastAsia" w:ascii="宋体" w:hAnsi="宋体" w:cs="宋体"/>
                <w:color w:val="auto"/>
                <w:sz w:val="24"/>
                <w:highlight w:val="none"/>
              </w:rPr>
              <w:t>注册商标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9F8B84F">
            <w:pPr>
              <w:snapToGrid w:val="0"/>
              <w:jc w:val="center"/>
              <w:rPr>
                <w:rFonts w:hint="eastAsia" w:ascii="宋体" w:hAnsi="宋体" w:cs="宋体"/>
                <w:color w:val="auto"/>
                <w:sz w:val="24"/>
                <w:highlight w:val="none"/>
              </w:rPr>
            </w:pPr>
            <w:r>
              <w:rPr>
                <w:rFonts w:hint="eastAsia" w:ascii="宋体" w:hAnsi="宋体" w:cs="宋体"/>
                <w:color w:val="auto"/>
                <w:sz w:val="24"/>
                <w:highlight w:val="none"/>
              </w:rPr>
              <w:t>版本号</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758C2A83">
            <w:pPr>
              <w:snapToGrid w:val="0"/>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1BEC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143C98FA">
            <w:pPr>
              <w:snapToGrid w:val="0"/>
              <w:jc w:val="center"/>
              <w:rPr>
                <w:rFonts w:hint="eastAsia" w:ascii="宋体" w:hAnsi="宋体" w:cs="宋体"/>
                <w:color w:val="auto"/>
                <w:sz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top"/>
          </w:tcPr>
          <w:p w14:paraId="241F5A00">
            <w:pPr>
              <w:snapToGrid w:val="0"/>
              <w:jc w:val="center"/>
              <w:rPr>
                <w:rFonts w:hint="eastAsia" w:ascii="宋体" w:hAnsi="宋体" w:cs="宋体"/>
                <w:color w:val="auto"/>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FFD6EC6">
            <w:pPr>
              <w:snapToGrid w:val="0"/>
              <w:jc w:val="center"/>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760185D">
            <w:pPr>
              <w:snapToGrid w:val="0"/>
              <w:jc w:val="center"/>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526F180">
            <w:pPr>
              <w:snapToGrid w:val="0"/>
              <w:jc w:val="center"/>
              <w:rPr>
                <w:rFonts w:hint="eastAsia" w:ascii="宋体" w:hAnsi="宋体" w:cs="宋体"/>
                <w:color w:val="auto"/>
                <w:sz w:val="24"/>
                <w:highlight w:val="none"/>
              </w:rPr>
            </w:pPr>
          </w:p>
        </w:tc>
        <w:tc>
          <w:tcPr>
            <w:tcW w:w="2673" w:type="dxa"/>
            <w:tcBorders>
              <w:top w:val="single" w:color="auto" w:sz="4" w:space="0"/>
              <w:left w:val="single" w:color="auto" w:sz="4" w:space="0"/>
              <w:bottom w:val="single" w:color="auto" w:sz="4" w:space="0"/>
              <w:right w:val="single" w:color="auto" w:sz="4" w:space="0"/>
            </w:tcBorders>
            <w:noWrap w:val="0"/>
            <w:vAlign w:val="top"/>
          </w:tcPr>
          <w:p w14:paraId="22497493">
            <w:pPr>
              <w:snapToGrid w:val="0"/>
              <w:rPr>
                <w:rFonts w:hint="eastAsia" w:ascii="宋体" w:hAnsi="宋体" w:cs="宋体"/>
                <w:color w:val="auto"/>
                <w:sz w:val="24"/>
                <w:highlight w:val="none"/>
              </w:rPr>
            </w:pPr>
          </w:p>
        </w:tc>
      </w:tr>
      <w:tr w14:paraId="0ED4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69A85ACF">
            <w:pPr>
              <w:snapToGrid w:val="0"/>
              <w:jc w:val="center"/>
              <w:rPr>
                <w:rFonts w:hint="eastAsia" w:ascii="宋体" w:hAnsi="宋体" w:cs="宋体"/>
                <w:color w:val="auto"/>
                <w:sz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top"/>
          </w:tcPr>
          <w:p w14:paraId="592B324A">
            <w:pPr>
              <w:snapToGrid w:val="0"/>
              <w:jc w:val="center"/>
              <w:rPr>
                <w:rFonts w:hint="eastAsia" w:ascii="宋体" w:hAnsi="宋体" w:cs="宋体"/>
                <w:color w:val="auto"/>
                <w:sz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7CEC48F">
            <w:pPr>
              <w:snapToGrid w:val="0"/>
              <w:jc w:val="center"/>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4AD7834">
            <w:pPr>
              <w:snapToGrid w:val="0"/>
              <w:jc w:val="center"/>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763FDDC">
            <w:pPr>
              <w:snapToGrid w:val="0"/>
              <w:jc w:val="center"/>
              <w:rPr>
                <w:rFonts w:hint="eastAsia" w:ascii="宋体" w:hAnsi="宋体" w:cs="宋体"/>
                <w:color w:val="auto"/>
                <w:sz w:val="24"/>
                <w:highlight w:val="none"/>
              </w:rPr>
            </w:pPr>
          </w:p>
        </w:tc>
        <w:tc>
          <w:tcPr>
            <w:tcW w:w="2673" w:type="dxa"/>
            <w:tcBorders>
              <w:top w:val="single" w:color="auto" w:sz="4" w:space="0"/>
              <w:left w:val="single" w:color="auto" w:sz="4" w:space="0"/>
              <w:bottom w:val="single" w:color="auto" w:sz="4" w:space="0"/>
              <w:right w:val="single" w:color="auto" w:sz="4" w:space="0"/>
            </w:tcBorders>
            <w:noWrap w:val="0"/>
            <w:vAlign w:val="top"/>
          </w:tcPr>
          <w:p w14:paraId="39D32924">
            <w:pPr>
              <w:snapToGrid w:val="0"/>
              <w:rPr>
                <w:rFonts w:hint="eastAsia" w:ascii="宋体" w:hAnsi="宋体" w:cs="宋体"/>
                <w:color w:val="auto"/>
                <w:sz w:val="24"/>
                <w:highlight w:val="none"/>
              </w:rPr>
            </w:pPr>
          </w:p>
        </w:tc>
      </w:tr>
    </w:tbl>
    <w:p w14:paraId="1CB521FE">
      <w:pPr>
        <w:adjustRightInd w:val="0"/>
        <w:snapToGrid w:val="0"/>
        <w:spacing w:line="360" w:lineRule="auto"/>
        <w:jc w:val="center"/>
        <w:rPr>
          <w:rFonts w:hint="eastAsia" w:ascii="宋体" w:hAnsi="宋体" w:cs="宋体"/>
          <w:b/>
          <w:bCs/>
          <w:color w:val="auto"/>
          <w:sz w:val="28"/>
          <w:szCs w:val="28"/>
          <w:highlight w:val="none"/>
        </w:rPr>
      </w:pPr>
    </w:p>
    <w:p w14:paraId="7B211620">
      <w:pPr>
        <w:adjustRightInd w:val="0"/>
        <w:snapToGrid w:val="0"/>
        <w:spacing w:line="360" w:lineRule="auto"/>
        <w:jc w:val="center"/>
        <w:rPr>
          <w:rFonts w:hint="eastAsia" w:ascii="宋体" w:hAnsi="宋体" w:cs="宋体"/>
          <w:bCs/>
          <w:color w:val="auto"/>
          <w:sz w:val="24"/>
          <w:highlight w:val="none"/>
        </w:rPr>
      </w:pPr>
      <w:r>
        <w:rPr>
          <w:rFonts w:hint="eastAsia" w:ascii="宋体" w:hAnsi="宋体" w:cs="宋体"/>
          <w:b/>
          <w:bCs/>
          <w:color w:val="auto"/>
          <w:sz w:val="28"/>
          <w:szCs w:val="28"/>
          <w:highlight w:val="none"/>
        </w:rPr>
        <w:t>山西省创新产品和服务推荐清单（如适用）</w:t>
      </w:r>
    </w:p>
    <w:tbl>
      <w:tblPr>
        <w:tblStyle w:val="33"/>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45"/>
        <w:gridCol w:w="1284"/>
        <w:gridCol w:w="1141"/>
        <w:gridCol w:w="1283"/>
        <w:gridCol w:w="1854"/>
        <w:gridCol w:w="1605"/>
      </w:tblGrid>
      <w:tr w14:paraId="6B21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754B8019">
            <w:pPr>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139246A">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产品名称</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3A2B4823">
            <w:pPr>
              <w:snapToGrid w:val="0"/>
              <w:jc w:val="center"/>
              <w:rPr>
                <w:rFonts w:hint="eastAsia" w:ascii="宋体" w:hAnsi="宋体" w:cs="宋体"/>
                <w:color w:val="auto"/>
                <w:sz w:val="24"/>
                <w:highlight w:val="none"/>
              </w:rPr>
            </w:pPr>
            <w:r>
              <w:rPr>
                <w:rFonts w:hint="eastAsia" w:ascii="宋体" w:hAnsi="宋体" w:cs="宋体"/>
                <w:color w:val="auto"/>
                <w:sz w:val="24"/>
                <w:highlight w:val="none"/>
              </w:rPr>
              <w:t>制造商</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3FADC468">
            <w:pPr>
              <w:snapToGrid w:val="0"/>
              <w:jc w:val="center"/>
              <w:rPr>
                <w:rFonts w:hint="eastAsia" w:ascii="宋体" w:hAnsi="宋体" w:cs="宋体"/>
                <w:color w:val="auto"/>
                <w:sz w:val="24"/>
                <w:highlight w:val="none"/>
              </w:rPr>
            </w:pPr>
            <w:r>
              <w:rPr>
                <w:rFonts w:hint="eastAsia" w:ascii="宋体" w:hAnsi="宋体" w:cs="宋体"/>
                <w:color w:val="auto"/>
                <w:sz w:val="24"/>
                <w:highlight w:val="none"/>
              </w:rPr>
              <w:t>注册商标</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76A45432">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产品型号</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2DE1C83E">
            <w:pPr>
              <w:snapToGrid w:val="0"/>
              <w:jc w:val="center"/>
              <w:rPr>
                <w:rFonts w:hint="eastAsia" w:ascii="宋体" w:hAnsi="宋体" w:cs="宋体"/>
                <w:color w:val="auto"/>
                <w:sz w:val="24"/>
                <w:highlight w:val="none"/>
              </w:rPr>
            </w:pPr>
            <w:r>
              <w:rPr>
                <w:rFonts w:hint="eastAsia" w:ascii="宋体" w:hAnsi="宋体" w:cs="宋体"/>
                <w:color w:val="auto"/>
                <w:sz w:val="24"/>
                <w:highlight w:val="none"/>
              </w:rPr>
              <w:t>认证证书证书号</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6732566">
            <w:pPr>
              <w:snapToGrid w:val="0"/>
              <w:jc w:val="center"/>
              <w:rPr>
                <w:rFonts w:hint="eastAsia" w:ascii="宋体" w:hAnsi="宋体" w:cs="宋体"/>
                <w:color w:val="auto"/>
                <w:sz w:val="24"/>
                <w:highlight w:val="none"/>
              </w:rPr>
            </w:pPr>
            <w:r>
              <w:rPr>
                <w:rFonts w:hint="eastAsia" w:ascii="宋体" w:hAnsi="宋体" w:cs="宋体"/>
                <w:color w:val="auto"/>
                <w:sz w:val="24"/>
                <w:highlight w:val="none"/>
              </w:rPr>
              <w:t>认证证书</w:t>
            </w:r>
          </w:p>
          <w:p w14:paraId="6173378F">
            <w:pPr>
              <w:snapToGrid w:val="0"/>
              <w:jc w:val="center"/>
              <w:rPr>
                <w:rFonts w:hint="eastAsia" w:ascii="宋体" w:hAnsi="宋体" w:cs="宋体"/>
                <w:color w:val="auto"/>
                <w:sz w:val="24"/>
                <w:highlight w:val="none"/>
              </w:rPr>
            </w:pPr>
            <w:r>
              <w:rPr>
                <w:rFonts w:hint="eastAsia" w:ascii="宋体" w:hAnsi="宋体" w:cs="宋体"/>
                <w:color w:val="auto"/>
                <w:sz w:val="24"/>
                <w:highlight w:val="none"/>
              </w:rPr>
              <w:t>有效截止日期</w:t>
            </w:r>
          </w:p>
        </w:tc>
      </w:tr>
      <w:tr w14:paraId="4CE1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top"/>
          </w:tcPr>
          <w:p w14:paraId="5EF2EBEB">
            <w:pPr>
              <w:snapToGrid w:val="0"/>
              <w:jc w:val="center"/>
              <w:rPr>
                <w:rFonts w:hint="eastAsia"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5A816560">
            <w:pPr>
              <w:snapToGrid w:val="0"/>
              <w:jc w:val="center"/>
              <w:rPr>
                <w:rFonts w:hint="eastAsia" w:ascii="宋体" w:hAnsi="宋体" w:cs="宋体"/>
                <w:color w:val="auto"/>
                <w:sz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top"/>
          </w:tcPr>
          <w:p w14:paraId="3C1469AC">
            <w:pPr>
              <w:snapToGrid w:val="0"/>
              <w:jc w:val="center"/>
              <w:rPr>
                <w:rFonts w:hint="eastAsia" w:ascii="宋体" w:hAnsi="宋体" w:cs="宋体"/>
                <w:color w:val="auto"/>
                <w:sz w:val="24"/>
                <w:highlight w:val="none"/>
              </w:rPr>
            </w:pPr>
          </w:p>
        </w:tc>
        <w:tc>
          <w:tcPr>
            <w:tcW w:w="1141" w:type="dxa"/>
            <w:tcBorders>
              <w:top w:val="single" w:color="auto" w:sz="4" w:space="0"/>
              <w:left w:val="single" w:color="auto" w:sz="4" w:space="0"/>
              <w:bottom w:val="single" w:color="auto" w:sz="4" w:space="0"/>
              <w:right w:val="single" w:color="auto" w:sz="4" w:space="0"/>
            </w:tcBorders>
            <w:noWrap w:val="0"/>
            <w:vAlign w:val="top"/>
          </w:tcPr>
          <w:p w14:paraId="2345C11B">
            <w:pPr>
              <w:snapToGrid w:val="0"/>
              <w:jc w:val="center"/>
              <w:rPr>
                <w:rFonts w:hint="eastAsia" w:ascii="宋体" w:hAnsi="宋体" w:cs="宋体"/>
                <w:color w:val="auto"/>
                <w:sz w:val="24"/>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top"/>
          </w:tcPr>
          <w:p w14:paraId="454D1826">
            <w:pPr>
              <w:snapToGrid w:val="0"/>
              <w:jc w:val="center"/>
              <w:rPr>
                <w:rFonts w:hint="eastAsia"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0E182738">
            <w:pPr>
              <w:snapToGrid w:val="0"/>
              <w:jc w:val="center"/>
              <w:rPr>
                <w:rFonts w:hint="eastAsia" w:ascii="宋体" w:hAnsi="宋体" w:cs="宋体"/>
                <w:color w:val="auto"/>
                <w:sz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398C4561">
            <w:pPr>
              <w:snapToGrid w:val="0"/>
              <w:rPr>
                <w:rFonts w:hint="eastAsia" w:ascii="宋体" w:hAnsi="宋体" w:cs="宋体"/>
                <w:color w:val="auto"/>
                <w:sz w:val="24"/>
                <w:highlight w:val="none"/>
              </w:rPr>
            </w:pPr>
          </w:p>
        </w:tc>
      </w:tr>
      <w:tr w14:paraId="0931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top"/>
          </w:tcPr>
          <w:p w14:paraId="106359E0">
            <w:pPr>
              <w:snapToGrid w:val="0"/>
              <w:jc w:val="center"/>
              <w:rPr>
                <w:rFonts w:hint="eastAsia"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70AF7172">
            <w:pPr>
              <w:snapToGrid w:val="0"/>
              <w:jc w:val="center"/>
              <w:rPr>
                <w:rFonts w:hint="eastAsia" w:ascii="宋体" w:hAnsi="宋体" w:cs="宋体"/>
                <w:color w:val="auto"/>
                <w:sz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top"/>
          </w:tcPr>
          <w:p w14:paraId="3F4452F4">
            <w:pPr>
              <w:snapToGrid w:val="0"/>
              <w:jc w:val="center"/>
              <w:rPr>
                <w:rFonts w:hint="eastAsia" w:ascii="宋体" w:hAnsi="宋体" w:cs="宋体"/>
                <w:color w:val="auto"/>
                <w:sz w:val="24"/>
                <w:highlight w:val="none"/>
              </w:rPr>
            </w:pPr>
          </w:p>
        </w:tc>
        <w:tc>
          <w:tcPr>
            <w:tcW w:w="1141" w:type="dxa"/>
            <w:tcBorders>
              <w:top w:val="single" w:color="auto" w:sz="4" w:space="0"/>
              <w:left w:val="single" w:color="auto" w:sz="4" w:space="0"/>
              <w:bottom w:val="single" w:color="auto" w:sz="4" w:space="0"/>
              <w:right w:val="single" w:color="auto" w:sz="4" w:space="0"/>
            </w:tcBorders>
            <w:noWrap w:val="0"/>
            <w:vAlign w:val="top"/>
          </w:tcPr>
          <w:p w14:paraId="04AB6412">
            <w:pPr>
              <w:snapToGrid w:val="0"/>
              <w:jc w:val="center"/>
              <w:rPr>
                <w:rFonts w:hint="eastAsia" w:ascii="宋体" w:hAnsi="宋体" w:cs="宋体"/>
                <w:color w:val="auto"/>
                <w:sz w:val="24"/>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top"/>
          </w:tcPr>
          <w:p w14:paraId="0BC8D6BE">
            <w:pPr>
              <w:snapToGrid w:val="0"/>
              <w:jc w:val="center"/>
              <w:rPr>
                <w:rFonts w:hint="eastAsia"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19926A82">
            <w:pPr>
              <w:snapToGrid w:val="0"/>
              <w:jc w:val="center"/>
              <w:rPr>
                <w:rFonts w:hint="eastAsia" w:ascii="宋体" w:hAnsi="宋体" w:cs="宋体"/>
                <w:color w:val="auto"/>
                <w:sz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041208DF">
            <w:pPr>
              <w:snapToGrid w:val="0"/>
              <w:rPr>
                <w:rFonts w:hint="eastAsia" w:ascii="宋体" w:hAnsi="宋体" w:cs="宋体"/>
                <w:color w:val="auto"/>
                <w:sz w:val="24"/>
                <w:highlight w:val="none"/>
              </w:rPr>
            </w:pPr>
          </w:p>
        </w:tc>
      </w:tr>
    </w:tbl>
    <w:p w14:paraId="2EB4E79C">
      <w:pPr>
        <w:spacing w:line="360" w:lineRule="auto"/>
        <w:jc w:val="both"/>
        <w:rPr>
          <w:rFonts w:hint="default" w:ascii="宋体" w:hAnsi="宋体" w:cs="宋体"/>
          <w:b/>
          <w:bCs/>
          <w:color w:val="auto"/>
          <w:sz w:val="24"/>
          <w:szCs w:val="24"/>
          <w:lang w:val="en-US" w:eastAsia="zh-CN"/>
        </w:rPr>
      </w:pPr>
      <w:r>
        <w:rPr>
          <w:rFonts w:hint="eastAsia" w:ascii="宋体" w:hAnsi="宋体" w:cs="宋体"/>
          <w:snapToGrid w:val="0"/>
          <w:color w:val="auto"/>
          <w:sz w:val="24"/>
          <w:highlight w:val="none"/>
        </w:rPr>
        <w:t>提供有效证明文件的扫描件。</w:t>
      </w:r>
    </w:p>
    <w:p w14:paraId="040CF8A7">
      <w:pPr>
        <w:widowControl/>
        <w:snapToGrid w:val="0"/>
        <w:spacing w:line="400" w:lineRule="exact"/>
        <w:rPr>
          <w:rFonts w:ascii="宋体" w:hAnsi="宋体" w:cs="宋体"/>
          <w:color w:val="auto"/>
          <w:sz w:val="24"/>
          <w:szCs w:val="24"/>
        </w:rPr>
      </w:pPr>
    </w:p>
    <w:sectPr>
      <w:footerReference r:id="rId14" w:type="first"/>
      <w:footerReference r:id="rId12" w:type="default"/>
      <w:footerReference r:id="rId13" w:type="even"/>
      <w:pgSz w:w="11907" w:h="16840"/>
      <w:pgMar w:top="1440" w:right="1080" w:bottom="1440" w:left="1080" w:header="850" w:footer="850" w:gutter="0"/>
      <w:pgBorders>
        <w:top w:val="none" w:sz="0" w:space="0"/>
        <w:left w:val="none" w:sz="0" w:space="0"/>
        <w:bottom w:val="none" w:sz="0" w:space="0"/>
        <w:right w:val="none" w:sz="0" w:space="0"/>
      </w:pgBorders>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书宋_GBK">
    <w:altName w:val="黑体"/>
    <w:panose1 w:val="00000000000000000000"/>
    <w:charset w:val="86"/>
    <w:family w:val="script"/>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ontAwesome">
    <w:panose1 w:val="00000000000000000000"/>
    <w:charset w:val="00"/>
    <w:family w:val="auto"/>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7123">
    <w:pPr>
      <w:pStyle w:val="19"/>
      <w:widowControl w:val="0"/>
      <w:pBdr>
        <w:top w:val="none" w:color="000000" w:sz="0" w:space="9"/>
        <w:left w:val="none" w:color="auto" w:sz="0" w:space="4"/>
        <w:bottom w:val="none" w:color="auto" w:sz="0" w:space="1"/>
        <w:right w:val="none" w:color="auto" w:sz="0" w:space="4"/>
        <w:between w:val="none" w:color="auto" w:sz="0" w:space="0"/>
      </w:pBdr>
      <w:snapToGrid w:val="0"/>
      <w:rPr>
        <w:rFonts w:hint="default" w:eastAsia="宋体"/>
        <w:sz w:val="21"/>
        <w:szCs w:val="21"/>
        <w:lang w:val="en-US" w:eastAsia="zh-CN"/>
      </w:rPr>
    </w:pPr>
    <w:r>
      <w:rPr>
        <w:rFonts w:hint="eastAsia"/>
        <w:sz w:val="21"/>
        <w:szCs w:val="21"/>
        <w:lang w:val="en-US" w:eastAsia="zh-CN"/>
      </w:rPr>
      <w:t>山西蒙鸿招标代理有限公司 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183DB">
    <w:pPr>
      <w:pStyle w:val="19"/>
      <w:rPr>
        <w:rFonts w:hint="eastAsia" w:eastAsia="宋体"/>
        <w:lang w:eastAsia="zh-CN"/>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8309D23">
                          <w:pPr>
                            <w:pStyle w:val="19"/>
                          </w:pPr>
                          <w:r>
                            <w:rPr>
                              <w:rFonts w:hint="eastAsia"/>
                            </w:rPr>
                            <w:t xml:space="preserve">第 </w:t>
                          </w:r>
                          <w:r>
                            <w:rPr>
                              <w:rFonts w:hint="eastAsia"/>
                            </w:rPr>
                            <w:fldChar w:fldCharType="begin"/>
                          </w:r>
                          <w:r>
                            <w:instrText xml:space="preserve"> PAGE  \* MERGEFORMAT </w:instrText>
                          </w:r>
                          <w:r>
                            <w:rPr>
                              <w:rFonts w:hint="eastAsia"/>
                            </w:rPr>
                            <w:fldChar w:fldCharType="separate"/>
                          </w:r>
                          <w:r>
                            <w:t>5</w:t>
                          </w:r>
                          <w:r>
                            <w:rPr>
                              <w:rFonts w:hint="eastAsia"/>
                            </w:rP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13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csrebuEBAAC/AwAA&#10;DgAAAAAAAAABACAAAAAiAQAAZHJzL2Uyb0RvYy54bWxQSwUGAAAAAAYABgBZAQAAdQUAAAAA&#10;">
              <v:fill on="f" focussize="0,0"/>
              <v:stroke on="f" weight="1.25pt"/>
              <v:imagedata o:title=""/>
              <o:lock v:ext="edit" aspectratio="f"/>
              <v:textbox inset="0mm,0mm,0mm,0mm" style="mso-fit-shape-to-text:t;">
                <w:txbxContent>
                  <w:p w14:paraId="68309D23">
                    <w:pPr>
                      <w:pStyle w:val="19"/>
                    </w:pPr>
                    <w:r>
                      <w:rPr>
                        <w:rFonts w:hint="eastAsia"/>
                      </w:rPr>
                      <w:t xml:space="preserve">第 </w:t>
                    </w:r>
                    <w:r>
                      <w:rPr>
                        <w:rFonts w:hint="eastAsia"/>
                      </w:rPr>
                      <w:fldChar w:fldCharType="begin"/>
                    </w:r>
                    <w:r>
                      <w:instrText xml:space="preserve"> PAGE  \* MERGEFORMAT </w:instrText>
                    </w:r>
                    <w:r>
                      <w:rPr>
                        <w:rFonts w:hint="eastAsia"/>
                      </w:rPr>
                      <w:fldChar w:fldCharType="separate"/>
                    </w:r>
                    <w:r>
                      <w:t>5</w:t>
                    </w:r>
                    <w:r>
                      <w:rPr>
                        <w:rFonts w:hint="eastAsia"/>
                      </w:rPr>
                      <w:fldChar w:fldCharType="end"/>
                    </w:r>
                    <w:r>
                      <w:rPr>
                        <w:rFonts w:hint="eastAsia"/>
                      </w:rPr>
                      <w:t xml:space="preserve"> 页</w:t>
                    </w:r>
                  </w:p>
                </w:txbxContent>
              </v:textbox>
            </v:shape>
          </w:pict>
        </mc:Fallback>
      </mc:AlternateContent>
    </w:r>
    <w:r>
      <w:rPr>
        <w:rFonts w:hint="eastAsia" w:ascii="宋体" w:hAnsi="宋体" w:cs="宋体"/>
        <w:sz w:val="24"/>
        <w:lang w:eastAsia="zh-CN"/>
      </w:rPr>
      <w:t>山西蒙鸿招标代理有限公司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51564">
    <w:pPr>
      <w:pStyle w:val="19"/>
      <w:widowControl w:val="0"/>
      <w:pBdr>
        <w:top w:val="none" w:color="000000" w:sz="0" w:space="9"/>
        <w:left w:val="none" w:color="auto" w:sz="0" w:space="4"/>
        <w:bottom w:val="none" w:color="auto" w:sz="0" w:space="1"/>
        <w:right w:val="none" w:color="auto" w:sz="0" w:space="4"/>
        <w:between w:val="none" w:color="auto" w:sz="0" w:space="0"/>
      </w:pBdr>
      <w:snapToGrid w:val="0"/>
      <w:rPr>
        <w:sz w:val="21"/>
        <w:szCs w:val="21"/>
      </w:rPr>
    </w:pPr>
    <w:r>
      <w:rPr>
        <w:rFonts w:hint="eastAsia"/>
        <w:sz w:val="21"/>
        <w:szCs w:val="21"/>
        <w:lang w:val="en-US" w:eastAsia="zh-CN"/>
      </w:rPr>
      <w:t>山西蒙鸿招标代理有限公司 编制</w:t>
    </w: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15F1A">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EF15F1A">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22F43">
    <w:pPr>
      <w:pStyle w:val="19"/>
      <w:rPr>
        <w:rFonts w:hint="default"/>
        <w:lang w:val="en-US"/>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2979A">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612979A">
                    <w:pPr>
                      <w:pStyle w:val="19"/>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val="en-US" w:eastAsia="zh-CN"/>
      </w:rPr>
      <w:t>山西蒙鸿招标代理有限公司  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B70DC">
    <w:pPr>
      <w:pStyle w:val="19"/>
      <w:rPr>
        <w:rFonts w:hint="eastAsia"/>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10C0E">
                          <w:pPr>
                            <w:pStyle w:val="19"/>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1D10C0E">
                    <w:pPr>
                      <w:pStyle w:val="19"/>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lang w:val="en-US" w:eastAsia="zh-CN"/>
      </w:rPr>
      <w:t>山西蒙鸿招标代理有限公司  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C19A6">
    <w:pPr>
      <w:pStyle w:val="19"/>
      <w:rPr>
        <w:rFonts w:hint="eastAsia"/>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51685">
                          <w:pPr>
                            <w:pStyle w:val="1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7451685">
                    <w:pPr>
                      <w:pStyle w:val="19"/>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lang w:val="en-US" w:eastAsia="zh-CN"/>
      </w:rPr>
      <w:t>山西蒙鸿招标代理有限公司  编制</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70DA4">
    <w:pPr>
      <w:pStyle w:val="19"/>
      <w:rPr>
        <w:rFonts w:hint="eastAsia"/>
        <w:lang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C9174">
                          <w:pPr>
                            <w:pStyle w:val="19"/>
                          </w:pPr>
                          <w:r>
                            <w:fldChar w:fldCharType="begin"/>
                          </w:r>
                          <w:r>
                            <w:instrText xml:space="preserve"> PAGE  \* MERGEFORMAT </w:instrText>
                          </w:r>
                          <w:r>
                            <w:fldChar w:fldCharType="separate"/>
                          </w:r>
                          <w:r>
                            <w:t>- 64 -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02C9174">
                    <w:pPr>
                      <w:pStyle w:val="19"/>
                    </w:pPr>
                    <w:r>
                      <w:fldChar w:fldCharType="begin"/>
                    </w:r>
                    <w:r>
                      <w:instrText xml:space="preserve"> PAGE  \* MERGEFORMAT </w:instrText>
                    </w:r>
                    <w:r>
                      <w:fldChar w:fldCharType="separate"/>
                    </w:r>
                    <w:r>
                      <w:t>- 64 -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D3F4D">
    <w:pPr>
      <w:pStyle w:val="19"/>
      <w:rPr>
        <w:rFonts w:hint="eastAsia" w:eastAsia="宋体"/>
        <w:sz w:val="21"/>
        <w:szCs w:val="21"/>
        <w:lang w:eastAsia="zh-CN"/>
      </w:rPr>
    </w:pPr>
    <w:r>
      <w:rPr>
        <w:sz w:val="3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0BB92DD">
                          <w:pPr>
                            <w:pStyle w:val="19"/>
                          </w:pPr>
                          <w:r>
                            <w:rPr>
                              <w:rFonts w:hint="eastAsia"/>
                            </w:rPr>
                            <w:t>第 67页</w:t>
                          </w:r>
                        </w:p>
                      </w:txbxContent>
                    </wps:txbx>
                    <wps:bodyPr vert="horz" wrap="none" lIns="0" tIns="0" rIns="0" bIns="0" anchor="t">
                      <a:spAutoFit/>
                    </wps:bodyPr>
                  </wps:wsp>
                </a:graphicData>
              </a:graphic>
            </wp:anchor>
          </w:drawing>
        </mc:Choice>
        <mc:Fallback>
          <w:pict>
            <v:shape id="文本框 14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Co9/n34AEAAL8DAAAO&#10;AAAAAAAAAAEAIAAAACIBAABkcnMvZTJvRG9jLnhtbFBLBQYAAAAABgAGAFkBAAB0BQAAAAA=&#10;">
              <v:fill on="f" focussize="0,0"/>
              <v:stroke on="f" weight="1.25pt"/>
              <v:imagedata o:title=""/>
              <o:lock v:ext="edit" aspectratio="f"/>
              <v:textbox inset="0mm,0mm,0mm,0mm" style="mso-fit-shape-to-text:t;">
                <w:txbxContent>
                  <w:p w14:paraId="50BB92DD">
                    <w:pPr>
                      <w:pStyle w:val="19"/>
                    </w:pPr>
                    <w:r>
                      <w:rPr>
                        <w:rFonts w:hint="eastAsia"/>
                      </w:rPr>
                      <w:t>第 67页</w:t>
                    </w:r>
                  </w:p>
                </w:txbxContent>
              </v:textbox>
            </v:shape>
          </w:pict>
        </mc:Fallback>
      </mc:AlternateContent>
    </w:r>
    <w:r>
      <w:rPr>
        <w:sz w:val="3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5C33F74"/>
                      </w:txbxContent>
                    </wps:txbx>
                    <wps:bodyPr vert="horz" wrap="none" lIns="0" tIns="0" rIns="0" bIns="0" anchor="t">
                      <a:spAutoFit/>
                    </wps:bodyPr>
                  </wps:wsp>
                </a:graphicData>
              </a:graphic>
            </wp:anchor>
          </w:drawing>
        </mc:Choice>
        <mc:Fallback>
          <w:pict>
            <v:shape id="文本框 1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DoHz+H4AEAAL8DAAAO&#10;AAAAAAAAAAEAIAAAACIBAABkcnMvZTJvRG9jLnhtbFBLBQYAAAAABgAGAFkBAAB0BQAAAAA=&#10;">
              <v:fill on="f" focussize="0,0"/>
              <v:stroke on="f" weight="1.25pt"/>
              <v:imagedata o:title=""/>
              <o:lock v:ext="edit" aspectratio="f"/>
              <v:textbox inset="0mm,0mm,0mm,0mm" style="mso-fit-shape-to-text:t;">
                <w:txbxContent>
                  <w:p w14:paraId="75C33F74"/>
                </w:txbxContent>
              </v:textbox>
            </v:shape>
          </w:pict>
        </mc:Fallback>
      </mc:AlternateContent>
    </w:r>
    <w:r>
      <w:rPr>
        <w:sz w:val="3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CA440F2"/>
                      </w:txbxContent>
                    </wps:txbx>
                    <wps:bodyPr wrap="none" lIns="0" tIns="0" rIns="0" bIns="0">
                      <a:spAutoFit/>
                    </wps:bodyPr>
                  </wps:wsp>
                </a:graphicData>
              </a:graphic>
            </wp:anchor>
          </w:drawing>
        </mc:Choice>
        <mc:Fallback>
          <w:pict>
            <v:shape id="文本框 10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3PCEtIBAACoAwAADgAAAAAAAAABACAAAAAi&#10;AQAAZHJzL2Uyb0RvYy54bWxQSwUGAAAAAAYABgBZAQAAZgUAAAAA&#10;">
              <v:fill on="f" focussize="0,0"/>
              <v:stroke on="f" weight="1.25pt"/>
              <v:imagedata o:title=""/>
              <o:lock v:ext="edit" aspectratio="f"/>
              <v:textbox inset="0mm,0mm,0mm,0mm" style="mso-fit-shape-to-text:t;">
                <w:txbxContent>
                  <w:p w14:paraId="1CA440F2"/>
                </w:txbxContent>
              </v:textbox>
            </v:shape>
          </w:pict>
        </mc:Fallback>
      </mc:AlternateContent>
    </w:r>
    <w:r>
      <w:rPr>
        <w:sz w:val="3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3319533"/>
                      </w:txbxContent>
                    </wps:txbx>
                    <wps:bodyPr wrap="none" lIns="0" tIns="0" rIns="0" bIns="0">
                      <a:spAutoFit/>
                    </wps:bodyPr>
                  </wps:wsp>
                </a:graphicData>
              </a:graphic>
            </wp:anchor>
          </w:drawing>
        </mc:Choice>
        <mc:Fallback>
          <w:pict>
            <v:shape id="文本框 8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gRvQX0QEAAKcDAAAOAAAAAAAAAAEAIAAAACIB&#10;AABkcnMvZTJvRG9jLnhtbFBLBQYAAAAABgAGAFkBAABlBQAAAAA=&#10;">
              <v:fill on="f" focussize="0,0"/>
              <v:stroke on="f" weight="1.25pt"/>
              <v:imagedata o:title=""/>
              <o:lock v:ext="edit" aspectratio="f"/>
              <v:textbox inset="0mm,0mm,0mm,0mm" style="mso-fit-shape-to-text:t;">
                <w:txbxContent>
                  <w:p w14:paraId="03319533"/>
                </w:txbxContent>
              </v:textbox>
            </v:shape>
          </w:pict>
        </mc:Fallback>
      </mc:AlternateContent>
    </w:r>
    <w:r>
      <w:rPr>
        <w:rFonts w:hint="eastAsia" w:ascii="宋体" w:hAnsi="宋体" w:eastAsia="楷体_GB2312" w:cs="宋体"/>
        <w:sz w:val="21"/>
        <w:szCs w:val="21"/>
        <w:lang w:eastAsia="zh-CN"/>
      </w:rPr>
      <w:t>山西蒙鸿招标代理有限公司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EC431">
    <w:pPr>
      <w:pStyle w:val="19"/>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380CADE"/>
                      </w:txbxContent>
                    </wps:txbx>
                    <wps:bodyPr wrap="none" lIns="0" tIns="0" rIns="0" bIns="0">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&#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9QfEtIBAACnAwAADgAAAAAAAAABACAAAAAi&#10;AQAAZHJzL2Uyb0RvYy54bWxQSwUGAAAAAAYABgBZAQAAZgUAAAAA&#10;">
              <v:fill on="f" focussize="0,0"/>
              <v:stroke on="f" weight="1.25pt"/>
              <v:imagedata o:title=""/>
              <o:lock v:ext="edit" aspectratio="f"/>
              <v:textbox inset="0mm,0mm,0mm,0mm" style="mso-fit-shape-to-text:t;">
                <w:txbxContent>
                  <w:p w14:paraId="5380CADE"/>
                </w:txbxContent>
              </v:textbox>
            </v:shape>
          </w:pict>
        </mc:Fallback>
      </mc:AlternateContent>
    </w:r>
    <w:r>
      <w:rPr>
        <w:rFonts w:hint="eastAsia" w:eastAsia="楷体_GB2312"/>
        <w:b/>
        <w:sz w:val="36"/>
        <w:szCs w:val="36"/>
      </w:rPr>
      <w:drawing>
        <wp:inline distT="0" distB="0" distL="114300" distR="114300">
          <wp:extent cx="236220" cy="220980"/>
          <wp:effectExtent l="0" t="0" r="11430" b="7620"/>
          <wp:docPr id="29" name="图片 15"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 descr="公司logo"/>
                  <pic:cNvPicPr>
                    <a:picLocks noChangeAspect="1"/>
                  </pic:cNvPicPr>
                </pic:nvPicPr>
                <pic:blipFill>
                  <a:blip r:embed="rId1"/>
                  <a:stretch>
                    <a:fillRect/>
                  </a:stretch>
                </pic:blipFill>
                <pic:spPr>
                  <a:xfrm>
                    <a:off x="0" y="0"/>
                    <a:ext cx="236220" cy="220980"/>
                  </a:xfrm>
                  <a:prstGeom prst="rect">
                    <a:avLst/>
                  </a:prstGeom>
                  <a:noFill/>
                  <a:ln>
                    <a:noFill/>
                  </a:ln>
                </pic:spPr>
              </pic:pic>
            </a:graphicData>
          </a:graphic>
        </wp:inline>
      </w:drawing>
    </w:r>
    <w:r>
      <w:rPr>
        <w:rFonts w:hint="eastAsia" w:ascii="宋体" w:hAnsi="宋体" w:eastAsia="楷体_GB2312" w:cs="宋体"/>
        <w:sz w:val="21"/>
        <w:szCs w:val="21"/>
        <w:lang w:eastAsia="zh-CN"/>
      </w:rPr>
      <w:t>山西蒙鸿招标代理有限公司</w:t>
    </w:r>
    <w:r>
      <w:rPr>
        <w:rFonts w:hint="eastAsia" w:ascii="宋体" w:hAnsi="宋体" w:cs="宋体"/>
        <w:sz w:val="21"/>
        <w:szCs w:val="21"/>
      </w:rPr>
      <w:t xml:space="preserve">   </w:t>
    </w: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w:t>
    </w:r>
  </w:p>
  <w:p w14:paraId="7EE8E87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30BE8">
    <w:pPr>
      <w:pStyle w:val="21"/>
      <w:pBdr>
        <w:bottom w:val="single" w:color="auto" w:sz="4" w:space="1"/>
      </w:pBdr>
      <w:jc w:val="right"/>
      <w:rPr>
        <w:rFonts w:ascii="仿宋_GB2312" w:hAnsi="仿宋_GB2312" w:eastAsia="仿宋_GB2312" w:cs="仿宋_GB2312"/>
      </w:rPr>
    </w:pPr>
    <w:r>
      <w:rPr>
        <w:rFonts w:hint="eastAsia" w:ascii="宋体" w:hAnsi="宋体" w:cs="宋体"/>
        <w:lang w:eastAsia="zh-CN"/>
      </w:rPr>
      <w:t>运城市公安局运城经济技术开发区分局执法办案管理中心提质增效项目</w:t>
    </w:r>
    <w:r>
      <w:rPr>
        <w:rFonts w:hint="eastAsia" w:ascii="宋体" w:hAnsi="宋体" w:cs="宋体"/>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76318">
    <w:pPr>
      <w:pStyle w:val="21"/>
      <w:jc w:val="left"/>
      <w:rPr>
        <w:rFonts w:ascii="宋体" w:hAnsi="宋体" w:cs="宋体"/>
      </w:rPr>
    </w:pPr>
    <w:r>
      <w:rPr>
        <w:rFonts w:hint="eastAsia" w:ascii="宋体" w:hAnsi="宋体" w:cs="宋体"/>
        <w:sz w:val="21"/>
        <w:szCs w:val="21"/>
      </w:rPr>
      <w:t>运城市应急救援大队2021年应急救援装备采购项目招标文件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C1D92">
    <w:pPr>
      <w:pStyle w:val="21"/>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7ED2FCA"/>
    <w:multiLevelType w:val="singleLevel"/>
    <w:tmpl w:val="D7ED2FCA"/>
    <w:lvl w:ilvl="0" w:tentative="0">
      <w:start w:val="23"/>
      <w:numFmt w:val="decimal"/>
      <w:suff w:val="space"/>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FEAABC79"/>
    <w:multiLevelType w:val="singleLevel"/>
    <w:tmpl w:val="FEAABC79"/>
    <w:lvl w:ilvl="0" w:tentative="0">
      <w:start w:val="1"/>
      <w:numFmt w:val="decimal"/>
      <w:suff w:val="nothing"/>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179A11FE"/>
    <w:multiLevelType w:val="multilevel"/>
    <w:tmpl w:val="179A11FE"/>
    <w:lvl w:ilvl="0" w:tentative="0">
      <w:start w:val="1"/>
      <w:numFmt w:val="decimal"/>
      <w:pStyle w:val="69"/>
      <w:lvlText w:val="表%1"/>
      <w:lvlJc w:val="center"/>
      <w:pPr>
        <w:ind w:left="-1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9C83440"/>
    <w:multiLevelType w:val="multilevel"/>
    <w:tmpl w:val="19C83440"/>
    <w:lvl w:ilvl="0" w:tentative="0">
      <w:start w:val="11"/>
      <w:numFmt w:val="decimal"/>
      <w:lvlText w:val="（%1）"/>
      <w:lvlJc w:val="left"/>
      <w:pPr>
        <w:ind w:left="1142" w:hanging="72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8">
    <w:nsid w:val="64FA1872"/>
    <w:multiLevelType w:val="multilevel"/>
    <w:tmpl w:val="64FA1872"/>
    <w:lvl w:ilvl="0" w:tentative="0">
      <w:start w:val="15"/>
      <w:numFmt w:val="decimal"/>
      <w:lvlText w:val="%1、"/>
      <w:lvlJc w:val="left"/>
      <w:pPr>
        <w:ind w:left="1007" w:hanging="52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16"/>
      <w:suff w:val="nothing"/>
      <w:lvlText w:val="%1%2　"/>
      <w:lvlJc w:val="left"/>
      <w:pPr>
        <w:ind w:left="0" w:firstLine="0"/>
      </w:pPr>
      <w:rPr>
        <w:rFonts w:hint="eastAsia" w:ascii="黑体" w:hAnsi="Times New Roman" w:eastAsia="黑体"/>
        <w:b w:val="0"/>
        <w:i w:val="0"/>
        <w:sz w:val="21"/>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9"/>
  </w:num>
  <w:num w:numId="2">
    <w:abstractNumId w:val="6"/>
  </w:num>
  <w:num w:numId="3">
    <w:abstractNumId w:val="8"/>
  </w:num>
  <w:num w:numId="4">
    <w:abstractNumId w:val="7"/>
  </w:num>
  <w:num w:numId="5">
    <w:abstractNumId w:val="4"/>
  </w:num>
  <w:num w:numId="6">
    <w:abstractNumId w:val="5"/>
  </w:num>
  <w:num w:numId="7">
    <w:abstractNumId w:val="3"/>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OWY5ZmU3NDc5YWQzZGY5Yzc0ZGRlNDk2NWMwNzYifQ=="/>
  </w:docVars>
  <w:rsids>
    <w:rsidRoot w:val="00D62D1B"/>
    <w:rsid w:val="00001030"/>
    <w:rsid w:val="0000150D"/>
    <w:rsid w:val="00002409"/>
    <w:rsid w:val="00002A2A"/>
    <w:rsid w:val="000042C4"/>
    <w:rsid w:val="000042D0"/>
    <w:rsid w:val="00004597"/>
    <w:rsid w:val="00004E7A"/>
    <w:rsid w:val="0000506B"/>
    <w:rsid w:val="000068C2"/>
    <w:rsid w:val="00007DF8"/>
    <w:rsid w:val="00011782"/>
    <w:rsid w:val="00012D26"/>
    <w:rsid w:val="00012FD8"/>
    <w:rsid w:val="00013017"/>
    <w:rsid w:val="0001342F"/>
    <w:rsid w:val="00013662"/>
    <w:rsid w:val="00013A6D"/>
    <w:rsid w:val="00015C1B"/>
    <w:rsid w:val="00016659"/>
    <w:rsid w:val="00016D54"/>
    <w:rsid w:val="00017959"/>
    <w:rsid w:val="000201C3"/>
    <w:rsid w:val="00021B46"/>
    <w:rsid w:val="00022FA9"/>
    <w:rsid w:val="00023388"/>
    <w:rsid w:val="000244B2"/>
    <w:rsid w:val="00025879"/>
    <w:rsid w:val="000259E1"/>
    <w:rsid w:val="00026A7A"/>
    <w:rsid w:val="00027F23"/>
    <w:rsid w:val="0003016D"/>
    <w:rsid w:val="00030562"/>
    <w:rsid w:val="00030EB7"/>
    <w:rsid w:val="000315D1"/>
    <w:rsid w:val="0003195B"/>
    <w:rsid w:val="00031FA7"/>
    <w:rsid w:val="00032255"/>
    <w:rsid w:val="00032E15"/>
    <w:rsid w:val="0003329E"/>
    <w:rsid w:val="000342BF"/>
    <w:rsid w:val="0003576E"/>
    <w:rsid w:val="0003620E"/>
    <w:rsid w:val="0003623D"/>
    <w:rsid w:val="00036CC5"/>
    <w:rsid w:val="00036DAD"/>
    <w:rsid w:val="00037A78"/>
    <w:rsid w:val="00037D59"/>
    <w:rsid w:val="0004111E"/>
    <w:rsid w:val="0004391F"/>
    <w:rsid w:val="00043B81"/>
    <w:rsid w:val="00043C37"/>
    <w:rsid w:val="00044B7D"/>
    <w:rsid w:val="00045373"/>
    <w:rsid w:val="00045B11"/>
    <w:rsid w:val="00045C19"/>
    <w:rsid w:val="00046769"/>
    <w:rsid w:val="0004713F"/>
    <w:rsid w:val="0004742F"/>
    <w:rsid w:val="0005094C"/>
    <w:rsid w:val="00051057"/>
    <w:rsid w:val="0005168C"/>
    <w:rsid w:val="00051CD7"/>
    <w:rsid w:val="00052C7A"/>
    <w:rsid w:val="00052F12"/>
    <w:rsid w:val="000532B8"/>
    <w:rsid w:val="0005330F"/>
    <w:rsid w:val="000536CE"/>
    <w:rsid w:val="00054199"/>
    <w:rsid w:val="00055F44"/>
    <w:rsid w:val="00056410"/>
    <w:rsid w:val="00056F50"/>
    <w:rsid w:val="00057BA2"/>
    <w:rsid w:val="00060E60"/>
    <w:rsid w:val="00061A1C"/>
    <w:rsid w:val="00061DD0"/>
    <w:rsid w:val="00062942"/>
    <w:rsid w:val="00062E05"/>
    <w:rsid w:val="000642B9"/>
    <w:rsid w:val="00065A4F"/>
    <w:rsid w:val="00066B33"/>
    <w:rsid w:val="000714CB"/>
    <w:rsid w:val="00071DDD"/>
    <w:rsid w:val="0007343D"/>
    <w:rsid w:val="0007357D"/>
    <w:rsid w:val="000753A7"/>
    <w:rsid w:val="00075851"/>
    <w:rsid w:val="00075FBB"/>
    <w:rsid w:val="00077700"/>
    <w:rsid w:val="00080534"/>
    <w:rsid w:val="000818E8"/>
    <w:rsid w:val="00082BD8"/>
    <w:rsid w:val="00083414"/>
    <w:rsid w:val="0009144C"/>
    <w:rsid w:val="0009199B"/>
    <w:rsid w:val="000920F3"/>
    <w:rsid w:val="00092780"/>
    <w:rsid w:val="000944E3"/>
    <w:rsid w:val="00094691"/>
    <w:rsid w:val="00095D96"/>
    <w:rsid w:val="00096B15"/>
    <w:rsid w:val="00097223"/>
    <w:rsid w:val="00097732"/>
    <w:rsid w:val="000977DA"/>
    <w:rsid w:val="000A043E"/>
    <w:rsid w:val="000A0511"/>
    <w:rsid w:val="000A0FAD"/>
    <w:rsid w:val="000A22C8"/>
    <w:rsid w:val="000A26E4"/>
    <w:rsid w:val="000A382F"/>
    <w:rsid w:val="000A47B7"/>
    <w:rsid w:val="000A59CD"/>
    <w:rsid w:val="000A5ED9"/>
    <w:rsid w:val="000A69B3"/>
    <w:rsid w:val="000A69B5"/>
    <w:rsid w:val="000B0520"/>
    <w:rsid w:val="000B0AF3"/>
    <w:rsid w:val="000B44F0"/>
    <w:rsid w:val="000B5807"/>
    <w:rsid w:val="000C0AA1"/>
    <w:rsid w:val="000C1576"/>
    <w:rsid w:val="000C26DC"/>
    <w:rsid w:val="000C536A"/>
    <w:rsid w:val="000C56D3"/>
    <w:rsid w:val="000C5C94"/>
    <w:rsid w:val="000C5E7C"/>
    <w:rsid w:val="000C703F"/>
    <w:rsid w:val="000C733B"/>
    <w:rsid w:val="000D28C4"/>
    <w:rsid w:val="000D3CBB"/>
    <w:rsid w:val="000D6488"/>
    <w:rsid w:val="000E041F"/>
    <w:rsid w:val="000E0FFF"/>
    <w:rsid w:val="000E1A55"/>
    <w:rsid w:val="000E544A"/>
    <w:rsid w:val="000E66EA"/>
    <w:rsid w:val="000F1617"/>
    <w:rsid w:val="000F2BD0"/>
    <w:rsid w:val="000F46A0"/>
    <w:rsid w:val="000F4A29"/>
    <w:rsid w:val="000F5080"/>
    <w:rsid w:val="000F64B0"/>
    <w:rsid w:val="000F650D"/>
    <w:rsid w:val="001009ED"/>
    <w:rsid w:val="00101228"/>
    <w:rsid w:val="0010198F"/>
    <w:rsid w:val="00101BC3"/>
    <w:rsid w:val="001029EB"/>
    <w:rsid w:val="00102B15"/>
    <w:rsid w:val="0010379F"/>
    <w:rsid w:val="00103A5C"/>
    <w:rsid w:val="0010536C"/>
    <w:rsid w:val="0010625C"/>
    <w:rsid w:val="001062A7"/>
    <w:rsid w:val="0011293A"/>
    <w:rsid w:val="00112F3B"/>
    <w:rsid w:val="00114194"/>
    <w:rsid w:val="001143DB"/>
    <w:rsid w:val="00117D26"/>
    <w:rsid w:val="00120C70"/>
    <w:rsid w:val="00123414"/>
    <w:rsid w:val="00124024"/>
    <w:rsid w:val="001253E3"/>
    <w:rsid w:val="00125D51"/>
    <w:rsid w:val="0012628E"/>
    <w:rsid w:val="00126AAC"/>
    <w:rsid w:val="001309D2"/>
    <w:rsid w:val="0013215E"/>
    <w:rsid w:val="00133F85"/>
    <w:rsid w:val="0013411A"/>
    <w:rsid w:val="00134B2B"/>
    <w:rsid w:val="001359DC"/>
    <w:rsid w:val="001365B1"/>
    <w:rsid w:val="00136F3B"/>
    <w:rsid w:val="00137172"/>
    <w:rsid w:val="00137FCE"/>
    <w:rsid w:val="001409F0"/>
    <w:rsid w:val="001426E7"/>
    <w:rsid w:val="00142C43"/>
    <w:rsid w:val="001441CE"/>
    <w:rsid w:val="00144A6E"/>
    <w:rsid w:val="001465AA"/>
    <w:rsid w:val="00146691"/>
    <w:rsid w:val="0014697D"/>
    <w:rsid w:val="00146982"/>
    <w:rsid w:val="001500C7"/>
    <w:rsid w:val="001503B8"/>
    <w:rsid w:val="001547BC"/>
    <w:rsid w:val="00154952"/>
    <w:rsid w:val="00155376"/>
    <w:rsid w:val="00155A48"/>
    <w:rsid w:val="00156D25"/>
    <w:rsid w:val="0015712A"/>
    <w:rsid w:val="00157E26"/>
    <w:rsid w:val="00160BBF"/>
    <w:rsid w:val="00160FCA"/>
    <w:rsid w:val="00161120"/>
    <w:rsid w:val="00162397"/>
    <w:rsid w:val="001623ED"/>
    <w:rsid w:val="00162C46"/>
    <w:rsid w:val="00163790"/>
    <w:rsid w:val="00165F43"/>
    <w:rsid w:val="00165FB0"/>
    <w:rsid w:val="0016686E"/>
    <w:rsid w:val="00167D85"/>
    <w:rsid w:val="00170631"/>
    <w:rsid w:val="001708C1"/>
    <w:rsid w:val="00170DF1"/>
    <w:rsid w:val="001748F3"/>
    <w:rsid w:val="001758B5"/>
    <w:rsid w:val="00176309"/>
    <w:rsid w:val="001766AE"/>
    <w:rsid w:val="00176754"/>
    <w:rsid w:val="001801E9"/>
    <w:rsid w:val="00184969"/>
    <w:rsid w:val="00184CB9"/>
    <w:rsid w:val="00185F9C"/>
    <w:rsid w:val="00186330"/>
    <w:rsid w:val="00186CD5"/>
    <w:rsid w:val="001873D2"/>
    <w:rsid w:val="001921BB"/>
    <w:rsid w:val="001941FB"/>
    <w:rsid w:val="001946AB"/>
    <w:rsid w:val="00195263"/>
    <w:rsid w:val="001A01F2"/>
    <w:rsid w:val="001A05C5"/>
    <w:rsid w:val="001A08F6"/>
    <w:rsid w:val="001A0B4A"/>
    <w:rsid w:val="001A1466"/>
    <w:rsid w:val="001A1A60"/>
    <w:rsid w:val="001A2B53"/>
    <w:rsid w:val="001A5B00"/>
    <w:rsid w:val="001A6204"/>
    <w:rsid w:val="001A6925"/>
    <w:rsid w:val="001A69E5"/>
    <w:rsid w:val="001A6BF8"/>
    <w:rsid w:val="001A79D9"/>
    <w:rsid w:val="001B36B6"/>
    <w:rsid w:val="001B4909"/>
    <w:rsid w:val="001B57B8"/>
    <w:rsid w:val="001B5E31"/>
    <w:rsid w:val="001C040D"/>
    <w:rsid w:val="001C0F59"/>
    <w:rsid w:val="001C1970"/>
    <w:rsid w:val="001C5617"/>
    <w:rsid w:val="001D037A"/>
    <w:rsid w:val="001D1936"/>
    <w:rsid w:val="001D34B4"/>
    <w:rsid w:val="001D52BC"/>
    <w:rsid w:val="001D5973"/>
    <w:rsid w:val="001D6318"/>
    <w:rsid w:val="001D74EB"/>
    <w:rsid w:val="001D7573"/>
    <w:rsid w:val="001D7665"/>
    <w:rsid w:val="001E0126"/>
    <w:rsid w:val="001E0D61"/>
    <w:rsid w:val="001E1A4F"/>
    <w:rsid w:val="001E1AB0"/>
    <w:rsid w:val="001E217C"/>
    <w:rsid w:val="001E29C3"/>
    <w:rsid w:val="001E3ACF"/>
    <w:rsid w:val="001E4630"/>
    <w:rsid w:val="001E512E"/>
    <w:rsid w:val="001E6347"/>
    <w:rsid w:val="001E732C"/>
    <w:rsid w:val="001F0D9F"/>
    <w:rsid w:val="001F44A5"/>
    <w:rsid w:val="001F4AAF"/>
    <w:rsid w:val="001F5EB9"/>
    <w:rsid w:val="001F70BE"/>
    <w:rsid w:val="001F78FD"/>
    <w:rsid w:val="001F7EF0"/>
    <w:rsid w:val="00200158"/>
    <w:rsid w:val="002013FC"/>
    <w:rsid w:val="002033A1"/>
    <w:rsid w:val="00203451"/>
    <w:rsid w:val="0020479D"/>
    <w:rsid w:val="0020523A"/>
    <w:rsid w:val="00206067"/>
    <w:rsid w:val="00206606"/>
    <w:rsid w:val="00206D83"/>
    <w:rsid w:val="00207673"/>
    <w:rsid w:val="00210C95"/>
    <w:rsid w:val="00212815"/>
    <w:rsid w:val="00213088"/>
    <w:rsid w:val="002131CC"/>
    <w:rsid w:val="00213D13"/>
    <w:rsid w:val="00213E54"/>
    <w:rsid w:val="0021423B"/>
    <w:rsid w:val="00214542"/>
    <w:rsid w:val="002152F5"/>
    <w:rsid w:val="002158E0"/>
    <w:rsid w:val="002159A1"/>
    <w:rsid w:val="00215B4E"/>
    <w:rsid w:val="00215B8F"/>
    <w:rsid w:val="00215C8B"/>
    <w:rsid w:val="00215CDB"/>
    <w:rsid w:val="00215F83"/>
    <w:rsid w:val="00217C32"/>
    <w:rsid w:val="00222F0E"/>
    <w:rsid w:val="00222FFD"/>
    <w:rsid w:val="00224A0A"/>
    <w:rsid w:val="002255CF"/>
    <w:rsid w:val="00225BB4"/>
    <w:rsid w:val="00226EB8"/>
    <w:rsid w:val="0022757D"/>
    <w:rsid w:val="002308B4"/>
    <w:rsid w:val="0023114A"/>
    <w:rsid w:val="002315EC"/>
    <w:rsid w:val="002330E2"/>
    <w:rsid w:val="00233D53"/>
    <w:rsid w:val="00233FA3"/>
    <w:rsid w:val="002346B6"/>
    <w:rsid w:val="002353BF"/>
    <w:rsid w:val="002356EC"/>
    <w:rsid w:val="00236BE3"/>
    <w:rsid w:val="002378C0"/>
    <w:rsid w:val="00237AE0"/>
    <w:rsid w:val="002419DF"/>
    <w:rsid w:val="002420A5"/>
    <w:rsid w:val="002421F7"/>
    <w:rsid w:val="00243278"/>
    <w:rsid w:val="00243E19"/>
    <w:rsid w:val="00244662"/>
    <w:rsid w:val="002448BA"/>
    <w:rsid w:val="0024522C"/>
    <w:rsid w:val="00245601"/>
    <w:rsid w:val="00245C1A"/>
    <w:rsid w:val="00245D09"/>
    <w:rsid w:val="00246A12"/>
    <w:rsid w:val="00246F5E"/>
    <w:rsid w:val="00247305"/>
    <w:rsid w:val="00250561"/>
    <w:rsid w:val="00250D0D"/>
    <w:rsid w:val="00250F98"/>
    <w:rsid w:val="00252140"/>
    <w:rsid w:val="00252309"/>
    <w:rsid w:val="002528CF"/>
    <w:rsid w:val="0025381D"/>
    <w:rsid w:val="00253B7E"/>
    <w:rsid w:val="0025589D"/>
    <w:rsid w:val="00257C60"/>
    <w:rsid w:val="002600F1"/>
    <w:rsid w:val="00260F30"/>
    <w:rsid w:val="00261F9A"/>
    <w:rsid w:val="0026321C"/>
    <w:rsid w:val="0026337B"/>
    <w:rsid w:val="00264BAD"/>
    <w:rsid w:val="00265026"/>
    <w:rsid w:val="002664D4"/>
    <w:rsid w:val="0026653F"/>
    <w:rsid w:val="002679CC"/>
    <w:rsid w:val="00267B08"/>
    <w:rsid w:val="00271350"/>
    <w:rsid w:val="00271486"/>
    <w:rsid w:val="0027166E"/>
    <w:rsid w:val="00271EE7"/>
    <w:rsid w:val="002725B6"/>
    <w:rsid w:val="0027288C"/>
    <w:rsid w:val="00274363"/>
    <w:rsid w:val="002747AD"/>
    <w:rsid w:val="0027605C"/>
    <w:rsid w:val="002778B0"/>
    <w:rsid w:val="00280BA8"/>
    <w:rsid w:val="00280BD7"/>
    <w:rsid w:val="00280EF3"/>
    <w:rsid w:val="0028105B"/>
    <w:rsid w:val="0028426B"/>
    <w:rsid w:val="002854C9"/>
    <w:rsid w:val="0028625D"/>
    <w:rsid w:val="00286677"/>
    <w:rsid w:val="00287C90"/>
    <w:rsid w:val="00290073"/>
    <w:rsid w:val="002904DD"/>
    <w:rsid w:val="00290E44"/>
    <w:rsid w:val="0029104D"/>
    <w:rsid w:val="00291E8A"/>
    <w:rsid w:val="0029247F"/>
    <w:rsid w:val="00292AF3"/>
    <w:rsid w:val="00293418"/>
    <w:rsid w:val="00293B4B"/>
    <w:rsid w:val="00293E44"/>
    <w:rsid w:val="0029783C"/>
    <w:rsid w:val="002A04AB"/>
    <w:rsid w:val="002A07D1"/>
    <w:rsid w:val="002A0D23"/>
    <w:rsid w:val="002A1270"/>
    <w:rsid w:val="002A17AF"/>
    <w:rsid w:val="002A1B28"/>
    <w:rsid w:val="002A2D22"/>
    <w:rsid w:val="002A4ACF"/>
    <w:rsid w:val="002A4BD6"/>
    <w:rsid w:val="002A5267"/>
    <w:rsid w:val="002A551B"/>
    <w:rsid w:val="002A66E4"/>
    <w:rsid w:val="002A782A"/>
    <w:rsid w:val="002B0D5E"/>
    <w:rsid w:val="002B1C38"/>
    <w:rsid w:val="002B314B"/>
    <w:rsid w:val="002B39BA"/>
    <w:rsid w:val="002B4177"/>
    <w:rsid w:val="002B50D8"/>
    <w:rsid w:val="002B5259"/>
    <w:rsid w:val="002B535A"/>
    <w:rsid w:val="002B6698"/>
    <w:rsid w:val="002B6A5B"/>
    <w:rsid w:val="002B7D30"/>
    <w:rsid w:val="002C15D6"/>
    <w:rsid w:val="002C467B"/>
    <w:rsid w:val="002C5549"/>
    <w:rsid w:val="002C58E2"/>
    <w:rsid w:val="002C7233"/>
    <w:rsid w:val="002C785F"/>
    <w:rsid w:val="002C7D17"/>
    <w:rsid w:val="002D1472"/>
    <w:rsid w:val="002D1E99"/>
    <w:rsid w:val="002D3294"/>
    <w:rsid w:val="002D365D"/>
    <w:rsid w:val="002D42C5"/>
    <w:rsid w:val="002D468F"/>
    <w:rsid w:val="002D5870"/>
    <w:rsid w:val="002D5B28"/>
    <w:rsid w:val="002D5CDC"/>
    <w:rsid w:val="002D6280"/>
    <w:rsid w:val="002D6399"/>
    <w:rsid w:val="002D67C2"/>
    <w:rsid w:val="002D7BD4"/>
    <w:rsid w:val="002E21A9"/>
    <w:rsid w:val="002E2226"/>
    <w:rsid w:val="002E224E"/>
    <w:rsid w:val="002E3B20"/>
    <w:rsid w:val="002E4C36"/>
    <w:rsid w:val="002E4E65"/>
    <w:rsid w:val="002E4EC2"/>
    <w:rsid w:val="002E4EF5"/>
    <w:rsid w:val="002E5026"/>
    <w:rsid w:val="002E74CF"/>
    <w:rsid w:val="002F090F"/>
    <w:rsid w:val="002F1078"/>
    <w:rsid w:val="002F13D4"/>
    <w:rsid w:val="002F161F"/>
    <w:rsid w:val="002F19EC"/>
    <w:rsid w:val="002F1F46"/>
    <w:rsid w:val="002F2309"/>
    <w:rsid w:val="002F27D4"/>
    <w:rsid w:val="002F2907"/>
    <w:rsid w:val="002F2AA0"/>
    <w:rsid w:val="002F417B"/>
    <w:rsid w:val="002F4838"/>
    <w:rsid w:val="002F5196"/>
    <w:rsid w:val="002F5EC6"/>
    <w:rsid w:val="002F73C2"/>
    <w:rsid w:val="002F73CD"/>
    <w:rsid w:val="00300E0F"/>
    <w:rsid w:val="00300E58"/>
    <w:rsid w:val="00300E64"/>
    <w:rsid w:val="00302A4A"/>
    <w:rsid w:val="00304011"/>
    <w:rsid w:val="00304667"/>
    <w:rsid w:val="0030583B"/>
    <w:rsid w:val="00306627"/>
    <w:rsid w:val="00306A90"/>
    <w:rsid w:val="00306DB9"/>
    <w:rsid w:val="00306FAE"/>
    <w:rsid w:val="00307670"/>
    <w:rsid w:val="00310EA2"/>
    <w:rsid w:val="00311FE0"/>
    <w:rsid w:val="0031280B"/>
    <w:rsid w:val="00312C49"/>
    <w:rsid w:val="00313151"/>
    <w:rsid w:val="0031319E"/>
    <w:rsid w:val="0031495C"/>
    <w:rsid w:val="00314C78"/>
    <w:rsid w:val="00314FF0"/>
    <w:rsid w:val="00315AF1"/>
    <w:rsid w:val="003169B2"/>
    <w:rsid w:val="00320A89"/>
    <w:rsid w:val="00320D5C"/>
    <w:rsid w:val="00321E09"/>
    <w:rsid w:val="00322DAB"/>
    <w:rsid w:val="00322E3E"/>
    <w:rsid w:val="003234D3"/>
    <w:rsid w:val="00324309"/>
    <w:rsid w:val="00324B75"/>
    <w:rsid w:val="00325B14"/>
    <w:rsid w:val="00331213"/>
    <w:rsid w:val="00331669"/>
    <w:rsid w:val="0033184F"/>
    <w:rsid w:val="00332547"/>
    <w:rsid w:val="003330AD"/>
    <w:rsid w:val="00333A96"/>
    <w:rsid w:val="00333B6A"/>
    <w:rsid w:val="0033476F"/>
    <w:rsid w:val="00336054"/>
    <w:rsid w:val="00336C8E"/>
    <w:rsid w:val="00337434"/>
    <w:rsid w:val="0034051C"/>
    <w:rsid w:val="0034063A"/>
    <w:rsid w:val="00340C9E"/>
    <w:rsid w:val="00341050"/>
    <w:rsid w:val="00342DD6"/>
    <w:rsid w:val="00343963"/>
    <w:rsid w:val="00343DB3"/>
    <w:rsid w:val="00344BFC"/>
    <w:rsid w:val="00344F19"/>
    <w:rsid w:val="003455E0"/>
    <w:rsid w:val="0034682A"/>
    <w:rsid w:val="00346958"/>
    <w:rsid w:val="00347E2C"/>
    <w:rsid w:val="003509C2"/>
    <w:rsid w:val="00351959"/>
    <w:rsid w:val="00351FB4"/>
    <w:rsid w:val="00352A39"/>
    <w:rsid w:val="00352E94"/>
    <w:rsid w:val="00353381"/>
    <w:rsid w:val="00354A39"/>
    <w:rsid w:val="0035520D"/>
    <w:rsid w:val="003563F5"/>
    <w:rsid w:val="00357210"/>
    <w:rsid w:val="003573A7"/>
    <w:rsid w:val="00357416"/>
    <w:rsid w:val="00360A39"/>
    <w:rsid w:val="00361266"/>
    <w:rsid w:val="0036347A"/>
    <w:rsid w:val="00363B08"/>
    <w:rsid w:val="003640C5"/>
    <w:rsid w:val="00364329"/>
    <w:rsid w:val="00364B58"/>
    <w:rsid w:val="00364F30"/>
    <w:rsid w:val="00367D63"/>
    <w:rsid w:val="0037003F"/>
    <w:rsid w:val="00370D39"/>
    <w:rsid w:val="00370FBF"/>
    <w:rsid w:val="0037105C"/>
    <w:rsid w:val="00372F36"/>
    <w:rsid w:val="00374E0B"/>
    <w:rsid w:val="00377202"/>
    <w:rsid w:val="0038026F"/>
    <w:rsid w:val="003810CB"/>
    <w:rsid w:val="00381644"/>
    <w:rsid w:val="0038200D"/>
    <w:rsid w:val="0038250F"/>
    <w:rsid w:val="00382B97"/>
    <w:rsid w:val="00382E19"/>
    <w:rsid w:val="003858CF"/>
    <w:rsid w:val="003869E7"/>
    <w:rsid w:val="00387872"/>
    <w:rsid w:val="00387A66"/>
    <w:rsid w:val="00387E96"/>
    <w:rsid w:val="0039005A"/>
    <w:rsid w:val="003935B8"/>
    <w:rsid w:val="00393A36"/>
    <w:rsid w:val="003940E8"/>
    <w:rsid w:val="00394837"/>
    <w:rsid w:val="00395141"/>
    <w:rsid w:val="00395414"/>
    <w:rsid w:val="00396957"/>
    <w:rsid w:val="00397882"/>
    <w:rsid w:val="00397F67"/>
    <w:rsid w:val="003A06D9"/>
    <w:rsid w:val="003A1273"/>
    <w:rsid w:val="003A34F3"/>
    <w:rsid w:val="003A3AEF"/>
    <w:rsid w:val="003A3F61"/>
    <w:rsid w:val="003A514A"/>
    <w:rsid w:val="003A5211"/>
    <w:rsid w:val="003A559E"/>
    <w:rsid w:val="003A5DEB"/>
    <w:rsid w:val="003A634F"/>
    <w:rsid w:val="003B1623"/>
    <w:rsid w:val="003B3030"/>
    <w:rsid w:val="003B45E7"/>
    <w:rsid w:val="003B6B61"/>
    <w:rsid w:val="003B7CB0"/>
    <w:rsid w:val="003B7D00"/>
    <w:rsid w:val="003C3C62"/>
    <w:rsid w:val="003C4AE6"/>
    <w:rsid w:val="003C596D"/>
    <w:rsid w:val="003C5BA9"/>
    <w:rsid w:val="003C643E"/>
    <w:rsid w:val="003C78AE"/>
    <w:rsid w:val="003D00B1"/>
    <w:rsid w:val="003D0459"/>
    <w:rsid w:val="003D2375"/>
    <w:rsid w:val="003D24AE"/>
    <w:rsid w:val="003D2801"/>
    <w:rsid w:val="003D2FEF"/>
    <w:rsid w:val="003D481E"/>
    <w:rsid w:val="003D525A"/>
    <w:rsid w:val="003D55A4"/>
    <w:rsid w:val="003D5C69"/>
    <w:rsid w:val="003D5D33"/>
    <w:rsid w:val="003D7B9A"/>
    <w:rsid w:val="003D7FE6"/>
    <w:rsid w:val="003E1EC9"/>
    <w:rsid w:val="003E246D"/>
    <w:rsid w:val="003E24E3"/>
    <w:rsid w:val="003E2843"/>
    <w:rsid w:val="003E3969"/>
    <w:rsid w:val="003E42BE"/>
    <w:rsid w:val="003E445C"/>
    <w:rsid w:val="003E5016"/>
    <w:rsid w:val="003E58D8"/>
    <w:rsid w:val="003E63E5"/>
    <w:rsid w:val="003E6431"/>
    <w:rsid w:val="003E68B1"/>
    <w:rsid w:val="003E708D"/>
    <w:rsid w:val="003E7C76"/>
    <w:rsid w:val="003F05DD"/>
    <w:rsid w:val="003F0B90"/>
    <w:rsid w:val="003F2A6D"/>
    <w:rsid w:val="003F3503"/>
    <w:rsid w:val="003F3FFA"/>
    <w:rsid w:val="003F59B8"/>
    <w:rsid w:val="003F5DFF"/>
    <w:rsid w:val="003F5EE6"/>
    <w:rsid w:val="003F6700"/>
    <w:rsid w:val="003F7275"/>
    <w:rsid w:val="0040029C"/>
    <w:rsid w:val="004005A7"/>
    <w:rsid w:val="00401F33"/>
    <w:rsid w:val="00403C4D"/>
    <w:rsid w:val="00404720"/>
    <w:rsid w:val="004058FB"/>
    <w:rsid w:val="00406452"/>
    <w:rsid w:val="00406774"/>
    <w:rsid w:val="00407389"/>
    <w:rsid w:val="00410916"/>
    <w:rsid w:val="00411751"/>
    <w:rsid w:val="00411B68"/>
    <w:rsid w:val="00411D51"/>
    <w:rsid w:val="00411FAF"/>
    <w:rsid w:val="00413596"/>
    <w:rsid w:val="00413EAD"/>
    <w:rsid w:val="00414B07"/>
    <w:rsid w:val="00415C5B"/>
    <w:rsid w:val="00417A76"/>
    <w:rsid w:val="00420194"/>
    <w:rsid w:val="00420634"/>
    <w:rsid w:val="00421787"/>
    <w:rsid w:val="0042306A"/>
    <w:rsid w:val="00424270"/>
    <w:rsid w:val="00424A97"/>
    <w:rsid w:val="004256DB"/>
    <w:rsid w:val="00426262"/>
    <w:rsid w:val="00426AD3"/>
    <w:rsid w:val="0043018F"/>
    <w:rsid w:val="00433052"/>
    <w:rsid w:val="004330A5"/>
    <w:rsid w:val="00433872"/>
    <w:rsid w:val="00434FD8"/>
    <w:rsid w:val="00435644"/>
    <w:rsid w:val="00435790"/>
    <w:rsid w:val="004402DD"/>
    <w:rsid w:val="004415BB"/>
    <w:rsid w:val="00441691"/>
    <w:rsid w:val="004427EF"/>
    <w:rsid w:val="00442A63"/>
    <w:rsid w:val="00443DD7"/>
    <w:rsid w:val="0044620B"/>
    <w:rsid w:val="00446725"/>
    <w:rsid w:val="0044734B"/>
    <w:rsid w:val="00447954"/>
    <w:rsid w:val="00447A9A"/>
    <w:rsid w:val="0045005E"/>
    <w:rsid w:val="004511E9"/>
    <w:rsid w:val="004521E1"/>
    <w:rsid w:val="00453264"/>
    <w:rsid w:val="004541EC"/>
    <w:rsid w:val="004543D3"/>
    <w:rsid w:val="00454C75"/>
    <w:rsid w:val="00455228"/>
    <w:rsid w:val="00455265"/>
    <w:rsid w:val="0045589A"/>
    <w:rsid w:val="00456176"/>
    <w:rsid w:val="00457893"/>
    <w:rsid w:val="00460055"/>
    <w:rsid w:val="00460086"/>
    <w:rsid w:val="00460ED6"/>
    <w:rsid w:val="00461CFE"/>
    <w:rsid w:val="004626AE"/>
    <w:rsid w:val="00463043"/>
    <w:rsid w:val="00465626"/>
    <w:rsid w:val="00465D88"/>
    <w:rsid w:val="004660E0"/>
    <w:rsid w:val="0046686B"/>
    <w:rsid w:val="00466CCA"/>
    <w:rsid w:val="00467E65"/>
    <w:rsid w:val="00472441"/>
    <w:rsid w:val="004743C4"/>
    <w:rsid w:val="00474716"/>
    <w:rsid w:val="00474C23"/>
    <w:rsid w:val="004756C2"/>
    <w:rsid w:val="00476F71"/>
    <w:rsid w:val="00480B3A"/>
    <w:rsid w:val="0048174E"/>
    <w:rsid w:val="00481C5A"/>
    <w:rsid w:val="004842FA"/>
    <w:rsid w:val="00484C86"/>
    <w:rsid w:val="00485223"/>
    <w:rsid w:val="0048542A"/>
    <w:rsid w:val="00485C43"/>
    <w:rsid w:val="00485F4E"/>
    <w:rsid w:val="00486DBD"/>
    <w:rsid w:val="00486EB5"/>
    <w:rsid w:val="00487226"/>
    <w:rsid w:val="0048786F"/>
    <w:rsid w:val="00487D0B"/>
    <w:rsid w:val="00491093"/>
    <w:rsid w:val="0049191C"/>
    <w:rsid w:val="004948D6"/>
    <w:rsid w:val="004950C8"/>
    <w:rsid w:val="004964C5"/>
    <w:rsid w:val="004A14F7"/>
    <w:rsid w:val="004A3638"/>
    <w:rsid w:val="004A3BAC"/>
    <w:rsid w:val="004A4DDF"/>
    <w:rsid w:val="004A523E"/>
    <w:rsid w:val="004A6867"/>
    <w:rsid w:val="004B10BD"/>
    <w:rsid w:val="004B1169"/>
    <w:rsid w:val="004B177F"/>
    <w:rsid w:val="004B18C0"/>
    <w:rsid w:val="004B23B7"/>
    <w:rsid w:val="004B6923"/>
    <w:rsid w:val="004B6B4C"/>
    <w:rsid w:val="004B6C3A"/>
    <w:rsid w:val="004B726C"/>
    <w:rsid w:val="004B7C59"/>
    <w:rsid w:val="004B7C80"/>
    <w:rsid w:val="004B7DF0"/>
    <w:rsid w:val="004C0DB3"/>
    <w:rsid w:val="004C14B1"/>
    <w:rsid w:val="004C2270"/>
    <w:rsid w:val="004C27AD"/>
    <w:rsid w:val="004C4139"/>
    <w:rsid w:val="004C452B"/>
    <w:rsid w:val="004C4676"/>
    <w:rsid w:val="004C48D0"/>
    <w:rsid w:val="004C4BC9"/>
    <w:rsid w:val="004C5FE1"/>
    <w:rsid w:val="004C70DC"/>
    <w:rsid w:val="004C7442"/>
    <w:rsid w:val="004C74BF"/>
    <w:rsid w:val="004C769A"/>
    <w:rsid w:val="004D08D2"/>
    <w:rsid w:val="004D1185"/>
    <w:rsid w:val="004D392F"/>
    <w:rsid w:val="004D3B6A"/>
    <w:rsid w:val="004D3C12"/>
    <w:rsid w:val="004D3EF9"/>
    <w:rsid w:val="004D49F0"/>
    <w:rsid w:val="004D6DF5"/>
    <w:rsid w:val="004D6F21"/>
    <w:rsid w:val="004D6F5F"/>
    <w:rsid w:val="004E2958"/>
    <w:rsid w:val="004E2E50"/>
    <w:rsid w:val="004E2EEC"/>
    <w:rsid w:val="004E30E9"/>
    <w:rsid w:val="004E32CF"/>
    <w:rsid w:val="004E53A5"/>
    <w:rsid w:val="004E5586"/>
    <w:rsid w:val="004E7059"/>
    <w:rsid w:val="004E73AF"/>
    <w:rsid w:val="004F03F2"/>
    <w:rsid w:val="004F1D10"/>
    <w:rsid w:val="004F28E3"/>
    <w:rsid w:val="004F33C3"/>
    <w:rsid w:val="004F6A73"/>
    <w:rsid w:val="004F6D65"/>
    <w:rsid w:val="004F7ABC"/>
    <w:rsid w:val="004F7E20"/>
    <w:rsid w:val="00500BBD"/>
    <w:rsid w:val="005010CB"/>
    <w:rsid w:val="00502717"/>
    <w:rsid w:val="00503291"/>
    <w:rsid w:val="00503A71"/>
    <w:rsid w:val="00505B42"/>
    <w:rsid w:val="00505CAE"/>
    <w:rsid w:val="005110A8"/>
    <w:rsid w:val="005113C1"/>
    <w:rsid w:val="00511EB8"/>
    <w:rsid w:val="00511F65"/>
    <w:rsid w:val="00512629"/>
    <w:rsid w:val="005131EC"/>
    <w:rsid w:val="00513341"/>
    <w:rsid w:val="0051401F"/>
    <w:rsid w:val="005157C3"/>
    <w:rsid w:val="005163B1"/>
    <w:rsid w:val="00521DF5"/>
    <w:rsid w:val="0052491F"/>
    <w:rsid w:val="005253D0"/>
    <w:rsid w:val="00525A76"/>
    <w:rsid w:val="0052707C"/>
    <w:rsid w:val="005279FE"/>
    <w:rsid w:val="0053025E"/>
    <w:rsid w:val="0053109F"/>
    <w:rsid w:val="005312EF"/>
    <w:rsid w:val="00532249"/>
    <w:rsid w:val="0053260C"/>
    <w:rsid w:val="00532A80"/>
    <w:rsid w:val="00533063"/>
    <w:rsid w:val="005336F0"/>
    <w:rsid w:val="00533786"/>
    <w:rsid w:val="00535704"/>
    <w:rsid w:val="00537262"/>
    <w:rsid w:val="00537C72"/>
    <w:rsid w:val="00540DF5"/>
    <w:rsid w:val="0054203A"/>
    <w:rsid w:val="005429FE"/>
    <w:rsid w:val="005430CF"/>
    <w:rsid w:val="005436F6"/>
    <w:rsid w:val="0054656A"/>
    <w:rsid w:val="00547683"/>
    <w:rsid w:val="00550934"/>
    <w:rsid w:val="00550D3A"/>
    <w:rsid w:val="0055106E"/>
    <w:rsid w:val="00551DAB"/>
    <w:rsid w:val="005527BA"/>
    <w:rsid w:val="0055342D"/>
    <w:rsid w:val="005536C1"/>
    <w:rsid w:val="0055513C"/>
    <w:rsid w:val="00556A5E"/>
    <w:rsid w:val="00556FCA"/>
    <w:rsid w:val="00557925"/>
    <w:rsid w:val="00560B00"/>
    <w:rsid w:val="005624C8"/>
    <w:rsid w:val="00562698"/>
    <w:rsid w:val="00562EDB"/>
    <w:rsid w:val="00565517"/>
    <w:rsid w:val="00565B29"/>
    <w:rsid w:val="005669C2"/>
    <w:rsid w:val="005701D0"/>
    <w:rsid w:val="00570E9E"/>
    <w:rsid w:val="00571E44"/>
    <w:rsid w:val="00572352"/>
    <w:rsid w:val="005750B1"/>
    <w:rsid w:val="0057567D"/>
    <w:rsid w:val="00576C6C"/>
    <w:rsid w:val="0057779D"/>
    <w:rsid w:val="00580F11"/>
    <w:rsid w:val="0058155B"/>
    <w:rsid w:val="00581987"/>
    <w:rsid w:val="00581BE1"/>
    <w:rsid w:val="00581DCB"/>
    <w:rsid w:val="00581DF3"/>
    <w:rsid w:val="005823F4"/>
    <w:rsid w:val="00583C8C"/>
    <w:rsid w:val="00584304"/>
    <w:rsid w:val="005851D8"/>
    <w:rsid w:val="00585362"/>
    <w:rsid w:val="00585CFB"/>
    <w:rsid w:val="00585FE0"/>
    <w:rsid w:val="005861E4"/>
    <w:rsid w:val="00586956"/>
    <w:rsid w:val="00587BF6"/>
    <w:rsid w:val="005905EC"/>
    <w:rsid w:val="0059131E"/>
    <w:rsid w:val="00592D45"/>
    <w:rsid w:val="00593A8C"/>
    <w:rsid w:val="00593C23"/>
    <w:rsid w:val="00594AD7"/>
    <w:rsid w:val="00595EF1"/>
    <w:rsid w:val="00596A01"/>
    <w:rsid w:val="00596C68"/>
    <w:rsid w:val="005973F5"/>
    <w:rsid w:val="00597B9B"/>
    <w:rsid w:val="005A03CE"/>
    <w:rsid w:val="005A2F62"/>
    <w:rsid w:val="005A51A6"/>
    <w:rsid w:val="005A58FF"/>
    <w:rsid w:val="005A6445"/>
    <w:rsid w:val="005A70BA"/>
    <w:rsid w:val="005A71C4"/>
    <w:rsid w:val="005A7D2F"/>
    <w:rsid w:val="005B057A"/>
    <w:rsid w:val="005B2367"/>
    <w:rsid w:val="005B2CBD"/>
    <w:rsid w:val="005B367A"/>
    <w:rsid w:val="005B3B64"/>
    <w:rsid w:val="005B4AA4"/>
    <w:rsid w:val="005B4BD9"/>
    <w:rsid w:val="005B5C47"/>
    <w:rsid w:val="005B657F"/>
    <w:rsid w:val="005B7346"/>
    <w:rsid w:val="005B79ED"/>
    <w:rsid w:val="005C0115"/>
    <w:rsid w:val="005C0427"/>
    <w:rsid w:val="005C0510"/>
    <w:rsid w:val="005C0CD0"/>
    <w:rsid w:val="005C17D7"/>
    <w:rsid w:val="005C1818"/>
    <w:rsid w:val="005C2E4D"/>
    <w:rsid w:val="005C434A"/>
    <w:rsid w:val="005C7916"/>
    <w:rsid w:val="005D03C1"/>
    <w:rsid w:val="005D2634"/>
    <w:rsid w:val="005D271E"/>
    <w:rsid w:val="005D27F4"/>
    <w:rsid w:val="005D3C86"/>
    <w:rsid w:val="005D3D81"/>
    <w:rsid w:val="005D3DD3"/>
    <w:rsid w:val="005D3F7B"/>
    <w:rsid w:val="005D4032"/>
    <w:rsid w:val="005D430E"/>
    <w:rsid w:val="005E0954"/>
    <w:rsid w:val="005E1415"/>
    <w:rsid w:val="005E23B7"/>
    <w:rsid w:val="005E3AE9"/>
    <w:rsid w:val="005E44EB"/>
    <w:rsid w:val="005E6639"/>
    <w:rsid w:val="005E775B"/>
    <w:rsid w:val="005E79D1"/>
    <w:rsid w:val="005F0274"/>
    <w:rsid w:val="005F266E"/>
    <w:rsid w:val="005F2997"/>
    <w:rsid w:val="005F2BD2"/>
    <w:rsid w:val="005F342F"/>
    <w:rsid w:val="005F4825"/>
    <w:rsid w:val="005F527F"/>
    <w:rsid w:val="005F5DE1"/>
    <w:rsid w:val="005F6D6A"/>
    <w:rsid w:val="00603551"/>
    <w:rsid w:val="00604C64"/>
    <w:rsid w:val="00605122"/>
    <w:rsid w:val="006078F3"/>
    <w:rsid w:val="00607BCC"/>
    <w:rsid w:val="00607EA8"/>
    <w:rsid w:val="00607FA1"/>
    <w:rsid w:val="0061062F"/>
    <w:rsid w:val="00610AD6"/>
    <w:rsid w:val="00611B25"/>
    <w:rsid w:val="00612457"/>
    <w:rsid w:val="006130BE"/>
    <w:rsid w:val="006130CA"/>
    <w:rsid w:val="00613CBC"/>
    <w:rsid w:val="00613DFE"/>
    <w:rsid w:val="00614874"/>
    <w:rsid w:val="006148FB"/>
    <w:rsid w:val="00614B15"/>
    <w:rsid w:val="00615B26"/>
    <w:rsid w:val="00615D44"/>
    <w:rsid w:val="0061603C"/>
    <w:rsid w:val="00616F8B"/>
    <w:rsid w:val="006202A9"/>
    <w:rsid w:val="006202BD"/>
    <w:rsid w:val="00621B86"/>
    <w:rsid w:val="00621CEA"/>
    <w:rsid w:val="00621DDA"/>
    <w:rsid w:val="00623AAF"/>
    <w:rsid w:val="00624CB4"/>
    <w:rsid w:val="00624D7F"/>
    <w:rsid w:val="00625655"/>
    <w:rsid w:val="00625B5F"/>
    <w:rsid w:val="006270A5"/>
    <w:rsid w:val="006270C7"/>
    <w:rsid w:val="00627477"/>
    <w:rsid w:val="0063113B"/>
    <w:rsid w:val="0063126C"/>
    <w:rsid w:val="00631CF6"/>
    <w:rsid w:val="00631E59"/>
    <w:rsid w:val="00632803"/>
    <w:rsid w:val="006328BE"/>
    <w:rsid w:val="00632A32"/>
    <w:rsid w:val="00633288"/>
    <w:rsid w:val="00633394"/>
    <w:rsid w:val="006347A5"/>
    <w:rsid w:val="006353FB"/>
    <w:rsid w:val="006372F5"/>
    <w:rsid w:val="00637541"/>
    <w:rsid w:val="0064006D"/>
    <w:rsid w:val="0064024B"/>
    <w:rsid w:val="0064170B"/>
    <w:rsid w:val="00641F97"/>
    <w:rsid w:val="00642F13"/>
    <w:rsid w:val="0064526E"/>
    <w:rsid w:val="00645D92"/>
    <w:rsid w:val="0064652F"/>
    <w:rsid w:val="006468C9"/>
    <w:rsid w:val="00646948"/>
    <w:rsid w:val="00646D80"/>
    <w:rsid w:val="00647E2D"/>
    <w:rsid w:val="006517EA"/>
    <w:rsid w:val="00651820"/>
    <w:rsid w:val="00651E0E"/>
    <w:rsid w:val="00652B7F"/>
    <w:rsid w:val="00653127"/>
    <w:rsid w:val="0065365E"/>
    <w:rsid w:val="00653CCA"/>
    <w:rsid w:val="006557AA"/>
    <w:rsid w:val="00656B7A"/>
    <w:rsid w:val="00656EDE"/>
    <w:rsid w:val="0066051D"/>
    <w:rsid w:val="00661ACC"/>
    <w:rsid w:val="00661C4D"/>
    <w:rsid w:val="00662044"/>
    <w:rsid w:val="006648F1"/>
    <w:rsid w:val="0066670C"/>
    <w:rsid w:val="0066692D"/>
    <w:rsid w:val="00666DB9"/>
    <w:rsid w:val="00666DCE"/>
    <w:rsid w:val="00667500"/>
    <w:rsid w:val="00667605"/>
    <w:rsid w:val="00667CFC"/>
    <w:rsid w:val="006709A7"/>
    <w:rsid w:val="00670AA8"/>
    <w:rsid w:val="00672EB7"/>
    <w:rsid w:val="0067441B"/>
    <w:rsid w:val="00675E8E"/>
    <w:rsid w:val="0067610D"/>
    <w:rsid w:val="006810B4"/>
    <w:rsid w:val="0068156E"/>
    <w:rsid w:val="00681E95"/>
    <w:rsid w:val="00681EB1"/>
    <w:rsid w:val="00682EF5"/>
    <w:rsid w:val="00684848"/>
    <w:rsid w:val="00685403"/>
    <w:rsid w:val="0068632F"/>
    <w:rsid w:val="006902DC"/>
    <w:rsid w:val="0069061A"/>
    <w:rsid w:val="006909A8"/>
    <w:rsid w:val="0069178C"/>
    <w:rsid w:val="00691FEC"/>
    <w:rsid w:val="00693AD6"/>
    <w:rsid w:val="00695F6C"/>
    <w:rsid w:val="0069641D"/>
    <w:rsid w:val="00696896"/>
    <w:rsid w:val="006972B2"/>
    <w:rsid w:val="00697C47"/>
    <w:rsid w:val="006A0B29"/>
    <w:rsid w:val="006A0F1C"/>
    <w:rsid w:val="006A3793"/>
    <w:rsid w:val="006A45EA"/>
    <w:rsid w:val="006A4C00"/>
    <w:rsid w:val="006B0668"/>
    <w:rsid w:val="006B130A"/>
    <w:rsid w:val="006B2119"/>
    <w:rsid w:val="006B3979"/>
    <w:rsid w:val="006B3A74"/>
    <w:rsid w:val="006B3D7A"/>
    <w:rsid w:val="006B3FBE"/>
    <w:rsid w:val="006B4BD2"/>
    <w:rsid w:val="006B5360"/>
    <w:rsid w:val="006B60A8"/>
    <w:rsid w:val="006B6817"/>
    <w:rsid w:val="006C176B"/>
    <w:rsid w:val="006C198B"/>
    <w:rsid w:val="006C1A4B"/>
    <w:rsid w:val="006C307A"/>
    <w:rsid w:val="006C3B7A"/>
    <w:rsid w:val="006C534B"/>
    <w:rsid w:val="006C5D83"/>
    <w:rsid w:val="006C6B7C"/>
    <w:rsid w:val="006D0686"/>
    <w:rsid w:val="006D0A24"/>
    <w:rsid w:val="006D0D3C"/>
    <w:rsid w:val="006D17D1"/>
    <w:rsid w:val="006D35FB"/>
    <w:rsid w:val="006D425D"/>
    <w:rsid w:val="006D4942"/>
    <w:rsid w:val="006D5370"/>
    <w:rsid w:val="006D6880"/>
    <w:rsid w:val="006D6AFF"/>
    <w:rsid w:val="006D74FF"/>
    <w:rsid w:val="006D7F51"/>
    <w:rsid w:val="006D7F72"/>
    <w:rsid w:val="006E056F"/>
    <w:rsid w:val="006E0708"/>
    <w:rsid w:val="006E0D07"/>
    <w:rsid w:val="006E29B5"/>
    <w:rsid w:val="006E3F7E"/>
    <w:rsid w:val="006E4622"/>
    <w:rsid w:val="006E5008"/>
    <w:rsid w:val="006E521E"/>
    <w:rsid w:val="006E5ABD"/>
    <w:rsid w:val="006E6AAC"/>
    <w:rsid w:val="006F0CB3"/>
    <w:rsid w:val="006F0EF8"/>
    <w:rsid w:val="006F1980"/>
    <w:rsid w:val="006F19FE"/>
    <w:rsid w:val="006F1F2C"/>
    <w:rsid w:val="006F2E95"/>
    <w:rsid w:val="006F38F1"/>
    <w:rsid w:val="006F4024"/>
    <w:rsid w:val="006F44F1"/>
    <w:rsid w:val="006F5077"/>
    <w:rsid w:val="006F50A0"/>
    <w:rsid w:val="006F54F1"/>
    <w:rsid w:val="006F6105"/>
    <w:rsid w:val="006F6234"/>
    <w:rsid w:val="006F6A1F"/>
    <w:rsid w:val="006F764B"/>
    <w:rsid w:val="006F7CC1"/>
    <w:rsid w:val="007012A8"/>
    <w:rsid w:val="00701763"/>
    <w:rsid w:val="00702C8E"/>
    <w:rsid w:val="0070351F"/>
    <w:rsid w:val="00703CFB"/>
    <w:rsid w:val="00704599"/>
    <w:rsid w:val="00704E46"/>
    <w:rsid w:val="00705273"/>
    <w:rsid w:val="00705C7A"/>
    <w:rsid w:val="007073CF"/>
    <w:rsid w:val="00707D6B"/>
    <w:rsid w:val="00710CFE"/>
    <w:rsid w:val="00710E4A"/>
    <w:rsid w:val="007123EC"/>
    <w:rsid w:val="007124DC"/>
    <w:rsid w:val="00712E1C"/>
    <w:rsid w:val="00712F5B"/>
    <w:rsid w:val="00713840"/>
    <w:rsid w:val="007139A4"/>
    <w:rsid w:val="0071405F"/>
    <w:rsid w:val="00714603"/>
    <w:rsid w:val="00714CFA"/>
    <w:rsid w:val="007165CC"/>
    <w:rsid w:val="00716CBC"/>
    <w:rsid w:val="00720A32"/>
    <w:rsid w:val="007219FF"/>
    <w:rsid w:val="00722167"/>
    <w:rsid w:val="00727076"/>
    <w:rsid w:val="00727B93"/>
    <w:rsid w:val="00727DCC"/>
    <w:rsid w:val="0073021C"/>
    <w:rsid w:val="007306FB"/>
    <w:rsid w:val="007317AD"/>
    <w:rsid w:val="00731B82"/>
    <w:rsid w:val="00731C77"/>
    <w:rsid w:val="00733437"/>
    <w:rsid w:val="00733907"/>
    <w:rsid w:val="007344AE"/>
    <w:rsid w:val="007345D0"/>
    <w:rsid w:val="00734F8E"/>
    <w:rsid w:val="00735686"/>
    <w:rsid w:val="00735D9B"/>
    <w:rsid w:val="0073659B"/>
    <w:rsid w:val="00736750"/>
    <w:rsid w:val="00737FC0"/>
    <w:rsid w:val="00741991"/>
    <w:rsid w:val="00741A4D"/>
    <w:rsid w:val="00741AF8"/>
    <w:rsid w:val="0074226D"/>
    <w:rsid w:val="00742874"/>
    <w:rsid w:val="007446CE"/>
    <w:rsid w:val="00744ED1"/>
    <w:rsid w:val="00745D1A"/>
    <w:rsid w:val="00746EB7"/>
    <w:rsid w:val="007509DC"/>
    <w:rsid w:val="00750BBD"/>
    <w:rsid w:val="00750EA5"/>
    <w:rsid w:val="00751079"/>
    <w:rsid w:val="00751A51"/>
    <w:rsid w:val="00753328"/>
    <w:rsid w:val="00754D97"/>
    <w:rsid w:val="00754E99"/>
    <w:rsid w:val="007565EB"/>
    <w:rsid w:val="00756BD0"/>
    <w:rsid w:val="0076031B"/>
    <w:rsid w:val="007604DD"/>
    <w:rsid w:val="0076075A"/>
    <w:rsid w:val="00760A37"/>
    <w:rsid w:val="00761476"/>
    <w:rsid w:val="00761CFE"/>
    <w:rsid w:val="00761E6D"/>
    <w:rsid w:val="007624A5"/>
    <w:rsid w:val="0076408A"/>
    <w:rsid w:val="00766D32"/>
    <w:rsid w:val="00766EF2"/>
    <w:rsid w:val="007673C4"/>
    <w:rsid w:val="0077067B"/>
    <w:rsid w:val="00773738"/>
    <w:rsid w:val="00773FAE"/>
    <w:rsid w:val="007741E6"/>
    <w:rsid w:val="00774477"/>
    <w:rsid w:val="00775DC0"/>
    <w:rsid w:val="0077669E"/>
    <w:rsid w:val="00780CCC"/>
    <w:rsid w:val="00781B3B"/>
    <w:rsid w:val="00781D6F"/>
    <w:rsid w:val="0078494A"/>
    <w:rsid w:val="0078675A"/>
    <w:rsid w:val="0078795A"/>
    <w:rsid w:val="00790D12"/>
    <w:rsid w:val="00791A7A"/>
    <w:rsid w:val="007929F0"/>
    <w:rsid w:val="00793443"/>
    <w:rsid w:val="00793ED3"/>
    <w:rsid w:val="007960A2"/>
    <w:rsid w:val="00796C94"/>
    <w:rsid w:val="0079719B"/>
    <w:rsid w:val="007A3A0E"/>
    <w:rsid w:val="007A6AB0"/>
    <w:rsid w:val="007B1230"/>
    <w:rsid w:val="007B1983"/>
    <w:rsid w:val="007B1B66"/>
    <w:rsid w:val="007B436A"/>
    <w:rsid w:val="007B5038"/>
    <w:rsid w:val="007B6AF4"/>
    <w:rsid w:val="007C1B8D"/>
    <w:rsid w:val="007C2571"/>
    <w:rsid w:val="007C2747"/>
    <w:rsid w:val="007C279F"/>
    <w:rsid w:val="007C382D"/>
    <w:rsid w:val="007C5217"/>
    <w:rsid w:val="007C5981"/>
    <w:rsid w:val="007C6849"/>
    <w:rsid w:val="007C774A"/>
    <w:rsid w:val="007D0119"/>
    <w:rsid w:val="007D1F52"/>
    <w:rsid w:val="007D1F71"/>
    <w:rsid w:val="007D243A"/>
    <w:rsid w:val="007D33DC"/>
    <w:rsid w:val="007D39AF"/>
    <w:rsid w:val="007D443C"/>
    <w:rsid w:val="007D51DB"/>
    <w:rsid w:val="007D669B"/>
    <w:rsid w:val="007D6C30"/>
    <w:rsid w:val="007D6FB9"/>
    <w:rsid w:val="007D7AC4"/>
    <w:rsid w:val="007E0018"/>
    <w:rsid w:val="007E03E5"/>
    <w:rsid w:val="007E108F"/>
    <w:rsid w:val="007E1DC7"/>
    <w:rsid w:val="007E29CA"/>
    <w:rsid w:val="007E382A"/>
    <w:rsid w:val="007E3C45"/>
    <w:rsid w:val="007E6A1D"/>
    <w:rsid w:val="007F2291"/>
    <w:rsid w:val="007F25AC"/>
    <w:rsid w:val="007F25EE"/>
    <w:rsid w:val="007F2E30"/>
    <w:rsid w:val="007F410D"/>
    <w:rsid w:val="007F4172"/>
    <w:rsid w:val="007F51AB"/>
    <w:rsid w:val="007F59AF"/>
    <w:rsid w:val="007F5F48"/>
    <w:rsid w:val="007F632F"/>
    <w:rsid w:val="007F6EC4"/>
    <w:rsid w:val="007F7CEB"/>
    <w:rsid w:val="00802936"/>
    <w:rsid w:val="00803D15"/>
    <w:rsid w:val="00803E02"/>
    <w:rsid w:val="008042B4"/>
    <w:rsid w:val="00804363"/>
    <w:rsid w:val="00804B50"/>
    <w:rsid w:val="00804B63"/>
    <w:rsid w:val="00804DE2"/>
    <w:rsid w:val="0080515A"/>
    <w:rsid w:val="0080654A"/>
    <w:rsid w:val="00806B54"/>
    <w:rsid w:val="00810373"/>
    <w:rsid w:val="0081190E"/>
    <w:rsid w:val="0081229B"/>
    <w:rsid w:val="00812F52"/>
    <w:rsid w:val="00813012"/>
    <w:rsid w:val="00813414"/>
    <w:rsid w:val="0081352F"/>
    <w:rsid w:val="008141CE"/>
    <w:rsid w:val="008153A8"/>
    <w:rsid w:val="00816120"/>
    <w:rsid w:val="008166BA"/>
    <w:rsid w:val="008167F8"/>
    <w:rsid w:val="00816DB9"/>
    <w:rsid w:val="008171F3"/>
    <w:rsid w:val="00820DE1"/>
    <w:rsid w:val="00821637"/>
    <w:rsid w:val="00821B27"/>
    <w:rsid w:val="008228A5"/>
    <w:rsid w:val="00822A69"/>
    <w:rsid w:val="008245DF"/>
    <w:rsid w:val="00824DF8"/>
    <w:rsid w:val="008259FD"/>
    <w:rsid w:val="0082600A"/>
    <w:rsid w:val="00826484"/>
    <w:rsid w:val="00826995"/>
    <w:rsid w:val="00826A9F"/>
    <w:rsid w:val="00827D88"/>
    <w:rsid w:val="00830AD2"/>
    <w:rsid w:val="008310D8"/>
    <w:rsid w:val="00831EF1"/>
    <w:rsid w:val="008323AB"/>
    <w:rsid w:val="008326DD"/>
    <w:rsid w:val="0083282A"/>
    <w:rsid w:val="00834BE0"/>
    <w:rsid w:val="00835347"/>
    <w:rsid w:val="00840B97"/>
    <w:rsid w:val="00840C6D"/>
    <w:rsid w:val="00840D49"/>
    <w:rsid w:val="00840EE2"/>
    <w:rsid w:val="00841C19"/>
    <w:rsid w:val="00841C38"/>
    <w:rsid w:val="00841DE0"/>
    <w:rsid w:val="008430FE"/>
    <w:rsid w:val="00843759"/>
    <w:rsid w:val="008438DA"/>
    <w:rsid w:val="00845E12"/>
    <w:rsid w:val="00847232"/>
    <w:rsid w:val="00847299"/>
    <w:rsid w:val="008472C7"/>
    <w:rsid w:val="00850B4F"/>
    <w:rsid w:val="0085205D"/>
    <w:rsid w:val="0085348C"/>
    <w:rsid w:val="008544C5"/>
    <w:rsid w:val="00855766"/>
    <w:rsid w:val="00855AAA"/>
    <w:rsid w:val="00861A43"/>
    <w:rsid w:val="00862E0F"/>
    <w:rsid w:val="00862E2F"/>
    <w:rsid w:val="00862EC1"/>
    <w:rsid w:val="00863625"/>
    <w:rsid w:val="00863C24"/>
    <w:rsid w:val="008640B7"/>
    <w:rsid w:val="00864138"/>
    <w:rsid w:val="00864747"/>
    <w:rsid w:val="00864BFF"/>
    <w:rsid w:val="00865A04"/>
    <w:rsid w:val="00866169"/>
    <w:rsid w:val="00866210"/>
    <w:rsid w:val="00867B5C"/>
    <w:rsid w:val="00870257"/>
    <w:rsid w:val="008705BA"/>
    <w:rsid w:val="00871617"/>
    <w:rsid w:val="00871C8D"/>
    <w:rsid w:val="008720A2"/>
    <w:rsid w:val="00872100"/>
    <w:rsid w:val="00872640"/>
    <w:rsid w:val="00873C50"/>
    <w:rsid w:val="00874B74"/>
    <w:rsid w:val="0087588A"/>
    <w:rsid w:val="00875A01"/>
    <w:rsid w:val="00875D8B"/>
    <w:rsid w:val="00875F4A"/>
    <w:rsid w:val="00876A1F"/>
    <w:rsid w:val="0087700B"/>
    <w:rsid w:val="00880429"/>
    <w:rsid w:val="008805E4"/>
    <w:rsid w:val="008805FF"/>
    <w:rsid w:val="00880677"/>
    <w:rsid w:val="00880C5D"/>
    <w:rsid w:val="0088325D"/>
    <w:rsid w:val="00883B25"/>
    <w:rsid w:val="00883DCA"/>
    <w:rsid w:val="00884004"/>
    <w:rsid w:val="008846ED"/>
    <w:rsid w:val="00886625"/>
    <w:rsid w:val="00886681"/>
    <w:rsid w:val="008918A2"/>
    <w:rsid w:val="008922AD"/>
    <w:rsid w:val="00892560"/>
    <w:rsid w:val="00892612"/>
    <w:rsid w:val="0089268A"/>
    <w:rsid w:val="00892D03"/>
    <w:rsid w:val="00893771"/>
    <w:rsid w:val="00893BC1"/>
    <w:rsid w:val="00894A65"/>
    <w:rsid w:val="00896DA0"/>
    <w:rsid w:val="00896EB1"/>
    <w:rsid w:val="00897523"/>
    <w:rsid w:val="00897677"/>
    <w:rsid w:val="008A240E"/>
    <w:rsid w:val="008A31ED"/>
    <w:rsid w:val="008A575F"/>
    <w:rsid w:val="008A5871"/>
    <w:rsid w:val="008A78AD"/>
    <w:rsid w:val="008A7CCA"/>
    <w:rsid w:val="008A7D3B"/>
    <w:rsid w:val="008B0FB0"/>
    <w:rsid w:val="008B16D1"/>
    <w:rsid w:val="008B29D9"/>
    <w:rsid w:val="008B4E78"/>
    <w:rsid w:val="008B563A"/>
    <w:rsid w:val="008B59DB"/>
    <w:rsid w:val="008B764C"/>
    <w:rsid w:val="008B78B4"/>
    <w:rsid w:val="008C075A"/>
    <w:rsid w:val="008C0C97"/>
    <w:rsid w:val="008C0FDA"/>
    <w:rsid w:val="008C16F7"/>
    <w:rsid w:val="008C1870"/>
    <w:rsid w:val="008C30FF"/>
    <w:rsid w:val="008C503B"/>
    <w:rsid w:val="008C5E10"/>
    <w:rsid w:val="008C64B1"/>
    <w:rsid w:val="008C670C"/>
    <w:rsid w:val="008D1040"/>
    <w:rsid w:val="008D15CF"/>
    <w:rsid w:val="008D19D0"/>
    <w:rsid w:val="008D2A76"/>
    <w:rsid w:val="008D3839"/>
    <w:rsid w:val="008D387E"/>
    <w:rsid w:val="008D438F"/>
    <w:rsid w:val="008D451D"/>
    <w:rsid w:val="008D643B"/>
    <w:rsid w:val="008D6B52"/>
    <w:rsid w:val="008D7337"/>
    <w:rsid w:val="008E0C40"/>
    <w:rsid w:val="008E2AE5"/>
    <w:rsid w:val="008E2ED2"/>
    <w:rsid w:val="008E3C50"/>
    <w:rsid w:val="008E4E77"/>
    <w:rsid w:val="008E5142"/>
    <w:rsid w:val="008E7725"/>
    <w:rsid w:val="008F0E8E"/>
    <w:rsid w:val="008F1B96"/>
    <w:rsid w:val="008F2062"/>
    <w:rsid w:val="008F3F2A"/>
    <w:rsid w:val="008F45F5"/>
    <w:rsid w:val="00900152"/>
    <w:rsid w:val="009001CA"/>
    <w:rsid w:val="009015F3"/>
    <w:rsid w:val="00901C56"/>
    <w:rsid w:val="00903F56"/>
    <w:rsid w:val="00904276"/>
    <w:rsid w:val="00904E78"/>
    <w:rsid w:val="00905527"/>
    <w:rsid w:val="00905716"/>
    <w:rsid w:val="00905730"/>
    <w:rsid w:val="00905D13"/>
    <w:rsid w:val="009104AD"/>
    <w:rsid w:val="009119D7"/>
    <w:rsid w:val="00913427"/>
    <w:rsid w:val="0091418F"/>
    <w:rsid w:val="00915000"/>
    <w:rsid w:val="0091520D"/>
    <w:rsid w:val="00916E2E"/>
    <w:rsid w:val="00917C3B"/>
    <w:rsid w:val="009227EE"/>
    <w:rsid w:val="0092284E"/>
    <w:rsid w:val="00922FC2"/>
    <w:rsid w:val="00923940"/>
    <w:rsid w:val="00924834"/>
    <w:rsid w:val="00925047"/>
    <w:rsid w:val="00926B4F"/>
    <w:rsid w:val="00926C4D"/>
    <w:rsid w:val="00930599"/>
    <w:rsid w:val="00932C41"/>
    <w:rsid w:val="00932FB4"/>
    <w:rsid w:val="00933611"/>
    <w:rsid w:val="00933830"/>
    <w:rsid w:val="0093433D"/>
    <w:rsid w:val="00934C70"/>
    <w:rsid w:val="00936984"/>
    <w:rsid w:val="0094075E"/>
    <w:rsid w:val="00940972"/>
    <w:rsid w:val="0094176E"/>
    <w:rsid w:val="00942430"/>
    <w:rsid w:val="00942A7C"/>
    <w:rsid w:val="00943914"/>
    <w:rsid w:val="00943D1B"/>
    <w:rsid w:val="009449D1"/>
    <w:rsid w:val="00944EA0"/>
    <w:rsid w:val="00945079"/>
    <w:rsid w:val="0094507E"/>
    <w:rsid w:val="00947676"/>
    <w:rsid w:val="00947EE5"/>
    <w:rsid w:val="0095262C"/>
    <w:rsid w:val="009532DD"/>
    <w:rsid w:val="00953D67"/>
    <w:rsid w:val="00955D52"/>
    <w:rsid w:val="00956263"/>
    <w:rsid w:val="00957A19"/>
    <w:rsid w:val="009604F6"/>
    <w:rsid w:val="009609F8"/>
    <w:rsid w:val="00961646"/>
    <w:rsid w:val="00961CCC"/>
    <w:rsid w:val="00961F62"/>
    <w:rsid w:val="009626E0"/>
    <w:rsid w:val="009633AF"/>
    <w:rsid w:val="009641DD"/>
    <w:rsid w:val="00965288"/>
    <w:rsid w:val="009656E4"/>
    <w:rsid w:val="009657E4"/>
    <w:rsid w:val="0096589A"/>
    <w:rsid w:val="009659A1"/>
    <w:rsid w:val="009659BC"/>
    <w:rsid w:val="00966A47"/>
    <w:rsid w:val="00966DAB"/>
    <w:rsid w:val="0096725A"/>
    <w:rsid w:val="0096772B"/>
    <w:rsid w:val="00967B18"/>
    <w:rsid w:val="009710CD"/>
    <w:rsid w:val="00971764"/>
    <w:rsid w:val="00971AFF"/>
    <w:rsid w:val="009739E1"/>
    <w:rsid w:val="00973EDF"/>
    <w:rsid w:val="00975708"/>
    <w:rsid w:val="0098061D"/>
    <w:rsid w:val="009809E9"/>
    <w:rsid w:val="00980DD5"/>
    <w:rsid w:val="00982B62"/>
    <w:rsid w:val="0098314D"/>
    <w:rsid w:val="009834FB"/>
    <w:rsid w:val="0098392D"/>
    <w:rsid w:val="00986606"/>
    <w:rsid w:val="0098678D"/>
    <w:rsid w:val="00986D7C"/>
    <w:rsid w:val="00987596"/>
    <w:rsid w:val="00990068"/>
    <w:rsid w:val="009908DD"/>
    <w:rsid w:val="00991D5A"/>
    <w:rsid w:val="00993099"/>
    <w:rsid w:val="0099367D"/>
    <w:rsid w:val="00993ADE"/>
    <w:rsid w:val="00993DB4"/>
    <w:rsid w:val="00994176"/>
    <w:rsid w:val="00995480"/>
    <w:rsid w:val="00995A5D"/>
    <w:rsid w:val="00996061"/>
    <w:rsid w:val="009978A3"/>
    <w:rsid w:val="00997BB7"/>
    <w:rsid w:val="009A0AB5"/>
    <w:rsid w:val="009A21C8"/>
    <w:rsid w:val="009A3971"/>
    <w:rsid w:val="009A46E4"/>
    <w:rsid w:val="009A5C87"/>
    <w:rsid w:val="009A7536"/>
    <w:rsid w:val="009B14AB"/>
    <w:rsid w:val="009B198E"/>
    <w:rsid w:val="009B40AB"/>
    <w:rsid w:val="009B4F18"/>
    <w:rsid w:val="009B577A"/>
    <w:rsid w:val="009B6FF3"/>
    <w:rsid w:val="009B7D95"/>
    <w:rsid w:val="009C05F2"/>
    <w:rsid w:val="009C09CE"/>
    <w:rsid w:val="009C17B2"/>
    <w:rsid w:val="009C1BF6"/>
    <w:rsid w:val="009C2A89"/>
    <w:rsid w:val="009C3FAF"/>
    <w:rsid w:val="009C4430"/>
    <w:rsid w:val="009C4FFB"/>
    <w:rsid w:val="009D04E1"/>
    <w:rsid w:val="009D088E"/>
    <w:rsid w:val="009D2323"/>
    <w:rsid w:val="009D2C5D"/>
    <w:rsid w:val="009D3764"/>
    <w:rsid w:val="009D4633"/>
    <w:rsid w:val="009D740A"/>
    <w:rsid w:val="009D761B"/>
    <w:rsid w:val="009D7BD6"/>
    <w:rsid w:val="009E02A9"/>
    <w:rsid w:val="009E0843"/>
    <w:rsid w:val="009E1126"/>
    <w:rsid w:val="009E22F2"/>
    <w:rsid w:val="009E32F6"/>
    <w:rsid w:val="009E38F3"/>
    <w:rsid w:val="009E4112"/>
    <w:rsid w:val="009E4795"/>
    <w:rsid w:val="009E4799"/>
    <w:rsid w:val="009E5434"/>
    <w:rsid w:val="009E5E07"/>
    <w:rsid w:val="009E60BC"/>
    <w:rsid w:val="009F07FD"/>
    <w:rsid w:val="009F1711"/>
    <w:rsid w:val="009F3320"/>
    <w:rsid w:val="009F3BE9"/>
    <w:rsid w:val="009F43A8"/>
    <w:rsid w:val="009F4903"/>
    <w:rsid w:val="009F4F70"/>
    <w:rsid w:val="009F6021"/>
    <w:rsid w:val="009F6E20"/>
    <w:rsid w:val="00A00231"/>
    <w:rsid w:val="00A0185A"/>
    <w:rsid w:val="00A02116"/>
    <w:rsid w:val="00A02848"/>
    <w:rsid w:val="00A02902"/>
    <w:rsid w:val="00A0355A"/>
    <w:rsid w:val="00A04708"/>
    <w:rsid w:val="00A10473"/>
    <w:rsid w:val="00A10A1F"/>
    <w:rsid w:val="00A10D09"/>
    <w:rsid w:val="00A127C8"/>
    <w:rsid w:val="00A12F56"/>
    <w:rsid w:val="00A12FF3"/>
    <w:rsid w:val="00A131C2"/>
    <w:rsid w:val="00A14A62"/>
    <w:rsid w:val="00A1509B"/>
    <w:rsid w:val="00A15101"/>
    <w:rsid w:val="00A202BF"/>
    <w:rsid w:val="00A20769"/>
    <w:rsid w:val="00A20BEB"/>
    <w:rsid w:val="00A23B5A"/>
    <w:rsid w:val="00A240CC"/>
    <w:rsid w:val="00A24444"/>
    <w:rsid w:val="00A25681"/>
    <w:rsid w:val="00A26EB4"/>
    <w:rsid w:val="00A30778"/>
    <w:rsid w:val="00A30891"/>
    <w:rsid w:val="00A308ED"/>
    <w:rsid w:val="00A308F0"/>
    <w:rsid w:val="00A30D89"/>
    <w:rsid w:val="00A30FB5"/>
    <w:rsid w:val="00A32561"/>
    <w:rsid w:val="00A3357C"/>
    <w:rsid w:val="00A34ABC"/>
    <w:rsid w:val="00A34B2F"/>
    <w:rsid w:val="00A34D2A"/>
    <w:rsid w:val="00A36DF9"/>
    <w:rsid w:val="00A373A1"/>
    <w:rsid w:val="00A40B82"/>
    <w:rsid w:val="00A419E5"/>
    <w:rsid w:val="00A4298C"/>
    <w:rsid w:val="00A42AEC"/>
    <w:rsid w:val="00A44E20"/>
    <w:rsid w:val="00A46058"/>
    <w:rsid w:val="00A463E7"/>
    <w:rsid w:val="00A476D9"/>
    <w:rsid w:val="00A501FA"/>
    <w:rsid w:val="00A502B8"/>
    <w:rsid w:val="00A50E75"/>
    <w:rsid w:val="00A50F8E"/>
    <w:rsid w:val="00A51395"/>
    <w:rsid w:val="00A51B3F"/>
    <w:rsid w:val="00A51F36"/>
    <w:rsid w:val="00A51FEC"/>
    <w:rsid w:val="00A53FF9"/>
    <w:rsid w:val="00A55A0D"/>
    <w:rsid w:val="00A562FE"/>
    <w:rsid w:val="00A56A13"/>
    <w:rsid w:val="00A577A5"/>
    <w:rsid w:val="00A57C0F"/>
    <w:rsid w:val="00A60C7C"/>
    <w:rsid w:val="00A61A7B"/>
    <w:rsid w:val="00A61B84"/>
    <w:rsid w:val="00A622A0"/>
    <w:rsid w:val="00A642D2"/>
    <w:rsid w:val="00A650BB"/>
    <w:rsid w:val="00A65CA0"/>
    <w:rsid w:val="00A66A61"/>
    <w:rsid w:val="00A677C2"/>
    <w:rsid w:val="00A7016A"/>
    <w:rsid w:val="00A70293"/>
    <w:rsid w:val="00A704D7"/>
    <w:rsid w:val="00A70538"/>
    <w:rsid w:val="00A719E4"/>
    <w:rsid w:val="00A71F3B"/>
    <w:rsid w:val="00A72D8C"/>
    <w:rsid w:val="00A7369F"/>
    <w:rsid w:val="00A740AF"/>
    <w:rsid w:val="00A75416"/>
    <w:rsid w:val="00A764D6"/>
    <w:rsid w:val="00A767FE"/>
    <w:rsid w:val="00A773BD"/>
    <w:rsid w:val="00A81E89"/>
    <w:rsid w:val="00A8256A"/>
    <w:rsid w:val="00A8327F"/>
    <w:rsid w:val="00A8483C"/>
    <w:rsid w:val="00A85C37"/>
    <w:rsid w:val="00A85D3C"/>
    <w:rsid w:val="00A85F40"/>
    <w:rsid w:val="00A87356"/>
    <w:rsid w:val="00A87EFE"/>
    <w:rsid w:val="00A87F7E"/>
    <w:rsid w:val="00A901C9"/>
    <w:rsid w:val="00A9123D"/>
    <w:rsid w:val="00A91336"/>
    <w:rsid w:val="00A924CF"/>
    <w:rsid w:val="00A9272F"/>
    <w:rsid w:val="00A928CB"/>
    <w:rsid w:val="00A94464"/>
    <w:rsid w:val="00A94B01"/>
    <w:rsid w:val="00A95335"/>
    <w:rsid w:val="00A9542F"/>
    <w:rsid w:val="00A95431"/>
    <w:rsid w:val="00A95B04"/>
    <w:rsid w:val="00A9600F"/>
    <w:rsid w:val="00A9640F"/>
    <w:rsid w:val="00A96B33"/>
    <w:rsid w:val="00A977B8"/>
    <w:rsid w:val="00A978D1"/>
    <w:rsid w:val="00AA07AD"/>
    <w:rsid w:val="00AA0F88"/>
    <w:rsid w:val="00AA21EF"/>
    <w:rsid w:val="00AA2D5C"/>
    <w:rsid w:val="00AA300C"/>
    <w:rsid w:val="00AA3AF9"/>
    <w:rsid w:val="00AA4D54"/>
    <w:rsid w:val="00AA59E8"/>
    <w:rsid w:val="00AA6233"/>
    <w:rsid w:val="00AA6BA6"/>
    <w:rsid w:val="00AA75A5"/>
    <w:rsid w:val="00AA768F"/>
    <w:rsid w:val="00AA7934"/>
    <w:rsid w:val="00AB0944"/>
    <w:rsid w:val="00AB2706"/>
    <w:rsid w:val="00AB29E6"/>
    <w:rsid w:val="00AB3080"/>
    <w:rsid w:val="00AB3238"/>
    <w:rsid w:val="00AB41A8"/>
    <w:rsid w:val="00AB7382"/>
    <w:rsid w:val="00AC0A1A"/>
    <w:rsid w:val="00AC0CED"/>
    <w:rsid w:val="00AC1087"/>
    <w:rsid w:val="00AC2D01"/>
    <w:rsid w:val="00AC62A6"/>
    <w:rsid w:val="00AC676A"/>
    <w:rsid w:val="00AC67E5"/>
    <w:rsid w:val="00AD0FA9"/>
    <w:rsid w:val="00AD208B"/>
    <w:rsid w:val="00AD2D52"/>
    <w:rsid w:val="00AD5044"/>
    <w:rsid w:val="00AD6025"/>
    <w:rsid w:val="00AE085A"/>
    <w:rsid w:val="00AE188E"/>
    <w:rsid w:val="00AE231F"/>
    <w:rsid w:val="00AE3AD4"/>
    <w:rsid w:val="00AE3DB4"/>
    <w:rsid w:val="00AE4BB7"/>
    <w:rsid w:val="00AE7C13"/>
    <w:rsid w:val="00AF0CF9"/>
    <w:rsid w:val="00AF1640"/>
    <w:rsid w:val="00AF237B"/>
    <w:rsid w:val="00AF2598"/>
    <w:rsid w:val="00AF2A76"/>
    <w:rsid w:val="00AF384F"/>
    <w:rsid w:val="00AF46A8"/>
    <w:rsid w:val="00AF46E4"/>
    <w:rsid w:val="00AF4815"/>
    <w:rsid w:val="00AF4AC8"/>
    <w:rsid w:val="00AF569C"/>
    <w:rsid w:val="00AF779F"/>
    <w:rsid w:val="00B001E5"/>
    <w:rsid w:val="00B01029"/>
    <w:rsid w:val="00B04C0F"/>
    <w:rsid w:val="00B05326"/>
    <w:rsid w:val="00B05A55"/>
    <w:rsid w:val="00B07716"/>
    <w:rsid w:val="00B07EB5"/>
    <w:rsid w:val="00B111FF"/>
    <w:rsid w:val="00B11617"/>
    <w:rsid w:val="00B11DAD"/>
    <w:rsid w:val="00B1424E"/>
    <w:rsid w:val="00B16571"/>
    <w:rsid w:val="00B16A34"/>
    <w:rsid w:val="00B16A59"/>
    <w:rsid w:val="00B2298C"/>
    <w:rsid w:val="00B22B05"/>
    <w:rsid w:val="00B22F3F"/>
    <w:rsid w:val="00B23DB2"/>
    <w:rsid w:val="00B27812"/>
    <w:rsid w:val="00B30A7A"/>
    <w:rsid w:val="00B33981"/>
    <w:rsid w:val="00B35105"/>
    <w:rsid w:val="00B358B6"/>
    <w:rsid w:val="00B35C6C"/>
    <w:rsid w:val="00B35CA9"/>
    <w:rsid w:val="00B3779F"/>
    <w:rsid w:val="00B40EDF"/>
    <w:rsid w:val="00B419E8"/>
    <w:rsid w:val="00B42294"/>
    <w:rsid w:val="00B42D6F"/>
    <w:rsid w:val="00B4391B"/>
    <w:rsid w:val="00B43E62"/>
    <w:rsid w:val="00B44B59"/>
    <w:rsid w:val="00B44BD3"/>
    <w:rsid w:val="00B455AE"/>
    <w:rsid w:val="00B457C1"/>
    <w:rsid w:val="00B46736"/>
    <w:rsid w:val="00B47560"/>
    <w:rsid w:val="00B5005F"/>
    <w:rsid w:val="00B502A7"/>
    <w:rsid w:val="00B50FCF"/>
    <w:rsid w:val="00B5169B"/>
    <w:rsid w:val="00B51BD0"/>
    <w:rsid w:val="00B51C85"/>
    <w:rsid w:val="00B52C23"/>
    <w:rsid w:val="00B536D0"/>
    <w:rsid w:val="00B55436"/>
    <w:rsid w:val="00B563DC"/>
    <w:rsid w:val="00B565CE"/>
    <w:rsid w:val="00B56F84"/>
    <w:rsid w:val="00B577EF"/>
    <w:rsid w:val="00B57856"/>
    <w:rsid w:val="00B611C6"/>
    <w:rsid w:val="00B6148C"/>
    <w:rsid w:val="00B61E9D"/>
    <w:rsid w:val="00B627F9"/>
    <w:rsid w:val="00B63D5A"/>
    <w:rsid w:val="00B64A86"/>
    <w:rsid w:val="00B64D11"/>
    <w:rsid w:val="00B65395"/>
    <w:rsid w:val="00B65EA5"/>
    <w:rsid w:val="00B67227"/>
    <w:rsid w:val="00B676DC"/>
    <w:rsid w:val="00B7082F"/>
    <w:rsid w:val="00B70EC9"/>
    <w:rsid w:val="00B72353"/>
    <w:rsid w:val="00B72E5F"/>
    <w:rsid w:val="00B735D8"/>
    <w:rsid w:val="00B76492"/>
    <w:rsid w:val="00B766E2"/>
    <w:rsid w:val="00B8229F"/>
    <w:rsid w:val="00B85908"/>
    <w:rsid w:val="00B86A3E"/>
    <w:rsid w:val="00B86C60"/>
    <w:rsid w:val="00B91713"/>
    <w:rsid w:val="00B91E05"/>
    <w:rsid w:val="00B91EBA"/>
    <w:rsid w:val="00B92855"/>
    <w:rsid w:val="00BA283B"/>
    <w:rsid w:val="00BA4C87"/>
    <w:rsid w:val="00BA6755"/>
    <w:rsid w:val="00BA67E6"/>
    <w:rsid w:val="00BA698E"/>
    <w:rsid w:val="00BA77B0"/>
    <w:rsid w:val="00BB002E"/>
    <w:rsid w:val="00BB06C1"/>
    <w:rsid w:val="00BB1538"/>
    <w:rsid w:val="00BB38F0"/>
    <w:rsid w:val="00BB4C4B"/>
    <w:rsid w:val="00BB51DB"/>
    <w:rsid w:val="00BB618D"/>
    <w:rsid w:val="00BC0589"/>
    <w:rsid w:val="00BC0E07"/>
    <w:rsid w:val="00BC198D"/>
    <w:rsid w:val="00BC1D37"/>
    <w:rsid w:val="00BC22A3"/>
    <w:rsid w:val="00BC27ED"/>
    <w:rsid w:val="00BC30B9"/>
    <w:rsid w:val="00BC393B"/>
    <w:rsid w:val="00BC3DE8"/>
    <w:rsid w:val="00BC4ADA"/>
    <w:rsid w:val="00BC4E99"/>
    <w:rsid w:val="00BC6501"/>
    <w:rsid w:val="00BC6A4C"/>
    <w:rsid w:val="00BD139E"/>
    <w:rsid w:val="00BD2675"/>
    <w:rsid w:val="00BD26B7"/>
    <w:rsid w:val="00BD3F39"/>
    <w:rsid w:val="00BD4D31"/>
    <w:rsid w:val="00BD6B9A"/>
    <w:rsid w:val="00BD6DFD"/>
    <w:rsid w:val="00BE054A"/>
    <w:rsid w:val="00BE08E7"/>
    <w:rsid w:val="00BE1F7C"/>
    <w:rsid w:val="00BE374C"/>
    <w:rsid w:val="00BE380C"/>
    <w:rsid w:val="00BE3EA2"/>
    <w:rsid w:val="00BE46D1"/>
    <w:rsid w:val="00BE4F8F"/>
    <w:rsid w:val="00BE504F"/>
    <w:rsid w:val="00BE6290"/>
    <w:rsid w:val="00BE69D1"/>
    <w:rsid w:val="00BE6D1D"/>
    <w:rsid w:val="00BE7C96"/>
    <w:rsid w:val="00BF1CC4"/>
    <w:rsid w:val="00BF2157"/>
    <w:rsid w:val="00BF336B"/>
    <w:rsid w:val="00BF3771"/>
    <w:rsid w:val="00BF47BF"/>
    <w:rsid w:val="00BF6C4E"/>
    <w:rsid w:val="00BF7864"/>
    <w:rsid w:val="00BF7B1F"/>
    <w:rsid w:val="00C01674"/>
    <w:rsid w:val="00C02754"/>
    <w:rsid w:val="00C03703"/>
    <w:rsid w:val="00C0397D"/>
    <w:rsid w:val="00C03CA9"/>
    <w:rsid w:val="00C044F3"/>
    <w:rsid w:val="00C04BDB"/>
    <w:rsid w:val="00C06E8E"/>
    <w:rsid w:val="00C0716D"/>
    <w:rsid w:val="00C073C6"/>
    <w:rsid w:val="00C0763A"/>
    <w:rsid w:val="00C1103B"/>
    <w:rsid w:val="00C110E5"/>
    <w:rsid w:val="00C1233B"/>
    <w:rsid w:val="00C133F3"/>
    <w:rsid w:val="00C16359"/>
    <w:rsid w:val="00C17526"/>
    <w:rsid w:val="00C17B75"/>
    <w:rsid w:val="00C204DC"/>
    <w:rsid w:val="00C20920"/>
    <w:rsid w:val="00C21018"/>
    <w:rsid w:val="00C23A5A"/>
    <w:rsid w:val="00C245ED"/>
    <w:rsid w:val="00C24694"/>
    <w:rsid w:val="00C26E88"/>
    <w:rsid w:val="00C27B2D"/>
    <w:rsid w:val="00C3077B"/>
    <w:rsid w:val="00C30B08"/>
    <w:rsid w:val="00C310A0"/>
    <w:rsid w:val="00C31AEE"/>
    <w:rsid w:val="00C32248"/>
    <w:rsid w:val="00C32403"/>
    <w:rsid w:val="00C32F1E"/>
    <w:rsid w:val="00C33159"/>
    <w:rsid w:val="00C3355A"/>
    <w:rsid w:val="00C33A36"/>
    <w:rsid w:val="00C33AE0"/>
    <w:rsid w:val="00C33B81"/>
    <w:rsid w:val="00C34D47"/>
    <w:rsid w:val="00C35E73"/>
    <w:rsid w:val="00C374BB"/>
    <w:rsid w:val="00C377BA"/>
    <w:rsid w:val="00C406ED"/>
    <w:rsid w:val="00C40701"/>
    <w:rsid w:val="00C408B3"/>
    <w:rsid w:val="00C41B01"/>
    <w:rsid w:val="00C41D0B"/>
    <w:rsid w:val="00C4228F"/>
    <w:rsid w:val="00C42573"/>
    <w:rsid w:val="00C43104"/>
    <w:rsid w:val="00C438B7"/>
    <w:rsid w:val="00C43C9C"/>
    <w:rsid w:val="00C4515F"/>
    <w:rsid w:val="00C459A3"/>
    <w:rsid w:val="00C46762"/>
    <w:rsid w:val="00C469FE"/>
    <w:rsid w:val="00C473F6"/>
    <w:rsid w:val="00C47782"/>
    <w:rsid w:val="00C51642"/>
    <w:rsid w:val="00C52BAF"/>
    <w:rsid w:val="00C52D84"/>
    <w:rsid w:val="00C52E35"/>
    <w:rsid w:val="00C53F92"/>
    <w:rsid w:val="00C56316"/>
    <w:rsid w:val="00C567C3"/>
    <w:rsid w:val="00C57459"/>
    <w:rsid w:val="00C57A53"/>
    <w:rsid w:val="00C57DE4"/>
    <w:rsid w:val="00C613A1"/>
    <w:rsid w:val="00C61BA1"/>
    <w:rsid w:val="00C6292C"/>
    <w:rsid w:val="00C62B65"/>
    <w:rsid w:val="00C62C73"/>
    <w:rsid w:val="00C637C6"/>
    <w:rsid w:val="00C63FE2"/>
    <w:rsid w:val="00C65074"/>
    <w:rsid w:val="00C665F1"/>
    <w:rsid w:val="00C6691F"/>
    <w:rsid w:val="00C67C84"/>
    <w:rsid w:val="00C67F3C"/>
    <w:rsid w:val="00C7112F"/>
    <w:rsid w:val="00C715A8"/>
    <w:rsid w:val="00C7236C"/>
    <w:rsid w:val="00C72C08"/>
    <w:rsid w:val="00C731C2"/>
    <w:rsid w:val="00C74499"/>
    <w:rsid w:val="00C75C0A"/>
    <w:rsid w:val="00C761F6"/>
    <w:rsid w:val="00C767EC"/>
    <w:rsid w:val="00C771B1"/>
    <w:rsid w:val="00C771BC"/>
    <w:rsid w:val="00C77896"/>
    <w:rsid w:val="00C80DF1"/>
    <w:rsid w:val="00C813E5"/>
    <w:rsid w:val="00C81526"/>
    <w:rsid w:val="00C82471"/>
    <w:rsid w:val="00C82993"/>
    <w:rsid w:val="00C82DD6"/>
    <w:rsid w:val="00C82DDC"/>
    <w:rsid w:val="00C832B3"/>
    <w:rsid w:val="00C83344"/>
    <w:rsid w:val="00C836FD"/>
    <w:rsid w:val="00C83DF4"/>
    <w:rsid w:val="00C84642"/>
    <w:rsid w:val="00C85C23"/>
    <w:rsid w:val="00C87B25"/>
    <w:rsid w:val="00C87CB9"/>
    <w:rsid w:val="00C90316"/>
    <w:rsid w:val="00C91E2F"/>
    <w:rsid w:val="00C939B0"/>
    <w:rsid w:val="00C95440"/>
    <w:rsid w:val="00C962B5"/>
    <w:rsid w:val="00C971FE"/>
    <w:rsid w:val="00C97FBA"/>
    <w:rsid w:val="00CA12BE"/>
    <w:rsid w:val="00CA28CC"/>
    <w:rsid w:val="00CA2D22"/>
    <w:rsid w:val="00CA3E00"/>
    <w:rsid w:val="00CA4F53"/>
    <w:rsid w:val="00CA5102"/>
    <w:rsid w:val="00CA5B05"/>
    <w:rsid w:val="00CA5CDE"/>
    <w:rsid w:val="00CA7C0F"/>
    <w:rsid w:val="00CB1788"/>
    <w:rsid w:val="00CB1DB8"/>
    <w:rsid w:val="00CB20B4"/>
    <w:rsid w:val="00CB2622"/>
    <w:rsid w:val="00CB3247"/>
    <w:rsid w:val="00CB4108"/>
    <w:rsid w:val="00CB53ED"/>
    <w:rsid w:val="00CB5617"/>
    <w:rsid w:val="00CB5E45"/>
    <w:rsid w:val="00CB6991"/>
    <w:rsid w:val="00CB720D"/>
    <w:rsid w:val="00CB7810"/>
    <w:rsid w:val="00CC100F"/>
    <w:rsid w:val="00CC164F"/>
    <w:rsid w:val="00CC3572"/>
    <w:rsid w:val="00CC3655"/>
    <w:rsid w:val="00CC4084"/>
    <w:rsid w:val="00CC4769"/>
    <w:rsid w:val="00CC5B30"/>
    <w:rsid w:val="00CC6ADC"/>
    <w:rsid w:val="00CC7026"/>
    <w:rsid w:val="00CD07AF"/>
    <w:rsid w:val="00CD0F4E"/>
    <w:rsid w:val="00CD128F"/>
    <w:rsid w:val="00CD12F0"/>
    <w:rsid w:val="00CD19C8"/>
    <w:rsid w:val="00CD279F"/>
    <w:rsid w:val="00CD2C60"/>
    <w:rsid w:val="00CD3405"/>
    <w:rsid w:val="00CD454C"/>
    <w:rsid w:val="00CD63FB"/>
    <w:rsid w:val="00CD6CDF"/>
    <w:rsid w:val="00CE05B9"/>
    <w:rsid w:val="00CE0A2E"/>
    <w:rsid w:val="00CE0EDA"/>
    <w:rsid w:val="00CE2451"/>
    <w:rsid w:val="00CE3019"/>
    <w:rsid w:val="00CE3BE9"/>
    <w:rsid w:val="00CE58CF"/>
    <w:rsid w:val="00CE6BF7"/>
    <w:rsid w:val="00CE7718"/>
    <w:rsid w:val="00CE7A58"/>
    <w:rsid w:val="00CE7EBE"/>
    <w:rsid w:val="00CF074E"/>
    <w:rsid w:val="00CF0970"/>
    <w:rsid w:val="00CF2926"/>
    <w:rsid w:val="00CF2ADA"/>
    <w:rsid w:val="00CF2DB5"/>
    <w:rsid w:val="00CF38F4"/>
    <w:rsid w:val="00CF427B"/>
    <w:rsid w:val="00CF7E6C"/>
    <w:rsid w:val="00D00269"/>
    <w:rsid w:val="00D00AAD"/>
    <w:rsid w:val="00D011C4"/>
    <w:rsid w:val="00D0140E"/>
    <w:rsid w:val="00D027C3"/>
    <w:rsid w:val="00D028ED"/>
    <w:rsid w:val="00D0293F"/>
    <w:rsid w:val="00D03C62"/>
    <w:rsid w:val="00D046FF"/>
    <w:rsid w:val="00D0496F"/>
    <w:rsid w:val="00D04BD3"/>
    <w:rsid w:val="00D05C19"/>
    <w:rsid w:val="00D067F3"/>
    <w:rsid w:val="00D06B6D"/>
    <w:rsid w:val="00D06C5F"/>
    <w:rsid w:val="00D07C99"/>
    <w:rsid w:val="00D10865"/>
    <w:rsid w:val="00D113ED"/>
    <w:rsid w:val="00D12934"/>
    <w:rsid w:val="00D13B71"/>
    <w:rsid w:val="00D14BCC"/>
    <w:rsid w:val="00D15601"/>
    <w:rsid w:val="00D2154F"/>
    <w:rsid w:val="00D218F6"/>
    <w:rsid w:val="00D21AE3"/>
    <w:rsid w:val="00D21EF3"/>
    <w:rsid w:val="00D221DB"/>
    <w:rsid w:val="00D224E6"/>
    <w:rsid w:val="00D228B4"/>
    <w:rsid w:val="00D2389F"/>
    <w:rsid w:val="00D23B90"/>
    <w:rsid w:val="00D24944"/>
    <w:rsid w:val="00D25855"/>
    <w:rsid w:val="00D26673"/>
    <w:rsid w:val="00D2693F"/>
    <w:rsid w:val="00D27BE5"/>
    <w:rsid w:val="00D30284"/>
    <w:rsid w:val="00D3047E"/>
    <w:rsid w:val="00D30942"/>
    <w:rsid w:val="00D33A63"/>
    <w:rsid w:val="00D3426F"/>
    <w:rsid w:val="00D405DC"/>
    <w:rsid w:val="00D406B8"/>
    <w:rsid w:val="00D40C7E"/>
    <w:rsid w:val="00D40DD5"/>
    <w:rsid w:val="00D41D9F"/>
    <w:rsid w:val="00D424A6"/>
    <w:rsid w:val="00D424B2"/>
    <w:rsid w:val="00D428DC"/>
    <w:rsid w:val="00D43562"/>
    <w:rsid w:val="00D44C5E"/>
    <w:rsid w:val="00D44FE9"/>
    <w:rsid w:val="00D45822"/>
    <w:rsid w:val="00D4647F"/>
    <w:rsid w:val="00D4670F"/>
    <w:rsid w:val="00D46A28"/>
    <w:rsid w:val="00D46F9E"/>
    <w:rsid w:val="00D474E2"/>
    <w:rsid w:val="00D50DC1"/>
    <w:rsid w:val="00D51AA4"/>
    <w:rsid w:val="00D521F6"/>
    <w:rsid w:val="00D524A3"/>
    <w:rsid w:val="00D535D4"/>
    <w:rsid w:val="00D5361E"/>
    <w:rsid w:val="00D56466"/>
    <w:rsid w:val="00D56781"/>
    <w:rsid w:val="00D56B48"/>
    <w:rsid w:val="00D56F89"/>
    <w:rsid w:val="00D575AE"/>
    <w:rsid w:val="00D60B26"/>
    <w:rsid w:val="00D6250E"/>
    <w:rsid w:val="00D6273E"/>
    <w:rsid w:val="00D62D1B"/>
    <w:rsid w:val="00D63EC6"/>
    <w:rsid w:val="00D64208"/>
    <w:rsid w:val="00D64DBA"/>
    <w:rsid w:val="00D6578D"/>
    <w:rsid w:val="00D65823"/>
    <w:rsid w:val="00D65843"/>
    <w:rsid w:val="00D6626A"/>
    <w:rsid w:val="00D7089B"/>
    <w:rsid w:val="00D70B20"/>
    <w:rsid w:val="00D711B5"/>
    <w:rsid w:val="00D71FF2"/>
    <w:rsid w:val="00D73C0A"/>
    <w:rsid w:val="00D73CF5"/>
    <w:rsid w:val="00D740F5"/>
    <w:rsid w:val="00D74D4B"/>
    <w:rsid w:val="00D75168"/>
    <w:rsid w:val="00D75B67"/>
    <w:rsid w:val="00D76344"/>
    <w:rsid w:val="00D77127"/>
    <w:rsid w:val="00D775BF"/>
    <w:rsid w:val="00D80888"/>
    <w:rsid w:val="00D81D13"/>
    <w:rsid w:val="00D826F5"/>
    <w:rsid w:val="00D8303F"/>
    <w:rsid w:val="00D83C36"/>
    <w:rsid w:val="00D85C33"/>
    <w:rsid w:val="00D8638F"/>
    <w:rsid w:val="00D86B40"/>
    <w:rsid w:val="00D86C94"/>
    <w:rsid w:val="00D87368"/>
    <w:rsid w:val="00D879CD"/>
    <w:rsid w:val="00D90219"/>
    <w:rsid w:val="00D90600"/>
    <w:rsid w:val="00D915B2"/>
    <w:rsid w:val="00D916D8"/>
    <w:rsid w:val="00D91CFB"/>
    <w:rsid w:val="00D927D4"/>
    <w:rsid w:val="00D92B57"/>
    <w:rsid w:val="00D92F09"/>
    <w:rsid w:val="00D93261"/>
    <w:rsid w:val="00D94163"/>
    <w:rsid w:val="00D9460E"/>
    <w:rsid w:val="00D94C1D"/>
    <w:rsid w:val="00D95D33"/>
    <w:rsid w:val="00D96A46"/>
    <w:rsid w:val="00D96B68"/>
    <w:rsid w:val="00D96B74"/>
    <w:rsid w:val="00D96D25"/>
    <w:rsid w:val="00DA0027"/>
    <w:rsid w:val="00DA0254"/>
    <w:rsid w:val="00DA0D99"/>
    <w:rsid w:val="00DA29A1"/>
    <w:rsid w:val="00DA4BF2"/>
    <w:rsid w:val="00DA4F9D"/>
    <w:rsid w:val="00DB299B"/>
    <w:rsid w:val="00DB2E9C"/>
    <w:rsid w:val="00DB3384"/>
    <w:rsid w:val="00DB4272"/>
    <w:rsid w:val="00DB42C3"/>
    <w:rsid w:val="00DB54C2"/>
    <w:rsid w:val="00DC1007"/>
    <w:rsid w:val="00DC10C7"/>
    <w:rsid w:val="00DC206A"/>
    <w:rsid w:val="00DC2D4D"/>
    <w:rsid w:val="00DC31B1"/>
    <w:rsid w:val="00DD0EE1"/>
    <w:rsid w:val="00DD1480"/>
    <w:rsid w:val="00DD28BB"/>
    <w:rsid w:val="00DD37B3"/>
    <w:rsid w:val="00DD37E8"/>
    <w:rsid w:val="00DD5B02"/>
    <w:rsid w:val="00DD5B22"/>
    <w:rsid w:val="00DE0C5B"/>
    <w:rsid w:val="00DE10E3"/>
    <w:rsid w:val="00DE14C4"/>
    <w:rsid w:val="00DE22BF"/>
    <w:rsid w:val="00DE2418"/>
    <w:rsid w:val="00DE2C36"/>
    <w:rsid w:val="00DE3A05"/>
    <w:rsid w:val="00DE56D0"/>
    <w:rsid w:val="00DE5D04"/>
    <w:rsid w:val="00DE76C8"/>
    <w:rsid w:val="00DF0A69"/>
    <w:rsid w:val="00DF0FF2"/>
    <w:rsid w:val="00DF18B2"/>
    <w:rsid w:val="00DF214D"/>
    <w:rsid w:val="00DF2C93"/>
    <w:rsid w:val="00DF43DB"/>
    <w:rsid w:val="00DF514A"/>
    <w:rsid w:val="00DF53A8"/>
    <w:rsid w:val="00DF545E"/>
    <w:rsid w:val="00DF6710"/>
    <w:rsid w:val="00E002E0"/>
    <w:rsid w:val="00E00AB8"/>
    <w:rsid w:val="00E01661"/>
    <w:rsid w:val="00E01750"/>
    <w:rsid w:val="00E0217E"/>
    <w:rsid w:val="00E02208"/>
    <w:rsid w:val="00E0265D"/>
    <w:rsid w:val="00E03235"/>
    <w:rsid w:val="00E03496"/>
    <w:rsid w:val="00E040E8"/>
    <w:rsid w:val="00E046D2"/>
    <w:rsid w:val="00E05997"/>
    <w:rsid w:val="00E06684"/>
    <w:rsid w:val="00E06918"/>
    <w:rsid w:val="00E0732C"/>
    <w:rsid w:val="00E07986"/>
    <w:rsid w:val="00E114D1"/>
    <w:rsid w:val="00E12F67"/>
    <w:rsid w:val="00E13222"/>
    <w:rsid w:val="00E13E81"/>
    <w:rsid w:val="00E152E0"/>
    <w:rsid w:val="00E15F7B"/>
    <w:rsid w:val="00E20F6D"/>
    <w:rsid w:val="00E21627"/>
    <w:rsid w:val="00E216D1"/>
    <w:rsid w:val="00E2189C"/>
    <w:rsid w:val="00E22179"/>
    <w:rsid w:val="00E22436"/>
    <w:rsid w:val="00E23169"/>
    <w:rsid w:val="00E233D5"/>
    <w:rsid w:val="00E23D8B"/>
    <w:rsid w:val="00E23EF5"/>
    <w:rsid w:val="00E244E0"/>
    <w:rsid w:val="00E25224"/>
    <w:rsid w:val="00E26140"/>
    <w:rsid w:val="00E30DDF"/>
    <w:rsid w:val="00E31793"/>
    <w:rsid w:val="00E34475"/>
    <w:rsid w:val="00E34880"/>
    <w:rsid w:val="00E35892"/>
    <w:rsid w:val="00E42ABE"/>
    <w:rsid w:val="00E43328"/>
    <w:rsid w:val="00E43808"/>
    <w:rsid w:val="00E43962"/>
    <w:rsid w:val="00E44C0E"/>
    <w:rsid w:val="00E46CA3"/>
    <w:rsid w:val="00E47277"/>
    <w:rsid w:val="00E5001C"/>
    <w:rsid w:val="00E500C1"/>
    <w:rsid w:val="00E506E8"/>
    <w:rsid w:val="00E50AA5"/>
    <w:rsid w:val="00E51662"/>
    <w:rsid w:val="00E51CB7"/>
    <w:rsid w:val="00E51D06"/>
    <w:rsid w:val="00E535EC"/>
    <w:rsid w:val="00E53779"/>
    <w:rsid w:val="00E53F4E"/>
    <w:rsid w:val="00E5480A"/>
    <w:rsid w:val="00E54CF6"/>
    <w:rsid w:val="00E573EC"/>
    <w:rsid w:val="00E605FB"/>
    <w:rsid w:val="00E607DF"/>
    <w:rsid w:val="00E6092A"/>
    <w:rsid w:val="00E60DC1"/>
    <w:rsid w:val="00E61314"/>
    <w:rsid w:val="00E64488"/>
    <w:rsid w:val="00E659E0"/>
    <w:rsid w:val="00E661E8"/>
    <w:rsid w:val="00E666A5"/>
    <w:rsid w:val="00E67432"/>
    <w:rsid w:val="00E71BEB"/>
    <w:rsid w:val="00E7212E"/>
    <w:rsid w:val="00E72C10"/>
    <w:rsid w:val="00E73539"/>
    <w:rsid w:val="00E746DD"/>
    <w:rsid w:val="00E74AE4"/>
    <w:rsid w:val="00E750F6"/>
    <w:rsid w:val="00E76793"/>
    <w:rsid w:val="00E76946"/>
    <w:rsid w:val="00E77C22"/>
    <w:rsid w:val="00E80442"/>
    <w:rsid w:val="00E82C84"/>
    <w:rsid w:val="00E8712D"/>
    <w:rsid w:val="00E87CF9"/>
    <w:rsid w:val="00E901E8"/>
    <w:rsid w:val="00E90CBA"/>
    <w:rsid w:val="00E944E0"/>
    <w:rsid w:val="00E945AE"/>
    <w:rsid w:val="00E94ECC"/>
    <w:rsid w:val="00E94EE2"/>
    <w:rsid w:val="00E957BA"/>
    <w:rsid w:val="00E96111"/>
    <w:rsid w:val="00E96185"/>
    <w:rsid w:val="00E96660"/>
    <w:rsid w:val="00EA0599"/>
    <w:rsid w:val="00EA0AC0"/>
    <w:rsid w:val="00EA0BEF"/>
    <w:rsid w:val="00EA3DD8"/>
    <w:rsid w:val="00EA3F3D"/>
    <w:rsid w:val="00EA421E"/>
    <w:rsid w:val="00EA56C0"/>
    <w:rsid w:val="00EA6A58"/>
    <w:rsid w:val="00EB013C"/>
    <w:rsid w:val="00EB15F3"/>
    <w:rsid w:val="00EB166E"/>
    <w:rsid w:val="00EB1689"/>
    <w:rsid w:val="00EB27F0"/>
    <w:rsid w:val="00EB2809"/>
    <w:rsid w:val="00EB5079"/>
    <w:rsid w:val="00EB5796"/>
    <w:rsid w:val="00EB5D5D"/>
    <w:rsid w:val="00EB65E6"/>
    <w:rsid w:val="00EB6C1C"/>
    <w:rsid w:val="00EC0CE3"/>
    <w:rsid w:val="00EC20C7"/>
    <w:rsid w:val="00EC4A3B"/>
    <w:rsid w:val="00EC5EC1"/>
    <w:rsid w:val="00EC708E"/>
    <w:rsid w:val="00EC756F"/>
    <w:rsid w:val="00ED0004"/>
    <w:rsid w:val="00ED02C6"/>
    <w:rsid w:val="00ED0743"/>
    <w:rsid w:val="00ED09FC"/>
    <w:rsid w:val="00ED0B95"/>
    <w:rsid w:val="00ED2B90"/>
    <w:rsid w:val="00ED5141"/>
    <w:rsid w:val="00ED54EF"/>
    <w:rsid w:val="00ED6241"/>
    <w:rsid w:val="00ED7F37"/>
    <w:rsid w:val="00EE08D7"/>
    <w:rsid w:val="00EE0A98"/>
    <w:rsid w:val="00EE1794"/>
    <w:rsid w:val="00EE315C"/>
    <w:rsid w:val="00EE47C2"/>
    <w:rsid w:val="00EE511B"/>
    <w:rsid w:val="00EE5684"/>
    <w:rsid w:val="00EE5975"/>
    <w:rsid w:val="00EE6413"/>
    <w:rsid w:val="00EE6853"/>
    <w:rsid w:val="00EE6DD8"/>
    <w:rsid w:val="00EE75ED"/>
    <w:rsid w:val="00EE7A16"/>
    <w:rsid w:val="00EE7A8C"/>
    <w:rsid w:val="00EF044D"/>
    <w:rsid w:val="00EF0F28"/>
    <w:rsid w:val="00EF1E92"/>
    <w:rsid w:val="00EF208C"/>
    <w:rsid w:val="00EF37BE"/>
    <w:rsid w:val="00EF383F"/>
    <w:rsid w:val="00EF4656"/>
    <w:rsid w:val="00EF5196"/>
    <w:rsid w:val="00EF7CDE"/>
    <w:rsid w:val="00F0023F"/>
    <w:rsid w:val="00F01669"/>
    <w:rsid w:val="00F01E06"/>
    <w:rsid w:val="00F03CC3"/>
    <w:rsid w:val="00F046D1"/>
    <w:rsid w:val="00F04C43"/>
    <w:rsid w:val="00F05364"/>
    <w:rsid w:val="00F053F9"/>
    <w:rsid w:val="00F05CAA"/>
    <w:rsid w:val="00F06F1B"/>
    <w:rsid w:val="00F11D50"/>
    <w:rsid w:val="00F1255B"/>
    <w:rsid w:val="00F12FA5"/>
    <w:rsid w:val="00F1329E"/>
    <w:rsid w:val="00F135CD"/>
    <w:rsid w:val="00F13640"/>
    <w:rsid w:val="00F13F5D"/>
    <w:rsid w:val="00F14795"/>
    <w:rsid w:val="00F14B7A"/>
    <w:rsid w:val="00F14C43"/>
    <w:rsid w:val="00F1751F"/>
    <w:rsid w:val="00F17D70"/>
    <w:rsid w:val="00F17EBD"/>
    <w:rsid w:val="00F217B5"/>
    <w:rsid w:val="00F21C43"/>
    <w:rsid w:val="00F21CEE"/>
    <w:rsid w:val="00F2208D"/>
    <w:rsid w:val="00F22DD2"/>
    <w:rsid w:val="00F23F2B"/>
    <w:rsid w:val="00F25A02"/>
    <w:rsid w:val="00F25B66"/>
    <w:rsid w:val="00F25E05"/>
    <w:rsid w:val="00F26371"/>
    <w:rsid w:val="00F266E0"/>
    <w:rsid w:val="00F27031"/>
    <w:rsid w:val="00F2715A"/>
    <w:rsid w:val="00F27178"/>
    <w:rsid w:val="00F27191"/>
    <w:rsid w:val="00F30652"/>
    <w:rsid w:val="00F3140F"/>
    <w:rsid w:val="00F32789"/>
    <w:rsid w:val="00F33CB5"/>
    <w:rsid w:val="00F342B3"/>
    <w:rsid w:val="00F35772"/>
    <w:rsid w:val="00F35E54"/>
    <w:rsid w:val="00F36C92"/>
    <w:rsid w:val="00F36DAB"/>
    <w:rsid w:val="00F407BB"/>
    <w:rsid w:val="00F4205E"/>
    <w:rsid w:val="00F4239C"/>
    <w:rsid w:val="00F42965"/>
    <w:rsid w:val="00F4549F"/>
    <w:rsid w:val="00F45ACC"/>
    <w:rsid w:val="00F46125"/>
    <w:rsid w:val="00F51CF6"/>
    <w:rsid w:val="00F51F1C"/>
    <w:rsid w:val="00F5275A"/>
    <w:rsid w:val="00F53A0D"/>
    <w:rsid w:val="00F54B41"/>
    <w:rsid w:val="00F55930"/>
    <w:rsid w:val="00F5620E"/>
    <w:rsid w:val="00F56397"/>
    <w:rsid w:val="00F5714C"/>
    <w:rsid w:val="00F60B1D"/>
    <w:rsid w:val="00F61BA7"/>
    <w:rsid w:val="00F641E2"/>
    <w:rsid w:val="00F64688"/>
    <w:rsid w:val="00F65578"/>
    <w:rsid w:val="00F66302"/>
    <w:rsid w:val="00F67009"/>
    <w:rsid w:val="00F670F3"/>
    <w:rsid w:val="00F702E5"/>
    <w:rsid w:val="00F728F4"/>
    <w:rsid w:val="00F72EAC"/>
    <w:rsid w:val="00F73274"/>
    <w:rsid w:val="00F732FD"/>
    <w:rsid w:val="00F73A7E"/>
    <w:rsid w:val="00F740A0"/>
    <w:rsid w:val="00F74768"/>
    <w:rsid w:val="00F74B49"/>
    <w:rsid w:val="00F74C9D"/>
    <w:rsid w:val="00F74CEF"/>
    <w:rsid w:val="00F7545E"/>
    <w:rsid w:val="00F75934"/>
    <w:rsid w:val="00F778A5"/>
    <w:rsid w:val="00F808EA"/>
    <w:rsid w:val="00F80AC6"/>
    <w:rsid w:val="00F80BC3"/>
    <w:rsid w:val="00F80E26"/>
    <w:rsid w:val="00F82CC8"/>
    <w:rsid w:val="00F82F7F"/>
    <w:rsid w:val="00F83ECD"/>
    <w:rsid w:val="00F841F1"/>
    <w:rsid w:val="00F84261"/>
    <w:rsid w:val="00F847A2"/>
    <w:rsid w:val="00F84A58"/>
    <w:rsid w:val="00F867B5"/>
    <w:rsid w:val="00F87F7A"/>
    <w:rsid w:val="00F904A0"/>
    <w:rsid w:val="00F9110C"/>
    <w:rsid w:val="00F91142"/>
    <w:rsid w:val="00F91A6F"/>
    <w:rsid w:val="00F92520"/>
    <w:rsid w:val="00F92EBF"/>
    <w:rsid w:val="00F93025"/>
    <w:rsid w:val="00F93652"/>
    <w:rsid w:val="00F9735F"/>
    <w:rsid w:val="00F97485"/>
    <w:rsid w:val="00F9749D"/>
    <w:rsid w:val="00FA145E"/>
    <w:rsid w:val="00FA1B49"/>
    <w:rsid w:val="00FA2AAE"/>
    <w:rsid w:val="00FA2DDD"/>
    <w:rsid w:val="00FA2F4E"/>
    <w:rsid w:val="00FA3469"/>
    <w:rsid w:val="00FA378A"/>
    <w:rsid w:val="00FA3CA9"/>
    <w:rsid w:val="00FA5869"/>
    <w:rsid w:val="00FA5BC1"/>
    <w:rsid w:val="00FA7014"/>
    <w:rsid w:val="00FB036F"/>
    <w:rsid w:val="00FB05B2"/>
    <w:rsid w:val="00FB0614"/>
    <w:rsid w:val="00FB42A0"/>
    <w:rsid w:val="00FB50B7"/>
    <w:rsid w:val="00FB7A09"/>
    <w:rsid w:val="00FB7BAE"/>
    <w:rsid w:val="00FC0F77"/>
    <w:rsid w:val="00FC11F1"/>
    <w:rsid w:val="00FC2FD6"/>
    <w:rsid w:val="00FC2FF6"/>
    <w:rsid w:val="00FC36F2"/>
    <w:rsid w:val="00FC41A4"/>
    <w:rsid w:val="00FC49FD"/>
    <w:rsid w:val="00FC585D"/>
    <w:rsid w:val="00FC5DE4"/>
    <w:rsid w:val="00FC7978"/>
    <w:rsid w:val="00FD0DE7"/>
    <w:rsid w:val="00FD1D57"/>
    <w:rsid w:val="00FD2575"/>
    <w:rsid w:val="00FD2804"/>
    <w:rsid w:val="00FD39DF"/>
    <w:rsid w:val="00FD43C4"/>
    <w:rsid w:val="00FD57D3"/>
    <w:rsid w:val="00FD5813"/>
    <w:rsid w:val="00FD6619"/>
    <w:rsid w:val="00FD6FFF"/>
    <w:rsid w:val="00FD76E8"/>
    <w:rsid w:val="00FD77C0"/>
    <w:rsid w:val="00FD7831"/>
    <w:rsid w:val="00FE1323"/>
    <w:rsid w:val="00FE2C74"/>
    <w:rsid w:val="00FE3FA1"/>
    <w:rsid w:val="00FE4EB1"/>
    <w:rsid w:val="00FE5F1A"/>
    <w:rsid w:val="00FE7994"/>
    <w:rsid w:val="00FF023C"/>
    <w:rsid w:val="00FF2893"/>
    <w:rsid w:val="00FF2CEC"/>
    <w:rsid w:val="00FF31B2"/>
    <w:rsid w:val="00FF527D"/>
    <w:rsid w:val="00FF58D2"/>
    <w:rsid w:val="00FF5B59"/>
    <w:rsid w:val="00FF5D3C"/>
    <w:rsid w:val="00FF61A3"/>
    <w:rsid w:val="00FF61E5"/>
    <w:rsid w:val="00FF74B7"/>
    <w:rsid w:val="011B54A1"/>
    <w:rsid w:val="018C60B4"/>
    <w:rsid w:val="019373C5"/>
    <w:rsid w:val="01940966"/>
    <w:rsid w:val="01B077F3"/>
    <w:rsid w:val="01B12F99"/>
    <w:rsid w:val="01B93C5C"/>
    <w:rsid w:val="01C25CDB"/>
    <w:rsid w:val="022F2EC6"/>
    <w:rsid w:val="02301F60"/>
    <w:rsid w:val="026F7D09"/>
    <w:rsid w:val="028874DF"/>
    <w:rsid w:val="02F12DD8"/>
    <w:rsid w:val="03060292"/>
    <w:rsid w:val="035D24EB"/>
    <w:rsid w:val="03735933"/>
    <w:rsid w:val="03A72764"/>
    <w:rsid w:val="03C36164"/>
    <w:rsid w:val="03E57811"/>
    <w:rsid w:val="04030558"/>
    <w:rsid w:val="040C748E"/>
    <w:rsid w:val="041631AC"/>
    <w:rsid w:val="0416677F"/>
    <w:rsid w:val="04600631"/>
    <w:rsid w:val="046B2368"/>
    <w:rsid w:val="046D5E6A"/>
    <w:rsid w:val="048A142E"/>
    <w:rsid w:val="04AE5960"/>
    <w:rsid w:val="04C41CAD"/>
    <w:rsid w:val="0570689E"/>
    <w:rsid w:val="0571063A"/>
    <w:rsid w:val="05753AEB"/>
    <w:rsid w:val="057A6A5E"/>
    <w:rsid w:val="057E0F23"/>
    <w:rsid w:val="058514CC"/>
    <w:rsid w:val="05AF76AE"/>
    <w:rsid w:val="05B01125"/>
    <w:rsid w:val="062F357D"/>
    <w:rsid w:val="063E4708"/>
    <w:rsid w:val="064C13FE"/>
    <w:rsid w:val="065F2C99"/>
    <w:rsid w:val="06A7027D"/>
    <w:rsid w:val="06AC66FD"/>
    <w:rsid w:val="07112123"/>
    <w:rsid w:val="07117EA5"/>
    <w:rsid w:val="071A02ED"/>
    <w:rsid w:val="071E1343"/>
    <w:rsid w:val="07231444"/>
    <w:rsid w:val="07477B81"/>
    <w:rsid w:val="075279C7"/>
    <w:rsid w:val="07674F41"/>
    <w:rsid w:val="07B64449"/>
    <w:rsid w:val="07D53687"/>
    <w:rsid w:val="07EF14A0"/>
    <w:rsid w:val="085B6168"/>
    <w:rsid w:val="08641EA0"/>
    <w:rsid w:val="08821A69"/>
    <w:rsid w:val="088D1254"/>
    <w:rsid w:val="08947890"/>
    <w:rsid w:val="08AF0B2A"/>
    <w:rsid w:val="08BB56B5"/>
    <w:rsid w:val="08D01ECB"/>
    <w:rsid w:val="08D639DB"/>
    <w:rsid w:val="0911196F"/>
    <w:rsid w:val="091E518A"/>
    <w:rsid w:val="09261B0E"/>
    <w:rsid w:val="09321723"/>
    <w:rsid w:val="093620DE"/>
    <w:rsid w:val="093A6048"/>
    <w:rsid w:val="098708AE"/>
    <w:rsid w:val="098A66F1"/>
    <w:rsid w:val="098A6B80"/>
    <w:rsid w:val="0A0C4207"/>
    <w:rsid w:val="0A0E6AAF"/>
    <w:rsid w:val="0A51415A"/>
    <w:rsid w:val="0A7B0C45"/>
    <w:rsid w:val="0A8E4C9C"/>
    <w:rsid w:val="0A8F3659"/>
    <w:rsid w:val="0A9B32D4"/>
    <w:rsid w:val="0AB5156A"/>
    <w:rsid w:val="0AB66718"/>
    <w:rsid w:val="0ABE7DEE"/>
    <w:rsid w:val="0ADE74DC"/>
    <w:rsid w:val="0AE41D96"/>
    <w:rsid w:val="0B044773"/>
    <w:rsid w:val="0B1C1FF7"/>
    <w:rsid w:val="0B37514E"/>
    <w:rsid w:val="0B5D3E3E"/>
    <w:rsid w:val="0B672DF8"/>
    <w:rsid w:val="0B797776"/>
    <w:rsid w:val="0B8F2B21"/>
    <w:rsid w:val="0B997D46"/>
    <w:rsid w:val="0BA22399"/>
    <w:rsid w:val="0BC82675"/>
    <w:rsid w:val="0C1675F9"/>
    <w:rsid w:val="0C2444FB"/>
    <w:rsid w:val="0C322DE7"/>
    <w:rsid w:val="0C434FF4"/>
    <w:rsid w:val="0C773053"/>
    <w:rsid w:val="0C9A4F20"/>
    <w:rsid w:val="0CAE1EDB"/>
    <w:rsid w:val="0CC91C4A"/>
    <w:rsid w:val="0CD24F6E"/>
    <w:rsid w:val="0CDE2AAD"/>
    <w:rsid w:val="0CEC7A9B"/>
    <w:rsid w:val="0D121592"/>
    <w:rsid w:val="0D3779A9"/>
    <w:rsid w:val="0D3B096B"/>
    <w:rsid w:val="0D3F5FFC"/>
    <w:rsid w:val="0D4E13D7"/>
    <w:rsid w:val="0DA33308"/>
    <w:rsid w:val="0DBA3615"/>
    <w:rsid w:val="0DBC3A67"/>
    <w:rsid w:val="0DD10B17"/>
    <w:rsid w:val="0DF34C60"/>
    <w:rsid w:val="0E094634"/>
    <w:rsid w:val="0E1773A2"/>
    <w:rsid w:val="0E36624A"/>
    <w:rsid w:val="0E4C78EA"/>
    <w:rsid w:val="0E5C2CAF"/>
    <w:rsid w:val="0E6752EE"/>
    <w:rsid w:val="0E6C661C"/>
    <w:rsid w:val="0E715E58"/>
    <w:rsid w:val="0EA21B79"/>
    <w:rsid w:val="0EDC7205"/>
    <w:rsid w:val="0F0638A2"/>
    <w:rsid w:val="0F106C00"/>
    <w:rsid w:val="0F1809FE"/>
    <w:rsid w:val="0F1D33CD"/>
    <w:rsid w:val="0F473E77"/>
    <w:rsid w:val="0F535EFD"/>
    <w:rsid w:val="0F630373"/>
    <w:rsid w:val="0F660F91"/>
    <w:rsid w:val="0F911E1F"/>
    <w:rsid w:val="0FA15E1F"/>
    <w:rsid w:val="0FA96872"/>
    <w:rsid w:val="0FAF545D"/>
    <w:rsid w:val="10067E51"/>
    <w:rsid w:val="10112790"/>
    <w:rsid w:val="1022552C"/>
    <w:rsid w:val="104024BB"/>
    <w:rsid w:val="105B34E3"/>
    <w:rsid w:val="105C10BF"/>
    <w:rsid w:val="10693EF8"/>
    <w:rsid w:val="108530A4"/>
    <w:rsid w:val="10856A00"/>
    <w:rsid w:val="10ED4704"/>
    <w:rsid w:val="110277E4"/>
    <w:rsid w:val="11163DAD"/>
    <w:rsid w:val="113A6A1A"/>
    <w:rsid w:val="1146453B"/>
    <w:rsid w:val="11565DDF"/>
    <w:rsid w:val="11710744"/>
    <w:rsid w:val="11941C91"/>
    <w:rsid w:val="11A95AD6"/>
    <w:rsid w:val="11B22A6C"/>
    <w:rsid w:val="123B213B"/>
    <w:rsid w:val="125E2566"/>
    <w:rsid w:val="127021D5"/>
    <w:rsid w:val="12842DD4"/>
    <w:rsid w:val="1299729A"/>
    <w:rsid w:val="129E74CA"/>
    <w:rsid w:val="12A87A8E"/>
    <w:rsid w:val="12D57129"/>
    <w:rsid w:val="12F17178"/>
    <w:rsid w:val="133F11FC"/>
    <w:rsid w:val="134358DA"/>
    <w:rsid w:val="13B43E61"/>
    <w:rsid w:val="13CB0DAE"/>
    <w:rsid w:val="14203A06"/>
    <w:rsid w:val="14322C84"/>
    <w:rsid w:val="14346493"/>
    <w:rsid w:val="144C52D9"/>
    <w:rsid w:val="14B0186A"/>
    <w:rsid w:val="14D84373"/>
    <w:rsid w:val="155C6554"/>
    <w:rsid w:val="15704D43"/>
    <w:rsid w:val="1585042C"/>
    <w:rsid w:val="15BB3E4D"/>
    <w:rsid w:val="15C7462E"/>
    <w:rsid w:val="15C800B5"/>
    <w:rsid w:val="15D20006"/>
    <w:rsid w:val="15E445CB"/>
    <w:rsid w:val="15F8220B"/>
    <w:rsid w:val="16017387"/>
    <w:rsid w:val="161E7528"/>
    <w:rsid w:val="163D07EF"/>
    <w:rsid w:val="164B0CAC"/>
    <w:rsid w:val="169C0616"/>
    <w:rsid w:val="16B2254D"/>
    <w:rsid w:val="16C60999"/>
    <w:rsid w:val="16F75AF3"/>
    <w:rsid w:val="16F85F7A"/>
    <w:rsid w:val="172C03A8"/>
    <w:rsid w:val="17477144"/>
    <w:rsid w:val="17730D5F"/>
    <w:rsid w:val="178028A2"/>
    <w:rsid w:val="17965856"/>
    <w:rsid w:val="17FE6C98"/>
    <w:rsid w:val="180F1C65"/>
    <w:rsid w:val="181C3C95"/>
    <w:rsid w:val="182932F0"/>
    <w:rsid w:val="1862323E"/>
    <w:rsid w:val="187C3B3C"/>
    <w:rsid w:val="18AE19BD"/>
    <w:rsid w:val="18C83240"/>
    <w:rsid w:val="18F935D4"/>
    <w:rsid w:val="19170735"/>
    <w:rsid w:val="192D13CA"/>
    <w:rsid w:val="194A0105"/>
    <w:rsid w:val="194B7B92"/>
    <w:rsid w:val="197E62CD"/>
    <w:rsid w:val="197F5ED7"/>
    <w:rsid w:val="19D11A90"/>
    <w:rsid w:val="19E21D48"/>
    <w:rsid w:val="19E96222"/>
    <w:rsid w:val="19F320D0"/>
    <w:rsid w:val="19FC644E"/>
    <w:rsid w:val="1A0558DC"/>
    <w:rsid w:val="1A1251EB"/>
    <w:rsid w:val="1A401A00"/>
    <w:rsid w:val="1AA25276"/>
    <w:rsid w:val="1AC55A04"/>
    <w:rsid w:val="1ADF4899"/>
    <w:rsid w:val="1B0E5853"/>
    <w:rsid w:val="1B1175F6"/>
    <w:rsid w:val="1B201BC3"/>
    <w:rsid w:val="1B2C78BF"/>
    <w:rsid w:val="1B3410F3"/>
    <w:rsid w:val="1B67106D"/>
    <w:rsid w:val="1BAF7816"/>
    <w:rsid w:val="1BD15649"/>
    <w:rsid w:val="1BD20393"/>
    <w:rsid w:val="1BD92B22"/>
    <w:rsid w:val="1C0C33E7"/>
    <w:rsid w:val="1C1E1C5F"/>
    <w:rsid w:val="1C3150E9"/>
    <w:rsid w:val="1C34138D"/>
    <w:rsid w:val="1C39630E"/>
    <w:rsid w:val="1C8B0D5D"/>
    <w:rsid w:val="1C906BEC"/>
    <w:rsid w:val="1CCA5981"/>
    <w:rsid w:val="1CD81789"/>
    <w:rsid w:val="1D034858"/>
    <w:rsid w:val="1D3A07A4"/>
    <w:rsid w:val="1D471FF3"/>
    <w:rsid w:val="1D524B37"/>
    <w:rsid w:val="1D525B75"/>
    <w:rsid w:val="1D6C6151"/>
    <w:rsid w:val="1D790C69"/>
    <w:rsid w:val="1D977984"/>
    <w:rsid w:val="1DAD6E51"/>
    <w:rsid w:val="1DB16262"/>
    <w:rsid w:val="1DB32BD3"/>
    <w:rsid w:val="1DCC7BB4"/>
    <w:rsid w:val="1DDA7304"/>
    <w:rsid w:val="1DDD198D"/>
    <w:rsid w:val="1E1207F4"/>
    <w:rsid w:val="1E2748AA"/>
    <w:rsid w:val="1E283999"/>
    <w:rsid w:val="1E352340"/>
    <w:rsid w:val="1E3B5B2B"/>
    <w:rsid w:val="1E42677F"/>
    <w:rsid w:val="1E436A28"/>
    <w:rsid w:val="1E4A684B"/>
    <w:rsid w:val="1E4E191D"/>
    <w:rsid w:val="1E5B78CE"/>
    <w:rsid w:val="1E5F5CBE"/>
    <w:rsid w:val="1EBA5208"/>
    <w:rsid w:val="1ED3767C"/>
    <w:rsid w:val="1F027DCB"/>
    <w:rsid w:val="1F28211B"/>
    <w:rsid w:val="1F2E2F59"/>
    <w:rsid w:val="1F3940A8"/>
    <w:rsid w:val="1F3950CD"/>
    <w:rsid w:val="1F4A5D3F"/>
    <w:rsid w:val="1F617835"/>
    <w:rsid w:val="1F8573F6"/>
    <w:rsid w:val="1FA04CB8"/>
    <w:rsid w:val="1FB43F15"/>
    <w:rsid w:val="1FDB19B9"/>
    <w:rsid w:val="1FDF4BC2"/>
    <w:rsid w:val="1FE56C6F"/>
    <w:rsid w:val="20256CEF"/>
    <w:rsid w:val="20302588"/>
    <w:rsid w:val="20610ECF"/>
    <w:rsid w:val="206204A9"/>
    <w:rsid w:val="206E4FBC"/>
    <w:rsid w:val="20785975"/>
    <w:rsid w:val="20A21E92"/>
    <w:rsid w:val="20A57A67"/>
    <w:rsid w:val="20A70B60"/>
    <w:rsid w:val="20B4266B"/>
    <w:rsid w:val="20DB2B02"/>
    <w:rsid w:val="20E21BA9"/>
    <w:rsid w:val="20FB00D8"/>
    <w:rsid w:val="214D2BF4"/>
    <w:rsid w:val="217E75E9"/>
    <w:rsid w:val="21895DF1"/>
    <w:rsid w:val="21B219EC"/>
    <w:rsid w:val="21BB5A9E"/>
    <w:rsid w:val="21CC4970"/>
    <w:rsid w:val="21DE311D"/>
    <w:rsid w:val="21E333A6"/>
    <w:rsid w:val="220D41FF"/>
    <w:rsid w:val="221B63A0"/>
    <w:rsid w:val="222B7E86"/>
    <w:rsid w:val="224C47AB"/>
    <w:rsid w:val="224F7522"/>
    <w:rsid w:val="225A60F7"/>
    <w:rsid w:val="2274785E"/>
    <w:rsid w:val="22806A11"/>
    <w:rsid w:val="23206186"/>
    <w:rsid w:val="23225D32"/>
    <w:rsid w:val="236E1BB6"/>
    <w:rsid w:val="238E6CAB"/>
    <w:rsid w:val="239304C7"/>
    <w:rsid w:val="23BF346F"/>
    <w:rsid w:val="23C71B44"/>
    <w:rsid w:val="23C931E2"/>
    <w:rsid w:val="23CF681D"/>
    <w:rsid w:val="23DC5161"/>
    <w:rsid w:val="23EE6238"/>
    <w:rsid w:val="240B6E4C"/>
    <w:rsid w:val="241660F6"/>
    <w:rsid w:val="24181FE4"/>
    <w:rsid w:val="241D3732"/>
    <w:rsid w:val="242349CC"/>
    <w:rsid w:val="24350C66"/>
    <w:rsid w:val="247748A6"/>
    <w:rsid w:val="24B636D8"/>
    <w:rsid w:val="24E46A77"/>
    <w:rsid w:val="253D2691"/>
    <w:rsid w:val="257219B4"/>
    <w:rsid w:val="25736773"/>
    <w:rsid w:val="25796970"/>
    <w:rsid w:val="25910882"/>
    <w:rsid w:val="25AA0B85"/>
    <w:rsid w:val="25AB7896"/>
    <w:rsid w:val="25B225FB"/>
    <w:rsid w:val="25DF26AC"/>
    <w:rsid w:val="26310913"/>
    <w:rsid w:val="2652435A"/>
    <w:rsid w:val="265F59F4"/>
    <w:rsid w:val="26980F4A"/>
    <w:rsid w:val="26B06E08"/>
    <w:rsid w:val="26B84FF3"/>
    <w:rsid w:val="26C37006"/>
    <w:rsid w:val="26F204EF"/>
    <w:rsid w:val="27024825"/>
    <w:rsid w:val="270A5318"/>
    <w:rsid w:val="2731335C"/>
    <w:rsid w:val="27417B99"/>
    <w:rsid w:val="27802BE8"/>
    <w:rsid w:val="27832E41"/>
    <w:rsid w:val="27901845"/>
    <w:rsid w:val="27B80893"/>
    <w:rsid w:val="27D663EF"/>
    <w:rsid w:val="27FA2997"/>
    <w:rsid w:val="28270BE6"/>
    <w:rsid w:val="285E1F9F"/>
    <w:rsid w:val="28643D04"/>
    <w:rsid w:val="286B327D"/>
    <w:rsid w:val="28B56DE5"/>
    <w:rsid w:val="28DC6898"/>
    <w:rsid w:val="28E62E61"/>
    <w:rsid w:val="292B7559"/>
    <w:rsid w:val="29451183"/>
    <w:rsid w:val="294A22BE"/>
    <w:rsid w:val="295D6EDB"/>
    <w:rsid w:val="29BC4FD3"/>
    <w:rsid w:val="29BD2369"/>
    <w:rsid w:val="29C76D32"/>
    <w:rsid w:val="29D61EF6"/>
    <w:rsid w:val="2A47677A"/>
    <w:rsid w:val="2A5F52DF"/>
    <w:rsid w:val="2A7444F9"/>
    <w:rsid w:val="2A7C52C6"/>
    <w:rsid w:val="2A917ADE"/>
    <w:rsid w:val="2A946CEF"/>
    <w:rsid w:val="2AB4188C"/>
    <w:rsid w:val="2AC944BF"/>
    <w:rsid w:val="2AC95151"/>
    <w:rsid w:val="2ACA1A00"/>
    <w:rsid w:val="2AEC43C3"/>
    <w:rsid w:val="2B067B7C"/>
    <w:rsid w:val="2B210AD8"/>
    <w:rsid w:val="2B320F6B"/>
    <w:rsid w:val="2B47568D"/>
    <w:rsid w:val="2B7743DC"/>
    <w:rsid w:val="2B8C6C3F"/>
    <w:rsid w:val="2B9D6077"/>
    <w:rsid w:val="2BA3153D"/>
    <w:rsid w:val="2BBD308E"/>
    <w:rsid w:val="2BD81ADF"/>
    <w:rsid w:val="2C444745"/>
    <w:rsid w:val="2C6D065D"/>
    <w:rsid w:val="2C701D68"/>
    <w:rsid w:val="2CAF267A"/>
    <w:rsid w:val="2CF14102"/>
    <w:rsid w:val="2D0E4CBC"/>
    <w:rsid w:val="2D0F4C79"/>
    <w:rsid w:val="2D3779CF"/>
    <w:rsid w:val="2D431250"/>
    <w:rsid w:val="2D71729C"/>
    <w:rsid w:val="2D782825"/>
    <w:rsid w:val="2D7B4137"/>
    <w:rsid w:val="2D834DF9"/>
    <w:rsid w:val="2D9331DA"/>
    <w:rsid w:val="2DA95B6A"/>
    <w:rsid w:val="2DB27C76"/>
    <w:rsid w:val="2DB330C8"/>
    <w:rsid w:val="2DB476A8"/>
    <w:rsid w:val="2DEF5D50"/>
    <w:rsid w:val="2E2B6C87"/>
    <w:rsid w:val="2E2D7EC5"/>
    <w:rsid w:val="2E474E2B"/>
    <w:rsid w:val="2E657731"/>
    <w:rsid w:val="2E674587"/>
    <w:rsid w:val="2E7F3BB8"/>
    <w:rsid w:val="2E8B58C6"/>
    <w:rsid w:val="2EC673C5"/>
    <w:rsid w:val="2EE67416"/>
    <w:rsid w:val="2F2203B8"/>
    <w:rsid w:val="2F4136A0"/>
    <w:rsid w:val="2F531ACB"/>
    <w:rsid w:val="2FA929E7"/>
    <w:rsid w:val="2FB40877"/>
    <w:rsid w:val="2FCC2A87"/>
    <w:rsid w:val="2FDC6090"/>
    <w:rsid w:val="30182FEE"/>
    <w:rsid w:val="302A6AC2"/>
    <w:rsid w:val="30531241"/>
    <w:rsid w:val="30B0516F"/>
    <w:rsid w:val="30E16671"/>
    <w:rsid w:val="313708CB"/>
    <w:rsid w:val="31626E37"/>
    <w:rsid w:val="316F68A5"/>
    <w:rsid w:val="31906209"/>
    <w:rsid w:val="31CA15E8"/>
    <w:rsid w:val="31E73F70"/>
    <w:rsid w:val="31E8753D"/>
    <w:rsid w:val="32200858"/>
    <w:rsid w:val="323778DE"/>
    <w:rsid w:val="325C291B"/>
    <w:rsid w:val="32847184"/>
    <w:rsid w:val="328E4C71"/>
    <w:rsid w:val="32B8212E"/>
    <w:rsid w:val="32CC4D3E"/>
    <w:rsid w:val="33094809"/>
    <w:rsid w:val="33171638"/>
    <w:rsid w:val="33316A8A"/>
    <w:rsid w:val="3334695E"/>
    <w:rsid w:val="335E0B57"/>
    <w:rsid w:val="336100AF"/>
    <w:rsid w:val="33637FB6"/>
    <w:rsid w:val="336E6676"/>
    <w:rsid w:val="338357C7"/>
    <w:rsid w:val="33880FFF"/>
    <w:rsid w:val="338D494B"/>
    <w:rsid w:val="33B66B58"/>
    <w:rsid w:val="33F3226F"/>
    <w:rsid w:val="33F71D1A"/>
    <w:rsid w:val="33F86541"/>
    <w:rsid w:val="3407001A"/>
    <w:rsid w:val="3409604F"/>
    <w:rsid w:val="34137FA6"/>
    <w:rsid w:val="344A50EF"/>
    <w:rsid w:val="346E21B7"/>
    <w:rsid w:val="34915773"/>
    <w:rsid w:val="34964AD5"/>
    <w:rsid w:val="349C0222"/>
    <w:rsid w:val="34B94D14"/>
    <w:rsid w:val="34BE739B"/>
    <w:rsid w:val="34E04CB0"/>
    <w:rsid w:val="34ED03A7"/>
    <w:rsid w:val="34F12B3A"/>
    <w:rsid w:val="350A6E69"/>
    <w:rsid w:val="35145B72"/>
    <w:rsid w:val="35207F58"/>
    <w:rsid w:val="352C17E2"/>
    <w:rsid w:val="35392F00"/>
    <w:rsid w:val="35695771"/>
    <w:rsid w:val="35772756"/>
    <w:rsid w:val="357E2ED2"/>
    <w:rsid w:val="35B069A7"/>
    <w:rsid w:val="35C141BA"/>
    <w:rsid w:val="35C30488"/>
    <w:rsid w:val="365129C6"/>
    <w:rsid w:val="36666FD5"/>
    <w:rsid w:val="3673515C"/>
    <w:rsid w:val="368E6B57"/>
    <w:rsid w:val="36906557"/>
    <w:rsid w:val="36946B19"/>
    <w:rsid w:val="3698200A"/>
    <w:rsid w:val="369C0139"/>
    <w:rsid w:val="36A70EE3"/>
    <w:rsid w:val="36B00594"/>
    <w:rsid w:val="37002DFC"/>
    <w:rsid w:val="370856F0"/>
    <w:rsid w:val="37095115"/>
    <w:rsid w:val="37385888"/>
    <w:rsid w:val="37647F74"/>
    <w:rsid w:val="379245B6"/>
    <w:rsid w:val="379F5FC6"/>
    <w:rsid w:val="37AD330D"/>
    <w:rsid w:val="37DB3A75"/>
    <w:rsid w:val="382D4BDB"/>
    <w:rsid w:val="382F4F9D"/>
    <w:rsid w:val="383E6E84"/>
    <w:rsid w:val="387B29CA"/>
    <w:rsid w:val="38822A33"/>
    <w:rsid w:val="38824140"/>
    <w:rsid w:val="38AE6A90"/>
    <w:rsid w:val="38D02909"/>
    <w:rsid w:val="38EE6836"/>
    <w:rsid w:val="39137E0B"/>
    <w:rsid w:val="392C3EBD"/>
    <w:rsid w:val="394C07AD"/>
    <w:rsid w:val="39744154"/>
    <w:rsid w:val="39825C1F"/>
    <w:rsid w:val="39960DB8"/>
    <w:rsid w:val="39A16D33"/>
    <w:rsid w:val="39BD1693"/>
    <w:rsid w:val="39C36959"/>
    <w:rsid w:val="3A4061C8"/>
    <w:rsid w:val="3A48314C"/>
    <w:rsid w:val="3A48385C"/>
    <w:rsid w:val="3A4D4DBA"/>
    <w:rsid w:val="3A8732D7"/>
    <w:rsid w:val="3A9F227A"/>
    <w:rsid w:val="3AC337AE"/>
    <w:rsid w:val="3ACE2F83"/>
    <w:rsid w:val="3AD80B95"/>
    <w:rsid w:val="3AF2212E"/>
    <w:rsid w:val="3AF51B5E"/>
    <w:rsid w:val="3B184F48"/>
    <w:rsid w:val="3B693836"/>
    <w:rsid w:val="3B9F661F"/>
    <w:rsid w:val="3BAE6765"/>
    <w:rsid w:val="3BBC75C5"/>
    <w:rsid w:val="3BCA25B7"/>
    <w:rsid w:val="3C0F3ADD"/>
    <w:rsid w:val="3C153A08"/>
    <w:rsid w:val="3C281356"/>
    <w:rsid w:val="3C432DD2"/>
    <w:rsid w:val="3C494C9F"/>
    <w:rsid w:val="3C534F89"/>
    <w:rsid w:val="3C70591D"/>
    <w:rsid w:val="3C9977A2"/>
    <w:rsid w:val="3CE633B9"/>
    <w:rsid w:val="3CEE52D9"/>
    <w:rsid w:val="3D055EED"/>
    <w:rsid w:val="3D0616EA"/>
    <w:rsid w:val="3D12117A"/>
    <w:rsid w:val="3D5E3388"/>
    <w:rsid w:val="3D5F2C16"/>
    <w:rsid w:val="3D6412EF"/>
    <w:rsid w:val="3D9E33AF"/>
    <w:rsid w:val="3DBC5EC7"/>
    <w:rsid w:val="3E047696"/>
    <w:rsid w:val="3E2F19CF"/>
    <w:rsid w:val="3E3C1055"/>
    <w:rsid w:val="3E4B7D37"/>
    <w:rsid w:val="3E5E1832"/>
    <w:rsid w:val="3E600C3F"/>
    <w:rsid w:val="3E620D2E"/>
    <w:rsid w:val="3ED22A5C"/>
    <w:rsid w:val="3EE66399"/>
    <w:rsid w:val="3F0E2C89"/>
    <w:rsid w:val="3F2A7D18"/>
    <w:rsid w:val="3F5433D1"/>
    <w:rsid w:val="3F5B3E28"/>
    <w:rsid w:val="3F9C0C67"/>
    <w:rsid w:val="3FB637B7"/>
    <w:rsid w:val="3FCC4468"/>
    <w:rsid w:val="3FD55ACA"/>
    <w:rsid w:val="3FE33D0C"/>
    <w:rsid w:val="3FE34F89"/>
    <w:rsid w:val="3FFC6526"/>
    <w:rsid w:val="400231B1"/>
    <w:rsid w:val="40170D61"/>
    <w:rsid w:val="402E0EF7"/>
    <w:rsid w:val="40300459"/>
    <w:rsid w:val="40321547"/>
    <w:rsid w:val="40741FD7"/>
    <w:rsid w:val="40927856"/>
    <w:rsid w:val="409B6018"/>
    <w:rsid w:val="40B17DDE"/>
    <w:rsid w:val="40E93476"/>
    <w:rsid w:val="41070901"/>
    <w:rsid w:val="410B7697"/>
    <w:rsid w:val="411E5EA8"/>
    <w:rsid w:val="414B7430"/>
    <w:rsid w:val="414C3A28"/>
    <w:rsid w:val="41540A5C"/>
    <w:rsid w:val="41605300"/>
    <w:rsid w:val="41674A59"/>
    <w:rsid w:val="41720FB5"/>
    <w:rsid w:val="41764D96"/>
    <w:rsid w:val="4180125A"/>
    <w:rsid w:val="418C70B9"/>
    <w:rsid w:val="41A65A9C"/>
    <w:rsid w:val="41B11E27"/>
    <w:rsid w:val="41CB795C"/>
    <w:rsid w:val="41CF7768"/>
    <w:rsid w:val="41E755E7"/>
    <w:rsid w:val="41F02D33"/>
    <w:rsid w:val="41FC0607"/>
    <w:rsid w:val="4203056E"/>
    <w:rsid w:val="423500A7"/>
    <w:rsid w:val="425047F1"/>
    <w:rsid w:val="4251506E"/>
    <w:rsid w:val="42582674"/>
    <w:rsid w:val="428B70BF"/>
    <w:rsid w:val="429B4451"/>
    <w:rsid w:val="429D3ECA"/>
    <w:rsid w:val="42B76032"/>
    <w:rsid w:val="42DE2864"/>
    <w:rsid w:val="42DF60BC"/>
    <w:rsid w:val="42E554A8"/>
    <w:rsid w:val="42EC266F"/>
    <w:rsid w:val="430A73AD"/>
    <w:rsid w:val="43112830"/>
    <w:rsid w:val="43670971"/>
    <w:rsid w:val="43694B8B"/>
    <w:rsid w:val="43F332BD"/>
    <w:rsid w:val="440B5E1C"/>
    <w:rsid w:val="441854AD"/>
    <w:rsid w:val="44272937"/>
    <w:rsid w:val="443339C3"/>
    <w:rsid w:val="44417786"/>
    <w:rsid w:val="44547BB7"/>
    <w:rsid w:val="44553A4B"/>
    <w:rsid w:val="4465409D"/>
    <w:rsid w:val="44A346D5"/>
    <w:rsid w:val="44CD04F5"/>
    <w:rsid w:val="452374B8"/>
    <w:rsid w:val="452C26D6"/>
    <w:rsid w:val="453656B2"/>
    <w:rsid w:val="455C450E"/>
    <w:rsid w:val="456E6468"/>
    <w:rsid w:val="45790056"/>
    <w:rsid w:val="457B151C"/>
    <w:rsid w:val="457D36AE"/>
    <w:rsid w:val="45B54AF4"/>
    <w:rsid w:val="45FE7540"/>
    <w:rsid w:val="46087A74"/>
    <w:rsid w:val="46093327"/>
    <w:rsid w:val="461C03BF"/>
    <w:rsid w:val="46346CCF"/>
    <w:rsid w:val="46507A8F"/>
    <w:rsid w:val="465473F2"/>
    <w:rsid w:val="466C63DD"/>
    <w:rsid w:val="46781EA4"/>
    <w:rsid w:val="46B76B9B"/>
    <w:rsid w:val="46C66239"/>
    <w:rsid w:val="46DE70BC"/>
    <w:rsid w:val="46E45F01"/>
    <w:rsid w:val="46FB1E48"/>
    <w:rsid w:val="471B1BA2"/>
    <w:rsid w:val="476D5304"/>
    <w:rsid w:val="47D57817"/>
    <w:rsid w:val="47D97FDF"/>
    <w:rsid w:val="47E32A44"/>
    <w:rsid w:val="480D4EFD"/>
    <w:rsid w:val="481D2032"/>
    <w:rsid w:val="482D3E87"/>
    <w:rsid w:val="48407F3B"/>
    <w:rsid w:val="48482124"/>
    <w:rsid w:val="48801FE5"/>
    <w:rsid w:val="48A65298"/>
    <w:rsid w:val="48B56582"/>
    <w:rsid w:val="491F2538"/>
    <w:rsid w:val="492F7CD4"/>
    <w:rsid w:val="493D66ED"/>
    <w:rsid w:val="49773DF8"/>
    <w:rsid w:val="499B2128"/>
    <w:rsid w:val="499F1237"/>
    <w:rsid w:val="49C36DC0"/>
    <w:rsid w:val="49C92AEE"/>
    <w:rsid w:val="49DA0C28"/>
    <w:rsid w:val="4A026462"/>
    <w:rsid w:val="4A0B376B"/>
    <w:rsid w:val="4A2F5E13"/>
    <w:rsid w:val="4A8F5DC1"/>
    <w:rsid w:val="4ADA76A4"/>
    <w:rsid w:val="4B195611"/>
    <w:rsid w:val="4B6554D7"/>
    <w:rsid w:val="4B6A0AFD"/>
    <w:rsid w:val="4B7A0302"/>
    <w:rsid w:val="4B891C23"/>
    <w:rsid w:val="4BC955CE"/>
    <w:rsid w:val="4BCE4D1C"/>
    <w:rsid w:val="4BD85971"/>
    <w:rsid w:val="4BD905E7"/>
    <w:rsid w:val="4BDA04F5"/>
    <w:rsid w:val="4BF938FC"/>
    <w:rsid w:val="4C082F18"/>
    <w:rsid w:val="4C0F01B0"/>
    <w:rsid w:val="4C1A2ABB"/>
    <w:rsid w:val="4C255403"/>
    <w:rsid w:val="4C540A6E"/>
    <w:rsid w:val="4C6A56AA"/>
    <w:rsid w:val="4C6E0FBA"/>
    <w:rsid w:val="4C720396"/>
    <w:rsid w:val="4C972194"/>
    <w:rsid w:val="4CA64D83"/>
    <w:rsid w:val="4CBB1EB9"/>
    <w:rsid w:val="4CD71F8D"/>
    <w:rsid w:val="4D072472"/>
    <w:rsid w:val="4D080C5D"/>
    <w:rsid w:val="4D101836"/>
    <w:rsid w:val="4D396E59"/>
    <w:rsid w:val="4D4E687D"/>
    <w:rsid w:val="4D543B85"/>
    <w:rsid w:val="4D5F2F4A"/>
    <w:rsid w:val="4D711168"/>
    <w:rsid w:val="4D9C118B"/>
    <w:rsid w:val="4DAF41A8"/>
    <w:rsid w:val="4DC21BB2"/>
    <w:rsid w:val="4DD029CC"/>
    <w:rsid w:val="4DD16248"/>
    <w:rsid w:val="4DFC0B7F"/>
    <w:rsid w:val="4E092F83"/>
    <w:rsid w:val="4E2C69CB"/>
    <w:rsid w:val="4E3604BB"/>
    <w:rsid w:val="4E6A6456"/>
    <w:rsid w:val="4E885493"/>
    <w:rsid w:val="4E8C2EE1"/>
    <w:rsid w:val="4EAA134D"/>
    <w:rsid w:val="4EB95335"/>
    <w:rsid w:val="4EDC0D6D"/>
    <w:rsid w:val="4EEC5DCC"/>
    <w:rsid w:val="4F005152"/>
    <w:rsid w:val="4F0F75E5"/>
    <w:rsid w:val="4F2002A2"/>
    <w:rsid w:val="4F40277C"/>
    <w:rsid w:val="4F4E6CAF"/>
    <w:rsid w:val="4F5167AE"/>
    <w:rsid w:val="4F7345EE"/>
    <w:rsid w:val="4F757041"/>
    <w:rsid w:val="4FAA4E63"/>
    <w:rsid w:val="4FE94088"/>
    <w:rsid w:val="4FF05133"/>
    <w:rsid w:val="50034190"/>
    <w:rsid w:val="504472B8"/>
    <w:rsid w:val="505C0F0C"/>
    <w:rsid w:val="507B13DC"/>
    <w:rsid w:val="509C1BAA"/>
    <w:rsid w:val="50EC6D7B"/>
    <w:rsid w:val="50EF2890"/>
    <w:rsid w:val="50F22CC7"/>
    <w:rsid w:val="511B3FD0"/>
    <w:rsid w:val="51416D28"/>
    <w:rsid w:val="514C03F5"/>
    <w:rsid w:val="51601CEE"/>
    <w:rsid w:val="51610E9A"/>
    <w:rsid w:val="51C46D4F"/>
    <w:rsid w:val="52093673"/>
    <w:rsid w:val="52187A07"/>
    <w:rsid w:val="52271947"/>
    <w:rsid w:val="523E1F36"/>
    <w:rsid w:val="52416817"/>
    <w:rsid w:val="52416CE5"/>
    <w:rsid w:val="524461F9"/>
    <w:rsid w:val="527C11FB"/>
    <w:rsid w:val="52AF13DF"/>
    <w:rsid w:val="52B7627F"/>
    <w:rsid w:val="5309504C"/>
    <w:rsid w:val="53346EFA"/>
    <w:rsid w:val="53375E04"/>
    <w:rsid w:val="53382923"/>
    <w:rsid w:val="533B1504"/>
    <w:rsid w:val="533B4D7A"/>
    <w:rsid w:val="5341311F"/>
    <w:rsid w:val="534D3630"/>
    <w:rsid w:val="53503D85"/>
    <w:rsid w:val="53643B5D"/>
    <w:rsid w:val="5364447E"/>
    <w:rsid w:val="536D558C"/>
    <w:rsid w:val="538444BF"/>
    <w:rsid w:val="538E6B22"/>
    <w:rsid w:val="538F2F4A"/>
    <w:rsid w:val="53925317"/>
    <w:rsid w:val="53A77EC2"/>
    <w:rsid w:val="53CC7FDF"/>
    <w:rsid w:val="53CF3501"/>
    <w:rsid w:val="53E11126"/>
    <w:rsid w:val="53FF71D6"/>
    <w:rsid w:val="54275B3E"/>
    <w:rsid w:val="546B2CF9"/>
    <w:rsid w:val="548E5DAB"/>
    <w:rsid w:val="549A06C6"/>
    <w:rsid w:val="54A63846"/>
    <w:rsid w:val="55387E85"/>
    <w:rsid w:val="554C022D"/>
    <w:rsid w:val="5565645F"/>
    <w:rsid w:val="556A7FE7"/>
    <w:rsid w:val="55702164"/>
    <w:rsid w:val="558127D5"/>
    <w:rsid w:val="55D0251D"/>
    <w:rsid w:val="55DF6D12"/>
    <w:rsid w:val="55F6353D"/>
    <w:rsid w:val="56042C42"/>
    <w:rsid w:val="561457DA"/>
    <w:rsid w:val="5657173C"/>
    <w:rsid w:val="565F0858"/>
    <w:rsid w:val="567F5A91"/>
    <w:rsid w:val="567F7902"/>
    <w:rsid w:val="56A80744"/>
    <w:rsid w:val="56DE6A70"/>
    <w:rsid w:val="56EF4973"/>
    <w:rsid w:val="56FB26C5"/>
    <w:rsid w:val="56FE7A1E"/>
    <w:rsid w:val="57153C4E"/>
    <w:rsid w:val="571D0C99"/>
    <w:rsid w:val="575E4F04"/>
    <w:rsid w:val="57AE3FBE"/>
    <w:rsid w:val="57D15B36"/>
    <w:rsid w:val="57F13FDA"/>
    <w:rsid w:val="58044BF2"/>
    <w:rsid w:val="581A12F1"/>
    <w:rsid w:val="586A4D79"/>
    <w:rsid w:val="58701409"/>
    <w:rsid w:val="587E7264"/>
    <w:rsid w:val="58967D73"/>
    <w:rsid w:val="589D11FD"/>
    <w:rsid w:val="58B4584E"/>
    <w:rsid w:val="590532B1"/>
    <w:rsid w:val="590F3170"/>
    <w:rsid w:val="595F083F"/>
    <w:rsid w:val="597B711F"/>
    <w:rsid w:val="5998611A"/>
    <w:rsid w:val="59A47A61"/>
    <w:rsid w:val="59AD4208"/>
    <w:rsid w:val="59C307E7"/>
    <w:rsid w:val="59D42BA8"/>
    <w:rsid w:val="59D53CD4"/>
    <w:rsid w:val="59DE2419"/>
    <w:rsid w:val="5A0C3927"/>
    <w:rsid w:val="5A1B3B69"/>
    <w:rsid w:val="5A51048A"/>
    <w:rsid w:val="5A597C4E"/>
    <w:rsid w:val="5A6A0188"/>
    <w:rsid w:val="5A8E6A50"/>
    <w:rsid w:val="5A933E70"/>
    <w:rsid w:val="5ACD0CB7"/>
    <w:rsid w:val="5AF01B33"/>
    <w:rsid w:val="5AF22D8F"/>
    <w:rsid w:val="5AF32B3D"/>
    <w:rsid w:val="5AFF19EF"/>
    <w:rsid w:val="5B01429E"/>
    <w:rsid w:val="5B336112"/>
    <w:rsid w:val="5B501693"/>
    <w:rsid w:val="5B9457B5"/>
    <w:rsid w:val="5BA65EE9"/>
    <w:rsid w:val="5BB30149"/>
    <w:rsid w:val="5BBD01ED"/>
    <w:rsid w:val="5BC00604"/>
    <w:rsid w:val="5BC539B6"/>
    <w:rsid w:val="5BCB1E13"/>
    <w:rsid w:val="5BD11367"/>
    <w:rsid w:val="5BF97669"/>
    <w:rsid w:val="5C4F7062"/>
    <w:rsid w:val="5CAC7619"/>
    <w:rsid w:val="5CE6693B"/>
    <w:rsid w:val="5D257D75"/>
    <w:rsid w:val="5D313D9D"/>
    <w:rsid w:val="5D4B7567"/>
    <w:rsid w:val="5D54335E"/>
    <w:rsid w:val="5D851F65"/>
    <w:rsid w:val="5DD04928"/>
    <w:rsid w:val="5DD80920"/>
    <w:rsid w:val="5DE40704"/>
    <w:rsid w:val="5DE534AD"/>
    <w:rsid w:val="5DE80EBF"/>
    <w:rsid w:val="5DEA39D2"/>
    <w:rsid w:val="5E0035AB"/>
    <w:rsid w:val="5E121726"/>
    <w:rsid w:val="5E1C6548"/>
    <w:rsid w:val="5E3B748F"/>
    <w:rsid w:val="5E495531"/>
    <w:rsid w:val="5E707169"/>
    <w:rsid w:val="5ED530BF"/>
    <w:rsid w:val="5EE512C0"/>
    <w:rsid w:val="5EE86C7F"/>
    <w:rsid w:val="5EFB03E4"/>
    <w:rsid w:val="5F16521D"/>
    <w:rsid w:val="5F572499"/>
    <w:rsid w:val="5F6C7EDE"/>
    <w:rsid w:val="5F8C1C04"/>
    <w:rsid w:val="5FAE0C69"/>
    <w:rsid w:val="5FE47FDF"/>
    <w:rsid w:val="5FEB6432"/>
    <w:rsid w:val="60356F29"/>
    <w:rsid w:val="604A05F0"/>
    <w:rsid w:val="60A033A3"/>
    <w:rsid w:val="60A75CE8"/>
    <w:rsid w:val="60AD457D"/>
    <w:rsid w:val="60C14AB2"/>
    <w:rsid w:val="60E9228D"/>
    <w:rsid w:val="611413BC"/>
    <w:rsid w:val="612766D5"/>
    <w:rsid w:val="61341189"/>
    <w:rsid w:val="615F0718"/>
    <w:rsid w:val="617300A9"/>
    <w:rsid w:val="61857589"/>
    <w:rsid w:val="61911F10"/>
    <w:rsid w:val="61943F2C"/>
    <w:rsid w:val="619A0833"/>
    <w:rsid w:val="619B1C1C"/>
    <w:rsid w:val="61C40F61"/>
    <w:rsid w:val="61F710C5"/>
    <w:rsid w:val="61F81C34"/>
    <w:rsid w:val="61FB3A19"/>
    <w:rsid w:val="62041A27"/>
    <w:rsid w:val="620F67EC"/>
    <w:rsid w:val="62386B9C"/>
    <w:rsid w:val="62513E32"/>
    <w:rsid w:val="625A71AE"/>
    <w:rsid w:val="627E3A28"/>
    <w:rsid w:val="62DD6E50"/>
    <w:rsid w:val="62E92A57"/>
    <w:rsid w:val="62FE54D2"/>
    <w:rsid w:val="63037EB1"/>
    <w:rsid w:val="631D4C9E"/>
    <w:rsid w:val="63297A4C"/>
    <w:rsid w:val="635300AA"/>
    <w:rsid w:val="635B0FF6"/>
    <w:rsid w:val="63687321"/>
    <w:rsid w:val="636F01B7"/>
    <w:rsid w:val="63844DFC"/>
    <w:rsid w:val="63BD7DE9"/>
    <w:rsid w:val="642F7786"/>
    <w:rsid w:val="64835300"/>
    <w:rsid w:val="64A47C81"/>
    <w:rsid w:val="64E46315"/>
    <w:rsid w:val="651F7000"/>
    <w:rsid w:val="65737B02"/>
    <w:rsid w:val="658A76CC"/>
    <w:rsid w:val="658E3DF2"/>
    <w:rsid w:val="65937FEC"/>
    <w:rsid w:val="65B5456B"/>
    <w:rsid w:val="65BA5074"/>
    <w:rsid w:val="65DE08CE"/>
    <w:rsid w:val="65E51E89"/>
    <w:rsid w:val="65EC5530"/>
    <w:rsid w:val="664A4283"/>
    <w:rsid w:val="666A0329"/>
    <w:rsid w:val="66946A9C"/>
    <w:rsid w:val="66D91C48"/>
    <w:rsid w:val="66E000AE"/>
    <w:rsid w:val="66EC4E05"/>
    <w:rsid w:val="67080EA6"/>
    <w:rsid w:val="67144727"/>
    <w:rsid w:val="67172841"/>
    <w:rsid w:val="672A23B4"/>
    <w:rsid w:val="673D0D4B"/>
    <w:rsid w:val="67542D64"/>
    <w:rsid w:val="675B1F33"/>
    <w:rsid w:val="675E2709"/>
    <w:rsid w:val="676927E5"/>
    <w:rsid w:val="67AA22DB"/>
    <w:rsid w:val="67BB2CCE"/>
    <w:rsid w:val="67E02227"/>
    <w:rsid w:val="67FD51E5"/>
    <w:rsid w:val="67FD5E55"/>
    <w:rsid w:val="6800039E"/>
    <w:rsid w:val="684438BA"/>
    <w:rsid w:val="68466B73"/>
    <w:rsid w:val="68482E12"/>
    <w:rsid w:val="68626D18"/>
    <w:rsid w:val="68673A80"/>
    <w:rsid w:val="6871796E"/>
    <w:rsid w:val="68A11839"/>
    <w:rsid w:val="68A261D2"/>
    <w:rsid w:val="68D037AA"/>
    <w:rsid w:val="68DD1F7C"/>
    <w:rsid w:val="6923133C"/>
    <w:rsid w:val="69280027"/>
    <w:rsid w:val="696657FA"/>
    <w:rsid w:val="696D1689"/>
    <w:rsid w:val="69915D71"/>
    <w:rsid w:val="69923832"/>
    <w:rsid w:val="69A93176"/>
    <w:rsid w:val="69C41619"/>
    <w:rsid w:val="6A1F2429"/>
    <w:rsid w:val="6A457AD1"/>
    <w:rsid w:val="6A850C55"/>
    <w:rsid w:val="6A86093D"/>
    <w:rsid w:val="6AA970ED"/>
    <w:rsid w:val="6AAF0230"/>
    <w:rsid w:val="6AC07A26"/>
    <w:rsid w:val="6B0203AF"/>
    <w:rsid w:val="6B0F32F3"/>
    <w:rsid w:val="6B2F035F"/>
    <w:rsid w:val="6B4972FD"/>
    <w:rsid w:val="6B5B14EE"/>
    <w:rsid w:val="6B6A5AFC"/>
    <w:rsid w:val="6BB200C3"/>
    <w:rsid w:val="6BE5424D"/>
    <w:rsid w:val="6C1404B4"/>
    <w:rsid w:val="6C1541F7"/>
    <w:rsid w:val="6C2B7522"/>
    <w:rsid w:val="6C2D378B"/>
    <w:rsid w:val="6C303D8F"/>
    <w:rsid w:val="6C84286E"/>
    <w:rsid w:val="6CC73964"/>
    <w:rsid w:val="6D5A63B1"/>
    <w:rsid w:val="6D61530C"/>
    <w:rsid w:val="6D7A198E"/>
    <w:rsid w:val="6D843A05"/>
    <w:rsid w:val="6D9641C5"/>
    <w:rsid w:val="6DB60EDB"/>
    <w:rsid w:val="6DC8375E"/>
    <w:rsid w:val="6DCF27FB"/>
    <w:rsid w:val="6E06002B"/>
    <w:rsid w:val="6E070072"/>
    <w:rsid w:val="6E3556C0"/>
    <w:rsid w:val="6E3D7979"/>
    <w:rsid w:val="6E5518BE"/>
    <w:rsid w:val="6E751F61"/>
    <w:rsid w:val="6EE13F18"/>
    <w:rsid w:val="6EEA15C9"/>
    <w:rsid w:val="6F073538"/>
    <w:rsid w:val="6F0C4192"/>
    <w:rsid w:val="6F1A5F97"/>
    <w:rsid w:val="6F2E5BC9"/>
    <w:rsid w:val="6F333FFC"/>
    <w:rsid w:val="6F69585A"/>
    <w:rsid w:val="6F6E431C"/>
    <w:rsid w:val="6F88137F"/>
    <w:rsid w:val="6F922508"/>
    <w:rsid w:val="6F9836F2"/>
    <w:rsid w:val="6FAD604E"/>
    <w:rsid w:val="6FC84312"/>
    <w:rsid w:val="6FD105D1"/>
    <w:rsid w:val="6FEE2985"/>
    <w:rsid w:val="701003B6"/>
    <w:rsid w:val="701301F1"/>
    <w:rsid w:val="70201932"/>
    <w:rsid w:val="70912C09"/>
    <w:rsid w:val="709D1E23"/>
    <w:rsid w:val="70A51C63"/>
    <w:rsid w:val="711A3FA4"/>
    <w:rsid w:val="71301DF1"/>
    <w:rsid w:val="71751FB1"/>
    <w:rsid w:val="718A2932"/>
    <w:rsid w:val="71AA088C"/>
    <w:rsid w:val="71AA45E2"/>
    <w:rsid w:val="71C32312"/>
    <w:rsid w:val="71F914F9"/>
    <w:rsid w:val="72075C70"/>
    <w:rsid w:val="725820B9"/>
    <w:rsid w:val="725B0DB6"/>
    <w:rsid w:val="72666BC5"/>
    <w:rsid w:val="72785ABE"/>
    <w:rsid w:val="729B148B"/>
    <w:rsid w:val="72C838E0"/>
    <w:rsid w:val="72CC6F6C"/>
    <w:rsid w:val="72ED34BA"/>
    <w:rsid w:val="72F8608B"/>
    <w:rsid w:val="72F96C95"/>
    <w:rsid w:val="73054CC1"/>
    <w:rsid w:val="730A150E"/>
    <w:rsid w:val="731A1591"/>
    <w:rsid w:val="732D2E0A"/>
    <w:rsid w:val="732D4EC3"/>
    <w:rsid w:val="733E73BE"/>
    <w:rsid w:val="73781054"/>
    <w:rsid w:val="737A712B"/>
    <w:rsid w:val="73C828FB"/>
    <w:rsid w:val="74156880"/>
    <w:rsid w:val="74227212"/>
    <w:rsid w:val="742773E3"/>
    <w:rsid w:val="743354F4"/>
    <w:rsid w:val="743F7E8D"/>
    <w:rsid w:val="74543127"/>
    <w:rsid w:val="749D5875"/>
    <w:rsid w:val="74C96450"/>
    <w:rsid w:val="75220020"/>
    <w:rsid w:val="754E74F7"/>
    <w:rsid w:val="75581C92"/>
    <w:rsid w:val="755B582E"/>
    <w:rsid w:val="757E36C7"/>
    <w:rsid w:val="759926FC"/>
    <w:rsid w:val="75D00657"/>
    <w:rsid w:val="761A167B"/>
    <w:rsid w:val="763167E1"/>
    <w:rsid w:val="765439D4"/>
    <w:rsid w:val="765769F1"/>
    <w:rsid w:val="766D19E2"/>
    <w:rsid w:val="76790114"/>
    <w:rsid w:val="76875A9F"/>
    <w:rsid w:val="769C6B27"/>
    <w:rsid w:val="76CF10BF"/>
    <w:rsid w:val="76FB7E28"/>
    <w:rsid w:val="77241C83"/>
    <w:rsid w:val="774A1B24"/>
    <w:rsid w:val="77662E9C"/>
    <w:rsid w:val="778245F1"/>
    <w:rsid w:val="7790120E"/>
    <w:rsid w:val="77A46917"/>
    <w:rsid w:val="77C8428B"/>
    <w:rsid w:val="77C94086"/>
    <w:rsid w:val="77D170BA"/>
    <w:rsid w:val="77E25913"/>
    <w:rsid w:val="784B4424"/>
    <w:rsid w:val="785830FB"/>
    <w:rsid w:val="78683792"/>
    <w:rsid w:val="789B5E71"/>
    <w:rsid w:val="78E36749"/>
    <w:rsid w:val="78EE4574"/>
    <w:rsid w:val="78F117D0"/>
    <w:rsid w:val="790D00B2"/>
    <w:rsid w:val="79162CFE"/>
    <w:rsid w:val="79164FE2"/>
    <w:rsid w:val="79184163"/>
    <w:rsid w:val="791F5E23"/>
    <w:rsid w:val="793B4C5E"/>
    <w:rsid w:val="797750CD"/>
    <w:rsid w:val="79874AF7"/>
    <w:rsid w:val="79971C87"/>
    <w:rsid w:val="799B467E"/>
    <w:rsid w:val="799C5286"/>
    <w:rsid w:val="79A026B8"/>
    <w:rsid w:val="79AD067E"/>
    <w:rsid w:val="79B8160A"/>
    <w:rsid w:val="79CB0D04"/>
    <w:rsid w:val="79E125E3"/>
    <w:rsid w:val="79E41672"/>
    <w:rsid w:val="79EE49CF"/>
    <w:rsid w:val="79F508D3"/>
    <w:rsid w:val="7A0F33E5"/>
    <w:rsid w:val="7A587E6C"/>
    <w:rsid w:val="7A650DB7"/>
    <w:rsid w:val="7A695EC5"/>
    <w:rsid w:val="7A6C203A"/>
    <w:rsid w:val="7A6D12F2"/>
    <w:rsid w:val="7A7C4A55"/>
    <w:rsid w:val="7AF63970"/>
    <w:rsid w:val="7B120D73"/>
    <w:rsid w:val="7B28056E"/>
    <w:rsid w:val="7B334F2B"/>
    <w:rsid w:val="7B533262"/>
    <w:rsid w:val="7B620ABC"/>
    <w:rsid w:val="7B814CBD"/>
    <w:rsid w:val="7B9F205C"/>
    <w:rsid w:val="7BD414A4"/>
    <w:rsid w:val="7BEE0455"/>
    <w:rsid w:val="7BF755D6"/>
    <w:rsid w:val="7BFB5178"/>
    <w:rsid w:val="7C157EF2"/>
    <w:rsid w:val="7C1B4734"/>
    <w:rsid w:val="7C273CDA"/>
    <w:rsid w:val="7C2B3411"/>
    <w:rsid w:val="7C367CD0"/>
    <w:rsid w:val="7C9317A7"/>
    <w:rsid w:val="7CCE427D"/>
    <w:rsid w:val="7CED0300"/>
    <w:rsid w:val="7D1A1839"/>
    <w:rsid w:val="7D2A136D"/>
    <w:rsid w:val="7D3205DE"/>
    <w:rsid w:val="7D442665"/>
    <w:rsid w:val="7D4E604E"/>
    <w:rsid w:val="7D8E0DC3"/>
    <w:rsid w:val="7D95000F"/>
    <w:rsid w:val="7DFB40AA"/>
    <w:rsid w:val="7E6A6A03"/>
    <w:rsid w:val="7E71034E"/>
    <w:rsid w:val="7E7877C7"/>
    <w:rsid w:val="7E85723D"/>
    <w:rsid w:val="7EB35812"/>
    <w:rsid w:val="7EC877F5"/>
    <w:rsid w:val="7ECC1D1B"/>
    <w:rsid w:val="7EF0065C"/>
    <w:rsid w:val="7F3D0125"/>
    <w:rsid w:val="7F417EB7"/>
    <w:rsid w:val="7F5B0B7E"/>
    <w:rsid w:val="7F7D027C"/>
    <w:rsid w:val="7FA44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宋体" w:cs="Times New Roman"/>
      <w:kern w:val="2"/>
      <w:sz w:val="28"/>
      <w:szCs w:val="24"/>
      <w:lang w:val="en-US" w:eastAsia="zh-CN" w:bidi="ar-SA"/>
    </w:rPr>
  </w:style>
  <w:style w:type="paragraph" w:styleId="2">
    <w:name w:val="heading 1"/>
    <w:basedOn w:val="1"/>
    <w:next w:val="1"/>
    <w:link w:val="87"/>
    <w:autoRedefine/>
    <w:qFormat/>
    <w:uiPriority w:val="9"/>
    <w:pPr>
      <w:keepNext/>
      <w:keepLines/>
      <w:spacing w:line="576" w:lineRule="auto"/>
      <w:jc w:val="center"/>
      <w:outlineLvl w:val="0"/>
    </w:pPr>
    <w:rPr>
      <w:b/>
      <w:kern w:val="44"/>
      <w:sz w:val="56"/>
      <w:szCs w:val="20"/>
    </w:rPr>
  </w:style>
  <w:style w:type="paragraph" w:styleId="3">
    <w:name w:val="heading 2"/>
    <w:basedOn w:val="1"/>
    <w:next w:val="1"/>
    <w:link w:val="86"/>
    <w:autoRedefine/>
    <w:qFormat/>
    <w:uiPriority w:val="0"/>
    <w:pPr>
      <w:keepNext/>
      <w:keepLines/>
      <w:spacing w:before="260" w:after="260" w:line="416" w:lineRule="auto"/>
      <w:jc w:val="center"/>
      <w:outlineLvl w:val="1"/>
    </w:pPr>
    <w:rPr>
      <w:rFonts w:ascii="Arial" w:hAnsi="Arial" w:eastAsia="黑体"/>
      <w:bCs/>
      <w:kern w:val="0"/>
      <w:sz w:val="32"/>
      <w:szCs w:val="32"/>
    </w:rPr>
  </w:style>
  <w:style w:type="paragraph" w:styleId="4">
    <w:name w:val="heading 3"/>
    <w:basedOn w:val="1"/>
    <w:next w:val="1"/>
    <w:link w:val="90"/>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114"/>
    <w:autoRedefine/>
    <w:qFormat/>
    <w:uiPriority w:val="0"/>
    <w:pPr>
      <w:keepNext/>
      <w:keepLines/>
      <w:spacing w:beforeLines="100" w:afterLines="100" w:line="300" w:lineRule="exact"/>
      <w:outlineLvl w:val="3"/>
    </w:pPr>
    <w:rPr>
      <w:rFonts w:ascii="Cambria" w:hAnsi="Cambria"/>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style>
  <w:style w:type="paragraph" w:styleId="7">
    <w:name w:val="Normal Indent"/>
    <w:basedOn w:val="1"/>
    <w:link w:val="82"/>
    <w:autoRedefine/>
    <w:qFormat/>
    <w:uiPriority w:val="0"/>
    <w:pPr>
      <w:autoSpaceDE w:val="0"/>
      <w:autoSpaceDN w:val="0"/>
      <w:adjustRightInd w:val="0"/>
      <w:spacing w:line="315" w:lineRule="atLeast"/>
      <w:ind w:firstLine="420"/>
    </w:pPr>
    <w:rPr>
      <w:rFonts w:ascii="楷体_GB2312" w:hAnsi="Tahoma" w:eastAsia="楷体_GB2312"/>
      <w:kern w:val="0"/>
      <w:szCs w:val="20"/>
    </w:rPr>
  </w:style>
  <w:style w:type="paragraph" w:styleId="8">
    <w:name w:val="caption"/>
    <w:basedOn w:val="1"/>
    <w:next w:val="1"/>
    <w:autoRedefine/>
    <w:qFormat/>
    <w:uiPriority w:val="0"/>
    <w:pPr>
      <w:jc w:val="center"/>
    </w:pPr>
    <w:rPr>
      <w:b/>
      <w:sz w:val="21"/>
      <w:szCs w:val="20"/>
    </w:rPr>
  </w:style>
  <w:style w:type="paragraph" w:styleId="9">
    <w:name w:val="Document Map"/>
    <w:basedOn w:val="1"/>
    <w:autoRedefine/>
    <w:qFormat/>
    <w:uiPriority w:val="0"/>
    <w:pPr>
      <w:shd w:val="clear" w:color="auto" w:fill="000080"/>
    </w:pPr>
  </w:style>
  <w:style w:type="paragraph" w:styleId="10">
    <w:name w:val="toa heading"/>
    <w:basedOn w:val="1"/>
    <w:next w:val="1"/>
    <w:autoRedefine/>
    <w:qFormat/>
    <w:uiPriority w:val="0"/>
    <w:pPr>
      <w:spacing w:before="120"/>
    </w:pPr>
    <w:rPr>
      <w:rFonts w:ascii="Arial" w:hAnsi="Arial" w:cs="Arial"/>
      <w:sz w:val="24"/>
    </w:rPr>
  </w:style>
  <w:style w:type="paragraph" w:styleId="11">
    <w:name w:val="annotation text"/>
    <w:basedOn w:val="1"/>
    <w:link w:val="85"/>
    <w:autoRedefine/>
    <w:qFormat/>
    <w:uiPriority w:val="0"/>
    <w:rPr>
      <w:rFonts w:ascii="Tahoma" w:hAnsi="Tahoma"/>
      <w:sz w:val="21"/>
    </w:rPr>
  </w:style>
  <w:style w:type="paragraph" w:styleId="12">
    <w:name w:val="Body Text 3"/>
    <w:basedOn w:val="1"/>
    <w:autoRedefine/>
    <w:qFormat/>
    <w:uiPriority w:val="0"/>
    <w:pPr>
      <w:spacing w:after="120"/>
    </w:pPr>
    <w:rPr>
      <w:sz w:val="16"/>
      <w:szCs w:val="16"/>
    </w:rPr>
  </w:style>
  <w:style w:type="paragraph" w:styleId="13">
    <w:name w:val="Body Text"/>
    <w:basedOn w:val="1"/>
    <w:link w:val="83"/>
    <w:autoRedefine/>
    <w:qFormat/>
    <w:uiPriority w:val="99"/>
    <w:pPr>
      <w:spacing w:after="120"/>
    </w:pPr>
  </w:style>
  <w:style w:type="paragraph" w:styleId="14">
    <w:name w:val="Body Text Indent"/>
    <w:basedOn w:val="1"/>
    <w:autoRedefine/>
    <w:qFormat/>
    <w:uiPriority w:val="0"/>
    <w:pPr>
      <w:ind w:firstLine="359" w:firstLineChars="171"/>
      <w:jc w:val="center"/>
    </w:pPr>
    <w:rPr>
      <w:rFonts w:ascii="方正书宋_GBK" w:eastAsia="方正书宋_GBK"/>
    </w:rPr>
  </w:style>
  <w:style w:type="paragraph" w:styleId="15">
    <w:name w:val="toc 3"/>
    <w:basedOn w:val="1"/>
    <w:next w:val="1"/>
    <w:autoRedefine/>
    <w:qFormat/>
    <w:uiPriority w:val="39"/>
    <w:pPr>
      <w:ind w:left="840" w:leftChars="400"/>
    </w:pPr>
  </w:style>
  <w:style w:type="paragraph" w:styleId="16">
    <w:name w:val="Plain Text"/>
    <w:basedOn w:val="1"/>
    <w:link w:val="92"/>
    <w:autoRedefine/>
    <w:qFormat/>
    <w:uiPriority w:val="0"/>
    <w:rPr>
      <w:rFonts w:ascii="宋体" w:hAnsi="Courier New"/>
      <w:szCs w:val="21"/>
    </w:rPr>
  </w:style>
  <w:style w:type="paragraph" w:styleId="17">
    <w:name w:val="Date"/>
    <w:basedOn w:val="1"/>
    <w:next w:val="1"/>
    <w:autoRedefine/>
    <w:qFormat/>
    <w:uiPriority w:val="0"/>
    <w:rPr>
      <w:color w:val="000000"/>
      <w:kern w:val="0"/>
      <w:sz w:val="30"/>
    </w:rPr>
  </w:style>
  <w:style w:type="paragraph" w:styleId="18">
    <w:name w:val="Balloon Text"/>
    <w:basedOn w:val="1"/>
    <w:link w:val="89"/>
    <w:autoRedefine/>
    <w:qFormat/>
    <w:uiPriority w:val="0"/>
    <w:rPr>
      <w:sz w:val="18"/>
      <w:szCs w:val="18"/>
    </w:rPr>
  </w:style>
  <w:style w:type="paragraph" w:styleId="19">
    <w:name w:val="footer"/>
    <w:basedOn w:val="1"/>
    <w:link w:val="81"/>
    <w:autoRedefine/>
    <w:qFormat/>
    <w:uiPriority w:val="0"/>
    <w:pPr>
      <w:tabs>
        <w:tab w:val="center" w:pos="4153"/>
        <w:tab w:val="right" w:pos="8306"/>
      </w:tabs>
      <w:snapToGrid w:val="0"/>
    </w:pPr>
    <w:rPr>
      <w:sz w:val="18"/>
      <w:szCs w:val="18"/>
    </w:rPr>
  </w:style>
  <w:style w:type="paragraph" w:styleId="20">
    <w:name w:val="envelope return"/>
    <w:basedOn w:val="1"/>
    <w:unhideWhenUsed/>
    <w:qFormat/>
    <w:uiPriority w:val="99"/>
    <w:pPr>
      <w:snapToGrid w:val="0"/>
    </w:pPr>
    <w:rPr>
      <w:rFonts w:ascii="Arial" w:hAnsi="Arial"/>
    </w:rPr>
  </w:style>
  <w:style w:type="paragraph" w:styleId="21">
    <w:name w:val="header"/>
    <w:basedOn w:val="1"/>
    <w:link w:val="91"/>
    <w:autoRedefine/>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22">
    <w:name w:val="toc 1"/>
    <w:basedOn w:val="1"/>
    <w:next w:val="1"/>
    <w:autoRedefine/>
    <w:qFormat/>
    <w:uiPriority w:val="39"/>
  </w:style>
  <w:style w:type="paragraph" w:styleId="23">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24">
    <w:name w:val="toc 2"/>
    <w:basedOn w:val="1"/>
    <w:next w:val="1"/>
    <w:autoRedefine/>
    <w:qFormat/>
    <w:uiPriority w:val="39"/>
    <w:pPr>
      <w:ind w:left="420" w:leftChars="200"/>
    </w:pPr>
  </w:style>
  <w:style w:type="paragraph" w:styleId="25">
    <w:name w:val="Body Text 2"/>
    <w:basedOn w:val="1"/>
    <w:autoRedefine/>
    <w:qFormat/>
    <w:uiPriority w:val="0"/>
    <w:pPr>
      <w:spacing w:line="480" w:lineRule="auto"/>
    </w:pPr>
  </w:style>
  <w:style w:type="paragraph" w:styleId="2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pPr>
  </w:style>
  <w:style w:type="paragraph" w:styleId="27">
    <w:name w:val="Normal (Web)"/>
    <w:basedOn w:val="1"/>
    <w:autoRedefine/>
    <w:qFormat/>
    <w:uiPriority w:val="99"/>
    <w:pPr>
      <w:widowControl/>
      <w:spacing w:before="100" w:beforeAutospacing="1" w:after="100" w:afterAutospacing="1"/>
    </w:pPr>
    <w:rPr>
      <w:rFonts w:ascii="宋体" w:hAnsi="宋体" w:cs="宋体"/>
      <w:kern w:val="0"/>
      <w:sz w:val="24"/>
    </w:rPr>
  </w:style>
  <w:style w:type="paragraph" w:styleId="28">
    <w:name w:val="Title"/>
    <w:basedOn w:val="1"/>
    <w:next w:val="1"/>
    <w:link w:val="94"/>
    <w:autoRedefine/>
    <w:qFormat/>
    <w:uiPriority w:val="10"/>
    <w:pPr>
      <w:spacing w:before="240" w:after="60"/>
      <w:jc w:val="center"/>
      <w:outlineLvl w:val="0"/>
    </w:pPr>
    <w:rPr>
      <w:rFonts w:ascii="Cambria" w:hAnsi="Cambria"/>
      <w:b/>
      <w:bCs/>
      <w:kern w:val="0"/>
      <w:sz w:val="32"/>
      <w:szCs w:val="32"/>
    </w:rPr>
  </w:style>
  <w:style w:type="paragraph" w:styleId="29">
    <w:name w:val="annotation subject"/>
    <w:basedOn w:val="11"/>
    <w:next w:val="11"/>
    <w:link w:val="88"/>
    <w:autoRedefine/>
    <w:qFormat/>
    <w:uiPriority w:val="0"/>
    <w:rPr>
      <w:b/>
      <w:bCs/>
    </w:rPr>
  </w:style>
  <w:style w:type="paragraph" w:styleId="30">
    <w:name w:val="Body Text First Indent"/>
    <w:basedOn w:val="13"/>
    <w:next w:val="31"/>
    <w:autoRedefine/>
    <w:qFormat/>
    <w:uiPriority w:val="0"/>
    <w:pPr>
      <w:spacing w:line="312" w:lineRule="auto"/>
      <w:ind w:firstLine="420"/>
    </w:pPr>
    <w:rPr>
      <w:szCs w:val="24"/>
    </w:rPr>
  </w:style>
  <w:style w:type="paragraph" w:styleId="31">
    <w:name w:val="Body Text First Indent 2"/>
    <w:basedOn w:val="14"/>
    <w:next w:val="32"/>
    <w:autoRedefine/>
    <w:qFormat/>
    <w:uiPriority w:val="0"/>
    <w:pPr>
      <w:ind w:firstLine="420"/>
    </w:pPr>
  </w:style>
  <w:style w:type="paragraph" w:customStyle="1" w:styleId="32">
    <w:name w:val="Default"/>
    <w:autoRedefine/>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36">
    <w:name w:val="Strong"/>
    <w:autoRedefine/>
    <w:qFormat/>
    <w:uiPriority w:val="0"/>
    <w:rPr>
      <w:rFonts w:ascii="Tahoma" w:hAnsi="Tahoma"/>
      <w:b/>
      <w:bCs/>
      <w:sz w:val="24"/>
    </w:rPr>
  </w:style>
  <w:style w:type="character" w:styleId="37">
    <w:name w:val="page number"/>
    <w:basedOn w:val="35"/>
    <w:autoRedefine/>
    <w:qFormat/>
    <w:uiPriority w:val="0"/>
  </w:style>
  <w:style w:type="character" w:styleId="38">
    <w:name w:val="FollowedHyperlink"/>
    <w:autoRedefine/>
    <w:qFormat/>
    <w:uiPriority w:val="0"/>
    <w:rPr>
      <w:rFonts w:ascii="Tahoma" w:hAnsi="Tahoma"/>
      <w:color w:val="333333"/>
      <w:sz w:val="24"/>
      <w:u w:val="none"/>
    </w:rPr>
  </w:style>
  <w:style w:type="character" w:styleId="39">
    <w:name w:val="Emphasis"/>
    <w:basedOn w:val="35"/>
    <w:autoRedefine/>
    <w:qFormat/>
    <w:uiPriority w:val="0"/>
    <w:rPr>
      <w:rFonts w:ascii="Tahoma" w:hAnsi="Tahoma"/>
      <w:color w:val="CC0000"/>
      <w:sz w:val="24"/>
    </w:rPr>
  </w:style>
  <w:style w:type="character" w:styleId="40">
    <w:name w:val="HTML Definition"/>
    <w:autoRedefine/>
    <w:qFormat/>
    <w:uiPriority w:val="0"/>
    <w:rPr>
      <w:rFonts w:ascii="Tahoma" w:hAnsi="Tahoma"/>
      <w:sz w:val="24"/>
    </w:rPr>
  </w:style>
  <w:style w:type="character" w:styleId="41">
    <w:name w:val="HTML Typewriter"/>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autoRedefine/>
    <w:qFormat/>
    <w:uiPriority w:val="0"/>
    <w:rPr>
      <w:rFonts w:ascii="Tahoma" w:hAnsi="Tahoma"/>
      <w:sz w:val="24"/>
    </w:rPr>
  </w:style>
  <w:style w:type="character" w:styleId="44">
    <w:name w:val="Hyperlink"/>
    <w:autoRedefine/>
    <w:qFormat/>
    <w:uiPriority w:val="99"/>
    <w:rPr>
      <w:rFonts w:ascii="Tahoma" w:hAnsi="Tahoma"/>
      <w:color w:val="333333"/>
      <w:sz w:val="24"/>
      <w:u w:val="none"/>
    </w:rPr>
  </w:style>
  <w:style w:type="character" w:styleId="45">
    <w:name w:val="HTML Code"/>
    <w:autoRedefine/>
    <w:qFormat/>
    <w:uiPriority w:val="0"/>
    <w:rPr>
      <w:rFonts w:ascii="monospace" w:hAnsi="monospace" w:eastAsia="monospace" w:cs="monospace"/>
      <w:sz w:val="20"/>
    </w:rPr>
  </w:style>
  <w:style w:type="character" w:styleId="46">
    <w:name w:val="annotation reference"/>
    <w:autoRedefine/>
    <w:qFormat/>
    <w:uiPriority w:val="0"/>
    <w:rPr>
      <w:rFonts w:ascii="Tahoma" w:hAnsi="Tahoma"/>
      <w:sz w:val="21"/>
      <w:szCs w:val="21"/>
    </w:rPr>
  </w:style>
  <w:style w:type="character" w:styleId="47">
    <w:name w:val="HTML Cite"/>
    <w:autoRedefine/>
    <w:qFormat/>
    <w:uiPriority w:val="0"/>
    <w:rPr>
      <w:rFonts w:ascii="Tahoma" w:hAnsi="Tahoma"/>
      <w:sz w:val="24"/>
    </w:rPr>
  </w:style>
  <w:style w:type="character" w:styleId="48">
    <w:name w:val="HTML Keyboard"/>
    <w:autoRedefine/>
    <w:qFormat/>
    <w:uiPriority w:val="0"/>
    <w:rPr>
      <w:rFonts w:hint="default" w:ascii="monospace" w:hAnsi="monospace" w:eastAsia="monospace" w:cs="monospace"/>
      <w:sz w:val="20"/>
    </w:rPr>
  </w:style>
  <w:style w:type="character" w:styleId="49">
    <w:name w:val="HTML Sample"/>
    <w:autoRedefine/>
    <w:qFormat/>
    <w:uiPriority w:val="0"/>
    <w:rPr>
      <w:rFonts w:hint="default" w:ascii="monospace" w:hAnsi="monospace" w:eastAsia="monospace" w:cs="monospace"/>
      <w:sz w:val="24"/>
    </w:rPr>
  </w:style>
  <w:style w:type="paragraph" w:customStyle="1" w:styleId="50">
    <w:name w:val="一级条标题"/>
    <w:next w:val="51"/>
    <w:autoRedefine/>
    <w:qFormat/>
    <w:uiPriority w:val="0"/>
    <w:pPr>
      <w:numPr>
        <w:ilvl w:val="2"/>
        <w:numId w:val="1"/>
      </w:numPr>
      <w:spacing w:beforeLines="0" w:afterLines="0"/>
      <w:jc w:val="both"/>
      <w:outlineLvl w:val="2"/>
    </w:pPr>
    <w:rPr>
      <w:rFonts w:ascii="黑体" w:hAnsi="Times New Roman" w:eastAsia="黑体" w:cs="Times New Roman"/>
      <w:sz w:val="21"/>
      <w:lang w:val="en-US" w:eastAsia="zh-CN" w:bidi="ar-SA"/>
    </w:rPr>
  </w:style>
  <w:style w:type="paragraph" w:customStyle="1" w:styleId="51">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正文首行缩进1"/>
    <w:autoRedefine/>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customStyle="1" w:styleId="53">
    <w:name w:val="列出段落1"/>
    <w:basedOn w:val="1"/>
    <w:autoRedefine/>
    <w:qFormat/>
    <w:uiPriority w:val="34"/>
    <w:pPr>
      <w:ind w:firstLine="420" w:firstLineChars="200"/>
    </w:pPr>
  </w:style>
  <w:style w:type="paragraph" w:customStyle="1" w:styleId="54">
    <w:name w:val="PlainText"/>
    <w:basedOn w:val="1"/>
    <w:autoRedefine/>
    <w:qFormat/>
    <w:uiPriority w:val="0"/>
    <w:pPr>
      <w:jc w:val="both"/>
      <w:textAlignment w:val="baseline"/>
    </w:pPr>
    <w:rPr>
      <w:rFonts w:ascii="宋体" w:hAnsi="Courier New"/>
      <w:sz w:val="21"/>
      <w:szCs w:val="22"/>
    </w:rPr>
  </w:style>
  <w:style w:type="paragraph" w:customStyle="1" w:styleId="55">
    <w:name w:val="正文 A"/>
    <w:autoRedefine/>
    <w:qFormat/>
    <w:uiPriority w:val="0"/>
    <w:pPr>
      <w:framePr w:wrap="around" w:vAnchor="margin" w:hAnchor="text" w:y="1"/>
      <w:widowControl w:val="0"/>
      <w:jc w:val="both"/>
    </w:pPr>
    <w:rPr>
      <w:rFonts w:ascii="Times New Roman" w:hAnsi="Times New Roman" w:eastAsia="Calibri" w:cs="Calibri"/>
      <w:color w:val="000000"/>
      <w:kern w:val="2"/>
      <w:sz w:val="21"/>
      <w:szCs w:val="21"/>
      <w:u w:color="000000"/>
      <w:lang w:val="en-US" w:eastAsia="zh-CN" w:bidi="ar-SA"/>
    </w:rPr>
  </w:style>
  <w:style w:type="paragraph" w:customStyle="1" w:styleId="56">
    <w:name w:val="文档正文"/>
    <w:basedOn w:val="1"/>
    <w:autoRedefine/>
    <w:qFormat/>
    <w:uiPriority w:val="0"/>
    <w:pPr>
      <w:ind w:firstLine="482"/>
    </w:pPr>
    <w:rPr>
      <w:rFonts w:ascii="Calibri" w:hAnsi="Calibri"/>
    </w:rPr>
  </w:style>
  <w:style w:type="paragraph" w:customStyle="1" w:styleId="57">
    <w:name w:val="p0"/>
    <w:basedOn w:val="1"/>
    <w:autoRedefine/>
    <w:qFormat/>
    <w:uiPriority w:val="0"/>
    <w:pPr>
      <w:widowControl/>
    </w:pPr>
    <w:rPr>
      <w:kern w:val="0"/>
      <w:szCs w:val="21"/>
    </w:rPr>
  </w:style>
  <w:style w:type="paragraph" w:customStyle="1" w:styleId="58">
    <w:name w:val="hcp14"/>
    <w:basedOn w:val="1"/>
    <w:autoRedefine/>
    <w:qFormat/>
    <w:uiPriority w:val="0"/>
    <w:pPr>
      <w:widowControl/>
      <w:spacing w:before="100" w:beforeAutospacing="1" w:after="100" w:afterAutospacing="1"/>
    </w:pPr>
    <w:rPr>
      <w:rFonts w:ascii="Arial" w:hAnsi="Arial" w:cs="Arial"/>
      <w:color w:val="000000"/>
      <w:kern w:val="0"/>
      <w:sz w:val="24"/>
    </w:rPr>
  </w:style>
  <w:style w:type="paragraph" w:customStyle="1" w:styleId="5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bCs w:val="0"/>
      <w:sz w:val="28"/>
      <w:szCs w:val="20"/>
    </w:rPr>
  </w:style>
  <w:style w:type="paragraph" w:customStyle="1" w:styleId="60">
    <w:name w:val="Char"/>
    <w:basedOn w:val="1"/>
    <w:autoRedefine/>
    <w:qFormat/>
    <w:uiPriority w:val="0"/>
    <w:pPr>
      <w:spacing w:line="360" w:lineRule="auto"/>
      <w:ind w:firstLine="200" w:firstLineChars="200"/>
    </w:pPr>
    <w:rPr>
      <w:szCs w:val="20"/>
    </w:rPr>
  </w:style>
  <w:style w:type="paragraph" w:customStyle="1" w:styleId="61">
    <w:name w:val="Char1"/>
    <w:basedOn w:val="1"/>
    <w:autoRedefine/>
    <w:qFormat/>
    <w:uiPriority w:val="0"/>
    <w:pPr>
      <w:spacing w:line="360" w:lineRule="auto"/>
      <w:ind w:firstLine="200" w:firstLineChars="200"/>
    </w:pPr>
    <w:rPr>
      <w:rFonts w:ascii="宋体" w:hAnsi="宋体" w:cs="宋体"/>
      <w:sz w:val="24"/>
    </w:rPr>
  </w:style>
  <w:style w:type="paragraph" w:customStyle="1" w:styleId="62">
    <w:name w:val="Char Char Char Char Char Char Char Char Char Char"/>
    <w:basedOn w:val="1"/>
    <w:autoRedefine/>
    <w:qFormat/>
    <w:uiPriority w:val="0"/>
  </w:style>
  <w:style w:type="paragraph" w:customStyle="1" w:styleId="63">
    <w:name w:val="CM8"/>
    <w:basedOn w:val="1"/>
    <w:next w:val="1"/>
    <w:autoRedefine/>
    <w:qFormat/>
    <w:uiPriority w:val="99"/>
    <w:pPr>
      <w:autoSpaceDE w:val="0"/>
      <w:autoSpaceDN w:val="0"/>
      <w:adjustRightInd w:val="0"/>
      <w:spacing w:line="313" w:lineRule="atLeast"/>
    </w:pPr>
    <w:rPr>
      <w:rFonts w:ascii="仿宋_GB2312" w:hAnsi="Calibri" w:eastAsia="仿宋_GB2312"/>
      <w:kern w:val="0"/>
      <w:sz w:val="24"/>
      <w:szCs w:val="22"/>
    </w:rPr>
  </w:style>
  <w:style w:type="paragraph" w:customStyle="1" w:styleId="64">
    <w:name w:val="样式1"/>
    <w:basedOn w:val="1"/>
    <w:autoRedefine/>
    <w:qFormat/>
    <w:uiPriority w:val="0"/>
    <w:pPr>
      <w:adjustRightInd w:val="0"/>
      <w:jc w:val="both"/>
      <w:textAlignment w:val="baseline"/>
    </w:pPr>
    <w:rPr>
      <w:rFonts w:ascii="宋体" w:hAnsi="宋体"/>
      <w:kern w:val="0"/>
      <w:sz w:val="21"/>
      <w:szCs w:val="21"/>
    </w:rPr>
  </w:style>
  <w:style w:type="paragraph" w:styleId="65">
    <w:name w:val="List Paragraph"/>
    <w:basedOn w:val="1"/>
    <w:autoRedefine/>
    <w:qFormat/>
    <w:uiPriority w:val="99"/>
    <w:pPr>
      <w:ind w:firstLine="420" w:firstLineChars="200"/>
      <w:jc w:val="both"/>
    </w:pPr>
    <w:rPr>
      <w:rFonts w:ascii="Calibri" w:hAnsi="Calibri"/>
      <w:sz w:val="21"/>
      <w:szCs w:val="22"/>
    </w:rPr>
  </w:style>
  <w:style w:type="paragraph" w:customStyle="1" w:styleId="66">
    <w:name w:val="正文 New New New New New New New New New New New New New New New1"/>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67">
    <w:name w:val="默认段落字体 Para Char Char Char Char Char Char Char Char Char Char Char Char Char Char Char Char Char Char Char Char Char Char Char Char Char Char Char Char Char"/>
    <w:basedOn w:val="9"/>
    <w:autoRedefine/>
    <w:qFormat/>
    <w:uiPriority w:val="0"/>
    <w:rPr>
      <w:rFonts w:ascii="Tahoma" w:hAnsi="Tahoma"/>
      <w:sz w:val="24"/>
    </w:rPr>
  </w:style>
  <w:style w:type="paragraph" w:customStyle="1" w:styleId="68">
    <w:name w:val="Char1 Char Char Char Char Char Char"/>
    <w:basedOn w:val="2"/>
    <w:autoRedefine/>
    <w:qFormat/>
    <w:uiPriority w:val="0"/>
    <w:pPr>
      <w:keepLines w:val="0"/>
      <w:autoSpaceDE w:val="0"/>
      <w:autoSpaceDN w:val="0"/>
      <w:adjustRightInd w:val="0"/>
      <w:snapToGrid w:val="0"/>
      <w:spacing w:beforeLines="100" w:afterLines="100" w:line="480" w:lineRule="auto"/>
      <w:jc w:val="both"/>
    </w:pPr>
    <w:rPr>
      <w:sz w:val="44"/>
    </w:rPr>
  </w:style>
  <w:style w:type="paragraph" w:customStyle="1" w:styleId="69">
    <w:name w:val="表标题"/>
    <w:basedOn w:val="1"/>
    <w:autoRedefine/>
    <w:qFormat/>
    <w:uiPriority w:val="0"/>
    <w:pPr>
      <w:numPr>
        <w:ilvl w:val="0"/>
        <w:numId w:val="2"/>
      </w:numPr>
      <w:adjustRightInd w:val="0"/>
      <w:spacing w:line="360" w:lineRule="atLeast"/>
      <w:jc w:val="center"/>
    </w:pPr>
    <w:rPr>
      <w:rFonts w:ascii="宋体" w:hAnsi="宋体"/>
      <w:b/>
      <w:kern w:val="0"/>
      <w:szCs w:val="21"/>
    </w:rPr>
  </w:style>
  <w:style w:type="paragraph" w:customStyle="1" w:styleId="70">
    <w:name w:val="Normal_2"/>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1">
    <w:name w:val="正文（绿盟科技）"/>
    <w:link w:val="93"/>
    <w:autoRedefine/>
    <w:qFormat/>
    <w:uiPriority w:val="0"/>
    <w:pPr>
      <w:spacing w:line="300" w:lineRule="auto"/>
    </w:pPr>
    <w:rPr>
      <w:rFonts w:ascii="Arial" w:hAnsi="Arial" w:eastAsia="宋体" w:cs="Times New Roman"/>
      <w:sz w:val="21"/>
      <w:szCs w:val="21"/>
      <w:lang w:val="en-US" w:eastAsia="zh-CN" w:bidi="ar-SA"/>
    </w:rPr>
  </w:style>
  <w:style w:type="paragraph" w:customStyle="1" w:styleId="72">
    <w:name w:val="SANGFOR_6_正文"/>
    <w:basedOn w:val="1"/>
    <w:autoRedefine/>
    <w:qFormat/>
    <w:uiPriority w:val="0"/>
    <w:pPr>
      <w:spacing w:line="360" w:lineRule="auto"/>
      <w:ind w:firstLine="200" w:firstLineChars="200"/>
    </w:pPr>
  </w:style>
  <w:style w:type="paragraph" w:customStyle="1" w:styleId="73">
    <w:name w:val="彩色列表 - 强调文字颜色 11"/>
    <w:basedOn w:val="1"/>
    <w:autoRedefine/>
    <w:qFormat/>
    <w:uiPriority w:val="0"/>
    <w:pPr>
      <w:ind w:firstLine="420" w:firstLineChars="200"/>
    </w:pPr>
  </w:style>
  <w:style w:type="paragraph" w:customStyle="1" w:styleId="74">
    <w:name w:val="_Style 5"/>
    <w:basedOn w:val="1"/>
    <w:autoRedefine/>
    <w:qFormat/>
    <w:uiPriority w:val="0"/>
    <w:rPr>
      <w:rFonts w:ascii="Tahoma" w:hAnsi="Tahoma"/>
      <w:sz w:val="24"/>
      <w:szCs w:val="20"/>
    </w:rPr>
  </w:style>
  <w:style w:type="paragraph" w:customStyle="1" w:styleId="75">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76">
    <w:name w:val="List Paragraph1"/>
    <w:basedOn w:val="1"/>
    <w:autoRedefine/>
    <w:qFormat/>
    <w:uiPriority w:val="0"/>
    <w:pPr>
      <w:ind w:firstLine="420" w:firstLineChars="200"/>
    </w:pPr>
    <w:rPr>
      <w:rFonts w:ascii="Calibri" w:hAnsi="Calibri"/>
      <w:szCs w:val="22"/>
    </w:rPr>
  </w:style>
  <w:style w:type="paragraph" w:customStyle="1" w:styleId="77">
    <w:name w:val="Char1 Char Char Char Char Char Char1"/>
    <w:basedOn w:val="2"/>
    <w:autoRedefine/>
    <w:qFormat/>
    <w:uiPriority w:val="0"/>
    <w:pPr>
      <w:keepLines w:val="0"/>
      <w:autoSpaceDE w:val="0"/>
      <w:autoSpaceDN w:val="0"/>
      <w:adjustRightInd w:val="0"/>
      <w:snapToGrid w:val="0"/>
      <w:spacing w:beforeLines="100" w:afterLines="100" w:line="480" w:lineRule="auto"/>
      <w:jc w:val="both"/>
    </w:pPr>
    <w:rPr>
      <w:sz w:val="44"/>
    </w:rPr>
  </w:style>
  <w:style w:type="character" w:customStyle="1" w:styleId="78">
    <w:name w:val="font01"/>
    <w:autoRedefine/>
    <w:qFormat/>
    <w:uiPriority w:val="0"/>
    <w:rPr>
      <w:rFonts w:ascii="Symbol" w:hAnsi="Symbol" w:cs="Symbol"/>
      <w:color w:val="000000"/>
      <w:sz w:val="22"/>
      <w:szCs w:val="22"/>
      <w:u w:val="none"/>
    </w:rPr>
  </w:style>
  <w:style w:type="character" w:customStyle="1" w:styleId="79">
    <w:name w:val="apple-converted-space"/>
    <w:autoRedefine/>
    <w:qFormat/>
    <w:uiPriority w:val="0"/>
  </w:style>
  <w:style w:type="character" w:customStyle="1" w:styleId="80">
    <w:name w:val="NormalCharacter"/>
    <w:basedOn w:val="35"/>
    <w:autoRedefine/>
    <w:qFormat/>
    <w:uiPriority w:val="0"/>
    <w:rPr>
      <w:rFonts w:ascii="Times New Roman" w:hAnsi="Times New Roman" w:eastAsia="宋体" w:cs="Times New Roman"/>
      <w:kern w:val="2"/>
      <w:sz w:val="28"/>
      <w:szCs w:val="24"/>
      <w:lang w:val="en-US" w:eastAsia="zh-CN" w:bidi="ar-SA"/>
    </w:rPr>
  </w:style>
  <w:style w:type="character" w:customStyle="1" w:styleId="81">
    <w:name w:val="页脚 Char"/>
    <w:link w:val="19"/>
    <w:autoRedefine/>
    <w:qFormat/>
    <w:uiPriority w:val="0"/>
    <w:rPr>
      <w:kern w:val="2"/>
      <w:sz w:val="18"/>
      <w:szCs w:val="18"/>
    </w:rPr>
  </w:style>
  <w:style w:type="character" w:customStyle="1" w:styleId="82">
    <w:name w:val="正文缩进 Char"/>
    <w:link w:val="7"/>
    <w:autoRedefine/>
    <w:qFormat/>
    <w:uiPriority w:val="0"/>
    <w:rPr>
      <w:rFonts w:ascii="楷体_GB2312" w:hAnsi="Tahoma" w:eastAsia="楷体_GB2312"/>
      <w:sz w:val="28"/>
      <w:lang w:val="en-US" w:eastAsia="zh-CN" w:bidi="ar-SA"/>
    </w:rPr>
  </w:style>
  <w:style w:type="character" w:customStyle="1" w:styleId="83">
    <w:name w:val="正文文本 Char"/>
    <w:link w:val="13"/>
    <w:autoRedefine/>
    <w:qFormat/>
    <w:uiPriority w:val="99"/>
    <w:rPr>
      <w:kern w:val="2"/>
      <w:sz w:val="28"/>
      <w:szCs w:val="24"/>
    </w:rPr>
  </w:style>
  <w:style w:type="character" w:customStyle="1" w:styleId="84">
    <w:name w:val="font61"/>
    <w:autoRedefine/>
    <w:qFormat/>
    <w:uiPriority w:val="0"/>
    <w:rPr>
      <w:rFonts w:hint="default" w:ascii="楷体_GB2312" w:hAnsi="Tahoma" w:eastAsia="楷体_GB2312" w:cs="楷体_GB2312"/>
      <w:b/>
      <w:color w:val="000000"/>
      <w:sz w:val="36"/>
      <w:szCs w:val="36"/>
      <w:u w:val="none"/>
    </w:rPr>
  </w:style>
  <w:style w:type="character" w:customStyle="1" w:styleId="85">
    <w:name w:val="批注文字 Char"/>
    <w:link w:val="11"/>
    <w:autoRedefine/>
    <w:qFormat/>
    <w:uiPriority w:val="0"/>
    <w:rPr>
      <w:rFonts w:ascii="Tahoma" w:hAnsi="Tahoma"/>
      <w:kern w:val="2"/>
      <w:sz w:val="21"/>
      <w:szCs w:val="24"/>
    </w:rPr>
  </w:style>
  <w:style w:type="character" w:customStyle="1" w:styleId="86">
    <w:name w:val="标题 2 Char"/>
    <w:link w:val="3"/>
    <w:autoRedefine/>
    <w:qFormat/>
    <w:uiPriority w:val="0"/>
    <w:rPr>
      <w:rFonts w:ascii="Arial" w:hAnsi="Arial" w:eastAsia="黑体"/>
      <w:bCs/>
      <w:sz w:val="32"/>
      <w:szCs w:val="32"/>
    </w:rPr>
  </w:style>
  <w:style w:type="character" w:customStyle="1" w:styleId="87">
    <w:name w:val="标题 1 Char"/>
    <w:link w:val="2"/>
    <w:autoRedefine/>
    <w:qFormat/>
    <w:uiPriority w:val="9"/>
    <w:rPr>
      <w:rFonts w:eastAsia="宋体"/>
      <w:b/>
      <w:kern w:val="44"/>
      <w:sz w:val="56"/>
    </w:rPr>
  </w:style>
  <w:style w:type="character" w:customStyle="1" w:styleId="88">
    <w:name w:val="批注主题 Char"/>
    <w:link w:val="29"/>
    <w:autoRedefine/>
    <w:qFormat/>
    <w:uiPriority w:val="0"/>
    <w:rPr>
      <w:rFonts w:ascii="Tahoma" w:hAnsi="Tahoma"/>
      <w:b/>
      <w:bCs/>
      <w:kern w:val="2"/>
      <w:sz w:val="21"/>
      <w:szCs w:val="24"/>
    </w:rPr>
  </w:style>
  <w:style w:type="character" w:customStyle="1" w:styleId="89">
    <w:name w:val="批注框文本 Char"/>
    <w:link w:val="18"/>
    <w:autoRedefine/>
    <w:qFormat/>
    <w:uiPriority w:val="0"/>
    <w:rPr>
      <w:kern w:val="2"/>
      <w:sz w:val="18"/>
      <w:szCs w:val="18"/>
    </w:rPr>
  </w:style>
  <w:style w:type="character" w:customStyle="1" w:styleId="90">
    <w:name w:val="标题 3 Char"/>
    <w:link w:val="4"/>
    <w:autoRedefine/>
    <w:qFormat/>
    <w:uiPriority w:val="0"/>
    <w:rPr>
      <w:b/>
      <w:bCs/>
      <w:kern w:val="2"/>
      <w:sz w:val="32"/>
      <w:szCs w:val="32"/>
    </w:rPr>
  </w:style>
  <w:style w:type="character" w:customStyle="1" w:styleId="91">
    <w:name w:val="页眉 Char"/>
    <w:link w:val="21"/>
    <w:autoRedefine/>
    <w:qFormat/>
    <w:uiPriority w:val="0"/>
    <w:rPr>
      <w:rFonts w:ascii="Tahoma" w:hAnsi="Tahoma"/>
      <w:kern w:val="2"/>
      <w:sz w:val="18"/>
      <w:szCs w:val="18"/>
    </w:rPr>
  </w:style>
  <w:style w:type="character" w:customStyle="1" w:styleId="92">
    <w:name w:val="纯文本 Char"/>
    <w:link w:val="16"/>
    <w:autoRedefine/>
    <w:qFormat/>
    <w:uiPriority w:val="0"/>
    <w:rPr>
      <w:rFonts w:ascii="宋体" w:hAnsi="Courier New" w:cs="Courier New"/>
      <w:kern w:val="2"/>
      <w:sz w:val="28"/>
      <w:szCs w:val="21"/>
    </w:rPr>
  </w:style>
  <w:style w:type="character" w:customStyle="1" w:styleId="93">
    <w:name w:val="正文（绿盟科技） Char"/>
    <w:link w:val="71"/>
    <w:autoRedefine/>
    <w:qFormat/>
    <w:uiPriority w:val="0"/>
    <w:rPr>
      <w:rFonts w:ascii="Arial" w:hAnsi="Arial"/>
      <w:sz w:val="21"/>
      <w:szCs w:val="21"/>
      <w:lang w:val="en-US" w:eastAsia="zh-CN" w:bidi="ar-SA"/>
    </w:rPr>
  </w:style>
  <w:style w:type="character" w:customStyle="1" w:styleId="94">
    <w:name w:val="标题 Char"/>
    <w:link w:val="28"/>
    <w:autoRedefine/>
    <w:qFormat/>
    <w:uiPriority w:val="10"/>
    <w:rPr>
      <w:rFonts w:ascii="Cambria" w:hAnsi="Cambria"/>
      <w:b/>
      <w:bCs/>
      <w:sz w:val="32"/>
      <w:szCs w:val="32"/>
    </w:rPr>
  </w:style>
  <w:style w:type="character" w:customStyle="1" w:styleId="95">
    <w:name w:val="font11"/>
    <w:basedOn w:val="35"/>
    <w:autoRedefine/>
    <w:qFormat/>
    <w:uiPriority w:val="0"/>
    <w:rPr>
      <w:rFonts w:hint="eastAsia" w:ascii="宋体" w:hAnsi="宋体" w:eastAsia="宋体" w:cs="宋体"/>
      <w:color w:val="000000"/>
      <w:sz w:val="22"/>
      <w:szCs w:val="22"/>
      <w:u w:val="none"/>
    </w:rPr>
  </w:style>
  <w:style w:type="character" w:customStyle="1" w:styleId="96">
    <w:name w:val="input-icon2"/>
    <w:basedOn w:val="35"/>
    <w:autoRedefine/>
    <w:qFormat/>
    <w:uiPriority w:val="0"/>
  </w:style>
  <w:style w:type="character" w:customStyle="1" w:styleId="97">
    <w:name w:val="before"/>
    <w:basedOn w:val="35"/>
    <w:autoRedefine/>
    <w:qFormat/>
    <w:uiPriority w:val="0"/>
    <w:rPr>
      <w:rFonts w:hint="default" w:ascii="FontAwesome" w:hAnsi="FontAwesome" w:eastAsia="FontAwesome" w:cs="FontAwesome"/>
      <w:color w:val="888888"/>
    </w:rPr>
  </w:style>
  <w:style w:type="character" w:customStyle="1" w:styleId="98">
    <w:name w:val="before1"/>
    <w:basedOn w:val="35"/>
    <w:autoRedefine/>
    <w:qFormat/>
    <w:uiPriority w:val="0"/>
    <w:rPr>
      <w:rFonts w:hint="default" w:ascii="FontAwesome" w:hAnsi="FontAwesome" w:eastAsia="FontAwesome" w:cs="FontAwesome"/>
      <w:color w:val="888888"/>
    </w:rPr>
  </w:style>
  <w:style w:type="character" w:customStyle="1" w:styleId="99">
    <w:name w:val="ui-icon38"/>
    <w:basedOn w:val="35"/>
    <w:autoRedefine/>
    <w:qFormat/>
    <w:uiPriority w:val="0"/>
  </w:style>
  <w:style w:type="character" w:customStyle="1" w:styleId="100">
    <w:name w:val="ui-icon39"/>
    <w:basedOn w:val="35"/>
    <w:autoRedefine/>
    <w:qFormat/>
    <w:uiPriority w:val="0"/>
  </w:style>
  <w:style w:type="character" w:customStyle="1" w:styleId="101">
    <w:name w:val="ui-icon40"/>
    <w:basedOn w:val="35"/>
    <w:autoRedefine/>
    <w:qFormat/>
    <w:uiPriority w:val="0"/>
  </w:style>
  <w:style w:type="character" w:customStyle="1" w:styleId="102">
    <w:name w:val="ui-jqgrid-resize"/>
    <w:basedOn w:val="35"/>
    <w:autoRedefine/>
    <w:qFormat/>
    <w:uiPriority w:val="0"/>
  </w:style>
  <w:style w:type="character" w:customStyle="1" w:styleId="103">
    <w:name w:val="ui-jqgrid-resize2"/>
    <w:basedOn w:val="35"/>
    <w:autoRedefine/>
    <w:qFormat/>
    <w:uiPriority w:val="0"/>
  </w:style>
  <w:style w:type="character" w:customStyle="1" w:styleId="104">
    <w:name w:val="input-icon"/>
    <w:basedOn w:val="35"/>
    <w:autoRedefine/>
    <w:qFormat/>
    <w:uiPriority w:val="0"/>
  </w:style>
  <w:style w:type="character" w:customStyle="1" w:styleId="105">
    <w:name w:val="ui-icon36"/>
    <w:basedOn w:val="35"/>
    <w:autoRedefine/>
    <w:qFormat/>
    <w:uiPriority w:val="0"/>
  </w:style>
  <w:style w:type="character" w:customStyle="1" w:styleId="106">
    <w:name w:val="ui-icon37"/>
    <w:basedOn w:val="35"/>
    <w:autoRedefine/>
    <w:qFormat/>
    <w:uiPriority w:val="0"/>
  </w:style>
  <w:style w:type="character" w:customStyle="1" w:styleId="107">
    <w:name w:val="ui-icon32"/>
    <w:basedOn w:val="35"/>
    <w:autoRedefine/>
    <w:qFormat/>
    <w:uiPriority w:val="0"/>
  </w:style>
  <w:style w:type="character" w:customStyle="1" w:styleId="108">
    <w:name w:val="ui-icon33"/>
    <w:basedOn w:val="35"/>
    <w:autoRedefine/>
    <w:qFormat/>
    <w:uiPriority w:val="0"/>
  </w:style>
  <w:style w:type="character" w:customStyle="1" w:styleId="109">
    <w:name w:val="ui-icon34"/>
    <w:basedOn w:val="35"/>
    <w:autoRedefine/>
    <w:qFormat/>
    <w:uiPriority w:val="0"/>
  </w:style>
  <w:style w:type="character" w:customStyle="1" w:styleId="110">
    <w:name w:val="font31"/>
    <w:basedOn w:val="35"/>
    <w:autoRedefine/>
    <w:qFormat/>
    <w:uiPriority w:val="0"/>
    <w:rPr>
      <w:rFonts w:hint="eastAsia" w:ascii="宋体" w:hAnsi="宋体" w:eastAsia="宋体" w:cs="宋体"/>
      <w:color w:val="000000"/>
      <w:sz w:val="20"/>
      <w:szCs w:val="20"/>
      <w:u w:val="none"/>
    </w:rPr>
  </w:style>
  <w:style w:type="character" w:customStyle="1" w:styleId="111">
    <w:name w:val="font41"/>
    <w:basedOn w:val="35"/>
    <w:autoRedefine/>
    <w:qFormat/>
    <w:uiPriority w:val="0"/>
    <w:rPr>
      <w:rFonts w:ascii="Arial" w:hAnsi="Arial" w:cs="Arial"/>
      <w:color w:val="000000"/>
      <w:sz w:val="20"/>
      <w:szCs w:val="20"/>
      <w:u w:val="none"/>
    </w:rPr>
  </w:style>
  <w:style w:type="paragraph" w:customStyle="1" w:styleId="112">
    <w:name w:val="TableOfAuthoring"/>
    <w:basedOn w:val="1"/>
    <w:next w:val="1"/>
    <w:autoRedefine/>
    <w:qFormat/>
    <w:uiPriority w:val="0"/>
    <w:pPr>
      <w:ind w:left="420" w:leftChars="200"/>
      <w:jc w:val="both"/>
      <w:textAlignment w:val="baseline"/>
    </w:pPr>
  </w:style>
  <w:style w:type="paragraph" w:customStyle="1" w:styleId="113">
    <w:name w:val="修订1"/>
    <w:autoRedefine/>
    <w:hidden/>
    <w:unhideWhenUsed/>
    <w:qFormat/>
    <w:uiPriority w:val="99"/>
    <w:rPr>
      <w:rFonts w:ascii="Times New Roman" w:hAnsi="Times New Roman" w:eastAsia="宋体" w:cs="Times New Roman"/>
      <w:kern w:val="2"/>
      <w:sz w:val="28"/>
      <w:szCs w:val="24"/>
      <w:lang w:val="en-US" w:eastAsia="zh-CN" w:bidi="ar-SA"/>
    </w:rPr>
  </w:style>
  <w:style w:type="character" w:customStyle="1" w:styleId="114">
    <w:name w:val="标题 4 Char"/>
    <w:link w:val="5"/>
    <w:autoRedefine/>
    <w:qFormat/>
    <w:uiPriority w:val="0"/>
    <w:rPr>
      <w:rFonts w:ascii="Cambria" w:hAnsi="Cambria"/>
      <w:b/>
      <w:bCs/>
      <w:kern w:val="2"/>
      <w:sz w:val="28"/>
      <w:szCs w:val="28"/>
    </w:rPr>
  </w:style>
  <w:style w:type="character" w:customStyle="1" w:styleId="115">
    <w:name w:val="批注文字 Char1"/>
    <w:autoRedefine/>
    <w:qFormat/>
    <w:uiPriority w:val="0"/>
    <w:rPr>
      <w:rFonts w:eastAsia="宋体"/>
      <w:kern w:val="2"/>
      <w:sz w:val="21"/>
      <w:szCs w:val="24"/>
      <w:lang w:val="en-US" w:eastAsia="zh-CN" w:bidi="ar-SA"/>
    </w:rPr>
  </w:style>
  <w:style w:type="paragraph" w:customStyle="1" w:styleId="116">
    <w:name w:val="章标题"/>
    <w:next w:val="1"/>
    <w:autoRedefine/>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table" w:customStyle="1" w:styleId="117">
    <w:name w:val="Table Normal"/>
    <w:autoRedefine/>
    <w:semiHidden/>
    <w:unhideWhenUsed/>
    <w:qFormat/>
    <w:uiPriority w:val="0"/>
    <w:tblPr>
      <w:tblCellMar>
        <w:top w:w="0" w:type="dxa"/>
        <w:left w:w="0" w:type="dxa"/>
        <w:bottom w:w="0" w:type="dxa"/>
        <w:right w:w="0" w:type="dxa"/>
      </w:tblCellMar>
    </w:tblPr>
  </w:style>
  <w:style w:type="character" w:customStyle="1" w:styleId="118">
    <w:name w:val="font21"/>
    <w:basedOn w:val="35"/>
    <w:autoRedefine/>
    <w:qFormat/>
    <w:uiPriority w:val="0"/>
    <w:rPr>
      <w:rFonts w:hint="default" w:ascii="Calibri" w:hAnsi="Calibri" w:cs="Calibri"/>
      <w:color w:val="000000"/>
      <w:sz w:val="20"/>
      <w:szCs w:val="20"/>
      <w:u w:val="none"/>
    </w:rPr>
  </w:style>
  <w:style w:type="paragraph" w:customStyle="1" w:styleId="119">
    <w:name w:val="Table Paragraph"/>
    <w:basedOn w:val="1"/>
    <w:autoRedefine/>
    <w:qFormat/>
    <w:uiPriority w:val="1"/>
    <w:rPr>
      <w:rFonts w:ascii="宋体" w:hAnsi="宋体" w:eastAsia="宋体" w:cs="宋体"/>
      <w:lang w:val="zh-CN" w:eastAsia="zh-CN" w:bidi="zh-CN"/>
    </w:rPr>
  </w:style>
  <w:style w:type="character" w:customStyle="1" w:styleId="120">
    <w:name w:val="font51"/>
    <w:basedOn w:val="35"/>
    <w:qFormat/>
    <w:uiPriority w:val="0"/>
    <w:rPr>
      <w:rFonts w:ascii="Arial" w:hAnsi="Arial" w:cs="Arial"/>
      <w:color w:val="000000"/>
      <w:sz w:val="20"/>
      <w:szCs w:val="20"/>
      <w:u w:val="none"/>
    </w:rPr>
  </w:style>
  <w:style w:type="character" w:customStyle="1" w:styleId="121">
    <w:name w:val="font71"/>
    <w:basedOn w:val="35"/>
    <w:qFormat/>
    <w:uiPriority w:val="0"/>
    <w:rPr>
      <w:rFonts w:hint="default" w:ascii="Arial" w:hAnsi="Arial" w:cs="Arial"/>
      <w:color w:val="FF0000"/>
      <w:sz w:val="20"/>
      <w:szCs w:val="20"/>
      <w:u w:val="none"/>
    </w:rPr>
  </w:style>
  <w:style w:type="character" w:customStyle="1" w:styleId="122">
    <w:name w:val="font81"/>
    <w:basedOn w:val="35"/>
    <w:qFormat/>
    <w:uiPriority w:val="0"/>
    <w:rPr>
      <w:rFonts w:ascii="Arial" w:hAnsi="Arial" w:cs="Arial"/>
      <w:color w:val="FF0000"/>
      <w:sz w:val="22"/>
      <w:szCs w:val="22"/>
      <w:u w:val="none"/>
    </w:rPr>
  </w:style>
  <w:style w:type="character" w:customStyle="1" w:styleId="123">
    <w:name w:val="font91"/>
    <w:basedOn w:val="35"/>
    <w:qFormat/>
    <w:uiPriority w:val="0"/>
    <w:rPr>
      <w:rFonts w:hint="eastAsia" w:ascii="仿宋" w:hAnsi="仿宋" w:eastAsia="仿宋" w:cs="仿宋"/>
      <w:color w:val="FF0000"/>
      <w:sz w:val="22"/>
      <w:szCs w:val="22"/>
      <w:u w:val="none"/>
    </w:rPr>
  </w:style>
  <w:style w:type="character" w:customStyle="1" w:styleId="124">
    <w:name w:val="font101"/>
    <w:basedOn w:val="35"/>
    <w:qFormat/>
    <w:uiPriority w:val="0"/>
    <w:rPr>
      <w:rFonts w:hint="eastAsia" w:ascii="宋体" w:hAnsi="宋体" w:eastAsia="宋体" w:cs="宋体"/>
      <w:color w:val="000000"/>
      <w:sz w:val="22"/>
      <w:szCs w:val="22"/>
      <w:u w:val="none"/>
    </w:rPr>
  </w:style>
  <w:style w:type="character" w:customStyle="1" w:styleId="125">
    <w:name w:val="font112"/>
    <w:basedOn w:val="35"/>
    <w:qFormat/>
    <w:uiPriority w:val="0"/>
    <w:rPr>
      <w:rFonts w:hint="eastAsia" w:ascii="仿宋" w:hAnsi="仿宋" w:eastAsia="仿宋" w:cs="仿宋"/>
      <w:strike/>
      <w:color w:val="000000"/>
      <w:sz w:val="22"/>
      <w:szCs w:val="22"/>
    </w:rPr>
  </w:style>
  <w:style w:type="character" w:customStyle="1" w:styleId="126">
    <w:name w:val="font121"/>
    <w:basedOn w:val="35"/>
    <w:qFormat/>
    <w:uiPriority w:val="0"/>
    <w:rPr>
      <w:rFonts w:ascii="Calibri" w:hAnsi="Calibri" w:cs="Calibri"/>
      <w:color w:val="000000"/>
      <w:sz w:val="22"/>
      <w:szCs w:val="22"/>
      <w:u w:val="none"/>
    </w:rPr>
  </w:style>
  <w:style w:type="paragraph" w:customStyle="1" w:styleId="127">
    <w:name w:val="Table Text"/>
    <w:basedOn w:val="1"/>
    <w:semiHidden/>
    <w:qFormat/>
    <w:uiPriority w:val="0"/>
  </w:style>
  <w:style w:type="paragraph" w:customStyle="1" w:styleId="12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118</Pages>
  <Words>1773</Words>
  <Characters>2021</Characters>
  <Lines>270</Lines>
  <Paragraphs>76</Paragraphs>
  <TotalTime>18</TotalTime>
  <ScaleCrop>false</ScaleCrop>
  <LinksUpToDate>false</LinksUpToDate>
  <CharactersWithSpaces>2110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2020-11-24T08:05:00Z</dcterms:created>
  <dc:creator>User</dc:creator>
  <cp:lastModifiedBy>Myo Khin</cp:lastModifiedBy>
  <cp:lastPrinted>2023-03-22T07:43:00Z</cp:lastPrinted>
  <dcterms:modified xsi:type="dcterms:W3CDTF">2026-04-24T13:21:25Z</dcterms:modified>
  <dc:title>货物类招标文件（2009）</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5FBA5E70BA88495F9FAE75ECEFEABCC4_13</vt:lpwstr>
  </property>
  <property fmtid="{D5CDD505-2E9C-101B-9397-08002B2CF9AE}" pid="4" name="KSOTemplateDocerSaveRecord">
    <vt:lpwstr>eyJoZGlkIjoiN2Y1OWY5ZmU3NDc5YWQzZGY5Yzc0ZGRlNDk2NWMwNzYiLCJ1c2VySWQiOiI0NDU3NzY1OTQifQ==</vt:lpwstr>
  </property>
</Properties>
</file>