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669B">
      <w:pPr>
        <w:spacing w:line="360" w:lineRule="auto"/>
        <w:jc w:val="center"/>
        <w:rPr>
          <w:rFonts w:ascii="宋体" w:hAnsi="宋体" w:cs="宋体"/>
          <w:b/>
          <w:color w:val="auto"/>
          <w:sz w:val="24"/>
        </w:rPr>
      </w:pPr>
    </w:p>
    <w:p w14:paraId="4EFFCDA6">
      <w:pPr>
        <w:spacing w:line="360" w:lineRule="auto"/>
        <w:jc w:val="center"/>
        <w:rPr>
          <w:rFonts w:ascii="宋体" w:hAnsi="宋体" w:cs="宋体"/>
          <w:b/>
          <w:color w:val="auto"/>
          <w:sz w:val="24"/>
        </w:rPr>
      </w:pPr>
    </w:p>
    <w:p w14:paraId="02E5A2C7">
      <w:pPr>
        <w:adjustRightInd/>
        <w:spacing w:line="360" w:lineRule="auto"/>
        <w:jc w:val="center"/>
        <w:rPr>
          <w:rFonts w:ascii="宋体" w:hAnsi="宋体" w:cs="宋体"/>
          <w:b/>
          <w:color w:val="auto"/>
          <w:sz w:val="44"/>
          <w:szCs w:val="44"/>
        </w:rPr>
      </w:pPr>
    </w:p>
    <w:p w14:paraId="155103A5">
      <w:pPr>
        <w:spacing w:line="360" w:lineRule="auto"/>
        <w:jc w:val="center"/>
        <w:rPr>
          <w:rFonts w:ascii="宋体" w:hAnsi="宋体" w:cs="宋体"/>
          <w:b/>
          <w:color w:val="auto"/>
          <w:sz w:val="44"/>
          <w:szCs w:val="44"/>
        </w:rPr>
      </w:pPr>
    </w:p>
    <w:p w14:paraId="2B076C3C">
      <w:pPr>
        <w:adjustRightInd/>
        <w:spacing w:line="360" w:lineRule="auto"/>
        <w:jc w:val="center"/>
        <w:rPr>
          <w:rFonts w:hint="eastAsia" w:ascii="宋体" w:hAnsi="宋体" w:eastAsia="宋体" w:cs="宋体"/>
          <w:b/>
          <w:bCs/>
          <w:color w:val="auto"/>
          <w:sz w:val="56"/>
          <w:szCs w:val="56"/>
          <w:lang w:eastAsia="zh-CN"/>
        </w:rPr>
      </w:pPr>
      <w:r>
        <w:rPr>
          <w:rFonts w:hint="eastAsia" w:ascii="宋体" w:hAnsi="宋体" w:cs="宋体"/>
          <w:b/>
          <w:bCs/>
          <w:color w:val="auto"/>
          <w:sz w:val="52"/>
          <w:szCs w:val="52"/>
          <w:lang w:eastAsia="zh-CN"/>
        </w:rPr>
        <w:t>2026年度高新区安全生产外服单位采购项目</w:t>
      </w:r>
    </w:p>
    <w:p w14:paraId="0112C9D6">
      <w:pPr>
        <w:adjustRightInd/>
        <w:spacing w:line="360" w:lineRule="auto"/>
        <w:jc w:val="center"/>
        <w:rPr>
          <w:rFonts w:hint="eastAsia" w:ascii="宋体" w:hAnsi="宋体" w:cs="宋体"/>
          <w:color w:val="auto"/>
          <w:sz w:val="52"/>
          <w:szCs w:val="52"/>
        </w:rPr>
      </w:pPr>
    </w:p>
    <w:p w14:paraId="0FD620CD">
      <w:pPr>
        <w:adjustRightInd/>
        <w:spacing w:line="360" w:lineRule="auto"/>
        <w:jc w:val="center"/>
        <w:rPr>
          <w:rFonts w:ascii="宋体" w:hAnsi="宋体" w:cs="宋体"/>
          <w:color w:val="auto"/>
          <w:sz w:val="48"/>
          <w:szCs w:val="48"/>
        </w:rPr>
      </w:pPr>
      <w:r>
        <w:rPr>
          <w:rFonts w:hint="eastAsia" w:ascii="宋体" w:hAnsi="宋体" w:cs="宋体"/>
          <w:b/>
          <w:bCs/>
          <w:color w:val="auto"/>
          <w:sz w:val="52"/>
          <w:szCs w:val="52"/>
        </w:rPr>
        <w:t>招标文件</w:t>
      </w:r>
      <w:r>
        <w:rPr>
          <w:rFonts w:hint="eastAsia" w:ascii="宋体" w:hAnsi="宋体" w:cs="宋体"/>
          <w:color w:val="auto"/>
          <w:sz w:val="48"/>
          <w:szCs w:val="48"/>
        </w:rPr>
        <w:t xml:space="preserve"> </w:t>
      </w:r>
    </w:p>
    <w:p w14:paraId="31A9C59C">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（电子招投标）</w:t>
      </w:r>
    </w:p>
    <w:p w14:paraId="248B6D0B">
      <w:pPr>
        <w:snapToGrid w:val="0"/>
        <w:spacing w:line="360" w:lineRule="auto"/>
        <w:jc w:val="center"/>
        <w:rPr>
          <w:rFonts w:hint="eastAsia" w:ascii="宋体" w:hAnsi="宋体" w:cs="宋体"/>
          <w:color w:val="auto"/>
          <w:sz w:val="30"/>
          <w:szCs w:val="30"/>
        </w:rPr>
      </w:pPr>
    </w:p>
    <w:p w14:paraId="68DA794A">
      <w:pPr>
        <w:snapToGrid w:val="0"/>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编号</w:t>
      </w:r>
      <w:r>
        <w:rPr>
          <w:rFonts w:hint="eastAsia" w:ascii="宋体" w:hAnsi="宋体" w:cs="宋体"/>
          <w:color w:val="auto"/>
          <w:sz w:val="28"/>
          <w:szCs w:val="28"/>
          <w:highlight w:val="none"/>
          <w:lang w:eastAsia="zh-CN"/>
        </w:rPr>
        <w:t>：330105268020010000003-XJCG[2026]023</w:t>
      </w:r>
    </w:p>
    <w:p w14:paraId="0A595A27">
      <w:pPr>
        <w:adjustRightInd/>
        <w:spacing w:line="360" w:lineRule="auto"/>
        <w:rPr>
          <w:rFonts w:ascii="宋体" w:hAnsi="宋体" w:cs="宋体"/>
          <w:color w:val="auto"/>
          <w:sz w:val="28"/>
          <w:szCs w:val="20"/>
        </w:rPr>
      </w:pPr>
    </w:p>
    <w:p w14:paraId="463C4CB1">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54E231F2">
      <w:pPr>
        <w:spacing w:line="360" w:lineRule="auto"/>
        <w:jc w:val="center"/>
        <w:rPr>
          <w:rFonts w:ascii="宋体" w:hAnsi="宋体" w:cs="宋体"/>
          <w:color w:val="auto"/>
          <w:sz w:val="24"/>
        </w:rPr>
      </w:pPr>
    </w:p>
    <w:p w14:paraId="6059917F">
      <w:pPr>
        <w:spacing w:line="360" w:lineRule="auto"/>
        <w:rPr>
          <w:rFonts w:ascii="宋体" w:hAnsi="宋体" w:cs="宋体"/>
          <w:color w:val="auto"/>
          <w:sz w:val="32"/>
          <w:szCs w:val="32"/>
        </w:rPr>
      </w:pPr>
    </w:p>
    <w:p w14:paraId="4AF9C75F">
      <w:pPr>
        <w:snapToGrid w:val="0"/>
        <w:spacing w:line="360" w:lineRule="auto"/>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采购人</w:t>
      </w:r>
      <w:r>
        <w:rPr>
          <w:rFonts w:hint="eastAsia" w:ascii="宋体" w:hAnsi="宋体" w:cs="宋体"/>
          <w:color w:val="auto"/>
          <w:sz w:val="30"/>
          <w:szCs w:val="30"/>
          <w:highlight w:val="none"/>
          <w:lang w:val="en-US" w:eastAsia="zh-CN"/>
        </w:rPr>
        <w:t>：杭州大运河数智未来城管理委员会</w:t>
      </w:r>
    </w:p>
    <w:p w14:paraId="3E8CB0CE">
      <w:pPr>
        <w:snapToGrid w:val="0"/>
        <w:spacing w:line="360" w:lineRule="auto"/>
        <w:jc w:val="center"/>
        <w:rPr>
          <w:rFonts w:hint="eastAsia" w:ascii="宋体" w:hAnsi="宋体" w:cs="宋体"/>
          <w:bCs/>
          <w:color w:val="auto"/>
          <w:sz w:val="30"/>
          <w:szCs w:val="30"/>
          <w:highlight w:val="none"/>
          <w:lang w:val="en-US" w:eastAsia="zh-CN"/>
        </w:rPr>
      </w:pPr>
      <w:r>
        <w:rPr>
          <w:rFonts w:hint="eastAsia" w:ascii="宋体" w:hAnsi="宋体" w:eastAsia="宋体" w:cs="宋体"/>
          <w:bCs/>
          <w:color w:val="auto"/>
          <w:sz w:val="30"/>
          <w:szCs w:val="30"/>
          <w:highlight w:val="none"/>
        </w:rPr>
        <w:t>采购代理机构</w:t>
      </w:r>
      <w:r>
        <w:rPr>
          <w:rFonts w:hint="eastAsia" w:ascii="宋体" w:hAnsi="宋体" w:cs="宋体"/>
          <w:bCs/>
          <w:color w:val="auto"/>
          <w:sz w:val="30"/>
          <w:szCs w:val="30"/>
          <w:highlight w:val="none"/>
          <w:lang w:val="en-US" w:eastAsia="zh-CN"/>
        </w:rPr>
        <w:t>：浙江西建工程管理有限公司</w:t>
      </w:r>
    </w:p>
    <w:p w14:paraId="50A59C3D">
      <w:pPr>
        <w:snapToGrid w:val="0"/>
        <w:spacing w:line="360" w:lineRule="auto"/>
        <w:jc w:val="center"/>
        <w:rPr>
          <w:rFonts w:hint="eastAsia" w:ascii="宋体" w:hAnsi="宋体" w:cs="宋体"/>
          <w:bCs/>
          <w:color w:val="auto"/>
          <w:sz w:val="32"/>
          <w:szCs w:val="32"/>
        </w:rPr>
      </w:pPr>
    </w:p>
    <w:p w14:paraId="04000E87">
      <w:pPr>
        <w:snapToGrid w:val="0"/>
        <w:spacing w:line="360" w:lineRule="auto"/>
        <w:jc w:val="center"/>
        <w:rPr>
          <w:rFonts w:hint="eastAsia" w:ascii="宋体" w:hAnsi="宋体" w:eastAsia="宋体" w:cs="宋体"/>
          <w:color w:val="auto"/>
          <w:sz w:val="30"/>
          <w:szCs w:val="30"/>
          <w:lang w:val="en-US" w:eastAsia="zh-CN"/>
        </w:rPr>
        <w:sectPr>
          <w:headerReference r:id="rId4" w:type="first"/>
          <w:headerReference r:id="rId3" w:type="default"/>
          <w:footerReference r:id="rId5" w:type="even"/>
          <w:pgSz w:w="11906" w:h="16838"/>
          <w:pgMar w:top="1440" w:right="1800" w:bottom="1440" w:left="1800" w:header="851" w:footer="992" w:gutter="0"/>
          <w:pgNumType w:start="0"/>
          <w:cols w:space="720" w:num="1"/>
          <w:titlePg/>
          <w:docGrid w:linePitch="312" w:charSpace="0"/>
        </w:sectPr>
      </w:pPr>
      <w:r>
        <w:rPr>
          <w:rFonts w:hint="eastAsia" w:ascii="宋体" w:hAnsi="宋体" w:eastAsia="宋体" w:cs="宋体"/>
          <w:color w:val="auto"/>
          <w:sz w:val="30"/>
          <w:szCs w:val="30"/>
          <w:lang w:val="en-US" w:eastAsia="zh-CN"/>
        </w:rPr>
        <w:t>二〇二</w:t>
      </w:r>
      <w:r>
        <w:rPr>
          <w:rFonts w:hint="eastAsia" w:ascii="宋体" w:hAnsi="宋体" w:cs="宋体"/>
          <w:color w:val="auto"/>
          <w:sz w:val="30"/>
          <w:szCs w:val="30"/>
          <w:lang w:val="en-US" w:eastAsia="zh-CN"/>
        </w:rPr>
        <w:t>六</w:t>
      </w:r>
      <w:r>
        <w:rPr>
          <w:rFonts w:hint="eastAsia" w:ascii="宋体" w:hAnsi="宋体" w:eastAsia="宋体" w:cs="宋体"/>
          <w:color w:val="auto"/>
          <w:sz w:val="30"/>
          <w:szCs w:val="30"/>
          <w:lang w:val="en-US" w:eastAsia="zh-CN"/>
        </w:rPr>
        <w:t>年</w:t>
      </w:r>
      <w:r>
        <w:rPr>
          <w:rFonts w:hint="eastAsia" w:ascii="宋体" w:hAnsi="宋体" w:cs="宋体"/>
          <w:color w:val="auto"/>
          <w:sz w:val="30"/>
          <w:szCs w:val="30"/>
          <w:lang w:val="en-US" w:eastAsia="zh-CN"/>
        </w:rPr>
        <w:t>四</w:t>
      </w:r>
      <w:r>
        <w:rPr>
          <w:rFonts w:hint="eastAsia" w:ascii="宋体" w:hAnsi="宋体" w:eastAsia="宋体" w:cs="宋体"/>
          <w:color w:val="auto"/>
          <w:sz w:val="30"/>
          <w:szCs w:val="30"/>
          <w:lang w:val="en-US" w:eastAsia="zh-CN"/>
        </w:rPr>
        <w:t>月</w:t>
      </w:r>
      <w:r>
        <w:rPr>
          <w:rFonts w:hint="eastAsia" w:ascii="宋体" w:hAnsi="宋体" w:cs="宋体"/>
          <w:color w:val="auto"/>
          <w:sz w:val="30"/>
          <w:szCs w:val="30"/>
          <w:lang w:val="en-US" w:eastAsia="zh-CN"/>
        </w:rPr>
        <w:t>二十一</w:t>
      </w:r>
      <w:r>
        <w:rPr>
          <w:rFonts w:hint="eastAsia" w:ascii="宋体" w:hAnsi="宋体" w:eastAsia="宋体" w:cs="宋体"/>
          <w:color w:val="auto"/>
          <w:sz w:val="30"/>
          <w:szCs w:val="30"/>
          <w:lang w:val="en-US" w:eastAsia="zh-CN"/>
        </w:rPr>
        <w:t>日</w:t>
      </w:r>
    </w:p>
    <w:p w14:paraId="6C716946">
      <w:pPr>
        <w:pStyle w:val="637"/>
        <w:rPr>
          <w:color w:val="auto"/>
        </w:rPr>
      </w:pPr>
    </w:p>
    <w:p w14:paraId="30F3F7D1">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6C9431EB">
      <w:pPr>
        <w:spacing w:line="360" w:lineRule="auto"/>
        <w:rPr>
          <w:rFonts w:ascii="宋体" w:hAnsi="宋体" w:cs="宋体"/>
          <w:color w:val="auto"/>
          <w:sz w:val="32"/>
          <w:szCs w:val="32"/>
        </w:rPr>
      </w:pPr>
    </w:p>
    <w:p w14:paraId="7F2024C4">
      <w:pPr>
        <w:spacing w:line="360" w:lineRule="auto"/>
        <w:rPr>
          <w:rFonts w:ascii="宋体" w:hAnsi="宋体" w:cs="宋体"/>
          <w:color w:val="auto"/>
          <w:sz w:val="32"/>
          <w:szCs w:val="32"/>
        </w:rPr>
      </w:pPr>
    </w:p>
    <w:p w14:paraId="64FCC87F">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第一部分      招标公告</w:t>
      </w:r>
    </w:p>
    <w:p w14:paraId="71DF2DA4">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第二部分      投标人须知</w:t>
      </w:r>
    </w:p>
    <w:p w14:paraId="2272A858">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第三部分      采购需求</w:t>
      </w:r>
    </w:p>
    <w:p w14:paraId="3CD9DEC3">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第四部分      评标办法</w:t>
      </w:r>
    </w:p>
    <w:p w14:paraId="493D4DC4">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第五部分      拟签订的合同文本</w:t>
      </w:r>
    </w:p>
    <w:p w14:paraId="5A64DFBC">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第六部分      应提交的有关格式范例</w:t>
      </w:r>
    </w:p>
    <w:p w14:paraId="6DFE489C">
      <w:pPr>
        <w:spacing w:line="360" w:lineRule="auto"/>
        <w:ind w:firstLine="549" w:firstLineChars="229"/>
        <w:rPr>
          <w:rFonts w:ascii="宋体" w:hAnsi="宋体" w:cs="宋体"/>
          <w:color w:val="auto"/>
          <w:sz w:val="24"/>
        </w:rPr>
      </w:pPr>
    </w:p>
    <w:p w14:paraId="37BE36F6">
      <w:pPr>
        <w:spacing w:line="360" w:lineRule="auto"/>
        <w:ind w:firstLine="549" w:firstLineChars="229"/>
        <w:rPr>
          <w:rFonts w:ascii="宋体" w:hAnsi="宋体" w:cs="宋体"/>
          <w:color w:val="auto"/>
          <w:sz w:val="24"/>
        </w:rPr>
      </w:pPr>
    </w:p>
    <w:p w14:paraId="39B7CA9D">
      <w:pPr>
        <w:spacing w:line="360" w:lineRule="auto"/>
        <w:ind w:firstLine="549" w:firstLineChars="229"/>
        <w:rPr>
          <w:rFonts w:ascii="宋体" w:hAnsi="宋体" w:cs="宋体"/>
          <w:color w:val="auto"/>
          <w:sz w:val="24"/>
        </w:rPr>
      </w:pPr>
    </w:p>
    <w:p w14:paraId="2AAC93CD">
      <w:pPr>
        <w:spacing w:line="360" w:lineRule="auto"/>
        <w:ind w:firstLine="549" w:firstLineChars="229"/>
        <w:rPr>
          <w:rFonts w:ascii="宋体" w:hAnsi="宋体" w:cs="宋体"/>
          <w:color w:val="auto"/>
          <w:sz w:val="24"/>
        </w:rPr>
      </w:pPr>
    </w:p>
    <w:p w14:paraId="20599A88">
      <w:pPr>
        <w:spacing w:line="360" w:lineRule="auto"/>
        <w:ind w:firstLine="549" w:firstLineChars="229"/>
        <w:rPr>
          <w:rFonts w:ascii="宋体" w:hAnsi="宋体" w:cs="宋体"/>
          <w:color w:val="auto"/>
          <w:sz w:val="24"/>
        </w:rPr>
      </w:pPr>
    </w:p>
    <w:p w14:paraId="4353D6F2">
      <w:pPr>
        <w:spacing w:line="360" w:lineRule="auto"/>
        <w:ind w:firstLine="549" w:firstLineChars="229"/>
        <w:rPr>
          <w:rFonts w:ascii="宋体" w:hAnsi="宋体" w:cs="宋体"/>
          <w:color w:val="auto"/>
          <w:sz w:val="24"/>
        </w:rPr>
      </w:pPr>
    </w:p>
    <w:p w14:paraId="5D158B07">
      <w:pPr>
        <w:spacing w:line="360" w:lineRule="auto"/>
        <w:ind w:firstLine="549" w:firstLineChars="229"/>
        <w:rPr>
          <w:rFonts w:ascii="宋体" w:hAnsi="宋体" w:cs="宋体"/>
          <w:color w:val="auto"/>
          <w:sz w:val="24"/>
        </w:rPr>
      </w:pPr>
    </w:p>
    <w:p w14:paraId="56609E4C">
      <w:pPr>
        <w:spacing w:line="360" w:lineRule="auto"/>
        <w:ind w:firstLine="549" w:firstLineChars="229"/>
        <w:rPr>
          <w:rFonts w:ascii="宋体" w:hAnsi="宋体" w:cs="宋体"/>
          <w:color w:val="auto"/>
          <w:sz w:val="24"/>
        </w:rPr>
      </w:pPr>
    </w:p>
    <w:p w14:paraId="17B5E1C5">
      <w:pPr>
        <w:spacing w:line="360" w:lineRule="auto"/>
        <w:ind w:firstLine="549" w:firstLineChars="229"/>
        <w:rPr>
          <w:rFonts w:ascii="宋体" w:hAnsi="宋体" w:cs="宋体"/>
          <w:color w:val="auto"/>
          <w:sz w:val="24"/>
        </w:rPr>
      </w:pPr>
    </w:p>
    <w:p w14:paraId="1CD71A4D">
      <w:pPr>
        <w:spacing w:line="360" w:lineRule="auto"/>
        <w:ind w:firstLine="549" w:firstLineChars="229"/>
        <w:rPr>
          <w:rFonts w:ascii="宋体" w:hAnsi="宋体" w:cs="宋体"/>
          <w:color w:val="auto"/>
          <w:sz w:val="24"/>
        </w:rPr>
      </w:pPr>
    </w:p>
    <w:p w14:paraId="4F6762EF">
      <w:pPr>
        <w:spacing w:line="360" w:lineRule="auto"/>
        <w:ind w:firstLine="549" w:firstLineChars="229"/>
        <w:rPr>
          <w:rFonts w:ascii="宋体" w:hAnsi="宋体" w:cs="宋体"/>
          <w:color w:val="auto"/>
          <w:sz w:val="24"/>
        </w:rPr>
      </w:pPr>
    </w:p>
    <w:p w14:paraId="22FCB349">
      <w:pPr>
        <w:spacing w:line="360" w:lineRule="auto"/>
        <w:ind w:firstLine="549" w:firstLineChars="229"/>
        <w:rPr>
          <w:rFonts w:ascii="宋体" w:hAnsi="宋体" w:cs="宋体"/>
          <w:color w:val="auto"/>
          <w:sz w:val="24"/>
        </w:rPr>
      </w:pPr>
    </w:p>
    <w:p w14:paraId="29949BE5">
      <w:pPr>
        <w:spacing w:line="360" w:lineRule="auto"/>
        <w:ind w:firstLine="549" w:firstLineChars="229"/>
        <w:rPr>
          <w:rFonts w:ascii="宋体" w:hAnsi="宋体" w:cs="宋体"/>
          <w:color w:val="auto"/>
          <w:sz w:val="24"/>
        </w:rPr>
      </w:pPr>
    </w:p>
    <w:p w14:paraId="077BA100">
      <w:pPr>
        <w:spacing w:line="360" w:lineRule="auto"/>
        <w:rPr>
          <w:rFonts w:ascii="宋体" w:hAnsi="宋体" w:cs="宋体"/>
          <w:color w:val="auto"/>
          <w:sz w:val="24"/>
        </w:rPr>
      </w:pPr>
    </w:p>
    <w:p w14:paraId="1863BFC1">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ascii="宋体" w:hAnsi="宋体" w:cs="宋体"/>
          <w:b/>
          <w:color w:val="auto"/>
          <w:sz w:val="36"/>
          <w:szCs w:val="20"/>
        </w:rPr>
      </w:pPr>
      <w:r>
        <w:rPr>
          <w:rFonts w:hint="eastAsia" w:ascii="宋体" w:hAnsi="宋体" w:cs="宋体"/>
          <w:b/>
          <w:color w:val="auto"/>
          <w:sz w:val="36"/>
          <w:szCs w:val="36"/>
        </w:rPr>
        <w:br w:type="page"/>
      </w:r>
      <w:r>
        <w:rPr>
          <w:rFonts w:hint="eastAsia" w:ascii="宋体" w:hAnsi="宋体" w:cs="宋体"/>
          <w:b/>
          <w:color w:val="auto"/>
          <w:sz w:val="36"/>
          <w:szCs w:val="20"/>
        </w:rPr>
        <w:t>第一部分 招标公告</w:t>
      </w:r>
    </w:p>
    <w:p w14:paraId="0BE6BA4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项目概况</w:t>
      </w:r>
    </w:p>
    <w:p w14:paraId="72B3407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u w:val="single"/>
        </w:rPr>
      </w:pPr>
      <w:r>
        <w:rPr>
          <w:rFonts w:hint="eastAsia" w:ascii="宋体" w:hAnsi="宋体" w:cs="宋体"/>
          <w:color w:val="auto"/>
          <w:sz w:val="24"/>
          <w:u w:val="single"/>
          <w:lang w:eastAsia="zh-CN"/>
        </w:rPr>
        <w:t>2026年度高新区安全生产外服单位采购项目</w:t>
      </w:r>
      <w:r>
        <w:rPr>
          <w:rFonts w:hint="eastAsia" w:ascii="宋体" w:hAnsi="宋体" w:cs="宋体"/>
          <w:color w:val="auto"/>
          <w:sz w:val="24"/>
        </w:rPr>
        <w:t>招标项目的潜在投标人应在政采云平台</w:t>
      </w:r>
      <w:r>
        <w:rPr>
          <w:rFonts w:hint="eastAsia" w:ascii="宋体" w:hAnsi="宋体" w:cs="宋体"/>
          <w:color w:val="auto"/>
          <w:sz w:val="24"/>
          <w:lang w:val="en-US" w:eastAsia="zh-CN"/>
        </w:rPr>
        <w:t>线上</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获取（下载）招标文件，并于</w:t>
      </w:r>
      <w:r>
        <w:rPr>
          <w:rStyle w:val="77"/>
          <w:rFonts w:hint="eastAsia" w:ascii="宋体" w:hAnsi="宋体" w:eastAsia="宋体" w:cs="宋体"/>
          <w:snapToGrid/>
          <w:color w:val="auto"/>
          <w:kern w:val="2"/>
          <w:sz w:val="24"/>
          <w:szCs w:val="24"/>
          <w:highlight w:val="none"/>
          <w:u w:val="single"/>
        </w:rPr>
        <w:t>202</w:t>
      </w:r>
      <w:r>
        <w:rPr>
          <w:rStyle w:val="77"/>
          <w:rFonts w:hint="eastAsia" w:ascii="宋体" w:hAnsi="宋体" w:cs="宋体"/>
          <w:snapToGrid/>
          <w:color w:val="auto"/>
          <w:kern w:val="2"/>
          <w:sz w:val="24"/>
          <w:szCs w:val="24"/>
          <w:highlight w:val="none"/>
          <w:u w:val="single"/>
          <w:lang w:val="en-US" w:eastAsia="zh-CN"/>
        </w:rPr>
        <w:t>6</w:t>
      </w:r>
      <w:r>
        <w:rPr>
          <w:rStyle w:val="77"/>
          <w:rFonts w:hint="eastAsia" w:ascii="宋体" w:hAnsi="宋体" w:eastAsia="宋体" w:cs="宋体"/>
          <w:snapToGrid/>
          <w:color w:val="auto"/>
          <w:kern w:val="2"/>
          <w:sz w:val="24"/>
          <w:szCs w:val="24"/>
          <w:highlight w:val="none"/>
          <w:u w:val="single"/>
        </w:rPr>
        <w:t>年</w:t>
      </w:r>
      <w:r>
        <w:rPr>
          <w:rStyle w:val="77"/>
          <w:rFonts w:hint="eastAsia" w:ascii="宋体" w:hAnsi="宋体" w:cs="宋体"/>
          <w:snapToGrid/>
          <w:color w:val="auto"/>
          <w:kern w:val="2"/>
          <w:sz w:val="24"/>
          <w:szCs w:val="24"/>
          <w:highlight w:val="none"/>
          <w:u w:val="single"/>
          <w:lang w:val="en-US" w:eastAsia="zh-CN"/>
        </w:rPr>
        <w:t>05</w:t>
      </w:r>
      <w:r>
        <w:rPr>
          <w:rStyle w:val="77"/>
          <w:rFonts w:hint="eastAsia" w:ascii="宋体" w:hAnsi="宋体" w:eastAsia="宋体" w:cs="宋体"/>
          <w:snapToGrid/>
          <w:color w:val="auto"/>
          <w:kern w:val="2"/>
          <w:sz w:val="24"/>
          <w:szCs w:val="24"/>
          <w:highlight w:val="none"/>
          <w:u w:val="single"/>
        </w:rPr>
        <w:t>月</w:t>
      </w:r>
      <w:r>
        <w:rPr>
          <w:rStyle w:val="77"/>
          <w:rFonts w:hint="eastAsia" w:ascii="宋体" w:hAnsi="宋体" w:cs="宋体"/>
          <w:snapToGrid/>
          <w:color w:val="auto"/>
          <w:kern w:val="2"/>
          <w:sz w:val="24"/>
          <w:szCs w:val="24"/>
          <w:highlight w:val="none"/>
          <w:u w:val="single"/>
          <w:lang w:val="en-US" w:eastAsia="zh-CN"/>
        </w:rPr>
        <w:t>13</w:t>
      </w:r>
      <w:r>
        <w:rPr>
          <w:rStyle w:val="77"/>
          <w:rFonts w:hint="eastAsia" w:ascii="宋体" w:hAnsi="宋体" w:eastAsia="宋体" w:cs="宋体"/>
          <w:snapToGrid/>
          <w:color w:val="auto"/>
          <w:kern w:val="2"/>
          <w:sz w:val="24"/>
          <w:szCs w:val="24"/>
          <w:highlight w:val="none"/>
          <w:u w:val="single"/>
        </w:rPr>
        <w:t>日</w:t>
      </w:r>
      <w:r>
        <w:rPr>
          <w:rStyle w:val="77"/>
          <w:rFonts w:hint="eastAsia" w:ascii="宋体" w:hAnsi="宋体" w:cs="宋体"/>
          <w:snapToGrid/>
          <w:color w:val="auto"/>
          <w:kern w:val="2"/>
          <w:sz w:val="24"/>
          <w:szCs w:val="24"/>
          <w:highlight w:val="none"/>
          <w:u w:val="single"/>
          <w:lang w:val="en-US" w:eastAsia="zh-CN"/>
        </w:rPr>
        <w:t>13</w:t>
      </w:r>
      <w:r>
        <w:rPr>
          <w:rStyle w:val="77"/>
          <w:rFonts w:hint="eastAsia" w:ascii="宋体" w:hAnsi="宋体" w:eastAsia="宋体" w:cs="宋体"/>
          <w:snapToGrid/>
          <w:color w:val="auto"/>
          <w:kern w:val="2"/>
          <w:sz w:val="24"/>
          <w:szCs w:val="24"/>
          <w:highlight w:val="none"/>
          <w:u w:val="single"/>
        </w:rPr>
        <w:t>点</w:t>
      </w:r>
      <w:r>
        <w:rPr>
          <w:rStyle w:val="77"/>
          <w:rFonts w:hint="eastAsia" w:ascii="宋体" w:hAnsi="宋体" w:cs="宋体"/>
          <w:snapToGrid/>
          <w:color w:val="auto"/>
          <w:kern w:val="2"/>
          <w:sz w:val="24"/>
          <w:szCs w:val="24"/>
          <w:highlight w:val="none"/>
          <w:u w:val="single"/>
          <w:lang w:val="en-US" w:eastAsia="zh-CN"/>
        </w:rPr>
        <w:t>30</w:t>
      </w:r>
      <w:r>
        <w:rPr>
          <w:rStyle w:val="77"/>
          <w:rFonts w:hint="eastAsia" w:ascii="宋体" w:hAnsi="宋体" w:eastAsia="宋体" w:cs="宋体"/>
          <w:snapToGrid/>
          <w:color w:val="auto"/>
          <w:kern w:val="2"/>
          <w:sz w:val="24"/>
          <w:szCs w:val="24"/>
          <w:highlight w:val="none"/>
          <w:u w:val="single"/>
        </w:rPr>
        <w:t>分</w:t>
      </w:r>
      <w:r>
        <w:rPr>
          <w:rStyle w:val="77"/>
          <w:rFonts w:hint="eastAsia" w:ascii="宋体" w:hAnsi="宋体" w:eastAsia="宋体" w:cs="宋体"/>
          <w:bCs/>
          <w:snapToGrid/>
          <w:color w:val="auto"/>
          <w:kern w:val="2"/>
          <w:sz w:val="24"/>
          <w:szCs w:val="24"/>
          <w:highlight w:val="none"/>
          <w:u w:val="singl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56FDBE2">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rPr>
      </w:pPr>
      <w:r>
        <w:rPr>
          <w:rFonts w:hint="eastAsia" w:ascii="宋体" w:hAnsi="宋体" w:cs="宋体"/>
          <w:b/>
          <w:color w:val="auto"/>
          <w:sz w:val="24"/>
        </w:rPr>
        <w:t xml:space="preserve">一、项目基本情况                                            </w:t>
      </w:r>
    </w:p>
    <w:p w14:paraId="7FC6776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eastAsia="zh-CN"/>
        </w:rPr>
      </w:pPr>
      <w:r>
        <w:rPr>
          <w:rFonts w:hint="eastAsia" w:ascii="宋体" w:hAnsi="宋体" w:cs="宋体"/>
          <w:color w:val="auto"/>
          <w:sz w:val="24"/>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lang w:eastAsia="zh-CN"/>
        </w:rPr>
        <w:t>330105268020010000003-XJCG[2026]023</w:t>
      </w:r>
    </w:p>
    <w:p w14:paraId="36A37E05">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lang w:eastAsia="zh-CN"/>
        </w:rPr>
      </w:pPr>
      <w:r>
        <w:rPr>
          <w:rFonts w:hint="eastAsia" w:ascii="宋体" w:hAnsi="宋体" w:cs="宋体"/>
          <w:b/>
          <w:color w:val="auto"/>
          <w:sz w:val="24"/>
        </w:rPr>
        <w:t>项目名称：</w:t>
      </w:r>
      <w:r>
        <w:rPr>
          <w:rFonts w:hint="eastAsia" w:ascii="宋体" w:hAnsi="宋体" w:cs="宋体"/>
          <w:b w:val="0"/>
          <w:bCs/>
          <w:color w:val="auto"/>
          <w:sz w:val="24"/>
          <w:lang w:eastAsia="zh-CN"/>
        </w:rPr>
        <w:t>2026年度高新区安全生产外服单位采购项目</w:t>
      </w:r>
    </w:p>
    <w:p w14:paraId="21EB33D9">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宋体" w:hAnsi="宋体" w:cs="宋体"/>
          <w:color w:val="auto"/>
          <w:sz w:val="24"/>
          <w:highlight w:val="none"/>
          <w:lang w:val="en-US"/>
        </w:rPr>
      </w:pPr>
      <w:r>
        <w:rPr>
          <w:rFonts w:hint="eastAsia" w:ascii="宋体" w:hAnsi="宋体" w:cs="宋体"/>
          <w:b/>
          <w:color w:val="auto"/>
          <w:sz w:val="24"/>
          <w:highlight w:val="none"/>
        </w:rPr>
        <w:t>预算金额（元）：</w:t>
      </w:r>
      <w:r>
        <w:rPr>
          <w:rFonts w:hint="eastAsia" w:ascii="宋体" w:hAnsi="宋体" w:cs="宋体"/>
          <w:b/>
          <w:spacing w:val="0"/>
          <w:w w:val="100"/>
          <w:sz w:val="24"/>
          <w:highlight w:val="none"/>
          <w:lang w:val="en-US" w:eastAsia="zh-CN"/>
        </w:rPr>
        <w:t>1000000.00</w:t>
      </w:r>
    </w:p>
    <w:p w14:paraId="5C950B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spacing w:val="0"/>
          <w:w w:val="100"/>
          <w:sz w:val="24"/>
          <w:highlight w:val="none"/>
          <w:lang w:val="en-US" w:eastAsia="zh-CN"/>
        </w:rPr>
        <w:t>1000000.00</w:t>
      </w:r>
    </w:p>
    <w:p w14:paraId="22ED118F">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Ansi="宋体" w:cs="宋体"/>
          <w:bCs/>
          <w:snapToGrid/>
          <w:color w:val="auto"/>
          <w:kern w:val="2"/>
          <w:sz w:val="24"/>
          <w:szCs w:val="24"/>
        </w:rPr>
      </w:pPr>
      <w:r>
        <w:rPr>
          <w:rFonts w:hint="eastAsia" w:hAnsi="宋体" w:cs="宋体"/>
          <w:b/>
          <w:color w:val="auto"/>
          <w:sz w:val="24"/>
        </w:rPr>
        <w:t>采购需求</w:t>
      </w:r>
      <w:r>
        <w:rPr>
          <w:rFonts w:hint="eastAsia" w:hAnsi="宋体" w:cs="宋体"/>
          <w:b/>
          <w:color w:val="auto"/>
          <w:sz w:val="24"/>
          <w:highlight w:val="none"/>
        </w:rPr>
        <w:t>：</w:t>
      </w:r>
      <w:r>
        <w:rPr>
          <w:rFonts w:hint="eastAsia" w:ascii="宋体" w:hAnsi="宋体" w:cs="宋体"/>
          <w:bCs/>
          <w:spacing w:val="0"/>
          <w:w w:val="100"/>
          <w:sz w:val="24"/>
          <w:highlight w:val="none"/>
          <w:lang w:eastAsia="zh-CN"/>
        </w:rPr>
        <w:t>202</w:t>
      </w:r>
      <w:r>
        <w:rPr>
          <w:rFonts w:hint="eastAsia" w:hAnsi="宋体" w:cs="宋体"/>
          <w:bCs/>
          <w:spacing w:val="0"/>
          <w:w w:val="100"/>
          <w:sz w:val="24"/>
          <w:highlight w:val="none"/>
          <w:lang w:val="en-US" w:eastAsia="zh-CN"/>
        </w:rPr>
        <w:t>6</w:t>
      </w:r>
      <w:r>
        <w:rPr>
          <w:rFonts w:hint="eastAsia" w:ascii="宋体" w:hAnsi="宋体" w:cs="宋体"/>
          <w:bCs/>
          <w:spacing w:val="0"/>
          <w:w w:val="100"/>
          <w:sz w:val="24"/>
          <w:highlight w:val="none"/>
          <w:lang w:eastAsia="zh-CN"/>
        </w:rPr>
        <w:t>年度高新区安全生产外</w:t>
      </w:r>
      <w:r>
        <w:rPr>
          <w:rFonts w:hint="eastAsia" w:ascii="宋体" w:hAnsi="宋体" w:eastAsia="宋体" w:cs="宋体"/>
          <w:color w:val="auto"/>
          <w:sz w:val="24"/>
          <w:szCs w:val="24"/>
          <w:highlight w:val="none"/>
          <w:lang w:val="en-US" w:eastAsia="zh-CN"/>
        </w:rPr>
        <w:t>包费用限额为80万元，安全生产、平安建设宣传教育费用20万（</w:t>
      </w:r>
      <w:r>
        <w:rPr>
          <w:rFonts w:hint="eastAsia" w:hAnsi="宋体" w:cs="宋体"/>
          <w:color w:val="auto"/>
          <w:sz w:val="24"/>
          <w:szCs w:val="24"/>
          <w:highlight w:val="none"/>
          <w:lang w:val="en-US" w:eastAsia="zh-CN"/>
        </w:rPr>
        <w:t>具体</w:t>
      </w:r>
      <w:r>
        <w:rPr>
          <w:rFonts w:hint="eastAsia" w:ascii="宋体" w:hAnsi="宋体" w:eastAsia="宋体" w:cs="宋体"/>
          <w:color w:val="auto"/>
          <w:sz w:val="24"/>
          <w:szCs w:val="24"/>
          <w:highlight w:val="none"/>
          <w:lang w:val="en-US" w:eastAsia="zh-CN"/>
        </w:rPr>
        <w:t>根据实际制作及开展情况结算），总费用限额100万，包含全面检查记录、汇总整理、</w:t>
      </w:r>
      <w:r>
        <w:rPr>
          <w:rFonts w:hint="eastAsia" w:ascii="宋体" w:hAnsi="宋体" w:cs="宋体"/>
          <w:color w:val="auto"/>
          <w:sz w:val="24"/>
          <w:szCs w:val="24"/>
          <w:highlight w:val="none"/>
          <w:lang w:val="en-US" w:eastAsia="zh-CN"/>
        </w:rPr>
        <w:t>宣传教育、业务</w:t>
      </w:r>
      <w:r>
        <w:rPr>
          <w:rFonts w:hint="eastAsia" w:ascii="宋体" w:hAnsi="宋体" w:eastAsia="宋体" w:cs="宋体"/>
          <w:color w:val="auto"/>
          <w:sz w:val="24"/>
          <w:szCs w:val="24"/>
          <w:highlight w:val="none"/>
          <w:lang w:val="en-US" w:eastAsia="zh-CN"/>
        </w:rPr>
        <w:t>培训、指导服务</w:t>
      </w:r>
      <w:r>
        <w:rPr>
          <w:rFonts w:hint="eastAsia" w:ascii="宋体" w:hAnsi="宋体" w:cs="宋体"/>
          <w:color w:val="auto"/>
          <w:sz w:val="24"/>
          <w:szCs w:val="24"/>
          <w:highlight w:val="none"/>
          <w:lang w:val="en-US" w:eastAsia="zh-CN"/>
        </w:rPr>
        <w:t>、应急演练组织策划</w:t>
      </w:r>
      <w:r>
        <w:rPr>
          <w:rFonts w:hint="eastAsia" w:ascii="宋体" w:hAnsi="宋体" w:eastAsia="宋体" w:cs="宋体"/>
          <w:color w:val="auto"/>
          <w:sz w:val="24"/>
          <w:szCs w:val="24"/>
          <w:highlight w:val="none"/>
          <w:lang w:val="en-US" w:eastAsia="zh-CN"/>
        </w:rPr>
        <w:t>及工业</w:t>
      </w:r>
      <w:r>
        <w:rPr>
          <w:rFonts w:hint="eastAsia" w:ascii="宋体" w:hAnsi="宋体" w:eastAsia="宋体" w:cs="宋体"/>
          <w:sz w:val="24"/>
          <w:szCs w:val="24"/>
          <w:highlight w:val="none"/>
          <w:lang w:val="en-US" w:eastAsia="zh-CN"/>
        </w:rPr>
        <w:t>企业在线系统录入工作等。</w:t>
      </w:r>
      <w:r>
        <w:rPr>
          <w:rFonts w:hint="eastAsia" w:asciiTheme="minorEastAsia" w:hAnsiTheme="minorEastAsia" w:eastAsiaTheme="minorEastAsia"/>
          <w:snapToGrid/>
          <w:color w:val="auto"/>
          <w:kern w:val="2"/>
          <w:sz w:val="24"/>
          <w:szCs w:val="24"/>
        </w:rPr>
        <w:t>具体以招标文件第三部分采购需求为准，供应商可点击本公告下方“浏览采购文件”查看采购需求。</w:t>
      </w:r>
    </w:p>
    <w:p w14:paraId="1A03A59B">
      <w:pPr>
        <w:pStyle w:val="131"/>
        <w:keepNext w:val="0"/>
        <w:keepLines w:val="0"/>
        <w:pageBreakBefore w:val="0"/>
        <w:kinsoku/>
        <w:wordWrap/>
        <w:overflowPunct/>
        <w:topLinePunct w:val="0"/>
        <w:autoSpaceDE/>
        <w:autoSpaceDN/>
        <w:bidi w:val="0"/>
        <w:adjustRightInd/>
        <w:snapToGrid/>
        <w:spacing w:before="0" w:line="360" w:lineRule="auto"/>
        <w:ind w:firstLine="482"/>
        <w:textAlignment w:val="auto"/>
        <w:outlineLvl w:val="2"/>
        <w:rPr>
          <w:rFonts w:ascii="宋体" w:hAnsi="宋体" w:cs="宋体"/>
          <w:color w:val="auto"/>
        </w:rPr>
      </w:pPr>
      <w:r>
        <w:rPr>
          <w:rFonts w:hint="eastAsia" w:ascii="宋体" w:hAnsi="宋体" w:cs="宋体"/>
          <w:b/>
          <w:color w:val="auto"/>
        </w:rPr>
        <w:t>合同履约期限：</w:t>
      </w:r>
      <w:r>
        <w:rPr>
          <w:rFonts w:hint="eastAsia" w:ascii="宋体" w:hAnsi="宋体" w:cs="宋体"/>
          <w:spacing w:val="0"/>
          <w:w w:val="100"/>
          <w:sz w:val="24"/>
          <w:highlight w:val="none"/>
          <w:u w:val="none"/>
          <w:lang w:val="en-US" w:eastAsia="zh-CN"/>
        </w:rPr>
        <w:t>一</w:t>
      </w:r>
      <w:r>
        <w:rPr>
          <w:rFonts w:hint="eastAsia" w:ascii="宋体" w:hAnsi="宋体" w:cs="宋体"/>
          <w:spacing w:val="0"/>
          <w:w w:val="100"/>
          <w:sz w:val="24"/>
          <w:highlight w:val="none"/>
          <w:u w:val="none"/>
          <w:lang w:eastAsia="zh-CN"/>
        </w:rPr>
        <w:t>年。</w:t>
      </w:r>
      <w:r>
        <w:rPr>
          <w:rFonts w:ascii="宋体" w:hAnsi="宋体" w:cs="宋体"/>
          <w:color w:val="auto"/>
        </w:rPr>
        <w:t xml:space="preserve"> </w:t>
      </w:r>
    </w:p>
    <w:p w14:paraId="7BB24D2C">
      <w:pPr>
        <w:pStyle w:val="5"/>
        <w:keepNext w:val="0"/>
        <w:keepLines w:val="0"/>
        <w:pageBreakBefore w:val="0"/>
        <w:kinsoku/>
        <w:wordWrap/>
        <w:overflowPunct/>
        <w:topLinePunct w:val="0"/>
        <w:autoSpaceDE/>
        <w:autoSpaceDN/>
        <w:bidi w:val="0"/>
        <w:adjustRightInd/>
        <w:snapToGrid/>
        <w:spacing w:line="360" w:lineRule="auto"/>
        <w:ind w:firstLine="480"/>
        <w:textAlignment w:val="auto"/>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6007331"/>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68159E77">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rPr>
      </w:pPr>
      <w:r>
        <w:rPr>
          <w:rFonts w:hint="eastAsia" w:ascii="宋体" w:hAnsi="宋体" w:cs="宋体"/>
          <w:b/>
          <w:color w:val="auto"/>
          <w:sz w:val="24"/>
        </w:rPr>
        <w:t>二、申请人的资格要求：</w:t>
      </w:r>
    </w:p>
    <w:p w14:paraId="7AC6775B">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38F46D4D">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napToGrid w:val="0"/>
          <w:color w:val="auto"/>
          <w:kern w:val="28"/>
          <w:sz w:val="24"/>
          <w:szCs w:val="20"/>
        </w:rPr>
      </w:pPr>
      <w:r>
        <w:rPr>
          <w:rFonts w:hint="eastAsia" w:ascii="宋体" w:hAnsi="宋体" w:cs="宋体"/>
          <w:snapToGrid w:val="0"/>
          <w:color w:val="auto"/>
          <w:kern w:val="28"/>
          <w:sz w:val="24"/>
          <w:szCs w:val="20"/>
        </w:rPr>
        <w:t xml:space="preserve">    </w:t>
      </w:r>
      <w:r>
        <w:rPr>
          <w:rFonts w:ascii="宋体" w:hAnsi="宋体" w:cs="宋体"/>
          <w:snapToGrid w:val="0"/>
          <w:color w:val="auto"/>
          <w:kern w:val="28"/>
          <w:sz w:val="24"/>
          <w:szCs w:val="20"/>
        </w:rPr>
        <w:t>2</w:t>
      </w:r>
      <w:r>
        <w:rPr>
          <w:rFonts w:hint="eastAsia" w:ascii="宋体" w:hAnsi="宋体" w:cs="宋体"/>
          <w:snapToGrid w:val="0"/>
          <w:color w:val="auto"/>
          <w:kern w:val="28"/>
          <w:sz w:val="24"/>
          <w:szCs w:val="20"/>
        </w:rPr>
        <w:t>.</w:t>
      </w:r>
      <w:r>
        <w:rPr>
          <w:rFonts w:hint="eastAsia"/>
          <w:color w:val="auto"/>
        </w:rPr>
        <w:t xml:space="preserve"> </w:t>
      </w:r>
      <w:r>
        <w:rPr>
          <w:rFonts w:hint="eastAsia" w:ascii="宋体" w:hAnsi="宋体" w:cs="宋体"/>
          <w:snapToGrid w:val="0"/>
          <w:color w:val="auto"/>
          <w:kern w:val="28"/>
          <w:sz w:val="24"/>
          <w:szCs w:val="20"/>
        </w:rPr>
        <w:t>以联合体形式投标的，提供联合协议(本项目不接受联合体投标或者投标人不以联合体形式投标的，则不需要提供) ；</w:t>
      </w:r>
    </w:p>
    <w:p w14:paraId="30A06B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napToGrid w:val="0"/>
          <w:color w:val="auto"/>
          <w:kern w:val="28"/>
          <w:sz w:val="24"/>
          <w:szCs w:val="20"/>
        </w:rPr>
      </w:pPr>
      <w:r>
        <w:rPr>
          <w:rFonts w:ascii="宋体" w:hAnsi="宋体" w:cs="宋体"/>
          <w:snapToGrid w:val="0"/>
          <w:color w:val="auto"/>
          <w:kern w:val="28"/>
          <w:sz w:val="24"/>
          <w:szCs w:val="20"/>
        </w:rPr>
        <w:t>3</w:t>
      </w:r>
      <w:r>
        <w:rPr>
          <w:rFonts w:hint="eastAsia" w:ascii="宋体" w:hAnsi="宋体" w:cs="宋体"/>
          <w:snapToGrid w:val="0"/>
          <w:color w:val="auto"/>
          <w:kern w:val="28"/>
          <w:sz w:val="24"/>
          <w:szCs w:val="20"/>
        </w:rPr>
        <w:t>.落实政府采购政策需满足的资格要求：</w:t>
      </w:r>
    </w:p>
    <w:p w14:paraId="6168D3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26A0A92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highlight w:val="none"/>
          </w:rPr>
          <w:id w:val="3378767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4771228">
      <w:pPr>
        <w:keepNext w:val="0"/>
        <w:keepLines w:val="0"/>
        <w:pageBreakBefore w:val="0"/>
        <w:kinsoku/>
        <w:wordWrap/>
        <w:overflowPunct/>
        <w:topLinePunct w:val="0"/>
        <w:autoSpaceDE/>
        <w:autoSpaceDN/>
        <w:bidi w:val="0"/>
        <w:adjustRightInd/>
        <w:snapToGrid/>
        <w:spacing w:line="360" w:lineRule="auto"/>
        <w:ind w:firstLine="897" w:firstLineChars="374"/>
        <w:textAlignment w:val="auto"/>
        <w:rPr>
          <w:rFonts w:ascii="宋体" w:hAnsi="宋体" w:cs="宋体"/>
          <w:color w:val="auto"/>
          <w:sz w:val="24"/>
          <w:highlight w:val="none"/>
        </w:rPr>
      </w:pPr>
      <w:sdt>
        <w:sdtPr>
          <w:rPr>
            <w:rFonts w:hint="eastAsia" w:ascii="宋体" w:hAnsi="宋体" w:cs="宋体"/>
            <w:color w:val="auto"/>
            <w:kern w:val="0"/>
            <w:sz w:val="24"/>
            <w:highlight w:val="none"/>
          </w:rPr>
          <w:id w:val="16421965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1E4A6A50">
      <w:pPr>
        <w:keepNext w:val="0"/>
        <w:keepLines w:val="0"/>
        <w:pageBreakBefore w:val="0"/>
        <w:kinsoku/>
        <w:wordWrap/>
        <w:overflowPunct/>
        <w:topLinePunct w:val="0"/>
        <w:autoSpaceDE/>
        <w:autoSpaceDN/>
        <w:bidi w:val="0"/>
        <w:adjustRightInd/>
        <w:snapToGrid/>
        <w:spacing w:line="360" w:lineRule="auto"/>
        <w:ind w:firstLine="897" w:firstLineChars="374"/>
        <w:textAlignment w:val="auto"/>
        <w:rPr>
          <w:rFonts w:ascii="宋体" w:hAnsi="宋体" w:cs="宋体"/>
          <w:color w:val="auto"/>
          <w:sz w:val="24"/>
        </w:rPr>
      </w:pPr>
      <w:sdt>
        <w:sdtPr>
          <w:rPr>
            <w:rFonts w:hint="eastAsia" w:ascii="宋体" w:hAnsi="宋体" w:cs="宋体"/>
            <w:color w:val="auto"/>
            <w:kern w:val="0"/>
            <w:sz w:val="24"/>
          </w:rPr>
          <w:id w:val="24806182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服务全部由符合政策要求的小微企业承接，提供中小企业声明函；</w:t>
      </w:r>
    </w:p>
    <w:p w14:paraId="3383196E">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rPr>
      </w:pPr>
    </w:p>
    <w:p w14:paraId="2EDAE8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sdt>
        <w:sdtPr>
          <w:rPr>
            <w:rFonts w:hint="eastAsia" w:ascii="宋体" w:hAnsi="宋体" w:cs="宋体"/>
            <w:color w:val="auto"/>
            <w:kern w:val="0"/>
            <w:sz w:val="24"/>
          </w:rPr>
          <w:id w:val="77658807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要求以联合体形式参加，提供联合协议和中小企业声明函，联合协议中中小企业合同金额应当达到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rPr>
        <w:t>；</w:t>
      </w:r>
    </w:p>
    <w:p w14:paraId="1EE0C0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要求合同分包，提供分包意向协议和中小企业声明函，分包意向协议中中小企业合同金额应当达到达到</w:t>
      </w:r>
      <w:r>
        <w:rPr>
          <w:rFonts w:hint="eastAsia" w:ascii="宋体" w:hAnsi="宋体" w:cs="宋体"/>
          <w:color w:val="auto"/>
          <w:sz w:val="24"/>
          <w:u w:val="single"/>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z w:val="24"/>
          <w:lang w:eastAsia="zh-CN"/>
        </w:rPr>
        <w:t>；</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如果供应商本身提供所有标的均由中小企业制造、承建或承接，并相应达到了前述比例要求，视同符合了资格条件，无需再向中小企业分包，无需提供分包</w:t>
      </w:r>
      <w:r>
        <w:rPr>
          <w:rFonts w:hint="eastAsia" w:ascii="宋体" w:hAnsi="宋体" w:cs="宋体"/>
          <w:color w:val="auto"/>
          <w:spacing w:val="8"/>
          <w:kern w:val="0"/>
          <w:sz w:val="24"/>
          <w:highlight w:val="none"/>
        </w:rPr>
        <w:t>意向协议</w:t>
      </w:r>
      <w:r>
        <w:rPr>
          <w:rFonts w:hint="eastAsia" w:ascii="宋体" w:hAnsi="宋体" w:cs="宋体"/>
          <w:color w:val="auto"/>
          <w:sz w:val="24"/>
          <w:highlight w:val="none"/>
        </w:rPr>
        <w:t>；</w:t>
      </w:r>
    </w:p>
    <w:p w14:paraId="535BDA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val="en-US" w:eastAsia="zh-CN"/>
        </w:rPr>
        <w:t>无</w:t>
      </w:r>
      <w:r>
        <w:rPr>
          <w:rFonts w:hint="eastAsia" w:ascii="宋体" w:hAnsi="宋体" w:cs="宋体"/>
          <w:b w:val="0"/>
          <w:bCs w:val="0"/>
          <w:color w:val="auto"/>
          <w:sz w:val="24"/>
          <w:highlight w:val="none"/>
        </w:rPr>
        <w:t>；</w:t>
      </w:r>
    </w:p>
    <w:p w14:paraId="07E88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25209DF">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2DA3BE8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rPr>
        <w:t>，每天上</w:t>
      </w:r>
      <w:r>
        <w:rPr>
          <w:rFonts w:hint="eastAsia" w:ascii="宋体" w:hAnsi="宋体" w:cs="宋体"/>
          <w:color w:val="auto"/>
          <w:sz w:val="24"/>
        </w:rPr>
        <w:t>午00:00:00至12:00:00 ，下午12:00:00至23:59:59（北京时间，线上获取法定节假日均可，线下获取文件法定节假日除外）</w:t>
      </w:r>
    </w:p>
    <w:p w14:paraId="430C31A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w:t>
      </w:r>
      <w:r>
        <w:rPr>
          <w:rFonts w:hint="eastAsia" w:ascii="宋体" w:hAnsi="宋体" w:cs="宋体"/>
          <w:color w:val="auto"/>
          <w:sz w:val="24"/>
          <w:lang w:val="en-US" w:eastAsia="zh-CN"/>
        </w:rPr>
        <w:t>线上获取</w:t>
      </w:r>
      <w:r>
        <w:rPr>
          <w:rFonts w:hint="eastAsia" w:ascii="宋体" w:hAnsi="宋体" w:cs="宋体"/>
          <w:color w:val="auto"/>
          <w:sz w:val="24"/>
        </w:rPr>
        <w:t xml:space="preserve"> </w:t>
      </w:r>
    </w:p>
    <w:p w14:paraId="02C172D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099E191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3FBAEFF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rPr>
      </w:pPr>
      <w:r>
        <w:rPr>
          <w:rFonts w:hint="eastAsia" w:ascii="宋体" w:hAnsi="宋体" w:cs="宋体"/>
          <w:b/>
          <w:color w:val="auto"/>
          <w:sz w:val="24"/>
        </w:rPr>
        <w:t>四、提交投标文件截止时间、开标时间和地点</w:t>
      </w:r>
    </w:p>
    <w:p w14:paraId="7A7E6EB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rPr>
        <w:t>提交投标文件截止</w:t>
      </w:r>
      <w:r>
        <w:rPr>
          <w:rFonts w:hint="eastAsia" w:ascii="宋体" w:hAnsi="宋体" w:cs="宋体"/>
          <w:b/>
          <w:color w:val="auto"/>
          <w:sz w:val="24"/>
          <w:highlight w:val="none"/>
        </w:rPr>
        <w:t>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171DC9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b w:val="0"/>
          <w:bCs/>
          <w:color w:val="auto"/>
          <w:sz w:val="24"/>
          <w:highlight w:val="none"/>
        </w:rPr>
        <w:t xml:space="preserve">请登录政采云投标客户端投标 </w:t>
      </w:r>
    </w:p>
    <w:p w14:paraId="6F76A61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highlight w:val="none"/>
          <w:u w:val="single"/>
          <w:lang w:val="en-US" w:eastAsia="zh-CN"/>
        </w:rPr>
      </w:pPr>
      <w:r>
        <w:rPr>
          <w:rFonts w:hint="eastAsia" w:ascii="宋体" w:hAnsi="宋体" w:cs="宋体"/>
          <w:b/>
          <w:color w:val="auto"/>
          <w:sz w:val="24"/>
          <w:highlight w:val="none"/>
        </w:rPr>
        <w:t>开标时间：</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u w:val="single"/>
          <w:lang w:val="en-US" w:eastAsia="zh-CN"/>
        </w:rPr>
        <w:t xml:space="preserve"> </w:t>
      </w:r>
    </w:p>
    <w:p w14:paraId="75EC1F1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43C49509">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b/>
          <w:color w:val="auto"/>
          <w:sz w:val="24"/>
        </w:rPr>
        <w:t xml:space="preserve">五、公告期限 </w:t>
      </w:r>
    </w:p>
    <w:p w14:paraId="4AA66E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自本公告发布之日起5个工作日。</w:t>
      </w:r>
    </w:p>
    <w:p w14:paraId="5761DCB1">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rPr>
      </w:pPr>
      <w:r>
        <w:rPr>
          <w:rFonts w:hint="eastAsia" w:ascii="宋体" w:hAnsi="宋体" w:cs="宋体"/>
          <w:b/>
          <w:color w:val="auto"/>
          <w:sz w:val="24"/>
        </w:rPr>
        <w:t>六、其他补充事宜</w:t>
      </w:r>
    </w:p>
    <w:p w14:paraId="4931A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56113C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258CEF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AA28489">
      <w:pPr>
        <w:spacing w:line="360" w:lineRule="auto"/>
        <w:ind w:firstLine="480" w:firstLineChars="200"/>
        <w:rPr>
          <w:rFonts w:ascii="宋体" w:hAnsi="宋体" w:cs="宋体"/>
          <w:color w:val="auto"/>
          <w:sz w:val="24"/>
        </w:rPr>
      </w:pPr>
      <w:r>
        <w:rPr>
          <w:rFonts w:hint="eastAsia" w:ascii="宋体" w:hAnsi="宋体" w:cs="宋体"/>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F252B98">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rPr>
      </w:pPr>
      <w:r>
        <w:rPr>
          <w:rFonts w:hint="eastAsia" w:ascii="宋体" w:hAnsi="宋体" w:cs="宋体"/>
          <w:b/>
          <w:color w:val="auto"/>
          <w:sz w:val="24"/>
        </w:rPr>
        <w:t>七、对本次采购提出询问、质疑、投诉，请按以下方式联系</w:t>
      </w:r>
    </w:p>
    <w:p w14:paraId="54FA635A">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25132479">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sz w:val="24"/>
          <w:highlight w:val="none"/>
          <w:lang w:eastAsia="zh-CN"/>
        </w:rPr>
        <w:t>杭州大运河数智未来城管理委员会</w:t>
      </w:r>
      <w:r>
        <w:rPr>
          <w:rFonts w:hint="eastAsia" w:ascii="宋体" w:hAnsi="宋体" w:cs="宋体"/>
          <w:color w:val="auto"/>
          <w:sz w:val="24"/>
          <w:highlight w:val="none"/>
        </w:rPr>
        <w:t xml:space="preserve"> </w:t>
      </w:r>
    </w:p>
    <w:p w14:paraId="54499606">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sz w:val="24"/>
          <w:highlight w:val="none"/>
          <w:lang w:eastAsia="zh-CN"/>
        </w:rPr>
        <w:t>杭州市拱墅区祥园路99号</w:t>
      </w:r>
      <w:r>
        <w:rPr>
          <w:rFonts w:hint="eastAsia" w:ascii="宋体" w:hAnsi="宋体" w:cs="宋体"/>
          <w:color w:val="auto"/>
          <w:sz w:val="24"/>
          <w:highlight w:val="none"/>
        </w:rPr>
        <w:t xml:space="preserve">       </w:t>
      </w:r>
    </w:p>
    <w:p w14:paraId="0B9D34EC">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传    真： /</w:t>
      </w:r>
    </w:p>
    <w:p w14:paraId="671E122C">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pacing w:val="0"/>
          <w:w w:val="100"/>
          <w:sz w:val="24"/>
          <w:highlight w:val="none"/>
          <w:lang w:val="en-US" w:eastAsia="zh-CN"/>
        </w:rPr>
        <w:t>沈工</w:t>
      </w:r>
      <w:r>
        <w:rPr>
          <w:rFonts w:hint="eastAsia" w:ascii="宋体" w:hAnsi="宋体" w:cs="宋体"/>
          <w:color w:val="auto"/>
          <w:sz w:val="24"/>
          <w:highlight w:val="none"/>
        </w:rPr>
        <w:t xml:space="preserve"> </w:t>
      </w:r>
    </w:p>
    <w:p w14:paraId="20E627B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0571-87701667</w:t>
      </w:r>
      <w:r>
        <w:rPr>
          <w:rFonts w:hint="eastAsia" w:ascii="宋体" w:hAnsi="宋体" w:cs="宋体"/>
          <w:color w:val="auto"/>
          <w:sz w:val="24"/>
          <w:highlight w:val="none"/>
        </w:rPr>
        <w:t xml:space="preserve"> </w:t>
      </w:r>
    </w:p>
    <w:p w14:paraId="2BE0E0C1">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 </w:t>
      </w:r>
      <w:r>
        <w:rPr>
          <w:rFonts w:hint="eastAsia" w:ascii="宋体" w:hAnsi="宋体" w:cs="宋体"/>
          <w:color w:val="auto"/>
          <w:sz w:val="24"/>
          <w:highlight w:val="none"/>
          <w:lang w:val="en-US" w:eastAsia="zh-CN"/>
        </w:rPr>
        <w:t>汤工</w:t>
      </w:r>
    </w:p>
    <w:p w14:paraId="5A8C7B53">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0571-88913939</w:t>
      </w:r>
    </w:p>
    <w:p w14:paraId="47B03F70">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2.采购代理机构信息            </w:t>
      </w:r>
    </w:p>
    <w:p w14:paraId="06717793">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pacing w:val="0"/>
          <w:w w:val="100"/>
          <w:kern w:val="0"/>
          <w:sz w:val="24"/>
          <w:szCs w:val="24"/>
          <w:highlight w:val="none"/>
          <w:lang w:eastAsia="zh-CN"/>
        </w:rPr>
      </w:pPr>
      <w:r>
        <w:rPr>
          <w:rFonts w:hint="eastAsia" w:ascii="宋体" w:hAnsi="宋体" w:cs="宋体"/>
          <w:color w:val="auto"/>
          <w:sz w:val="24"/>
        </w:rPr>
        <w:t>名    称：</w:t>
      </w:r>
      <w:r>
        <w:rPr>
          <w:rFonts w:hint="eastAsia" w:ascii="宋体" w:hAnsi="宋体" w:cs="宋体"/>
          <w:spacing w:val="0"/>
          <w:w w:val="100"/>
          <w:kern w:val="0"/>
          <w:sz w:val="24"/>
          <w:szCs w:val="24"/>
          <w:highlight w:val="none"/>
          <w:lang w:eastAsia="zh-CN"/>
        </w:rPr>
        <w:t>浙江西建工程管理有限公司</w:t>
      </w:r>
    </w:p>
    <w:p w14:paraId="5E7D9CE1">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rPr>
      </w:pPr>
      <w:r>
        <w:rPr>
          <w:rFonts w:hint="eastAsia" w:ascii="宋体" w:hAnsi="宋体" w:cs="宋体"/>
          <w:color w:val="auto"/>
          <w:sz w:val="24"/>
        </w:rPr>
        <w:t>地    址：</w:t>
      </w:r>
      <w:r>
        <w:rPr>
          <w:rFonts w:hint="eastAsia" w:ascii="宋体" w:hAnsi="宋体" w:cs="宋体"/>
          <w:spacing w:val="0"/>
          <w:w w:val="100"/>
          <w:kern w:val="0"/>
          <w:sz w:val="24"/>
          <w:szCs w:val="24"/>
          <w:highlight w:val="none"/>
          <w:lang w:eastAsia="zh-CN"/>
        </w:rPr>
        <w:t>杭州市西湖区教工路199号保亭综合楼308室</w:t>
      </w:r>
    </w:p>
    <w:p w14:paraId="711DA36B">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传    真：</w:t>
      </w:r>
      <w:r>
        <w:rPr>
          <w:rFonts w:hint="eastAsia" w:ascii="宋体" w:hAnsi="宋体" w:eastAsia="宋体" w:cs="宋体"/>
          <w:sz w:val="24"/>
          <w:highlight w:val="none"/>
        </w:rPr>
        <w:t xml:space="preserve">/ </w:t>
      </w:r>
      <w:r>
        <w:rPr>
          <w:rFonts w:hint="eastAsia" w:ascii="宋体" w:hAnsi="宋体" w:cs="宋体"/>
          <w:color w:val="auto"/>
          <w:sz w:val="24"/>
        </w:rPr>
        <w:t xml:space="preserve"> </w:t>
      </w:r>
    </w:p>
    <w:p w14:paraId="7735918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rPr>
        <w:t xml:space="preserve"> </w:t>
      </w: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毛工</w:t>
      </w:r>
      <w:r>
        <w:rPr>
          <w:rFonts w:hint="eastAsia" w:ascii="宋体" w:hAnsi="宋体" w:cs="宋体"/>
          <w:color w:val="auto"/>
          <w:sz w:val="24"/>
          <w:highlight w:val="none"/>
        </w:rPr>
        <w:t xml:space="preserve"> </w:t>
      </w:r>
    </w:p>
    <w:p w14:paraId="6AEA8850">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15317012409</w:t>
      </w:r>
    </w:p>
    <w:p w14:paraId="680C54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eastAsia="zh-CN"/>
        </w:rPr>
      </w:pPr>
      <w:r>
        <w:rPr>
          <w:rFonts w:hint="eastAsia" w:ascii="宋体" w:hAnsi="宋体" w:cs="宋体"/>
          <w:color w:val="auto"/>
          <w:sz w:val="24"/>
        </w:rPr>
        <w:t xml:space="preserve">    质疑联系人：</w:t>
      </w:r>
      <w:r>
        <w:rPr>
          <w:rFonts w:hint="eastAsia" w:ascii="宋体" w:hAnsi="宋体" w:cs="宋体"/>
          <w:color w:val="auto"/>
          <w:sz w:val="24"/>
          <w:lang w:val="en-US" w:eastAsia="zh-CN"/>
        </w:rPr>
        <w:t>徐工</w:t>
      </w:r>
    </w:p>
    <w:p w14:paraId="66523796">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lang w:val="en-US" w:eastAsia="zh-CN"/>
        </w:rPr>
      </w:pPr>
      <w:r>
        <w:rPr>
          <w:rFonts w:hint="eastAsia" w:ascii="宋体" w:hAnsi="宋体" w:cs="宋体"/>
          <w:color w:val="auto"/>
          <w:sz w:val="24"/>
        </w:rPr>
        <w:t xml:space="preserve">    质疑联系方式：</w:t>
      </w:r>
      <w:r>
        <w:rPr>
          <w:rFonts w:hint="eastAsia" w:ascii="宋体" w:hAnsi="宋体" w:eastAsia="宋体" w:cs="宋体"/>
          <w:color w:val="auto"/>
          <w:sz w:val="24"/>
          <w:lang w:val="en-US" w:eastAsia="zh-CN"/>
        </w:rPr>
        <w:t>18626895360</w:t>
      </w:r>
    </w:p>
    <w:p w14:paraId="29857F40">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3.同级政府采购监督管理部门            </w:t>
      </w:r>
    </w:p>
    <w:p w14:paraId="6A7DB42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名    称：杭州市拱墅区财政局、浙江省政府采购行政裁决服务中心（杭州）</w:t>
      </w:r>
    </w:p>
    <w:p w14:paraId="7F5E6017">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地    址：杭州市上城区清泰街549号城建综合大楼11楼（快递仅限ems或顺丰） </w:t>
      </w:r>
    </w:p>
    <w:p w14:paraId="296A8486">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传    真： /</w:t>
      </w:r>
    </w:p>
    <w:p w14:paraId="3BBE1E35">
      <w:pPr>
        <w:spacing w:line="360" w:lineRule="auto"/>
        <w:rPr>
          <w:rFonts w:ascii="宋体" w:hAnsi="宋体" w:cs="宋体"/>
          <w:color w:val="auto"/>
          <w:sz w:val="24"/>
        </w:rPr>
      </w:pPr>
      <w:r>
        <w:rPr>
          <w:rFonts w:hint="eastAsia" w:ascii="宋体" w:hAnsi="宋体" w:cs="宋体"/>
          <w:color w:val="auto"/>
          <w:sz w:val="24"/>
        </w:rPr>
        <w:t xml:space="preserve">    联系人 ：</w:t>
      </w:r>
      <w:r>
        <w:rPr>
          <w:rFonts w:hint="eastAsia" w:ascii="宋体" w:hAnsi="宋体" w:eastAsia="宋体" w:cs="宋体"/>
          <w:color w:val="auto"/>
          <w:spacing w:val="0"/>
          <w:w w:val="100"/>
          <w:sz w:val="24"/>
        </w:rPr>
        <w:t>匡老师</w:t>
      </w:r>
    </w:p>
    <w:p w14:paraId="53A6ADF4">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rPr>
      </w:pPr>
      <w:r>
        <w:rPr>
          <w:rFonts w:hint="eastAsia" w:ascii="宋体" w:hAnsi="宋体" w:cs="宋体"/>
          <w:color w:val="auto"/>
          <w:sz w:val="24"/>
        </w:rPr>
        <w:t>监督投诉电话：</w:t>
      </w:r>
      <w:r>
        <w:rPr>
          <w:rFonts w:hint="eastAsia" w:ascii="宋体" w:hAnsi="宋体" w:eastAsia="宋体" w:cs="宋体"/>
          <w:color w:val="auto"/>
          <w:spacing w:val="0"/>
          <w:w w:val="100"/>
          <w:sz w:val="24"/>
        </w:rPr>
        <w:t>0571-87807798</w:t>
      </w:r>
      <w:r>
        <w:rPr>
          <w:rFonts w:hint="eastAsia" w:ascii="宋体" w:hAnsi="宋体" w:cs="宋体"/>
          <w:color w:val="auto"/>
          <w:sz w:val="24"/>
        </w:rPr>
        <w:t xml:space="preserve">   </w:t>
      </w:r>
    </w:p>
    <w:p w14:paraId="37244900">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rPr>
      </w:pPr>
    </w:p>
    <w:p w14:paraId="1364C2D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rPr>
      </w:pPr>
    </w:p>
    <w:p w14:paraId="4674397E">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若对项目采购电子交易系统操作有疑问，可登录政采云（https://www.zcygov.cn/），点击右侧咨询小采，获取采小蜜智能服务管家帮助，或拨打政采云服务热线95763获取热线服务帮助。</w:t>
      </w:r>
    </w:p>
    <w:p w14:paraId="0B0A97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CA问题联系电话（人工）：汇信CA 400-888-4636；天谷CA 400-087-8198。</w:t>
      </w:r>
    </w:p>
    <w:p w14:paraId="050C3601">
      <w:pPr>
        <w:widowControl/>
        <w:adjustRightInd/>
        <w:jc w:val="left"/>
        <w:rPr>
          <w:rFonts w:ascii="宋体" w:hAnsi="宋体" w:cs="宋体"/>
          <w:b/>
          <w:color w:val="auto"/>
          <w:sz w:val="36"/>
          <w:szCs w:val="20"/>
        </w:rPr>
      </w:pPr>
      <w:r>
        <w:rPr>
          <w:rFonts w:ascii="宋体" w:hAnsi="宋体" w:cs="宋体"/>
          <w:b/>
          <w:color w:val="auto"/>
          <w:sz w:val="36"/>
          <w:szCs w:val="20"/>
        </w:rPr>
        <w:br w:type="page"/>
      </w:r>
    </w:p>
    <w:p w14:paraId="17A08849">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第二部分 投标人须知</w:t>
      </w:r>
    </w:p>
    <w:p w14:paraId="7DE5FEF4">
      <w:pPr>
        <w:adjustRightInd/>
        <w:spacing w:line="360" w:lineRule="auto"/>
        <w:ind w:firstLine="3845" w:firstLineChars="1197"/>
        <w:outlineLvl w:val="0"/>
        <w:rPr>
          <w:rFonts w:hint="eastAsia" w:ascii="宋体" w:hAnsi="宋体" w:cs="宋体"/>
          <w:b/>
          <w:color w:val="auto"/>
          <w:sz w:val="32"/>
          <w:szCs w:val="20"/>
        </w:rPr>
      </w:pPr>
      <w:r>
        <w:rPr>
          <w:rFonts w:hint="eastAsia" w:ascii="宋体" w:hAnsi="宋体" w:cs="宋体"/>
          <w:b/>
          <w:color w:val="auto"/>
          <w:sz w:val="32"/>
          <w:szCs w:val="20"/>
        </w:rPr>
        <w:t>前附表</w:t>
      </w:r>
    </w:p>
    <w:tbl>
      <w:tblPr>
        <w:tblStyle w:val="63"/>
        <w:tblW w:w="8567"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1372A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09B5925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6037403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617DBFC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4F2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6" w:hRule="atLeast"/>
        </w:trPr>
        <w:tc>
          <w:tcPr>
            <w:tcW w:w="629" w:type="dxa"/>
            <w:tcBorders>
              <w:tl2br w:val="nil"/>
              <w:tr2bl w:val="nil"/>
            </w:tcBorders>
            <w:vAlign w:val="center"/>
          </w:tcPr>
          <w:p w14:paraId="6BB00FD3">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1</w:t>
            </w:r>
          </w:p>
        </w:tc>
        <w:tc>
          <w:tcPr>
            <w:tcW w:w="1843" w:type="dxa"/>
            <w:tcBorders>
              <w:tl2br w:val="nil"/>
              <w:tr2bl w:val="nil"/>
            </w:tcBorders>
            <w:vAlign w:val="center"/>
          </w:tcPr>
          <w:p w14:paraId="6F2D0176">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项目属性</w:t>
            </w:r>
          </w:p>
        </w:tc>
        <w:tc>
          <w:tcPr>
            <w:tcW w:w="6095" w:type="dxa"/>
            <w:tcBorders>
              <w:tl2br w:val="nil"/>
              <w:tr2bl w:val="nil"/>
            </w:tcBorders>
            <w:vAlign w:val="center"/>
          </w:tcPr>
          <w:p w14:paraId="73BEDC0B">
            <w:pPr>
              <w:keepNext w:val="0"/>
              <w:keepLines w:val="0"/>
              <w:pageBreakBefore w:val="0"/>
              <w:kinsoku/>
              <w:wordWrap/>
              <w:overflowPunct/>
              <w:topLinePunct w:val="0"/>
              <w:bidi w:val="0"/>
              <w:adjustRightInd/>
              <w:snapToGrid/>
              <w:spacing w:line="360" w:lineRule="auto"/>
              <w:rPr>
                <w:rFonts w:ascii="宋体" w:hAnsi="宋体" w:cs="宋体"/>
                <w:color w:val="auto"/>
                <w:sz w:val="24"/>
                <w:highlight w:val="none"/>
              </w:rPr>
            </w:pPr>
            <w:r>
              <w:rPr>
                <w:rFonts w:hint="eastAsia" w:ascii="宋体" w:hAnsi="宋体" w:cs="宋体"/>
                <w:color w:val="auto"/>
                <w:sz w:val="24"/>
              </w:rPr>
              <w:t>服务类。</w:t>
            </w:r>
          </w:p>
        </w:tc>
      </w:tr>
      <w:tr w14:paraId="4885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00521B3">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2</w:t>
            </w:r>
          </w:p>
        </w:tc>
        <w:tc>
          <w:tcPr>
            <w:tcW w:w="1843" w:type="dxa"/>
            <w:tcBorders>
              <w:tl2br w:val="nil"/>
              <w:tr2bl w:val="nil"/>
            </w:tcBorders>
            <w:vAlign w:val="center"/>
          </w:tcPr>
          <w:p w14:paraId="639E191D">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采购标的及其对应的中小企业划分标准所属行业</w:t>
            </w:r>
          </w:p>
        </w:tc>
        <w:tc>
          <w:tcPr>
            <w:tcW w:w="6095" w:type="dxa"/>
            <w:tcBorders>
              <w:tl2br w:val="nil"/>
              <w:tr2bl w:val="nil"/>
            </w:tcBorders>
            <w:vAlign w:val="center"/>
          </w:tcPr>
          <w:p w14:paraId="43EFD614">
            <w:pPr>
              <w:keepNext w:val="0"/>
              <w:keepLines w:val="0"/>
              <w:pageBreakBefore w:val="0"/>
              <w:numPr>
                <w:ilvl w:val="0"/>
                <w:numId w:val="0"/>
              </w:numPr>
              <w:kinsoku/>
              <w:wordWrap/>
              <w:overflowPunct/>
              <w:topLinePunct w:val="0"/>
              <w:bidi w:val="0"/>
              <w:adjustRightInd/>
              <w:snapToGrid/>
              <w:spacing w:line="360" w:lineRule="auto"/>
              <w:rPr>
                <w:lang w:val="en-US"/>
              </w:rPr>
            </w:pPr>
            <w:r>
              <w:rPr>
                <w:rFonts w:hint="eastAsia" w:ascii="宋体" w:hAnsi="宋体" w:cs="宋体"/>
                <w:color w:val="auto"/>
                <w:kern w:val="0"/>
                <w:sz w:val="24"/>
              </w:rPr>
              <w:t>（1）标的：</w:t>
            </w:r>
            <w:r>
              <w:rPr>
                <w:rFonts w:hint="eastAsia" w:ascii="宋体" w:hAnsi="宋体" w:cs="宋体"/>
                <w:color w:val="auto"/>
                <w:kern w:val="0"/>
                <w:sz w:val="24"/>
                <w:u w:val="single"/>
                <w:lang w:val="en-US" w:eastAsia="zh-CN"/>
              </w:rPr>
              <w:t xml:space="preserve"> </w:t>
            </w:r>
            <w:r>
              <w:rPr>
                <w:rFonts w:hint="eastAsia" w:ascii="宋体" w:hAnsi="宋体" w:cs="宋体"/>
                <w:b/>
                <w:bCs/>
                <w:color w:val="auto"/>
                <w:kern w:val="0"/>
                <w:sz w:val="24"/>
                <w:u w:val="single"/>
                <w:lang w:val="en-US" w:eastAsia="zh-CN"/>
              </w:rPr>
              <w:t>2026年度高新区安全生产外服单位采购项目</w:t>
            </w:r>
            <w:r>
              <w:rPr>
                <w:rFonts w:hint="eastAsia" w:ascii="宋体" w:hAnsi="宋体" w:cs="宋体"/>
                <w:color w:val="auto"/>
                <w:kern w:val="0"/>
                <w:sz w:val="24"/>
                <w:u w:val="single"/>
              </w:rPr>
              <w:t xml:space="preserve"> </w:t>
            </w:r>
            <w:r>
              <w:rPr>
                <w:rFonts w:hint="eastAsia" w:ascii="宋体" w:hAnsi="宋体" w:cs="宋体"/>
                <w:color w:val="auto"/>
                <w:kern w:val="0"/>
                <w:sz w:val="24"/>
              </w:rPr>
              <w:t>，属于</w:t>
            </w:r>
            <w:r>
              <w:rPr>
                <w:rFonts w:hint="eastAsia" w:ascii="宋体" w:hAnsi="宋体" w:cs="宋体"/>
                <w:color w:val="auto"/>
                <w:kern w:val="0"/>
                <w:sz w:val="24"/>
                <w:u w:val="single"/>
              </w:rPr>
              <w:t xml:space="preserve"> </w:t>
            </w:r>
            <w:r>
              <w:rPr>
                <w:rFonts w:hint="eastAsia" w:ascii="宋体" w:hAnsi="宋体" w:cs="宋体"/>
                <w:b/>
                <w:bCs/>
                <w:spacing w:val="0"/>
                <w:w w:val="100"/>
                <w:kern w:val="0"/>
                <w:sz w:val="24"/>
                <w:highlight w:val="none"/>
                <w:u w:val="single"/>
                <w:lang w:val="en-US" w:eastAsia="zh-CN"/>
              </w:rPr>
              <w:t>其他未列明</w:t>
            </w:r>
            <w:r>
              <w:rPr>
                <w:rFonts w:hint="eastAsia" w:ascii="宋体" w:hAnsi="宋体" w:eastAsia="宋体" w:cs="宋体"/>
                <w:b/>
                <w:bCs/>
                <w:spacing w:val="0"/>
                <w:w w:val="100"/>
                <w:kern w:val="0"/>
                <w:sz w:val="24"/>
                <w:highlight w:val="none"/>
                <w:u w:val="single"/>
              </w:rPr>
              <w:t>行业</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7DA895C">
            <w:pPr>
              <w:keepNext w:val="0"/>
              <w:keepLines w:val="0"/>
              <w:pageBreakBefore w:val="0"/>
              <w:numPr>
                <w:ilvl w:val="0"/>
                <w:numId w:val="0"/>
              </w:numPr>
              <w:kinsoku/>
              <w:wordWrap/>
              <w:overflowPunct/>
              <w:topLinePunct w:val="0"/>
              <w:bidi w:val="0"/>
              <w:adjustRightInd/>
              <w:snapToGrid/>
              <w:spacing w:line="360" w:lineRule="auto"/>
              <w:ind w:left="0" w:leftChars="0" w:firstLine="0" w:firstLineChars="0"/>
              <w:rPr>
                <w:rFonts w:hint="default" w:eastAsia="宋体"/>
                <w:color w:val="auto"/>
                <w:highlight w:val="none"/>
                <w:lang w:val="en-US" w:eastAsia="zh-CN"/>
              </w:rPr>
            </w:pPr>
            <w:r>
              <w:rPr>
                <w:rFonts w:hint="eastAsia" w:ascii="宋体" w:hAnsi="宋体" w:eastAsia="宋体" w:cs="宋体"/>
                <w:i w:val="0"/>
                <w:iCs w:val="0"/>
                <w:color w:val="auto"/>
                <w:spacing w:val="0"/>
                <w:sz w:val="24"/>
                <w:szCs w:val="24"/>
                <w:highlight w:val="none"/>
                <w:shd w:val="clear" w:color="auto" w:fill="auto"/>
                <w:vertAlign w:val="baseline"/>
                <w:lang w:val="en-US" w:eastAsia="zh-CN"/>
              </w:rPr>
              <w:t>根据《关于印发中小企业划型标准规定的通知》（工信部联企业〔2011〕300）第四条第（二）项规定：其他未列明行业。从业人员300人以下的为中小微型企业。其中，从业人员100人及以上的为中型企业；从业人员10人及以上的为小型企业；从业人员10人以下的为微型企业。</w:t>
            </w:r>
          </w:p>
        </w:tc>
      </w:tr>
      <w:tr w14:paraId="13751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2" w:hRule="atLeast"/>
        </w:trPr>
        <w:tc>
          <w:tcPr>
            <w:tcW w:w="629" w:type="dxa"/>
            <w:tcBorders>
              <w:tl2br w:val="nil"/>
              <w:tr2bl w:val="nil"/>
            </w:tcBorders>
            <w:vAlign w:val="center"/>
          </w:tcPr>
          <w:p w14:paraId="7346481D">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3</w:t>
            </w:r>
          </w:p>
        </w:tc>
        <w:tc>
          <w:tcPr>
            <w:tcW w:w="1843" w:type="dxa"/>
            <w:tcBorders>
              <w:tl2br w:val="nil"/>
              <w:tr2bl w:val="nil"/>
            </w:tcBorders>
            <w:vAlign w:val="center"/>
          </w:tcPr>
          <w:p w14:paraId="63092E2E">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是否允许采购进口产品</w:t>
            </w:r>
          </w:p>
        </w:tc>
        <w:tc>
          <w:tcPr>
            <w:tcW w:w="6095" w:type="dxa"/>
            <w:tcBorders>
              <w:tl2br w:val="nil"/>
              <w:tr2bl w:val="nil"/>
            </w:tcBorders>
            <w:vAlign w:val="center"/>
          </w:tcPr>
          <w:p w14:paraId="3FB3289F">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sdt>
              <w:sdtPr>
                <w:rPr>
                  <w:rFonts w:hint="eastAsia" w:ascii="宋体" w:hAnsi="宋体" w:cs="宋体"/>
                  <w:color w:val="auto"/>
                  <w:kern w:val="0"/>
                  <w:sz w:val="24"/>
                </w:rPr>
                <w:id w:val="147468880"/>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本项目不允许采购进口产品。</w:t>
            </w:r>
          </w:p>
          <w:p w14:paraId="5A7A85DA">
            <w:pPr>
              <w:keepNext w:val="0"/>
              <w:keepLines w:val="0"/>
              <w:pageBreakBefore w:val="0"/>
              <w:kinsoku/>
              <w:wordWrap/>
              <w:overflowPunct/>
              <w:topLinePunct w:val="0"/>
              <w:bidi w:val="0"/>
              <w:adjustRightInd/>
              <w:snapToGrid/>
              <w:spacing w:line="360" w:lineRule="auto"/>
              <w:rPr>
                <w:rFonts w:ascii="宋体" w:hAnsi="宋体" w:cs="宋体"/>
                <w:color w:val="auto"/>
                <w:highlight w:val="none"/>
              </w:rPr>
            </w:pPr>
            <w:sdt>
              <w:sdtPr>
                <w:rPr>
                  <w:rFonts w:hint="eastAsia" w:ascii="宋体" w:hAnsi="宋体" w:cs="宋体"/>
                  <w:color w:val="auto"/>
                  <w:kern w:val="0"/>
                  <w:sz w:val="24"/>
                </w:rPr>
                <w:id w:val="14746024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14:paraId="31B4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8" w:hRule="atLeast"/>
        </w:trPr>
        <w:tc>
          <w:tcPr>
            <w:tcW w:w="629" w:type="dxa"/>
            <w:tcBorders>
              <w:tl2br w:val="nil"/>
              <w:tr2bl w:val="nil"/>
            </w:tcBorders>
            <w:vAlign w:val="center"/>
          </w:tcPr>
          <w:p w14:paraId="5582C4CD">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4</w:t>
            </w:r>
          </w:p>
        </w:tc>
        <w:tc>
          <w:tcPr>
            <w:tcW w:w="1843" w:type="dxa"/>
            <w:tcBorders>
              <w:tl2br w:val="nil"/>
              <w:tr2bl w:val="nil"/>
            </w:tcBorders>
            <w:vAlign w:val="center"/>
          </w:tcPr>
          <w:p w14:paraId="4DF52BE5">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分包</w:t>
            </w:r>
          </w:p>
        </w:tc>
        <w:tc>
          <w:tcPr>
            <w:tcW w:w="6095" w:type="dxa"/>
            <w:tcBorders>
              <w:tl2br w:val="nil"/>
              <w:tr2bl w:val="nil"/>
            </w:tcBorders>
            <w:vAlign w:val="center"/>
          </w:tcPr>
          <w:p w14:paraId="541ADDA4">
            <w:pPr>
              <w:keepNext w:val="0"/>
              <w:keepLines w:val="0"/>
              <w:pageBreakBefore w:val="0"/>
              <w:kinsoku/>
              <w:wordWrap/>
              <w:overflowPunct/>
              <w:topLinePunct w:val="0"/>
              <w:bidi w:val="0"/>
              <w:adjustRightInd/>
              <w:snapToGrid/>
              <w:spacing w:line="360" w:lineRule="auto"/>
              <w:rPr>
                <w:rFonts w:hint="eastAsia" w:ascii="宋体" w:hAnsi="宋体" w:cs="宋体"/>
                <w:color w:val="auto"/>
                <w:kern w:val="0"/>
                <w:sz w:val="24"/>
              </w:rPr>
            </w:pPr>
            <w:sdt>
              <w:sdtPr>
                <w:rPr>
                  <w:rFonts w:hint="eastAsia" w:ascii="宋体" w:hAnsi="宋体" w:cs="宋体"/>
                  <w:color w:val="auto"/>
                  <w:kern w:val="0"/>
                  <w:sz w:val="24"/>
                </w:rPr>
                <w:id w:val="14745246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同意将非主体、非关键性的工作分包。</w:t>
            </w:r>
          </w:p>
          <w:p w14:paraId="40453838">
            <w:pPr>
              <w:keepNext w:val="0"/>
              <w:keepLines w:val="0"/>
              <w:pageBreakBefore w:val="0"/>
              <w:kinsoku/>
              <w:wordWrap/>
              <w:overflowPunct/>
              <w:topLinePunct w:val="0"/>
              <w:bidi w:val="0"/>
              <w:adjustRightInd/>
              <w:snapToGrid/>
              <w:spacing w:line="360" w:lineRule="auto"/>
              <w:rPr>
                <w:rFonts w:ascii="宋体" w:hAnsi="宋体" w:cs="宋体"/>
                <w:color w:val="auto"/>
                <w:sz w:val="24"/>
              </w:rPr>
            </w:pPr>
            <w:sdt>
              <w:sdtPr>
                <w:rPr>
                  <w:rFonts w:hint="eastAsia" w:ascii="宋体" w:hAnsi="宋体" w:cs="宋体"/>
                  <w:color w:val="auto"/>
                  <w:kern w:val="0"/>
                  <w:sz w:val="24"/>
                </w:rPr>
                <w:id w:val="147464050"/>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宋体" w:cs="宋体"/>
                    <w:color w:val="auto"/>
                    <w:kern w:val="0"/>
                    <w:sz w:val="24"/>
                    <w:szCs w:val="24"/>
                    <w:lang w:val="en-US" w:eastAsia="zh-CN" w:bidi="ar-SA"/>
                  </w:rPr>
                  <w:t>☐</w:t>
                </w:r>
              </w:sdtContent>
            </w:sdt>
            <w:r>
              <w:rPr>
                <w:rFonts w:hint="eastAsia" w:ascii="宋体" w:hAnsi="宋体" w:cs="宋体"/>
                <w:color w:val="auto"/>
                <w:kern w:val="0"/>
                <w:sz w:val="24"/>
              </w:rPr>
              <w:t xml:space="preserve"> B</w:t>
            </w:r>
            <w:r>
              <w:rPr>
                <w:rFonts w:hint="eastAsia" w:ascii="宋体" w:hAnsi="宋体" w:cs="宋体"/>
                <w:color w:val="auto"/>
                <w:sz w:val="24"/>
              </w:rPr>
              <w:t>不同意分包。</w:t>
            </w:r>
          </w:p>
          <w:p w14:paraId="5B457E99">
            <w:pPr>
              <w:keepNext w:val="0"/>
              <w:keepLines w:val="0"/>
              <w:pageBreakBefore w:val="0"/>
              <w:kinsoku/>
              <w:wordWrap/>
              <w:overflowPunct/>
              <w:topLinePunct w:val="0"/>
              <w:bidi w:val="0"/>
              <w:adjustRightInd/>
              <w:snapToGrid/>
              <w:spacing w:line="360" w:lineRule="auto"/>
              <w:rPr>
                <w:rFonts w:ascii="宋体" w:hAnsi="宋体" w:cs="宋体"/>
                <w:color w:val="auto"/>
                <w:sz w:val="24"/>
                <w:highlight w:val="none"/>
              </w:rPr>
            </w:pPr>
            <w:r>
              <w:rPr>
                <w:rFonts w:hint="eastAsia" w:ascii="宋体" w:hAnsi="宋体" w:cs="宋体"/>
                <w:color w:val="auto"/>
                <w:sz w:val="24"/>
              </w:rPr>
              <w:t>注：不得限制大中型企业向小微企业合理分包。</w:t>
            </w:r>
          </w:p>
        </w:tc>
      </w:tr>
      <w:tr w14:paraId="13BC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58" w:hRule="atLeast"/>
        </w:trPr>
        <w:tc>
          <w:tcPr>
            <w:tcW w:w="629" w:type="dxa"/>
            <w:tcBorders>
              <w:tl2br w:val="nil"/>
              <w:tr2bl w:val="nil"/>
            </w:tcBorders>
            <w:vAlign w:val="center"/>
          </w:tcPr>
          <w:p w14:paraId="371D1F2C">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5</w:t>
            </w:r>
          </w:p>
        </w:tc>
        <w:tc>
          <w:tcPr>
            <w:tcW w:w="1843" w:type="dxa"/>
            <w:tcBorders>
              <w:tl2br w:val="nil"/>
              <w:tr2bl w:val="nil"/>
            </w:tcBorders>
            <w:vAlign w:val="center"/>
          </w:tcPr>
          <w:p w14:paraId="5292EFC1">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开标前答疑会或现场考察</w:t>
            </w:r>
          </w:p>
        </w:tc>
        <w:tc>
          <w:tcPr>
            <w:tcW w:w="6095" w:type="dxa"/>
            <w:tcBorders>
              <w:tl2br w:val="nil"/>
              <w:tr2bl w:val="nil"/>
            </w:tcBorders>
            <w:vAlign w:val="center"/>
          </w:tcPr>
          <w:p w14:paraId="628A5589">
            <w:pPr>
              <w:keepNext w:val="0"/>
              <w:keepLines w:val="0"/>
              <w:pageBreakBefore w:val="0"/>
              <w:kinsoku/>
              <w:wordWrap/>
              <w:overflowPunct/>
              <w:topLinePunct w:val="0"/>
              <w:bidi w:val="0"/>
              <w:adjustRightInd/>
              <w:snapToGrid/>
              <w:spacing w:line="360" w:lineRule="auto"/>
              <w:rPr>
                <w:rFonts w:ascii="宋体" w:hAnsi="宋体" w:cs="宋体"/>
                <w:color w:val="auto"/>
                <w:sz w:val="24"/>
              </w:rPr>
            </w:pPr>
            <w:sdt>
              <w:sdtPr>
                <w:rPr>
                  <w:rFonts w:hint="eastAsia" w:ascii="宋体" w:hAnsi="宋体" w:cs="宋体"/>
                  <w:color w:val="auto"/>
                  <w:kern w:val="0"/>
                  <w:sz w:val="24"/>
                </w:rPr>
                <w:id w:val="14745968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不组织。</w:t>
            </w:r>
          </w:p>
          <w:p w14:paraId="639F91E2">
            <w:pPr>
              <w:keepNext w:val="0"/>
              <w:keepLines w:val="0"/>
              <w:pageBreakBefore w:val="0"/>
              <w:kinsoku/>
              <w:wordWrap/>
              <w:overflowPunct/>
              <w:topLinePunct w:val="0"/>
              <w:bidi w:val="0"/>
              <w:adjustRightInd/>
              <w:snapToGrid/>
              <w:spacing w:line="360" w:lineRule="auto"/>
              <w:rPr>
                <w:color w:val="auto"/>
                <w:highlight w:val="none"/>
              </w:rPr>
            </w:pPr>
            <w:sdt>
              <w:sdtPr>
                <w:rPr>
                  <w:rFonts w:hint="eastAsia" w:ascii="宋体" w:hAnsi="宋体" w:cs="宋体"/>
                  <w:color w:val="auto"/>
                  <w:kern w:val="0"/>
                  <w:sz w:val="24"/>
                </w:rPr>
                <w:id w:val="147454526"/>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14:paraId="2D056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1E0CAE">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6</w:t>
            </w:r>
          </w:p>
        </w:tc>
        <w:tc>
          <w:tcPr>
            <w:tcW w:w="1843" w:type="dxa"/>
            <w:tcBorders>
              <w:tl2br w:val="nil"/>
              <w:tr2bl w:val="nil"/>
            </w:tcBorders>
            <w:vAlign w:val="center"/>
          </w:tcPr>
          <w:p w14:paraId="3CA6B2B2">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样品提供</w:t>
            </w:r>
          </w:p>
        </w:tc>
        <w:tc>
          <w:tcPr>
            <w:tcW w:w="6095" w:type="dxa"/>
            <w:tcBorders>
              <w:tl2br w:val="nil"/>
              <w:tr2bl w:val="nil"/>
            </w:tcBorders>
            <w:vAlign w:val="center"/>
          </w:tcPr>
          <w:p w14:paraId="74D05623">
            <w:pPr>
              <w:keepNext w:val="0"/>
              <w:keepLines w:val="0"/>
              <w:pageBreakBefore w:val="0"/>
              <w:kinsoku/>
              <w:wordWrap/>
              <w:overflowPunct/>
              <w:topLinePunct w:val="0"/>
              <w:bidi w:val="0"/>
              <w:adjustRightInd/>
              <w:snapToGrid/>
              <w:spacing w:line="360" w:lineRule="auto"/>
              <w:rPr>
                <w:rFonts w:ascii="宋体" w:hAnsi="宋体" w:cs="宋体"/>
                <w:color w:val="auto"/>
                <w:sz w:val="24"/>
              </w:rPr>
            </w:pPr>
            <w:sdt>
              <w:sdtPr>
                <w:rPr>
                  <w:rFonts w:hint="eastAsia" w:ascii="宋体" w:hAnsi="宋体" w:cs="宋体"/>
                  <w:color w:val="auto"/>
                  <w:kern w:val="0"/>
                  <w:sz w:val="24"/>
                </w:rPr>
                <w:id w:val="1474690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不要求提供。</w:t>
            </w:r>
          </w:p>
          <w:p w14:paraId="532AC339">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sdt>
              <w:sdtPr>
                <w:rPr>
                  <w:rFonts w:hint="eastAsia" w:ascii="宋体" w:hAnsi="宋体" w:cs="宋体"/>
                  <w:color w:val="auto"/>
                  <w:kern w:val="0"/>
                  <w:sz w:val="24"/>
                </w:rPr>
                <w:id w:val="14747235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B要求提供，</w:t>
            </w:r>
          </w:p>
          <w:p w14:paraId="4FEB880B">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14:paraId="15B41C01">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4AB06D59">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评标办法</w:t>
            </w:r>
            <w:r>
              <w:rPr>
                <w:rFonts w:hint="eastAsia" w:ascii="宋体" w:hAnsi="宋体" w:cs="宋体"/>
                <w:color w:val="auto"/>
                <w:kern w:val="0"/>
                <w:sz w:val="24"/>
              </w:rPr>
              <w:t>；</w:t>
            </w:r>
          </w:p>
          <w:p w14:paraId="76877583">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147474162"/>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14745595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7F49A5E2">
            <w:pPr>
              <w:keepNext w:val="0"/>
              <w:keepLines w:val="0"/>
              <w:pageBreakBefore w:val="0"/>
              <w:kinsoku/>
              <w:wordWrap/>
              <w:overflowPunct/>
              <w:topLinePunct w:val="0"/>
              <w:bidi w:val="0"/>
              <w:adjustRightInd/>
              <w:snapToGrid/>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14:paraId="54F6C5C1">
            <w:pPr>
              <w:keepNext w:val="0"/>
              <w:keepLines w:val="0"/>
              <w:pageBreakBefore w:val="0"/>
              <w:kinsoku/>
              <w:wordWrap/>
              <w:overflowPunct/>
              <w:topLinePunct w:val="0"/>
              <w:bidi w:val="0"/>
              <w:adjustRightInd/>
              <w:snapToGrid/>
              <w:spacing w:line="360" w:lineRule="auto"/>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采购活动结束后，对于未中标人提供的样品，采购人、</w:t>
            </w:r>
            <w:r>
              <w:rPr>
                <w:rFonts w:hint="eastAsia" w:ascii="宋体" w:hAnsi="宋体" w:cs="宋体"/>
                <w:color w:val="auto"/>
                <w:sz w:val="24"/>
                <w:lang w:eastAsia="zh-CN"/>
              </w:rPr>
              <w:t>采购代理机构</w:t>
            </w:r>
            <w:r>
              <w:rPr>
                <w:rFonts w:hint="eastAsia" w:ascii="宋体" w:hAnsi="宋体" w:cs="宋体"/>
                <w:color w:val="auto"/>
                <w:sz w:val="24"/>
              </w:rPr>
              <w:t>将通知未中标人在规定的时间内取回，逾期未取回的，采购人、</w:t>
            </w:r>
            <w:r>
              <w:rPr>
                <w:rFonts w:hint="eastAsia" w:ascii="宋体" w:hAnsi="宋体" w:cs="宋体"/>
                <w:color w:val="auto"/>
                <w:sz w:val="24"/>
                <w:lang w:eastAsia="zh-CN"/>
              </w:rPr>
              <w:t>采购代理机构</w:t>
            </w:r>
            <w:r>
              <w:rPr>
                <w:rFonts w:hint="eastAsia" w:ascii="宋体" w:hAnsi="宋体" w:cs="宋体"/>
                <w:color w:val="auto"/>
                <w:sz w:val="24"/>
              </w:rPr>
              <w:t>不负保管义务；对于中标人提供的样品，采购人将进行保管、封存，并作为履约验收的参考。</w:t>
            </w:r>
          </w:p>
          <w:p w14:paraId="432181C0">
            <w:pPr>
              <w:keepNext w:val="0"/>
              <w:keepLines w:val="0"/>
              <w:pageBreakBefore w:val="0"/>
              <w:kinsoku/>
              <w:wordWrap/>
              <w:overflowPunct/>
              <w:topLinePunct w:val="0"/>
              <w:bidi w:val="0"/>
              <w:adjustRightInd/>
              <w:snapToGrid/>
              <w:spacing w:line="360" w:lineRule="auto"/>
              <w:rPr>
                <w:rFonts w:ascii="宋体" w:hAnsi="宋体" w:cs="宋体"/>
                <w:b/>
                <w:color w:val="auto"/>
                <w:sz w:val="24"/>
                <w:highlight w:val="none"/>
              </w:rPr>
            </w:pPr>
            <w:r>
              <w:rPr>
                <w:rFonts w:hint="eastAsia" w:ascii="宋体" w:hAnsi="宋体" w:cs="宋体"/>
                <w:color w:val="auto"/>
                <w:sz w:val="24"/>
              </w:rPr>
              <w:t>（7）制作、运输、安装和保管样品所发生的一切费用由投标人自理。</w:t>
            </w:r>
          </w:p>
        </w:tc>
      </w:tr>
      <w:tr w14:paraId="3FF4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0" w:hRule="atLeast"/>
        </w:trPr>
        <w:tc>
          <w:tcPr>
            <w:tcW w:w="629" w:type="dxa"/>
            <w:tcBorders>
              <w:tl2br w:val="nil"/>
              <w:tr2bl w:val="nil"/>
            </w:tcBorders>
            <w:vAlign w:val="center"/>
          </w:tcPr>
          <w:p w14:paraId="3EACFC02">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7</w:t>
            </w:r>
          </w:p>
        </w:tc>
        <w:tc>
          <w:tcPr>
            <w:tcW w:w="1843" w:type="dxa"/>
            <w:tcBorders>
              <w:tl2br w:val="nil"/>
              <w:tr2bl w:val="nil"/>
            </w:tcBorders>
            <w:vAlign w:val="center"/>
          </w:tcPr>
          <w:p w14:paraId="5C15880D">
            <w:pPr>
              <w:keepNext w:val="0"/>
              <w:keepLines w:val="0"/>
              <w:pageBreakBefore w:val="0"/>
              <w:kinsoku/>
              <w:wordWrap/>
              <w:overflowPunct/>
              <w:topLinePunct w:val="0"/>
              <w:bidi w:val="0"/>
              <w:adjustRightInd/>
              <w:snapToGrid/>
              <w:spacing w:line="360" w:lineRule="auto"/>
              <w:jc w:val="center"/>
              <w:rPr>
                <w:rFonts w:ascii="宋体" w:hAnsi="宋体" w:cs="宋体"/>
                <w:bCs/>
                <w:color w:val="auto"/>
                <w:sz w:val="24"/>
                <w:highlight w:val="none"/>
              </w:rPr>
            </w:pPr>
            <w:r>
              <w:rPr>
                <w:rFonts w:hint="eastAsia" w:ascii="宋体" w:hAnsi="宋体" w:cs="宋体"/>
                <w:b/>
                <w:color w:val="auto"/>
                <w:sz w:val="24"/>
              </w:rPr>
              <w:t>方案讲解演示</w:t>
            </w:r>
          </w:p>
        </w:tc>
        <w:tc>
          <w:tcPr>
            <w:tcW w:w="6095" w:type="dxa"/>
            <w:tcBorders>
              <w:tl2br w:val="nil"/>
              <w:tr2bl w:val="nil"/>
            </w:tcBorders>
            <w:vAlign w:val="center"/>
          </w:tcPr>
          <w:p w14:paraId="65D3B03C">
            <w:pPr>
              <w:keepNext w:val="0"/>
              <w:keepLines w:val="0"/>
              <w:pageBreakBefore w:val="0"/>
              <w:kinsoku/>
              <w:wordWrap/>
              <w:overflowPunct/>
              <w:topLinePunct w:val="0"/>
              <w:bidi w:val="0"/>
              <w:adjustRightInd/>
              <w:snapToGrid/>
              <w:spacing w:line="360" w:lineRule="auto"/>
              <w:rPr>
                <w:rFonts w:ascii="宋体" w:hAnsi="宋体" w:cs="宋体"/>
                <w:color w:val="auto"/>
                <w:sz w:val="24"/>
              </w:rPr>
            </w:pPr>
            <w:sdt>
              <w:sdtPr>
                <w:rPr>
                  <w:rFonts w:hint="eastAsia" w:ascii="宋体" w:hAnsi="宋体" w:cs="宋体"/>
                  <w:color w:val="auto"/>
                  <w:kern w:val="0"/>
                  <w:sz w:val="24"/>
                </w:rPr>
                <w:id w:val="14746369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不组织。</w:t>
            </w:r>
          </w:p>
          <w:p w14:paraId="1868C4F4">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sdt>
              <w:sdtPr>
                <w:rPr>
                  <w:rFonts w:hint="eastAsia" w:ascii="宋体" w:hAnsi="宋体" w:cs="宋体"/>
                  <w:color w:val="auto"/>
                  <w:kern w:val="0"/>
                  <w:sz w:val="24"/>
                </w:rPr>
                <w:id w:val="14746409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p>
          <w:p w14:paraId="7ED47419">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w:t>
            </w:r>
            <w:r>
              <w:rPr>
                <w:rFonts w:hint="eastAsia" w:ascii="宋体" w:hAnsi="宋体" w:cs="宋体"/>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分钟，讲解次序以投标文件解密时间先后次序为准，讲解演示人员不超过</w:t>
            </w:r>
            <w:r>
              <w:rPr>
                <w:rFonts w:hint="eastAsia" w:ascii="宋体" w:hAnsi="宋体" w:cs="宋体"/>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人。讲解演示结束后按要求解答评标委员会提问。</w:t>
            </w:r>
          </w:p>
          <w:p w14:paraId="54C19471">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0EA76AFB">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方式一：政采云平台在线讲解演示。政采云平台在线讲解需投标人根据政采云平台操作要求做好准备工作，提前完善软硬件配置环境。</w:t>
            </w:r>
          </w:p>
          <w:p w14:paraId="10C260D2">
            <w:pPr>
              <w:keepNext w:val="0"/>
              <w:keepLines w:val="0"/>
              <w:pageBreakBefore w:val="0"/>
              <w:kinsoku/>
              <w:wordWrap/>
              <w:overflowPunct/>
              <w:topLinePunct w:val="0"/>
              <w:bidi w:val="0"/>
              <w:adjustRightInd/>
              <w:snapToGrid/>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kern w:val="0"/>
                <w:sz w:val="24"/>
                <w:u w:val="single"/>
              </w:rPr>
              <w:t xml:space="preserve">     </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14:paraId="4B1A64B9">
            <w:pPr>
              <w:keepNext w:val="0"/>
              <w:keepLines w:val="0"/>
              <w:pageBreakBefore w:val="0"/>
              <w:kinsoku/>
              <w:wordWrap/>
              <w:overflowPunct/>
              <w:topLinePunct w:val="0"/>
              <w:bidi w:val="0"/>
              <w:adjustRightInd/>
              <w:snapToGrid/>
              <w:spacing w:line="360" w:lineRule="auto"/>
              <w:rPr>
                <w:rFonts w:ascii="宋体" w:hAnsi="宋体" w:cs="宋体"/>
                <w:b/>
                <w:color w:val="auto"/>
                <w:kern w:val="0"/>
                <w:sz w:val="24"/>
                <w:highlight w:val="none"/>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66CC0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36E3913F">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8</w:t>
            </w:r>
          </w:p>
        </w:tc>
        <w:tc>
          <w:tcPr>
            <w:tcW w:w="1843" w:type="dxa"/>
            <w:vMerge w:val="restart"/>
            <w:tcBorders>
              <w:tl2br w:val="nil"/>
              <w:tr2bl w:val="nil"/>
            </w:tcBorders>
            <w:vAlign w:val="center"/>
          </w:tcPr>
          <w:p w14:paraId="5462F29D">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投标人应当提供的资格、资信证明文件</w:t>
            </w:r>
          </w:p>
        </w:tc>
        <w:tc>
          <w:tcPr>
            <w:tcW w:w="6095" w:type="dxa"/>
            <w:tcBorders>
              <w:tl2br w:val="nil"/>
              <w:tr2bl w:val="nil"/>
            </w:tcBorders>
            <w:vAlign w:val="center"/>
          </w:tcPr>
          <w:p w14:paraId="347D5E57">
            <w:pPr>
              <w:keepNext w:val="0"/>
              <w:keepLines w:val="0"/>
              <w:pageBreakBefore w:val="0"/>
              <w:kinsoku/>
              <w:wordWrap/>
              <w:overflowPunct/>
              <w:topLinePunct w:val="0"/>
              <w:bidi w:val="0"/>
              <w:adjustRightInd/>
              <w:snapToGrid/>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14:paraId="3BD98291">
            <w:pPr>
              <w:keepNext w:val="0"/>
              <w:keepLines w:val="0"/>
              <w:pageBreakBefore w:val="0"/>
              <w:kinsoku/>
              <w:wordWrap/>
              <w:overflowPunct/>
              <w:topLinePunct w:val="0"/>
              <w:bidi w:val="0"/>
              <w:adjustRightInd/>
              <w:snapToGrid/>
              <w:spacing w:line="360" w:lineRule="auto"/>
              <w:rPr>
                <w:rFonts w:ascii="宋体" w:hAnsi="宋体" w:cs="宋体"/>
                <w:snapToGrid w:val="0"/>
                <w:color w:val="auto"/>
                <w:kern w:val="0"/>
                <w:szCs w:val="21"/>
                <w:highlight w:val="none"/>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14:paraId="6FF1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4" w:hRule="atLeast"/>
        </w:trPr>
        <w:tc>
          <w:tcPr>
            <w:tcW w:w="629" w:type="dxa"/>
            <w:vMerge w:val="continue"/>
            <w:tcBorders>
              <w:tl2br w:val="nil"/>
              <w:tr2bl w:val="nil"/>
            </w:tcBorders>
            <w:vAlign w:val="center"/>
          </w:tcPr>
          <w:p w14:paraId="087C1AAD">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4F4D216F">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17A1AF82">
            <w:pPr>
              <w:keepNext w:val="0"/>
              <w:keepLines w:val="0"/>
              <w:pageBreakBefore w:val="0"/>
              <w:kinsoku/>
              <w:wordWrap/>
              <w:overflowPunct/>
              <w:topLinePunct w:val="0"/>
              <w:bidi w:val="0"/>
              <w:adjustRightInd/>
              <w:snapToGrid/>
              <w:spacing w:line="360" w:lineRule="auto"/>
              <w:rPr>
                <w:rFonts w:ascii="宋体" w:hAnsi="宋体" w:cs="宋体"/>
                <w:color w:val="auto"/>
                <w:sz w:val="24"/>
                <w:highlight w:val="none"/>
              </w:rPr>
            </w:pPr>
            <w:r>
              <w:rPr>
                <w:rFonts w:hint="eastAsia" w:ascii="宋体" w:hAnsi="宋体" w:cs="宋体"/>
                <w:color w:val="auto"/>
                <w:sz w:val="24"/>
              </w:rPr>
              <w:t>（2）资信证明文件：根据招标文件第四部分评标标准提供。</w:t>
            </w:r>
          </w:p>
        </w:tc>
      </w:tr>
      <w:tr w14:paraId="5B708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7C228BD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rPr>
              <w:t>9</w:t>
            </w:r>
          </w:p>
        </w:tc>
        <w:tc>
          <w:tcPr>
            <w:tcW w:w="1843" w:type="dxa"/>
            <w:tcBorders>
              <w:tl2br w:val="nil"/>
              <w:tr2bl w:val="nil"/>
            </w:tcBorders>
            <w:vAlign w:val="center"/>
          </w:tcPr>
          <w:p w14:paraId="796446AF">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节能产品、环境标志产品</w:t>
            </w:r>
          </w:p>
        </w:tc>
        <w:tc>
          <w:tcPr>
            <w:tcW w:w="6095" w:type="dxa"/>
            <w:tcBorders>
              <w:tl2br w:val="nil"/>
              <w:tr2bl w:val="nil"/>
            </w:tcBorders>
            <w:vAlign w:val="center"/>
          </w:tcPr>
          <w:p w14:paraId="0F262FB7">
            <w:pPr>
              <w:keepNext w:val="0"/>
              <w:keepLines w:val="0"/>
              <w:pageBreakBefore w:val="0"/>
              <w:kinsoku/>
              <w:wordWrap/>
              <w:overflowPunct/>
              <w:topLinePunct w:val="0"/>
              <w:bidi w:val="0"/>
              <w:adjustRightInd/>
              <w:snapToGrid/>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5D33AFF">
            <w:pPr>
              <w:pStyle w:val="80"/>
              <w:keepNext w:val="0"/>
              <w:keepLines w:val="0"/>
              <w:pageBreakBefore w:val="0"/>
              <w:kinsoku/>
              <w:wordWrap/>
              <w:overflowPunct/>
              <w:topLinePunct w:val="0"/>
              <w:bidi w:val="0"/>
              <w:adjustRightInd/>
              <w:snapToGrid/>
              <w:spacing w:line="360" w:lineRule="auto"/>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02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01010A3A">
            <w:pPr>
              <w:pStyle w:val="80"/>
              <w:keepNext w:val="0"/>
              <w:keepLines w:val="0"/>
              <w:pageBreakBefore w:val="0"/>
              <w:kinsoku/>
              <w:wordWrap/>
              <w:overflowPunct/>
              <w:topLinePunct w:val="0"/>
              <w:bidi w:val="0"/>
              <w:adjustRightInd/>
              <w:snapToGrid/>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5C948F3C">
            <w:pPr>
              <w:pStyle w:val="80"/>
              <w:keepNext w:val="0"/>
              <w:keepLines w:val="0"/>
              <w:pageBreakBefore w:val="0"/>
              <w:kinsoku/>
              <w:wordWrap/>
              <w:overflowPunct/>
              <w:topLinePunct w:val="0"/>
              <w:bidi w:val="0"/>
              <w:adjustRightInd/>
              <w:snapToGrid/>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p>
          <w:p w14:paraId="15014BA7">
            <w:pPr>
              <w:pStyle w:val="80"/>
              <w:keepNext w:val="0"/>
              <w:keepLines w:val="0"/>
              <w:pageBreakBefore w:val="0"/>
              <w:kinsoku/>
              <w:wordWrap/>
              <w:overflowPunct/>
              <w:topLinePunct w:val="0"/>
              <w:bidi w:val="0"/>
              <w:adjustRightInd/>
              <w:snapToGrid/>
              <w:spacing w:line="360" w:lineRule="auto"/>
              <w:ind w:firstLine="480" w:firstLineChars="200"/>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☑无</w:t>
            </w:r>
          </w:p>
        </w:tc>
      </w:tr>
      <w:tr w14:paraId="3025C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2A7F0650">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10</w:t>
            </w:r>
          </w:p>
        </w:tc>
        <w:tc>
          <w:tcPr>
            <w:tcW w:w="1843" w:type="dxa"/>
            <w:tcBorders>
              <w:tl2br w:val="nil"/>
              <w:tr2bl w:val="nil"/>
            </w:tcBorders>
            <w:vAlign w:val="center"/>
          </w:tcPr>
          <w:p w14:paraId="25DED446">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报价要求</w:t>
            </w:r>
          </w:p>
        </w:tc>
        <w:tc>
          <w:tcPr>
            <w:tcW w:w="6095" w:type="dxa"/>
            <w:tcBorders>
              <w:tl2br w:val="nil"/>
              <w:tr2bl w:val="nil"/>
            </w:tcBorders>
            <w:vAlign w:val="center"/>
          </w:tcPr>
          <w:p w14:paraId="05C8C613">
            <w:pPr>
              <w:keepNext w:val="0"/>
              <w:keepLines w:val="0"/>
              <w:pageBreakBefore w:val="0"/>
              <w:kinsoku/>
              <w:wordWrap/>
              <w:overflowPunct/>
              <w:topLinePunct w:val="0"/>
              <w:bidi w:val="0"/>
              <w:adjustRightInd/>
              <w:snapToGrid/>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w:t>
            </w:r>
            <w:r>
              <w:rPr>
                <w:rFonts w:hint="eastAsia" w:ascii="宋体" w:hAnsi="宋体" w:cs="宋体"/>
                <w:color w:val="auto"/>
                <w:kern w:val="0"/>
                <w:sz w:val="24"/>
                <w:lang w:val="en-US" w:eastAsia="zh-CN"/>
              </w:rPr>
              <w:t>1</w:t>
            </w:r>
            <w:r>
              <w:rPr>
                <w:rFonts w:hint="eastAsia" w:ascii="宋体" w:hAnsi="宋体" w:cs="宋体"/>
                <w:color w:val="auto"/>
                <w:kern w:val="0"/>
                <w:sz w:val="24"/>
                <w:lang w:val="zh-CN"/>
              </w:rPr>
              <w:t>）有关本项目实施所需的所有费用（含税费）均计入报价。</w:t>
            </w:r>
            <w:r>
              <w:rPr>
                <w:rFonts w:hint="eastAsia" w:ascii="宋体" w:hAnsi="宋体" w:cs="宋体"/>
                <w:b/>
                <w:bCs/>
                <w:color w:val="auto"/>
                <w:kern w:val="0"/>
                <w:sz w:val="24"/>
                <w:lang w:val="zh-CN"/>
              </w:rPr>
              <w:t>投标文件</w:t>
            </w:r>
            <w:r>
              <w:rPr>
                <w:rFonts w:hint="eastAsia" w:ascii="宋体" w:hAnsi="宋体" w:cs="宋体"/>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w:t>
            </w:r>
            <w:r>
              <w:rPr>
                <w:rFonts w:hint="eastAsia" w:ascii="宋体" w:hAnsi="宋体" w:cs="宋体"/>
                <w:b/>
                <w:color w:val="auto"/>
                <w:kern w:val="0"/>
                <w:sz w:val="24"/>
                <w:lang w:val="zh-CN"/>
              </w:rPr>
              <w:t>提醒：验收时检测费用由采购人承担，不包含在投标总价中。</w:t>
            </w:r>
          </w:p>
          <w:p w14:paraId="5EA07D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Autospacing="0" w:line="360" w:lineRule="auto"/>
              <w:ind w:left="0" w:right="0" w:firstLine="0" w:firstLineChars="0"/>
              <w:jc w:val="both"/>
              <w:textAlignment w:val="baseline"/>
              <w:rPr>
                <w:rFonts w:hint="default" w:ascii="Calibri" w:hAnsi="Calibri" w:cs="Calibri"/>
                <w:b/>
                <w:bCs/>
                <w:i w:val="0"/>
                <w:iCs w:val="0"/>
                <w:caps w:val="0"/>
                <w:color w:val="auto"/>
                <w:spacing w:val="0"/>
                <w:sz w:val="21"/>
                <w:szCs w:val="21"/>
                <w:highlight w:val="none"/>
                <w:lang w:val="en-US"/>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r>
              <w:rPr>
                <w:rFonts w:hint="eastAsia" w:ascii="宋体" w:hAnsi="宋体" w:cs="宋体"/>
                <w:b/>
                <w:bCs/>
                <w:i/>
                <w:iCs/>
                <w:caps w:val="0"/>
                <w:color w:val="auto"/>
                <w:spacing w:val="0"/>
                <w:w w:val="100"/>
                <w:kern w:val="0"/>
                <w:sz w:val="24"/>
                <w:szCs w:val="24"/>
                <w:highlight w:val="none"/>
                <w:shd w:val="clear" w:fill="FFFFFF"/>
                <w:vertAlign w:val="baseline"/>
                <w:lang w:val="en-US" w:eastAsia="zh-CN" w:bidi="ar"/>
              </w:rPr>
              <w:t>（本项目不适用该条款）</w:t>
            </w:r>
          </w:p>
          <w:p w14:paraId="4EB985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Autospacing="0" w:line="360" w:lineRule="auto"/>
              <w:ind w:left="0" w:right="0"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w:t>
            </w:r>
            <w:bookmarkStart w:id="0" w:name="_GoBack"/>
            <w:bookmarkEnd w:id="0"/>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24C88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Autospacing="0" w:line="360"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3BCC2CC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22352ECD">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0FD8BF66">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注：采购人可以结合具体项目实际情况，提高上述第1项至第3项中启动异常低价投标（响应）审查的数值标准，并在招标文件中予以明确，但是最高不得超过65%。</w:t>
            </w:r>
          </w:p>
          <w:p w14:paraId="62F1D5D6">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48459DB1">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）投标报价出现下列情形的，投标无效：</w:t>
            </w:r>
          </w:p>
          <w:p w14:paraId="49BB4A13">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241" w:firstLineChars="10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投标文件出现不是唯一的、有选择性投标报价的；</w:t>
            </w:r>
          </w:p>
          <w:p w14:paraId="06D780EB">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241" w:firstLineChars="10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投标报价超过招标文件中规定的预算金额或者最高限价的；</w:t>
            </w:r>
          </w:p>
          <w:p w14:paraId="2FBC3EA8">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241" w:firstLineChars="100"/>
              <w:jc w:val="both"/>
              <w:textAlignment w:val="baseline"/>
              <w:rPr>
                <w:rFonts w:hint="eastAsia" w:ascii="宋体" w:hAnsi="宋体" w:eastAsia="宋体" w:cs="宋体"/>
                <w:b/>
                <w:bCs/>
                <w:i/>
                <w:iCs/>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eastAsia="宋体" w:cs="宋体"/>
                <w:b/>
                <w:color w:val="auto"/>
                <w:sz w:val="24"/>
                <w:szCs w:val="21"/>
                <w:highlight w:val="none"/>
                <w:lang w:eastAsia="zh-CN"/>
              </w:rPr>
              <w:t>；</w:t>
            </w:r>
            <w:r>
              <w:rPr>
                <w:rFonts w:hint="eastAsia" w:ascii="宋体" w:hAnsi="宋体" w:cs="宋体"/>
                <w:b/>
                <w:bCs/>
                <w:i/>
                <w:iCs/>
                <w:caps w:val="0"/>
                <w:color w:val="auto"/>
                <w:spacing w:val="0"/>
                <w:w w:val="100"/>
                <w:kern w:val="0"/>
                <w:sz w:val="24"/>
                <w:szCs w:val="24"/>
                <w:highlight w:val="none"/>
                <w:shd w:val="clear" w:fill="FFFFFF"/>
                <w:vertAlign w:val="baseline"/>
                <w:lang w:val="en-US" w:eastAsia="zh-CN" w:bidi="ar"/>
              </w:rPr>
              <w:t>（本项目不适用该条款）</w:t>
            </w:r>
          </w:p>
          <w:p w14:paraId="2439FAB2">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241" w:firstLineChars="100"/>
              <w:jc w:val="both"/>
              <w:textAlignment w:val="baseline"/>
              <w:rPr>
                <w:rFonts w:ascii="宋体" w:hAnsi="宋体" w:cs="宋体"/>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投标人对根据修正原则修正后的报价不确认的。</w:t>
            </w:r>
          </w:p>
        </w:tc>
      </w:tr>
      <w:tr w14:paraId="19AB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13A16553">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11</w:t>
            </w:r>
          </w:p>
        </w:tc>
        <w:tc>
          <w:tcPr>
            <w:tcW w:w="1843" w:type="dxa"/>
            <w:tcBorders>
              <w:tl2br w:val="nil"/>
              <w:tr2bl w:val="nil"/>
            </w:tcBorders>
            <w:vAlign w:val="center"/>
          </w:tcPr>
          <w:p w14:paraId="1263A96F">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中小企业信用融资</w:t>
            </w:r>
          </w:p>
        </w:tc>
        <w:tc>
          <w:tcPr>
            <w:tcW w:w="6095" w:type="dxa"/>
            <w:tcBorders>
              <w:tl2br w:val="nil"/>
              <w:tr2bl w:val="nil"/>
            </w:tcBorders>
            <w:vAlign w:val="center"/>
          </w:tcPr>
          <w:p w14:paraId="78BECE19">
            <w:pPr>
              <w:keepNext w:val="0"/>
              <w:keepLines w:val="0"/>
              <w:pageBreakBefore w:val="0"/>
              <w:kinsoku/>
              <w:wordWrap/>
              <w:overflowPunct/>
              <w:topLinePunct w:val="0"/>
              <w:bidi w:val="0"/>
              <w:adjustRightInd/>
              <w:snapToGrid/>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07B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22016CB4">
            <w:pPr>
              <w:keepNext w:val="0"/>
              <w:keepLines w:val="0"/>
              <w:pageBreakBefore w:val="0"/>
              <w:kinsoku/>
              <w:wordWrap/>
              <w:overflowPunct/>
              <w:topLinePunct w:val="0"/>
              <w:bidi w:val="0"/>
              <w:adjustRightInd/>
              <w:snapToGrid/>
              <w:spacing w:line="360" w:lineRule="auto"/>
              <w:jc w:val="center"/>
              <w:rPr>
                <w:rFonts w:ascii="宋体" w:hAnsi="宋体" w:cs="宋体"/>
                <w:color w:val="auto"/>
                <w:sz w:val="24"/>
                <w:highlight w:val="none"/>
              </w:rPr>
            </w:pPr>
            <w:r>
              <w:rPr>
                <w:rFonts w:hint="eastAsia" w:ascii="宋体" w:hAnsi="宋体" w:cs="宋体"/>
                <w:color w:val="auto"/>
                <w:sz w:val="24"/>
              </w:rPr>
              <w:t>12</w:t>
            </w:r>
          </w:p>
        </w:tc>
        <w:tc>
          <w:tcPr>
            <w:tcW w:w="1843" w:type="dxa"/>
            <w:tcBorders>
              <w:tl2br w:val="nil"/>
              <w:tr2bl w:val="nil"/>
            </w:tcBorders>
            <w:vAlign w:val="center"/>
          </w:tcPr>
          <w:p w14:paraId="3E942C99">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ascii="宋体" w:hAnsi="宋体" w:cs="宋体"/>
                <w:b/>
                <w:color w:val="auto"/>
                <w:sz w:val="24"/>
              </w:rPr>
              <w:t xml:space="preserve">备份投标文件送达地点和签收人员 </w:t>
            </w:r>
          </w:p>
        </w:tc>
        <w:tc>
          <w:tcPr>
            <w:tcW w:w="6095" w:type="dxa"/>
            <w:tcBorders>
              <w:tl2br w:val="nil"/>
              <w:tr2bl w:val="nil"/>
            </w:tcBorders>
            <w:vAlign w:val="center"/>
          </w:tcPr>
          <w:p w14:paraId="3B5662EC">
            <w:pPr>
              <w:pStyle w:val="32"/>
              <w:keepNext w:val="0"/>
              <w:keepLines w:val="0"/>
              <w:pageBreakBefore w:val="0"/>
              <w:kinsoku/>
              <w:wordWrap/>
              <w:overflowPunct/>
              <w:topLinePunct w:val="0"/>
              <w:bidi w:val="0"/>
              <w:adjustRightInd/>
              <w:snapToGrid/>
              <w:spacing w:line="360" w:lineRule="auto"/>
              <w:rPr>
                <w:rFonts w:hAnsi="宋体" w:cs="宋体"/>
                <w:color w:val="auto"/>
                <w:kern w:val="28"/>
                <w:sz w:val="24"/>
                <w:highlight w:val="none"/>
              </w:rPr>
            </w:pPr>
            <w:r>
              <w:rPr>
                <w:rFonts w:hint="eastAsia" w:hAnsi="宋体" w:cs="宋体"/>
                <w:color w:val="auto"/>
                <w:kern w:val="28"/>
                <w:sz w:val="24"/>
                <w:szCs w:val="24"/>
              </w:rPr>
              <w:t>备份投标文件送达地点：</w:t>
            </w:r>
            <w:r>
              <w:rPr>
                <w:rFonts w:hint="eastAsia" w:hAnsi="宋体" w:cs="宋体"/>
                <w:color w:val="auto"/>
                <w:kern w:val="28"/>
                <w:sz w:val="24"/>
                <w:szCs w:val="24"/>
                <w:u w:val="single"/>
              </w:rPr>
              <w:t>杭州市西湖区教工路199号保亭综合楼308室</w:t>
            </w:r>
            <w:r>
              <w:rPr>
                <w:rFonts w:hint="eastAsia" w:hAnsi="宋体" w:cs="宋体"/>
                <w:color w:val="auto"/>
                <w:kern w:val="28"/>
                <w:sz w:val="24"/>
                <w:szCs w:val="24"/>
              </w:rPr>
              <w:t>；备份投标文件签收人员联系电话：</w:t>
            </w:r>
            <w:r>
              <w:rPr>
                <w:rFonts w:hint="eastAsia" w:hAnsi="宋体" w:cs="宋体"/>
                <w:color w:val="auto"/>
                <w:sz w:val="24"/>
                <w:u w:val="single"/>
              </w:rPr>
              <w:t xml:space="preserve"> </w:t>
            </w:r>
            <w:r>
              <w:rPr>
                <w:rFonts w:hint="eastAsia" w:hAnsi="宋体" w:cs="宋体"/>
                <w:sz w:val="24"/>
                <w:szCs w:val="24"/>
                <w:highlight w:val="none"/>
                <w:u w:val="single"/>
                <w:lang w:val="en-US" w:eastAsia="zh-CN"/>
              </w:rPr>
              <w:t>毛</w:t>
            </w:r>
            <w:r>
              <w:rPr>
                <w:rFonts w:hint="eastAsia" w:ascii="宋体" w:hAnsi="宋体" w:eastAsia="宋体" w:cs="宋体"/>
                <w:sz w:val="24"/>
                <w:szCs w:val="24"/>
                <w:highlight w:val="none"/>
                <w:u w:val="single"/>
                <w:lang w:eastAsia="zh-CN"/>
              </w:rPr>
              <w:t>工</w:t>
            </w:r>
            <w:r>
              <w:rPr>
                <w:rFonts w:hint="eastAsia" w:ascii="宋体" w:hAnsi="宋体" w:eastAsia="宋体" w:cs="宋体"/>
                <w:sz w:val="24"/>
                <w:szCs w:val="24"/>
                <w:highlight w:val="none"/>
                <w:u w:val="single"/>
                <w:lang w:val="en-US" w:eastAsia="zh-CN"/>
              </w:rPr>
              <w:t xml:space="preserve">  </w:t>
            </w:r>
            <w:r>
              <w:rPr>
                <w:rFonts w:hint="eastAsia" w:hAnsi="宋体" w:cs="宋体"/>
                <w:sz w:val="24"/>
                <w:szCs w:val="24"/>
                <w:highlight w:val="none"/>
                <w:u w:val="single"/>
                <w:lang w:val="en-US" w:eastAsia="zh-CN"/>
              </w:rPr>
              <w:t>15317012409</w:t>
            </w:r>
            <w:r>
              <w:rPr>
                <w:rFonts w:hint="eastAsia" w:hAnsi="宋体" w:cs="宋体"/>
                <w:color w:val="auto"/>
                <w:sz w:val="24"/>
                <w:u w:val="single"/>
              </w:rPr>
              <w:t xml:space="preserve"> </w:t>
            </w:r>
            <w:r>
              <w:rPr>
                <w:rFonts w:hint="eastAsia" w:hAnsi="宋体" w:cs="宋体"/>
                <w:color w:val="auto"/>
                <w:sz w:val="24"/>
                <w:szCs w:val="24"/>
              </w:rPr>
              <w:t>。</w:t>
            </w:r>
            <w:r>
              <w:rPr>
                <w:rFonts w:hint="eastAsia" w:hAnsi="宋体" w:cs="宋体"/>
                <w:b/>
                <w:color w:val="auto"/>
                <w:sz w:val="24"/>
                <w:szCs w:val="24"/>
              </w:rPr>
              <w:t>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不强制或变相强制投标人提交备份投标文件。</w:t>
            </w:r>
          </w:p>
        </w:tc>
      </w:tr>
      <w:tr w14:paraId="297AB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4310EF6C">
            <w:pPr>
              <w:keepNext w:val="0"/>
              <w:keepLines w:val="0"/>
              <w:pageBreakBefore w:val="0"/>
              <w:kinsoku/>
              <w:wordWrap/>
              <w:overflowPunct/>
              <w:topLinePunct w:val="0"/>
              <w:bidi w:val="0"/>
              <w:adjustRightInd/>
              <w:snapToGrid/>
              <w:spacing w:line="360" w:lineRule="auto"/>
              <w:jc w:val="center"/>
              <w:rPr>
                <w:rFonts w:hint="default" w:ascii="宋体" w:hAnsi="宋体" w:eastAsia="宋体" w:cs="宋体"/>
                <w:color w:val="auto"/>
                <w:sz w:val="24"/>
                <w:highlight w:val="none"/>
                <w:lang w:val="en" w:eastAsia="zh-CN"/>
              </w:rPr>
            </w:pPr>
            <w:r>
              <w:rPr>
                <w:rFonts w:hint="eastAsia" w:ascii="宋体" w:hAnsi="宋体" w:cs="宋体"/>
                <w:color w:val="auto"/>
                <w:sz w:val="24"/>
              </w:rPr>
              <w:t>13</w:t>
            </w:r>
          </w:p>
        </w:tc>
        <w:tc>
          <w:tcPr>
            <w:tcW w:w="1843" w:type="dxa"/>
            <w:vMerge w:val="restart"/>
            <w:tcBorders>
              <w:tl2br w:val="nil"/>
              <w:tr2bl w:val="nil"/>
            </w:tcBorders>
            <w:vAlign w:val="center"/>
          </w:tcPr>
          <w:p w14:paraId="1F124B8B">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rPr>
              <w:t>特别说明</w:t>
            </w:r>
          </w:p>
        </w:tc>
        <w:tc>
          <w:tcPr>
            <w:tcW w:w="6095" w:type="dxa"/>
            <w:tcBorders>
              <w:tl2br w:val="nil"/>
              <w:tr2bl w:val="nil"/>
            </w:tcBorders>
            <w:vAlign w:val="center"/>
          </w:tcPr>
          <w:p w14:paraId="4D0BD5D2">
            <w:pPr>
              <w:keepNext w:val="0"/>
              <w:keepLines w:val="0"/>
              <w:pageBreakBefore w:val="0"/>
              <w:kinsoku/>
              <w:wordWrap/>
              <w:overflowPunct/>
              <w:topLinePunct w:val="0"/>
              <w:bidi w:val="0"/>
              <w:adjustRightInd/>
              <w:snapToGrid/>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2649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382AF19">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7FF263B6">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68007656">
            <w:pPr>
              <w:keepNext w:val="0"/>
              <w:keepLines w:val="0"/>
              <w:pageBreakBefore w:val="0"/>
              <w:kinsoku/>
              <w:wordWrap/>
              <w:overflowPunct/>
              <w:topLinePunct w:val="0"/>
              <w:bidi w:val="0"/>
              <w:adjustRightInd/>
              <w:snapToGrid/>
              <w:spacing w:line="360" w:lineRule="auto"/>
              <w:rPr>
                <w:rFonts w:hint="eastAsia" w:ascii="宋体" w:hAnsi="宋体" w:eastAsia="宋体" w:cs="宋体"/>
                <w:snapToGrid w:val="0"/>
                <w:color w:val="auto"/>
                <w:kern w:val="28"/>
                <w:sz w:val="24"/>
              </w:rPr>
            </w:pPr>
            <w:sdt>
              <w:sdtPr>
                <w:rPr>
                  <w:rFonts w:hint="eastAsia"/>
                </w:rPr>
                <w:id w:val="147474908"/>
                <w14:checkbox>
                  <w14:checked w14:val="0"/>
                  <w14:checkedState w14:val="00FE" w14:font="Wingdings"/>
                  <w14:uncheckedState w14:val="2610" w14:font="MS Gothic"/>
                </w14:checkbox>
              </w:sdtPr>
              <w:sdtEndPr>
                <w:rPr>
                  <w:rFonts w:hint="eastAsia" w:ascii="宋体" w:hAnsi="宋体" w:eastAsia="宋体" w:cs="宋体"/>
                  <w:snapToGrid w:val="0"/>
                  <w:color w:val="auto"/>
                  <w:kern w:val="28"/>
                  <w:sz w:val="24"/>
                </w:rPr>
              </w:sdtEndPr>
              <w:sdtContent>
                <w:r>
                  <w:rPr>
                    <w:rFonts w:hint="eastAsia" w:ascii="宋体" w:hAnsi="宋体" w:eastAsia="宋体" w:cs="宋体"/>
                    <w:snapToGrid w:val="0"/>
                    <w:color w:val="auto"/>
                    <w:kern w:val="28"/>
                    <w:sz w:val="24"/>
                  </w:rPr>
                  <w:t>☐</w:t>
                </w:r>
              </w:sdtContent>
            </w:sdt>
            <w:r>
              <w:rPr>
                <w:rFonts w:hint="eastAsia" w:ascii="宋体" w:hAnsi="宋体" w:eastAsia="宋体" w:cs="宋体"/>
                <w:snapToGrid w:val="0"/>
                <w:color w:val="auto"/>
                <w:kern w:val="28"/>
                <w:sz w:val="24"/>
              </w:rPr>
              <w:t>联合体投标的，联合体各方均需按招标文件第四部分评标标准要求提供资信证明文件，否则视为不符合相关要求。</w:t>
            </w:r>
          </w:p>
          <w:p w14:paraId="35150C25">
            <w:pPr>
              <w:spacing w:line="360" w:lineRule="auto"/>
              <w:rPr>
                <w:rFonts w:ascii="宋体" w:hAnsi="宋体" w:cs="宋体"/>
                <w:snapToGrid w:val="0"/>
                <w:color w:val="auto"/>
                <w:kern w:val="28"/>
                <w:sz w:val="24"/>
                <w:highlight w:val="none"/>
              </w:rPr>
            </w:pPr>
            <w:sdt>
              <w:sdtPr>
                <w:rPr>
                  <w:rFonts w:hint="eastAsia" w:ascii="宋体" w:hAnsi="宋体" w:eastAsia="宋体" w:cs="宋体"/>
                  <w:snapToGrid w:val="0"/>
                  <w:color w:val="auto"/>
                  <w:kern w:val="28"/>
                  <w:sz w:val="24"/>
                </w:rPr>
                <w:id w:val="147469083"/>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4"/>
                </w:rPr>
              </w:sdtEndPr>
              <w:sdtContent>
                <w:r>
                  <w:rPr>
                    <w:rFonts w:hint="eastAsia" w:ascii="宋体" w:hAnsi="宋体" w:eastAsia="宋体" w:cs="宋体"/>
                    <w:snapToGrid w:val="0"/>
                    <w:color w:val="auto"/>
                    <w:kern w:val="28"/>
                    <w:sz w:val="24"/>
                  </w:rPr>
                  <w:sym w:font="Wingdings" w:char="F0FE"/>
                </w:r>
              </w:sdtContent>
            </w:sdt>
            <w:r>
              <w:rPr>
                <w:rFonts w:hint="eastAsia" w:ascii="宋体" w:hAnsi="宋体" w:eastAsia="宋体" w:cs="宋体"/>
                <w:snapToGrid w:val="0"/>
                <w:color w:val="auto"/>
                <w:kern w:val="28"/>
                <w:sz w:val="24"/>
              </w:rPr>
              <w:t>联合体投标的，联合体中有一方或者联合体成员根据分工按招标文件第四部分评标标准要求提供资信证明文件的，视为符合了相关要求。</w:t>
            </w:r>
          </w:p>
        </w:tc>
      </w:tr>
      <w:tr w14:paraId="3C39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9293737">
            <w:pPr>
              <w:keepNext w:val="0"/>
              <w:keepLines w:val="0"/>
              <w:pageBreakBefore w:val="0"/>
              <w:kinsoku/>
              <w:wordWrap/>
              <w:overflowPunct/>
              <w:topLinePunct w:val="0"/>
              <w:bidi w:val="0"/>
              <w:adjustRightInd/>
              <w:snapToGrid/>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l2br w:val="nil"/>
              <w:tr2bl w:val="nil"/>
            </w:tcBorders>
            <w:vAlign w:val="center"/>
          </w:tcPr>
          <w:p w14:paraId="3C40A895">
            <w:pPr>
              <w:keepNext w:val="0"/>
              <w:keepLines w:val="0"/>
              <w:pageBreakBefore w:val="0"/>
              <w:kinsoku/>
              <w:wordWrap/>
              <w:overflowPunct/>
              <w:topLinePunct w:val="0"/>
              <w:bidi w:val="0"/>
              <w:adjustRightInd/>
              <w:snapToGrid/>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14:paraId="13895665">
            <w:pPr>
              <w:keepNext w:val="0"/>
              <w:keepLines w:val="0"/>
              <w:pageBreakBefore w:val="0"/>
              <w:kinsoku/>
              <w:wordWrap/>
              <w:overflowPunct/>
              <w:topLinePunct w:val="0"/>
              <w:bidi w:val="0"/>
              <w:adjustRightInd/>
              <w:snapToGrid/>
              <w:spacing w:line="360" w:lineRule="auto"/>
              <w:rPr>
                <w:rFonts w:hint="eastAsia" w:ascii="宋体" w:hAnsi="宋体" w:cs="Arial"/>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1ABF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315DC2D3">
            <w:pPr>
              <w:keepNext w:val="0"/>
              <w:keepLines w:val="0"/>
              <w:pageBreakBefore w:val="0"/>
              <w:kinsoku/>
              <w:wordWrap/>
              <w:overflowPunct/>
              <w:topLinePunct w:val="0"/>
              <w:bidi w:val="0"/>
              <w:adjustRightInd/>
              <w:snapToGrid/>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lang w:val="en-US" w:eastAsia="zh-CN"/>
              </w:rPr>
              <w:t>15</w:t>
            </w:r>
          </w:p>
        </w:tc>
        <w:tc>
          <w:tcPr>
            <w:tcW w:w="1843" w:type="dxa"/>
            <w:tcBorders>
              <w:tl2br w:val="nil"/>
              <w:tr2bl w:val="nil"/>
            </w:tcBorders>
            <w:vAlign w:val="center"/>
          </w:tcPr>
          <w:p w14:paraId="27C72A52">
            <w:pPr>
              <w:keepNext w:val="0"/>
              <w:keepLines w:val="0"/>
              <w:pageBreakBefore w:val="0"/>
              <w:kinsoku/>
              <w:wordWrap/>
              <w:overflowPunct/>
              <w:topLinePunct w:val="0"/>
              <w:bidi w:val="0"/>
              <w:adjustRightInd/>
              <w:snapToGrid/>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eastAsia="宋体" w:cs="宋体"/>
                <w:b/>
                <w:color w:val="auto"/>
                <w:spacing w:val="0"/>
                <w:w w:val="100"/>
                <w:sz w:val="24"/>
                <w:highlight w:val="none"/>
              </w:rPr>
              <w:t>采购代理服务费</w:t>
            </w:r>
          </w:p>
        </w:tc>
        <w:tc>
          <w:tcPr>
            <w:tcW w:w="6095" w:type="dxa"/>
            <w:tcBorders>
              <w:tl2br w:val="nil"/>
              <w:tr2bl w:val="nil"/>
            </w:tcBorders>
            <w:vAlign w:val="center"/>
          </w:tcPr>
          <w:p w14:paraId="5A4A68E0">
            <w:pPr>
              <w:keepNext w:val="0"/>
              <w:keepLines w:val="0"/>
              <w:pageBreakBefore w:val="0"/>
              <w:shd w:val="clear"/>
              <w:kinsoku/>
              <w:wordWrap/>
              <w:overflowPunct/>
              <w:topLinePunct w:val="0"/>
              <w:bidi w:val="0"/>
              <w:adjustRightInd/>
              <w:snapToGrid/>
              <w:spacing w:line="360" w:lineRule="auto"/>
              <w:rPr>
                <w:rFonts w:hint="eastAsia" w:ascii="宋体" w:hAnsi="宋体" w:cs="宋体"/>
                <w:snapToGrid w:val="0"/>
                <w:color w:val="auto"/>
                <w:kern w:val="28"/>
                <w:sz w:val="24"/>
                <w:highlight w:val="none"/>
              </w:rPr>
            </w:pPr>
            <w:r>
              <w:rPr>
                <w:rFonts w:hint="eastAsia" w:ascii="宋体" w:hAnsi="宋体" w:eastAsia="宋体" w:cs="宋体"/>
                <w:snapToGrid w:val="0"/>
                <w:color w:val="auto"/>
                <w:spacing w:val="0"/>
                <w:w w:val="100"/>
                <w:kern w:val="28"/>
                <w:sz w:val="24"/>
                <w:highlight w:val="none"/>
              </w:rPr>
              <w:t>本项目代理服务费</w:t>
            </w:r>
            <w:r>
              <w:rPr>
                <w:rFonts w:hint="eastAsia" w:ascii="宋体" w:hAnsi="宋体" w:cs="宋体"/>
                <w:snapToGrid w:val="0"/>
                <w:color w:val="auto"/>
                <w:kern w:val="28"/>
                <w:sz w:val="24"/>
                <w:highlight w:val="none"/>
                <w:lang w:val="en-US" w:eastAsia="zh-CN"/>
              </w:rPr>
              <w:t>按计价格【2002】1980号文件标准的50%</w:t>
            </w:r>
            <w:r>
              <w:rPr>
                <w:rFonts w:hint="eastAsia" w:ascii="宋体" w:hAnsi="宋体" w:eastAsia="宋体" w:cs="宋体"/>
                <w:snapToGrid w:val="0"/>
                <w:color w:val="auto"/>
                <w:spacing w:val="0"/>
                <w:w w:val="100"/>
                <w:kern w:val="28"/>
                <w:sz w:val="24"/>
                <w:highlight w:val="none"/>
              </w:rPr>
              <w:t>向</w:t>
            </w:r>
            <w:r>
              <w:rPr>
                <w:rFonts w:hint="eastAsia" w:ascii="宋体" w:hAnsi="宋体" w:eastAsia="宋体" w:cs="宋体"/>
                <w:snapToGrid w:val="0"/>
                <w:color w:val="auto"/>
                <w:spacing w:val="0"/>
                <w:w w:val="100"/>
                <w:kern w:val="28"/>
                <w:sz w:val="24"/>
                <w:highlight w:val="none"/>
                <w:lang w:eastAsia="zh-CN"/>
              </w:rPr>
              <w:t>成交供应商</w:t>
            </w:r>
            <w:r>
              <w:rPr>
                <w:rFonts w:hint="eastAsia" w:ascii="宋体" w:hAnsi="宋体" w:eastAsia="宋体" w:cs="宋体"/>
                <w:snapToGrid w:val="0"/>
                <w:color w:val="auto"/>
                <w:spacing w:val="0"/>
                <w:w w:val="100"/>
                <w:kern w:val="28"/>
                <w:sz w:val="24"/>
                <w:highlight w:val="none"/>
              </w:rPr>
              <w:t>收取</w:t>
            </w:r>
            <w:r>
              <w:rPr>
                <w:rFonts w:hint="eastAsia" w:ascii="宋体" w:hAnsi="宋体" w:cs="宋体"/>
                <w:snapToGrid w:val="0"/>
                <w:color w:val="auto"/>
                <w:spacing w:val="0"/>
                <w:w w:val="100"/>
                <w:kern w:val="28"/>
                <w:sz w:val="24"/>
                <w:highlight w:val="none"/>
                <w:lang w:eastAsia="zh-CN"/>
              </w:rPr>
              <w:t>，</w:t>
            </w:r>
            <w:r>
              <w:rPr>
                <w:rFonts w:hint="eastAsia" w:ascii="宋体" w:hAnsi="宋体" w:cs="宋体"/>
                <w:snapToGrid w:val="0"/>
                <w:color w:val="auto"/>
                <w:kern w:val="28"/>
                <w:sz w:val="24"/>
                <w:highlight w:val="none"/>
              </w:rPr>
              <w:t>以标项中标金额为计算基数，按以下标准费率计算值收取。费率标准如下：</w:t>
            </w:r>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3015"/>
            </w:tblGrid>
            <w:tr w14:paraId="700E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4" w:type="dxa"/>
                  <w:vAlign w:val="center"/>
                </w:tcPr>
                <w:p w14:paraId="27BBE50F">
                  <w:pPr>
                    <w:keepNext w:val="0"/>
                    <w:keepLines w:val="0"/>
                    <w:pageBreakBefore w:val="0"/>
                    <w:shd w:val="clear"/>
                    <w:kinsoku/>
                    <w:wordWrap/>
                    <w:overflowPunct/>
                    <w:topLinePunct w:val="0"/>
                    <w:bidi w:val="0"/>
                    <w:adjustRightInd/>
                    <w:snapToGrid/>
                    <w:spacing w:line="360" w:lineRule="auto"/>
                    <w:rPr>
                      <w:rFonts w:cs="Calibri"/>
                      <w:sz w:val="24"/>
                      <w:highlight w:val="none"/>
                    </w:rPr>
                  </w:pPr>
                  <w:r>
                    <w:rPr>
                      <w:rFonts w:cs="Calibri"/>
                      <w:sz w:val="24"/>
                      <w:highlight w:val="none"/>
                    </w:rPr>
                    <w:t>金额（万元）</w:t>
                  </w:r>
                </w:p>
              </w:tc>
              <w:tc>
                <w:tcPr>
                  <w:tcW w:w="3015" w:type="dxa"/>
                  <w:vAlign w:val="center"/>
                </w:tcPr>
                <w:p w14:paraId="4D13212D">
                  <w:pPr>
                    <w:keepNext w:val="0"/>
                    <w:keepLines w:val="0"/>
                    <w:pageBreakBefore w:val="0"/>
                    <w:shd w:val="clear"/>
                    <w:kinsoku/>
                    <w:wordWrap/>
                    <w:overflowPunct/>
                    <w:topLinePunct w:val="0"/>
                    <w:bidi w:val="0"/>
                    <w:adjustRightInd/>
                    <w:snapToGrid/>
                    <w:spacing w:line="360" w:lineRule="auto"/>
                    <w:rPr>
                      <w:rFonts w:cs="Calibri"/>
                      <w:sz w:val="24"/>
                      <w:highlight w:val="none"/>
                    </w:rPr>
                  </w:pPr>
                  <w:r>
                    <w:rPr>
                      <w:rFonts w:cs="Calibri"/>
                      <w:sz w:val="24"/>
                      <w:highlight w:val="none"/>
                    </w:rPr>
                    <w:t>费率</w:t>
                  </w:r>
                </w:p>
              </w:tc>
            </w:tr>
            <w:tr w14:paraId="191E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4" w:type="dxa"/>
                  <w:vAlign w:val="center"/>
                </w:tcPr>
                <w:p w14:paraId="7781B940">
                  <w:pPr>
                    <w:keepNext w:val="0"/>
                    <w:keepLines w:val="0"/>
                    <w:pageBreakBefore w:val="0"/>
                    <w:shd w:val="clear"/>
                    <w:kinsoku/>
                    <w:wordWrap/>
                    <w:overflowPunct/>
                    <w:topLinePunct w:val="0"/>
                    <w:bidi w:val="0"/>
                    <w:adjustRightInd/>
                    <w:snapToGrid/>
                    <w:spacing w:line="360" w:lineRule="auto"/>
                    <w:rPr>
                      <w:rFonts w:eastAsia="宋体" w:cs="Calibri"/>
                      <w:sz w:val="24"/>
                      <w:highlight w:val="none"/>
                    </w:rPr>
                  </w:pPr>
                  <w:r>
                    <w:rPr>
                      <w:rFonts w:eastAsia="宋体" w:cs="Calibri"/>
                      <w:sz w:val="24"/>
                      <w:highlight w:val="none"/>
                    </w:rPr>
                    <w:t>100以下部分</w:t>
                  </w:r>
                </w:p>
              </w:tc>
              <w:tc>
                <w:tcPr>
                  <w:tcW w:w="3015" w:type="dxa"/>
                  <w:vAlign w:val="center"/>
                </w:tcPr>
                <w:p w14:paraId="01B9C745">
                  <w:pPr>
                    <w:keepNext w:val="0"/>
                    <w:keepLines w:val="0"/>
                    <w:pageBreakBefore w:val="0"/>
                    <w:shd w:val="clear"/>
                    <w:kinsoku/>
                    <w:wordWrap/>
                    <w:overflowPunct/>
                    <w:topLinePunct w:val="0"/>
                    <w:bidi w:val="0"/>
                    <w:adjustRightInd/>
                    <w:snapToGrid/>
                    <w:spacing w:line="360" w:lineRule="auto"/>
                    <w:rPr>
                      <w:rFonts w:eastAsia="宋体" w:cs="Calibri"/>
                      <w:sz w:val="24"/>
                      <w:highlight w:val="none"/>
                    </w:rPr>
                  </w:pPr>
                  <w:r>
                    <w:rPr>
                      <w:rFonts w:eastAsia="宋体" w:cs="Calibri"/>
                      <w:sz w:val="24"/>
                      <w:highlight w:val="none"/>
                    </w:rPr>
                    <w:t>1.5%</w:t>
                  </w:r>
                </w:p>
              </w:tc>
            </w:tr>
          </w:tbl>
          <w:p w14:paraId="2010053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default" w:ascii="宋体" w:hAnsi="宋体" w:cs="Arial"/>
                <w:color w:val="auto"/>
                <w:kern w:val="0"/>
                <w:sz w:val="24"/>
                <w:highlight w:val="none"/>
                <w:lang w:val="en-US" w:eastAsia="zh-CN"/>
              </w:rPr>
            </w:pPr>
            <w:r>
              <w:rPr>
                <w:rFonts w:hint="eastAsia" w:ascii="宋体" w:hAnsi="宋体" w:eastAsia="宋体" w:cs="宋体"/>
                <w:snapToGrid w:val="0"/>
                <w:color w:val="auto"/>
                <w:spacing w:val="0"/>
                <w:w w:val="100"/>
                <w:kern w:val="28"/>
                <w:sz w:val="24"/>
                <w:highlight w:val="none"/>
                <w:lang w:eastAsia="zh-CN"/>
              </w:rPr>
              <w:t>成交供应商</w:t>
            </w:r>
            <w:r>
              <w:rPr>
                <w:rFonts w:hint="eastAsia" w:ascii="宋体" w:hAnsi="宋体" w:eastAsia="宋体" w:cs="宋体"/>
                <w:snapToGrid w:val="0"/>
                <w:color w:val="auto"/>
                <w:spacing w:val="0"/>
                <w:w w:val="100"/>
                <w:kern w:val="28"/>
                <w:sz w:val="24"/>
                <w:highlight w:val="none"/>
              </w:rPr>
              <w:t>应当自中标公告发布之日起5个工作日内一次性向采购代理机构支付代理服务费。</w:t>
            </w:r>
          </w:p>
        </w:tc>
      </w:tr>
      <w:tr w14:paraId="052F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F9639F3">
            <w:pPr>
              <w:keepNext w:val="0"/>
              <w:keepLines w:val="0"/>
              <w:pageBreakBefore w:val="0"/>
              <w:kinsoku/>
              <w:wordWrap/>
              <w:overflowPunct/>
              <w:topLinePunct w:val="0"/>
              <w:bidi w:val="0"/>
              <w:adjustRightInd/>
              <w:snapToGrid/>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lang w:val="en-US" w:eastAsia="zh-CN"/>
              </w:rPr>
              <w:t>16</w:t>
            </w:r>
          </w:p>
        </w:tc>
        <w:tc>
          <w:tcPr>
            <w:tcW w:w="1843" w:type="dxa"/>
            <w:tcBorders>
              <w:tl2br w:val="nil"/>
              <w:tr2bl w:val="nil"/>
            </w:tcBorders>
            <w:vAlign w:val="center"/>
          </w:tcPr>
          <w:p w14:paraId="0E5E3615">
            <w:pPr>
              <w:keepNext w:val="0"/>
              <w:keepLines w:val="0"/>
              <w:pageBreakBefore w:val="0"/>
              <w:kinsoku/>
              <w:wordWrap/>
              <w:overflowPunct/>
              <w:topLinePunct w:val="0"/>
              <w:bidi w:val="0"/>
              <w:adjustRightInd/>
              <w:snapToGrid/>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cs="宋体"/>
                <w:b/>
                <w:color w:val="auto"/>
                <w:spacing w:val="0"/>
                <w:w w:val="100"/>
                <w:sz w:val="24"/>
                <w:highlight w:val="none"/>
                <w:lang w:eastAsia="zh-CN"/>
              </w:rPr>
              <w:t>其他</w:t>
            </w:r>
          </w:p>
        </w:tc>
        <w:tc>
          <w:tcPr>
            <w:tcW w:w="6095" w:type="dxa"/>
            <w:tcBorders>
              <w:tl2br w:val="nil"/>
              <w:tr2bl w:val="nil"/>
            </w:tcBorders>
            <w:vAlign w:val="center"/>
          </w:tcPr>
          <w:p w14:paraId="0E57522A">
            <w:pPr>
              <w:keepNext w:val="0"/>
              <w:keepLines w:val="0"/>
              <w:pageBreakBefore w:val="0"/>
              <w:kinsoku/>
              <w:wordWrap/>
              <w:overflowPunct/>
              <w:topLinePunct w:val="0"/>
              <w:bidi w:val="0"/>
              <w:adjustRightInd/>
              <w:snapToGrid/>
              <w:spacing w:line="360" w:lineRule="auto"/>
              <w:rPr>
                <w:rFonts w:hint="default" w:ascii="宋体" w:hAnsi="宋体" w:cs="Arial"/>
                <w:color w:val="auto"/>
                <w:kern w:val="0"/>
                <w:sz w:val="24"/>
                <w:highlight w:val="none"/>
                <w:lang w:val="en-US" w:eastAsia="zh-CN"/>
              </w:rPr>
            </w:pPr>
            <w:r>
              <w:rPr>
                <w:rFonts w:hint="eastAsia" w:ascii="宋体" w:hAnsi="宋体" w:eastAsia="宋体" w:cs="宋体"/>
                <w:snapToGrid w:val="0"/>
                <w:kern w:val="28"/>
                <w:sz w:val="24"/>
                <w:szCs w:val="24"/>
                <w:highlight w:val="none"/>
              </w:rPr>
              <w:t>中标</w:t>
            </w:r>
            <w:r>
              <w:rPr>
                <w:rFonts w:hint="eastAsia" w:ascii="宋体" w:hAnsi="宋体" w:eastAsia="宋体" w:cs="宋体"/>
                <w:snapToGrid w:val="0"/>
                <w:kern w:val="28"/>
                <w:sz w:val="24"/>
                <w:szCs w:val="24"/>
                <w:highlight w:val="none"/>
                <w:lang w:eastAsia="zh-CN"/>
              </w:rPr>
              <w:t>人</w:t>
            </w:r>
            <w:r>
              <w:rPr>
                <w:rFonts w:hint="eastAsia" w:ascii="宋体" w:hAnsi="宋体" w:eastAsia="宋体" w:cs="宋体"/>
                <w:snapToGrid w:val="0"/>
                <w:kern w:val="28"/>
                <w:sz w:val="24"/>
                <w:szCs w:val="24"/>
                <w:highlight w:val="none"/>
              </w:rPr>
              <w:t>需在中标后将纸质版投标文件送至</w:t>
            </w:r>
            <w:r>
              <w:rPr>
                <w:rFonts w:hint="eastAsia" w:ascii="宋体" w:hAnsi="宋体" w:eastAsia="宋体" w:cs="宋体"/>
                <w:snapToGrid w:val="0"/>
                <w:kern w:val="28"/>
                <w:sz w:val="24"/>
                <w:szCs w:val="24"/>
                <w:highlight w:val="none"/>
                <w:lang w:eastAsia="zh-CN"/>
              </w:rPr>
              <w:t>采购</w:t>
            </w:r>
            <w:r>
              <w:rPr>
                <w:rFonts w:hint="eastAsia" w:ascii="宋体" w:hAnsi="宋体" w:eastAsia="宋体" w:cs="宋体"/>
                <w:snapToGrid w:val="0"/>
                <w:kern w:val="28"/>
                <w:sz w:val="24"/>
                <w:szCs w:val="24"/>
                <w:highlight w:val="none"/>
              </w:rPr>
              <w:t>代理</w:t>
            </w:r>
            <w:r>
              <w:rPr>
                <w:rFonts w:hint="eastAsia" w:ascii="宋体" w:hAnsi="宋体" w:eastAsia="宋体" w:cs="宋体"/>
                <w:snapToGrid w:val="0"/>
                <w:kern w:val="28"/>
                <w:sz w:val="24"/>
                <w:szCs w:val="24"/>
                <w:highlight w:val="none"/>
                <w:lang w:eastAsia="zh-CN"/>
              </w:rPr>
              <w:t>机构</w:t>
            </w:r>
            <w:r>
              <w:rPr>
                <w:rFonts w:hint="eastAsia" w:ascii="宋体" w:hAnsi="宋体" w:eastAsia="宋体" w:cs="宋体"/>
                <w:snapToGrid w:val="0"/>
                <w:kern w:val="28"/>
                <w:sz w:val="24"/>
                <w:szCs w:val="24"/>
                <w:highlight w:val="none"/>
              </w:rPr>
              <w:t>，投标文件数量：一正</w:t>
            </w:r>
            <w:r>
              <w:rPr>
                <w:rFonts w:hint="eastAsia" w:ascii="宋体" w:hAnsi="宋体" w:cs="宋体"/>
                <w:snapToGrid w:val="0"/>
                <w:kern w:val="28"/>
                <w:sz w:val="24"/>
                <w:szCs w:val="24"/>
                <w:highlight w:val="none"/>
                <w:lang w:val="en-US" w:eastAsia="zh-CN"/>
              </w:rPr>
              <w:t>二</w:t>
            </w:r>
            <w:r>
              <w:rPr>
                <w:rFonts w:hint="eastAsia" w:ascii="宋体" w:hAnsi="宋体" w:eastAsia="宋体" w:cs="宋体"/>
                <w:snapToGrid w:val="0"/>
                <w:kern w:val="28"/>
                <w:sz w:val="24"/>
                <w:szCs w:val="24"/>
                <w:highlight w:val="none"/>
              </w:rPr>
              <w:t>副，</w:t>
            </w:r>
            <w:r>
              <w:rPr>
                <w:rFonts w:hint="eastAsia" w:ascii="宋体" w:hAnsi="宋体" w:eastAsia="宋体" w:cs="宋体"/>
                <w:snapToGrid w:val="0"/>
                <w:kern w:val="28"/>
                <w:sz w:val="24"/>
                <w:szCs w:val="24"/>
                <w:highlight w:val="none"/>
                <w:u w:val="none"/>
              </w:rPr>
              <w:t>投标文件送达地点：</w:t>
            </w:r>
            <w:r>
              <w:rPr>
                <w:rFonts w:hint="eastAsia" w:ascii="宋体" w:hAnsi="宋体" w:cs="宋体"/>
                <w:kern w:val="28"/>
                <w:sz w:val="24"/>
                <w:szCs w:val="24"/>
                <w:highlight w:val="none"/>
                <w:u w:val="none"/>
                <w:lang w:eastAsia="zh-CN"/>
              </w:rPr>
              <w:t>杭州市西湖区教工路199号保亭综合楼308室</w:t>
            </w:r>
            <w:r>
              <w:rPr>
                <w:rFonts w:hint="eastAsia" w:ascii="宋体" w:hAnsi="宋体" w:eastAsia="宋体" w:cs="宋体"/>
                <w:snapToGrid w:val="0"/>
                <w:kern w:val="28"/>
                <w:sz w:val="24"/>
                <w:szCs w:val="24"/>
                <w:highlight w:val="none"/>
                <w:u w:val="none"/>
              </w:rPr>
              <w:t>。</w:t>
            </w:r>
          </w:p>
        </w:tc>
      </w:tr>
    </w:tbl>
    <w:p w14:paraId="0BFD67DE">
      <w:pPr>
        <w:pStyle w:val="80"/>
        <w:ind w:left="0" w:leftChars="0" w:firstLine="0" w:firstLineChars="0"/>
        <w:rPr>
          <w:rFonts w:hint="eastAsia" w:ascii="宋体" w:hAnsi="宋体" w:cs="宋体"/>
          <w:b/>
          <w:color w:val="auto"/>
          <w:sz w:val="32"/>
          <w:szCs w:val="20"/>
        </w:rPr>
      </w:pPr>
    </w:p>
    <w:p w14:paraId="269D0C99">
      <w:pPr>
        <w:pStyle w:val="80"/>
        <w:rPr>
          <w:rFonts w:hint="eastAsia" w:ascii="宋体" w:hAnsi="宋体" w:cs="宋体"/>
          <w:b/>
          <w:color w:val="auto"/>
          <w:sz w:val="32"/>
          <w:szCs w:val="20"/>
        </w:rPr>
      </w:pPr>
    </w:p>
    <w:p w14:paraId="0A883FFC">
      <w:pPr>
        <w:pStyle w:val="80"/>
        <w:rPr>
          <w:rFonts w:hint="eastAsia" w:ascii="宋体" w:hAnsi="宋体" w:cs="宋体"/>
          <w:b/>
          <w:color w:val="auto"/>
          <w:sz w:val="32"/>
          <w:szCs w:val="20"/>
        </w:rPr>
      </w:pPr>
    </w:p>
    <w:p w14:paraId="437BF16F">
      <w:pPr>
        <w:snapToGrid w:val="0"/>
        <w:spacing w:line="360" w:lineRule="auto"/>
        <w:jc w:val="center"/>
        <w:rPr>
          <w:rFonts w:ascii="宋体" w:hAnsi="宋体" w:cs="宋体"/>
          <w:b/>
          <w:color w:val="auto"/>
          <w:sz w:val="32"/>
          <w:szCs w:val="20"/>
        </w:rPr>
      </w:pPr>
    </w:p>
    <w:p w14:paraId="47E35E62">
      <w:pPr>
        <w:rPr>
          <w:rFonts w:hint="eastAsia" w:ascii="宋体" w:hAnsi="宋体" w:cs="宋体"/>
          <w:b/>
          <w:color w:val="auto"/>
          <w:sz w:val="32"/>
          <w:szCs w:val="20"/>
        </w:rPr>
      </w:pPr>
      <w:r>
        <w:rPr>
          <w:rFonts w:hint="eastAsia" w:ascii="宋体" w:hAnsi="宋体" w:cs="宋体"/>
          <w:b/>
          <w:color w:val="auto"/>
          <w:sz w:val="32"/>
          <w:szCs w:val="20"/>
        </w:rPr>
        <w:br w:type="page"/>
      </w:r>
    </w:p>
    <w:p w14:paraId="324AF209">
      <w:pPr>
        <w:pageBreakBefore w:val="0"/>
        <w:kinsoku/>
        <w:wordWrap/>
        <w:overflowPunct/>
        <w:topLinePunct w:val="0"/>
        <w:bidi w:val="0"/>
        <w:adjustRightInd/>
        <w:snapToGrid/>
        <w:spacing w:beforeAutospacing="0" w:line="440" w:lineRule="exact"/>
        <w:ind w:firstLine="3845" w:firstLineChars="1197"/>
        <w:textAlignment w:val="auto"/>
        <w:outlineLvl w:val="0"/>
        <w:rPr>
          <w:rFonts w:ascii="宋体" w:hAnsi="宋体" w:cs="宋体"/>
          <w:b/>
          <w:color w:val="auto"/>
          <w:sz w:val="32"/>
          <w:szCs w:val="20"/>
        </w:rPr>
      </w:pPr>
      <w:r>
        <w:rPr>
          <w:rFonts w:hint="eastAsia" w:ascii="宋体" w:hAnsi="宋体" w:cs="宋体"/>
          <w:b/>
          <w:color w:val="auto"/>
          <w:sz w:val="32"/>
          <w:szCs w:val="20"/>
        </w:rPr>
        <w:t>一、总则</w:t>
      </w:r>
    </w:p>
    <w:p w14:paraId="3C81FADF">
      <w:pPr>
        <w:pageBreakBefore w:val="0"/>
        <w:kinsoku/>
        <w:wordWrap/>
        <w:overflowPunct/>
        <w:topLinePunct w:val="0"/>
        <w:bidi w:val="0"/>
        <w:adjustRightInd/>
        <w:snapToGrid/>
        <w:spacing w:beforeAutospacing="0" w:line="440" w:lineRule="exact"/>
        <w:ind w:firstLine="361" w:firstLineChars="150"/>
        <w:jc w:val="left"/>
        <w:textAlignment w:val="auto"/>
        <w:outlineLvl w:val="1"/>
        <w:rPr>
          <w:rFonts w:ascii="宋体" w:hAnsi="宋体" w:cs="宋体"/>
          <w:b/>
          <w:color w:val="auto"/>
          <w:sz w:val="24"/>
        </w:rPr>
      </w:pPr>
      <w:r>
        <w:rPr>
          <w:rFonts w:hint="eastAsia" w:ascii="宋体" w:hAnsi="宋体" w:cs="宋体"/>
          <w:b/>
          <w:color w:val="auto"/>
          <w:sz w:val="24"/>
        </w:rPr>
        <w:t>1. 适用范围</w:t>
      </w:r>
    </w:p>
    <w:p w14:paraId="03737B85">
      <w:pPr>
        <w:pageBreakBefore w:val="0"/>
        <w:kinsoku/>
        <w:wordWrap/>
        <w:overflowPunct/>
        <w:topLinePunct w:val="0"/>
        <w:bidi w:val="0"/>
        <w:adjustRightInd/>
        <w:snapToGrid/>
        <w:spacing w:beforeAutospacing="0"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07B04C39">
      <w:pPr>
        <w:pageBreakBefore w:val="0"/>
        <w:kinsoku/>
        <w:wordWrap/>
        <w:overflowPunct/>
        <w:topLinePunct w:val="0"/>
        <w:bidi w:val="0"/>
        <w:adjustRightInd/>
        <w:snapToGrid/>
        <w:spacing w:beforeAutospacing="0" w:line="440" w:lineRule="exact"/>
        <w:textAlignment w:val="auto"/>
        <w:outlineLvl w:val="0"/>
        <w:rPr>
          <w:rFonts w:ascii="宋体" w:hAnsi="宋体" w:cs="宋体"/>
          <w:b/>
          <w:color w:val="auto"/>
          <w:sz w:val="24"/>
        </w:rPr>
      </w:pPr>
      <w:r>
        <w:rPr>
          <w:rFonts w:hint="eastAsia" w:ascii="宋体" w:hAnsi="宋体" w:cs="宋体"/>
          <w:b/>
          <w:color w:val="auto"/>
          <w:sz w:val="24"/>
        </w:rPr>
        <w:t xml:space="preserve">   2.定义</w:t>
      </w:r>
    </w:p>
    <w:p w14:paraId="64573A52">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2.1 “采购人”系指招标公告中载明的本项目的采购人。</w:t>
      </w:r>
    </w:p>
    <w:p w14:paraId="68059CB5">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2.2 “</w:t>
      </w:r>
      <w:r>
        <w:rPr>
          <w:rFonts w:hint="eastAsia" w:ascii="宋体" w:hAnsi="宋体" w:cs="宋体"/>
          <w:color w:val="auto"/>
          <w:sz w:val="24"/>
          <w:lang w:eastAsia="zh-CN"/>
        </w:rPr>
        <w:t>采购代理机构</w:t>
      </w:r>
      <w:r>
        <w:rPr>
          <w:rFonts w:hint="eastAsia" w:ascii="宋体" w:hAnsi="宋体" w:cs="宋体"/>
          <w:color w:val="auto"/>
          <w:sz w:val="24"/>
        </w:rPr>
        <w:t>”系指招标公告中载明的本项目的</w:t>
      </w:r>
      <w:r>
        <w:rPr>
          <w:rFonts w:hint="eastAsia" w:ascii="宋体" w:hAnsi="宋体" w:cs="宋体"/>
          <w:color w:val="auto"/>
          <w:sz w:val="24"/>
          <w:lang w:eastAsia="zh-CN"/>
        </w:rPr>
        <w:t>采购代理机构</w:t>
      </w:r>
      <w:r>
        <w:rPr>
          <w:rFonts w:hint="eastAsia" w:ascii="宋体" w:hAnsi="宋体" w:cs="宋体"/>
          <w:color w:val="auto"/>
          <w:sz w:val="24"/>
        </w:rPr>
        <w:t>。</w:t>
      </w:r>
    </w:p>
    <w:p w14:paraId="516B9D7E">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2.3 “投标人”系指是指响应招标、参加投标竞争的法人、其他组织或者自然人。</w:t>
      </w:r>
    </w:p>
    <w:p w14:paraId="2DFB9CD3">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2.4 “负责人”系指法人企业的法定负责人，或其他组织为法律、行政法规规定代表单位行使职权的主要负责人，或自然人本人。</w:t>
      </w:r>
    </w:p>
    <w:p w14:paraId="577D9859">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D9D26E0">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2.6“电子交易平台”</w:t>
      </w:r>
      <w:r>
        <w:rPr>
          <w:rFonts w:hint="eastAsia" w:ascii="宋体" w:hAnsi="宋体" w:cs="宋体"/>
          <w:color w:val="auto"/>
          <w:sz w:val="24"/>
          <w:lang w:val="en-US" w:eastAsia="zh-CN"/>
        </w:rPr>
        <w:t>系</w:t>
      </w:r>
      <w:r>
        <w:rPr>
          <w:rFonts w:hint="eastAsia" w:ascii="宋体" w:hAnsi="宋体" w:cs="宋体"/>
          <w:color w:val="auto"/>
          <w:sz w:val="24"/>
        </w:rPr>
        <w:t>指本项目政府采购活动所依托的政府采购云平台（https://www.zcygov.cn/）。</w:t>
      </w:r>
    </w:p>
    <w:p w14:paraId="0938887E">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2.7 “▲” 系指实质性要求条款，“</w:t>
      </w:r>
      <w:sdt>
        <w:sdtPr>
          <w:rPr>
            <w:rFonts w:hint="eastAsia" w:ascii="宋体" w:hAnsi="宋体" w:cs="宋体"/>
            <w:color w:val="auto"/>
            <w:kern w:val="0"/>
            <w:sz w:val="24"/>
          </w:rPr>
          <w:id w:val="147474122"/>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 系指适用本项目的要求，“</w:t>
      </w:r>
      <w:sdt>
        <w:sdtPr>
          <w:rPr>
            <w:rFonts w:hint="eastAsia" w:ascii="宋体" w:hAnsi="宋体" w:cs="宋体"/>
            <w:color w:val="auto"/>
            <w:kern w:val="0"/>
            <w:sz w:val="24"/>
          </w:rPr>
          <w:id w:val="14746633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 系指不适用本项目的要求。</w:t>
      </w:r>
    </w:p>
    <w:p w14:paraId="222F79E8">
      <w:pPr>
        <w:pageBreakBefore w:val="0"/>
        <w:kinsoku/>
        <w:wordWrap/>
        <w:overflowPunct/>
        <w:topLinePunct w:val="0"/>
        <w:bidi w:val="0"/>
        <w:adjustRightInd/>
        <w:snapToGrid/>
        <w:spacing w:beforeAutospacing="0" w:line="440" w:lineRule="exact"/>
        <w:ind w:firstLine="241" w:firstLineChars="100"/>
        <w:textAlignment w:val="auto"/>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7742EEDD">
      <w:pPr>
        <w:pageBreakBefore w:val="0"/>
        <w:kinsoku/>
        <w:wordWrap/>
        <w:overflowPunct/>
        <w:topLinePunct w:val="0"/>
        <w:bidi w:val="0"/>
        <w:adjustRightInd/>
        <w:snapToGrid/>
        <w:spacing w:beforeAutospacing="0" w:line="440" w:lineRule="exact"/>
        <w:ind w:firstLine="240" w:firstLineChars="100"/>
        <w:textAlignment w:val="auto"/>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lang w:eastAsia="zh-CN"/>
        </w:rPr>
        <w:t>采购代理机构</w:t>
      </w:r>
      <w:r>
        <w:rPr>
          <w:rFonts w:hint="eastAsia" w:ascii="宋体" w:hAnsi="宋体" w:cs="宋体"/>
          <w:color w:val="auto"/>
          <w:sz w:val="24"/>
        </w:rPr>
        <w:t>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4601CC84">
      <w:pPr>
        <w:pageBreakBefore w:val="0"/>
        <w:kinsoku/>
        <w:wordWrap/>
        <w:overflowPunct/>
        <w:topLinePunct w:val="0"/>
        <w:bidi w:val="0"/>
        <w:adjustRightInd/>
        <w:snapToGrid/>
        <w:spacing w:beforeAutospacing="0" w:line="440" w:lineRule="exact"/>
        <w:ind w:firstLine="240" w:firstLineChars="100"/>
        <w:textAlignment w:val="auto"/>
        <w:rPr>
          <w:rFonts w:ascii="宋体" w:hAnsi="宋体" w:cs="宋体"/>
          <w:color w:val="auto"/>
          <w:sz w:val="24"/>
        </w:rPr>
      </w:pPr>
      <w:r>
        <w:rPr>
          <w:rFonts w:hint="eastAsia" w:ascii="宋体" w:hAnsi="宋体" w:cs="宋体"/>
          <w:color w:val="auto"/>
          <w:sz w:val="24"/>
        </w:rPr>
        <w:t>3.2 支持绿色发展</w:t>
      </w:r>
    </w:p>
    <w:p w14:paraId="2EE66D52">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▲采购人拟采购的产品属于政府强制采购的节能产品品目清单范围的，投标人相应的投标产品未获得国家确定的认证机构出具的、处于有效期之内的节能产品认证证书的，投标无效。</w:t>
      </w:r>
    </w:p>
    <w:p w14:paraId="228399C8">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3.2.2 修缮、装修类项目采购建材的，采购人应将绿色建筑和绿色建材性能、指标等作为实质性条件纳入招标文件和合同。</w:t>
      </w:r>
    </w:p>
    <w:p w14:paraId="4FFEAAD8">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877AB01">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6AC27C9">
      <w:pPr>
        <w:pageBreakBefore w:val="0"/>
        <w:kinsoku/>
        <w:wordWrap/>
        <w:overflowPunct/>
        <w:topLinePunct w:val="0"/>
        <w:bidi w:val="0"/>
        <w:adjustRightInd/>
        <w:snapToGrid/>
        <w:spacing w:beforeAutospacing="0" w:line="440" w:lineRule="exact"/>
        <w:ind w:firstLine="240" w:firstLineChars="100"/>
        <w:textAlignment w:val="auto"/>
        <w:rPr>
          <w:rFonts w:ascii="宋体" w:hAnsi="宋体" w:cs="宋体"/>
          <w:color w:val="auto"/>
          <w:sz w:val="24"/>
        </w:rPr>
      </w:pPr>
      <w:r>
        <w:rPr>
          <w:rFonts w:hint="eastAsia" w:ascii="宋体" w:hAnsi="宋体" w:cs="宋体"/>
          <w:color w:val="auto"/>
          <w:sz w:val="24"/>
        </w:rPr>
        <w:t>3.3支持中小企业发展</w:t>
      </w:r>
    </w:p>
    <w:p w14:paraId="33C7A086">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5A64862">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1EA339E1">
      <w:pPr>
        <w:pageBreakBefore w:val="0"/>
        <w:widowControl/>
        <w:kinsoku/>
        <w:wordWrap/>
        <w:overflowPunct/>
        <w:topLinePunct w:val="0"/>
        <w:bidi w:val="0"/>
        <w:adjustRightInd/>
        <w:snapToGrid/>
        <w:spacing w:beforeAutospacing="0" w:line="440" w:lineRule="exact"/>
        <w:ind w:firstLine="480" w:firstLineChars="200"/>
        <w:jc w:val="left"/>
        <w:textAlignment w:val="auto"/>
        <w:rPr>
          <w:rFonts w:ascii="宋体" w:hAnsi="宋体" w:cs="宋体"/>
          <w:color w:val="auto"/>
          <w:kern w:val="0"/>
          <w:sz w:val="24"/>
        </w:rPr>
      </w:pPr>
      <w:r>
        <w:rPr>
          <w:rFonts w:ascii="宋体" w:hAnsi="宋体" w:cs="宋体"/>
          <w:bCs/>
          <w:color w:val="auto"/>
          <w:sz w:val="24"/>
        </w:rPr>
        <w:t>3.3.2</w:t>
      </w:r>
      <w:r>
        <w:rPr>
          <w:rFonts w:hint="eastAsia" w:ascii="宋体" w:hAnsi="宋体" w:cs="宋体"/>
          <w:color w:val="auto"/>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42DEEAD">
      <w:pPr>
        <w:pageBreakBefore w:val="0"/>
        <w:widowControl/>
        <w:kinsoku/>
        <w:wordWrap/>
        <w:overflowPunct/>
        <w:topLinePunct w:val="0"/>
        <w:bidi w:val="0"/>
        <w:adjustRightInd/>
        <w:snapToGrid/>
        <w:spacing w:beforeAutospacing="0"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6D96C02D">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3.3.3</w:t>
      </w:r>
      <w:r>
        <w:rPr>
          <w:rFonts w:hint="eastAsia" w:ascii="宋体" w:hAnsi="宋体" w:cs="宋体"/>
          <w:color w:val="auto"/>
          <w:sz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C809178">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4BB0A802">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6CFC1EB">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F109E92">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2B6656E6">
      <w:pPr>
        <w:pageBreakBefore w:val="0"/>
        <w:kinsoku/>
        <w:wordWrap/>
        <w:overflowPunct/>
        <w:topLinePunct w:val="0"/>
        <w:bidi w:val="0"/>
        <w:adjustRightInd/>
        <w:snapToGrid/>
        <w:spacing w:beforeAutospacing="0" w:line="440" w:lineRule="exact"/>
        <w:ind w:firstLine="240" w:firstLineChars="100"/>
        <w:textAlignment w:val="auto"/>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1ACD48ED">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55FAA53">
      <w:pPr>
        <w:pageBreakBefore w:val="0"/>
        <w:kinsoku/>
        <w:wordWrap/>
        <w:overflowPunct/>
        <w:topLinePunct w:val="0"/>
        <w:bidi w:val="0"/>
        <w:adjustRightInd/>
        <w:snapToGrid/>
        <w:spacing w:beforeAutospacing="0"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9890CAF">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eastAsia="宋体" w:cs="仿宋"/>
          <w:b w:val="0"/>
          <w:bCs w:val="0"/>
          <w:color w:val="auto"/>
          <w:sz w:val="24"/>
          <w:szCs w:val="24"/>
          <w:highlight w:val="none"/>
          <w:lang w:val="en-US"/>
        </w:rPr>
        <w:t xml:space="preserve">3.4.3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61301109">
      <w:pPr>
        <w:pageBreakBefore w:val="0"/>
        <w:kinsoku/>
        <w:wordWrap/>
        <w:overflowPunct/>
        <w:topLinePunct w:val="0"/>
        <w:bidi w:val="0"/>
        <w:adjustRightInd/>
        <w:snapToGrid/>
        <w:spacing w:beforeAutospacing="0" w:line="440" w:lineRule="exact"/>
        <w:ind w:firstLine="240" w:firstLineChars="100"/>
        <w:textAlignment w:val="auto"/>
        <w:rPr>
          <w:rFonts w:ascii="宋体" w:hAnsi="宋体" w:cs="宋体"/>
          <w:color w:val="auto"/>
          <w:sz w:val="24"/>
        </w:rPr>
      </w:pPr>
      <w:r>
        <w:rPr>
          <w:rFonts w:hint="eastAsia" w:ascii="宋体" w:hAnsi="宋体" w:cs="宋体"/>
          <w:color w:val="auto"/>
          <w:sz w:val="24"/>
        </w:rPr>
        <w:t>3.5平等对待内外资企业和符合条件的破产重整企业</w:t>
      </w:r>
    </w:p>
    <w:p w14:paraId="7F6AED41">
      <w:pPr>
        <w:pageBreakBefore w:val="0"/>
        <w:kinsoku/>
        <w:wordWrap/>
        <w:overflowPunct/>
        <w:topLinePunct w:val="0"/>
        <w:bidi w:val="0"/>
        <w:adjustRightInd/>
        <w:snapToGrid/>
        <w:spacing w:beforeAutospacing="0" w:line="440" w:lineRule="exact"/>
        <w:ind w:firstLine="240" w:firstLineChars="100"/>
        <w:textAlignment w:val="auto"/>
        <w:rPr>
          <w:rFonts w:ascii="宋体" w:hAnsi="宋体" w:cs="宋体"/>
          <w:b/>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b/>
          <w:color w:val="auto"/>
          <w:sz w:val="24"/>
        </w:rPr>
        <w:t>4. 询问、质疑、投诉</w:t>
      </w:r>
    </w:p>
    <w:p w14:paraId="2143493D">
      <w:pPr>
        <w:pageBreakBefore w:val="0"/>
        <w:kinsoku/>
        <w:wordWrap/>
        <w:overflowPunct/>
        <w:topLinePunct w:val="0"/>
        <w:autoSpaceDE w:val="0"/>
        <w:autoSpaceDN w:val="0"/>
        <w:bidi w:val="0"/>
        <w:adjustRightInd/>
        <w:snapToGrid/>
        <w:spacing w:beforeAutospacing="0" w:line="44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78EE99">
      <w:pPr>
        <w:pageBreakBefore w:val="0"/>
        <w:kinsoku/>
        <w:wordWrap/>
        <w:overflowPunct/>
        <w:topLinePunct w:val="0"/>
        <w:autoSpaceDE w:val="0"/>
        <w:autoSpaceDN w:val="0"/>
        <w:bidi w:val="0"/>
        <w:adjustRightInd/>
        <w:snapToGrid/>
        <w:spacing w:beforeAutospacing="0" w:line="44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4.2供应商询问</w:t>
      </w:r>
    </w:p>
    <w:p w14:paraId="5D55C54B">
      <w:pPr>
        <w:pageBreakBefore w:val="0"/>
        <w:kinsoku/>
        <w:wordWrap/>
        <w:overflowPunct/>
        <w:topLinePunct w:val="0"/>
        <w:autoSpaceDE w:val="0"/>
        <w:autoSpaceDN w:val="0"/>
        <w:bidi w:val="0"/>
        <w:adjustRightInd/>
        <w:snapToGrid/>
        <w:spacing w:beforeAutospacing="0" w:line="44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A25446C">
      <w:pPr>
        <w:pageBreakBefore w:val="0"/>
        <w:kinsoku/>
        <w:wordWrap/>
        <w:overflowPunct/>
        <w:topLinePunct w:val="0"/>
        <w:autoSpaceDE w:val="0"/>
        <w:autoSpaceDN w:val="0"/>
        <w:bidi w:val="0"/>
        <w:adjustRightInd/>
        <w:snapToGrid/>
        <w:spacing w:beforeAutospacing="0" w:line="440" w:lineRule="exact"/>
        <w:ind w:firstLine="240" w:firstLineChars="1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4.3供应商质疑</w:t>
      </w:r>
    </w:p>
    <w:p w14:paraId="0387EB80">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.1提出质疑的供应商应当是参与所质疑项目采购活动的供应商。潜在供应商已依法获取其可质疑的招标文件的，可以对该文件提出质疑。</w:t>
      </w:r>
    </w:p>
    <w:p w14:paraId="701DAEE4">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lang w:eastAsia="zh-CN"/>
        </w:rPr>
        <w:t>采购代理机构</w:t>
      </w:r>
      <w:r>
        <w:rPr>
          <w:rFonts w:hint="eastAsia" w:hAnsi="宋体" w:cs="宋体"/>
          <w:color w:val="auto"/>
          <w:sz w:val="24"/>
        </w:rPr>
        <w:t>提出质疑，否则，采购人或者</w:t>
      </w:r>
      <w:r>
        <w:rPr>
          <w:rFonts w:hint="eastAsia" w:hAnsi="宋体" w:cs="宋体"/>
          <w:color w:val="auto"/>
          <w:sz w:val="24"/>
          <w:lang w:eastAsia="zh-CN"/>
        </w:rPr>
        <w:t>采购代理机构</w:t>
      </w:r>
      <w:r>
        <w:rPr>
          <w:rFonts w:hint="eastAsia" w:hAnsi="宋体" w:cs="宋体"/>
          <w:color w:val="auto"/>
          <w:sz w:val="24"/>
        </w:rPr>
        <w:t>不予受理：</w:t>
      </w:r>
    </w:p>
    <w:p w14:paraId="63A54D41">
      <w:pPr>
        <w:pStyle w:val="5"/>
        <w:pageBreakBefore w:val="0"/>
        <w:kinsoku/>
        <w:wordWrap/>
        <w:overflowPunct/>
        <w:topLinePunct w:val="0"/>
        <w:bidi w:val="0"/>
        <w:adjustRightInd/>
        <w:snapToGrid/>
        <w:spacing w:beforeAutospacing="0" w:line="440" w:lineRule="exact"/>
        <w:ind w:firstLine="480" w:firstLineChars="200"/>
        <w:textAlignment w:val="auto"/>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41FD4366">
      <w:pPr>
        <w:pStyle w:val="32"/>
        <w:pageBreakBefore w:val="0"/>
        <w:kinsoku/>
        <w:wordWrap/>
        <w:overflowPunct/>
        <w:topLinePunct w:val="0"/>
        <w:bidi w:val="0"/>
        <w:adjustRightInd/>
        <w:snapToGrid/>
        <w:spacing w:beforeAutospacing="0" w:line="440" w:lineRule="exact"/>
        <w:ind w:left="479" w:leftChars="228"/>
        <w:textAlignment w:val="auto"/>
        <w:rPr>
          <w:rFonts w:hAnsi="宋体" w:cs="宋体"/>
          <w:color w:val="auto"/>
          <w:sz w:val="24"/>
        </w:rPr>
      </w:pPr>
      <w:r>
        <w:rPr>
          <w:rFonts w:hint="eastAsia" w:hAnsi="宋体" w:cs="宋体"/>
          <w:color w:val="auto"/>
          <w:sz w:val="24"/>
        </w:rPr>
        <w:t>4.3.2.2对采购过程提出质疑的，质疑期限为各采购程序环节结束之日起计算。4.3.2.3对采购结果提出质疑的，质疑期限自采购结果公告期限届满之日起计算。</w:t>
      </w:r>
    </w:p>
    <w:p w14:paraId="28FDE5DC">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14:paraId="742FD24A">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kern w:val="0"/>
          <w:sz w:val="24"/>
          <w:lang w:val="zh-CN"/>
        </w:rPr>
      </w:pPr>
      <w:r>
        <w:rPr>
          <w:rFonts w:hint="eastAsia" w:hAnsi="宋体" w:cs="宋体"/>
          <w:color w:val="auto"/>
          <w:kern w:val="0"/>
          <w:sz w:val="24"/>
          <w:lang w:val="zh-CN"/>
        </w:rPr>
        <w:t>　　4.3.3.1供应商的姓名或者名称、地址、邮编、联系人及联系电话；</w:t>
      </w:r>
    </w:p>
    <w:p w14:paraId="6EE95640">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kern w:val="0"/>
          <w:sz w:val="24"/>
          <w:lang w:val="zh-CN"/>
        </w:rPr>
      </w:pPr>
      <w:r>
        <w:rPr>
          <w:rFonts w:hint="eastAsia" w:hAnsi="宋体" w:cs="宋体"/>
          <w:color w:val="auto"/>
          <w:kern w:val="0"/>
          <w:sz w:val="24"/>
          <w:lang w:val="zh-CN"/>
        </w:rPr>
        <w:t>　　4.3.3.2质疑项目的名称、编号；</w:t>
      </w:r>
    </w:p>
    <w:p w14:paraId="4F274EE8">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kern w:val="0"/>
          <w:sz w:val="24"/>
          <w:lang w:val="zh-CN"/>
        </w:rPr>
      </w:pPr>
      <w:r>
        <w:rPr>
          <w:rFonts w:hint="eastAsia" w:hAnsi="宋体" w:cs="宋体"/>
          <w:color w:val="auto"/>
          <w:kern w:val="0"/>
          <w:sz w:val="24"/>
          <w:lang w:val="zh-CN"/>
        </w:rPr>
        <w:t>　　4.3.3.3具体、明确的质疑事项和与质疑事项相关的请求；</w:t>
      </w:r>
    </w:p>
    <w:p w14:paraId="5F3856D6">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kern w:val="0"/>
          <w:sz w:val="24"/>
          <w:lang w:val="zh-CN"/>
        </w:rPr>
      </w:pPr>
      <w:r>
        <w:rPr>
          <w:rFonts w:hint="eastAsia" w:hAnsi="宋体" w:cs="宋体"/>
          <w:color w:val="auto"/>
          <w:kern w:val="0"/>
          <w:sz w:val="24"/>
          <w:lang w:val="zh-CN"/>
        </w:rPr>
        <w:t>　　4.3.3.4事实依据；</w:t>
      </w:r>
    </w:p>
    <w:p w14:paraId="10EFE4AB">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kern w:val="0"/>
          <w:sz w:val="24"/>
          <w:lang w:val="zh-CN"/>
        </w:rPr>
      </w:pPr>
      <w:r>
        <w:rPr>
          <w:rFonts w:hint="eastAsia" w:hAnsi="宋体" w:cs="宋体"/>
          <w:color w:val="auto"/>
          <w:kern w:val="0"/>
          <w:sz w:val="24"/>
          <w:lang w:val="zh-CN"/>
        </w:rPr>
        <w:t>　　4.3.3.5必要的法律依据；</w:t>
      </w:r>
    </w:p>
    <w:p w14:paraId="22D4A7E1">
      <w:pPr>
        <w:pStyle w:val="32"/>
        <w:pageBreakBefore w:val="0"/>
        <w:kinsoku/>
        <w:wordWrap/>
        <w:overflowPunct/>
        <w:topLinePunct w:val="0"/>
        <w:bidi w:val="0"/>
        <w:adjustRightInd/>
        <w:snapToGrid/>
        <w:spacing w:beforeAutospacing="0" w:line="440" w:lineRule="exact"/>
        <w:ind w:firstLine="960" w:firstLineChars="400"/>
        <w:textAlignment w:val="auto"/>
        <w:rPr>
          <w:rFonts w:hAnsi="宋体" w:cs="宋体"/>
          <w:color w:val="auto"/>
          <w:kern w:val="0"/>
          <w:sz w:val="24"/>
          <w:lang w:val="zh-CN"/>
        </w:rPr>
      </w:pPr>
      <w:r>
        <w:rPr>
          <w:rFonts w:hint="eastAsia" w:hAnsi="宋体" w:cs="宋体"/>
          <w:color w:val="auto"/>
          <w:kern w:val="0"/>
          <w:sz w:val="24"/>
          <w:lang w:val="zh-CN"/>
        </w:rPr>
        <w:t>4.3.3.6提出质疑的日期。</w:t>
      </w:r>
    </w:p>
    <w:p w14:paraId="79E9F763">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供应商提交的质疑函需一式三份。供应商为自然人的，应当由本人签字；供应商为法人或者其他组织的，应当由法定代表人、主要负责人，或者其授权代表签字或者盖章，并加盖公章。</w:t>
      </w:r>
    </w:p>
    <w:p w14:paraId="321637F8">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质疑函范本及制作说明详见附件2。</w:t>
      </w:r>
    </w:p>
    <w:p w14:paraId="782D076A">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4.3.4对同一采购程序环节的质疑，供应商须在法定质疑期内一次性提出。</w:t>
      </w:r>
    </w:p>
    <w:p w14:paraId="69CCDC9F">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lang w:val="zh-CN"/>
        </w:rPr>
        <w:t>4.3</w:t>
      </w:r>
      <w:r>
        <w:rPr>
          <w:rFonts w:hint="eastAsia"/>
          <w:color w:val="auto"/>
        </w:rPr>
        <w:t>.5采购人或者</w:t>
      </w:r>
      <w:r>
        <w:rPr>
          <w:rFonts w:hint="eastAsia"/>
          <w:color w:val="auto"/>
          <w:lang w:eastAsia="zh-CN"/>
        </w:rPr>
        <w:t>采购代理机构</w:t>
      </w:r>
      <w:r>
        <w:rPr>
          <w:rFonts w:hint="eastAsia"/>
          <w:color w:val="auto"/>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lang w:eastAsia="zh-CN"/>
        </w:rPr>
        <w:t>采购代理机构</w:t>
      </w:r>
      <w:r>
        <w:rPr>
          <w:rFonts w:hint="eastAsia"/>
          <w:color w:val="auto"/>
        </w:rPr>
        <w:t>在质疑回复后5个工作日内，在浙江政府采购网的“其他公告”栏目公开质疑答复，答复内容应当完整。质疑函作为附件上传。</w:t>
      </w:r>
    </w:p>
    <w:p w14:paraId="6FFA03B3">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lang w:val="zh-CN"/>
        </w:rPr>
        <w:t>4.3</w:t>
      </w:r>
      <w:r>
        <w:rPr>
          <w:rFonts w:hint="eastAsia"/>
          <w:color w:val="auto"/>
        </w:rPr>
        <w:t>.6询问或者质疑事项可能影响采购结果的，采购人应当暂停签订合同，已经签订合同的，应当中止履行合同。</w:t>
      </w:r>
    </w:p>
    <w:p w14:paraId="647A0DC8">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80" w:firstLineChars="200"/>
        <w:contextualSpacing/>
        <w:textAlignment w:val="auto"/>
        <w:rPr>
          <w:color w:val="auto"/>
          <w:lang w:val="zh-CN"/>
        </w:rPr>
      </w:pPr>
      <w:r>
        <w:rPr>
          <w:rFonts w:hint="eastAsia"/>
          <w:color w:val="auto"/>
          <w:lang w:val="zh-CN"/>
        </w:rPr>
        <w:t>4.4供应商投诉</w:t>
      </w:r>
    </w:p>
    <w:p w14:paraId="23778BD5">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4.4.1质疑供应商对采购人、</w:t>
      </w:r>
      <w:r>
        <w:rPr>
          <w:rFonts w:hint="eastAsia"/>
          <w:color w:val="auto"/>
          <w:lang w:eastAsia="zh-CN"/>
        </w:rPr>
        <w:t>采购代理机构</w:t>
      </w:r>
      <w:r>
        <w:rPr>
          <w:rFonts w:hint="eastAsia"/>
          <w:color w:val="auto"/>
        </w:rPr>
        <w:t>的答复不满意或者采购人、</w:t>
      </w:r>
      <w:r>
        <w:rPr>
          <w:rFonts w:hint="eastAsia"/>
          <w:color w:val="auto"/>
          <w:lang w:eastAsia="zh-CN"/>
        </w:rPr>
        <w:t>采购代理机构</w:t>
      </w:r>
      <w:r>
        <w:rPr>
          <w:rFonts w:hint="eastAsia"/>
          <w:color w:val="auto"/>
        </w:rPr>
        <w:t>未在规定的时间内作出答复的，可以在答复期满后十五个工作日内向同级政府采购监督管理部门提出投诉。</w:t>
      </w:r>
    </w:p>
    <w:p w14:paraId="66BCC784">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14:paraId="4462C841">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4.4.3供应商投诉应当有明确的请求和必要的证明材料。</w:t>
      </w:r>
    </w:p>
    <w:p w14:paraId="28127EB2">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4.4.4以联合体形式参加政府采购活动的，其投诉应当由组成联合体的所有供应商共同提出。</w:t>
      </w:r>
    </w:p>
    <w:p w14:paraId="5A457C6D">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rFonts w:hint="eastAsia" w:ascii="宋体" w:hAnsi="宋体" w:eastAsia="宋体" w:cs="宋体"/>
          <w:color w:val="auto"/>
        </w:rPr>
      </w:pPr>
      <w:r>
        <w:rPr>
          <w:rFonts w:hint="eastAsia"/>
          <w:color w:val="auto"/>
        </w:rPr>
        <w:t>4.4.5</w:t>
      </w:r>
      <w:r>
        <w:rPr>
          <w:rFonts w:hint="eastAsia"/>
          <w:color w:val="auto"/>
          <w:highlight w:val="none"/>
        </w:rPr>
        <w:t>根据政府采购行政裁决省市区三级联动试点工作安排，杭州市本级、拱墅区、富阳区政府采购项目投诉材料可寄送至浙江省政府采购行政裁决服务中心（杭州），地址：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w:t>
      </w:r>
      <w:r>
        <w:rPr>
          <w:rFonts w:hint="eastAsia" w:ascii="宋体" w:hAnsi="宋体" w:eastAsia="宋体" w:cs="宋体"/>
          <w:color w:val="auto"/>
        </w:rPr>
        <w:t>s或顺丰），收件人：朱女士、王女士，电话：0571-85252453。</w:t>
      </w:r>
    </w:p>
    <w:p w14:paraId="712FF852">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rFonts w:hint="eastAsia" w:ascii="宋体" w:hAnsi="宋体" w:eastAsia="宋体" w:cs="宋体"/>
          <w:color w:val="auto"/>
        </w:rPr>
      </w:pPr>
      <w:r>
        <w:rPr>
          <w:rFonts w:hint="eastAsia" w:ascii="宋体" w:hAnsi="宋体" w:eastAsia="宋体" w:cs="宋体"/>
          <w:color w:val="auto"/>
        </w:rPr>
        <w:t>4.5 补偿救济</w:t>
      </w:r>
    </w:p>
    <w:p w14:paraId="50AA37B4">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rFonts w:hint="eastAsia" w:ascii="宋体" w:hAnsi="宋体" w:eastAsia="宋体" w:cs="宋体"/>
          <w:color w:val="auto"/>
        </w:rPr>
      </w:pPr>
      <w:r>
        <w:rPr>
          <w:rFonts w:hint="eastAsia" w:ascii="宋体" w:hAnsi="宋体" w:eastAsia="宋体" w:cs="宋体"/>
          <w:color w:val="auto"/>
        </w:rPr>
        <w:t>采购人因政策变化、规划调整而不履行政府采购合同的，供应商可依据《杭州市涉企补偿救济实施办法（试行）》向采购人提起补偿申请。</w:t>
      </w:r>
    </w:p>
    <w:p w14:paraId="322EC1DF">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rFonts w:hint="eastAsia"/>
          <w:color w:val="auto"/>
        </w:rPr>
      </w:pPr>
    </w:p>
    <w:p w14:paraId="190B2276">
      <w:pPr>
        <w:pStyle w:val="889"/>
        <w:pageBreakBefore w:val="0"/>
        <w:shd w:val="clear" w:color="auto" w:fill="FFFFFF"/>
        <w:kinsoku/>
        <w:wordWrap/>
        <w:overflowPunct/>
        <w:topLinePunct w:val="0"/>
        <w:bidi w:val="0"/>
        <w:adjustRightInd/>
        <w:snapToGrid/>
        <w:spacing w:before="0" w:beforeAutospacing="0" w:after="0" w:afterAutospacing="0" w:line="440" w:lineRule="exact"/>
        <w:ind w:firstLine="400"/>
        <w:contextualSpacing/>
        <w:textAlignment w:val="auto"/>
        <w:rPr>
          <w:color w:val="auto"/>
        </w:rPr>
      </w:pPr>
      <w:r>
        <w:rPr>
          <w:rFonts w:hint="eastAsia"/>
          <w:color w:val="auto"/>
        </w:rPr>
        <w:t>投诉书范本及制作说明详见附件3。</w:t>
      </w:r>
    </w:p>
    <w:p w14:paraId="2C3B4A79">
      <w:pPr>
        <w:pStyle w:val="131"/>
        <w:pageBreakBefore w:val="0"/>
        <w:kinsoku/>
        <w:wordWrap/>
        <w:overflowPunct/>
        <w:topLinePunct w:val="0"/>
        <w:bidi w:val="0"/>
        <w:adjustRightInd/>
        <w:snapToGrid/>
        <w:spacing w:before="0" w:beforeAutospacing="0" w:line="440" w:lineRule="exact"/>
        <w:ind w:firstLine="360"/>
        <w:textAlignment w:val="auto"/>
        <w:rPr>
          <w:rFonts w:ascii="宋体" w:hAnsi="宋体" w:cs="宋体"/>
          <w:color w:val="auto"/>
          <w:sz w:val="18"/>
          <w:szCs w:val="18"/>
        </w:rPr>
      </w:pPr>
    </w:p>
    <w:p w14:paraId="34139F65">
      <w:pPr>
        <w:pageBreakBefore w:val="0"/>
        <w:kinsoku/>
        <w:wordWrap/>
        <w:overflowPunct/>
        <w:topLinePunct w:val="0"/>
        <w:bidi w:val="0"/>
        <w:adjustRightInd/>
        <w:snapToGrid/>
        <w:spacing w:beforeAutospacing="0" w:line="440" w:lineRule="exact"/>
        <w:jc w:val="center"/>
        <w:textAlignment w:val="auto"/>
        <w:outlineLvl w:val="0"/>
        <w:rPr>
          <w:rFonts w:ascii="宋体" w:hAnsi="宋体" w:cs="宋体"/>
          <w:b/>
          <w:color w:val="auto"/>
          <w:sz w:val="32"/>
          <w:szCs w:val="20"/>
        </w:rPr>
      </w:pPr>
      <w:r>
        <w:rPr>
          <w:rFonts w:hint="eastAsia" w:ascii="宋体" w:hAnsi="宋体" w:cs="宋体"/>
          <w:b/>
          <w:color w:val="auto"/>
          <w:sz w:val="32"/>
          <w:szCs w:val="20"/>
        </w:rPr>
        <w:t xml:space="preserve">      二、招标文件的构成、澄清、修改</w:t>
      </w:r>
    </w:p>
    <w:p w14:paraId="7FEE0069">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5．招标文件的构成</w:t>
      </w:r>
    </w:p>
    <w:p w14:paraId="0CC92D53">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sz w:val="24"/>
          <w:szCs w:val="24"/>
        </w:rPr>
      </w:pPr>
      <w:r>
        <w:rPr>
          <w:rFonts w:hint="eastAsia" w:hAnsi="宋体" w:cs="宋体"/>
          <w:color w:val="auto"/>
          <w:sz w:val="24"/>
          <w:szCs w:val="24"/>
        </w:rPr>
        <w:t>5.1 招标文件包括下列文件及附件：</w:t>
      </w:r>
    </w:p>
    <w:p w14:paraId="687F480F">
      <w:pPr>
        <w:pStyle w:val="32"/>
        <w:pageBreakBefore w:val="0"/>
        <w:tabs>
          <w:tab w:val="left" w:pos="840"/>
        </w:tabs>
        <w:kinsoku/>
        <w:wordWrap/>
        <w:overflowPunct/>
        <w:topLinePunct w:val="0"/>
        <w:bidi w:val="0"/>
        <w:adjustRightInd/>
        <w:snapToGrid/>
        <w:spacing w:beforeAutospacing="0" w:line="440" w:lineRule="exact"/>
        <w:ind w:firstLine="960" w:firstLineChars="400"/>
        <w:textAlignment w:val="auto"/>
        <w:rPr>
          <w:rFonts w:hAnsi="宋体" w:cs="宋体"/>
          <w:color w:val="auto"/>
          <w:sz w:val="24"/>
          <w:szCs w:val="24"/>
        </w:rPr>
      </w:pPr>
      <w:r>
        <w:rPr>
          <w:rFonts w:hint="eastAsia" w:hAnsi="宋体" w:cs="宋体"/>
          <w:color w:val="auto"/>
          <w:sz w:val="24"/>
          <w:szCs w:val="24"/>
        </w:rPr>
        <w:t>5.1.1招标公告；</w:t>
      </w:r>
    </w:p>
    <w:p w14:paraId="7F3F6FD7">
      <w:pPr>
        <w:pStyle w:val="32"/>
        <w:pageBreakBefore w:val="0"/>
        <w:tabs>
          <w:tab w:val="left" w:pos="840"/>
        </w:tabs>
        <w:kinsoku/>
        <w:wordWrap/>
        <w:overflowPunct/>
        <w:topLinePunct w:val="0"/>
        <w:bidi w:val="0"/>
        <w:adjustRightInd/>
        <w:snapToGrid/>
        <w:spacing w:beforeAutospacing="0" w:line="440" w:lineRule="exact"/>
        <w:ind w:firstLine="960" w:firstLineChars="400"/>
        <w:textAlignment w:val="auto"/>
        <w:rPr>
          <w:rFonts w:hAnsi="宋体" w:cs="宋体"/>
          <w:color w:val="auto"/>
          <w:sz w:val="24"/>
          <w:szCs w:val="24"/>
        </w:rPr>
      </w:pPr>
      <w:r>
        <w:rPr>
          <w:rFonts w:hint="eastAsia" w:hAnsi="宋体" w:cs="宋体"/>
          <w:color w:val="auto"/>
          <w:sz w:val="24"/>
          <w:szCs w:val="24"/>
        </w:rPr>
        <w:t>5.1.2投标人须知；</w:t>
      </w:r>
    </w:p>
    <w:p w14:paraId="719DBAFD">
      <w:pPr>
        <w:pStyle w:val="32"/>
        <w:pageBreakBefore w:val="0"/>
        <w:tabs>
          <w:tab w:val="left" w:pos="840"/>
        </w:tabs>
        <w:kinsoku/>
        <w:wordWrap/>
        <w:overflowPunct/>
        <w:topLinePunct w:val="0"/>
        <w:bidi w:val="0"/>
        <w:adjustRightInd/>
        <w:snapToGrid/>
        <w:spacing w:beforeAutospacing="0" w:line="440" w:lineRule="exact"/>
        <w:ind w:firstLine="960" w:firstLineChars="400"/>
        <w:textAlignment w:val="auto"/>
        <w:rPr>
          <w:rFonts w:hAnsi="宋体" w:cs="宋体"/>
          <w:color w:val="auto"/>
          <w:sz w:val="24"/>
          <w:szCs w:val="24"/>
        </w:rPr>
      </w:pPr>
      <w:r>
        <w:rPr>
          <w:rFonts w:hint="eastAsia" w:hAnsi="宋体" w:cs="宋体"/>
          <w:color w:val="auto"/>
          <w:sz w:val="24"/>
          <w:szCs w:val="24"/>
        </w:rPr>
        <w:t>5.1.3采购需求；</w:t>
      </w:r>
    </w:p>
    <w:p w14:paraId="450D2AF1">
      <w:pPr>
        <w:pStyle w:val="32"/>
        <w:pageBreakBefore w:val="0"/>
        <w:tabs>
          <w:tab w:val="left" w:pos="840"/>
        </w:tabs>
        <w:kinsoku/>
        <w:wordWrap/>
        <w:overflowPunct/>
        <w:topLinePunct w:val="0"/>
        <w:bidi w:val="0"/>
        <w:adjustRightInd/>
        <w:snapToGrid/>
        <w:spacing w:beforeAutospacing="0" w:line="440" w:lineRule="exact"/>
        <w:ind w:firstLine="960" w:firstLineChars="400"/>
        <w:textAlignment w:val="auto"/>
        <w:rPr>
          <w:rFonts w:hAnsi="宋体" w:cs="宋体"/>
          <w:color w:val="auto"/>
          <w:sz w:val="24"/>
          <w:szCs w:val="24"/>
        </w:rPr>
      </w:pPr>
      <w:r>
        <w:rPr>
          <w:rFonts w:hint="eastAsia" w:hAnsi="宋体" w:cs="宋体"/>
          <w:color w:val="auto"/>
          <w:sz w:val="24"/>
          <w:szCs w:val="24"/>
        </w:rPr>
        <w:t>5.1.4评标办法；</w:t>
      </w:r>
    </w:p>
    <w:p w14:paraId="5AB98ED7">
      <w:pPr>
        <w:pStyle w:val="32"/>
        <w:pageBreakBefore w:val="0"/>
        <w:tabs>
          <w:tab w:val="left" w:pos="840"/>
        </w:tabs>
        <w:kinsoku/>
        <w:wordWrap/>
        <w:overflowPunct/>
        <w:topLinePunct w:val="0"/>
        <w:bidi w:val="0"/>
        <w:adjustRightInd/>
        <w:snapToGrid/>
        <w:spacing w:beforeAutospacing="0" w:line="440" w:lineRule="exact"/>
        <w:ind w:firstLine="960" w:firstLineChars="400"/>
        <w:textAlignment w:val="auto"/>
        <w:rPr>
          <w:rFonts w:hAnsi="宋体" w:cs="宋体"/>
          <w:color w:val="auto"/>
          <w:sz w:val="24"/>
          <w:szCs w:val="24"/>
        </w:rPr>
      </w:pPr>
      <w:r>
        <w:rPr>
          <w:rFonts w:hint="eastAsia" w:hAnsi="宋体" w:cs="宋体"/>
          <w:color w:val="auto"/>
          <w:sz w:val="24"/>
          <w:szCs w:val="24"/>
        </w:rPr>
        <w:t>5.1.5拟签订的合同文本；</w:t>
      </w:r>
    </w:p>
    <w:p w14:paraId="5C5B1AAC">
      <w:pPr>
        <w:pStyle w:val="32"/>
        <w:pageBreakBefore w:val="0"/>
        <w:tabs>
          <w:tab w:val="left" w:pos="840"/>
        </w:tabs>
        <w:kinsoku/>
        <w:wordWrap/>
        <w:overflowPunct/>
        <w:topLinePunct w:val="0"/>
        <w:bidi w:val="0"/>
        <w:adjustRightInd/>
        <w:snapToGrid/>
        <w:spacing w:beforeAutospacing="0" w:line="440" w:lineRule="exact"/>
        <w:ind w:firstLine="960" w:firstLineChars="400"/>
        <w:textAlignment w:val="auto"/>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14:paraId="130340C0">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14:paraId="5872C6F0">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6. 招标文件的澄清、修改</w:t>
      </w:r>
    </w:p>
    <w:p w14:paraId="553A070D">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6.1已获取招标文件的潜在投标人，若有问题需要澄清，应于投标截止时间前，以书面形式向</w:t>
      </w:r>
      <w:r>
        <w:rPr>
          <w:rFonts w:hint="eastAsia" w:ascii="宋体" w:hAnsi="宋体" w:cs="宋体"/>
          <w:color w:val="auto"/>
          <w:lang w:eastAsia="zh-CN"/>
        </w:rPr>
        <w:t>采购代理机构</w:t>
      </w:r>
      <w:r>
        <w:rPr>
          <w:rFonts w:hint="eastAsia" w:ascii="宋体" w:hAnsi="宋体" w:cs="宋体"/>
          <w:color w:val="auto"/>
        </w:rPr>
        <w:t>提出。</w:t>
      </w:r>
    </w:p>
    <w:p w14:paraId="4699CA94">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 xml:space="preserve">6.2 </w:t>
      </w:r>
      <w:r>
        <w:rPr>
          <w:rFonts w:hint="eastAsia" w:ascii="宋体" w:hAnsi="宋体" w:cs="宋体"/>
          <w:color w:val="auto"/>
          <w:lang w:eastAsia="zh-CN"/>
        </w:rPr>
        <w:t>采购代理机构</w:t>
      </w:r>
      <w:r>
        <w:rPr>
          <w:rFonts w:hint="eastAsia" w:ascii="宋体" w:hAnsi="宋体" w:cs="宋体"/>
          <w:color w:val="auto"/>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0730FD8">
      <w:pPr>
        <w:pStyle w:val="24"/>
        <w:pageBreakBefore w:val="0"/>
        <w:kinsoku/>
        <w:wordWrap/>
        <w:overflowPunct/>
        <w:topLinePunct w:val="0"/>
        <w:bidi w:val="0"/>
        <w:adjustRightInd/>
        <w:snapToGrid/>
        <w:spacing w:beforeAutospacing="0" w:line="440" w:lineRule="exact"/>
        <w:textAlignment w:val="auto"/>
        <w:rPr>
          <w:rFonts w:hAnsi="宋体" w:cs="宋体"/>
          <w:color w:val="auto"/>
          <w:sz w:val="18"/>
          <w:szCs w:val="18"/>
          <w:lang w:val="en-US"/>
        </w:rPr>
      </w:pPr>
      <w:r>
        <w:rPr>
          <w:rFonts w:hint="eastAsia" w:hAnsi="宋体" w:cs="宋体"/>
          <w:color w:val="auto"/>
          <w:szCs w:val="24"/>
          <w:lang w:val="en-US"/>
        </w:rPr>
        <w:t xml:space="preserve">    </w:t>
      </w:r>
    </w:p>
    <w:p w14:paraId="62F220E1">
      <w:pPr>
        <w:pageBreakBefore w:val="0"/>
        <w:kinsoku/>
        <w:wordWrap/>
        <w:overflowPunct/>
        <w:topLinePunct w:val="0"/>
        <w:bidi w:val="0"/>
        <w:adjustRightInd/>
        <w:snapToGrid/>
        <w:spacing w:beforeAutospacing="0" w:line="440" w:lineRule="exact"/>
        <w:jc w:val="center"/>
        <w:textAlignment w:val="auto"/>
        <w:outlineLvl w:val="0"/>
        <w:rPr>
          <w:rFonts w:ascii="宋体" w:hAnsi="宋体" w:cs="宋体"/>
          <w:b/>
          <w:color w:val="auto"/>
          <w:sz w:val="30"/>
          <w:szCs w:val="20"/>
        </w:rPr>
      </w:pPr>
      <w:r>
        <w:rPr>
          <w:rFonts w:hint="eastAsia" w:ascii="宋体" w:hAnsi="宋体" w:cs="宋体"/>
          <w:b/>
          <w:color w:val="auto"/>
          <w:sz w:val="30"/>
          <w:szCs w:val="20"/>
        </w:rPr>
        <w:t>三、投标</w:t>
      </w:r>
    </w:p>
    <w:p w14:paraId="0EEC1CF7">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7. 招标文件的获取</w:t>
      </w:r>
    </w:p>
    <w:p w14:paraId="672C0E8D">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14:paraId="6837B1F3">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8.开标前答疑会或现场考察</w:t>
      </w:r>
    </w:p>
    <w:p w14:paraId="2F4912F6">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14:paraId="2F30D391">
      <w:pPr>
        <w:pStyle w:val="32"/>
        <w:pageBreakBefore w:val="0"/>
        <w:kinsoku/>
        <w:wordWrap/>
        <w:overflowPunct/>
        <w:topLinePunct w:val="0"/>
        <w:bidi w:val="0"/>
        <w:adjustRightInd/>
        <w:snapToGrid/>
        <w:spacing w:beforeAutospacing="0" w:line="440" w:lineRule="exact"/>
        <w:textAlignment w:val="auto"/>
        <w:rPr>
          <w:rFonts w:hAnsi="宋体" w:cs="宋体"/>
          <w:b/>
          <w:color w:val="auto"/>
          <w:szCs w:val="24"/>
        </w:rPr>
      </w:pPr>
      <w:r>
        <w:rPr>
          <w:rFonts w:hint="eastAsia" w:hAnsi="宋体" w:cs="宋体"/>
          <w:b/>
          <w:color w:val="auto"/>
          <w:kern w:val="28"/>
          <w:sz w:val="24"/>
          <w:szCs w:val="24"/>
        </w:rPr>
        <w:t>9.投标保证金</w:t>
      </w:r>
    </w:p>
    <w:p w14:paraId="4BA8D240">
      <w:pPr>
        <w:pStyle w:val="5"/>
        <w:pageBreakBefore w:val="0"/>
        <w:kinsoku/>
        <w:wordWrap/>
        <w:overflowPunct/>
        <w:topLinePunct w:val="0"/>
        <w:bidi w:val="0"/>
        <w:adjustRightInd/>
        <w:snapToGrid/>
        <w:spacing w:beforeAutospacing="0" w:line="440" w:lineRule="exact"/>
        <w:ind w:firstLine="470" w:firstLineChars="196"/>
        <w:textAlignment w:val="auto"/>
        <w:rPr>
          <w:rFonts w:hAnsi="宋体" w:cs="宋体"/>
          <w:color w:val="auto"/>
          <w:sz w:val="24"/>
        </w:rPr>
      </w:pPr>
      <w:r>
        <w:rPr>
          <w:rFonts w:hint="eastAsia" w:hAnsi="宋体" w:cs="宋体"/>
          <w:color w:val="auto"/>
          <w:sz w:val="24"/>
        </w:rPr>
        <w:t>本项目不需缴纳投标保证金。</w:t>
      </w:r>
    </w:p>
    <w:p w14:paraId="52BF23C9">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10. 投标文件的语言</w:t>
      </w:r>
    </w:p>
    <w:p w14:paraId="25C2CCEC">
      <w:pPr>
        <w:pageBreakBefore w:val="0"/>
        <w:kinsoku/>
        <w:wordWrap/>
        <w:overflowPunct/>
        <w:topLinePunct w:val="0"/>
        <w:autoSpaceDE w:val="0"/>
        <w:autoSpaceDN w:val="0"/>
        <w:bidi w:val="0"/>
        <w:adjustRightInd/>
        <w:snapToGrid/>
        <w:spacing w:beforeAutospacing="0" w:line="440" w:lineRule="exact"/>
        <w:ind w:firstLine="480" w:firstLineChars="200"/>
        <w:textAlignment w:val="auto"/>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14:paraId="42BDA1B8">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11. 投标文件的组成</w:t>
      </w:r>
    </w:p>
    <w:p w14:paraId="470965C4">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14:paraId="01ACD4C2">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11.1.1符合参加政府采购活动应当具备的一般条件的承诺函；</w:t>
      </w:r>
    </w:p>
    <w:p w14:paraId="0F13589A">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r>
        <w:rPr>
          <w:rFonts w:hint="eastAsia" w:ascii="宋体" w:hAnsi="宋体" w:cs="宋体"/>
          <w:snapToGrid w:val="0"/>
          <w:color w:val="auto"/>
          <w:kern w:val="28"/>
          <w:sz w:val="24"/>
          <w:szCs w:val="20"/>
        </w:rPr>
        <w:t>联合协议（如果有)；</w:t>
      </w:r>
    </w:p>
    <w:p w14:paraId="7E0BB50C">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433C9E4">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243A4A49">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b/>
          <w:bCs/>
          <w:color w:val="auto"/>
          <w:sz w:val="24"/>
        </w:rPr>
        <w:t>商务技术</w:t>
      </w:r>
      <w:r>
        <w:rPr>
          <w:rFonts w:hint="eastAsia" w:ascii="宋体" w:hAnsi="宋体" w:cs="宋体"/>
          <w:b/>
          <w:bCs/>
          <w:color w:val="auto"/>
          <w:sz w:val="24"/>
          <w:lang w:val="zh-CN"/>
        </w:rPr>
        <w:t>文件</w:t>
      </w:r>
      <w:r>
        <w:rPr>
          <w:rFonts w:hint="eastAsia" w:ascii="宋体" w:hAnsi="宋体" w:cs="宋体"/>
          <w:color w:val="auto"/>
          <w:sz w:val="24"/>
          <w:lang w:val="zh-CN"/>
        </w:rPr>
        <w:t>：</w:t>
      </w:r>
    </w:p>
    <w:p w14:paraId="1B441CF3">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427819EF">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4D0BA8FC">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699642C4">
      <w:pPr>
        <w:pageBreakBefore w:val="0"/>
        <w:kinsoku/>
        <w:wordWrap/>
        <w:overflowPunct/>
        <w:topLinePunct w:val="0"/>
        <w:bidi w:val="0"/>
        <w:adjustRightInd/>
        <w:snapToGrid/>
        <w:spacing w:beforeAutospacing="0" w:line="440" w:lineRule="exact"/>
        <w:ind w:firstLine="960" w:firstLineChars="400"/>
        <w:textAlignment w:val="auto"/>
        <w:rPr>
          <w:rFonts w:hint="eastAsia"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p>
    <w:p w14:paraId="6CF29FB8">
      <w:pPr>
        <w:pageBreakBefore w:val="0"/>
        <w:kinsoku/>
        <w:wordWrap/>
        <w:overflowPunct/>
        <w:topLinePunct w:val="0"/>
        <w:bidi w:val="0"/>
        <w:adjustRightInd/>
        <w:snapToGrid/>
        <w:spacing w:beforeAutospacing="0" w:line="440" w:lineRule="exact"/>
        <w:ind w:firstLine="960" w:firstLineChars="400"/>
        <w:textAlignment w:val="auto"/>
        <w:rPr>
          <w:rFonts w:hint="eastAsia"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cs="宋体"/>
          <w:color w:val="auto"/>
          <w:sz w:val="24"/>
        </w:rPr>
        <w:t>评标标准相应的商务技术资料；</w:t>
      </w:r>
    </w:p>
    <w:p w14:paraId="4F1AFD39">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投标标的清单；</w:t>
      </w:r>
    </w:p>
    <w:p w14:paraId="06F9322C">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7</w:t>
      </w:r>
      <w:r>
        <w:rPr>
          <w:rFonts w:hint="eastAsia" w:ascii="宋体" w:hAnsi="宋体" w:cs="宋体"/>
          <w:color w:val="auto"/>
          <w:sz w:val="24"/>
        </w:rPr>
        <w:t>商务技术偏离表；</w:t>
      </w:r>
    </w:p>
    <w:p w14:paraId="7C4C285B">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14:paraId="46A62249">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u w:val="single"/>
          <w:lang w:val="zh-CN"/>
        </w:rPr>
      </w:pPr>
      <w:r>
        <w:rPr>
          <w:rFonts w:hint="eastAsia" w:ascii="宋体" w:hAnsi="宋体" w:cs="宋体"/>
          <w:color w:val="auto"/>
          <w:kern w:val="0"/>
          <w:sz w:val="24"/>
          <w:lang w:val="zh-CN"/>
        </w:rPr>
        <w:t>11.</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640CDD3B">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11.3.1开标一览表（报价表）；</w:t>
      </w:r>
    </w:p>
    <w:p w14:paraId="492C4D5C">
      <w:pPr>
        <w:pageBreakBefore w:val="0"/>
        <w:kinsoku/>
        <w:wordWrap/>
        <w:overflowPunct/>
        <w:topLinePunct w:val="0"/>
        <w:bidi w:val="0"/>
        <w:adjustRightInd/>
        <w:snapToGrid/>
        <w:spacing w:beforeAutospacing="0" w:line="440" w:lineRule="exact"/>
        <w:ind w:firstLine="960" w:firstLineChars="400"/>
        <w:textAlignment w:val="auto"/>
        <w:rPr>
          <w:rFonts w:ascii="宋体" w:hAnsi="宋体" w:cs="宋体"/>
          <w:color w:val="auto"/>
          <w:sz w:val="24"/>
        </w:rPr>
      </w:pPr>
      <w:r>
        <w:rPr>
          <w:rFonts w:hint="eastAsia" w:ascii="宋体" w:hAnsi="宋体" w:cs="宋体"/>
          <w:color w:val="auto"/>
          <w:sz w:val="24"/>
        </w:rPr>
        <w:t>11.3.2中小企业声明函。</w:t>
      </w:r>
    </w:p>
    <w:p w14:paraId="78A9563F">
      <w:pPr>
        <w:pageBreakBefore w:val="0"/>
        <w:kinsoku/>
        <w:wordWrap/>
        <w:overflowPunct/>
        <w:topLinePunct w:val="0"/>
        <w:bidi w:val="0"/>
        <w:adjustRightInd/>
        <w:snapToGrid/>
        <w:spacing w:beforeAutospacing="0" w:line="440" w:lineRule="exact"/>
        <w:ind w:firstLine="723" w:firstLineChars="300"/>
        <w:textAlignment w:val="auto"/>
        <w:rPr>
          <w:rFonts w:ascii="宋体" w:hAnsi="宋体" w:cs="宋体"/>
          <w:b/>
          <w:color w:val="auto"/>
          <w:sz w:val="24"/>
        </w:rPr>
      </w:pPr>
      <w:r>
        <w:rPr>
          <w:rFonts w:hint="eastAsia" w:ascii="宋体" w:hAnsi="宋体" w:cs="宋体"/>
          <w:b/>
          <w:color w:val="auto"/>
          <w:sz w:val="24"/>
        </w:rPr>
        <w:t>投标文件含有采购人不能接受的附加条件的，投标无效；</w:t>
      </w:r>
    </w:p>
    <w:p w14:paraId="2F1D0C12">
      <w:pPr>
        <w:pageBreakBefore w:val="0"/>
        <w:kinsoku/>
        <w:wordWrap/>
        <w:overflowPunct/>
        <w:topLinePunct w:val="0"/>
        <w:bidi w:val="0"/>
        <w:adjustRightInd/>
        <w:snapToGrid/>
        <w:spacing w:beforeAutospacing="0" w:line="440" w:lineRule="exact"/>
        <w:ind w:firstLine="723" w:firstLineChars="300"/>
        <w:textAlignment w:val="auto"/>
        <w:rPr>
          <w:rFonts w:hint="eastAsia" w:ascii="宋体" w:hAnsi="宋体" w:cs="宋体"/>
          <w:b/>
          <w:color w:val="auto"/>
          <w:sz w:val="24"/>
        </w:rPr>
      </w:pPr>
      <w:r>
        <w:rPr>
          <w:rFonts w:hint="eastAsia" w:ascii="宋体" w:hAnsi="宋体" w:cs="宋体"/>
          <w:b/>
          <w:color w:val="auto"/>
          <w:sz w:val="24"/>
        </w:rPr>
        <w:t>投标人提供虚假材料投标的，投标无效。</w:t>
      </w:r>
    </w:p>
    <w:p w14:paraId="066A6838">
      <w:pPr>
        <w:pageBreakBefore w:val="0"/>
        <w:kinsoku/>
        <w:wordWrap/>
        <w:overflowPunct/>
        <w:topLinePunct w:val="0"/>
        <w:bidi w:val="0"/>
        <w:adjustRightInd/>
        <w:snapToGrid/>
        <w:spacing w:beforeAutospacing="0"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投标人应对投标文件中材料的真实性、合法性负责。投标人可事先在公开官网查询、核对相关证书和报告内容，确保投标（响应）文件资料准确无误。</w:t>
      </w:r>
    </w:p>
    <w:p w14:paraId="3E75FAD8">
      <w:pPr>
        <w:pStyle w:val="131"/>
        <w:pageBreakBefore w:val="0"/>
        <w:kinsoku/>
        <w:wordWrap/>
        <w:overflowPunct/>
        <w:topLinePunct w:val="0"/>
        <w:bidi w:val="0"/>
        <w:adjustRightInd/>
        <w:snapToGrid/>
        <w:spacing w:before="0" w:beforeAutospacing="0" w:line="440" w:lineRule="exact"/>
        <w:ind w:firstLine="0" w:firstLineChars="0"/>
        <w:textAlignment w:val="auto"/>
        <w:outlineLvl w:val="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14:paraId="16AAAC23">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8645686">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93E415C">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kern w:val="0"/>
          <w:sz w:val="24"/>
          <w:lang w:val="zh-CN"/>
        </w:rPr>
      </w:pPr>
      <w:r>
        <w:rPr>
          <w:rFonts w:hint="eastAsia" w:ascii="宋体" w:hAnsi="宋体" w:cs="宋体"/>
          <w:color w:val="auto"/>
          <w:kern w:val="0"/>
          <w:sz w:val="24"/>
          <w:lang w:val="zh-CN"/>
        </w:rPr>
        <w:t>12.3使用“政采云电子交易客户端”需要提前申领CA数字证书，申领流程请自行前往“浙江政府采购网-下载专区-电子交易客户端-CA驱动和申领流程”进行查阅。</w:t>
      </w:r>
    </w:p>
    <w:p w14:paraId="536EFCE0">
      <w:pPr>
        <w:pageBreakBefore w:val="0"/>
        <w:kinsoku/>
        <w:wordWrap/>
        <w:overflowPunct/>
        <w:topLinePunct w:val="0"/>
        <w:bidi w:val="0"/>
        <w:adjustRightInd/>
        <w:snapToGrid/>
        <w:spacing w:beforeAutospacing="0" w:line="440" w:lineRule="exact"/>
        <w:textAlignment w:val="auto"/>
        <w:rPr>
          <w:rFonts w:ascii="宋体" w:hAnsi="宋体" w:cs="宋体"/>
          <w:b/>
          <w:color w:val="auto"/>
          <w:sz w:val="24"/>
        </w:rPr>
      </w:pPr>
      <w:r>
        <w:rPr>
          <w:rFonts w:hint="eastAsia" w:ascii="宋体" w:hAnsi="宋体" w:cs="宋体"/>
          <w:b/>
          <w:color w:val="auto"/>
          <w:sz w:val="24"/>
        </w:rPr>
        <w:t>13.投标文件的签署、盖章</w:t>
      </w:r>
    </w:p>
    <w:p w14:paraId="5F6AAA56">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14:paraId="0DCF0E87">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13.2为确保网上操作合法、有效和安全，投标人应当在投标截止时间前完成在“政府采购云平台”的身份认证，确保在电子投标过程中能够对相关数据电文进行加密和使用电子签名。</w:t>
      </w:r>
    </w:p>
    <w:p w14:paraId="22A96C67">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szCs w:val="24"/>
        </w:rPr>
      </w:pPr>
      <w:r>
        <w:rPr>
          <w:rFonts w:hint="eastAsia" w:ascii="宋体" w:hAnsi="宋体" w:cs="宋体"/>
          <w:color w:val="auto"/>
        </w:rPr>
        <w:t>13.3招标文件对投标文件签署、盖章的要求适用于电子签名。</w:t>
      </w:r>
    </w:p>
    <w:p w14:paraId="41D682D0">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b/>
          <w:color w:val="auto"/>
          <w:szCs w:val="24"/>
        </w:rPr>
      </w:pPr>
      <w:r>
        <w:rPr>
          <w:rFonts w:hint="eastAsia" w:ascii="宋体" w:hAnsi="宋体" w:cs="宋体"/>
          <w:b/>
          <w:color w:val="auto"/>
          <w:szCs w:val="24"/>
        </w:rPr>
        <w:t>14. 投标文件的提交、补充、修改、撤回</w:t>
      </w:r>
    </w:p>
    <w:p w14:paraId="439C1BEB">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szCs w:val="24"/>
        </w:rPr>
      </w:pPr>
      <w:r>
        <w:rPr>
          <w:rFonts w:hint="eastAsia" w:ascii="宋体" w:hAnsi="宋体" w:cs="宋体"/>
          <w:color w:val="auto"/>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F8B3038">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szCs w:val="24"/>
        </w:rPr>
      </w:pPr>
      <w:r>
        <w:rPr>
          <w:rFonts w:hint="eastAsia" w:ascii="宋体" w:hAnsi="宋体" w:cs="宋体"/>
          <w:color w:val="auto"/>
          <w:szCs w:val="24"/>
        </w:rPr>
        <w:t>14.2电子交易平台收到投标文件，将妥善保存并即时向供应商发出确认回执通知。在投标截止时间前，除供应商补充、修改或者撤回投标文件外，任何单位和个人不得解密或提取投标文件。</w:t>
      </w:r>
    </w:p>
    <w:p w14:paraId="2F537EF6">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szCs w:val="24"/>
        </w:rPr>
      </w:pPr>
      <w:r>
        <w:rPr>
          <w:rFonts w:hint="eastAsia" w:ascii="宋体" w:hAnsi="宋体" w:cs="宋体"/>
          <w:color w:val="auto"/>
          <w:szCs w:val="24"/>
        </w:rPr>
        <w:t>14.3采购人、</w:t>
      </w:r>
      <w:r>
        <w:rPr>
          <w:rFonts w:hint="eastAsia" w:ascii="宋体" w:hAnsi="宋体" w:cs="宋体"/>
          <w:color w:val="auto"/>
          <w:szCs w:val="24"/>
          <w:lang w:eastAsia="zh-CN"/>
        </w:rPr>
        <w:t>采购代理机构</w:t>
      </w:r>
      <w:r>
        <w:rPr>
          <w:rFonts w:hint="eastAsia" w:ascii="宋体" w:hAnsi="宋体" w:cs="宋体"/>
          <w:color w:val="auto"/>
          <w:szCs w:val="24"/>
        </w:rPr>
        <w:t>可以视情况延长投标文件提交的截止时间。在上述情况下，</w:t>
      </w:r>
      <w:r>
        <w:rPr>
          <w:rFonts w:hint="eastAsia" w:ascii="宋体" w:hAnsi="宋体" w:cs="宋体"/>
          <w:color w:val="auto"/>
          <w:szCs w:val="24"/>
          <w:lang w:eastAsia="zh-CN"/>
        </w:rPr>
        <w:t>采购代理机构</w:t>
      </w:r>
      <w:r>
        <w:rPr>
          <w:rFonts w:hint="eastAsia" w:ascii="宋体" w:hAnsi="宋体" w:cs="宋体"/>
          <w:color w:val="auto"/>
          <w:szCs w:val="24"/>
        </w:rPr>
        <w:t>与投标人以前在投标截止期方面的全部权利、责任和义务，将适用于延长至新的投标截止期。</w:t>
      </w:r>
    </w:p>
    <w:p w14:paraId="2BF6F9B3">
      <w:pPr>
        <w:pStyle w:val="32"/>
        <w:pageBreakBefore w:val="0"/>
        <w:kinsoku/>
        <w:wordWrap/>
        <w:overflowPunct/>
        <w:topLinePunct w:val="0"/>
        <w:bidi w:val="0"/>
        <w:adjustRightInd/>
        <w:snapToGrid/>
        <w:spacing w:beforeAutospacing="0" w:line="440" w:lineRule="exact"/>
        <w:textAlignment w:val="auto"/>
        <w:rPr>
          <w:rFonts w:hAnsi="宋体" w:cs="宋体"/>
          <w:b/>
          <w:color w:val="auto"/>
          <w:sz w:val="24"/>
          <w:szCs w:val="24"/>
        </w:rPr>
      </w:pPr>
      <w:r>
        <w:rPr>
          <w:rFonts w:hint="eastAsia" w:hAnsi="宋体" w:cs="宋体"/>
          <w:b/>
          <w:color w:val="auto"/>
          <w:sz w:val="24"/>
          <w:szCs w:val="24"/>
        </w:rPr>
        <w:t>15.备份投标文件</w:t>
      </w:r>
    </w:p>
    <w:p w14:paraId="722DD1E0">
      <w:pPr>
        <w:pStyle w:val="32"/>
        <w:pageBreakBefore w:val="0"/>
        <w:kinsoku/>
        <w:wordWrap/>
        <w:overflowPunct/>
        <w:topLinePunct w:val="0"/>
        <w:bidi w:val="0"/>
        <w:adjustRightInd/>
        <w:snapToGrid/>
        <w:spacing w:beforeAutospacing="0" w:line="440" w:lineRule="exact"/>
        <w:ind w:firstLine="360" w:firstLineChars="150"/>
        <w:textAlignment w:val="auto"/>
        <w:rPr>
          <w:rFonts w:hAnsi="宋体" w:cs="宋体"/>
          <w:b/>
          <w:color w:val="auto"/>
          <w:sz w:val="24"/>
          <w:szCs w:val="24"/>
        </w:rPr>
      </w:pP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不强制或变相强制投标人提交备份投标文件。</w:t>
      </w:r>
    </w:p>
    <w:p w14:paraId="727FCA2D">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b/>
          <w:color w:val="auto"/>
          <w:sz w:val="24"/>
          <w:szCs w:val="24"/>
        </w:rPr>
      </w:pPr>
      <w:r>
        <w:rPr>
          <w:rFonts w:hint="eastAsia" w:hAnsi="宋体" w:cs="宋体"/>
          <w:color w:val="auto"/>
          <w:sz w:val="24"/>
          <w:szCs w:val="24"/>
        </w:rPr>
        <w:t>15.2备份投标文件须在“政采云投标客户端”制作生成，并储存在</w:t>
      </w:r>
      <w:r>
        <w:rPr>
          <w:rFonts w:hint="eastAsia" w:hAnsi="宋体" w:cs="宋体"/>
          <w:color w:val="auto"/>
          <w:sz w:val="24"/>
        </w:rPr>
        <w:t>DVD光盘</w:t>
      </w:r>
      <w:r>
        <w:rPr>
          <w:rFonts w:hint="eastAsia" w:hAnsi="宋体" w:cs="宋体"/>
          <w:color w:val="auto"/>
          <w:sz w:val="24"/>
          <w:lang w:val="en-US" w:eastAsia="zh-CN"/>
        </w:rPr>
        <w:t>等存储介质</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14:paraId="61E433A5">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w:t>
      </w:r>
      <w:r>
        <w:rPr>
          <w:rFonts w:hint="eastAsia" w:hAnsi="宋体" w:cs="宋体"/>
          <w:color w:val="auto"/>
          <w:sz w:val="24"/>
          <w:szCs w:val="24"/>
          <w:lang w:eastAsia="zh-CN"/>
        </w:rPr>
        <w:t>采购代理机构</w:t>
      </w:r>
      <w:r>
        <w:rPr>
          <w:rFonts w:hint="eastAsia" w:hAnsi="宋体" w:cs="宋体"/>
          <w:color w:val="auto"/>
          <w:sz w:val="24"/>
          <w:szCs w:val="24"/>
        </w:rPr>
        <w:t>，</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将拒绝接受逾期送达的备份投标文件。</w:t>
      </w:r>
    </w:p>
    <w:p w14:paraId="52870396">
      <w:pPr>
        <w:pStyle w:val="32"/>
        <w:pageBreakBefore w:val="0"/>
        <w:kinsoku/>
        <w:wordWrap/>
        <w:overflowPunct/>
        <w:topLinePunct w:val="0"/>
        <w:bidi w:val="0"/>
        <w:adjustRightInd/>
        <w:snapToGrid/>
        <w:spacing w:beforeAutospacing="0" w:line="440" w:lineRule="exact"/>
        <w:ind w:firstLine="480" w:firstLineChars="200"/>
        <w:textAlignment w:val="auto"/>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将拒绝接受逾期送达的备份投标文件。邮寄过程中，电子备份投标文件发生泄露、遗失、损坏或延期送达等情况的，由投标人自行负责。</w:t>
      </w:r>
    </w:p>
    <w:p w14:paraId="6133D17E">
      <w:pPr>
        <w:pStyle w:val="32"/>
        <w:pageBreakBefore w:val="0"/>
        <w:kinsoku/>
        <w:wordWrap/>
        <w:overflowPunct/>
        <w:topLinePunct w:val="0"/>
        <w:bidi w:val="0"/>
        <w:adjustRightInd/>
        <w:snapToGrid/>
        <w:spacing w:beforeAutospacing="0" w:line="440" w:lineRule="exact"/>
        <w:ind w:firstLine="479" w:firstLineChars="199"/>
        <w:textAlignment w:val="auto"/>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14:paraId="4493BA35">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b/>
          <w:color w:val="auto"/>
          <w:szCs w:val="24"/>
        </w:rPr>
      </w:pPr>
      <w:r>
        <w:rPr>
          <w:rFonts w:hint="eastAsia" w:ascii="宋体" w:hAnsi="宋体" w:cs="宋体"/>
          <w:b/>
          <w:color w:val="auto"/>
          <w:szCs w:val="24"/>
        </w:rPr>
        <w:t>16.投标文件的无效处理</w:t>
      </w:r>
    </w:p>
    <w:p w14:paraId="5D25AE03">
      <w:pPr>
        <w:pStyle w:val="6"/>
        <w:pageBreakBefore w:val="0"/>
        <w:kinsoku/>
        <w:wordWrap/>
        <w:overflowPunct/>
        <w:topLinePunct w:val="0"/>
        <w:bidi w:val="0"/>
        <w:adjustRightInd/>
        <w:snapToGrid/>
        <w:spacing w:beforeAutospacing="0" w:line="440" w:lineRule="exact"/>
        <w:ind w:firstLine="360" w:firstLineChars="150"/>
        <w:textAlignment w:val="auto"/>
        <w:rPr>
          <w:rFonts w:cs="宋体"/>
          <w:color w:val="auto"/>
          <w:szCs w:val="21"/>
        </w:rPr>
      </w:pPr>
      <w:r>
        <w:rPr>
          <w:rFonts w:hint="eastAsia" w:cs="宋体"/>
          <w:color w:val="auto"/>
          <w:szCs w:val="21"/>
        </w:rPr>
        <w:t>有招标文件第四部分</w:t>
      </w:r>
      <w:r>
        <w:rPr>
          <w:rFonts w:cs="宋体"/>
          <w:color w:val="auto"/>
          <w:szCs w:val="21"/>
        </w:rPr>
        <w:t>4.2规定</w:t>
      </w:r>
      <w:r>
        <w:rPr>
          <w:rFonts w:hint="eastAsia" w:cs="宋体"/>
          <w:color w:val="auto"/>
          <w:szCs w:val="21"/>
        </w:rPr>
        <w:t>的情形之一的，投标无效：</w:t>
      </w:r>
    </w:p>
    <w:p w14:paraId="74B72E57">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b/>
          <w:color w:val="auto"/>
          <w:szCs w:val="24"/>
        </w:rPr>
      </w:pPr>
      <w:r>
        <w:rPr>
          <w:rFonts w:hint="eastAsia" w:ascii="宋体" w:hAnsi="宋体" w:cs="宋体"/>
          <w:b/>
          <w:color w:val="auto"/>
          <w:szCs w:val="24"/>
        </w:rPr>
        <w:t>17.投标有效期</w:t>
      </w:r>
    </w:p>
    <w:p w14:paraId="78DED8F3">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b/>
          <w:color w:val="auto"/>
          <w:sz w:val="24"/>
          <w:szCs w:val="21"/>
        </w:rPr>
      </w:pPr>
      <w:r>
        <w:rPr>
          <w:rFonts w:hint="eastAsia" w:ascii="宋体" w:hAnsi="宋体" w:cs="宋体"/>
          <w:color w:val="auto"/>
          <w:sz w:val="24"/>
          <w:szCs w:val="20"/>
        </w:rPr>
        <w:t>17.1投标有效期为从提交投标文件的截止之日起90天。▲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14:paraId="302520C4">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17.2投标文件合格投递后，自投标截止日期起，在投标有效期内有效。</w:t>
      </w:r>
    </w:p>
    <w:p w14:paraId="4580EA9C">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17.3在原定投标有效期满之前，如果出现特殊情况，</w:t>
      </w:r>
      <w:r>
        <w:rPr>
          <w:rFonts w:hint="eastAsia" w:ascii="宋体" w:hAnsi="宋体" w:cs="宋体"/>
          <w:color w:val="auto"/>
          <w:lang w:eastAsia="zh-CN"/>
        </w:rPr>
        <w:t>采购代理机构</w:t>
      </w:r>
      <w:r>
        <w:rPr>
          <w:rFonts w:hint="eastAsia" w:ascii="宋体" w:hAnsi="宋体" w:cs="宋体"/>
          <w:color w:val="auto"/>
        </w:rPr>
        <w:t>可以以书面形式通知投标人延长投标有效期。投标人同意延长的，不得要求或被允许修改其投标文件，投标人拒绝延长的，其投标无效。</w:t>
      </w:r>
    </w:p>
    <w:p w14:paraId="1CD092F0">
      <w:pPr>
        <w:pStyle w:val="131"/>
        <w:pageBreakBefore w:val="0"/>
        <w:kinsoku/>
        <w:wordWrap/>
        <w:overflowPunct/>
        <w:topLinePunct w:val="0"/>
        <w:bidi w:val="0"/>
        <w:adjustRightInd/>
        <w:snapToGrid/>
        <w:spacing w:before="0" w:beforeAutospacing="0" w:line="440" w:lineRule="exact"/>
        <w:ind w:firstLine="643"/>
        <w:textAlignment w:val="auto"/>
        <w:rPr>
          <w:rFonts w:ascii="宋体" w:hAnsi="宋体" w:cs="宋体"/>
          <w:b/>
          <w:color w:val="auto"/>
          <w:sz w:val="32"/>
        </w:rPr>
      </w:pPr>
    </w:p>
    <w:p w14:paraId="118F7679">
      <w:pPr>
        <w:pStyle w:val="131"/>
        <w:pageBreakBefore w:val="0"/>
        <w:kinsoku/>
        <w:wordWrap/>
        <w:overflowPunct/>
        <w:topLinePunct w:val="0"/>
        <w:bidi w:val="0"/>
        <w:adjustRightInd/>
        <w:snapToGrid/>
        <w:spacing w:before="0" w:beforeAutospacing="0" w:line="440" w:lineRule="exact"/>
        <w:ind w:firstLine="1928" w:firstLineChars="600"/>
        <w:textAlignment w:val="auto"/>
        <w:rPr>
          <w:rFonts w:ascii="宋体" w:hAnsi="宋体" w:cs="宋体"/>
          <w:b/>
          <w:color w:val="auto"/>
          <w:sz w:val="32"/>
        </w:rPr>
      </w:pPr>
      <w:r>
        <w:rPr>
          <w:rFonts w:hint="eastAsia" w:ascii="宋体" w:hAnsi="宋体" w:cs="宋体"/>
          <w:b/>
          <w:color w:val="auto"/>
          <w:sz w:val="32"/>
        </w:rPr>
        <w:t>四、开标、资格审查与信用信息查询</w:t>
      </w:r>
    </w:p>
    <w:p w14:paraId="71102893">
      <w:pPr>
        <w:pStyle w:val="557"/>
        <w:pageBreakBefore w:val="0"/>
        <w:kinsoku/>
        <w:wordWrap/>
        <w:overflowPunct/>
        <w:topLinePunct w:val="0"/>
        <w:bidi w:val="0"/>
        <w:adjustRightInd/>
        <w:snapToGrid/>
        <w:spacing w:before="0" w:beforeAutospacing="0" w:line="440" w:lineRule="exact"/>
        <w:ind w:left="0" w:firstLine="241" w:firstLineChars="100"/>
        <w:contextualSpacing/>
        <w:textAlignment w:val="auto"/>
        <w:rPr>
          <w:rFonts w:ascii="宋体" w:hAnsi="宋体" w:cs="宋体"/>
          <w:color w:val="auto"/>
          <w:sz w:val="24"/>
        </w:rPr>
      </w:pPr>
      <w:r>
        <w:rPr>
          <w:rFonts w:hint="eastAsia" w:ascii="宋体" w:hAnsi="宋体" w:cs="宋体"/>
          <w:b/>
          <w:color w:val="auto"/>
          <w:sz w:val="24"/>
          <w:szCs w:val="24"/>
        </w:rPr>
        <w:t>18.开标</w:t>
      </w:r>
      <w:r>
        <w:rPr>
          <w:rFonts w:hint="eastAsia" w:ascii="宋体" w:hAnsi="宋体" w:cs="宋体"/>
          <w:color w:val="auto"/>
          <w:sz w:val="24"/>
        </w:rPr>
        <w:t xml:space="preserve"> </w:t>
      </w:r>
    </w:p>
    <w:p w14:paraId="4F1A31E9">
      <w:pPr>
        <w:pStyle w:val="557"/>
        <w:pageBreakBefore w:val="0"/>
        <w:kinsoku/>
        <w:wordWrap/>
        <w:overflowPunct/>
        <w:topLinePunct w:val="0"/>
        <w:bidi w:val="0"/>
        <w:adjustRightInd/>
        <w:snapToGrid/>
        <w:spacing w:before="0" w:beforeAutospacing="0" w:line="440" w:lineRule="exact"/>
        <w:ind w:left="0" w:firstLine="480" w:firstLineChars="200"/>
        <w:contextualSpacing/>
        <w:textAlignment w:val="auto"/>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采购代理机构</w:t>
      </w:r>
      <w:r>
        <w:rPr>
          <w:rFonts w:hint="eastAsia" w:ascii="宋体" w:hAnsi="宋体" w:cs="宋体"/>
          <w:color w:val="auto"/>
          <w:sz w:val="24"/>
        </w:rPr>
        <w:t>按照招标文件规定的时间通过电子交易平台组织开标，所有投标人均应当准时在线参加。投标人不足3家的，不得开标。</w:t>
      </w:r>
    </w:p>
    <w:p w14:paraId="7F0E028B">
      <w:pPr>
        <w:pStyle w:val="557"/>
        <w:pageBreakBefore w:val="0"/>
        <w:kinsoku/>
        <w:wordWrap/>
        <w:overflowPunct/>
        <w:topLinePunct w:val="0"/>
        <w:bidi w:val="0"/>
        <w:adjustRightInd/>
        <w:snapToGrid/>
        <w:spacing w:before="0" w:beforeAutospacing="0" w:line="440" w:lineRule="exact"/>
        <w:ind w:left="0" w:firstLine="240" w:firstLineChars="100"/>
        <w:contextualSpacing/>
        <w:textAlignment w:val="auto"/>
        <w:rPr>
          <w:rFonts w:ascii="宋体" w:hAnsi="宋体" w:cs="宋体"/>
          <w:color w:val="auto"/>
          <w:sz w:val="24"/>
        </w:rPr>
      </w:pPr>
      <w:r>
        <w:rPr>
          <w:rFonts w:hint="eastAsia" w:ascii="宋体" w:hAnsi="宋体" w:cs="宋体"/>
          <w:color w:val="auto"/>
          <w:sz w:val="24"/>
        </w:rPr>
        <w:t>　18.2开标时，电子交易平台按开标时间自动提取所有投标文件。</w:t>
      </w:r>
      <w:r>
        <w:rPr>
          <w:rFonts w:hint="eastAsia" w:ascii="宋体" w:hAnsi="宋体" w:cs="宋体"/>
          <w:color w:val="auto"/>
          <w:sz w:val="24"/>
          <w:lang w:eastAsia="zh-CN"/>
        </w:rPr>
        <w:t>采购代理机构</w:t>
      </w:r>
      <w:r>
        <w:rPr>
          <w:rFonts w:hint="eastAsia" w:ascii="宋体" w:hAnsi="宋体" w:cs="宋体"/>
          <w:color w:val="auto"/>
          <w:sz w:val="24"/>
        </w:rPr>
        <w:t>依托电子交易平台发起开始解密指令，投标人按照平台提示和招标文件的规定在半小时内完成在线解密。</w:t>
      </w:r>
    </w:p>
    <w:p w14:paraId="7B06CD00">
      <w:pPr>
        <w:pStyle w:val="557"/>
        <w:pageBreakBefore w:val="0"/>
        <w:kinsoku/>
        <w:wordWrap/>
        <w:overflowPunct/>
        <w:topLinePunct w:val="0"/>
        <w:bidi w:val="0"/>
        <w:adjustRightInd/>
        <w:snapToGrid/>
        <w:spacing w:before="0" w:beforeAutospacing="0" w:line="440" w:lineRule="exact"/>
        <w:ind w:left="0" w:firstLine="240" w:firstLineChars="100"/>
        <w:contextualSpacing/>
        <w:textAlignment w:val="auto"/>
        <w:rPr>
          <w:rFonts w:ascii="宋体" w:hAnsi="宋体" w:cs="宋体"/>
          <w:b/>
          <w:color w:val="auto"/>
          <w:sz w:val="24"/>
        </w:rPr>
      </w:pPr>
      <w:r>
        <w:rPr>
          <w:rFonts w:hint="eastAsia" w:ascii="宋体" w:hAnsi="宋体" w:cs="宋体"/>
          <w:color w:val="auto"/>
          <w:sz w:val="24"/>
        </w:rPr>
        <w:t>　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14:paraId="74AAF859">
      <w:pPr>
        <w:pageBreakBefore w:val="0"/>
        <w:widowControl/>
        <w:kinsoku/>
        <w:wordWrap/>
        <w:overflowPunct/>
        <w:topLinePunct w:val="0"/>
        <w:bidi w:val="0"/>
        <w:adjustRightInd/>
        <w:snapToGrid/>
        <w:spacing w:beforeAutospacing="0" w:line="440" w:lineRule="exact"/>
        <w:jc w:val="left"/>
        <w:textAlignment w:val="auto"/>
        <w:rPr>
          <w:rFonts w:ascii="宋体" w:hAnsi="宋体" w:cs="宋体"/>
          <w:b/>
          <w:color w:val="auto"/>
          <w:sz w:val="24"/>
          <w:szCs w:val="20"/>
        </w:rPr>
      </w:pPr>
      <w:r>
        <w:rPr>
          <w:rFonts w:hint="eastAsia" w:ascii="宋体" w:hAnsi="宋体" w:cs="宋体"/>
          <w:b/>
          <w:color w:val="auto"/>
          <w:sz w:val="24"/>
          <w:szCs w:val="20"/>
        </w:rPr>
        <w:t>　19、资格审查</w:t>
      </w:r>
    </w:p>
    <w:p w14:paraId="5FDA9552">
      <w:pPr>
        <w:pageBreakBefore w:val="0"/>
        <w:kinsoku/>
        <w:wordWrap/>
        <w:overflowPunct/>
        <w:topLinePunct w:val="0"/>
        <w:bidi w:val="0"/>
        <w:adjustRightInd/>
        <w:snapToGrid/>
        <w:spacing w:beforeAutospacing="0" w:line="440" w:lineRule="exact"/>
        <w:ind w:firstLine="480" w:firstLineChars="200"/>
        <w:textAlignment w:val="auto"/>
        <w:rPr>
          <w:rFonts w:ascii="宋体" w:hAnsi="宋体" w:cs="宋体"/>
          <w:color w:val="auto"/>
          <w:sz w:val="24"/>
        </w:rPr>
      </w:pPr>
      <w:r>
        <w:rPr>
          <w:rFonts w:hint="eastAsia" w:ascii="宋体" w:hAnsi="宋体" w:cs="宋体"/>
          <w:color w:val="auto"/>
          <w:kern w:val="0"/>
          <w:sz w:val="24"/>
        </w:rPr>
        <w:t>19.</w:t>
      </w:r>
      <w:r>
        <w:rPr>
          <w:rFonts w:hint="eastAsia" w:ascii="宋体" w:hAnsi="宋体" w:cs="宋体"/>
          <w:color w:val="auto"/>
          <w:kern w:val="0"/>
          <w:sz w:val="24"/>
          <w:lang w:val="en-US" w:eastAsia="zh-CN"/>
        </w:rPr>
        <w:t>1</w:t>
      </w:r>
      <w:r>
        <w:rPr>
          <w:rFonts w:hint="eastAsia" w:ascii="宋体" w:hAnsi="宋体" w:cs="宋体"/>
          <w:color w:val="auto"/>
          <w:sz w:val="24"/>
        </w:rPr>
        <w:t>采购人或</w:t>
      </w:r>
      <w:r>
        <w:rPr>
          <w:rFonts w:hint="eastAsia" w:ascii="宋体" w:hAnsi="宋体" w:cs="宋体"/>
          <w:color w:val="auto"/>
          <w:sz w:val="24"/>
          <w:lang w:eastAsia="zh-CN"/>
        </w:rPr>
        <w:t>采购代理机构</w:t>
      </w:r>
      <w:r>
        <w:rPr>
          <w:rFonts w:hint="eastAsia" w:ascii="宋体" w:hAnsi="宋体" w:cs="宋体"/>
          <w:color w:val="auto"/>
          <w:sz w:val="24"/>
        </w:rPr>
        <w:t>依据法律法规和招标文件的规定，对投标人的资格进行审查。</w:t>
      </w:r>
    </w:p>
    <w:p w14:paraId="412294F3">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kern w:val="0"/>
          <w:szCs w:val="24"/>
          <w:lang w:val="en-US" w:eastAsia="zh-CN"/>
        </w:rPr>
        <w:t>2</w:t>
      </w:r>
      <w:r>
        <w:rPr>
          <w:rFonts w:hint="eastAsia" w:ascii="宋体" w:hAnsi="宋体" w:cs="宋体"/>
          <w:color w:val="auto"/>
          <w:kern w:val="0"/>
          <w:szCs w:val="24"/>
        </w:rPr>
        <w:t>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14:paraId="1151E5F9">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lang w:val="en-US" w:eastAsia="zh-CN"/>
        </w:rPr>
        <w:t>3</w:t>
      </w:r>
      <w:r>
        <w:rPr>
          <w:rFonts w:hint="eastAsia" w:ascii="宋体" w:hAnsi="宋体" w:cs="宋体"/>
          <w:color w:val="auto"/>
        </w:rPr>
        <w:t>对未通过资格审查的投标人，采购人或</w:t>
      </w:r>
      <w:r>
        <w:rPr>
          <w:rFonts w:hint="eastAsia" w:ascii="宋体" w:hAnsi="宋体" w:cs="宋体"/>
          <w:color w:val="auto"/>
          <w:lang w:eastAsia="zh-CN"/>
        </w:rPr>
        <w:t>采购代理机构</w:t>
      </w:r>
      <w:r>
        <w:rPr>
          <w:rFonts w:hint="eastAsia" w:ascii="宋体" w:hAnsi="宋体" w:cs="宋体"/>
          <w:color w:val="auto"/>
        </w:rPr>
        <w:t>告知其未通过的原因。</w:t>
      </w:r>
    </w:p>
    <w:p w14:paraId="719B4D2E">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lang w:val="en-US" w:eastAsia="zh-CN"/>
        </w:rPr>
        <w:t>4</w:t>
      </w:r>
      <w:r>
        <w:rPr>
          <w:rFonts w:hint="eastAsia" w:ascii="宋体" w:hAnsi="宋体" w:cs="宋体"/>
          <w:color w:val="auto"/>
        </w:rPr>
        <w:t>合格投标人不足3家的，不再评标。</w:t>
      </w:r>
    </w:p>
    <w:p w14:paraId="1E9628C2">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b/>
          <w:color w:val="auto"/>
          <w:szCs w:val="24"/>
        </w:rPr>
      </w:pPr>
      <w:r>
        <w:rPr>
          <w:rFonts w:hint="eastAsia" w:ascii="宋体" w:hAnsi="宋体" w:cs="宋体"/>
          <w:b/>
          <w:color w:val="auto"/>
          <w:szCs w:val="24"/>
        </w:rPr>
        <w:t>20、信用信息查询</w:t>
      </w:r>
    </w:p>
    <w:p w14:paraId="501794FD">
      <w:pPr>
        <w:pStyle w:val="131"/>
        <w:pageBreakBefore w:val="0"/>
        <w:kinsoku/>
        <w:wordWrap/>
        <w:overflowPunct/>
        <w:topLinePunct w:val="0"/>
        <w:bidi w:val="0"/>
        <w:adjustRightInd/>
        <w:snapToGrid/>
        <w:spacing w:before="0" w:beforeAutospacing="0" w:line="440" w:lineRule="exact"/>
        <w:ind w:firstLine="495" w:firstLineChars="0"/>
        <w:textAlignment w:val="auto"/>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将在资格审查时通过“信用中国”网站(www.creditchina.gov.cn)、中国政府采购网(www.ccgp.gov.cn)渠道查询投标人接受资格时的信用记录。</w:t>
      </w:r>
    </w:p>
    <w:p w14:paraId="7382AC6D">
      <w:pPr>
        <w:pStyle w:val="131"/>
        <w:pageBreakBefore w:val="0"/>
        <w:kinsoku/>
        <w:wordWrap/>
        <w:overflowPunct/>
        <w:topLinePunct w:val="0"/>
        <w:bidi w:val="0"/>
        <w:adjustRightInd/>
        <w:snapToGrid/>
        <w:spacing w:before="0" w:beforeAutospacing="0" w:line="440" w:lineRule="exact"/>
        <w:ind w:firstLine="495" w:firstLineChars="0"/>
        <w:textAlignment w:val="auto"/>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62BBEFFE">
      <w:pPr>
        <w:pStyle w:val="131"/>
        <w:pageBreakBefore w:val="0"/>
        <w:kinsoku/>
        <w:wordWrap/>
        <w:overflowPunct/>
        <w:topLinePunct w:val="0"/>
        <w:bidi w:val="0"/>
        <w:adjustRightInd/>
        <w:snapToGrid/>
        <w:spacing w:before="0" w:beforeAutospacing="0" w:line="440" w:lineRule="exact"/>
        <w:ind w:firstLine="495" w:firstLineChars="0"/>
        <w:textAlignment w:val="auto"/>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14:paraId="75F9E30D">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14:paraId="15B629CF">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color w:val="auto"/>
          <w:kern w:val="0"/>
          <w:szCs w:val="24"/>
        </w:rPr>
      </w:pPr>
    </w:p>
    <w:p w14:paraId="100D0D4D">
      <w:pPr>
        <w:pageBreakBefore w:val="0"/>
        <w:kinsoku/>
        <w:wordWrap/>
        <w:overflowPunct/>
        <w:topLinePunct w:val="0"/>
        <w:bidi w:val="0"/>
        <w:adjustRightInd/>
        <w:snapToGrid/>
        <w:spacing w:beforeAutospacing="0" w:line="440" w:lineRule="exact"/>
        <w:jc w:val="center"/>
        <w:textAlignment w:val="auto"/>
        <w:outlineLvl w:val="0"/>
        <w:rPr>
          <w:rFonts w:ascii="宋体" w:hAnsi="宋体" w:cs="宋体"/>
          <w:b/>
          <w:color w:val="auto"/>
          <w:sz w:val="36"/>
          <w:szCs w:val="36"/>
        </w:rPr>
      </w:pPr>
      <w:r>
        <w:rPr>
          <w:rFonts w:hint="eastAsia" w:ascii="宋体" w:hAnsi="宋体" w:cs="宋体"/>
          <w:b/>
          <w:color w:val="auto"/>
          <w:sz w:val="36"/>
          <w:szCs w:val="36"/>
        </w:rPr>
        <w:t>五、评标</w:t>
      </w:r>
    </w:p>
    <w:p w14:paraId="39B085E5">
      <w:pPr>
        <w:pageBreakBefore w:val="0"/>
        <w:kinsoku/>
        <w:wordWrap/>
        <w:overflowPunct/>
        <w:topLinePunct w:val="0"/>
        <w:bidi w:val="0"/>
        <w:adjustRightInd/>
        <w:snapToGrid/>
        <w:spacing w:beforeAutospacing="0" w:line="440" w:lineRule="exact"/>
        <w:textAlignment w:val="auto"/>
        <w:rPr>
          <w:rFonts w:ascii="宋体" w:hAnsi="宋体" w:cs="宋体"/>
          <w:b/>
          <w:color w:val="auto"/>
          <w:sz w:val="24"/>
        </w:rPr>
      </w:pPr>
      <w:r>
        <w:rPr>
          <w:rFonts w:hint="eastAsia" w:ascii="宋体" w:hAnsi="宋体" w:cs="宋体"/>
          <w:b/>
          <w:color w:val="auto"/>
          <w:sz w:val="24"/>
        </w:rPr>
        <w:t>21.</w:t>
      </w:r>
      <w:r>
        <w:rPr>
          <w:rFonts w:hint="eastAsia" w:ascii="宋体" w:hAnsi="宋体" w:cs="宋体"/>
          <w:color w:val="auto"/>
        </w:rPr>
        <w:t xml:space="preserve"> </w:t>
      </w:r>
      <w:r>
        <w:rPr>
          <w:rFonts w:hint="eastAsia" w:ascii="宋体" w:hAnsi="宋体" w:cs="宋体"/>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rPr>
        <w:t>详见招标文件第四部分评标办法。</w:t>
      </w:r>
    </w:p>
    <w:p w14:paraId="367E4B40">
      <w:pPr>
        <w:pageBreakBefore w:val="0"/>
        <w:kinsoku/>
        <w:wordWrap/>
        <w:overflowPunct/>
        <w:topLinePunct w:val="0"/>
        <w:bidi w:val="0"/>
        <w:adjustRightInd/>
        <w:snapToGrid/>
        <w:spacing w:beforeAutospacing="0" w:line="440" w:lineRule="exact"/>
        <w:textAlignment w:val="auto"/>
        <w:rPr>
          <w:rFonts w:ascii="宋体" w:hAnsi="宋体" w:cs="宋体"/>
          <w:b/>
          <w:color w:val="auto"/>
          <w:sz w:val="24"/>
        </w:rPr>
      </w:pPr>
    </w:p>
    <w:p w14:paraId="1315C423">
      <w:pPr>
        <w:pageBreakBefore w:val="0"/>
        <w:kinsoku/>
        <w:wordWrap/>
        <w:overflowPunct/>
        <w:topLinePunct w:val="0"/>
        <w:bidi w:val="0"/>
        <w:adjustRightInd/>
        <w:snapToGrid/>
        <w:spacing w:beforeAutospacing="0" w:line="440" w:lineRule="exact"/>
        <w:jc w:val="center"/>
        <w:textAlignment w:val="auto"/>
        <w:outlineLvl w:val="0"/>
        <w:rPr>
          <w:rFonts w:ascii="宋体" w:hAnsi="宋体" w:cs="宋体"/>
          <w:b/>
          <w:color w:val="auto"/>
          <w:sz w:val="36"/>
          <w:szCs w:val="36"/>
        </w:rPr>
      </w:pPr>
      <w:r>
        <w:rPr>
          <w:rFonts w:hint="eastAsia" w:ascii="宋体" w:hAnsi="宋体" w:cs="宋体"/>
          <w:b/>
          <w:color w:val="auto"/>
          <w:sz w:val="36"/>
          <w:szCs w:val="36"/>
        </w:rPr>
        <w:t>六、定 标</w:t>
      </w:r>
    </w:p>
    <w:p w14:paraId="4F368A3F">
      <w:pPr>
        <w:pStyle w:val="6"/>
        <w:pageBreakBefore w:val="0"/>
        <w:kinsoku/>
        <w:wordWrap/>
        <w:overflowPunct/>
        <w:topLinePunct w:val="0"/>
        <w:bidi w:val="0"/>
        <w:adjustRightInd/>
        <w:snapToGrid/>
        <w:spacing w:beforeAutospacing="0" w:line="440" w:lineRule="exact"/>
        <w:ind w:left="479" w:hanging="479" w:hangingChars="199"/>
        <w:textAlignment w:val="auto"/>
        <w:rPr>
          <w:rFonts w:cs="宋体"/>
          <w:b/>
          <w:color w:val="auto"/>
        </w:rPr>
      </w:pPr>
      <w:r>
        <w:rPr>
          <w:rFonts w:hint="eastAsia" w:cs="宋体"/>
          <w:b/>
          <w:color w:val="auto"/>
        </w:rPr>
        <w:t>22. 确定中标供应商</w:t>
      </w:r>
    </w:p>
    <w:p w14:paraId="34364C55">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193D1FA5">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b/>
          <w:color w:val="auto"/>
          <w:szCs w:val="24"/>
        </w:rPr>
      </w:pPr>
      <w:r>
        <w:rPr>
          <w:rFonts w:hint="eastAsia" w:ascii="宋体" w:hAnsi="宋体" w:cs="宋体"/>
          <w:b/>
          <w:color w:val="auto"/>
          <w:szCs w:val="24"/>
        </w:rPr>
        <w:t>23. 中标通知与中标结果公告</w:t>
      </w:r>
    </w:p>
    <w:p w14:paraId="023B7D71">
      <w:pPr>
        <w:pageBreakBefore w:val="0"/>
        <w:widowControl/>
        <w:shd w:val="clear" w:color="auto" w:fill="FFFFFF"/>
        <w:kinsoku/>
        <w:wordWrap/>
        <w:overflowPunct/>
        <w:topLinePunct w:val="0"/>
        <w:bidi w:val="0"/>
        <w:adjustRightInd/>
        <w:snapToGrid/>
        <w:spacing w:beforeAutospacing="0" w:line="440" w:lineRule="exact"/>
        <w:ind w:firstLine="480"/>
        <w:jc w:val="left"/>
        <w:textAlignment w:val="auto"/>
        <w:rPr>
          <w:rFonts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通过电子交易平台向中标人发出中标通知书，同时编制发布采购结果公告。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也可以以纸质形式进行中标通知。</w:t>
      </w:r>
    </w:p>
    <w:p w14:paraId="10BA756B">
      <w:pPr>
        <w:pageBreakBefore w:val="0"/>
        <w:widowControl/>
        <w:shd w:val="clear" w:color="auto" w:fill="FFFFFF"/>
        <w:kinsoku/>
        <w:wordWrap/>
        <w:overflowPunct/>
        <w:topLinePunct w:val="0"/>
        <w:bidi w:val="0"/>
        <w:adjustRightInd/>
        <w:snapToGrid/>
        <w:spacing w:beforeAutospacing="0" w:line="440" w:lineRule="exact"/>
        <w:ind w:firstLine="480"/>
        <w:jc w:val="left"/>
        <w:textAlignment w:val="auto"/>
        <w:rPr>
          <w:rFonts w:ascii="宋体" w:hAnsi="宋体" w:cs="宋体"/>
          <w:color w:val="auto"/>
          <w:sz w:val="24"/>
        </w:rPr>
      </w:pPr>
      <w:r>
        <w:rPr>
          <w:rFonts w:hint="eastAsia" w:ascii="宋体" w:hAnsi="宋体" w:cs="宋体"/>
          <w:color w:val="auto"/>
          <w:sz w:val="24"/>
        </w:rPr>
        <w:t>23.2中标结果公告内容包括采购人及其委托的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的名称、地址、联系方式，项目名称和项目编号，中标人名称、地址和中标金额，主要中标标的的名称、规格型号、数量、单价、服务要求，中标公告期限以及评审专家名单。</w:t>
      </w:r>
    </w:p>
    <w:p w14:paraId="1C5C334A">
      <w:pPr>
        <w:pageBreakBefore w:val="0"/>
        <w:widowControl/>
        <w:shd w:val="clear" w:color="auto" w:fill="FFFFFF"/>
        <w:kinsoku/>
        <w:wordWrap/>
        <w:overflowPunct/>
        <w:topLinePunct w:val="0"/>
        <w:bidi w:val="0"/>
        <w:adjustRightInd/>
        <w:snapToGrid/>
        <w:spacing w:beforeAutospacing="0" w:line="440" w:lineRule="exact"/>
        <w:ind w:firstLine="480"/>
        <w:jc w:val="left"/>
        <w:textAlignment w:val="auto"/>
        <w:rPr>
          <w:rFonts w:ascii="宋体" w:hAnsi="宋体" w:cs="宋体"/>
          <w:color w:val="auto"/>
          <w:sz w:val="24"/>
        </w:rPr>
      </w:pPr>
      <w:r>
        <w:rPr>
          <w:rFonts w:hint="eastAsia" w:ascii="宋体" w:hAnsi="宋体" w:cs="宋体"/>
          <w:color w:val="auto"/>
          <w:sz w:val="24"/>
        </w:rPr>
        <w:t>23.3公告期限为1个工作日。</w:t>
      </w:r>
    </w:p>
    <w:p w14:paraId="7BEABF55">
      <w:pPr>
        <w:pStyle w:val="131"/>
        <w:pageBreakBefore w:val="0"/>
        <w:kinsoku/>
        <w:wordWrap/>
        <w:overflowPunct/>
        <w:topLinePunct w:val="0"/>
        <w:bidi w:val="0"/>
        <w:adjustRightInd/>
        <w:snapToGrid/>
        <w:spacing w:before="0" w:beforeAutospacing="0" w:line="440" w:lineRule="exact"/>
        <w:ind w:firstLine="482" w:firstLineChars="200"/>
        <w:textAlignment w:val="auto"/>
        <w:rPr>
          <w:rStyle w:val="79"/>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C3B20FB">
      <w:pPr>
        <w:pageBreakBefore w:val="0"/>
        <w:kinsoku/>
        <w:wordWrap/>
        <w:overflowPunct/>
        <w:topLinePunct w:val="0"/>
        <w:bidi w:val="0"/>
        <w:adjustRightInd/>
        <w:snapToGrid/>
        <w:spacing w:beforeAutospacing="0" w:line="440" w:lineRule="exact"/>
        <w:ind w:left="120" w:leftChars="57" w:firstLine="482" w:firstLineChars="150"/>
        <w:jc w:val="center"/>
        <w:textAlignment w:val="auto"/>
        <w:rPr>
          <w:rFonts w:ascii="宋体" w:hAnsi="宋体" w:cs="宋体"/>
          <w:b/>
          <w:color w:val="auto"/>
          <w:sz w:val="32"/>
        </w:rPr>
      </w:pPr>
    </w:p>
    <w:p w14:paraId="4DF3DC71">
      <w:pPr>
        <w:pageBreakBefore w:val="0"/>
        <w:kinsoku/>
        <w:wordWrap/>
        <w:overflowPunct/>
        <w:topLinePunct w:val="0"/>
        <w:bidi w:val="0"/>
        <w:adjustRightInd/>
        <w:snapToGrid/>
        <w:spacing w:beforeAutospacing="0" w:line="440" w:lineRule="exact"/>
        <w:jc w:val="center"/>
        <w:textAlignment w:val="auto"/>
        <w:rPr>
          <w:rFonts w:ascii="宋体" w:hAnsi="宋体" w:cs="宋体"/>
          <w:b/>
          <w:color w:val="auto"/>
          <w:sz w:val="32"/>
        </w:rPr>
      </w:pPr>
      <w:r>
        <w:rPr>
          <w:rFonts w:hint="eastAsia" w:ascii="宋体" w:hAnsi="宋体" w:cs="宋体"/>
          <w:b/>
          <w:color w:val="auto"/>
          <w:sz w:val="32"/>
        </w:rPr>
        <w:t>七、合同授予</w:t>
      </w:r>
    </w:p>
    <w:p w14:paraId="39FAFA9C">
      <w:pPr>
        <w:pStyle w:val="6"/>
        <w:pageBreakBefore w:val="0"/>
        <w:kinsoku/>
        <w:wordWrap/>
        <w:overflowPunct/>
        <w:topLinePunct w:val="0"/>
        <w:bidi w:val="0"/>
        <w:adjustRightInd/>
        <w:snapToGrid/>
        <w:spacing w:beforeAutospacing="0" w:line="440" w:lineRule="exact"/>
        <w:ind w:left="479" w:hanging="479" w:hangingChars="199"/>
        <w:textAlignment w:val="auto"/>
        <w:rPr>
          <w:rFonts w:cs="宋体"/>
          <w:b/>
          <w:color w:val="auto"/>
        </w:rPr>
      </w:pPr>
      <w:r>
        <w:rPr>
          <w:rFonts w:hint="eastAsia" w:cs="宋体"/>
          <w:b/>
          <w:color w:val="auto"/>
        </w:rPr>
        <w:t xml:space="preserve">24. </w:t>
      </w:r>
      <w:r>
        <w:rPr>
          <w:rFonts w:hint="eastAsia" w:cs="宋体"/>
          <w:color w:val="auto"/>
        </w:rPr>
        <w:t>合同主要条款详见第五部分拟签订的合同文本。</w:t>
      </w:r>
    </w:p>
    <w:p w14:paraId="67CA572D">
      <w:pPr>
        <w:pStyle w:val="6"/>
        <w:pageBreakBefore w:val="0"/>
        <w:kinsoku/>
        <w:wordWrap/>
        <w:overflowPunct/>
        <w:topLinePunct w:val="0"/>
        <w:bidi w:val="0"/>
        <w:adjustRightInd/>
        <w:snapToGrid/>
        <w:spacing w:beforeAutospacing="0" w:line="440" w:lineRule="exact"/>
        <w:ind w:left="479" w:hanging="479" w:hangingChars="199"/>
        <w:textAlignment w:val="auto"/>
        <w:rPr>
          <w:rFonts w:cs="宋体"/>
          <w:b/>
          <w:color w:val="auto"/>
        </w:rPr>
      </w:pPr>
      <w:r>
        <w:rPr>
          <w:rFonts w:hint="eastAsia" w:cs="宋体"/>
          <w:b/>
          <w:color w:val="auto"/>
        </w:rPr>
        <w:t>25. 合同的签订</w:t>
      </w:r>
    </w:p>
    <w:p w14:paraId="7AB49686">
      <w:pPr>
        <w:pageBreakBefore w:val="0"/>
        <w:widowControl/>
        <w:shd w:val="clear" w:color="auto" w:fill="FFFFFF"/>
        <w:kinsoku/>
        <w:wordWrap/>
        <w:overflowPunct/>
        <w:topLinePunct w:val="0"/>
        <w:bidi w:val="0"/>
        <w:adjustRightInd/>
        <w:snapToGrid/>
        <w:spacing w:beforeAutospacing="0" w:line="440" w:lineRule="exact"/>
        <w:ind w:firstLine="480"/>
        <w:jc w:val="left"/>
        <w:textAlignment w:val="auto"/>
        <w:rPr>
          <w:rFonts w:ascii="宋体" w:hAnsi="宋体" w:cs="宋体"/>
          <w:color w:val="auto"/>
          <w:kern w:val="0"/>
          <w:sz w:val="24"/>
        </w:rPr>
      </w:pPr>
      <w:r>
        <w:rPr>
          <w:rFonts w:hint="eastAsia" w:ascii="宋体" w:hAnsi="宋体" w:cs="宋体"/>
          <w:color w:val="auto"/>
          <w:sz w:val="24"/>
        </w:rPr>
        <w:t>25.1</w:t>
      </w:r>
      <w:r>
        <w:rPr>
          <w:rFonts w:hint="eastAsia" w:ascii="宋体" w:hAnsi="宋体" w:cs="宋体"/>
          <w:color w:val="auto"/>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FBDCFC9">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kern w:val="0"/>
        </w:rPr>
      </w:pPr>
      <w:r>
        <w:rPr>
          <w:rFonts w:hint="eastAsia" w:ascii="宋体" w:hAnsi="宋体" w:cs="宋体"/>
          <w:color w:val="auto"/>
          <w:kern w:val="0"/>
          <w:lang w:val="zh-CN"/>
        </w:rPr>
        <w:t>25.2中标人按规定的日期、时间、地点，由法定代表人或其授权代表与采购人代表签订合同。如中标人为联合体的，由联合体成员各方法定代表人或其授权代表与采购人代表签订合同。</w:t>
      </w:r>
    </w:p>
    <w:p w14:paraId="240D9A57">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25.3如签订合同并生效后，供应商无故拒绝或延期，除按照合同条款处理外，列入不良行为记录一次，并给予通报。</w:t>
      </w:r>
    </w:p>
    <w:p w14:paraId="117F1B4C">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25.4中标供应商拒绝与采购人签订合同的，采购人可以按照评审报告推荐的中标或者成交候选人名单排序，确定下一候选人为中标供应商，也可以重新开展政府采购活动。</w:t>
      </w:r>
    </w:p>
    <w:p w14:paraId="61ACADD9">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25.5采购合同由采购人与中标供应商根据招标文件、投标文件等内容通过政府采购电子交易平台在线签订，自动备案。</w:t>
      </w:r>
    </w:p>
    <w:p w14:paraId="28F74336">
      <w:pPr>
        <w:pStyle w:val="6"/>
        <w:pageBreakBefore w:val="0"/>
        <w:kinsoku/>
        <w:wordWrap/>
        <w:overflowPunct/>
        <w:topLinePunct w:val="0"/>
        <w:bidi w:val="0"/>
        <w:adjustRightInd/>
        <w:snapToGrid/>
        <w:spacing w:beforeAutospacing="0" w:line="440" w:lineRule="exact"/>
        <w:ind w:left="479" w:hanging="479" w:hangingChars="199"/>
        <w:textAlignment w:val="auto"/>
        <w:rPr>
          <w:rFonts w:cs="宋体"/>
          <w:b/>
          <w:color w:val="auto"/>
        </w:rPr>
      </w:pPr>
      <w:r>
        <w:rPr>
          <w:rFonts w:hint="eastAsia" w:cs="宋体"/>
          <w:b/>
          <w:color w:val="auto"/>
        </w:rPr>
        <w:t>26. 履约保证金</w:t>
      </w:r>
    </w:p>
    <w:p w14:paraId="7C2B1226">
      <w:pPr>
        <w:pageBreakBefore w:val="0"/>
        <w:tabs>
          <w:tab w:val="left" w:pos="0"/>
        </w:tabs>
        <w:kinsoku/>
        <w:wordWrap/>
        <w:overflowPunct/>
        <w:topLinePunct w:val="0"/>
        <w:bidi w:val="0"/>
        <w:adjustRightInd/>
        <w:snapToGrid/>
        <w:spacing w:beforeAutospacing="0" w:line="440" w:lineRule="exact"/>
        <w:ind w:firstLine="482"/>
        <w:textAlignment w:val="auto"/>
        <w:rPr>
          <w:rFonts w:ascii="宋体" w:hAnsi="宋体" w:cs="宋体"/>
          <w:color w:val="auto"/>
          <w:sz w:val="24"/>
        </w:rPr>
      </w:pPr>
      <w:r>
        <w:rPr>
          <w:rFonts w:hint="eastAsia" w:ascii="宋体" w:hAnsi="宋体" w:cs="宋体"/>
          <w:color w:val="auto"/>
          <w:kern w:val="0"/>
          <w:sz w:val="24"/>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rPr>
        <w:t>。履约保证金的数额不得超过政府采购合同金额的</w:t>
      </w:r>
      <w:r>
        <w:rPr>
          <w:rFonts w:ascii="宋体" w:hAnsi="宋体" w:cs="宋体"/>
          <w:color w:val="auto"/>
          <w:sz w:val="24"/>
        </w:rPr>
        <w:t>1</w:t>
      </w:r>
      <w:r>
        <w:rPr>
          <w:rFonts w:hint="eastAsia" w:ascii="宋体" w:hAnsi="宋体" w:cs="宋体"/>
          <w:color w:val="auto"/>
          <w:sz w:val="24"/>
        </w:rPr>
        <w:t>%</w:t>
      </w:r>
      <w:r>
        <w:rPr>
          <w:rFonts w:hint="eastAsia" w:ascii="宋体" w:hAnsi="宋体" w:cs="宋体"/>
          <w:color w:val="auto"/>
          <w:sz w:val="24"/>
          <w:highlight w:val="none"/>
        </w:rPr>
        <w:t>，鼓励根据项目特点、供应商诚信等因素免收履约保证金或降低缴纳比例</w:t>
      </w:r>
      <w:r>
        <w:rPr>
          <w:rFonts w:hint="eastAsia" w:ascii="宋体" w:hAnsi="宋体" w:cs="宋体"/>
          <w:color w:val="auto"/>
          <w:sz w:val="24"/>
        </w:rPr>
        <w:t>。鼓励和支持供应商以银行、保险公司出具的保函形式提供履约保证金。采购人不得拒收履约保函，项目验收结束后应及时退还，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70888F8F">
      <w:pPr>
        <w:pStyle w:val="3"/>
        <w:pageBreakBefore w:val="0"/>
        <w:kinsoku/>
        <w:wordWrap/>
        <w:overflowPunct/>
        <w:topLinePunct w:val="0"/>
        <w:bidi w:val="0"/>
        <w:adjustRightInd/>
        <w:snapToGrid/>
        <w:spacing w:beforeAutospacing="0" w:line="440" w:lineRule="exact"/>
        <w:ind w:left="0" w:firstLine="480" w:firstLineChars="200"/>
        <w:textAlignment w:val="auto"/>
        <w:rPr>
          <w:rFonts w:ascii="宋体" w:hAnsi="宋体" w:eastAsia="宋体" w:cs="宋体"/>
          <w:b w:val="0"/>
          <w:bCs w:val="0"/>
          <w:snapToGrid w:val="0"/>
          <w:color w:val="auto"/>
          <w:kern w:val="28"/>
          <w:sz w:val="24"/>
        </w:rPr>
      </w:pPr>
      <w:r>
        <w:rPr>
          <w:rFonts w:hint="eastAsia" w:ascii="宋体" w:hAnsi="宋体" w:eastAsia="宋体" w:cs="宋体"/>
          <w:b w:val="0"/>
          <w:bCs w:val="0"/>
          <w:snapToGrid w:val="0"/>
          <w:color w:val="auto"/>
          <w:kern w:val="28"/>
          <w:sz w:val="24"/>
        </w:rPr>
        <w:t>供应商</w:t>
      </w:r>
      <w:r>
        <w:rPr>
          <w:rFonts w:hint="eastAsia" w:ascii="宋体" w:hAnsi="宋体" w:eastAsia="宋体" w:cs="宋体"/>
          <w:b w:val="0"/>
          <w:bCs w:val="0"/>
          <w:snapToGrid w:val="0"/>
          <w:color w:val="auto"/>
          <w:kern w:val="28"/>
          <w:sz w:val="24"/>
          <w:lang w:val="en-US"/>
        </w:rPr>
        <w:t>可</w:t>
      </w:r>
      <w:r>
        <w:rPr>
          <w:rFonts w:hint="eastAsia" w:ascii="宋体" w:hAnsi="宋体" w:eastAsia="宋体" w:cs="宋体"/>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7437AB72">
      <w:pPr>
        <w:pStyle w:val="3"/>
        <w:pageBreakBefore w:val="0"/>
        <w:kinsoku/>
        <w:wordWrap/>
        <w:overflowPunct/>
        <w:topLinePunct w:val="0"/>
        <w:bidi w:val="0"/>
        <w:adjustRightInd/>
        <w:snapToGrid/>
        <w:spacing w:beforeAutospacing="0" w:line="440" w:lineRule="exact"/>
        <w:textAlignment w:val="auto"/>
        <w:rPr>
          <w:color w:val="auto"/>
          <w:highlight w:val="none"/>
        </w:rPr>
      </w:pPr>
      <w:r>
        <w:rPr>
          <w:rFonts w:ascii="宋体" w:hAnsi="宋体" w:eastAsia="宋体"/>
          <w:b/>
          <w:bCs/>
          <w:color w:val="auto"/>
          <w:sz w:val="24"/>
          <w:szCs w:val="32"/>
          <w:highlight w:val="none"/>
          <w:lang w:val="en-US"/>
        </w:rPr>
        <w:t>27.预付款</w:t>
      </w:r>
    </w:p>
    <w:p w14:paraId="3C75125D">
      <w:pPr>
        <w:pageBreakBefore w:val="0"/>
        <w:kinsoku/>
        <w:wordWrap/>
        <w:overflowPunct/>
        <w:topLinePunct w:val="0"/>
        <w:bidi w:val="0"/>
        <w:adjustRightInd/>
        <w:snapToGrid/>
        <w:spacing w:beforeAutospacing="0" w:line="440" w:lineRule="exact"/>
        <w:ind w:firstLine="480" w:firstLineChars="200"/>
        <w:textAlignment w:val="auto"/>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ascii="宋体" w:hAnsi="宋体"/>
          <w:color w:val="auto"/>
          <w:sz w:val="24"/>
          <w:highlight w:val="none"/>
        </w:rPr>
        <w:t>400-903-9583。</w:t>
      </w:r>
    </w:p>
    <w:p w14:paraId="7586B2C6">
      <w:pPr>
        <w:pageBreakBefore w:val="0"/>
        <w:kinsoku/>
        <w:wordWrap/>
        <w:overflowPunct/>
        <w:topLinePunct w:val="0"/>
        <w:bidi w:val="0"/>
        <w:adjustRightInd/>
        <w:snapToGrid/>
        <w:spacing w:beforeAutospacing="0" w:line="440" w:lineRule="exact"/>
        <w:textAlignment w:val="auto"/>
        <w:rPr>
          <w:color w:val="auto"/>
        </w:rPr>
      </w:pPr>
    </w:p>
    <w:p w14:paraId="4D42FA12">
      <w:pPr>
        <w:pageBreakBefore w:val="0"/>
        <w:kinsoku/>
        <w:wordWrap/>
        <w:overflowPunct/>
        <w:topLinePunct w:val="0"/>
        <w:bidi w:val="0"/>
        <w:adjustRightInd/>
        <w:snapToGrid/>
        <w:spacing w:beforeAutospacing="0" w:line="440" w:lineRule="exact"/>
        <w:ind w:firstLine="3357" w:firstLineChars="1045"/>
        <w:textAlignment w:val="auto"/>
        <w:rPr>
          <w:rFonts w:ascii="宋体" w:hAnsi="宋体" w:cs="宋体"/>
          <w:b/>
          <w:color w:val="auto"/>
          <w:sz w:val="32"/>
        </w:rPr>
      </w:pPr>
    </w:p>
    <w:p w14:paraId="40DB9DB1">
      <w:pPr>
        <w:pageBreakBefore w:val="0"/>
        <w:kinsoku/>
        <w:wordWrap/>
        <w:overflowPunct/>
        <w:topLinePunct w:val="0"/>
        <w:bidi w:val="0"/>
        <w:adjustRightInd/>
        <w:snapToGrid/>
        <w:spacing w:beforeAutospacing="0" w:line="440" w:lineRule="exact"/>
        <w:jc w:val="center"/>
        <w:textAlignment w:val="auto"/>
        <w:rPr>
          <w:rFonts w:ascii="宋体" w:hAnsi="宋体" w:cs="宋体"/>
          <w:b/>
          <w:color w:val="auto"/>
          <w:sz w:val="24"/>
        </w:rPr>
      </w:pPr>
      <w:r>
        <w:rPr>
          <w:rFonts w:hint="eastAsia" w:ascii="宋体" w:hAnsi="宋体" w:cs="宋体"/>
          <w:b/>
          <w:color w:val="auto"/>
          <w:sz w:val="32"/>
        </w:rPr>
        <w:t>八、电子交易活动的中止</w:t>
      </w:r>
    </w:p>
    <w:p w14:paraId="5E8A5A18">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color w:val="auto"/>
        </w:rPr>
      </w:pPr>
      <w:r>
        <w:rPr>
          <w:rFonts w:ascii="宋体" w:hAnsi="宋体" w:cs="宋体"/>
          <w:b/>
          <w:bCs/>
          <w:color w:val="auto"/>
          <w:sz w:val="24"/>
          <w:szCs w:val="20"/>
        </w:rPr>
        <w:t>2</w:t>
      </w:r>
      <w:r>
        <w:rPr>
          <w:rFonts w:ascii="宋体" w:hAnsi="宋体" w:cs="宋体"/>
          <w:b/>
          <w:bCs/>
          <w:color w:val="auto"/>
          <w:sz w:val="24"/>
          <w:szCs w:val="24"/>
        </w:rPr>
        <w:t>8</w:t>
      </w:r>
      <w:r>
        <w:rPr>
          <w:rFonts w:hint="eastAsia" w:ascii="宋体" w:hAnsi="宋体" w:cs="宋体"/>
          <w:b/>
          <w:color w:val="auto"/>
          <w:szCs w:val="24"/>
        </w:rPr>
        <w:t>. 电子交易活动的中止。</w:t>
      </w:r>
      <w:r>
        <w:rPr>
          <w:rFonts w:hint="eastAsia" w:ascii="宋体" w:hAnsi="宋体" w:cs="宋体"/>
          <w:color w:val="auto"/>
        </w:rPr>
        <w:t>采购过程中出现以下情形，导致电子交易平台无法正常运行，或者无法保证电子交易的公平、公正和安全时，</w:t>
      </w:r>
      <w:r>
        <w:rPr>
          <w:rFonts w:hint="eastAsia" w:ascii="宋体" w:hAnsi="宋体" w:cs="宋体"/>
          <w:color w:val="auto"/>
          <w:lang w:eastAsia="zh-CN"/>
        </w:rPr>
        <w:t>采购代理机构</w:t>
      </w:r>
      <w:r>
        <w:rPr>
          <w:rFonts w:hint="eastAsia" w:ascii="宋体" w:hAnsi="宋体" w:cs="宋体"/>
          <w:color w:val="auto"/>
        </w:rPr>
        <w:t>可中止电子交易活动：</w:t>
      </w:r>
    </w:p>
    <w:p w14:paraId="6501B7DD">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 xml:space="preserve">28.1电子交易平台发生故障而无法登录访问的； </w:t>
      </w:r>
    </w:p>
    <w:p w14:paraId="16CDCA07">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28.2电子交易平台应用或数据库出现错误，不能进行正常操作的；</w:t>
      </w:r>
    </w:p>
    <w:p w14:paraId="1EDF9785">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28.3电子交易平台发现严重安全漏洞，有潜在泄密危险的；</w:t>
      </w:r>
    </w:p>
    <w:p w14:paraId="0D4DBBB9">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 xml:space="preserve">28.4病毒发作导致不能进行正常操作的； </w:t>
      </w:r>
    </w:p>
    <w:p w14:paraId="3480918D">
      <w:pPr>
        <w:pStyle w:val="131"/>
        <w:pageBreakBefore w:val="0"/>
        <w:kinsoku/>
        <w:wordWrap/>
        <w:overflowPunct/>
        <w:topLinePunct w:val="0"/>
        <w:bidi w:val="0"/>
        <w:adjustRightInd/>
        <w:snapToGrid/>
        <w:spacing w:before="0" w:beforeAutospacing="0" w:line="440" w:lineRule="exact"/>
        <w:ind w:firstLine="480"/>
        <w:textAlignment w:val="auto"/>
        <w:rPr>
          <w:rFonts w:ascii="宋体" w:hAnsi="宋体" w:cs="宋体"/>
          <w:color w:val="auto"/>
        </w:rPr>
      </w:pPr>
      <w:r>
        <w:rPr>
          <w:rFonts w:hint="eastAsia" w:ascii="宋体" w:hAnsi="宋体" w:cs="宋体"/>
          <w:color w:val="auto"/>
        </w:rPr>
        <w:t>28.5其他无法保证电子交易的公平、公正和安全的情况。</w:t>
      </w:r>
    </w:p>
    <w:p w14:paraId="4924208E">
      <w:pPr>
        <w:pStyle w:val="131"/>
        <w:pageBreakBefore w:val="0"/>
        <w:kinsoku/>
        <w:wordWrap/>
        <w:overflowPunct/>
        <w:topLinePunct w:val="0"/>
        <w:bidi w:val="0"/>
        <w:adjustRightInd/>
        <w:snapToGrid/>
        <w:spacing w:before="0" w:beforeAutospacing="0" w:line="440" w:lineRule="exact"/>
        <w:ind w:firstLine="0" w:firstLineChars="0"/>
        <w:textAlignment w:val="auto"/>
        <w:rPr>
          <w:rFonts w:ascii="宋体" w:hAnsi="宋体" w:cs="宋体"/>
          <w:color w:val="auto"/>
        </w:rPr>
      </w:pPr>
      <w:r>
        <w:rPr>
          <w:rFonts w:hint="eastAsia" w:ascii="宋体" w:hAnsi="宋体" w:cs="宋体"/>
          <w:color w:val="auto"/>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AD74F2F">
      <w:pPr>
        <w:pageBreakBefore w:val="0"/>
        <w:tabs>
          <w:tab w:val="left" w:pos="0"/>
        </w:tabs>
        <w:kinsoku/>
        <w:wordWrap/>
        <w:overflowPunct/>
        <w:topLinePunct w:val="0"/>
        <w:bidi w:val="0"/>
        <w:adjustRightInd/>
        <w:snapToGrid/>
        <w:spacing w:beforeAutospacing="0" w:line="440" w:lineRule="exact"/>
        <w:ind w:firstLine="480"/>
        <w:textAlignment w:val="auto"/>
        <w:rPr>
          <w:rFonts w:ascii="宋体" w:hAnsi="宋体" w:cs="宋体"/>
          <w:color w:val="auto"/>
          <w:sz w:val="24"/>
        </w:rPr>
      </w:pPr>
    </w:p>
    <w:p w14:paraId="5E7D029C">
      <w:pPr>
        <w:pageBreakBefore w:val="0"/>
        <w:kinsoku/>
        <w:wordWrap/>
        <w:overflowPunct/>
        <w:topLinePunct w:val="0"/>
        <w:bidi w:val="0"/>
        <w:adjustRightInd/>
        <w:snapToGrid/>
        <w:spacing w:beforeAutospacing="0" w:line="440" w:lineRule="exact"/>
        <w:jc w:val="center"/>
        <w:textAlignment w:val="auto"/>
        <w:rPr>
          <w:rFonts w:ascii="宋体" w:hAnsi="宋体" w:cs="宋体"/>
          <w:b/>
          <w:color w:val="auto"/>
          <w:sz w:val="32"/>
        </w:rPr>
      </w:pPr>
      <w:r>
        <w:rPr>
          <w:rFonts w:hint="eastAsia" w:ascii="宋体" w:hAnsi="宋体" w:cs="宋体"/>
          <w:b/>
          <w:color w:val="auto"/>
          <w:sz w:val="32"/>
        </w:rPr>
        <w:t>九、验收</w:t>
      </w:r>
    </w:p>
    <w:p w14:paraId="067791FA">
      <w:pPr>
        <w:pStyle w:val="6"/>
        <w:pageBreakBefore w:val="0"/>
        <w:kinsoku/>
        <w:wordWrap/>
        <w:overflowPunct/>
        <w:topLinePunct w:val="0"/>
        <w:bidi w:val="0"/>
        <w:adjustRightInd/>
        <w:snapToGrid/>
        <w:spacing w:beforeAutospacing="0" w:line="440" w:lineRule="exact"/>
        <w:ind w:firstLine="0" w:firstLineChars="0"/>
        <w:textAlignment w:val="auto"/>
        <w:rPr>
          <w:rFonts w:cs="宋体"/>
          <w:b/>
          <w:color w:val="auto"/>
        </w:rPr>
      </w:pPr>
      <w:r>
        <w:rPr>
          <w:rFonts w:hint="eastAsia" w:cs="宋体"/>
          <w:b/>
          <w:color w:val="auto"/>
        </w:rPr>
        <w:t>30.验收</w:t>
      </w:r>
    </w:p>
    <w:p w14:paraId="15D2ADEA">
      <w:pPr>
        <w:pageBreakBefore w:val="0"/>
        <w:tabs>
          <w:tab w:val="left" w:pos="0"/>
        </w:tabs>
        <w:kinsoku/>
        <w:wordWrap/>
        <w:overflowPunct/>
        <w:topLinePunct w:val="0"/>
        <w:bidi w:val="0"/>
        <w:adjustRightInd/>
        <w:snapToGrid/>
        <w:spacing w:beforeAutospacing="0" w:line="440" w:lineRule="exact"/>
        <w:ind w:firstLine="480"/>
        <w:textAlignment w:val="auto"/>
        <w:rPr>
          <w:rFonts w:ascii="宋体" w:hAnsi="宋体" w:cs="宋体"/>
          <w:color w:val="auto"/>
          <w:kern w:val="0"/>
          <w:sz w:val="24"/>
        </w:rPr>
      </w:pPr>
      <w:r>
        <w:rPr>
          <w:rFonts w:hint="eastAsia" w:ascii="宋体" w:hAnsi="宋体" w:cs="宋体"/>
          <w:color w:val="auto"/>
          <w:kern w:val="0"/>
          <w:sz w:val="24"/>
          <w:highlight w:val="none"/>
        </w:rPr>
        <w:t>30.1采购人应当根据采购项目的具体情况，自行组织项目验收或者委托采购代理机构验收。</w:t>
      </w:r>
      <w:r>
        <w:rPr>
          <w:rFonts w:hint="eastAsia" w:ascii="宋体" w:hAnsi="宋体" w:cs="宋体"/>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0F4ED64">
      <w:pPr>
        <w:pageBreakBefore w:val="0"/>
        <w:tabs>
          <w:tab w:val="left" w:pos="0"/>
        </w:tabs>
        <w:kinsoku/>
        <w:wordWrap/>
        <w:overflowPunct/>
        <w:topLinePunct w:val="0"/>
        <w:bidi w:val="0"/>
        <w:adjustRightInd/>
        <w:snapToGrid/>
        <w:spacing w:beforeAutospacing="0" w:line="440" w:lineRule="exact"/>
        <w:ind w:firstLine="480"/>
        <w:textAlignment w:val="auto"/>
        <w:rPr>
          <w:rFonts w:ascii="宋体" w:hAnsi="宋体" w:cs="宋体"/>
          <w:color w:val="auto"/>
          <w:kern w:val="0"/>
          <w:sz w:val="24"/>
        </w:rPr>
      </w:pPr>
      <w:r>
        <w:rPr>
          <w:rFonts w:hint="eastAsia" w:ascii="宋体" w:hAnsi="宋体" w:cs="宋体"/>
          <w:color w:val="auto"/>
          <w:kern w:val="0"/>
          <w:sz w:val="24"/>
        </w:rPr>
        <w:t>30.2采购人可以邀请参加本项目的其他投标人或者第三方机构参与验收。参与验收的投标人或者第三方机构的意见作为验收书的参考资料一并存档。</w:t>
      </w:r>
    </w:p>
    <w:p w14:paraId="53ED6F50">
      <w:pPr>
        <w:pageBreakBefore w:val="0"/>
        <w:tabs>
          <w:tab w:val="left" w:pos="0"/>
        </w:tabs>
        <w:kinsoku/>
        <w:wordWrap/>
        <w:overflowPunct/>
        <w:topLinePunct w:val="0"/>
        <w:bidi w:val="0"/>
        <w:adjustRightInd/>
        <w:snapToGrid/>
        <w:spacing w:beforeAutospacing="0" w:line="440" w:lineRule="exact"/>
        <w:ind w:firstLine="480"/>
        <w:textAlignment w:val="auto"/>
        <w:rPr>
          <w:rFonts w:ascii="宋体" w:hAnsi="宋体" w:cs="宋体"/>
          <w:color w:val="auto"/>
          <w:kern w:val="0"/>
          <w:sz w:val="24"/>
        </w:rPr>
      </w:pPr>
      <w:r>
        <w:rPr>
          <w:rFonts w:hint="eastAsia" w:ascii="宋体" w:hAnsi="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878BB96">
      <w:pPr>
        <w:pageBreakBefore w:val="0"/>
        <w:tabs>
          <w:tab w:val="left" w:pos="0"/>
        </w:tabs>
        <w:kinsoku/>
        <w:wordWrap/>
        <w:overflowPunct/>
        <w:topLinePunct w:val="0"/>
        <w:bidi w:val="0"/>
        <w:adjustRightInd/>
        <w:snapToGrid/>
        <w:spacing w:beforeAutospacing="0" w:line="440" w:lineRule="exact"/>
        <w:ind w:firstLine="480"/>
        <w:textAlignment w:val="auto"/>
        <w:rPr>
          <w:rFonts w:ascii="宋体" w:hAnsi="宋体" w:cs="宋体"/>
          <w:color w:val="auto"/>
          <w:sz w:val="18"/>
          <w:szCs w:val="18"/>
        </w:rPr>
      </w:pPr>
      <w:r>
        <w:rPr>
          <w:rFonts w:hint="eastAsia" w:ascii="宋体" w:hAnsi="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3268428">
      <w:pPr>
        <w:pageBreakBefore w:val="0"/>
        <w:tabs>
          <w:tab w:val="left" w:pos="0"/>
        </w:tabs>
        <w:kinsoku/>
        <w:wordWrap/>
        <w:overflowPunct/>
        <w:topLinePunct w:val="0"/>
        <w:bidi w:val="0"/>
        <w:adjustRightInd/>
        <w:snapToGrid/>
        <w:spacing w:beforeAutospacing="0" w:line="440" w:lineRule="exact"/>
        <w:ind w:firstLine="48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r>
        <w:rPr>
          <w:rFonts w:hint="eastAsia" w:ascii="宋体" w:hAnsi="宋体" w:eastAsia="宋体" w:cs="宋体"/>
          <w:b w:val="0"/>
          <w:bCs w:val="0"/>
          <w:color w:val="auto"/>
          <w:kern w:val="0"/>
          <w:sz w:val="24"/>
          <w:szCs w:val="24"/>
          <w:highlight w:val="none"/>
          <w:lang w:val="en-US" w:eastAsia="zh-CN"/>
        </w:rPr>
        <w:t>。</w:t>
      </w:r>
    </w:p>
    <w:p w14:paraId="5A927D27">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br w:type="page"/>
      </w:r>
    </w:p>
    <w:p w14:paraId="59598199">
      <w:pPr>
        <w:keepNext w:val="0"/>
        <w:keepLines w:val="0"/>
        <w:pageBreakBefore w:val="0"/>
        <w:widowControl w:val="0"/>
        <w:tabs>
          <w:tab w:val="left" w:pos="0"/>
        </w:tabs>
        <w:kinsoku/>
        <w:wordWrap/>
        <w:overflowPunct/>
        <w:topLinePunct w:val="0"/>
        <w:bidi w:val="0"/>
        <w:adjustRightInd/>
        <w:snapToGrid/>
        <w:spacing w:beforeAutospacing="0" w:line="360" w:lineRule="auto"/>
        <w:jc w:val="center"/>
        <w:textAlignment w:val="auto"/>
        <w:rPr>
          <w:rFonts w:ascii="宋体" w:hAnsi="宋体" w:cs="宋体"/>
          <w:b/>
          <w:color w:val="auto"/>
          <w:sz w:val="36"/>
          <w:szCs w:val="36"/>
        </w:rPr>
      </w:pPr>
      <w:r>
        <w:rPr>
          <w:rFonts w:hint="eastAsia" w:ascii="宋体" w:hAnsi="宋体" w:cs="宋体"/>
          <w:b/>
          <w:color w:val="auto"/>
          <w:sz w:val="36"/>
          <w:szCs w:val="36"/>
        </w:rPr>
        <w:t>第三部分</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采购需求</w:t>
      </w:r>
    </w:p>
    <w:p w14:paraId="3218F155">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一、交易内容概要</w:t>
      </w:r>
    </w:p>
    <w:p w14:paraId="7FE68A0A">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1、项目名称：</w:t>
      </w:r>
      <w:r>
        <w:rPr>
          <w:rFonts w:hint="eastAsia" w:ascii="宋体" w:hAnsi="宋体" w:cs="宋体"/>
          <w:spacing w:val="0"/>
          <w:w w:val="100"/>
          <w:sz w:val="24"/>
          <w:highlight w:val="none"/>
          <w:lang w:eastAsia="zh-CN"/>
        </w:rPr>
        <w:t>2026年度高新区安全生产外服单位采购项目</w:t>
      </w:r>
      <w:r>
        <w:rPr>
          <w:rFonts w:hint="eastAsia" w:ascii="宋体" w:hAnsi="宋体" w:eastAsia="宋体" w:cs="宋体"/>
          <w:kern w:val="0"/>
          <w:sz w:val="24"/>
          <w:szCs w:val="24"/>
          <w:highlight w:val="none"/>
        </w:rPr>
        <w:t>。</w:t>
      </w:r>
    </w:p>
    <w:p w14:paraId="6676431A">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2、项目基本情况：</w:t>
      </w:r>
      <w:r>
        <w:rPr>
          <w:rFonts w:hint="eastAsia" w:ascii="宋体" w:hAnsi="宋体" w:eastAsia="宋体" w:cs="宋体"/>
          <w:sz w:val="24"/>
          <w:szCs w:val="24"/>
          <w:highlight w:val="none"/>
          <w:lang w:val="en-US" w:eastAsia="zh-CN"/>
        </w:rPr>
        <w:t>为持续做好高新区安全生产隐患排查以及闭环整改工作，按照省市区关于安全生产监管要求对高新区企业进行202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年度安全生产隐患排查。计划检查园中园（厂中厂）约</w:t>
      </w:r>
      <w:r>
        <w:rPr>
          <w:rFonts w:hint="eastAsia" w:ascii="宋体" w:hAnsi="宋体" w:cs="宋体"/>
          <w:sz w:val="24"/>
          <w:szCs w:val="24"/>
          <w:highlight w:val="none"/>
          <w:lang w:val="en-US" w:eastAsia="zh-CN"/>
        </w:rPr>
        <w:t>89家</w:t>
      </w:r>
      <w:r>
        <w:rPr>
          <w:rFonts w:hint="eastAsia" w:ascii="宋体" w:hAnsi="宋体" w:eastAsia="宋体" w:cs="宋体"/>
          <w:sz w:val="24"/>
          <w:szCs w:val="24"/>
          <w:highlight w:val="none"/>
          <w:lang w:val="en-US" w:eastAsia="zh-CN"/>
        </w:rPr>
        <w:t>，在建工地约</w:t>
      </w:r>
      <w:r>
        <w:rPr>
          <w:rFonts w:hint="eastAsia" w:ascii="宋体" w:hAnsi="宋体" w:cs="宋体"/>
          <w:sz w:val="24"/>
          <w:szCs w:val="24"/>
          <w:highlight w:val="none"/>
          <w:lang w:val="en-US" w:eastAsia="zh-CN"/>
        </w:rPr>
        <w:t>21家</w:t>
      </w:r>
      <w:r>
        <w:rPr>
          <w:rFonts w:hint="eastAsia" w:ascii="宋体" w:hAnsi="宋体" w:eastAsia="宋体" w:cs="宋体"/>
          <w:sz w:val="24"/>
          <w:szCs w:val="24"/>
          <w:highlight w:val="none"/>
          <w:lang w:val="en-US" w:eastAsia="zh-CN"/>
        </w:rPr>
        <w:t>，生产加工、寄递、危化品等单位专项</w:t>
      </w:r>
      <w:r>
        <w:rPr>
          <w:rFonts w:hint="eastAsia" w:ascii="宋体" w:hAnsi="宋体" w:eastAsia="宋体" w:cs="宋体"/>
          <w:color w:val="auto"/>
          <w:sz w:val="24"/>
          <w:szCs w:val="24"/>
          <w:highlight w:val="none"/>
          <w:lang w:val="en-US" w:eastAsia="zh-CN"/>
        </w:rPr>
        <w:t>检查约</w:t>
      </w:r>
      <w:r>
        <w:rPr>
          <w:rFonts w:hint="eastAsia" w:ascii="宋体" w:hAnsi="宋体" w:cs="宋体"/>
          <w:color w:val="auto"/>
          <w:sz w:val="24"/>
          <w:szCs w:val="24"/>
          <w:highlight w:val="none"/>
          <w:lang w:val="en-US" w:eastAsia="zh-CN"/>
        </w:rPr>
        <w:t>214家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具体</w:t>
      </w:r>
      <w:r>
        <w:rPr>
          <w:rFonts w:hint="eastAsia" w:ascii="宋体" w:hAnsi="宋体" w:eastAsia="宋体" w:cs="宋体"/>
          <w:color w:val="auto"/>
          <w:sz w:val="24"/>
          <w:szCs w:val="24"/>
          <w:highlight w:val="none"/>
          <w:lang w:val="en-US" w:eastAsia="zh-CN"/>
        </w:rPr>
        <w:t>根据实际情况决定）。202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年安全生产服务外包费用限额为80万元，安全生产、平安建设宣传教育费用20万（</w:t>
      </w:r>
      <w:r>
        <w:rPr>
          <w:rFonts w:hint="eastAsia" w:ascii="宋体" w:hAnsi="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lang w:val="en-US" w:eastAsia="zh-CN"/>
        </w:rPr>
        <w:t>根据实际制作及开展情况结算</w:t>
      </w:r>
      <w:r>
        <w:rPr>
          <w:rFonts w:hint="eastAsia" w:ascii="宋体" w:hAnsi="宋体" w:eastAsia="宋体" w:cs="宋体"/>
          <w:color w:val="auto"/>
          <w:sz w:val="24"/>
          <w:szCs w:val="24"/>
          <w:highlight w:val="none"/>
          <w:lang w:val="en-US" w:eastAsia="zh-CN"/>
        </w:rPr>
        <w:t>），总费用限额100万，包含全面检查记录、汇总整理、</w:t>
      </w:r>
      <w:r>
        <w:rPr>
          <w:rFonts w:hint="eastAsia" w:ascii="宋体" w:hAnsi="宋体" w:cs="宋体"/>
          <w:color w:val="auto"/>
          <w:sz w:val="24"/>
          <w:szCs w:val="24"/>
          <w:highlight w:val="none"/>
          <w:lang w:val="en-US" w:eastAsia="zh-CN"/>
        </w:rPr>
        <w:t>宣传教育、业务</w:t>
      </w:r>
      <w:r>
        <w:rPr>
          <w:rFonts w:hint="eastAsia" w:ascii="宋体" w:hAnsi="宋体" w:eastAsia="宋体" w:cs="宋体"/>
          <w:color w:val="auto"/>
          <w:sz w:val="24"/>
          <w:szCs w:val="24"/>
          <w:highlight w:val="none"/>
          <w:lang w:val="en-US" w:eastAsia="zh-CN"/>
        </w:rPr>
        <w:t>培训、指导服务</w:t>
      </w:r>
      <w:r>
        <w:rPr>
          <w:rFonts w:hint="eastAsia" w:ascii="宋体" w:hAnsi="宋体" w:cs="宋体"/>
          <w:color w:val="auto"/>
          <w:sz w:val="24"/>
          <w:szCs w:val="24"/>
          <w:highlight w:val="none"/>
          <w:lang w:val="en-US" w:eastAsia="zh-CN"/>
        </w:rPr>
        <w:t>、应急演练组织策划</w:t>
      </w:r>
      <w:r>
        <w:rPr>
          <w:rFonts w:hint="eastAsia" w:ascii="宋体" w:hAnsi="宋体" w:eastAsia="宋体" w:cs="宋体"/>
          <w:color w:val="auto"/>
          <w:sz w:val="24"/>
          <w:szCs w:val="24"/>
          <w:highlight w:val="none"/>
          <w:lang w:val="en-US" w:eastAsia="zh-CN"/>
        </w:rPr>
        <w:t>及工业</w:t>
      </w:r>
      <w:r>
        <w:rPr>
          <w:rFonts w:hint="eastAsia" w:ascii="宋体" w:hAnsi="宋体" w:eastAsia="宋体" w:cs="宋体"/>
          <w:sz w:val="24"/>
          <w:szCs w:val="24"/>
          <w:highlight w:val="none"/>
          <w:lang w:val="en-US" w:eastAsia="zh-CN"/>
        </w:rPr>
        <w:t>企业在线系统录入工作等。同时，按照“杭州市应急管理局关于加强安全生产社会化监管工作的通知”、“杭州市安全生产社会化服务指南”的要求开展服务工作。</w:t>
      </w:r>
    </w:p>
    <w:p w14:paraId="5D6539D8">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响应时，要求响应人必须在报价中明确各类别的单次全面检查的单价。如出现额外突发性的安全生产检查，此项费用包含在合同签订单价中，甲方不再支付额外费用。最终年度结算金额总合计不超过</w:t>
      </w:r>
      <w:r>
        <w:rPr>
          <w:rFonts w:hint="eastAsia" w:ascii="宋体" w:hAnsi="宋体" w:cs="宋体"/>
          <w:b/>
          <w:sz w:val="24"/>
          <w:szCs w:val="24"/>
          <w:highlight w:val="none"/>
          <w:lang w:val="en-US" w:eastAsia="zh-CN"/>
        </w:rPr>
        <w:t>100</w:t>
      </w:r>
      <w:r>
        <w:rPr>
          <w:rFonts w:hint="eastAsia" w:ascii="宋体" w:hAnsi="宋体" w:eastAsia="宋体" w:cs="宋体"/>
          <w:b/>
          <w:sz w:val="24"/>
          <w:szCs w:val="24"/>
          <w:highlight w:val="none"/>
        </w:rPr>
        <w:t>万元。</w:t>
      </w:r>
    </w:p>
    <w:p w14:paraId="07B70C3E">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二、项目实施基本要求</w:t>
      </w:r>
    </w:p>
    <w:p w14:paraId="350737C1">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1、服务期：</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年或费用用完止，具体以合同签订为准。</w:t>
      </w:r>
    </w:p>
    <w:p w14:paraId="5883C6C4">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在合同约定的服务期内，如成交人提供的服务无法满足采购人的需要或未达到响应承诺的标准，经采购人指出后仍未有改进的，采购人可单方解除合同，由此造成甲方的一切损失均由成交人承担。</w:t>
      </w:r>
    </w:p>
    <w:p w14:paraId="64650F42">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2、项目实施地点：拱墅区。</w:t>
      </w:r>
    </w:p>
    <w:p w14:paraId="043F70B9">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响应人需要自行了解采购人相关系统情况，获取与本项目实施有关的资料，所需的费用和风险责任由响应人自行承担。</w:t>
      </w:r>
    </w:p>
    <w:p w14:paraId="759FF54C">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2" w:firstLineChars="200"/>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3、特别说明：中标单位若未在“</w:t>
      </w:r>
      <w:r>
        <w:rPr>
          <w:rFonts w:hint="eastAsia" w:ascii="宋体" w:hAnsi="宋体" w:cs="宋体"/>
          <w:b/>
          <w:bCs/>
          <w:sz w:val="24"/>
          <w:szCs w:val="24"/>
          <w:highlight w:val="none"/>
          <w:u w:val="single"/>
          <w:lang w:eastAsia="zh-CN"/>
        </w:rPr>
        <w:t>浙江省工业企业安全在线系统</w:t>
      </w:r>
      <w:r>
        <w:rPr>
          <w:rFonts w:hint="eastAsia" w:ascii="宋体" w:hAnsi="宋体" w:eastAsia="宋体" w:cs="宋体"/>
          <w:b/>
          <w:bCs/>
          <w:sz w:val="24"/>
          <w:szCs w:val="24"/>
          <w:highlight w:val="none"/>
          <w:u w:val="single"/>
        </w:rPr>
        <w:t>”注册登记，根据《杭州市安全生产社会化服务指南（实行）》要求，请在得知中标结果后</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个工作日内完成“</w:t>
      </w:r>
      <w:r>
        <w:rPr>
          <w:rFonts w:hint="eastAsia" w:ascii="宋体" w:hAnsi="宋体" w:cs="宋体"/>
          <w:b/>
          <w:bCs/>
          <w:sz w:val="24"/>
          <w:szCs w:val="24"/>
          <w:highlight w:val="none"/>
          <w:u w:val="single"/>
          <w:lang w:eastAsia="zh-CN"/>
        </w:rPr>
        <w:t>浙江省工业企业安全在线系统</w:t>
      </w:r>
      <w:r>
        <w:rPr>
          <w:rFonts w:hint="eastAsia" w:ascii="宋体" w:hAnsi="宋体" w:eastAsia="宋体" w:cs="宋体"/>
          <w:b/>
          <w:bCs/>
          <w:sz w:val="24"/>
          <w:szCs w:val="24"/>
          <w:highlight w:val="none"/>
          <w:u w:val="single"/>
        </w:rPr>
        <w:t>”注册并录入相关信息，向属地应急管理部门进行从业告知，否则取消中标资格。</w:t>
      </w:r>
    </w:p>
    <w:p w14:paraId="1A35A1CA">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4、项目结束后，需要向采购人交付检查整改报告、全过程形成的记录、档案资料、相关服务的具体成效等资料。</w:t>
      </w:r>
    </w:p>
    <w:p w14:paraId="4663A69E">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5、服务总体要求</w:t>
      </w:r>
    </w:p>
    <w:p w14:paraId="6B301D49">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1）响应人可根据项目情况向委托方提供相关服务，并提供技术服务联系人、联系电话，随时响应。</w:t>
      </w:r>
    </w:p>
    <w:p w14:paraId="6D184554">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2）每次服务完成后，须向委托方提交相关文档等。</w:t>
      </w:r>
    </w:p>
    <w:p w14:paraId="0127E1DA">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3）响应人须保证所提供技术服务符合国家有关规定。</w:t>
      </w:r>
    </w:p>
    <w:p w14:paraId="53B8631B">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4）响应人必须保证解决项目所涉及的技术问题，并满足委托方需求。</w:t>
      </w:r>
    </w:p>
    <w:p w14:paraId="712EC5A8">
      <w:pPr>
        <w:keepNext w:val="0"/>
        <w:keepLines w:val="0"/>
        <w:pageBreakBefore w:val="0"/>
        <w:widowControl w:val="0"/>
        <w:tabs>
          <w:tab w:val="left" w:pos="2996"/>
        </w:tabs>
        <w:kinsoku/>
        <w:wordWrap/>
        <w:overflowPunct/>
        <w:topLinePunct w:val="0"/>
        <w:bidi w:val="0"/>
        <w:adjustRightInd/>
        <w:snapToGrid/>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三、与报价相关事宜</w:t>
      </w:r>
    </w:p>
    <w:p w14:paraId="22B007B6">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响应报价应包含提供并完成所投项目交易范围内的全部服务所需的一切费用，包括人工费、材料费、其他成本费、企业管理费、利润、税金及风险费用等，响应人不得以任何理由予以重复。一切费用包括招标文件虽未明示，但作为一个有经验的响应人应该预计到的费用等。</w:t>
      </w:r>
    </w:p>
    <w:p w14:paraId="3385AC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2、其他与报价相关的要求按响应人须知。</w:t>
      </w:r>
    </w:p>
    <w:p w14:paraId="0C7E31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3、本次报价最高限价如下：</w:t>
      </w:r>
    </w:p>
    <w:tbl>
      <w:tblPr>
        <w:tblStyle w:val="6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4250"/>
        <w:gridCol w:w="2835"/>
      </w:tblGrid>
      <w:tr w14:paraId="1B43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31" w:type="dxa"/>
            <w:noWrap w:val="0"/>
            <w:vAlign w:val="center"/>
          </w:tcPr>
          <w:p w14:paraId="30EE3F56">
            <w:pPr>
              <w:keepNext w:val="0"/>
              <w:keepLines w:val="0"/>
              <w:pageBreakBefore w:val="0"/>
              <w:widowControl w:val="0"/>
              <w:shd w:val="clear" w:color="auto" w:fill="FFFFFF"/>
              <w:kinsoku/>
              <w:wordWrap/>
              <w:overflowPunct/>
              <w:topLinePunct w:val="0"/>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4250" w:type="dxa"/>
            <w:noWrap w:val="0"/>
            <w:vAlign w:val="center"/>
          </w:tcPr>
          <w:p w14:paraId="01639D83">
            <w:pPr>
              <w:keepNext w:val="0"/>
              <w:keepLines w:val="0"/>
              <w:pageBreakBefore w:val="0"/>
              <w:widowControl w:val="0"/>
              <w:shd w:val="clear" w:color="auto" w:fill="FFFFFF"/>
              <w:kinsoku/>
              <w:wordWrap/>
              <w:overflowPunct/>
              <w:topLinePunct w:val="0"/>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2835" w:type="dxa"/>
            <w:noWrap w:val="0"/>
            <w:vAlign w:val="center"/>
          </w:tcPr>
          <w:p w14:paraId="69AEFFA9">
            <w:pPr>
              <w:keepNext w:val="0"/>
              <w:keepLines w:val="0"/>
              <w:pageBreakBefore w:val="0"/>
              <w:widowControl w:val="0"/>
              <w:shd w:val="clear" w:color="auto" w:fill="FFFFFF"/>
              <w:kinsoku/>
              <w:wordWrap/>
              <w:overflowPunct/>
              <w:topLinePunct w:val="0"/>
              <w:bidi w:val="0"/>
              <w:adjustRightInd/>
              <w:snapToGrid/>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单次检查最高限</w:t>
            </w:r>
            <w:r>
              <w:rPr>
                <w:rFonts w:hint="eastAsia" w:ascii="宋体" w:hAnsi="宋体" w:eastAsia="宋体" w:cs="宋体"/>
                <w:b/>
                <w:bCs/>
                <w:sz w:val="24"/>
                <w:szCs w:val="24"/>
                <w:highlight w:val="none"/>
                <w:lang w:val="en-US" w:eastAsia="zh-CN"/>
              </w:rPr>
              <w:t>价</w:t>
            </w:r>
          </w:p>
        </w:tc>
      </w:tr>
      <w:tr w14:paraId="07A4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31" w:type="dxa"/>
            <w:noWrap w:val="0"/>
            <w:vAlign w:val="center"/>
          </w:tcPr>
          <w:p w14:paraId="42735ADE">
            <w:pPr>
              <w:keepNext w:val="0"/>
              <w:keepLines w:val="0"/>
              <w:pageBreakBefore w:val="0"/>
              <w:widowControl w:val="0"/>
              <w:kinsoku/>
              <w:wordWrap/>
              <w:overflowPunct/>
              <w:topLinePunct w:val="0"/>
              <w:bidi w:val="0"/>
              <w:adjustRightInd/>
              <w:snapToGrid/>
              <w:spacing w:line="360" w:lineRule="auto"/>
              <w:contextualSpacing/>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4250" w:type="dxa"/>
            <w:noWrap w:val="0"/>
            <w:vAlign w:val="center"/>
          </w:tcPr>
          <w:p w14:paraId="07AEE282">
            <w:pPr>
              <w:keepNext w:val="0"/>
              <w:keepLines w:val="0"/>
              <w:pageBreakBefore w:val="0"/>
              <w:widowControl w:val="0"/>
              <w:kinsoku/>
              <w:wordWrap/>
              <w:overflowPunct/>
              <w:topLinePunct w:val="0"/>
              <w:bidi w:val="0"/>
              <w:adjustRightInd/>
              <w:snapToGrid/>
              <w:spacing w:line="360" w:lineRule="auto"/>
              <w:contextualSpacing/>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园中园（厂中厂）（包含各园中园内生产加工、仓储、寄递、危化品、餐饮等重点企业单位）</w:t>
            </w:r>
          </w:p>
        </w:tc>
        <w:tc>
          <w:tcPr>
            <w:tcW w:w="2835" w:type="dxa"/>
            <w:noWrap w:val="0"/>
            <w:vAlign w:val="center"/>
          </w:tcPr>
          <w:p w14:paraId="091899BF">
            <w:pPr>
              <w:pStyle w:val="32"/>
              <w:keepNext w:val="0"/>
              <w:keepLines w:val="0"/>
              <w:pageBreakBefore w:val="0"/>
              <w:widowControl w:val="0"/>
              <w:kinsoku/>
              <w:wordWrap/>
              <w:overflowPunct/>
              <w:topLinePunct w:val="0"/>
              <w:bidi w:val="0"/>
              <w:adjustRightInd/>
              <w:snapToGrid/>
              <w:spacing w:line="360" w:lineRule="auto"/>
              <w:contextualSpacing/>
              <w:jc w:val="center"/>
              <w:rPr>
                <w:rFonts w:hint="default"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400</w:t>
            </w:r>
            <w:r>
              <w:rPr>
                <w:rFonts w:hint="eastAsia" w:ascii="宋体" w:hAnsi="宋体" w:eastAsia="宋体" w:cs="宋体"/>
                <w:b/>
                <w:bCs/>
                <w:sz w:val="24"/>
                <w:szCs w:val="24"/>
                <w:highlight w:val="none"/>
                <w:lang w:val="en-US" w:eastAsia="zh-CN"/>
              </w:rPr>
              <w:t>0元/家次</w:t>
            </w:r>
          </w:p>
        </w:tc>
      </w:tr>
      <w:tr w14:paraId="3B21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1" w:type="dxa"/>
            <w:noWrap w:val="0"/>
            <w:vAlign w:val="center"/>
          </w:tcPr>
          <w:p w14:paraId="700FFB71">
            <w:pPr>
              <w:keepNext w:val="0"/>
              <w:keepLines w:val="0"/>
              <w:pageBreakBefore w:val="0"/>
              <w:widowControl w:val="0"/>
              <w:kinsoku/>
              <w:wordWrap/>
              <w:overflowPunct/>
              <w:topLinePunct w:val="0"/>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4250" w:type="dxa"/>
            <w:noWrap w:val="0"/>
            <w:vAlign w:val="center"/>
          </w:tcPr>
          <w:p w14:paraId="6455EA20">
            <w:pPr>
              <w:keepNext w:val="0"/>
              <w:keepLines w:val="0"/>
              <w:pageBreakBefore w:val="0"/>
              <w:widowControl w:val="0"/>
              <w:kinsoku/>
              <w:wordWrap/>
              <w:overflowPunct/>
              <w:topLinePunct w:val="0"/>
              <w:bidi w:val="0"/>
              <w:adjustRightInd/>
              <w:snapToGrid/>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在建工地</w:t>
            </w:r>
          </w:p>
        </w:tc>
        <w:tc>
          <w:tcPr>
            <w:tcW w:w="2835" w:type="dxa"/>
            <w:noWrap w:val="0"/>
            <w:vAlign w:val="center"/>
          </w:tcPr>
          <w:p w14:paraId="7100B238">
            <w:pPr>
              <w:pStyle w:val="32"/>
              <w:keepNext w:val="0"/>
              <w:keepLines w:val="0"/>
              <w:pageBreakBefore w:val="0"/>
              <w:widowControl w:val="0"/>
              <w:kinsoku/>
              <w:wordWrap/>
              <w:overflowPunct/>
              <w:topLinePunct w:val="0"/>
              <w:bidi w:val="0"/>
              <w:adjustRightInd/>
              <w:snapToGrid/>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2000元/家次</w:t>
            </w:r>
          </w:p>
        </w:tc>
      </w:tr>
      <w:tr w14:paraId="384A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31" w:type="dxa"/>
            <w:noWrap w:val="0"/>
            <w:vAlign w:val="center"/>
          </w:tcPr>
          <w:p w14:paraId="24FF5BD3">
            <w:pPr>
              <w:keepNext w:val="0"/>
              <w:keepLines w:val="0"/>
              <w:pageBreakBefore w:val="0"/>
              <w:widowControl w:val="0"/>
              <w:kinsoku/>
              <w:wordWrap/>
              <w:overflowPunct/>
              <w:topLinePunct w:val="0"/>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4250" w:type="dxa"/>
            <w:noWrap w:val="0"/>
            <w:vAlign w:val="center"/>
          </w:tcPr>
          <w:p w14:paraId="3F9F5514">
            <w:pPr>
              <w:keepNext w:val="0"/>
              <w:keepLines w:val="0"/>
              <w:pageBreakBefore w:val="0"/>
              <w:widowControl w:val="0"/>
              <w:kinsoku/>
              <w:wordWrap/>
              <w:overflowPunct/>
              <w:topLinePunct w:val="0"/>
              <w:bidi w:val="0"/>
              <w:adjustRightInd/>
              <w:snapToGrid/>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生产加工、寄递、危化品等单位</w:t>
            </w:r>
          </w:p>
        </w:tc>
        <w:tc>
          <w:tcPr>
            <w:tcW w:w="2835" w:type="dxa"/>
            <w:noWrap w:val="0"/>
            <w:vAlign w:val="center"/>
          </w:tcPr>
          <w:p w14:paraId="3DF1D6E1">
            <w:pPr>
              <w:pStyle w:val="32"/>
              <w:keepNext w:val="0"/>
              <w:keepLines w:val="0"/>
              <w:pageBreakBefore w:val="0"/>
              <w:widowControl w:val="0"/>
              <w:kinsoku/>
              <w:wordWrap/>
              <w:overflowPunct/>
              <w:topLinePunct w:val="0"/>
              <w:bidi w:val="0"/>
              <w:adjustRightInd/>
              <w:snapToGrid/>
              <w:spacing w:line="360" w:lineRule="auto"/>
              <w:jc w:val="center"/>
              <w:rPr>
                <w:rFonts w:hint="default"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00元/家次</w:t>
            </w:r>
          </w:p>
        </w:tc>
      </w:tr>
    </w:tbl>
    <w:p w14:paraId="09E2AC6D">
      <w:pPr>
        <w:pStyle w:val="61"/>
        <w:keepNext w:val="0"/>
        <w:keepLines w:val="0"/>
        <w:pageBreakBefore w:val="0"/>
        <w:widowControl w:val="0"/>
        <w:kinsoku/>
        <w:wordWrap/>
        <w:overflowPunct/>
        <w:topLinePunct w:val="0"/>
        <w:bidi w:val="0"/>
        <w:adjustRightInd/>
        <w:snapToGrid/>
        <w:spacing w:line="360" w:lineRule="auto"/>
        <w:ind w:right="-512" w:firstLine="0"/>
        <w:jc w:val="left"/>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注：▲</w:t>
      </w:r>
      <w:r>
        <w:rPr>
          <w:rFonts w:hint="eastAsia" w:ascii="宋体" w:hAnsi="宋体" w:eastAsia="宋体" w:cs="宋体"/>
          <w:b/>
          <w:bCs/>
          <w:sz w:val="24"/>
          <w:szCs w:val="24"/>
          <w:highlight w:val="none"/>
        </w:rPr>
        <w:t>各响应人在《报价一览表》中的单价，超过以上任一一个类型的限价，做无效标处理。</w:t>
      </w:r>
    </w:p>
    <w:p w14:paraId="71CF09BE">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如出现额外突发性的安全生产检查，此项费用包含在合同签订单价中，甲方不再支付额外费用</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最终费用按实结算。</w:t>
      </w:r>
    </w:p>
    <w:p w14:paraId="1810510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bottom"/>
        <w:rPr>
          <w:rFonts w:hint="eastAsia" w:ascii="宋体" w:hAnsi="宋体" w:eastAsia="宋体" w:cs="宋体"/>
          <w:b/>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val="en-US" w:eastAsia="zh-CN"/>
        </w:rPr>
        <w:t>高新区</w:t>
      </w:r>
      <w:r>
        <w:rPr>
          <w:rFonts w:hint="eastAsia" w:ascii="宋体" w:hAnsi="宋体" w:eastAsia="宋体" w:cs="宋体"/>
          <w:b/>
          <w:sz w:val="24"/>
          <w:szCs w:val="24"/>
          <w:highlight w:val="none"/>
        </w:rPr>
        <w:t>年度安全生产外服单位工作方案</w:t>
      </w:r>
    </w:p>
    <w:p w14:paraId="3CD2E783">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认真贯彻落实《中共中央国务院关于推进安全生产领域改革发展的意见》和《中共浙江省委、浙江省人民政府关于深入推进安全生产领域改革发展的实施意见》的有关要求，根据《国务院安全生产委员会关于加快推进安全生产社会化服务体系建设的指导意见》（安委【2016】11号）、《杭州市构建双重预防机制防范遏制重特大事故工作实施意见》（杭安委〔2017〕2号）以及《杭州市安全生产社会化服务指南（试行）》等文件精神，动员社会专业力量提供安全生产和职业健康一体化技术服务，更有效地落实企业安全生产和职业健康主体责任，着力提升防控事故的水平，</w:t>
      </w:r>
      <w:r>
        <w:rPr>
          <w:rFonts w:hint="eastAsia" w:ascii="宋体" w:hAnsi="宋体" w:eastAsia="宋体" w:cs="宋体"/>
          <w:sz w:val="24"/>
          <w:szCs w:val="24"/>
          <w:highlight w:val="none"/>
          <w:lang w:eastAsia="zh-CN"/>
        </w:rPr>
        <w:t>杭州大运河数智未来城管理委员会</w:t>
      </w:r>
      <w:r>
        <w:rPr>
          <w:rFonts w:hint="eastAsia" w:ascii="宋体" w:hAnsi="宋体" w:eastAsia="宋体" w:cs="宋体"/>
          <w:sz w:val="24"/>
          <w:szCs w:val="24"/>
          <w:highlight w:val="none"/>
        </w:rPr>
        <w:t>根据《安全生产法》、《浙江省安全生产条例》等有关法律法规，结合</w:t>
      </w:r>
      <w:r>
        <w:rPr>
          <w:rFonts w:hint="eastAsia" w:ascii="宋体" w:hAnsi="宋体" w:eastAsia="宋体" w:cs="宋体"/>
          <w:sz w:val="24"/>
          <w:szCs w:val="24"/>
          <w:highlight w:val="none"/>
          <w:lang w:val="en-US" w:eastAsia="zh-CN"/>
        </w:rPr>
        <w:t>高新</w:t>
      </w:r>
      <w:r>
        <w:rPr>
          <w:rFonts w:hint="eastAsia" w:ascii="宋体" w:hAnsi="宋体" w:eastAsia="宋体" w:cs="宋体"/>
          <w:sz w:val="24"/>
          <w:szCs w:val="24"/>
          <w:highlight w:val="none"/>
        </w:rPr>
        <w:t>区企业实际情况，现拟定项目工作方案如下:</w:t>
      </w:r>
    </w:p>
    <w:p w14:paraId="70085E87">
      <w:pPr>
        <w:keepNext w:val="0"/>
        <w:keepLines w:val="0"/>
        <w:pageBreakBefore w:val="0"/>
        <w:widowControl w:val="0"/>
        <w:kinsoku/>
        <w:wordWrap/>
        <w:overflowPunct/>
        <w:topLinePunct w:val="0"/>
        <w:bidi w:val="0"/>
        <w:adjustRightInd/>
        <w:snapToGrid/>
        <w:spacing w:line="360" w:lineRule="auto"/>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（一）总体工作思路</w:t>
      </w:r>
    </w:p>
    <w:p w14:paraId="13B4EF50">
      <w:pPr>
        <w:keepNext w:val="0"/>
        <w:keepLines w:val="0"/>
        <w:pageBreakBefore w:val="0"/>
        <w:widowControl w:val="0"/>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牢固树立“发展决不能以牺牲安全为代价”的红线意识，始终坚持安全发展理念不动摇，坚持“安全第一、预防为主、综合治理”的安全生产方针，从安全生产和职业健康监管及企业的实际需要出发，根据企业分类、风险程度等因素设定具体服务要求和服务内容，通过开展深入隐患排查、风险分级管控等多种方式相结合的安全技术服务外包工作，实现以下目标：</w:t>
      </w:r>
    </w:p>
    <w:p w14:paraId="097B22FA">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rPr>
        <w:t>进一步摸清企业主要风险点、风险特性及其分布情况，建立企业风险分级管控档案；</w:t>
      </w:r>
    </w:p>
    <w:p w14:paraId="3B185061">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rPr>
        <w:t>排查企业存在的主要隐患，提出隐患整改建议，指导企业积极落实整改；</w:t>
      </w:r>
    </w:p>
    <w:p w14:paraId="4BA513DD">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rPr>
        <w:t>在全面隐患排查和整改的基础上，强化监督执法，</w:t>
      </w:r>
      <w:r>
        <w:rPr>
          <w:rFonts w:hint="eastAsia" w:ascii="宋体" w:hAnsi="宋体" w:cs="宋体"/>
          <w:color w:val="auto"/>
          <w:sz w:val="24"/>
          <w:szCs w:val="24"/>
          <w:highlight w:val="none"/>
          <w:lang w:val="en-US" w:eastAsia="zh-CN"/>
        </w:rPr>
        <w:t>配合高新区做好执法案源上报，</w:t>
      </w:r>
      <w:r>
        <w:rPr>
          <w:rFonts w:hint="eastAsia" w:ascii="宋体" w:hAnsi="宋体" w:eastAsia="宋体" w:cs="宋体"/>
          <w:sz w:val="24"/>
          <w:szCs w:val="24"/>
          <w:highlight w:val="none"/>
        </w:rPr>
        <w:t>督促企业落实隐患整改各项工作；</w:t>
      </w:r>
    </w:p>
    <w:p w14:paraId="70B29644">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highlight w:val="none"/>
        </w:rPr>
        <w:t>对前期企业分级进行统一核实，为规范企业分级管理提供依据；</w:t>
      </w:r>
    </w:p>
    <w:p w14:paraId="6C5BCC07">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完善拱墅区企业安全生产标准、隐患排查标准、政府监督执法标准“三标融合”的标准。</w:t>
      </w:r>
    </w:p>
    <w:p w14:paraId="08AD79D4">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491" w:firstLineChars="205"/>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highlight w:val="none"/>
        </w:rPr>
        <w:t>通过深入的隐患排查和严格的监督执法，切实提高企业自身风险管控和隐患治理能力，构建和完善安全风险分级管控和隐患排查治理双重预防工作机制，实现关口前移、精准监管、源头治理、科学预防，切实提升</w:t>
      </w:r>
      <w:r>
        <w:rPr>
          <w:rFonts w:hint="eastAsia" w:ascii="宋体" w:hAnsi="宋体" w:eastAsia="宋体" w:cs="宋体"/>
          <w:sz w:val="24"/>
          <w:szCs w:val="24"/>
          <w:highlight w:val="none"/>
          <w:lang w:eastAsia="zh-CN"/>
        </w:rPr>
        <w:t>高新区</w:t>
      </w:r>
      <w:r>
        <w:rPr>
          <w:rFonts w:hint="eastAsia" w:ascii="宋体" w:hAnsi="宋体" w:eastAsia="宋体" w:cs="宋体"/>
          <w:sz w:val="24"/>
          <w:szCs w:val="24"/>
          <w:highlight w:val="none"/>
        </w:rPr>
        <w:t>较大生产安全事故和社会影响较大事故防控能力，统筹推进安全生产治理体系和治理能力建设。</w:t>
      </w:r>
    </w:p>
    <w:p w14:paraId="284BF6A6">
      <w:pPr>
        <w:keepNext w:val="0"/>
        <w:keepLines w:val="0"/>
        <w:pageBreakBefore w:val="0"/>
        <w:widowControl w:val="0"/>
        <w:numPr>
          <w:ilvl w:val="0"/>
          <w:numId w:val="0"/>
        </w:numPr>
        <w:kinsoku/>
        <w:wordWrap/>
        <w:overflowPunct/>
        <w:topLinePunct w:val="0"/>
        <w:bidi w:val="0"/>
        <w:adjustRightInd/>
        <w:snapToGrid/>
        <w:spacing w:line="360" w:lineRule="auto"/>
        <w:ind w:left="13" w:leftChars="6" w:firstLine="535" w:firstLineChars="223"/>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highlight w:val="none"/>
        </w:rPr>
        <w:t>安全生产和职业健康技术服务外包形式</w:t>
      </w:r>
    </w:p>
    <w:p w14:paraId="5FBA1F4E">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安全生产和职业健康技术服务外包具体工作形式主要包括以下几种：</w:t>
      </w:r>
    </w:p>
    <w:p w14:paraId="532ABE01">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1.深层次全面诊断</w:t>
      </w:r>
    </w:p>
    <w:p w14:paraId="2533FF9A">
      <w:pPr>
        <w:keepNext w:val="0"/>
        <w:keepLines w:val="0"/>
        <w:pageBreakBefore w:val="0"/>
        <w:widowControl w:val="0"/>
        <w:kinsoku/>
        <w:wordWrap/>
        <w:overflowPunct/>
        <w:topLinePunct w:val="0"/>
        <w:bidi w:val="0"/>
        <w:adjustRightInd/>
        <w:snapToGrid/>
        <w:spacing w:line="360" w:lineRule="auto"/>
        <w:ind w:firstLine="453" w:firstLineChars="18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单位组织技术力量，根据国家有关法律法规、标准规范，对服务对象企业的安全生产和职业健康情况进行深层次的全面诊断，梳理企业风险特性及其分布情况、监控要求，排查企业存在的隐患及其法规标准依据，提出隐患整改的建议。</w:t>
      </w:r>
    </w:p>
    <w:p w14:paraId="4C4BE5D3">
      <w:pPr>
        <w:pStyle w:val="20"/>
        <w:keepNext w:val="0"/>
        <w:keepLines w:val="0"/>
        <w:pageBreakBefore w:val="0"/>
        <w:widowControl w:val="0"/>
        <w:kinsoku/>
        <w:wordWrap/>
        <w:overflowPunct/>
        <w:topLinePunct w:val="0"/>
        <w:bidi w:val="0"/>
        <w:adjustRightInd/>
        <w:snapToGrid/>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2.隐患整改指导</w:t>
      </w:r>
    </w:p>
    <w:p w14:paraId="183A777A">
      <w:pPr>
        <w:pStyle w:val="20"/>
        <w:keepNext w:val="0"/>
        <w:keepLines w:val="0"/>
        <w:pageBreakBefore w:val="0"/>
        <w:widowControl w:val="0"/>
        <w:kinsoku/>
        <w:wordWrap/>
        <w:overflowPunct/>
        <w:topLinePunct w:val="0"/>
        <w:bidi w:val="0"/>
        <w:adjustRightInd/>
        <w:snapToGrid/>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根据安全生产和职业健康技术社会化服务外包工作的实际需要，采用多种形式对企业隐患整改工作提供技术指导；</w:t>
      </w:r>
    </w:p>
    <w:p w14:paraId="085E6062">
      <w:pPr>
        <w:pStyle w:val="20"/>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3.为监督执法提供依据</w:t>
      </w:r>
    </w:p>
    <w:p w14:paraId="38557273">
      <w:pPr>
        <w:pStyle w:val="20"/>
        <w:keepNext w:val="0"/>
        <w:keepLines w:val="0"/>
        <w:pageBreakBefore w:val="0"/>
        <w:widowControl w:val="0"/>
        <w:kinsoku/>
        <w:wordWrap/>
        <w:overflowPunct/>
        <w:topLinePunct w:val="0"/>
        <w:bidi w:val="0"/>
        <w:adjustRightInd/>
        <w:snapToGrid/>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诊断提出要求企业整改的隐患要求逐项列出法规标准依据，为监督执法提供技术支撑。</w:t>
      </w:r>
    </w:p>
    <w:p w14:paraId="57443171">
      <w:pPr>
        <w:pStyle w:val="20"/>
        <w:keepNext w:val="0"/>
        <w:keepLines w:val="0"/>
        <w:pageBreakBefore w:val="0"/>
        <w:widowControl w:val="0"/>
        <w:kinsoku/>
        <w:wordWrap/>
        <w:overflowPunct/>
        <w:topLinePunct w:val="0"/>
        <w:bidi w:val="0"/>
        <w:adjustRightInd/>
        <w:snapToGrid/>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4.教育培训</w:t>
      </w:r>
    </w:p>
    <w:p w14:paraId="6BB2BDAF">
      <w:pPr>
        <w:pStyle w:val="20"/>
        <w:keepNext w:val="0"/>
        <w:keepLines w:val="0"/>
        <w:pageBreakBefore w:val="0"/>
        <w:widowControl w:val="0"/>
        <w:kinsoku/>
        <w:wordWrap/>
        <w:overflowPunct/>
        <w:topLinePunct w:val="0"/>
        <w:bidi w:val="0"/>
        <w:adjustRightInd/>
        <w:snapToGrid/>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根据制定的三标融合标准，对辖区企业管理人员进行培训。</w:t>
      </w:r>
    </w:p>
    <w:p w14:paraId="7BF765D7">
      <w:pPr>
        <w:pStyle w:val="20"/>
        <w:keepNext w:val="0"/>
        <w:keepLines w:val="0"/>
        <w:pageBreakBefore w:val="0"/>
        <w:widowControl w:val="0"/>
        <w:kinsoku/>
        <w:wordWrap/>
        <w:overflowPunct/>
        <w:topLinePunct w:val="0"/>
        <w:bidi w:val="0"/>
        <w:adjustRightInd/>
        <w:snapToGrid/>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5.服务外包单位根据实际情况提出的其他方式。</w:t>
      </w:r>
    </w:p>
    <w:p w14:paraId="689B0434">
      <w:pPr>
        <w:keepNext w:val="0"/>
        <w:keepLines w:val="0"/>
        <w:pageBreakBefore w:val="0"/>
        <w:widowControl w:val="0"/>
        <w:kinsoku/>
        <w:wordWrap/>
        <w:overflowPunct/>
        <w:topLinePunct w:val="0"/>
        <w:bidi w:val="0"/>
        <w:adjustRightInd/>
        <w:snapToGrid/>
        <w:spacing w:line="360" w:lineRule="auto"/>
        <w:ind w:left="4" w:firstLine="415" w:firstLineChars="17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（三）技术服务对象</w:t>
      </w:r>
    </w:p>
    <w:p w14:paraId="54660647">
      <w:pPr>
        <w:keepNext w:val="0"/>
        <w:keepLines w:val="0"/>
        <w:pageBreakBefore w:val="0"/>
        <w:widowControl w:val="0"/>
        <w:kinsoku/>
        <w:wordWrap/>
        <w:overflowPunct/>
        <w:topLinePunct w:val="0"/>
        <w:bidi w:val="0"/>
        <w:adjustRightInd/>
        <w:snapToGrid/>
        <w:spacing w:line="360" w:lineRule="auto"/>
        <w:ind w:firstLine="453" w:firstLineChars="18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本次安全生产和职业健康技术服务外包的服务对象见附表，根据前期确定的分级标准完善A、B、C、D四级分类。</w:t>
      </w:r>
    </w:p>
    <w:p w14:paraId="5E3DF342">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（四）服务时间</w:t>
      </w:r>
    </w:p>
    <w:p w14:paraId="724E1520">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4" w:firstLineChars="181"/>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年或费用用完止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具体起止时间在签订合同时由采购人确定。</w:t>
      </w:r>
    </w:p>
    <w:p w14:paraId="445D9FC1">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（五）服务内容</w:t>
      </w:r>
    </w:p>
    <w:p w14:paraId="6F478EB4">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在服务外包期间内,</w:t>
      </w:r>
      <w:r>
        <w:rPr>
          <w:rFonts w:hint="eastAsia" w:ascii="宋体" w:hAnsi="宋体" w:eastAsia="宋体" w:cs="宋体"/>
          <w:sz w:val="24"/>
          <w:szCs w:val="24"/>
          <w:highlight w:val="none"/>
          <w:lang w:val="en-US" w:eastAsia="zh-CN"/>
        </w:rPr>
        <w:t>检查标准按照“安全生产法、消防安全法”及相关行业标准等法律法规，检查频次</w:t>
      </w:r>
      <w:r>
        <w:rPr>
          <w:rFonts w:hint="eastAsia" w:ascii="宋体" w:hAnsi="宋体" w:cs="宋体"/>
          <w:sz w:val="24"/>
          <w:szCs w:val="24"/>
          <w:highlight w:val="none"/>
          <w:lang w:val="en-US" w:eastAsia="zh-CN"/>
        </w:rPr>
        <w:t>原则上</w:t>
      </w:r>
      <w:r>
        <w:rPr>
          <w:rFonts w:hint="eastAsia" w:ascii="宋体" w:hAnsi="宋体" w:eastAsia="宋体" w:cs="宋体"/>
          <w:sz w:val="24"/>
          <w:szCs w:val="24"/>
          <w:highlight w:val="none"/>
          <w:lang w:val="en-US" w:eastAsia="zh-CN"/>
        </w:rPr>
        <w:t>每个园中园及在建工地一年不少于二次全面检查（</w:t>
      </w:r>
      <w:r>
        <w:rPr>
          <w:rFonts w:hint="eastAsia" w:ascii="宋体" w:hAnsi="宋体" w:cs="宋体"/>
          <w:sz w:val="24"/>
          <w:szCs w:val="24"/>
          <w:highlight w:val="none"/>
          <w:lang w:val="en-US" w:eastAsia="zh-CN"/>
        </w:rPr>
        <w:t>含</w:t>
      </w:r>
      <w:r>
        <w:rPr>
          <w:rFonts w:hint="eastAsia" w:ascii="宋体" w:hAnsi="宋体" w:eastAsia="宋体" w:cs="宋体"/>
          <w:sz w:val="24"/>
          <w:szCs w:val="24"/>
          <w:highlight w:val="none"/>
          <w:lang w:val="en-US" w:eastAsia="zh-CN"/>
        </w:rPr>
        <w:t>各园中园</w:t>
      </w:r>
      <w:r>
        <w:rPr>
          <w:rFonts w:hint="eastAsia" w:ascii="宋体" w:hAnsi="宋体" w:cs="宋体"/>
          <w:sz w:val="24"/>
          <w:szCs w:val="24"/>
          <w:highlight w:val="none"/>
          <w:lang w:val="en-US" w:eastAsia="zh-CN"/>
        </w:rPr>
        <w:t>内</w:t>
      </w:r>
      <w:r>
        <w:rPr>
          <w:rFonts w:hint="eastAsia" w:ascii="宋体" w:hAnsi="宋体" w:eastAsia="宋体" w:cs="宋体"/>
          <w:sz w:val="24"/>
          <w:szCs w:val="24"/>
          <w:highlight w:val="none"/>
          <w:lang w:val="en-US" w:eastAsia="zh-CN"/>
        </w:rPr>
        <w:t>生产加工、仓储、寄递、危化品、餐饮等重点企业单位</w:t>
      </w:r>
      <w:r>
        <w:rPr>
          <w:rFonts w:hint="eastAsia" w:ascii="宋体" w:hAnsi="宋体" w:cs="宋体"/>
          <w:sz w:val="24"/>
          <w:szCs w:val="24"/>
          <w:highlight w:val="none"/>
          <w:lang w:val="en-US" w:eastAsia="zh-CN"/>
        </w:rPr>
        <w:t>，包括二次全面检查（含复查、培训教育、服务指导）以外的省市区各专项行动检查</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重点检查企业安全生产管理台账；安全生产制度落实；现场设备设施等情况（含消控室、水泵房、高配方、危化品储存及消防通道、设施设备等），包含全面检查记录、汇总整理、培训、指导、服务及工业企业在线录入等相关主管部门要求开展的相关工作。安全生产和职业健康技术服务外包主要内容具体包括：</w:t>
      </w:r>
    </w:p>
    <w:p w14:paraId="57EEADD4">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1）风险分级管控</w:t>
      </w:r>
    </w:p>
    <w:p w14:paraId="6B0BA6EF">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通过深入全面诊断，梳理确定企业主要风险特性、风险点及其分布，进而提出风险管控措施建议，为企业实现风险管控挂牌管理提供依据。</w:t>
      </w:r>
    </w:p>
    <w:p w14:paraId="263F3F08">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2）隐患排查治理</w:t>
      </w:r>
    </w:p>
    <w:p w14:paraId="135C3191">
      <w:pPr>
        <w:keepNext w:val="0"/>
        <w:keepLines w:val="0"/>
        <w:pageBreakBefore w:val="0"/>
        <w:widowControl w:val="0"/>
        <w:kinsoku/>
        <w:wordWrap/>
        <w:overflowPunct/>
        <w:topLinePunct w:val="0"/>
        <w:bidi w:val="0"/>
        <w:adjustRightInd/>
        <w:snapToGrid/>
        <w:spacing w:line="360" w:lineRule="auto"/>
        <w:ind w:left="7" w:firstLine="412" w:firstLineChars="17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根据企业风险特点和实际情况，制作检查事项清单，开展二次深层次全面隐患排查工作，梳理并提交服务对象存在的隐患，提出隐患分级和治理建议，指导企业进行整改。</w:t>
      </w:r>
    </w:p>
    <w:p w14:paraId="6CBAC6B6">
      <w:pPr>
        <w:keepNext w:val="0"/>
        <w:keepLines w:val="0"/>
        <w:pageBreakBefore w:val="0"/>
        <w:widowControl w:val="0"/>
        <w:tabs>
          <w:tab w:val="left" w:pos="360"/>
          <w:tab w:val="left" w:pos="540"/>
        </w:tabs>
        <w:kinsoku/>
        <w:wordWrap/>
        <w:overflowPunct/>
        <w:topLinePunct w:val="0"/>
        <w:bidi w:val="0"/>
        <w:adjustRightInd/>
        <w:snapToGrid/>
        <w:spacing w:line="360" w:lineRule="auto"/>
        <w:ind w:left="368" w:leftChars="175" w:right="-21" w:rightChars="-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3）隐患整改情况汇总</w:t>
      </w:r>
    </w:p>
    <w:p w14:paraId="08F340BC">
      <w:pPr>
        <w:keepNext w:val="0"/>
        <w:keepLines w:val="0"/>
        <w:pageBreakBefore w:val="0"/>
        <w:widowControl w:val="0"/>
        <w:tabs>
          <w:tab w:val="left" w:pos="0"/>
          <w:tab w:val="left" w:pos="540"/>
        </w:tabs>
        <w:kinsoku/>
        <w:wordWrap/>
        <w:overflowPunct/>
        <w:topLinePunct w:val="0"/>
        <w:bidi w:val="0"/>
        <w:adjustRightInd/>
        <w:snapToGrid/>
        <w:spacing w:line="360" w:lineRule="auto"/>
        <w:ind w:left="8" w:right="-21" w:rightChars="-10" w:firstLine="410" w:firstLineChars="17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要求，外包服务单位需及时将检查问题隐患情况反馈采购方（原则上每周一反馈上周检查问题隐患情况），并与服务对象及相关部门联系，收集并整理企业反馈的隐患整改情况（整改情况及资料由采购方提供，服务外包单位负责审核指导），形成报告提交安监部门，作为后期监督执法的依据。</w:t>
      </w:r>
    </w:p>
    <w:p w14:paraId="2DBCFFF7">
      <w:pPr>
        <w:keepNext w:val="0"/>
        <w:keepLines w:val="0"/>
        <w:pageBreakBefore w:val="0"/>
        <w:widowControl w:val="0"/>
        <w:tabs>
          <w:tab w:val="left" w:pos="0"/>
          <w:tab w:val="left" w:pos="540"/>
        </w:tabs>
        <w:kinsoku/>
        <w:wordWrap/>
        <w:overflowPunct/>
        <w:topLinePunct w:val="0"/>
        <w:bidi w:val="0"/>
        <w:adjustRightInd/>
        <w:snapToGrid/>
        <w:spacing w:line="360" w:lineRule="auto"/>
        <w:ind w:left="8" w:right="-21" w:rightChars="-10" w:firstLine="410" w:firstLineChars="17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4）检查标准参考拱墅区三标融合的标准，并对企业三标融合标准进行指导培训。</w:t>
      </w:r>
    </w:p>
    <w:p w14:paraId="3E9F4D22">
      <w:pPr>
        <w:keepNext w:val="0"/>
        <w:keepLines w:val="0"/>
        <w:pageBreakBefore w:val="0"/>
        <w:widowControl w:val="0"/>
        <w:tabs>
          <w:tab w:val="left" w:pos="0"/>
          <w:tab w:val="left" w:pos="540"/>
        </w:tabs>
        <w:kinsoku/>
        <w:wordWrap/>
        <w:overflowPunct/>
        <w:topLinePunct w:val="0"/>
        <w:bidi w:val="0"/>
        <w:adjustRightInd/>
        <w:snapToGrid/>
        <w:spacing w:line="360" w:lineRule="auto"/>
        <w:ind w:left="8" w:right="-21" w:rightChars="-10" w:firstLine="410" w:firstLineChars="17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5）除服务检查期间外，</w:t>
      </w:r>
      <w:r>
        <w:rPr>
          <w:rFonts w:hint="eastAsia" w:ascii="宋体" w:hAnsi="宋体" w:cs="宋体"/>
          <w:sz w:val="24"/>
          <w:szCs w:val="24"/>
          <w:highlight w:val="none"/>
          <w:lang w:eastAsia="zh-CN"/>
        </w:rPr>
        <w:t>在服务期内</w:t>
      </w:r>
      <w:r>
        <w:rPr>
          <w:rFonts w:hint="eastAsia" w:ascii="宋体" w:hAnsi="宋体" w:eastAsia="宋体" w:cs="宋体"/>
          <w:sz w:val="24"/>
          <w:szCs w:val="24"/>
          <w:highlight w:val="none"/>
        </w:rPr>
        <w:t>原则上</w:t>
      </w:r>
      <w:r>
        <w:rPr>
          <w:rFonts w:hint="eastAsia" w:ascii="宋体" w:hAnsi="宋体" w:cs="宋体"/>
          <w:sz w:val="24"/>
          <w:szCs w:val="24"/>
          <w:highlight w:val="none"/>
          <w:lang w:eastAsia="zh-CN"/>
        </w:rPr>
        <w:t>，至少安排</w:t>
      </w:r>
      <w:r>
        <w:rPr>
          <w:rFonts w:hint="eastAsia" w:ascii="宋体" w:hAnsi="宋体" w:cs="宋体"/>
          <w:sz w:val="24"/>
          <w:szCs w:val="24"/>
          <w:highlight w:val="none"/>
          <w:lang w:val="en-US" w:eastAsia="zh-CN"/>
        </w:rPr>
        <w:t>1-2人</w:t>
      </w:r>
      <w:r>
        <w:rPr>
          <w:rFonts w:hint="eastAsia" w:ascii="宋体" w:hAnsi="宋体" w:eastAsia="宋体" w:cs="宋体"/>
          <w:sz w:val="24"/>
          <w:szCs w:val="24"/>
          <w:highlight w:val="none"/>
        </w:rPr>
        <w:t>驻点进行指导服务企业进行整改</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配合采购方进行企业业务指导，复查企业整改情况。</w:t>
      </w:r>
    </w:p>
    <w:p w14:paraId="09DA4F5F">
      <w:pPr>
        <w:keepNext w:val="0"/>
        <w:keepLines w:val="0"/>
        <w:pageBreakBefore w:val="0"/>
        <w:widowControl w:val="0"/>
        <w:tabs>
          <w:tab w:val="left" w:pos="0"/>
          <w:tab w:val="left" w:pos="540"/>
        </w:tabs>
        <w:kinsoku/>
        <w:wordWrap/>
        <w:overflowPunct/>
        <w:topLinePunct w:val="0"/>
        <w:bidi w:val="0"/>
        <w:adjustRightInd/>
        <w:snapToGrid/>
        <w:spacing w:line="360" w:lineRule="auto"/>
        <w:ind w:left="8" w:right="-21" w:rightChars="-10" w:firstLine="410" w:firstLineChars="17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6）根据采购方要求及安排对企业进行安全生产培训，原则上每季度一次。</w:t>
      </w:r>
    </w:p>
    <w:p w14:paraId="6EB79E39">
      <w:pPr>
        <w:keepNext w:val="0"/>
        <w:keepLines w:val="0"/>
        <w:pageBreakBefore w:val="0"/>
        <w:widowControl w:val="0"/>
        <w:tabs>
          <w:tab w:val="left" w:pos="0"/>
          <w:tab w:val="left" w:pos="540"/>
        </w:tabs>
        <w:kinsoku/>
        <w:wordWrap/>
        <w:overflowPunct/>
        <w:topLinePunct w:val="0"/>
        <w:bidi w:val="0"/>
        <w:adjustRightInd/>
        <w:snapToGrid/>
        <w:spacing w:line="360" w:lineRule="auto"/>
        <w:ind w:left="8" w:right="-21" w:rightChars="-10" w:firstLine="410" w:firstLineChars="17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7）其他相关服务</w:t>
      </w:r>
    </w:p>
    <w:p w14:paraId="72BECDC3">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432" w:firstLineChars="1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(六)工作要求</w:t>
      </w:r>
    </w:p>
    <w:p w14:paraId="2E98D04F">
      <w:pPr>
        <w:keepNext w:val="0"/>
        <w:keepLines w:val="0"/>
        <w:pageBreakBefore w:val="0"/>
        <w:widowControl w:val="0"/>
        <w:kinsoku/>
        <w:wordWrap/>
        <w:overflowPunct/>
        <w:topLinePunct w:val="0"/>
        <w:bidi w:val="0"/>
        <w:adjustRightInd/>
        <w:snapToGrid/>
        <w:spacing w:line="360" w:lineRule="auto"/>
        <w:ind w:firstLine="453" w:firstLineChars="18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基本要求：服务机构要切实教育相关员工，严肃工作纪律，严把标准，如实、尽职做好本次服务工作，不得借机强迫企业建立业务关系，在工作安排上要尽可能不影响企业正常生产经营，不增加企业不必要的开支。违反上述要求经查的，采购人将予以严肃查处。</w:t>
      </w:r>
    </w:p>
    <w:p w14:paraId="30FFCDA8">
      <w:pPr>
        <w:keepNext w:val="0"/>
        <w:keepLines w:val="0"/>
        <w:pageBreakBefore w:val="0"/>
        <w:widowControl w:val="0"/>
        <w:kinsoku/>
        <w:wordWrap/>
        <w:overflowPunct/>
        <w:topLinePunct w:val="0"/>
        <w:bidi w:val="0"/>
        <w:adjustRightInd/>
        <w:snapToGrid/>
        <w:spacing w:line="360" w:lineRule="auto"/>
        <w:ind w:firstLine="453" w:firstLineChars="189"/>
        <w:jc w:val="left"/>
        <w:rPr>
          <w:rFonts w:hint="eastAsia"/>
        </w:rPr>
      </w:pPr>
      <w:r>
        <w:rPr>
          <w:rFonts w:hint="eastAsia" w:ascii="宋体" w:hAnsi="宋体" w:eastAsia="宋体" w:cs="宋体"/>
          <w:sz w:val="24"/>
          <w:szCs w:val="24"/>
          <w:highlight w:val="none"/>
        </w:rPr>
        <w:t>2）频次要求：每年安排两次全面检查或宣传教育、业务培训、指导服务、应急演练组织策划等形式及内容，如特殊情况，在检查企业数不足，且在服务外包总费用内的，可适时增加检查次数或专项检查</w:t>
      </w:r>
      <w:r>
        <w:rPr>
          <w:rFonts w:hint="eastAsia" w:ascii="宋体" w:hAnsi="宋体" w:cs="宋体"/>
          <w:sz w:val="24"/>
          <w:szCs w:val="24"/>
          <w:highlight w:val="none"/>
          <w:lang w:eastAsia="zh-CN"/>
        </w:rPr>
        <w:t>，如检查企业纳入省市区相关部门检查的，将不纳入检查范围（具体根据上级部门要求）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同时根据省市区专项行动要求适时开展专项检查，并要求服务外包单位提供每次检查全面分析报告</w:t>
      </w:r>
      <w:r>
        <w:rPr>
          <w:rFonts w:hint="eastAsia" w:ascii="宋体" w:hAnsi="宋体" w:eastAsia="宋体" w:cs="宋体"/>
          <w:sz w:val="24"/>
          <w:szCs w:val="24"/>
          <w:highlight w:val="none"/>
        </w:rPr>
        <w:t>。检查过程各专委办以及网格员全程参与，并督促企业做好整改闭环。</w:t>
      </w:r>
    </w:p>
    <w:p w14:paraId="1FEA7BC2">
      <w:pPr>
        <w:keepNext w:val="0"/>
        <w:keepLines w:val="0"/>
        <w:pageBreakBefore w:val="0"/>
        <w:widowControl w:val="0"/>
        <w:kinsoku/>
        <w:wordWrap/>
        <w:overflowPunct/>
        <w:topLinePunct w:val="0"/>
        <w:bidi w:val="0"/>
        <w:adjustRightInd/>
        <w:snapToGrid/>
        <w:spacing w:line="360" w:lineRule="auto"/>
        <w:ind w:firstLine="453" w:firstLineChars="18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3）人员要求：参与人员</w:t>
      </w:r>
      <w:r>
        <w:rPr>
          <w:rFonts w:hint="eastAsia" w:ascii="宋体" w:hAnsi="宋体" w:cs="宋体"/>
          <w:sz w:val="24"/>
          <w:szCs w:val="24"/>
          <w:highlight w:val="none"/>
          <w:lang w:eastAsia="zh-CN"/>
        </w:rPr>
        <w:t>必须为</w:t>
      </w:r>
      <w:r>
        <w:rPr>
          <w:rFonts w:hint="eastAsia" w:ascii="宋体" w:hAnsi="宋体" w:eastAsia="宋体" w:cs="宋体"/>
          <w:sz w:val="24"/>
          <w:szCs w:val="24"/>
          <w:highlight w:val="none"/>
        </w:rPr>
        <w:t>中介服务单位</w:t>
      </w:r>
      <w:r>
        <w:rPr>
          <w:rFonts w:hint="eastAsia" w:ascii="宋体" w:hAnsi="宋体" w:cs="宋体"/>
          <w:sz w:val="24"/>
          <w:szCs w:val="24"/>
          <w:highlight w:val="none"/>
          <w:lang w:eastAsia="zh-CN"/>
        </w:rPr>
        <w:t>在职人员</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资质</w:t>
      </w:r>
      <w:r>
        <w:rPr>
          <w:rFonts w:hint="eastAsia" w:ascii="宋体" w:hAnsi="宋体" w:eastAsia="宋体" w:cs="宋体"/>
          <w:sz w:val="24"/>
          <w:szCs w:val="24"/>
          <w:highlight w:val="none"/>
        </w:rPr>
        <w:t>要求至少为注册安全工程师，</w:t>
      </w:r>
      <w:r>
        <w:rPr>
          <w:rFonts w:hint="eastAsia" w:ascii="宋体" w:hAnsi="宋体" w:cs="宋体"/>
          <w:sz w:val="24"/>
          <w:szCs w:val="24"/>
          <w:highlight w:val="none"/>
          <w:lang w:val="en-US" w:eastAsia="zh-CN"/>
        </w:rPr>
        <w:t>明确项目负责人，项目负责人需高级安全工程师或以上资质，</w:t>
      </w:r>
      <w:r>
        <w:rPr>
          <w:rFonts w:hint="eastAsia" w:ascii="宋体" w:hAnsi="宋体" w:eastAsia="宋体" w:cs="宋体"/>
          <w:sz w:val="24"/>
          <w:szCs w:val="24"/>
          <w:highlight w:val="none"/>
        </w:rPr>
        <w:t>检查期间人员配备不得少于2组，每组2人（特殊期间不得少于4组）</w:t>
      </w:r>
      <w:r>
        <w:rPr>
          <w:rFonts w:hint="eastAsia" w:ascii="宋体" w:hAnsi="宋体" w:cs="宋体"/>
          <w:sz w:val="24"/>
          <w:szCs w:val="24"/>
          <w:highlight w:val="none"/>
          <w:lang w:eastAsia="zh-CN"/>
        </w:rPr>
        <w:t>，原则上无特殊情况的，不得临时调整组员</w:t>
      </w:r>
      <w:r>
        <w:rPr>
          <w:rFonts w:hint="eastAsia" w:ascii="宋体" w:hAnsi="宋体" w:eastAsia="宋体" w:cs="宋体"/>
          <w:sz w:val="24"/>
          <w:szCs w:val="24"/>
          <w:highlight w:val="none"/>
        </w:rPr>
        <w:t>；涉及职业卫生的，至少一人具有职业卫生评价师以上资格（可与安全评价为同一人）。</w:t>
      </w:r>
    </w:p>
    <w:p w14:paraId="7F5BB4E4">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4）情况报告要求：</w:t>
      </w:r>
    </w:p>
    <w:p w14:paraId="79614737">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服务过程需要提交《全面分析报告》（含企业安全等级评估、</w:t>
      </w:r>
      <w:r>
        <w:rPr>
          <w:rFonts w:hint="eastAsia" w:ascii="宋体" w:hAnsi="宋体" w:eastAsia="宋体" w:cs="宋体"/>
          <w:sz w:val="24"/>
          <w:szCs w:val="24"/>
          <w:highlight w:val="none"/>
          <w:lang w:eastAsia="zh-CN"/>
        </w:rPr>
        <w:t>高新区</w:t>
      </w:r>
      <w:r>
        <w:rPr>
          <w:rFonts w:hint="eastAsia" w:ascii="宋体" w:hAnsi="宋体" w:eastAsia="宋体" w:cs="宋体"/>
          <w:sz w:val="24"/>
          <w:szCs w:val="24"/>
          <w:highlight w:val="none"/>
        </w:rPr>
        <w:t>风险便试图等）、《诊断报告》和《隐患整改情况汇总报告》。</w:t>
      </w:r>
    </w:p>
    <w:p w14:paraId="4FBC14FE">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《诊断报告》应包括以下内容：</w:t>
      </w:r>
    </w:p>
    <w:p w14:paraId="352C85D7">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（1）风险分级管控情况；</w:t>
      </w:r>
    </w:p>
    <w:p w14:paraId="66B48B6B">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（2）隐患排查结果：隐患排查后，对存在问题整理形成专门的隐患排查报告；</w:t>
      </w:r>
    </w:p>
    <w:p w14:paraId="61CF4752">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（3）其他情况。</w:t>
      </w:r>
    </w:p>
    <w:p w14:paraId="16A19AC5">
      <w:pPr>
        <w:keepNext w:val="0"/>
        <w:keepLines w:val="0"/>
        <w:pageBreakBefore w:val="0"/>
        <w:widowControl w:val="0"/>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《隐患整改情况汇总报告》应包括以下内容：</w:t>
      </w:r>
    </w:p>
    <w:p w14:paraId="15BE65B6">
      <w:pPr>
        <w:keepNext w:val="0"/>
        <w:keepLines w:val="0"/>
        <w:pageBreakBefore w:val="0"/>
        <w:widowControl w:val="0"/>
        <w:numPr>
          <w:ilvl w:val="0"/>
          <w:numId w:val="0"/>
        </w:numPr>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rPr>
        <w:t>企业隐患整改落实情况；</w:t>
      </w:r>
    </w:p>
    <w:p w14:paraId="3AFC2647">
      <w:pPr>
        <w:keepNext w:val="0"/>
        <w:keepLines w:val="0"/>
        <w:pageBreakBefore w:val="0"/>
        <w:widowControl w:val="0"/>
        <w:numPr>
          <w:ilvl w:val="0"/>
          <w:numId w:val="0"/>
        </w:numPr>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rPr>
        <w:t>未完成整改内容基本情况分析和建议；</w:t>
      </w:r>
    </w:p>
    <w:p w14:paraId="1DB8896A">
      <w:pPr>
        <w:keepNext w:val="0"/>
        <w:keepLines w:val="0"/>
        <w:pageBreakBefore w:val="0"/>
        <w:widowControl w:val="0"/>
        <w:numPr>
          <w:ilvl w:val="0"/>
          <w:numId w:val="0"/>
        </w:numPr>
        <w:tabs>
          <w:tab w:val="left" w:pos="360"/>
          <w:tab w:val="left" w:pos="540"/>
        </w:tabs>
        <w:kinsoku/>
        <w:wordWrap/>
        <w:overflowPunct/>
        <w:topLinePunct w:val="0"/>
        <w:bidi w:val="0"/>
        <w:adjustRightInd/>
        <w:snapToGrid/>
        <w:spacing w:line="360" w:lineRule="auto"/>
        <w:ind w:right="-21" w:rightChars="-10" w:firstLine="504" w:firstLineChars="21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rPr>
        <w:t>其他情况。</w:t>
      </w:r>
    </w:p>
    <w:p w14:paraId="0F6CB4F0">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其他要求：本次安全生产和职业健康技术服务所涉及的相关企业要认真对待此次安全服务工作，认真配合安全中介机构日常检查，并按相关文件和专家要求做好各项工作的落实。对于安全中介机构检查发现的问题，能当场整改的，应立即整改；不能按时整改的，由安全中介机构抄告采购人。对存在依法应予处罚情况、逾期不整改的单位，采购人将上报区应急管理局依法采取相应措施。</w:t>
      </w:r>
    </w:p>
    <w:p w14:paraId="782D1D00">
      <w:pPr>
        <w:pStyle w:val="24"/>
        <w:keepNext w:val="0"/>
        <w:keepLines w:val="0"/>
        <w:pageBreakBefore w:val="0"/>
        <w:widowControl w:val="0"/>
        <w:kinsoku/>
        <w:wordWrap/>
        <w:overflowPunct/>
        <w:topLinePunct w:val="0"/>
        <w:bidi w:val="0"/>
        <w:adjustRightInd/>
        <w:snapToGrid/>
        <w:spacing w:line="360" w:lineRule="auto"/>
        <w:ind w:firstLine="482" w:firstLineChars="200"/>
        <w:rPr>
          <w:rFonts w:hint="eastAsia"/>
          <w:b/>
          <w:bCs/>
        </w:rPr>
      </w:pPr>
      <w:r>
        <w:rPr>
          <w:rFonts w:hint="eastAsia"/>
          <w:b/>
          <w:bCs/>
        </w:rPr>
        <w:t>五、监督考评办法</w:t>
      </w:r>
    </w:p>
    <w:p w14:paraId="464A85E0">
      <w:pPr>
        <w:pStyle w:val="24"/>
        <w:keepNext w:val="0"/>
        <w:keepLines w:val="0"/>
        <w:pageBreakBefore w:val="0"/>
        <w:widowControl w:val="0"/>
        <w:kinsoku/>
        <w:wordWrap/>
        <w:overflowPunct/>
        <w:topLinePunct w:val="0"/>
        <w:bidi w:val="0"/>
        <w:adjustRightInd/>
        <w:snapToGrid/>
        <w:spacing w:line="360" w:lineRule="auto"/>
        <w:ind w:firstLine="480" w:firstLineChars="200"/>
        <w:rPr>
          <w:rFonts w:hint="eastAsia"/>
        </w:rPr>
      </w:pPr>
      <w:r>
        <w:rPr>
          <w:rFonts w:hint="eastAsia"/>
        </w:rPr>
        <w:t>1、在服务</w:t>
      </w:r>
      <w:r>
        <w:rPr>
          <w:rFonts w:hint="eastAsia"/>
          <w:lang w:val="en-US" w:eastAsia="zh-CN"/>
        </w:rPr>
        <w:t>外包</w:t>
      </w:r>
      <w:r>
        <w:rPr>
          <w:rFonts w:hint="eastAsia"/>
        </w:rPr>
        <w:t>单位进行一轮深层次隐患排查后，如后续在省、市、区等安监部门检查过程中发现的</w:t>
      </w:r>
      <w:r>
        <w:rPr>
          <w:rFonts w:hint="eastAsia"/>
          <w:lang w:val="en-US" w:eastAsia="zh-CN"/>
        </w:rPr>
        <w:t>重大</w:t>
      </w:r>
      <w:r>
        <w:rPr>
          <w:rFonts w:hint="eastAsia"/>
        </w:rPr>
        <w:t>安全隐患</w:t>
      </w:r>
      <w:r>
        <w:rPr>
          <w:rFonts w:hint="eastAsia"/>
          <w:lang w:val="en-US" w:eastAsia="zh-CN"/>
        </w:rPr>
        <w:t>或被通报的</w:t>
      </w:r>
      <w:r>
        <w:rPr>
          <w:rFonts w:hint="eastAsia"/>
        </w:rPr>
        <w:t>（除经常性反复隐患外），服务外包单位</w:t>
      </w:r>
      <w:r>
        <w:rPr>
          <w:rFonts w:hint="eastAsia"/>
          <w:lang w:val="en-US" w:eastAsia="zh-CN"/>
        </w:rPr>
        <w:t>未检查指出的，</w:t>
      </w:r>
      <w:r>
        <w:rPr>
          <w:rFonts w:hint="eastAsia"/>
        </w:rPr>
        <w:t>本次本轮费用将予以扣除，扣除费用不纳入年度绩效考核费用计算。</w:t>
      </w:r>
    </w:p>
    <w:p w14:paraId="4969F924">
      <w:pPr>
        <w:pStyle w:val="24"/>
        <w:keepNext w:val="0"/>
        <w:keepLines w:val="0"/>
        <w:pageBreakBefore w:val="0"/>
        <w:widowControl w:val="0"/>
        <w:kinsoku/>
        <w:wordWrap/>
        <w:overflowPunct/>
        <w:topLinePunct w:val="0"/>
        <w:bidi w:val="0"/>
        <w:adjustRightInd/>
        <w:snapToGrid/>
        <w:spacing w:line="360" w:lineRule="auto"/>
        <w:rPr>
          <w:rFonts w:hint="default"/>
          <w:lang w:val="en-US" w:eastAsia="zh-CN"/>
        </w:rPr>
      </w:pPr>
      <w:r>
        <w:rPr>
          <w:rFonts w:hint="eastAsia"/>
          <w:lang w:val="en-US" w:eastAsia="zh-CN"/>
        </w:rPr>
        <w:t xml:space="preserve">    2、在合同期内，如发生安全生产责任事故的，经认定，安全隐患问题因</w:t>
      </w:r>
      <w:r>
        <w:rPr>
          <w:rFonts w:hint="eastAsia"/>
        </w:rPr>
        <w:t>服务单位</w:t>
      </w:r>
      <w:r>
        <w:rPr>
          <w:rFonts w:hint="eastAsia"/>
          <w:lang w:val="en-US" w:eastAsia="zh-CN"/>
        </w:rPr>
        <w:t>在检查期间未检查指出的，</w:t>
      </w:r>
      <w:r>
        <w:rPr>
          <w:rFonts w:hint="eastAsia"/>
        </w:rPr>
        <w:t>本次本轮费用将予以扣除</w:t>
      </w:r>
      <w:r>
        <w:rPr>
          <w:rFonts w:hint="eastAsia"/>
          <w:lang w:eastAsia="zh-CN"/>
        </w:rPr>
        <w:t>，</w:t>
      </w:r>
      <w:r>
        <w:rPr>
          <w:rFonts w:hint="eastAsia"/>
          <w:lang w:val="en-US" w:eastAsia="zh-CN"/>
        </w:rPr>
        <w:t>同时上报主管部门，根据相关法律法规予以处理，并保留事故责任追究的权利。</w:t>
      </w:r>
    </w:p>
    <w:p w14:paraId="7C893141">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杭州大运河数智未来城管理委员会</w:t>
      </w:r>
      <w:r>
        <w:rPr>
          <w:rFonts w:hint="eastAsia" w:ascii="宋体" w:hAnsi="宋体" w:eastAsia="宋体" w:cs="宋体"/>
          <w:sz w:val="24"/>
          <w:szCs w:val="24"/>
          <w:highlight w:val="none"/>
        </w:rPr>
        <w:t>制定以下《拱墅区安全中介机构服务质量考评细则》（本部分附件1），对安全中介机构实际开展安全技术服务情况进行监督和考评，综合被服务企业及相关部门的意见进行日常监测、半年测评、年终考核，以工作量、服务质量及实际服务效果相结合的方式进行考评。绩效考评得分与实际付款金额挂钩，实际付款金额额度按下表支付：</w:t>
      </w:r>
    </w:p>
    <w:p w14:paraId="01666590">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考评得分与付款金额比例一览表</w:t>
      </w:r>
    </w:p>
    <w:tbl>
      <w:tblPr>
        <w:tblStyle w:val="63"/>
        <w:tblW w:w="8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68"/>
        <w:gridCol w:w="1260"/>
        <w:gridCol w:w="1260"/>
        <w:gridCol w:w="1345"/>
        <w:gridCol w:w="1407"/>
      </w:tblGrid>
      <w:tr w14:paraId="3C4F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42" w:type="dxa"/>
            <w:noWrap w:val="0"/>
            <w:vAlign w:val="center"/>
          </w:tcPr>
          <w:p w14:paraId="78EEF428">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考核得分</w:t>
            </w:r>
          </w:p>
        </w:tc>
        <w:tc>
          <w:tcPr>
            <w:tcW w:w="1568" w:type="dxa"/>
            <w:noWrap w:val="0"/>
            <w:vAlign w:val="center"/>
          </w:tcPr>
          <w:p w14:paraId="34B058B3">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90分以上</w:t>
            </w:r>
          </w:p>
        </w:tc>
        <w:tc>
          <w:tcPr>
            <w:tcW w:w="1260" w:type="dxa"/>
            <w:noWrap w:val="0"/>
            <w:vAlign w:val="center"/>
          </w:tcPr>
          <w:p w14:paraId="2C139070">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80～89分</w:t>
            </w:r>
          </w:p>
        </w:tc>
        <w:tc>
          <w:tcPr>
            <w:tcW w:w="1260" w:type="dxa"/>
            <w:noWrap w:val="0"/>
            <w:vAlign w:val="center"/>
          </w:tcPr>
          <w:p w14:paraId="28D20FFF">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70～79分</w:t>
            </w:r>
          </w:p>
        </w:tc>
        <w:tc>
          <w:tcPr>
            <w:tcW w:w="1345" w:type="dxa"/>
            <w:noWrap w:val="0"/>
            <w:vAlign w:val="center"/>
          </w:tcPr>
          <w:p w14:paraId="0D54D610">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60～69分</w:t>
            </w:r>
          </w:p>
        </w:tc>
        <w:tc>
          <w:tcPr>
            <w:tcW w:w="1407" w:type="dxa"/>
            <w:noWrap w:val="0"/>
            <w:vAlign w:val="center"/>
          </w:tcPr>
          <w:p w14:paraId="10AAF45C">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60分以下</w:t>
            </w:r>
          </w:p>
        </w:tc>
      </w:tr>
      <w:tr w14:paraId="00F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42" w:type="dxa"/>
            <w:noWrap w:val="0"/>
            <w:vAlign w:val="center"/>
          </w:tcPr>
          <w:p w14:paraId="5AD2BE00">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付款比例</w:t>
            </w:r>
          </w:p>
        </w:tc>
        <w:tc>
          <w:tcPr>
            <w:tcW w:w="1568" w:type="dxa"/>
            <w:noWrap w:val="0"/>
            <w:vAlign w:val="center"/>
          </w:tcPr>
          <w:p w14:paraId="1EEF3CFC">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全额付款</w:t>
            </w:r>
          </w:p>
        </w:tc>
        <w:tc>
          <w:tcPr>
            <w:tcW w:w="1260" w:type="dxa"/>
            <w:noWrap w:val="0"/>
            <w:vAlign w:val="center"/>
          </w:tcPr>
          <w:p w14:paraId="04F26F9C">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九折付款</w:t>
            </w:r>
          </w:p>
        </w:tc>
        <w:tc>
          <w:tcPr>
            <w:tcW w:w="1260" w:type="dxa"/>
            <w:noWrap w:val="0"/>
            <w:vAlign w:val="center"/>
          </w:tcPr>
          <w:p w14:paraId="4CBF1A95">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八折付款</w:t>
            </w:r>
          </w:p>
        </w:tc>
        <w:tc>
          <w:tcPr>
            <w:tcW w:w="1345" w:type="dxa"/>
            <w:noWrap w:val="0"/>
            <w:vAlign w:val="center"/>
          </w:tcPr>
          <w:p w14:paraId="098A1690">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七折付款</w:t>
            </w:r>
          </w:p>
        </w:tc>
        <w:tc>
          <w:tcPr>
            <w:tcW w:w="1407" w:type="dxa"/>
            <w:noWrap w:val="0"/>
            <w:vAlign w:val="center"/>
          </w:tcPr>
          <w:p w14:paraId="545B21C5">
            <w:pPr>
              <w:keepNext w:val="0"/>
              <w:keepLines w:val="0"/>
              <w:pageBreakBefore w:val="0"/>
              <w:widowControl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六折付款</w:t>
            </w:r>
          </w:p>
        </w:tc>
      </w:tr>
    </w:tbl>
    <w:p w14:paraId="7FBA48F5">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实际付款金额 = 项目金额数（扣除依据第一条扣减费用） ×付款比例</w:t>
      </w:r>
    </w:p>
    <w:p w14:paraId="575B0743">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sectPr>
          <w:footerReference r:id="rId6" w:type="default"/>
          <w:pgSz w:w="11907" w:h="16840"/>
          <w:pgMar w:top="1440" w:right="1800" w:bottom="1440" w:left="1800" w:header="851" w:footer="992" w:gutter="0"/>
          <w:pgNumType w:fmt="decimal"/>
          <w:cols w:space="720" w:num="1"/>
          <w:docGrid w:linePitch="312" w:charSpace="0"/>
        </w:sectPr>
      </w:pPr>
      <w:r>
        <w:rPr>
          <w:rFonts w:hint="eastAsia" w:ascii="宋体" w:hAnsi="宋体" w:eastAsia="宋体" w:cs="宋体"/>
          <w:sz w:val="24"/>
          <w:szCs w:val="24"/>
          <w:highlight w:val="none"/>
        </w:rPr>
        <w:t>对于安全中介机构违反国家咨询服务相关规定，特别是弄虚作假，出具虚假检查报告、证明和服务人员不到现场等行为，一经查实，将严肃处理，并报有关部门按《安全生产法》第八十九条进行处理。</w:t>
      </w:r>
    </w:p>
    <w:p w14:paraId="6EABD2D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  拱墅区安全中介机构服务质量考评细则</w:t>
      </w:r>
    </w:p>
    <w:tbl>
      <w:tblPr>
        <w:tblStyle w:val="63"/>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7970"/>
        <w:gridCol w:w="4481"/>
        <w:gridCol w:w="798"/>
      </w:tblGrid>
      <w:tr w14:paraId="068B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noWrap w:val="0"/>
            <w:vAlign w:val="center"/>
          </w:tcPr>
          <w:p w14:paraId="4E0BD45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w:t>
            </w:r>
          </w:p>
        </w:tc>
        <w:tc>
          <w:tcPr>
            <w:tcW w:w="7970" w:type="dxa"/>
            <w:noWrap w:val="0"/>
            <w:vAlign w:val="center"/>
          </w:tcPr>
          <w:p w14:paraId="5A2FBD6B">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标准内容和要求</w:t>
            </w:r>
          </w:p>
        </w:tc>
        <w:tc>
          <w:tcPr>
            <w:tcW w:w="4481" w:type="dxa"/>
            <w:noWrap w:val="0"/>
            <w:vAlign w:val="center"/>
          </w:tcPr>
          <w:p w14:paraId="0FB17101">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798" w:type="dxa"/>
            <w:noWrap w:val="0"/>
            <w:vAlign w:val="center"/>
          </w:tcPr>
          <w:p w14:paraId="75DF42B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得分</w:t>
            </w:r>
          </w:p>
        </w:tc>
      </w:tr>
      <w:tr w14:paraId="369C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restart"/>
            <w:noWrap w:val="0"/>
            <w:vAlign w:val="center"/>
          </w:tcPr>
          <w:p w14:paraId="1A043B5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w:t>
            </w:r>
          </w:p>
          <w:p w14:paraId="756A14E5">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w:t>
            </w:r>
          </w:p>
          <w:p w14:paraId="404F59C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w:t>
            </w:r>
          </w:p>
          <w:p w14:paraId="55BEA27C">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w:t>
            </w:r>
          </w:p>
          <w:p w14:paraId="7195A51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（20分）</w:t>
            </w:r>
          </w:p>
        </w:tc>
        <w:tc>
          <w:tcPr>
            <w:tcW w:w="7970" w:type="dxa"/>
            <w:tcBorders>
              <w:bottom w:val="single" w:color="auto" w:sz="4" w:space="0"/>
            </w:tcBorders>
            <w:noWrap w:val="0"/>
            <w:vAlign w:val="center"/>
          </w:tcPr>
          <w:p w14:paraId="65634AC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1、机构经依法核准登记，具有独立的法人资格(4分)</w:t>
            </w:r>
          </w:p>
        </w:tc>
        <w:tc>
          <w:tcPr>
            <w:tcW w:w="4481" w:type="dxa"/>
            <w:tcBorders>
              <w:bottom w:val="single" w:color="auto" w:sz="4" w:space="0"/>
            </w:tcBorders>
            <w:noWrap w:val="0"/>
            <w:vAlign w:val="center"/>
          </w:tcPr>
          <w:p w14:paraId="28EDFBF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未能提供工商营业执照，扣4分</w:t>
            </w:r>
          </w:p>
        </w:tc>
        <w:tc>
          <w:tcPr>
            <w:tcW w:w="798" w:type="dxa"/>
            <w:noWrap w:val="0"/>
            <w:vAlign w:val="center"/>
          </w:tcPr>
          <w:p w14:paraId="2671C19A">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154D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1829035C">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44A21AE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2、机构具有安全技术服务资质(4分)</w:t>
            </w:r>
          </w:p>
        </w:tc>
        <w:tc>
          <w:tcPr>
            <w:tcW w:w="4481" w:type="dxa"/>
            <w:shd w:val="clear" w:color="auto" w:fill="FFFFFF"/>
            <w:noWrap w:val="0"/>
            <w:vAlign w:val="center"/>
          </w:tcPr>
          <w:p w14:paraId="520A2DC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未能提供相关安全服务资质证明材料，扣4分</w:t>
            </w:r>
          </w:p>
        </w:tc>
        <w:tc>
          <w:tcPr>
            <w:tcW w:w="798" w:type="dxa"/>
            <w:noWrap w:val="0"/>
            <w:vAlign w:val="center"/>
          </w:tcPr>
          <w:p w14:paraId="419B1FBD">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6D43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19E6FA4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5D318FC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3、按要求配备</w:t>
            </w:r>
            <w:r>
              <w:rPr>
                <w:rFonts w:hint="eastAsia" w:ascii="宋体" w:hAnsi="宋体" w:cs="宋体"/>
                <w:sz w:val="24"/>
                <w:szCs w:val="24"/>
                <w:highlight w:val="none"/>
                <w:lang w:val="en-US" w:eastAsia="zh-CN"/>
              </w:rPr>
              <w:t>项目负责人、</w:t>
            </w:r>
            <w:r>
              <w:rPr>
                <w:rFonts w:hint="eastAsia" w:ascii="宋体" w:hAnsi="宋体" w:eastAsia="宋体" w:cs="宋体"/>
                <w:sz w:val="24"/>
                <w:szCs w:val="24"/>
                <w:highlight w:val="none"/>
              </w:rPr>
              <w:t>联络人员及必要的办公设备、车辆（4分）</w:t>
            </w:r>
          </w:p>
        </w:tc>
        <w:tc>
          <w:tcPr>
            <w:tcW w:w="4481" w:type="dxa"/>
            <w:shd w:val="clear" w:color="auto" w:fill="FFFFFF"/>
            <w:noWrap w:val="0"/>
            <w:vAlign w:val="center"/>
          </w:tcPr>
          <w:p w14:paraId="73C2A8D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实际运作不正常，人员、设备不到位，扣1-4分</w:t>
            </w:r>
          </w:p>
        </w:tc>
        <w:tc>
          <w:tcPr>
            <w:tcW w:w="798" w:type="dxa"/>
            <w:noWrap w:val="0"/>
            <w:vAlign w:val="center"/>
          </w:tcPr>
          <w:p w14:paraId="78881630">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60E6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58CB0F08">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3F30D38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4、参加安全检查服务的人员数量、专业及配置比例符合规定要求（4分）</w:t>
            </w:r>
          </w:p>
        </w:tc>
        <w:tc>
          <w:tcPr>
            <w:tcW w:w="4481" w:type="dxa"/>
            <w:shd w:val="clear" w:color="auto" w:fill="FFFFFF"/>
            <w:noWrap w:val="0"/>
            <w:vAlign w:val="center"/>
          </w:tcPr>
          <w:p w14:paraId="24036BB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检查服务人员配置要求不符合规定的，扣1-4分</w:t>
            </w:r>
          </w:p>
        </w:tc>
        <w:tc>
          <w:tcPr>
            <w:tcW w:w="798" w:type="dxa"/>
            <w:noWrap w:val="0"/>
            <w:vAlign w:val="center"/>
          </w:tcPr>
          <w:p w14:paraId="6220ACF2">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5F5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29B3AEC5">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1961264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5、建立检查服务工作制度，有相应的操作流程或服务指导书并执行到位(4分)</w:t>
            </w:r>
          </w:p>
        </w:tc>
        <w:tc>
          <w:tcPr>
            <w:tcW w:w="4481" w:type="dxa"/>
            <w:shd w:val="clear" w:color="auto" w:fill="FFFFFF"/>
            <w:noWrap w:val="0"/>
            <w:vAlign w:val="center"/>
          </w:tcPr>
          <w:p w14:paraId="77CDF0A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未能提供相应工作制度或执行不到位，扣1-4分</w:t>
            </w:r>
          </w:p>
        </w:tc>
        <w:tc>
          <w:tcPr>
            <w:tcW w:w="798" w:type="dxa"/>
            <w:noWrap w:val="0"/>
            <w:vAlign w:val="center"/>
          </w:tcPr>
          <w:p w14:paraId="435A4F13">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06B5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27" w:type="dxa"/>
            <w:vMerge w:val="restart"/>
            <w:noWrap w:val="0"/>
            <w:vAlign w:val="center"/>
          </w:tcPr>
          <w:p w14:paraId="070ED7B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w:t>
            </w:r>
          </w:p>
          <w:p w14:paraId="38E18D6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范</w:t>
            </w:r>
          </w:p>
          <w:p w14:paraId="61CDA49D">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14:paraId="0195926B">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14:paraId="0687DD4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（30分）</w:t>
            </w:r>
          </w:p>
        </w:tc>
        <w:tc>
          <w:tcPr>
            <w:tcW w:w="7970" w:type="dxa"/>
            <w:noWrap w:val="0"/>
            <w:vAlign w:val="center"/>
          </w:tcPr>
          <w:p w14:paraId="46CA8A4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1、检查服务前应制订详细的月度服务工作计划，并报采购人审核同意后实施 (4分)</w:t>
            </w:r>
          </w:p>
        </w:tc>
        <w:tc>
          <w:tcPr>
            <w:tcW w:w="4481" w:type="dxa"/>
            <w:noWrap w:val="0"/>
            <w:vAlign w:val="center"/>
          </w:tcPr>
          <w:p w14:paraId="317B777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少1次扣1分</w:t>
            </w:r>
          </w:p>
        </w:tc>
        <w:tc>
          <w:tcPr>
            <w:tcW w:w="798" w:type="dxa"/>
            <w:noWrap w:val="0"/>
            <w:vAlign w:val="center"/>
          </w:tcPr>
          <w:p w14:paraId="21426CD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DE5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27" w:type="dxa"/>
            <w:vMerge w:val="continue"/>
            <w:noWrap w:val="0"/>
            <w:vAlign w:val="center"/>
          </w:tcPr>
          <w:p w14:paraId="09060FE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123C0F0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2、按照服务合同规定的服务次数及内容，开展安全技术服务活动，并对其承担的服务业务的真实性、客观性、科学性、准确性负责。(4分)</w:t>
            </w:r>
          </w:p>
        </w:tc>
        <w:tc>
          <w:tcPr>
            <w:tcW w:w="4481" w:type="dxa"/>
            <w:noWrap w:val="0"/>
            <w:vAlign w:val="center"/>
          </w:tcPr>
          <w:p w14:paraId="34425C7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未做到发现1次扣0.5分</w:t>
            </w:r>
          </w:p>
        </w:tc>
        <w:tc>
          <w:tcPr>
            <w:tcW w:w="798" w:type="dxa"/>
            <w:noWrap w:val="0"/>
            <w:vAlign w:val="center"/>
          </w:tcPr>
          <w:p w14:paraId="0DFAF63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0B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27" w:type="dxa"/>
            <w:vMerge w:val="continue"/>
            <w:noWrap w:val="0"/>
            <w:vAlign w:val="center"/>
          </w:tcPr>
          <w:p w14:paraId="3524CA4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7C08473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3、按照检查服务计划及服务工作要求组织相应的技术人员开展安全服务活动（4分）</w:t>
            </w:r>
          </w:p>
        </w:tc>
        <w:tc>
          <w:tcPr>
            <w:tcW w:w="4481" w:type="dxa"/>
            <w:noWrap w:val="0"/>
            <w:vAlign w:val="center"/>
          </w:tcPr>
          <w:p w14:paraId="28E1DFD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检查人员专业及数量不到位的，1次扣0.5分</w:t>
            </w:r>
          </w:p>
        </w:tc>
        <w:tc>
          <w:tcPr>
            <w:tcW w:w="798" w:type="dxa"/>
            <w:noWrap w:val="0"/>
            <w:vAlign w:val="center"/>
          </w:tcPr>
          <w:p w14:paraId="5E31BA8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2EF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continue"/>
            <w:noWrap w:val="0"/>
            <w:vAlign w:val="center"/>
          </w:tcPr>
          <w:p w14:paraId="4E3006F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76D4424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4、对被服务企业安全生产状况进行全面排查，并形成书面检查服务报告(10分)</w:t>
            </w:r>
          </w:p>
        </w:tc>
        <w:tc>
          <w:tcPr>
            <w:tcW w:w="4481" w:type="dxa"/>
            <w:noWrap w:val="0"/>
            <w:vAlign w:val="center"/>
          </w:tcPr>
          <w:p w14:paraId="5308878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无书面检查报告或检查报告不完善的，1次扣0.5分</w:t>
            </w:r>
          </w:p>
        </w:tc>
        <w:tc>
          <w:tcPr>
            <w:tcW w:w="798" w:type="dxa"/>
            <w:noWrap w:val="0"/>
            <w:vAlign w:val="center"/>
          </w:tcPr>
          <w:p w14:paraId="0CA29C6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730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7" w:type="dxa"/>
            <w:vMerge w:val="continue"/>
            <w:noWrap w:val="0"/>
            <w:vAlign w:val="center"/>
          </w:tcPr>
          <w:p w14:paraId="74870D2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42E3ACC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5、对被服务企业安全生产状况进行全面排查发现的隐患，应提出明确整改建议(4分)</w:t>
            </w:r>
          </w:p>
        </w:tc>
        <w:tc>
          <w:tcPr>
            <w:tcW w:w="4481" w:type="dxa"/>
            <w:noWrap w:val="0"/>
            <w:vAlign w:val="center"/>
          </w:tcPr>
          <w:p w14:paraId="2DD7456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未提出隐患整改建议的，1次扣0.5分；整改建议缺乏针对性的，1次扣0.5分</w:t>
            </w:r>
          </w:p>
        </w:tc>
        <w:tc>
          <w:tcPr>
            <w:tcW w:w="798" w:type="dxa"/>
            <w:noWrap w:val="0"/>
            <w:vAlign w:val="center"/>
          </w:tcPr>
          <w:p w14:paraId="52368F6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3972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7" w:type="dxa"/>
            <w:vMerge w:val="continue"/>
            <w:noWrap w:val="0"/>
            <w:vAlign w:val="center"/>
          </w:tcPr>
          <w:p w14:paraId="60B5BF1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1529C86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6、服务前按照相关规定与企业签订技术保密协议及廉洁自律条款。检查服务人员应严格遵守企业各项规章制度，进入现场按规定穿戴自备防护用品，保证自身安全（4分）</w:t>
            </w:r>
          </w:p>
        </w:tc>
        <w:tc>
          <w:tcPr>
            <w:tcW w:w="4481" w:type="dxa"/>
            <w:noWrap w:val="0"/>
            <w:vAlign w:val="center"/>
          </w:tcPr>
          <w:p w14:paraId="1B48650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未能做到的，1次扣0.5分</w:t>
            </w:r>
          </w:p>
        </w:tc>
        <w:tc>
          <w:tcPr>
            <w:tcW w:w="798" w:type="dxa"/>
            <w:noWrap w:val="0"/>
            <w:vAlign w:val="center"/>
          </w:tcPr>
          <w:p w14:paraId="2B87567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C16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restart"/>
            <w:noWrap w:val="0"/>
            <w:vAlign w:val="center"/>
          </w:tcPr>
          <w:p w14:paraId="3AD715F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p w14:paraId="400D420B">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14:paraId="37B05C4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14:paraId="5C350FF0">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w:t>
            </w:r>
          </w:p>
          <w:p w14:paraId="0A45171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督</w:t>
            </w:r>
          </w:p>
          <w:p w14:paraId="048127C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（20分）</w:t>
            </w:r>
          </w:p>
        </w:tc>
        <w:tc>
          <w:tcPr>
            <w:tcW w:w="7970" w:type="dxa"/>
            <w:noWrap w:val="0"/>
            <w:vAlign w:val="center"/>
          </w:tcPr>
          <w:p w14:paraId="69FEFD7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1、检查中发现企业存在重大安全隐患未整改到位或采取有效防范措施的，中介机构应及时将有关情况书面告知监管部门(3分)</w:t>
            </w:r>
          </w:p>
        </w:tc>
        <w:tc>
          <w:tcPr>
            <w:tcW w:w="4481" w:type="dxa"/>
            <w:noWrap w:val="0"/>
            <w:vAlign w:val="center"/>
          </w:tcPr>
          <w:p w14:paraId="30197CA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未书面告知监管部门的，1次扣1分</w:t>
            </w:r>
          </w:p>
        </w:tc>
        <w:tc>
          <w:tcPr>
            <w:tcW w:w="798" w:type="dxa"/>
            <w:noWrap w:val="0"/>
            <w:vAlign w:val="center"/>
          </w:tcPr>
          <w:p w14:paraId="0CB2578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695E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27" w:type="dxa"/>
            <w:vMerge w:val="continue"/>
            <w:noWrap w:val="0"/>
            <w:vAlign w:val="center"/>
          </w:tcPr>
          <w:p w14:paraId="4B7B2F6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noWrap w:val="0"/>
            <w:vAlign w:val="center"/>
          </w:tcPr>
          <w:p w14:paraId="32D0441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2、中介机构应及时将安全检查资料、现场勘查记录、影像资料及有关证据归档，不得外泄，并按照监管部门要求及时报送各类检查报告及相关资料(4分)</w:t>
            </w:r>
          </w:p>
        </w:tc>
        <w:tc>
          <w:tcPr>
            <w:tcW w:w="4481" w:type="dxa"/>
            <w:noWrap w:val="0"/>
            <w:vAlign w:val="center"/>
          </w:tcPr>
          <w:p w14:paraId="2A5805A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缺1次，扣0.5分</w:t>
            </w:r>
          </w:p>
        </w:tc>
        <w:tc>
          <w:tcPr>
            <w:tcW w:w="798" w:type="dxa"/>
            <w:noWrap w:val="0"/>
            <w:vAlign w:val="center"/>
          </w:tcPr>
          <w:p w14:paraId="639584F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0BF4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7" w:type="dxa"/>
            <w:vMerge w:val="continue"/>
            <w:noWrap w:val="0"/>
            <w:vAlign w:val="center"/>
          </w:tcPr>
          <w:p w14:paraId="2C7F9D0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noWrap w:val="0"/>
            <w:vAlign w:val="center"/>
          </w:tcPr>
          <w:p w14:paraId="6D87F22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3、因服务态度不好、工作方法方式粗暴被服务企业投诉反映，经核实属实的(3分)</w:t>
            </w:r>
          </w:p>
        </w:tc>
        <w:tc>
          <w:tcPr>
            <w:tcW w:w="4481" w:type="dxa"/>
            <w:noWrap w:val="0"/>
            <w:vAlign w:val="center"/>
          </w:tcPr>
          <w:p w14:paraId="1DBA3D4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核实1次，扣1分</w:t>
            </w:r>
          </w:p>
        </w:tc>
        <w:tc>
          <w:tcPr>
            <w:tcW w:w="798" w:type="dxa"/>
            <w:noWrap w:val="0"/>
            <w:vAlign w:val="center"/>
          </w:tcPr>
          <w:p w14:paraId="5A8D9DF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3C19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27" w:type="dxa"/>
            <w:vMerge w:val="continue"/>
            <w:noWrap w:val="0"/>
            <w:vAlign w:val="center"/>
          </w:tcPr>
          <w:p w14:paraId="44B63F3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noWrap w:val="0"/>
            <w:vAlign w:val="center"/>
          </w:tcPr>
          <w:p w14:paraId="1950F1A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4、中介机构必须依法经营服务，不得假借政府部门及其工作人员名义或采取不正当手段获取利益，不得借机推销产品或服务，杜绝商业贿赂及其他经济违法行为。被举报存在违法违规行为，并经查证属实的(10分)</w:t>
            </w:r>
          </w:p>
        </w:tc>
        <w:tc>
          <w:tcPr>
            <w:tcW w:w="4481" w:type="dxa"/>
            <w:noWrap w:val="0"/>
            <w:vAlign w:val="center"/>
          </w:tcPr>
          <w:p w14:paraId="61346A1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查实1次，扣10分。情节严重的，终止合同，另行处理。</w:t>
            </w:r>
          </w:p>
        </w:tc>
        <w:tc>
          <w:tcPr>
            <w:tcW w:w="798" w:type="dxa"/>
            <w:noWrap w:val="0"/>
            <w:vAlign w:val="center"/>
          </w:tcPr>
          <w:p w14:paraId="0C6D11B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09B8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7" w:type="dxa"/>
            <w:vMerge w:val="restart"/>
            <w:noWrap w:val="0"/>
            <w:vAlign w:val="center"/>
          </w:tcPr>
          <w:p w14:paraId="67D0BF57">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14:paraId="33A36AF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14:paraId="65F487C0">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效</w:t>
            </w:r>
          </w:p>
          <w:p w14:paraId="731D07A1">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果</w:t>
            </w:r>
          </w:p>
          <w:p w14:paraId="3836DD4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（30分）</w:t>
            </w:r>
          </w:p>
        </w:tc>
        <w:tc>
          <w:tcPr>
            <w:tcW w:w="7970" w:type="dxa"/>
            <w:noWrap w:val="0"/>
            <w:vAlign w:val="center"/>
          </w:tcPr>
          <w:p w14:paraId="10D0009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1、按服务合同要求完成检查服务内容(6分)</w:t>
            </w:r>
          </w:p>
        </w:tc>
        <w:tc>
          <w:tcPr>
            <w:tcW w:w="4481" w:type="dxa"/>
            <w:noWrap w:val="0"/>
            <w:vAlign w:val="center"/>
          </w:tcPr>
          <w:p w14:paraId="1DD7152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在合同规定时限内未完成服务内容的，缺1项，扣0.5分</w:t>
            </w:r>
          </w:p>
        </w:tc>
        <w:tc>
          <w:tcPr>
            <w:tcW w:w="798" w:type="dxa"/>
            <w:noWrap w:val="0"/>
            <w:vAlign w:val="center"/>
          </w:tcPr>
          <w:p w14:paraId="0496508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313A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27" w:type="dxa"/>
            <w:vMerge w:val="continue"/>
            <w:noWrap w:val="0"/>
            <w:vAlign w:val="center"/>
          </w:tcPr>
          <w:p w14:paraId="735BC73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320CDB5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2、被服务的企业安全绩效提升改善成效明显(6分)</w:t>
            </w:r>
          </w:p>
        </w:tc>
        <w:tc>
          <w:tcPr>
            <w:tcW w:w="4481" w:type="dxa"/>
            <w:noWrap w:val="0"/>
            <w:vAlign w:val="center"/>
          </w:tcPr>
          <w:p w14:paraId="2EAF85E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企业安全绩效水平提升改善不明显的，酌情扣1-6分</w:t>
            </w:r>
          </w:p>
        </w:tc>
        <w:tc>
          <w:tcPr>
            <w:tcW w:w="798" w:type="dxa"/>
            <w:noWrap w:val="0"/>
            <w:vAlign w:val="center"/>
          </w:tcPr>
          <w:p w14:paraId="2D11324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7C8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27" w:type="dxa"/>
            <w:vMerge w:val="continue"/>
            <w:noWrap w:val="0"/>
            <w:vAlign w:val="center"/>
          </w:tcPr>
          <w:p w14:paraId="1779921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69E3433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3、被服务企业在上级部门或区相关部门组织的各类安全检查中，发现存在违反安全三同时、严重设施设备缺陷、无证生产经营等固有重大安全隐患的（8分）</w:t>
            </w:r>
          </w:p>
        </w:tc>
        <w:tc>
          <w:tcPr>
            <w:tcW w:w="4481" w:type="dxa"/>
            <w:noWrap w:val="0"/>
            <w:vAlign w:val="center"/>
          </w:tcPr>
          <w:p w14:paraId="0DE8075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发现1次，视情节严重性大小扣1-4分</w:t>
            </w:r>
          </w:p>
        </w:tc>
        <w:tc>
          <w:tcPr>
            <w:tcW w:w="798" w:type="dxa"/>
            <w:noWrap w:val="0"/>
            <w:vAlign w:val="center"/>
          </w:tcPr>
          <w:p w14:paraId="3895673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04C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continue"/>
            <w:noWrap w:val="0"/>
            <w:vAlign w:val="center"/>
          </w:tcPr>
          <w:p w14:paraId="463C968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20F3B8F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4、被服务企业对安全技术服务机构的服务质量作满意度测评(5分)</w:t>
            </w:r>
          </w:p>
        </w:tc>
        <w:tc>
          <w:tcPr>
            <w:tcW w:w="4481" w:type="dxa"/>
            <w:noWrap w:val="0"/>
            <w:vAlign w:val="center"/>
          </w:tcPr>
          <w:p w14:paraId="412EE43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由被服务企业确认评分，满意得5分，比较满意得4分，基本满意得3分，不太满意得2分，不满意得0分</w:t>
            </w:r>
          </w:p>
        </w:tc>
        <w:tc>
          <w:tcPr>
            <w:tcW w:w="798" w:type="dxa"/>
            <w:noWrap w:val="0"/>
            <w:vAlign w:val="center"/>
          </w:tcPr>
          <w:p w14:paraId="038826B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24BD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continue"/>
            <w:noWrap w:val="0"/>
            <w:vAlign w:val="center"/>
          </w:tcPr>
          <w:p w14:paraId="52BB258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6930F8B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5、监管部门对安全技术服务机构的服务质量作满意度测评(5分)</w:t>
            </w:r>
          </w:p>
        </w:tc>
        <w:tc>
          <w:tcPr>
            <w:tcW w:w="4481" w:type="dxa"/>
            <w:noWrap w:val="0"/>
            <w:vAlign w:val="center"/>
          </w:tcPr>
          <w:p w14:paraId="3FA8F91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由监管部门确认评分，满意得5分，比较满意得4分，基本满意得3分，不太满意得2分，不满意得0分</w:t>
            </w:r>
          </w:p>
        </w:tc>
        <w:tc>
          <w:tcPr>
            <w:tcW w:w="798" w:type="dxa"/>
            <w:noWrap w:val="0"/>
            <w:vAlign w:val="center"/>
          </w:tcPr>
          <w:p w14:paraId="7A32809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7E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176" w:type="dxa"/>
            <w:gridSpan w:val="4"/>
            <w:noWrap w:val="0"/>
            <w:vAlign w:val="center"/>
          </w:tcPr>
          <w:p w14:paraId="6B9441ED">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考评人签名：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b/>
                <w:sz w:val="24"/>
                <w:szCs w:val="24"/>
                <w:highlight w:val="none"/>
              </w:rPr>
              <w:t>考评合计得分：</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考评日期：</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 xml:space="preserve">   </w:t>
            </w:r>
          </w:p>
        </w:tc>
      </w:tr>
    </w:tbl>
    <w:p w14:paraId="0CD5F32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sectPr>
          <w:pgSz w:w="16840" w:h="11907" w:orient="landscape"/>
          <w:pgMar w:top="1440" w:right="1800" w:bottom="1440" w:left="1800" w:header="851" w:footer="992" w:gutter="0"/>
          <w:pgNumType w:fmt="decimal"/>
          <w:cols w:space="720" w:num="1"/>
          <w:docGrid w:linePitch="312" w:charSpace="0"/>
        </w:sectPr>
      </w:pPr>
    </w:p>
    <w:p w14:paraId="321768ED">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附件2 拱墅区安全中介机构技术服务满意度测评表</w:t>
      </w:r>
    </w:p>
    <w:p w14:paraId="71EAB7E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p w14:paraId="3551C1D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测评时间段：</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EFDA7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被测评对象：</w:t>
      </w:r>
      <w:r>
        <w:rPr>
          <w:rFonts w:hint="eastAsia" w:ascii="宋体" w:hAnsi="宋体" w:eastAsia="宋体" w:cs="宋体"/>
          <w:sz w:val="24"/>
          <w:szCs w:val="24"/>
          <w:highlight w:val="none"/>
          <w:u w:val="single"/>
        </w:rPr>
        <w:t xml:space="preserve">                                                  </w:t>
      </w:r>
    </w:p>
    <w:p w14:paraId="6C3629F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bl>
      <w:tblPr>
        <w:tblStyle w:val="63"/>
        <w:tblW w:w="908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33"/>
        <w:gridCol w:w="1433"/>
        <w:gridCol w:w="1433"/>
        <w:gridCol w:w="1434"/>
        <w:gridCol w:w="1663"/>
      </w:tblGrid>
      <w:tr w14:paraId="2C19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88" w:type="dxa"/>
            <w:vMerge w:val="restart"/>
            <w:noWrap w:val="0"/>
            <w:vAlign w:val="center"/>
          </w:tcPr>
          <w:p w14:paraId="445F621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测评项目</w:t>
            </w:r>
          </w:p>
        </w:tc>
        <w:tc>
          <w:tcPr>
            <w:tcW w:w="7396" w:type="dxa"/>
            <w:gridSpan w:val="5"/>
            <w:noWrap w:val="0"/>
            <w:vAlign w:val="top"/>
          </w:tcPr>
          <w:p w14:paraId="09295E01">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测评等级</w:t>
            </w:r>
          </w:p>
        </w:tc>
      </w:tr>
      <w:tr w14:paraId="6130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688" w:type="dxa"/>
            <w:vMerge w:val="continue"/>
            <w:noWrap w:val="0"/>
            <w:vAlign w:val="center"/>
          </w:tcPr>
          <w:p w14:paraId="32899F6E">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kern w:val="0"/>
                <w:sz w:val="24"/>
                <w:szCs w:val="24"/>
                <w:highlight w:val="none"/>
              </w:rPr>
            </w:pPr>
          </w:p>
        </w:tc>
        <w:tc>
          <w:tcPr>
            <w:tcW w:w="1433" w:type="dxa"/>
            <w:noWrap w:val="0"/>
            <w:vAlign w:val="center"/>
          </w:tcPr>
          <w:p w14:paraId="3DFAD589">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满意</w:t>
            </w:r>
          </w:p>
          <w:p w14:paraId="31BD693D">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(5分)</w:t>
            </w:r>
          </w:p>
        </w:tc>
        <w:tc>
          <w:tcPr>
            <w:tcW w:w="1433" w:type="dxa"/>
            <w:noWrap w:val="0"/>
            <w:vAlign w:val="center"/>
          </w:tcPr>
          <w:p w14:paraId="4A96C631">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比较满意</w:t>
            </w:r>
          </w:p>
          <w:p w14:paraId="57597D55">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（4分）</w:t>
            </w:r>
          </w:p>
        </w:tc>
        <w:tc>
          <w:tcPr>
            <w:tcW w:w="1433" w:type="dxa"/>
            <w:noWrap w:val="0"/>
            <w:vAlign w:val="center"/>
          </w:tcPr>
          <w:p w14:paraId="63010494">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基本满意</w:t>
            </w:r>
          </w:p>
          <w:p w14:paraId="71F5F68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（3分）</w:t>
            </w:r>
          </w:p>
        </w:tc>
        <w:tc>
          <w:tcPr>
            <w:tcW w:w="1434" w:type="dxa"/>
            <w:noWrap w:val="0"/>
            <w:vAlign w:val="center"/>
          </w:tcPr>
          <w:p w14:paraId="77C666C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不太满意</w:t>
            </w:r>
          </w:p>
          <w:p w14:paraId="46428724">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（2分）</w:t>
            </w:r>
          </w:p>
        </w:tc>
        <w:tc>
          <w:tcPr>
            <w:tcW w:w="1663" w:type="dxa"/>
            <w:noWrap w:val="0"/>
            <w:vAlign w:val="center"/>
          </w:tcPr>
          <w:p w14:paraId="3D73736E">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不满意</w:t>
            </w:r>
          </w:p>
          <w:p w14:paraId="4863938B">
            <w:pPr>
              <w:keepNext w:val="0"/>
              <w:keepLines w:val="0"/>
              <w:pageBreakBefore w:val="0"/>
              <w:kinsoku/>
              <w:wordWrap/>
              <w:overflowPunct/>
              <w:topLinePunct w:val="0"/>
              <w:bidi w:val="0"/>
              <w:adjustRightInd/>
              <w:snapToGrid/>
              <w:spacing w:line="360" w:lineRule="auto"/>
              <w:ind w:firstLine="236" w:firstLineChars="98"/>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（0分）</w:t>
            </w:r>
          </w:p>
        </w:tc>
      </w:tr>
      <w:tr w14:paraId="7EE9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88" w:type="dxa"/>
            <w:noWrap w:val="0"/>
            <w:vAlign w:val="center"/>
          </w:tcPr>
          <w:p w14:paraId="3A2045B1">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机构建设</w:t>
            </w:r>
          </w:p>
        </w:tc>
        <w:tc>
          <w:tcPr>
            <w:tcW w:w="1433" w:type="dxa"/>
            <w:noWrap w:val="0"/>
            <w:vAlign w:val="top"/>
          </w:tcPr>
          <w:p w14:paraId="65C9D9B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511AD7C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6A797D9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340583B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2EC443B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7AE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88" w:type="dxa"/>
            <w:noWrap w:val="0"/>
            <w:vAlign w:val="center"/>
          </w:tcPr>
          <w:p w14:paraId="52D252D7">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规范服务</w:t>
            </w:r>
          </w:p>
        </w:tc>
        <w:tc>
          <w:tcPr>
            <w:tcW w:w="1433" w:type="dxa"/>
            <w:noWrap w:val="0"/>
            <w:vAlign w:val="top"/>
          </w:tcPr>
          <w:p w14:paraId="3AAD187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0BC4E54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04DB204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7638359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1C170CA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3288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88" w:type="dxa"/>
            <w:noWrap w:val="0"/>
            <w:vAlign w:val="center"/>
          </w:tcPr>
          <w:p w14:paraId="264648B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服务监督</w:t>
            </w:r>
          </w:p>
        </w:tc>
        <w:tc>
          <w:tcPr>
            <w:tcW w:w="1433" w:type="dxa"/>
            <w:noWrap w:val="0"/>
            <w:vAlign w:val="top"/>
          </w:tcPr>
          <w:p w14:paraId="35B5CBD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6F77641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2476AF8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1B25902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65C02BA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07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88" w:type="dxa"/>
            <w:noWrap w:val="0"/>
            <w:vAlign w:val="center"/>
          </w:tcPr>
          <w:p w14:paraId="2BA9F00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服务效果</w:t>
            </w:r>
          </w:p>
        </w:tc>
        <w:tc>
          <w:tcPr>
            <w:tcW w:w="1433" w:type="dxa"/>
            <w:noWrap w:val="0"/>
            <w:vAlign w:val="top"/>
          </w:tcPr>
          <w:p w14:paraId="731BBEF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6BF3C8F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071FAC4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0071AE9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0986A8E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183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88" w:type="dxa"/>
            <w:noWrap w:val="0"/>
            <w:vAlign w:val="top"/>
          </w:tcPr>
          <w:p w14:paraId="75E28EEC">
            <w:pPr>
              <w:keepNext w:val="0"/>
              <w:keepLines w:val="0"/>
              <w:pageBreakBefore w:val="0"/>
              <w:kinsoku/>
              <w:wordWrap/>
              <w:overflowPunct/>
              <w:topLinePunct w:val="0"/>
              <w:bidi w:val="0"/>
              <w:adjustRightInd/>
              <w:snapToGrid/>
              <w:spacing w:line="360" w:lineRule="auto"/>
              <w:ind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rPr>
              <w:t>总体评价</w:t>
            </w:r>
          </w:p>
        </w:tc>
        <w:tc>
          <w:tcPr>
            <w:tcW w:w="1433" w:type="dxa"/>
            <w:noWrap w:val="0"/>
            <w:vAlign w:val="top"/>
          </w:tcPr>
          <w:p w14:paraId="1213D38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3243C53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6A919F3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0F1F6AC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67BBF9E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1F7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084" w:type="dxa"/>
            <w:gridSpan w:val="6"/>
            <w:noWrap w:val="0"/>
            <w:vAlign w:val="top"/>
          </w:tcPr>
          <w:p w14:paraId="68305DD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服务中存在的问题：</w:t>
            </w:r>
          </w:p>
        </w:tc>
      </w:tr>
      <w:tr w14:paraId="6891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084" w:type="dxa"/>
            <w:gridSpan w:val="6"/>
            <w:noWrap w:val="0"/>
            <w:vAlign w:val="top"/>
          </w:tcPr>
          <w:p w14:paraId="4D44629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提出的意见或建议：</w:t>
            </w:r>
          </w:p>
          <w:p w14:paraId="185FC73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1909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084" w:type="dxa"/>
            <w:gridSpan w:val="6"/>
            <w:noWrap w:val="0"/>
            <w:vAlign w:val="top"/>
          </w:tcPr>
          <w:p w14:paraId="1702652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填表单位：                    </w:t>
            </w:r>
          </w:p>
          <w:p w14:paraId="3840553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p w14:paraId="50413FE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                    手机：                  传真：</w:t>
            </w:r>
          </w:p>
        </w:tc>
      </w:tr>
    </w:tbl>
    <w:p w14:paraId="4C9B00C1">
      <w:pPr>
        <w:keepNext w:val="0"/>
        <w:keepLines w:val="0"/>
        <w:pageBreakBefore w:val="0"/>
        <w:kinsoku/>
        <w:wordWrap/>
        <w:overflowPunct/>
        <w:topLinePunct w:val="0"/>
        <w:bidi w:val="0"/>
        <w:adjustRightInd/>
        <w:snapToGrid/>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D2DB2F4">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1、在以上表格的“测评等级”中任意选择其中一个打“√”，多选的无效；</w:t>
      </w:r>
    </w:p>
    <w:p w14:paraId="67F8F79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2、测评单位根据根据安全中介机构检查服务实际开展情况真实填写本测评表；</w:t>
      </w:r>
    </w:p>
    <w:p w14:paraId="0089457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3、请将本测评表填写后传真采购人。</w:t>
      </w:r>
    </w:p>
    <w:p w14:paraId="5E9E35A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sectPr>
          <w:pgSz w:w="11907" w:h="16840"/>
          <w:pgMar w:top="1440" w:right="1800" w:bottom="1440" w:left="1800" w:header="851" w:footer="992" w:gutter="0"/>
          <w:pgNumType w:fmt="decimal"/>
          <w:cols w:space="720" w:num="1"/>
          <w:docGrid w:linePitch="312" w:charSpace="0"/>
        </w:sectPr>
      </w:pPr>
    </w:p>
    <w:p w14:paraId="002DD6E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附件三：</w:t>
      </w:r>
      <w:r>
        <w:rPr>
          <w:rFonts w:hint="eastAsia" w:ascii="宋体" w:hAnsi="宋体" w:eastAsia="宋体" w:cs="宋体"/>
          <w:b/>
          <w:sz w:val="24"/>
          <w:szCs w:val="24"/>
          <w:highlight w:val="none"/>
          <w:lang w:eastAsia="zh-CN"/>
        </w:rPr>
        <w:t>高新区</w:t>
      </w:r>
      <w:r>
        <w:rPr>
          <w:rFonts w:hint="eastAsia" w:ascii="宋体" w:hAnsi="宋体" w:eastAsia="宋体" w:cs="宋体"/>
          <w:b/>
          <w:sz w:val="24"/>
          <w:szCs w:val="24"/>
          <w:highlight w:val="none"/>
        </w:rPr>
        <w:t>年度安全生产外服单位工作服务对象名单</w:t>
      </w:r>
    </w:p>
    <w:p w14:paraId="7FF67469">
      <w:pPr>
        <w:jc w:val="center"/>
        <w:rPr>
          <w:rFonts w:hint="eastAsia" w:ascii="宋体" w:hAnsi="宋体" w:cs="宋体"/>
          <w:b/>
          <w:color w:val="auto"/>
          <w:sz w:val="36"/>
          <w:szCs w:val="36"/>
          <w:highlight w:val="none"/>
        </w:rPr>
      </w:pPr>
      <w:r>
        <w:rPr>
          <w:rFonts w:hint="eastAsia" w:ascii="宋体" w:hAnsi="宋体" w:eastAsia="宋体" w:cs="宋体"/>
          <w:b/>
          <w:sz w:val="24"/>
          <w:szCs w:val="24"/>
          <w:highlight w:val="none"/>
        </w:rPr>
        <w:t>（具体名单不详细罗列，成交之后，由采购人提供）</w:t>
      </w:r>
      <w:r>
        <w:rPr>
          <w:rFonts w:hint="eastAsia" w:ascii="宋体" w:hAnsi="宋体" w:eastAsia="宋体" w:cs="宋体"/>
          <w:b/>
          <w:spacing w:val="0"/>
          <w:w w:val="100"/>
          <w:sz w:val="24"/>
          <w:szCs w:val="24"/>
          <w:highlight w:val="none"/>
        </w:rPr>
        <w:br w:type="page"/>
      </w:r>
    </w:p>
    <w:p w14:paraId="216E6343">
      <w:pPr>
        <w:pageBreakBefore w:val="0"/>
        <w:kinsoku/>
        <w:wordWrap/>
        <w:overflowPunct/>
        <w:topLinePunct w:val="0"/>
        <w:autoSpaceDE/>
        <w:autoSpaceDN/>
        <w:bidi w:val="0"/>
        <w:adjustRightInd/>
        <w:snapToGrid/>
        <w:spacing w:line="360" w:lineRule="auto"/>
        <w:jc w:val="center"/>
        <w:textAlignment w:val="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第四部分</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评标办法</w:t>
      </w:r>
    </w:p>
    <w:p w14:paraId="455F7DF9">
      <w:pPr>
        <w:pageBreakBefore w:val="0"/>
        <w:kinsoku/>
        <w:wordWrap/>
        <w:overflowPunct/>
        <w:topLinePunct w:val="0"/>
        <w:autoSpaceDE/>
        <w:autoSpaceDN/>
        <w:bidi w:val="0"/>
        <w:adjustRightInd/>
        <w:snapToGrid/>
        <w:spacing w:line="360" w:lineRule="auto"/>
        <w:jc w:val="center"/>
        <w:textAlignment w:val="auto"/>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8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538"/>
        <w:gridCol w:w="630"/>
        <w:gridCol w:w="1030"/>
        <w:gridCol w:w="1540"/>
      </w:tblGrid>
      <w:tr w14:paraId="418E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A466194">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538" w:type="dxa"/>
            <w:vAlign w:val="center"/>
          </w:tcPr>
          <w:p w14:paraId="2147F52F">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评标标准</w:t>
            </w:r>
          </w:p>
        </w:tc>
        <w:tc>
          <w:tcPr>
            <w:tcW w:w="630" w:type="dxa"/>
            <w:vAlign w:val="center"/>
          </w:tcPr>
          <w:p w14:paraId="3B081A87">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030" w:type="dxa"/>
            <w:vAlign w:val="center"/>
          </w:tcPr>
          <w:p w14:paraId="3D3A99E4">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主观分/客观分属性</w:t>
            </w:r>
          </w:p>
        </w:tc>
        <w:tc>
          <w:tcPr>
            <w:tcW w:w="1540" w:type="dxa"/>
          </w:tcPr>
          <w:p w14:paraId="4E997CC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投标文件中评标标准相应的商务技术资料目录*</w:t>
            </w:r>
          </w:p>
        </w:tc>
      </w:tr>
      <w:tr w14:paraId="62F1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512C10C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p>
        </w:tc>
        <w:tc>
          <w:tcPr>
            <w:tcW w:w="4538" w:type="dxa"/>
            <w:shd w:val="clear" w:color="auto" w:fill="auto"/>
            <w:vAlign w:val="center"/>
          </w:tcPr>
          <w:p w14:paraId="311FAAF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具备</w:t>
            </w:r>
            <w:r>
              <w:rPr>
                <w:rFonts w:hint="eastAsia" w:ascii="宋体" w:hAnsi="宋体" w:eastAsia="宋体" w:cs="宋体"/>
                <w:sz w:val="24"/>
                <w:szCs w:val="24"/>
                <w:highlight w:val="none"/>
                <w:lang w:val="en-US" w:eastAsia="zh-CN"/>
              </w:rPr>
              <w:t>有效期内的</w:t>
            </w:r>
            <w:r>
              <w:rPr>
                <w:rFonts w:hint="eastAsia" w:ascii="宋体" w:hAnsi="宋体" w:eastAsia="宋体" w:cs="宋体"/>
                <w:sz w:val="24"/>
                <w:szCs w:val="24"/>
                <w:highlight w:val="none"/>
              </w:rPr>
              <w:t>质量管理体系认证证书、环境管理体系认证证书、职业健康安全管理体系认证证书</w:t>
            </w:r>
            <w:r>
              <w:rPr>
                <w:rFonts w:hint="eastAsia" w:ascii="宋体" w:hAnsi="宋体" w:eastAsia="宋体" w:cs="宋体"/>
                <w:sz w:val="24"/>
                <w:szCs w:val="24"/>
                <w:highlight w:val="none"/>
                <w:lang w:eastAsia="zh-CN"/>
              </w:rPr>
              <w:t>、信息技术服务管理体系认证证书、信息安全管理体系认证证书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每个得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5EC3CFAC">
            <w:pPr>
              <w:pageBreakBefore w:val="0"/>
              <w:kinsoku/>
              <w:wordWrap/>
              <w:overflowPunct/>
              <w:topLinePunct w:val="0"/>
              <w:autoSpaceDE/>
              <w:autoSpaceDN/>
              <w:bidi w:val="0"/>
              <w:adjustRightInd/>
              <w:snapToGrid/>
              <w:spacing w:line="360" w:lineRule="auto"/>
              <w:textAlignment w:val="auto"/>
              <w:rPr>
                <w:rFonts w:hint="eastAsia" w:eastAsia="宋体" w:cs="仿宋_GB2312" w:asciiTheme="minorEastAsia" w:hAnsiTheme="minorEastAsia"/>
                <w:b/>
                <w:kern w:val="2"/>
                <w:sz w:val="21"/>
                <w:szCs w:val="24"/>
                <w:highlight w:val="none"/>
                <w:lang w:val="en-US" w:eastAsia="zh-CN" w:bidi="ar-SA"/>
              </w:rPr>
            </w:pPr>
            <w:r>
              <w:rPr>
                <w:rFonts w:hint="eastAsia" w:ascii="Times New Roman" w:hAnsi="Times New Roman" w:eastAsia="宋体" w:cs="宋体"/>
                <w:b/>
                <w:sz w:val="24"/>
                <w:highlight w:val="none"/>
              </w:rPr>
              <w:t>【</w:t>
            </w:r>
            <w:r>
              <w:rPr>
                <w:rFonts w:hint="eastAsia" w:ascii="宋体" w:hAnsi="宋体" w:eastAsia="宋体" w:cs="宋体"/>
                <w:b/>
                <w:sz w:val="24"/>
                <w:highlight w:val="none"/>
              </w:rPr>
              <w:t>证明材料</w:t>
            </w:r>
            <w:r>
              <w:rPr>
                <w:rFonts w:hint="eastAsia" w:ascii="Times New Roman" w:hAnsi="Times New Roman" w:eastAsia="宋体" w:cs="宋体"/>
                <w:b/>
                <w:sz w:val="24"/>
                <w:highlight w:val="none"/>
              </w:rPr>
              <w:t>】</w:t>
            </w:r>
            <w:r>
              <w:rPr>
                <w:rFonts w:hint="eastAsia" w:ascii="Times New Roman" w:hAnsi="Times New Roman" w:eastAsia="宋体" w:cs="宋体"/>
                <w:b/>
                <w:sz w:val="24"/>
                <w:highlight w:val="none"/>
                <w:lang w:val="en-US" w:eastAsia="zh-CN"/>
              </w:rPr>
              <w:t>提供</w:t>
            </w:r>
            <w:r>
              <w:rPr>
                <w:rFonts w:hint="eastAsia" w:ascii="宋体" w:hAnsi="宋体" w:eastAsia="宋体" w:cs="宋体"/>
                <w:b/>
                <w:bCs/>
                <w:sz w:val="24"/>
                <w:szCs w:val="24"/>
                <w:highlight w:val="none"/>
              </w:rPr>
              <w:t>认证证书复印件加盖公章和在全国认证认可信息公共服务平台上的查询结果截图，否则不得分</w:t>
            </w:r>
            <w:r>
              <w:rPr>
                <w:rFonts w:hint="eastAsia" w:ascii="宋体" w:hAnsi="宋体" w:eastAsia="宋体" w:cs="宋体"/>
                <w:b/>
                <w:bCs/>
                <w:sz w:val="24"/>
                <w:szCs w:val="24"/>
                <w:highlight w:val="none"/>
                <w:lang w:eastAsia="zh-CN"/>
              </w:rPr>
              <w:t>。</w:t>
            </w:r>
          </w:p>
        </w:tc>
        <w:tc>
          <w:tcPr>
            <w:tcW w:w="630" w:type="dxa"/>
            <w:shd w:val="clear" w:color="auto" w:fill="auto"/>
            <w:vAlign w:val="center"/>
          </w:tcPr>
          <w:p w14:paraId="494DFCF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10</w:t>
            </w:r>
          </w:p>
        </w:tc>
        <w:tc>
          <w:tcPr>
            <w:tcW w:w="1030" w:type="dxa"/>
            <w:shd w:val="clear" w:color="auto" w:fill="auto"/>
            <w:vAlign w:val="center"/>
          </w:tcPr>
          <w:p w14:paraId="026F1CD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客观分</w:t>
            </w:r>
          </w:p>
        </w:tc>
        <w:tc>
          <w:tcPr>
            <w:tcW w:w="1540" w:type="dxa"/>
            <w:shd w:val="clear" w:color="auto" w:fill="auto"/>
            <w:vAlign w:val="center"/>
          </w:tcPr>
          <w:p w14:paraId="2B4D95C0">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0B77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33EE19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p>
        </w:tc>
        <w:tc>
          <w:tcPr>
            <w:tcW w:w="4538" w:type="dxa"/>
            <w:shd w:val="clear" w:color="auto" w:fill="auto"/>
            <w:vAlign w:val="center"/>
          </w:tcPr>
          <w:p w14:paraId="6ECF164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年1月1日以来（以合同签订时间为准）的</w:t>
            </w:r>
            <w:r>
              <w:rPr>
                <w:rFonts w:hint="eastAsia" w:ascii="宋体" w:hAnsi="宋体" w:eastAsia="宋体" w:cs="宋体"/>
                <w:sz w:val="24"/>
                <w:szCs w:val="24"/>
                <w:highlight w:val="none"/>
                <w:lang w:val="en-US" w:eastAsia="zh-CN"/>
              </w:rPr>
              <w:t>类似项目</w:t>
            </w:r>
            <w:r>
              <w:rPr>
                <w:rFonts w:hint="eastAsia" w:ascii="宋体" w:hAnsi="宋体" w:eastAsia="宋体" w:cs="宋体"/>
                <w:sz w:val="24"/>
                <w:szCs w:val="24"/>
                <w:highlight w:val="none"/>
              </w:rPr>
              <w:t>业绩证明,每个业绩得0.5分，最多得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76FD2604">
            <w:pPr>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kern w:val="2"/>
                <w:sz w:val="24"/>
                <w:szCs w:val="24"/>
                <w:highlight w:val="none"/>
                <w:lang w:val="en-US" w:eastAsia="zh-CN" w:bidi="ar-SA"/>
              </w:rPr>
            </w:pPr>
            <w:r>
              <w:rPr>
                <w:rFonts w:hint="eastAsia" w:ascii="Times New Roman" w:hAnsi="Times New Roman" w:eastAsia="宋体" w:cs="宋体"/>
                <w:b/>
                <w:sz w:val="24"/>
                <w:highlight w:val="none"/>
              </w:rPr>
              <w:t>【</w:t>
            </w:r>
            <w:r>
              <w:rPr>
                <w:rFonts w:hint="eastAsia" w:ascii="宋体" w:hAnsi="宋体" w:eastAsia="宋体" w:cs="宋体"/>
                <w:b/>
                <w:sz w:val="24"/>
                <w:highlight w:val="none"/>
              </w:rPr>
              <w:t>证明材料</w:t>
            </w:r>
            <w:r>
              <w:rPr>
                <w:rFonts w:hint="eastAsia" w:ascii="Times New Roman" w:hAnsi="Times New Roman" w:eastAsia="宋体" w:cs="宋体"/>
                <w:b/>
                <w:sz w:val="24"/>
                <w:highlight w:val="none"/>
              </w:rPr>
              <w:t>】</w:t>
            </w:r>
            <w:r>
              <w:rPr>
                <w:rFonts w:hint="eastAsia" w:ascii="宋体" w:hAnsi="宋体" w:eastAsia="宋体" w:cs="宋体"/>
                <w:b/>
                <w:bCs/>
                <w:sz w:val="24"/>
                <w:szCs w:val="24"/>
                <w:highlight w:val="none"/>
              </w:rPr>
              <w:t>合同</w:t>
            </w:r>
            <w:r>
              <w:rPr>
                <w:rFonts w:hint="eastAsia" w:ascii="宋体" w:hAnsi="宋体" w:eastAsia="宋体" w:cs="宋体"/>
                <w:b/>
                <w:bCs/>
                <w:sz w:val="24"/>
                <w:szCs w:val="24"/>
                <w:highlight w:val="none"/>
                <w:lang w:val="en-US" w:eastAsia="zh-CN"/>
              </w:rPr>
              <w:t>复制件</w:t>
            </w:r>
            <w:r>
              <w:rPr>
                <w:rFonts w:hint="eastAsia" w:ascii="宋体" w:hAnsi="宋体" w:eastAsia="宋体" w:cs="宋体"/>
                <w:b/>
                <w:bCs/>
                <w:sz w:val="24"/>
                <w:szCs w:val="24"/>
                <w:highlight w:val="none"/>
              </w:rPr>
              <w:t>加盖公章，否则不得分。</w:t>
            </w:r>
          </w:p>
        </w:tc>
        <w:tc>
          <w:tcPr>
            <w:tcW w:w="630" w:type="dxa"/>
            <w:shd w:val="clear" w:color="auto" w:fill="auto"/>
            <w:vAlign w:val="center"/>
          </w:tcPr>
          <w:p w14:paraId="79866EC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w:t>
            </w:r>
          </w:p>
        </w:tc>
        <w:tc>
          <w:tcPr>
            <w:tcW w:w="1030" w:type="dxa"/>
            <w:shd w:val="clear" w:color="auto" w:fill="auto"/>
            <w:vAlign w:val="center"/>
          </w:tcPr>
          <w:p w14:paraId="7735922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客观分</w:t>
            </w:r>
          </w:p>
        </w:tc>
        <w:tc>
          <w:tcPr>
            <w:tcW w:w="1540" w:type="dxa"/>
            <w:shd w:val="clear" w:color="auto" w:fill="auto"/>
            <w:vAlign w:val="center"/>
          </w:tcPr>
          <w:p w14:paraId="4209F536">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349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442C0FD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3</w:t>
            </w:r>
          </w:p>
        </w:tc>
        <w:tc>
          <w:tcPr>
            <w:tcW w:w="4538" w:type="dxa"/>
            <w:shd w:val="clear" w:color="auto" w:fill="auto"/>
            <w:vAlign w:val="center"/>
          </w:tcPr>
          <w:p w14:paraId="31B00645">
            <w:pPr>
              <w:pageBreakBefore w:val="0"/>
              <w:kinsoku/>
              <w:wordWrap/>
              <w:overflowPunct/>
              <w:topLinePunct w:val="0"/>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获得省级或市级应急管理局评定的安全生产社会化服务机构评级结果为A级的得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B级的得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分，C级</w:t>
            </w:r>
            <w:r>
              <w:rPr>
                <w:rFonts w:hint="eastAsia" w:ascii="宋体" w:hAnsi="宋体" w:eastAsia="宋体" w:cs="宋体"/>
                <w:sz w:val="24"/>
                <w:szCs w:val="24"/>
                <w:highlight w:val="none"/>
                <w:lang w:eastAsia="zh-CN"/>
              </w:rPr>
              <w:t>（含）</w:t>
            </w:r>
            <w:r>
              <w:rPr>
                <w:rFonts w:hint="eastAsia" w:ascii="宋体" w:hAnsi="宋体" w:eastAsia="宋体" w:cs="宋体"/>
                <w:sz w:val="24"/>
                <w:szCs w:val="24"/>
                <w:highlight w:val="none"/>
              </w:rPr>
              <w:t>及以下不得分。</w:t>
            </w:r>
          </w:p>
          <w:p w14:paraId="280CBF32">
            <w:pPr>
              <w:pageBreakBefore w:val="0"/>
              <w:kinsoku/>
              <w:wordWrap/>
              <w:overflowPunct/>
              <w:topLinePunct w:val="0"/>
              <w:autoSpaceDE/>
              <w:autoSpaceDN/>
              <w:bidi w:val="0"/>
              <w:adjustRightInd/>
              <w:snapToGrid/>
              <w:spacing w:line="360" w:lineRule="auto"/>
              <w:textAlignment w:val="auto"/>
              <w:rPr>
                <w:rFonts w:hint="eastAsia" w:ascii="仿宋_GB2312" w:hAnsi="仿宋" w:eastAsia="宋体" w:cs="仿宋"/>
                <w:kern w:val="2"/>
                <w:sz w:val="24"/>
                <w:szCs w:val="24"/>
                <w:highlight w:val="none"/>
                <w:lang w:val="en-US" w:eastAsia="zh-CN" w:bidi="ar-SA"/>
              </w:rPr>
            </w:pPr>
            <w:r>
              <w:rPr>
                <w:rFonts w:hint="eastAsia" w:ascii="Times New Roman" w:hAnsi="Times New Roman" w:eastAsia="宋体" w:cs="宋体"/>
                <w:b/>
                <w:sz w:val="24"/>
                <w:highlight w:val="none"/>
              </w:rPr>
              <w:t>【</w:t>
            </w:r>
            <w:r>
              <w:rPr>
                <w:rFonts w:hint="eastAsia" w:ascii="宋体" w:hAnsi="宋体" w:eastAsia="宋体" w:cs="宋体"/>
                <w:b/>
                <w:sz w:val="24"/>
                <w:highlight w:val="none"/>
              </w:rPr>
              <w:t>证明材料</w:t>
            </w:r>
            <w:r>
              <w:rPr>
                <w:rFonts w:hint="eastAsia" w:ascii="Times New Roman" w:hAnsi="Times New Roman" w:eastAsia="宋体" w:cs="宋体"/>
                <w:b/>
                <w:sz w:val="24"/>
                <w:highlight w:val="none"/>
              </w:rPr>
              <w:t>】</w:t>
            </w:r>
            <w:r>
              <w:rPr>
                <w:rFonts w:hint="eastAsia" w:ascii="宋体" w:hAnsi="宋体" w:eastAsia="宋体" w:cs="宋体"/>
                <w:b/>
                <w:bCs/>
                <w:sz w:val="24"/>
                <w:szCs w:val="24"/>
                <w:highlight w:val="none"/>
              </w:rPr>
              <w:t>省级或市级应急管理局出具的评级结果</w:t>
            </w:r>
            <w:r>
              <w:rPr>
                <w:rFonts w:hint="eastAsia" w:ascii="宋体" w:hAnsi="宋体" w:eastAsia="宋体" w:cs="宋体"/>
                <w:b/>
                <w:bCs/>
                <w:sz w:val="24"/>
                <w:szCs w:val="24"/>
                <w:highlight w:val="none"/>
                <w:lang w:val="en-US" w:eastAsia="zh-CN"/>
              </w:rPr>
              <w:t>复制件加盖公章，</w:t>
            </w:r>
            <w:r>
              <w:rPr>
                <w:rFonts w:hint="eastAsia" w:ascii="宋体" w:hAnsi="宋体" w:eastAsia="宋体" w:cs="宋体"/>
                <w:b/>
                <w:bCs/>
                <w:sz w:val="24"/>
                <w:szCs w:val="24"/>
                <w:highlight w:val="none"/>
              </w:rPr>
              <w:t>否则不得分。</w:t>
            </w:r>
          </w:p>
        </w:tc>
        <w:tc>
          <w:tcPr>
            <w:tcW w:w="630" w:type="dxa"/>
            <w:shd w:val="clear" w:color="auto" w:fill="auto"/>
            <w:vAlign w:val="center"/>
          </w:tcPr>
          <w:p w14:paraId="2B17880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3</w:t>
            </w:r>
          </w:p>
        </w:tc>
        <w:tc>
          <w:tcPr>
            <w:tcW w:w="1030" w:type="dxa"/>
            <w:shd w:val="clear" w:color="auto" w:fill="auto"/>
            <w:vAlign w:val="center"/>
          </w:tcPr>
          <w:p w14:paraId="2669027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客观分</w:t>
            </w:r>
          </w:p>
        </w:tc>
        <w:tc>
          <w:tcPr>
            <w:tcW w:w="1540" w:type="dxa"/>
            <w:shd w:val="clear" w:color="auto" w:fill="auto"/>
            <w:vAlign w:val="center"/>
          </w:tcPr>
          <w:p w14:paraId="24CEAB78">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15ED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8BFB45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4</w:t>
            </w:r>
          </w:p>
        </w:tc>
        <w:tc>
          <w:tcPr>
            <w:tcW w:w="4538" w:type="dxa"/>
            <w:vAlign w:val="center"/>
          </w:tcPr>
          <w:p w14:paraId="4BF33973">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项目理解</w:t>
            </w:r>
            <w:r>
              <w:rPr>
                <w:rFonts w:hint="eastAsia" w:ascii="宋体" w:hAnsi="宋体" w:cs="宋体"/>
                <w:color w:val="000000"/>
                <w:kern w:val="2"/>
                <w:sz w:val="24"/>
                <w:szCs w:val="24"/>
                <w:highlight w:val="none"/>
                <w:lang w:val="en-US" w:eastAsia="zh-CN" w:bidi="ar-SA"/>
              </w:rPr>
              <w:t>：</w:t>
            </w:r>
          </w:p>
          <w:p w14:paraId="6E341DDA">
            <w:pPr>
              <w:numPr>
                <w:ilvl w:val="0"/>
                <w:numId w:val="0"/>
              </w:numPr>
              <w:adjustRightInd/>
              <w:spacing w:line="360" w:lineRule="auto"/>
              <w:jc w:val="left"/>
              <w:rPr>
                <w:rFonts w:hint="eastAsia"/>
                <w:lang w:val="zh-CN" w:eastAsia="zh-CN"/>
              </w:rPr>
            </w:pPr>
            <w:r>
              <w:rPr>
                <w:rFonts w:hint="eastAsia" w:ascii="宋体" w:hAnsi="宋体" w:eastAsia="宋体" w:cs="宋体"/>
                <w:color w:val="000000"/>
                <w:sz w:val="24"/>
                <w:szCs w:val="24"/>
                <w:highlight w:val="none"/>
              </w:rPr>
              <w:t>对本项目的理解和熟悉程度，对工作重难点的分析及解决措施到位情况</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根据供应商</w:t>
            </w:r>
            <w:r>
              <w:rPr>
                <w:rFonts w:hint="eastAsia" w:ascii="宋体" w:hAnsi="宋体" w:eastAsia="宋体" w:cs="宋体"/>
                <w:color w:val="000000"/>
                <w:sz w:val="24"/>
                <w:szCs w:val="24"/>
                <w:highlight w:val="none"/>
                <w:lang w:val="en-US" w:eastAsia="zh-CN"/>
              </w:rPr>
              <w:t>的理解情况进行打分。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评分范围：4,3,2,1,0</w:t>
            </w:r>
            <w:r>
              <w:rPr>
                <w:rFonts w:hint="eastAsia" w:ascii="宋体" w:hAnsi="宋体" w:cs="宋体"/>
                <w:color w:val="auto"/>
                <w:kern w:val="2"/>
                <w:sz w:val="24"/>
                <w:szCs w:val="24"/>
                <w:highlight w:val="none"/>
                <w:lang w:val="en-US" w:eastAsia="zh-CN" w:bidi="ar-SA"/>
              </w:rPr>
              <w:t>）</w:t>
            </w:r>
          </w:p>
        </w:tc>
        <w:tc>
          <w:tcPr>
            <w:tcW w:w="630" w:type="dxa"/>
            <w:vAlign w:val="center"/>
          </w:tcPr>
          <w:p w14:paraId="44118011">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4</w:t>
            </w:r>
          </w:p>
        </w:tc>
        <w:tc>
          <w:tcPr>
            <w:tcW w:w="1030" w:type="dxa"/>
            <w:vAlign w:val="center"/>
          </w:tcPr>
          <w:p w14:paraId="75C4FC8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主观分</w:t>
            </w:r>
          </w:p>
        </w:tc>
        <w:tc>
          <w:tcPr>
            <w:tcW w:w="1540" w:type="dxa"/>
            <w:vAlign w:val="center"/>
          </w:tcPr>
          <w:p w14:paraId="41C6B7D0">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cs="仿宋_GB2312" w:asciiTheme="minorEastAsia" w:hAnsiTheme="minorEastAsia" w:eastAsiaTheme="minorEastAsia"/>
                <w:color w:val="0000FF"/>
                <w:szCs w:val="24"/>
                <w:highlight w:val="none"/>
              </w:rPr>
            </w:pPr>
          </w:p>
        </w:tc>
      </w:tr>
      <w:tr w14:paraId="7DCF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CECB06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5</w:t>
            </w:r>
          </w:p>
        </w:tc>
        <w:tc>
          <w:tcPr>
            <w:tcW w:w="4538" w:type="dxa"/>
            <w:vAlign w:val="center"/>
          </w:tcPr>
          <w:p w14:paraId="03AE31FC">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总体服务方案</w:t>
            </w:r>
            <w:r>
              <w:rPr>
                <w:rFonts w:hint="eastAsia" w:ascii="宋体" w:hAnsi="宋体" w:cs="宋体"/>
                <w:color w:val="auto"/>
                <w:sz w:val="24"/>
                <w:szCs w:val="24"/>
                <w:highlight w:val="none"/>
                <w:lang w:val="en-US" w:eastAsia="zh-CN"/>
              </w:rPr>
              <w:t>：</w:t>
            </w:r>
          </w:p>
          <w:p w14:paraId="7F548580">
            <w:pPr>
              <w:numPr>
                <w:ilvl w:val="0"/>
                <w:numId w:val="0"/>
              </w:numPr>
              <w:adjustRightIn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对园中园（厂中厂）</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对方案的</w:t>
            </w:r>
            <w:r>
              <w:rPr>
                <w:rFonts w:hint="eastAsia" w:ascii="宋体" w:hAnsi="宋体" w:eastAsia="宋体" w:cs="宋体"/>
                <w:color w:val="auto"/>
                <w:sz w:val="24"/>
                <w:szCs w:val="24"/>
                <w:highlight w:val="none"/>
              </w:rPr>
              <w:t>完整性、</w:t>
            </w:r>
            <w:r>
              <w:rPr>
                <w:rFonts w:hint="eastAsia" w:ascii="宋体" w:hAnsi="宋体" w:eastAsia="宋体" w:cs="宋体"/>
                <w:color w:val="auto"/>
                <w:sz w:val="24"/>
                <w:szCs w:val="24"/>
                <w:highlight w:val="none"/>
                <w:lang w:val="en-US" w:eastAsia="zh-CN"/>
              </w:rPr>
              <w:t>合理性进行打分。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评分范围：4,3,2,1,0</w:t>
            </w:r>
            <w:r>
              <w:rPr>
                <w:rFonts w:hint="eastAsia" w:ascii="宋体" w:hAnsi="宋体" w:cs="宋体"/>
                <w:color w:val="auto"/>
                <w:kern w:val="2"/>
                <w:sz w:val="24"/>
                <w:szCs w:val="24"/>
                <w:highlight w:val="none"/>
                <w:lang w:val="en-US" w:eastAsia="zh-CN" w:bidi="ar-SA"/>
              </w:rPr>
              <w:t>）</w:t>
            </w:r>
          </w:p>
          <w:p w14:paraId="796927B2">
            <w:pPr>
              <w:numPr>
                <w:ilvl w:val="0"/>
                <w:numId w:val="0"/>
              </w:numPr>
              <w:adjustRightIn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对在建工地服务的初步</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对方案的</w:t>
            </w:r>
            <w:r>
              <w:rPr>
                <w:rFonts w:hint="eastAsia" w:ascii="宋体" w:hAnsi="宋体" w:eastAsia="宋体" w:cs="宋体"/>
                <w:color w:val="auto"/>
                <w:sz w:val="24"/>
                <w:szCs w:val="24"/>
                <w:highlight w:val="none"/>
              </w:rPr>
              <w:t>完整性、</w:t>
            </w:r>
            <w:r>
              <w:rPr>
                <w:rFonts w:hint="eastAsia" w:ascii="宋体" w:hAnsi="宋体" w:eastAsia="宋体" w:cs="宋体"/>
                <w:color w:val="auto"/>
                <w:sz w:val="24"/>
                <w:szCs w:val="24"/>
                <w:highlight w:val="none"/>
                <w:lang w:val="en-US" w:eastAsia="zh-CN"/>
              </w:rPr>
              <w:t>合理性进行打分。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评分范围：4,3,2,1,0</w:t>
            </w:r>
            <w:r>
              <w:rPr>
                <w:rFonts w:hint="eastAsia" w:ascii="宋体" w:hAnsi="宋体" w:cs="宋体"/>
                <w:color w:val="auto"/>
                <w:kern w:val="2"/>
                <w:sz w:val="24"/>
                <w:szCs w:val="24"/>
                <w:highlight w:val="none"/>
                <w:lang w:val="en-US" w:eastAsia="zh-CN" w:bidi="ar-SA"/>
              </w:rPr>
              <w:t>）</w:t>
            </w:r>
          </w:p>
          <w:p w14:paraId="3EBD51C1">
            <w:pPr>
              <w:numPr>
                <w:ilvl w:val="0"/>
                <w:numId w:val="0"/>
              </w:numPr>
              <w:adjustRightInd/>
              <w:spacing w:line="360" w:lineRule="auto"/>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对宣传教育、业务培训、指导服务、应急演练</w:t>
            </w:r>
            <w:r>
              <w:rPr>
                <w:rFonts w:hint="eastAsia" w:ascii="宋体" w:hAnsi="宋体" w:cs="宋体"/>
                <w:color w:val="auto"/>
                <w:sz w:val="24"/>
                <w:szCs w:val="24"/>
                <w:highlight w:val="none"/>
                <w:lang w:val="en-US" w:eastAsia="zh-CN"/>
              </w:rPr>
              <w:t>等方面的服务方案，</w:t>
            </w:r>
            <w:r>
              <w:rPr>
                <w:rFonts w:hint="eastAsia" w:ascii="宋体" w:hAnsi="宋体" w:eastAsia="宋体" w:cs="宋体"/>
                <w:color w:val="auto"/>
                <w:sz w:val="24"/>
                <w:szCs w:val="24"/>
                <w:highlight w:val="none"/>
                <w:lang w:val="en-US" w:eastAsia="zh-CN"/>
              </w:rPr>
              <w:t>对方案的</w:t>
            </w:r>
            <w:r>
              <w:rPr>
                <w:rFonts w:hint="eastAsia" w:ascii="宋体" w:hAnsi="宋体" w:eastAsia="宋体" w:cs="宋体"/>
                <w:color w:val="auto"/>
                <w:sz w:val="24"/>
                <w:szCs w:val="24"/>
                <w:highlight w:val="none"/>
              </w:rPr>
              <w:t>完整性、</w:t>
            </w:r>
            <w:r>
              <w:rPr>
                <w:rFonts w:hint="eastAsia" w:ascii="宋体" w:hAnsi="宋体" w:eastAsia="宋体" w:cs="宋体"/>
                <w:color w:val="auto"/>
                <w:sz w:val="24"/>
                <w:szCs w:val="24"/>
                <w:highlight w:val="none"/>
                <w:lang w:val="en-US" w:eastAsia="zh-CN"/>
              </w:rPr>
              <w:t>合理性进行打分。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评分范围：4,3,2,1,0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26C1639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12</w:t>
            </w:r>
          </w:p>
        </w:tc>
        <w:tc>
          <w:tcPr>
            <w:tcW w:w="1030" w:type="dxa"/>
            <w:shd w:val="clear" w:color="auto" w:fill="auto"/>
            <w:vAlign w:val="center"/>
          </w:tcPr>
          <w:p w14:paraId="4CB763F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主观分</w:t>
            </w:r>
          </w:p>
        </w:tc>
        <w:tc>
          <w:tcPr>
            <w:tcW w:w="1540" w:type="dxa"/>
            <w:vAlign w:val="center"/>
          </w:tcPr>
          <w:p w14:paraId="5CAD8F88">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cs="仿宋_GB2312" w:asciiTheme="minorEastAsia" w:hAnsiTheme="minorEastAsia" w:eastAsiaTheme="minorEastAsia"/>
                <w:color w:val="0000FF"/>
                <w:szCs w:val="24"/>
                <w:highlight w:val="none"/>
              </w:rPr>
            </w:pPr>
          </w:p>
        </w:tc>
      </w:tr>
      <w:tr w14:paraId="06EB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327F33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6</w:t>
            </w:r>
          </w:p>
        </w:tc>
        <w:tc>
          <w:tcPr>
            <w:tcW w:w="4538" w:type="dxa"/>
            <w:vAlign w:val="center"/>
          </w:tcPr>
          <w:p w14:paraId="25729907">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实施方案</w:t>
            </w:r>
            <w:r>
              <w:rPr>
                <w:rFonts w:hint="eastAsia" w:ascii="宋体" w:hAnsi="宋体" w:cs="宋体"/>
                <w:color w:val="auto"/>
                <w:kern w:val="2"/>
                <w:sz w:val="24"/>
                <w:szCs w:val="24"/>
                <w:highlight w:val="none"/>
                <w:lang w:val="en-US" w:eastAsia="zh-CN" w:bidi="ar-SA"/>
              </w:rPr>
              <w:t>：</w:t>
            </w:r>
          </w:p>
          <w:p w14:paraId="3DE7B726">
            <w:pPr>
              <w:pStyle w:val="24"/>
              <w:numPr>
                <w:ilvl w:val="0"/>
                <w:numId w:val="0"/>
              </w:numPr>
              <w:adjustRightInd/>
              <w:jc w:val="left"/>
              <w:rPr>
                <w:rFonts w:hint="eastAsia" w:ascii="宋体" w:hAnsi="宋体" w:eastAsia="宋体" w:cs="宋体"/>
                <w:color w:val="000000"/>
                <w:sz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auto"/>
                <w:sz w:val="24"/>
                <w:szCs w:val="24"/>
                <w:highlight w:val="none"/>
                <w:lang w:val="en-US" w:eastAsia="zh-CN"/>
              </w:rPr>
              <w:t>提供的</w:t>
            </w:r>
            <w:r>
              <w:rPr>
                <w:rFonts w:hint="eastAsia" w:ascii="宋体" w:hAnsi="宋体" w:eastAsia="宋体" w:cs="宋体"/>
                <w:color w:val="000000"/>
                <w:sz w:val="24"/>
                <w:highlight w:val="none"/>
              </w:rPr>
              <w:t>技术方案与</w:t>
            </w:r>
            <w:r>
              <w:rPr>
                <w:rFonts w:hint="eastAsia" w:hAnsi="宋体" w:cs="宋体"/>
                <w:color w:val="000000"/>
                <w:sz w:val="24"/>
                <w:highlight w:val="none"/>
                <w:lang w:val="en-US" w:eastAsia="zh-CN"/>
              </w:rPr>
              <w:t>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的响应性</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包括：</w:t>
            </w:r>
          </w:p>
          <w:p w14:paraId="3B35CB96">
            <w:pPr>
              <w:numPr>
                <w:ilvl w:val="0"/>
                <w:numId w:val="0"/>
              </w:numPr>
              <w:adjustRightIn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sz w:val="24"/>
                <w:szCs w:val="24"/>
                <w:highlight w:val="none"/>
                <w:lang w:val="en-US" w:eastAsia="zh-CN"/>
              </w:rPr>
              <w:t>根据投标人提供的针对本项目具体实施方案的科学性、合理性、完整性等进行打分。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评分范围：4,3,2,1,0</w:t>
            </w:r>
            <w:r>
              <w:rPr>
                <w:rFonts w:hint="eastAsia" w:ascii="宋体" w:hAnsi="宋体" w:cs="宋体"/>
                <w:color w:val="auto"/>
                <w:kern w:val="2"/>
                <w:sz w:val="24"/>
                <w:szCs w:val="24"/>
                <w:highlight w:val="none"/>
                <w:lang w:val="en-US" w:eastAsia="zh-CN" w:bidi="ar-SA"/>
              </w:rPr>
              <w:t>）</w:t>
            </w:r>
          </w:p>
          <w:p w14:paraId="29229BF7">
            <w:pPr>
              <w:numPr>
                <w:ilvl w:val="0"/>
                <w:numId w:val="0"/>
              </w:numPr>
              <w:adjustRightInd/>
              <w:spacing w:line="360" w:lineRule="auto"/>
              <w:jc w:val="left"/>
              <w:rPr>
                <w:rFonts w:hint="eastAsia" w:ascii="宋体" w:hAnsi="宋体" w:cs="宋体"/>
                <w:color w:val="auto"/>
                <w:kern w:val="2"/>
                <w:sz w:val="24"/>
                <w:szCs w:val="24"/>
                <w:highlight w:val="none"/>
                <w:lang w:val="zh-CN" w:eastAsia="zh-CN" w:bidi="ar-SA"/>
              </w:rPr>
            </w:pPr>
            <w:r>
              <w:rPr>
                <w:rFonts w:hint="eastAsia" w:ascii="宋体" w:hAnsi="宋体" w:eastAsia="宋体" w:cs="宋体"/>
                <w:color w:val="auto"/>
                <w:kern w:val="2"/>
                <w:sz w:val="24"/>
                <w:szCs w:val="24"/>
                <w:lang w:val="zh-CN" w:eastAsia="zh-CN" w:bidi="ar-SA"/>
              </w:rPr>
              <w:t>（2）</w:t>
            </w:r>
            <w:r>
              <w:rPr>
                <w:rFonts w:hint="eastAsia" w:ascii="宋体" w:hAnsi="宋体" w:eastAsia="宋体" w:cs="宋体"/>
                <w:sz w:val="24"/>
                <w:szCs w:val="24"/>
                <w:highlight w:val="none"/>
                <w:lang w:val="en-US" w:eastAsia="zh-CN"/>
              </w:rPr>
              <w:t>根据投标人提供的项目实施人员安排情况进行打分。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评分范围：4,3,2,1,0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20319DD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8</w:t>
            </w:r>
          </w:p>
        </w:tc>
        <w:tc>
          <w:tcPr>
            <w:tcW w:w="1030" w:type="dxa"/>
            <w:shd w:val="clear" w:color="auto" w:fill="auto"/>
            <w:vAlign w:val="center"/>
          </w:tcPr>
          <w:p w14:paraId="6414ADB8">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主观分</w:t>
            </w:r>
          </w:p>
        </w:tc>
        <w:tc>
          <w:tcPr>
            <w:tcW w:w="1540" w:type="dxa"/>
            <w:vAlign w:val="center"/>
          </w:tcPr>
          <w:p w14:paraId="458751C3">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cs="仿宋_GB2312" w:asciiTheme="minorEastAsia" w:hAnsiTheme="minorEastAsia" w:eastAsiaTheme="minorEastAsia"/>
                <w:color w:val="0000FF"/>
                <w:szCs w:val="24"/>
                <w:highlight w:val="none"/>
              </w:rPr>
            </w:pPr>
          </w:p>
        </w:tc>
      </w:tr>
      <w:tr w14:paraId="6817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0106C1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7</w:t>
            </w:r>
          </w:p>
        </w:tc>
        <w:tc>
          <w:tcPr>
            <w:tcW w:w="4538" w:type="dxa"/>
            <w:vAlign w:val="center"/>
          </w:tcPr>
          <w:p w14:paraId="75048698">
            <w:pPr>
              <w:numPr>
                <w:ilvl w:val="-1"/>
                <w:numId w:val="0"/>
              </w:numPr>
              <w:adjustRightInd/>
              <w:spacing w:line="360" w:lineRule="auto"/>
              <w:jc w:val="both"/>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组织管理</w:t>
            </w:r>
            <w:r>
              <w:rPr>
                <w:rFonts w:hint="eastAsia" w:ascii="宋体" w:hAnsi="宋体" w:cs="宋体"/>
                <w:color w:val="auto"/>
                <w:kern w:val="2"/>
                <w:sz w:val="24"/>
                <w:szCs w:val="24"/>
                <w:highlight w:val="none"/>
                <w:lang w:val="en-US" w:eastAsia="zh-CN" w:bidi="ar-SA"/>
              </w:rPr>
              <w:t>：</w:t>
            </w:r>
          </w:p>
          <w:p w14:paraId="7F634080">
            <w:pPr>
              <w:numPr>
                <w:ilvl w:val="-1"/>
                <w:numId w:val="0"/>
              </w:numPr>
              <w:adjustRightInd/>
              <w:spacing w:line="360" w:lineRule="auto"/>
              <w:jc w:val="both"/>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投标人</w:t>
            </w:r>
            <w:r>
              <w:rPr>
                <w:rFonts w:hint="eastAsia" w:ascii="宋体" w:hAnsi="宋体" w:cs="宋体"/>
                <w:sz w:val="24"/>
                <w:szCs w:val="24"/>
                <w:highlight w:val="none"/>
                <w:lang w:val="en-US" w:eastAsia="zh-CN"/>
              </w:rPr>
              <w:t>企业管理及考核体系技术描述的充分性，</w:t>
            </w:r>
            <w:r>
              <w:rPr>
                <w:rFonts w:hint="eastAsia" w:ascii="宋体" w:hAnsi="宋体" w:eastAsia="宋体" w:cs="宋体"/>
                <w:sz w:val="24"/>
                <w:szCs w:val="24"/>
                <w:highlight w:val="none"/>
                <w:lang w:val="en-US" w:eastAsia="zh-CN"/>
              </w:rPr>
              <w:t>是否具有</w:t>
            </w:r>
            <w:r>
              <w:rPr>
                <w:rFonts w:hint="eastAsia" w:ascii="宋体" w:hAnsi="宋体" w:cs="宋体"/>
                <w:sz w:val="24"/>
                <w:szCs w:val="24"/>
                <w:highlight w:val="none"/>
                <w:lang w:val="en-US" w:eastAsia="zh-CN"/>
              </w:rPr>
              <w:t>：</w:t>
            </w:r>
          </w:p>
          <w:p w14:paraId="314313A0">
            <w:pPr>
              <w:numPr>
                <w:ilvl w:val="0"/>
                <w:numId w:val="0"/>
              </w:numPr>
              <w:adjustRightInd/>
              <w:spacing w:line="360" w:lineRule="auto"/>
              <w:jc w:val="both"/>
              <w:rPr>
                <w:rFonts w:hint="eastAsia" w:ascii="宋体" w:hAnsi="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完备的管理组织机构</w:t>
            </w:r>
            <w:r>
              <w:rPr>
                <w:rFonts w:hint="eastAsia" w:ascii="宋体" w:hAnsi="宋体" w:cs="宋体"/>
                <w:sz w:val="24"/>
                <w:szCs w:val="24"/>
                <w:highlight w:val="none"/>
                <w:lang w:val="en-US" w:eastAsia="zh-CN"/>
              </w:rPr>
              <w:t>；</w:t>
            </w:r>
          </w:p>
          <w:p w14:paraId="7067BEF4">
            <w:pPr>
              <w:numPr>
                <w:ilvl w:val="0"/>
                <w:numId w:val="0"/>
              </w:numPr>
              <w:adjustRightIn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lang w:val="en-US" w:eastAsia="zh-CN"/>
              </w:rPr>
              <w:t>项目实施规范和管理制度</w:t>
            </w:r>
            <w:r>
              <w:rPr>
                <w:rFonts w:hint="eastAsia" w:ascii="宋体" w:hAnsi="宋体" w:cs="宋体"/>
                <w:sz w:val="24"/>
                <w:szCs w:val="24"/>
                <w:highlight w:val="none"/>
                <w:lang w:val="en-US" w:eastAsia="zh-CN"/>
              </w:rPr>
              <w:t>、考核体系制度；</w:t>
            </w:r>
          </w:p>
          <w:p w14:paraId="388FAD66">
            <w:pPr>
              <w:numPr>
                <w:ilvl w:val="0"/>
                <w:numId w:val="0"/>
              </w:numPr>
              <w:adjustRightIn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val="en-US" w:eastAsia="zh-CN"/>
              </w:rPr>
              <w:t>是否有完善的质量管理体系，并能有效实施。</w:t>
            </w:r>
          </w:p>
          <w:p w14:paraId="51B0DE0E">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cs="宋体"/>
                <w:sz w:val="24"/>
                <w:szCs w:val="24"/>
                <w:highlight w:val="none"/>
                <w:lang w:val="en-US" w:eastAsia="zh-CN"/>
              </w:rPr>
              <w:t>以上每一条</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6BB887C1">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9</w:t>
            </w:r>
          </w:p>
        </w:tc>
        <w:tc>
          <w:tcPr>
            <w:tcW w:w="1030" w:type="dxa"/>
            <w:shd w:val="clear" w:color="auto" w:fill="auto"/>
            <w:vAlign w:val="center"/>
          </w:tcPr>
          <w:p w14:paraId="4975AE2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主观分</w:t>
            </w:r>
          </w:p>
        </w:tc>
        <w:tc>
          <w:tcPr>
            <w:tcW w:w="1540" w:type="dxa"/>
            <w:vAlign w:val="center"/>
          </w:tcPr>
          <w:p w14:paraId="363266B6">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cs="仿宋_GB2312" w:asciiTheme="minorEastAsia" w:hAnsiTheme="minorEastAsia" w:eastAsiaTheme="minorEastAsia"/>
                <w:color w:val="0000FF"/>
                <w:szCs w:val="24"/>
                <w:highlight w:val="none"/>
              </w:rPr>
            </w:pPr>
          </w:p>
        </w:tc>
      </w:tr>
      <w:tr w14:paraId="2891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14AE88F">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cs="仿宋_GB2312"/>
                <w:color w:val="auto"/>
                <w:kern w:val="2"/>
                <w:sz w:val="24"/>
                <w:szCs w:val="24"/>
                <w:highlight w:val="none"/>
                <w:lang w:val="en-US" w:eastAsia="zh-CN" w:bidi="ar-SA"/>
              </w:rPr>
              <w:t>8</w:t>
            </w:r>
          </w:p>
        </w:tc>
        <w:tc>
          <w:tcPr>
            <w:tcW w:w="4538" w:type="dxa"/>
            <w:shd w:val="clear" w:color="auto" w:fill="auto"/>
            <w:vAlign w:val="center"/>
          </w:tcPr>
          <w:p w14:paraId="3E09CA07">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（一）投标人机构在安全生产方面</w:t>
            </w:r>
            <w:r>
              <w:rPr>
                <w:rFonts w:hint="eastAsia" w:ascii="宋体" w:hAnsi="宋体" w:eastAsia="宋体" w:cs="宋体"/>
                <w:color w:val="auto"/>
                <w:kern w:val="2"/>
                <w:sz w:val="24"/>
                <w:szCs w:val="24"/>
                <w:highlight w:val="none"/>
                <w:lang w:val="en-US" w:eastAsia="zh-CN" w:bidi="ar-SA"/>
              </w:rPr>
              <w:t>（消防维保检测、消防安全评估、安全评价、</w:t>
            </w:r>
            <w:r>
              <w:rPr>
                <w:rFonts w:hint="eastAsia" w:ascii="宋体" w:hAnsi="宋体" w:eastAsia="宋体" w:cs="宋体"/>
                <w:b w:val="0"/>
                <w:bCs w:val="0"/>
                <w:color w:val="auto"/>
                <w:kern w:val="2"/>
                <w:sz w:val="24"/>
                <w:szCs w:val="24"/>
                <w:highlight w:val="none"/>
                <w:lang w:val="en-US" w:eastAsia="zh-CN" w:bidi="ar-SA"/>
              </w:rPr>
              <w:t>职业卫生技术服务领域</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snapToGrid w:val="0"/>
                <w:color w:val="auto"/>
                <w:kern w:val="2"/>
                <w:sz w:val="24"/>
                <w:szCs w:val="24"/>
                <w:highlight w:val="none"/>
                <w:lang w:val="en-US" w:eastAsia="zh-CN" w:bidi="ar-SA"/>
              </w:rPr>
              <w:t>资质</w:t>
            </w:r>
            <w:r>
              <w:rPr>
                <w:rFonts w:hint="eastAsia" w:ascii="宋体" w:hAnsi="宋体" w:eastAsia="宋体" w:cs="宋体"/>
                <w:color w:val="auto"/>
                <w:kern w:val="2"/>
                <w:sz w:val="24"/>
                <w:szCs w:val="24"/>
                <w:highlight w:val="none"/>
                <w:lang w:val="en-US" w:eastAsia="zh-CN" w:bidi="ar-SA"/>
              </w:rPr>
              <w:t>优于或便于本项目实施的，每一个资质得1分，最多得3分</w:t>
            </w:r>
            <w:r>
              <w:rPr>
                <w:rFonts w:hint="eastAsia" w:ascii="宋体" w:hAnsi="宋体" w:eastAsia="宋体" w:cs="宋体"/>
                <w:snapToGrid w:val="0"/>
                <w:color w:val="auto"/>
                <w:kern w:val="2"/>
                <w:sz w:val="24"/>
                <w:szCs w:val="24"/>
                <w:highlight w:val="none"/>
                <w:lang w:val="en-US" w:eastAsia="zh-CN" w:bidi="ar-SA"/>
              </w:rPr>
              <w:t>；</w:t>
            </w:r>
          </w:p>
          <w:p w14:paraId="3857DDF3">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b/>
                <w:bCs/>
                <w:snapToGrid w:val="0"/>
                <w:color w:val="auto"/>
                <w:kern w:val="2"/>
                <w:sz w:val="24"/>
                <w:szCs w:val="24"/>
                <w:highlight w:val="none"/>
                <w:lang w:val="en-US" w:eastAsia="zh-CN" w:bidi="ar-SA"/>
              </w:rPr>
              <w:t>【（一）证明材料】提供</w:t>
            </w:r>
            <w:r>
              <w:rPr>
                <w:rFonts w:hint="eastAsia" w:ascii="宋体" w:hAnsi="宋体" w:cs="宋体"/>
                <w:b/>
                <w:bCs/>
                <w:snapToGrid w:val="0"/>
                <w:color w:val="auto"/>
                <w:kern w:val="2"/>
                <w:sz w:val="24"/>
                <w:szCs w:val="24"/>
                <w:highlight w:val="none"/>
                <w:lang w:val="en-US" w:eastAsia="zh-CN" w:bidi="ar-SA"/>
              </w:rPr>
              <w:t>相关证明材料</w:t>
            </w:r>
            <w:r>
              <w:rPr>
                <w:rFonts w:hint="eastAsia" w:ascii="宋体" w:hAnsi="宋体" w:eastAsia="宋体" w:cs="宋体"/>
                <w:b/>
                <w:bCs/>
                <w:snapToGrid w:val="0"/>
                <w:color w:val="auto"/>
                <w:kern w:val="2"/>
                <w:sz w:val="24"/>
                <w:szCs w:val="24"/>
                <w:highlight w:val="none"/>
                <w:lang w:val="en-US" w:eastAsia="zh-CN" w:bidi="ar-SA"/>
              </w:rPr>
              <w:t>，否则不得分。</w:t>
            </w:r>
          </w:p>
          <w:p w14:paraId="6BA403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（二）</w:t>
            </w:r>
            <w:r>
              <w:rPr>
                <w:rFonts w:hint="eastAsia" w:ascii="宋体" w:hAnsi="宋体" w:eastAsia="宋体" w:cs="宋体"/>
                <w:color w:val="auto"/>
                <w:kern w:val="0"/>
                <w:sz w:val="24"/>
                <w:szCs w:val="24"/>
                <w:highlight w:val="none"/>
                <w:lang w:val="en-US" w:eastAsia="en-US"/>
              </w:rPr>
              <w:t>（不含项目</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val="en-US" w:eastAsia="en-US"/>
              </w:rPr>
              <w:t>）提供</w:t>
            </w:r>
            <w:r>
              <w:rPr>
                <w:rFonts w:hint="eastAsia" w:ascii="宋体" w:hAnsi="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lang w:val="en-US" w:eastAsia="en-US"/>
              </w:rPr>
              <w:t>个方向（安全技术服务、安全生产管理、安全工程、化工、电气、机械、土木工程）的高级工程师参与本项目的，</w:t>
            </w:r>
            <w:r>
              <w:rPr>
                <w:rFonts w:hint="eastAsia" w:ascii="宋体" w:hAnsi="宋体" w:cs="宋体"/>
                <w:color w:val="auto"/>
                <w:kern w:val="0"/>
                <w:sz w:val="24"/>
                <w:szCs w:val="24"/>
                <w:highlight w:val="none"/>
                <w:lang w:val="en-US" w:eastAsia="zh-CN"/>
              </w:rPr>
              <w:t>有一人得1分，最高</w:t>
            </w:r>
            <w:r>
              <w:rPr>
                <w:rFonts w:hint="eastAsia" w:ascii="宋体" w:hAnsi="宋体" w:eastAsia="宋体" w:cs="宋体"/>
                <w:color w:val="auto"/>
                <w:kern w:val="0"/>
                <w:sz w:val="24"/>
                <w:szCs w:val="24"/>
                <w:highlight w:val="none"/>
                <w:lang w:val="en-US" w:eastAsia="en-US"/>
              </w:rPr>
              <w:t>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en-US"/>
              </w:rPr>
              <w:t>分（1人多证不重复计取）。</w:t>
            </w:r>
            <w:r>
              <w:rPr>
                <w:rFonts w:hint="eastAsia" w:ascii="宋体" w:hAnsi="宋体" w:cs="宋体"/>
                <w:color w:val="auto"/>
                <w:kern w:val="0"/>
                <w:sz w:val="24"/>
                <w:szCs w:val="24"/>
                <w:highlight w:val="none"/>
                <w:lang w:val="en-US" w:eastAsia="zh-CN"/>
              </w:rPr>
              <w:t>另外，</w:t>
            </w:r>
            <w:r>
              <w:rPr>
                <w:rFonts w:hint="eastAsia" w:ascii="宋体" w:hAnsi="宋体" w:eastAsia="宋体" w:cs="宋体"/>
                <w:color w:val="auto"/>
                <w:kern w:val="0"/>
                <w:sz w:val="24"/>
                <w:szCs w:val="24"/>
                <w:highlight w:val="none"/>
                <w:lang w:val="en-US" w:eastAsia="en-US"/>
              </w:rPr>
              <w:t>每增加一位高级工程师（专业不限）增加</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val="en-US" w:eastAsia="en-US"/>
              </w:rPr>
              <w:t>分，最多增加</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en-US"/>
              </w:rPr>
              <w:t>分</w:t>
            </w:r>
            <w:r>
              <w:rPr>
                <w:rFonts w:hint="eastAsia" w:ascii="宋体" w:hAnsi="宋体" w:eastAsia="宋体" w:cs="宋体"/>
                <w:snapToGrid w:val="0"/>
                <w:color w:val="auto"/>
                <w:kern w:val="2"/>
                <w:sz w:val="24"/>
                <w:szCs w:val="24"/>
                <w:highlight w:val="none"/>
                <w:lang w:val="en-US" w:eastAsia="zh-CN" w:bidi="ar-SA"/>
              </w:rPr>
              <w:t>；</w:t>
            </w:r>
          </w:p>
          <w:p w14:paraId="568935E5">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（三）</w:t>
            </w:r>
            <w:r>
              <w:rPr>
                <w:rFonts w:hint="eastAsia" w:ascii="Times New Roman" w:hAnsi="宋体" w:eastAsia="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具备</w:t>
            </w:r>
            <w:r>
              <w:rPr>
                <w:rFonts w:hint="eastAsia" w:ascii="Times New Roman" w:hAnsi="宋体" w:eastAsia="宋体" w:cs="宋体"/>
                <w:color w:val="auto"/>
                <w:kern w:val="2"/>
                <w:sz w:val="24"/>
                <w:szCs w:val="24"/>
                <w:highlight w:val="none"/>
                <w:lang w:val="en-US" w:eastAsia="zh-CN" w:bidi="ar-SA"/>
              </w:rPr>
              <w:t>中级及以上</w:t>
            </w:r>
            <w:r>
              <w:rPr>
                <w:rFonts w:hint="eastAsia" w:ascii="宋体" w:hAnsi="宋体" w:eastAsia="宋体" w:cs="宋体"/>
                <w:color w:val="auto"/>
                <w:kern w:val="2"/>
                <w:sz w:val="24"/>
                <w:szCs w:val="24"/>
                <w:highlight w:val="none"/>
                <w:lang w:val="en-US" w:eastAsia="zh-CN" w:bidi="ar-SA"/>
              </w:rPr>
              <w:t>注册安全工程师（专业需涵盖金属冶炼</w:t>
            </w:r>
            <w:r>
              <w:rPr>
                <w:rFonts w:hint="eastAsia" w:ascii="宋体" w:hAnsi="宋体" w:cs="宋体"/>
                <w:color w:val="auto"/>
                <w:kern w:val="2"/>
                <w:sz w:val="24"/>
                <w:szCs w:val="24"/>
                <w:highlight w:val="none"/>
                <w:lang w:val="en-US" w:eastAsia="zh-CN" w:bidi="ar-SA"/>
              </w:rPr>
              <w:t>安全</w:t>
            </w:r>
            <w:r>
              <w:rPr>
                <w:rFonts w:hint="eastAsia" w:ascii="宋体" w:hAnsi="宋体" w:eastAsia="宋体" w:cs="宋体"/>
                <w:color w:val="auto"/>
                <w:kern w:val="2"/>
                <w:sz w:val="24"/>
                <w:szCs w:val="24"/>
                <w:highlight w:val="none"/>
                <w:lang w:val="en-US" w:eastAsia="zh-CN" w:bidi="ar-SA"/>
              </w:rPr>
              <w:t>、化工安全、建筑施工</w:t>
            </w:r>
            <w:r>
              <w:rPr>
                <w:rFonts w:hint="eastAsia" w:ascii="宋体" w:hAnsi="宋体" w:cs="宋体"/>
                <w:color w:val="auto"/>
                <w:kern w:val="2"/>
                <w:sz w:val="24"/>
                <w:szCs w:val="24"/>
                <w:highlight w:val="none"/>
                <w:lang w:val="en-US" w:eastAsia="zh-CN" w:bidi="ar-SA"/>
              </w:rPr>
              <w:t>安全</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道路运输</w:t>
            </w:r>
            <w:r>
              <w:rPr>
                <w:rFonts w:hint="eastAsia" w:ascii="宋体" w:hAnsi="宋体" w:eastAsia="宋体" w:cs="宋体"/>
                <w:color w:val="auto"/>
                <w:kern w:val="2"/>
                <w:sz w:val="24"/>
                <w:szCs w:val="24"/>
                <w:highlight w:val="none"/>
                <w:lang w:val="en-US" w:eastAsia="zh-CN" w:bidi="ar-SA"/>
              </w:rPr>
              <w:t>安全、其它安全）或一级</w:t>
            </w:r>
            <w:r>
              <w:rPr>
                <w:rFonts w:hint="eastAsia" w:ascii="宋体" w:hAnsi="宋体" w:cs="宋体"/>
                <w:color w:val="auto"/>
                <w:kern w:val="2"/>
                <w:sz w:val="24"/>
                <w:szCs w:val="24"/>
                <w:highlight w:val="none"/>
                <w:lang w:val="en-US" w:eastAsia="zh-CN" w:bidi="ar-SA"/>
              </w:rPr>
              <w:t>及以上</w:t>
            </w:r>
            <w:r>
              <w:rPr>
                <w:rFonts w:hint="eastAsia" w:ascii="宋体" w:hAnsi="宋体" w:eastAsia="宋体" w:cs="宋体"/>
                <w:color w:val="auto"/>
                <w:kern w:val="2"/>
                <w:sz w:val="24"/>
                <w:szCs w:val="24"/>
                <w:highlight w:val="none"/>
                <w:lang w:val="en-US" w:eastAsia="zh-CN" w:bidi="ar-SA"/>
              </w:rPr>
              <w:t>注册消防工程师，每一个得0.5分，最多得5分</w:t>
            </w:r>
            <w:r>
              <w:rPr>
                <w:rFonts w:hint="eastAsia" w:ascii="宋体" w:hAnsi="宋体" w:eastAsia="宋体" w:cs="宋体"/>
                <w:snapToGrid w:val="0"/>
                <w:color w:val="auto"/>
                <w:kern w:val="2"/>
                <w:sz w:val="24"/>
                <w:szCs w:val="24"/>
                <w:highlight w:val="none"/>
                <w:lang w:val="en-US" w:eastAsia="zh-CN" w:bidi="ar-SA"/>
              </w:rPr>
              <w:t>；</w:t>
            </w:r>
            <w:r>
              <w:rPr>
                <w:rFonts w:hint="eastAsia" w:ascii="宋体" w:hAnsi="宋体" w:eastAsia="宋体" w:cs="宋体"/>
                <w:b w:val="0"/>
                <w:bCs w:val="0"/>
                <w:snapToGrid w:val="0"/>
                <w:color w:val="auto"/>
                <w:kern w:val="2"/>
                <w:sz w:val="24"/>
                <w:szCs w:val="24"/>
                <w:highlight w:val="none"/>
                <w:lang w:val="en-US" w:eastAsia="zh-CN" w:bidi="ar-SA"/>
              </w:rPr>
              <w:t>（本项打分要求：同一人不得重复得分）</w:t>
            </w:r>
          </w:p>
          <w:p w14:paraId="00C65842">
            <w:pPr>
              <w:pageBreakBefore w:val="0"/>
              <w:widowControl w:val="0"/>
              <w:kinsoku/>
              <w:wordWrap/>
              <w:overflowPunct/>
              <w:topLinePunct w:val="0"/>
              <w:autoSpaceDE w:val="0"/>
              <w:autoSpaceDN w:val="0"/>
              <w:bidi w:val="0"/>
              <w:adjustRightInd/>
              <w:snapToGrid/>
              <w:spacing w:line="360" w:lineRule="auto"/>
              <w:ind w:firstLine="420"/>
              <w:jc w:val="both"/>
              <w:textAlignment w:val="auto"/>
              <w:rPr>
                <w:rFonts w:hint="default" w:ascii="宋体" w:hAnsi="Calibri" w:eastAsia="宋体" w:cs="Times New Roman"/>
                <w:b/>
                <w:bCs/>
                <w:snapToGrid/>
                <w:kern w:val="2"/>
                <w:sz w:val="24"/>
                <w:szCs w:val="20"/>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注：（二）和（三）打分要求：同一人不得重复得分。</w:t>
            </w:r>
          </w:p>
          <w:p w14:paraId="0E1D0A5C">
            <w:pPr>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（四）投标人具备安全培训讲师，每一个得0.5分，最多得2分；</w:t>
            </w:r>
          </w:p>
          <w:p w14:paraId="2A2905AF">
            <w:pPr>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lang w:val="en-US" w:eastAsia="zh-CN" w:bidi="ar-SA"/>
              </w:rPr>
              <w:t>（五）</w:t>
            </w:r>
            <w:r>
              <w:rPr>
                <w:rFonts w:hint="eastAsia" w:ascii="宋体" w:hAnsi="宋体" w:eastAsia="宋体" w:cs="宋体"/>
                <w:snapToGrid w:val="0"/>
                <w:color w:val="auto"/>
                <w:kern w:val="2"/>
                <w:sz w:val="24"/>
                <w:szCs w:val="24"/>
                <w:highlight w:val="none"/>
                <w:lang w:val="en-US" w:eastAsia="zh-CN" w:bidi="ar-SA"/>
              </w:rPr>
              <w:t>投标人具备中级消防设施操作员（职业方向为消防设施检测维修保养），每一个得0.5分，最多得2分。</w:t>
            </w:r>
          </w:p>
          <w:p w14:paraId="07B14B1D">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宋体" w:eastAsia="宋体" w:cs="宋体"/>
                <w:b/>
                <w:bCs/>
                <w:snapToGrid w:val="0"/>
                <w:color w:val="auto"/>
                <w:kern w:val="2"/>
                <w:sz w:val="24"/>
                <w:szCs w:val="24"/>
                <w:highlight w:val="none"/>
                <w:lang w:val="en-US" w:eastAsia="zh-CN" w:bidi="ar-SA"/>
              </w:rPr>
              <w:t>【（二）-（五）证明材料】提供人员相关证明资料以及开标前三个月内任意一个月</w:t>
            </w:r>
            <w:r>
              <w:rPr>
                <w:rFonts w:hint="eastAsia" w:ascii="宋体" w:hAnsi="宋体" w:cs="宋体"/>
                <w:b/>
                <w:bCs/>
                <w:snapToGrid w:val="0"/>
                <w:color w:val="auto"/>
                <w:kern w:val="2"/>
                <w:sz w:val="24"/>
                <w:szCs w:val="24"/>
                <w:highlight w:val="none"/>
                <w:lang w:val="en-US" w:eastAsia="zh-CN" w:bidi="ar-SA"/>
              </w:rPr>
              <w:t>在投标人单位的</w:t>
            </w:r>
            <w:r>
              <w:rPr>
                <w:rFonts w:hint="eastAsia" w:ascii="宋体" w:hAnsi="宋体" w:eastAsia="宋体" w:cs="宋体"/>
                <w:b/>
                <w:bCs/>
                <w:snapToGrid w:val="0"/>
                <w:color w:val="auto"/>
                <w:kern w:val="2"/>
                <w:sz w:val="24"/>
                <w:szCs w:val="24"/>
                <w:highlight w:val="none"/>
                <w:lang w:val="en-US" w:eastAsia="zh-CN" w:bidi="ar-SA"/>
              </w:rPr>
              <w:t>社保缴纳证明，否则不得分。</w:t>
            </w:r>
          </w:p>
        </w:tc>
        <w:tc>
          <w:tcPr>
            <w:tcW w:w="630" w:type="dxa"/>
            <w:shd w:val="clear" w:color="auto" w:fill="auto"/>
            <w:vAlign w:val="center"/>
          </w:tcPr>
          <w:p w14:paraId="537B185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20</w:t>
            </w:r>
          </w:p>
        </w:tc>
        <w:tc>
          <w:tcPr>
            <w:tcW w:w="1030" w:type="dxa"/>
            <w:shd w:val="clear" w:color="auto" w:fill="auto"/>
            <w:vAlign w:val="center"/>
          </w:tcPr>
          <w:p w14:paraId="790AA32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客观分</w:t>
            </w:r>
          </w:p>
        </w:tc>
        <w:tc>
          <w:tcPr>
            <w:tcW w:w="1540" w:type="dxa"/>
            <w:shd w:val="clear" w:color="auto" w:fill="auto"/>
            <w:vAlign w:val="center"/>
          </w:tcPr>
          <w:p w14:paraId="3B78FE77">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color w:val="auto"/>
                <w:kern w:val="2"/>
                <w:sz w:val="24"/>
                <w:szCs w:val="24"/>
                <w:highlight w:val="none"/>
                <w:lang w:val="en-US" w:eastAsia="zh-CN" w:bidi="ar-SA"/>
              </w:rPr>
            </w:pPr>
          </w:p>
        </w:tc>
      </w:tr>
      <w:tr w14:paraId="4DAD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252A60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9</w:t>
            </w:r>
          </w:p>
        </w:tc>
        <w:tc>
          <w:tcPr>
            <w:tcW w:w="4538" w:type="dxa"/>
            <w:shd w:val="clear" w:color="auto" w:fill="auto"/>
            <w:vAlign w:val="center"/>
          </w:tcPr>
          <w:p w14:paraId="746D095D">
            <w:pPr>
              <w:pageBreakBefore w:val="0"/>
              <w:kinsoku/>
              <w:wordWrap/>
              <w:overflowPunct/>
              <w:topLinePunct w:val="0"/>
              <w:bidi w:val="0"/>
              <w:adjustRightInd/>
              <w:snapToGrid/>
              <w:spacing w:line="360" w:lineRule="auto"/>
              <w:ind w:right="174" w:rightChars="83"/>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提供的演练</w:t>
            </w:r>
            <w:r>
              <w:rPr>
                <w:rFonts w:hint="eastAsia" w:ascii="宋体" w:hAnsi="宋体" w:eastAsia="宋体" w:cs="宋体"/>
                <w:sz w:val="24"/>
                <w:szCs w:val="24"/>
                <w:highlight w:val="none"/>
              </w:rPr>
              <w:t>培训</w:t>
            </w:r>
            <w:r>
              <w:rPr>
                <w:rFonts w:hint="eastAsia" w:ascii="宋体" w:hAnsi="宋体" w:eastAsia="宋体" w:cs="宋体"/>
                <w:sz w:val="24"/>
                <w:szCs w:val="24"/>
                <w:highlight w:val="none"/>
                <w:lang w:eastAsia="zh-CN"/>
              </w:rPr>
              <w:t>、教育宣传等案例：</w:t>
            </w:r>
          </w:p>
          <w:p w14:paraId="3AF9FA3C">
            <w:pPr>
              <w:pageBreakBefore w:val="0"/>
              <w:kinsoku/>
              <w:wordWrap/>
              <w:overflowPunct/>
              <w:topLinePunct w:val="0"/>
              <w:bidi w:val="0"/>
              <w:adjustRightInd/>
              <w:snapToGrid/>
              <w:spacing w:line="360" w:lineRule="auto"/>
              <w:ind w:right="174" w:rightChars="83"/>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（1）2023年以来承办</w:t>
            </w:r>
            <w:r>
              <w:rPr>
                <w:rFonts w:hint="eastAsia" w:ascii="宋体" w:hAnsi="宋体" w:eastAsia="宋体" w:cs="宋体"/>
                <w:sz w:val="24"/>
                <w:szCs w:val="24"/>
                <w:highlight w:val="none"/>
                <w:lang w:eastAsia="zh-CN"/>
              </w:rPr>
              <w:t>策划组织大型应急救援演练</w:t>
            </w:r>
            <w:r>
              <w:rPr>
                <w:rFonts w:hint="eastAsia" w:ascii="宋体" w:hAnsi="宋体" w:eastAsia="宋体" w:cs="宋体"/>
                <w:sz w:val="24"/>
                <w:szCs w:val="24"/>
                <w:highlight w:val="none"/>
                <w:lang w:val="en-US" w:eastAsia="zh-CN"/>
              </w:rPr>
              <w:t>或大型安全生产类主题活动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每场得2分，满分6分；</w:t>
            </w:r>
          </w:p>
          <w:p w14:paraId="589AE5ED">
            <w:pPr>
              <w:pageBreakBefore w:val="0"/>
              <w:kinsoku/>
              <w:wordWrap/>
              <w:overflowPunct/>
              <w:topLinePunct w:val="0"/>
              <w:bidi w:val="0"/>
              <w:adjustRightInd/>
              <w:snapToGrid/>
              <w:spacing w:line="360" w:lineRule="auto"/>
              <w:ind w:right="174" w:rightChars="83"/>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宋体"/>
                <w:b/>
                <w:sz w:val="24"/>
                <w:highlight w:val="none"/>
              </w:rPr>
              <w:t>【</w:t>
            </w:r>
            <w:r>
              <w:rPr>
                <w:rFonts w:hint="eastAsia" w:ascii="宋体" w:hAnsi="宋体" w:eastAsia="宋体" w:cs="宋体"/>
                <w:b/>
                <w:sz w:val="24"/>
                <w:highlight w:val="none"/>
              </w:rPr>
              <w:t>证明材料</w:t>
            </w:r>
            <w:r>
              <w:rPr>
                <w:rFonts w:hint="eastAsia" w:ascii="Times New Roman" w:hAnsi="Times New Roman" w:eastAsia="宋体" w:cs="宋体"/>
                <w:b/>
                <w:sz w:val="24"/>
                <w:highlight w:val="none"/>
              </w:rPr>
              <w:t>】</w:t>
            </w:r>
            <w:r>
              <w:rPr>
                <w:rFonts w:hint="eastAsia" w:ascii="Times New Roman" w:hAnsi="Times New Roman" w:eastAsia="宋体" w:cs="宋体"/>
                <w:b/>
                <w:sz w:val="24"/>
                <w:highlight w:val="none"/>
                <w:lang w:val="en-US" w:eastAsia="zh-CN"/>
              </w:rPr>
              <w:t>提供</w:t>
            </w:r>
            <w:r>
              <w:rPr>
                <w:rFonts w:hint="eastAsia" w:ascii="Times New Roman" w:hAnsi="宋体" w:eastAsia="宋体" w:cs="宋体"/>
                <w:b/>
                <w:bCs/>
                <w:sz w:val="24"/>
                <w:szCs w:val="24"/>
                <w:highlight w:val="none"/>
                <w:lang w:eastAsia="zh-CN"/>
              </w:rPr>
              <w:t>方案</w:t>
            </w:r>
            <w:r>
              <w:rPr>
                <w:rFonts w:hint="eastAsia" w:ascii="宋体" w:hAnsi="宋体" w:eastAsia="宋体" w:cs="宋体"/>
                <w:b/>
                <w:bCs/>
                <w:sz w:val="24"/>
                <w:szCs w:val="24"/>
                <w:highlight w:val="none"/>
              </w:rPr>
              <w:t>复印件</w:t>
            </w:r>
            <w:r>
              <w:rPr>
                <w:rFonts w:hint="eastAsia" w:ascii="Times New Roman" w:hAnsi="宋体" w:eastAsia="宋体" w:cs="宋体"/>
                <w:b/>
                <w:bCs/>
                <w:sz w:val="24"/>
                <w:szCs w:val="24"/>
                <w:highlight w:val="none"/>
                <w:lang w:val="en-US" w:eastAsia="zh-CN"/>
              </w:rPr>
              <w:t>及主办方证明</w:t>
            </w:r>
            <w:r>
              <w:rPr>
                <w:rFonts w:hint="eastAsia" w:ascii="Times New Roman" w:hAnsi="宋体" w:eastAsia="宋体" w:cs="宋体"/>
                <w:b/>
                <w:bCs/>
                <w:sz w:val="24"/>
                <w:szCs w:val="24"/>
                <w:highlight w:val="none"/>
                <w:lang w:eastAsia="zh-CN"/>
              </w:rPr>
              <w:t>，</w:t>
            </w:r>
            <w:r>
              <w:rPr>
                <w:rFonts w:hint="eastAsia" w:ascii="宋体" w:hAnsi="宋体" w:eastAsia="宋体" w:cs="宋体"/>
                <w:b/>
                <w:bCs/>
                <w:sz w:val="24"/>
                <w:szCs w:val="24"/>
                <w:highlight w:val="none"/>
              </w:rPr>
              <w:t>否则不得分。</w:t>
            </w:r>
          </w:p>
          <w:p w14:paraId="385EB9BD">
            <w:pPr>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Arial" w:eastAsia="宋体" w:cs="Arial"/>
                <w:snapToGrid w:val="0"/>
                <w:kern w:val="2"/>
                <w:sz w:val="24"/>
                <w:szCs w:val="21"/>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（2）本项目公告发布之日前一年</w:t>
            </w:r>
            <w:r>
              <w:rPr>
                <w:rFonts w:hint="eastAsia" w:ascii="宋体" w:hAnsi="宋体" w:eastAsia="宋体" w:cs="宋体"/>
                <w:snapToGrid w:val="0"/>
                <w:kern w:val="2"/>
                <w:sz w:val="24"/>
                <w:szCs w:val="24"/>
                <w:highlight w:val="none"/>
                <w:lang w:val="en-US" w:eastAsia="zh-CN" w:bidi="ar-SA"/>
              </w:rPr>
              <w:t>在市级以上媒体或新媒体、公众号等平台发表安全生产类刊文内容，每1篇得0.5分，满分4分；</w:t>
            </w:r>
          </w:p>
          <w:p w14:paraId="0A836DAA">
            <w:pPr>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宋体"/>
                <w:b/>
                <w:snapToGrid w:val="0"/>
                <w:kern w:val="2"/>
                <w:sz w:val="24"/>
                <w:szCs w:val="21"/>
                <w:highlight w:val="none"/>
                <w:lang w:val="zh-CN" w:eastAsia="zh-CN" w:bidi="ar-SA"/>
              </w:rPr>
              <w:t>【</w:t>
            </w:r>
            <w:r>
              <w:rPr>
                <w:rFonts w:hint="eastAsia" w:ascii="宋体" w:hAnsi="宋体" w:eastAsia="宋体" w:cs="宋体"/>
                <w:b/>
                <w:snapToGrid w:val="0"/>
                <w:kern w:val="2"/>
                <w:sz w:val="24"/>
                <w:szCs w:val="21"/>
                <w:highlight w:val="none"/>
                <w:lang w:val="zh-CN" w:eastAsia="zh-CN" w:bidi="ar-SA"/>
              </w:rPr>
              <w:t>证明材料</w:t>
            </w:r>
            <w:r>
              <w:rPr>
                <w:rFonts w:hint="eastAsia" w:ascii="宋体" w:hAnsi="Arial" w:eastAsia="宋体" w:cs="宋体"/>
                <w:b/>
                <w:snapToGrid w:val="0"/>
                <w:kern w:val="2"/>
                <w:sz w:val="24"/>
                <w:szCs w:val="21"/>
                <w:highlight w:val="none"/>
                <w:lang w:val="zh-CN" w:eastAsia="zh-CN" w:bidi="ar-SA"/>
              </w:rPr>
              <w:t>】</w:t>
            </w:r>
            <w:r>
              <w:rPr>
                <w:rFonts w:hint="eastAsia" w:ascii="宋体" w:hAnsi="Arial" w:eastAsia="宋体" w:cs="宋体"/>
                <w:b/>
                <w:snapToGrid w:val="0"/>
                <w:kern w:val="2"/>
                <w:sz w:val="24"/>
                <w:szCs w:val="21"/>
                <w:highlight w:val="none"/>
                <w:lang w:val="en-US" w:eastAsia="zh-CN" w:bidi="ar-SA"/>
              </w:rPr>
              <w:t>提供</w:t>
            </w:r>
            <w:r>
              <w:rPr>
                <w:rFonts w:hint="eastAsia" w:ascii="宋体" w:hAnsi="宋体" w:eastAsia="宋体" w:cs="宋体"/>
                <w:b/>
                <w:bCs/>
                <w:snapToGrid w:val="0"/>
                <w:kern w:val="2"/>
                <w:sz w:val="24"/>
                <w:szCs w:val="24"/>
                <w:highlight w:val="none"/>
                <w:lang w:val="en-US" w:eastAsia="zh-CN" w:bidi="ar-SA"/>
              </w:rPr>
              <w:t>完整刊文发布截图证明（含平台、日期等)</w:t>
            </w:r>
            <w:r>
              <w:rPr>
                <w:rFonts w:hint="eastAsia" w:ascii="宋体" w:hAnsi="宋体" w:eastAsia="宋体" w:cs="宋体"/>
                <w:b/>
                <w:bCs/>
                <w:snapToGrid w:val="0"/>
                <w:kern w:val="2"/>
                <w:sz w:val="24"/>
                <w:szCs w:val="24"/>
                <w:highlight w:val="none"/>
                <w:lang w:val="zh-CN" w:eastAsia="zh-CN" w:bidi="ar-SA"/>
              </w:rPr>
              <w:t>，否则不得分。</w:t>
            </w:r>
          </w:p>
        </w:tc>
        <w:tc>
          <w:tcPr>
            <w:tcW w:w="630" w:type="dxa"/>
            <w:shd w:val="clear" w:color="auto" w:fill="auto"/>
            <w:vAlign w:val="center"/>
          </w:tcPr>
          <w:p w14:paraId="55CF6D1F">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10</w:t>
            </w:r>
          </w:p>
        </w:tc>
        <w:tc>
          <w:tcPr>
            <w:tcW w:w="1030" w:type="dxa"/>
            <w:shd w:val="clear" w:color="auto" w:fill="auto"/>
            <w:vAlign w:val="center"/>
          </w:tcPr>
          <w:p w14:paraId="5A825132">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客观分</w:t>
            </w:r>
          </w:p>
        </w:tc>
        <w:tc>
          <w:tcPr>
            <w:tcW w:w="1540" w:type="dxa"/>
            <w:shd w:val="clear" w:color="auto" w:fill="auto"/>
            <w:vAlign w:val="center"/>
          </w:tcPr>
          <w:p w14:paraId="4994CEE1">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2926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619CBE2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10</w:t>
            </w:r>
          </w:p>
        </w:tc>
        <w:tc>
          <w:tcPr>
            <w:tcW w:w="4538" w:type="dxa"/>
            <w:shd w:val="clear" w:color="auto" w:fill="auto"/>
            <w:vAlign w:val="center"/>
          </w:tcPr>
          <w:p w14:paraId="6D34AB08">
            <w:pPr>
              <w:pageBreakBefore w:val="0"/>
              <w:kinsoku/>
              <w:wordWrap/>
              <w:overflowPunct/>
              <w:topLinePunct w:val="0"/>
              <w:bidi w:val="0"/>
              <w:adjustRightInd/>
              <w:snapToGrid/>
              <w:spacing w:line="360" w:lineRule="auto"/>
              <w:ind w:right="174" w:rightChars="83"/>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服务承诺和服务保障</w:t>
            </w:r>
            <w:r>
              <w:rPr>
                <w:rFonts w:hint="eastAsia" w:ascii="宋体" w:hAnsi="宋体" w:cs="宋体"/>
                <w:color w:val="auto"/>
                <w:sz w:val="24"/>
                <w:szCs w:val="24"/>
                <w:highlight w:val="none"/>
                <w:lang w:eastAsia="zh-CN"/>
              </w:rPr>
              <w:t>：</w:t>
            </w:r>
          </w:p>
          <w:p w14:paraId="0FFABDE9">
            <w:pPr>
              <w:adjustRightInd/>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根据</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auto"/>
                <w:kern w:val="2"/>
                <w:sz w:val="24"/>
                <w:szCs w:val="24"/>
                <w:highlight w:val="none"/>
                <w:lang w:val="en-US" w:eastAsia="zh-CN" w:bidi="ar-SA"/>
              </w:rPr>
              <w:t>提供的服务期限的服务承诺与实际采购需求的符合性进行打分</w:t>
            </w:r>
            <w:r>
              <w:rPr>
                <w:rFonts w:hint="eastAsia" w:ascii="宋体" w:hAnsi="宋体" w:cs="宋体"/>
                <w:color w:val="auto"/>
                <w:kern w:val="2"/>
                <w:sz w:val="24"/>
                <w:szCs w:val="24"/>
                <w:highlight w:val="none"/>
                <w:lang w:val="en-US" w:eastAsia="zh-CN" w:bidi="ar-SA"/>
              </w:rPr>
              <w:t>。</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1AEFA19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3</w:t>
            </w:r>
          </w:p>
        </w:tc>
        <w:tc>
          <w:tcPr>
            <w:tcW w:w="1030" w:type="dxa"/>
            <w:shd w:val="clear" w:color="auto" w:fill="auto"/>
            <w:vAlign w:val="center"/>
          </w:tcPr>
          <w:p w14:paraId="4FE69536">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主观分</w:t>
            </w:r>
          </w:p>
        </w:tc>
        <w:tc>
          <w:tcPr>
            <w:tcW w:w="1540" w:type="dxa"/>
            <w:shd w:val="clear" w:color="auto" w:fill="auto"/>
            <w:vAlign w:val="center"/>
          </w:tcPr>
          <w:p w14:paraId="3D36A00F">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4D50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1B8275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11</w:t>
            </w:r>
          </w:p>
        </w:tc>
        <w:tc>
          <w:tcPr>
            <w:tcW w:w="4538" w:type="dxa"/>
            <w:shd w:val="clear" w:color="auto" w:fill="auto"/>
            <w:vAlign w:val="center"/>
          </w:tcPr>
          <w:p w14:paraId="0F776420">
            <w:pPr>
              <w:pageBreakBefore w:val="0"/>
              <w:kinsoku/>
              <w:wordWrap/>
              <w:overflowPunct/>
              <w:topLinePunct w:val="0"/>
              <w:bidi w:val="0"/>
              <w:adjustRightInd/>
              <w:snapToGrid/>
              <w:spacing w:line="360" w:lineRule="auto"/>
              <w:ind w:right="174" w:rightChars="83"/>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进度保障措施：</w:t>
            </w:r>
          </w:p>
          <w:p w14:paraId="14F3AF38">
            <w:pPr>
              <w:pageBreakBefore w:val="0"/>
              <w:kinsoku/>
              <w:wordWrap/>
              <w:overflowPunct/>
              <w:topLinePunct w:val="0"/>
              <w:bidi w:val="0"/>
              <w:adjustRightInd/>
              <w:snapToGrid/>
              <w:spacing w:line="360" w:lineRule="auto"/>
              <w:ind w:right="174" w:rightChars="83"/>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根据投标人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进度保证措施的可操作性和合理性</w:t>
            </w:r>
            <w:r>
              <w:rPr>
                <w:rFonts w:hint="eastAsia" w:ascii="宋体" w:hAnsi="宋体" w:eastAsia="宋体" w:cs="宋体"/>
                <w:color w:val="000000" w:themeColor="text1"/>
                <w:sz w:val="24"/>
                <w:szCs w:val="24"/>
                <w:highlight w:val="none"/>
                <w:lang w:val="en-US" w:eastAsia="zh-CN"/>
                <w14:textFill>
                  <w14:solidFill>
                    <w14:schemeClr w14:val="tx1"/>
                  </w14:solidFill>
                </w14:textFill>
              </w:rPr>
              <w:t>与采购需求的符合情况进行打分。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评分范围：3,2,1,0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4B7F372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3</w:t>
            </w:r>
          </w:p>
        </w:tc>
        <w:tc>
          <w:tcPr>
            <w:tcW w:w="1030" w:type="dxa"/>
            <w:shd w:val="clear" w:color="auto" w:fill="auto"/>
            <w:vAlign w:val="center"/>
          </w:tcPr>
          <w:p w14:paraId="25F9BE54">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主观分</w:t>
            </w:r>
          </w:p>
        </w:tc>
        <w:tc>
          <w:tcPr>
            <w:tcW w:w="1540" w:type="dxa"/>
            <w:shd w:val="clear" w:color="auto" w:fill="auto"/>
            <w:vAlign w:val="center"/>
          </w:tcPr>
          <w:p w14:paraId="4A2C0200">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685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982D8F5">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12</w:t>
            </w:r>
          </w:p>
        </w:tc>
        <w:tc>
          <w:tcPr>
            <w:tcW w:w="4538" w:type="dxa"/>
            <w:shd w:val="clear" w:color="auto" w:fill="auto"/>
            <w:vAlign w:val="center"/>
          </w:tcPr>
          <w:p w14:paraId="3ED8D2AB">
            <w:pPr>
              <w:pageBreakBefore w:val="0"/>
              <w:kinsoku/>
              <w:wordWrap/>
              <w:overflowPunct/>
              <w:topLinePunct w:val="0"/>
              <w:bidi w:val="0"/>
              <w:adjustRightInd/>
              <w:snapToGrid/>
              <w:spacing w:line="360" w:lineRule="auto"/>
              <w:ind w:right="174" w:rightChars="83"/>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档案管理</w:t>
            </w:r>
            <w:r>
              <w:rPr>
                <w:rFonts w:hint="eastAsia" w:ascii="宋体" w:hAnsi="宋体" w:cs="宋体"/>
                <w:sz w:val="24"/>
                <w:szCs w:val="24"/>
                <w:highlight w:val="none"/>
                <w:lang w:val="en-US" w:eastAsia="zh-CN"/>
              </w:rPr>
              <w:t>：</w:t>
            </w:r>
          </w:p>
          <w:p w14:paraId="5FCC2FFC">
            <w:pPr>
              <w:pageBreakBefore w:val="0"/>
              <w:kinsoku/>
              <w:wordWrap/>
              <w:overflowPunct/>
              <w:topLinePunct w:val="0"/>
              <w:bidi w:val="0"/>
              <w:adjustRightInd/>
              <w:snapToGrid/>
              <w:spacing w:line="360" w:lineRule="auto"/>
              <w:ind w:right="174" w:rightChars="83"/>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根据投标人提供的服务过程中的项目资料整理及档案归集制度进行打分。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547B4A0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2</w:t>
            </w:r>
          </w:p>
        </w:tc>
        <w:tc>
          <w:tcPr>
            <w:tcW w:w="1030" w:type="dxa"/>
            <w:shd w:val="clear" w:color="auto" w:fill="auto"/>
            <w:vAlign w:val="center"/>
          </w:tcPr>
          <w:p w14:paraId="7E44CD1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主观分</w:t>
            </w:r>
          </w:p>
        </w:tc>
        <w:tc>
          <w:tcPr>
            <w:tcW w:w="1540" w:type="dxa"/>
            <w:shd w:val="clear" w:color="auto" w:fill="auto"/>
            <w:vAlign w:val="center"/>
          </w:tcPr>
          <w:p w14:paraId="1B6830F8">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0EF2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00CE1835">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13</w:t>
            </w:r>
          </w:p>
        </w:tc>
        <w:tc>
          <w:tcPr>
            <w:tcW w:w="4538" w:type="dxa"/>
            <w:shd w:val="clear" w:color="auto" w:fill="auto"/>
            <w:vAlign w:val="center"/>
          </w:tcPr>
          <w:p w14:paraId="71578A47">
            <w:pPr>
              <w:pageBreakBefore w:val="0"/>
              <w:kinsoku/>
              <w:wordWrap/>
              <w:overflowPunct/>
              <w:topLinePunct w:val="0"/>
              <w:bidi w:val="0"/>
              <w:adjustRightInd/>
              <w:snapToGrid/>
              <w:spacing w:line="360" w:lineRule="auto"/>
              <w:ind w:right="174" w:rightChars="83"/>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质量管理</w:t>
            </w:r>
            <w:r>
              <w:rPr>
                <w:rFonts w:hint="eastAsia" w:ascii="宋体" w:hAnsi="宋体" w:cs="宋体"/>
                <w:color w:val="auto"/>
                <w:sz w:val="24"/>
                <w:szCs w:val="24"/>
                <w:highlight w:val="none"/>
                <w:lang w:val="en-US" w:eastAsia="zh-CN"/>
              </w:rPr>
              <w:t>：</w:t>
            </w:r>
          </w:p>
          <w:p w14:paraId="7ECD12A3">
            <w:pPr>
              <w:pageBreakBefore w:val="0"/>
              <w:kinsoku/>
              <w:wordWrap/>
              <w:overflowPunct/>
              <w:topLinePunct w:val="0"/>
              <w:bidi w:val="0"/>
              <w:adjustRightInd/>
              <w:snapToGrid/>
              <w:spacing w:line="360" w:lineRule="auto"/>
              <w:ind w:right="174" w:rightChars="83"/>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根据投标人提供的质量管理措施及实施方法与采购需求的符合情况进行打分</w:t>
            </w:r>
            <w:r>
              <w:rPr>
                <w:rFonts w:hint="eastAsia" w:ascii="宋体" w:hAnsi="宋体" w:eastAsia="宋体" w:cs="宋体"/>
                <w:color w:val="auto"/>
                <w:sz w:val="24"/>
                <w:szCs w:val="24"/>
                <w:highlight w:val="none"/>
                <w:lang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评分范围：3,2,1,0</w:t>
            </w:r>
            <w:r>
              <w:rPr>
                <w:rFonts w:hint="eastAsia" w:ascii="宋体" w:hAnsi="宋体" w:cs="宋体"/>
                <w:color w:val="auto"/>
                <w:kern w:val="2"/>
                <w:sz w:val="24"/>
                <w:szCs w:val="24"/>
                <w:highlight w:val="none"/>
                <w:lang w:val="en-US" w:eastAsia="zh-CN" w:bidi="ar-SA"/>
              </w:rPr>
              <w:t>）</w:t>
            </w:r>
          </w:p>
        </w:tc>
        <w:tc>
          <w:tcPr>
            <w:tcW w:w="630" w:type="dxa"/>
            <w:shd w:val="clear" w:color="auto" w:fill="auto"/>
            <w:vAlign w:val="center"/>
          </w:tcPr>
          <w:p w14:paraId="4C7C4848">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3</w:t>
            </w:r>
          </w:p>
        </w:tc>
        <w:tc>
          <w:tcPr>
            <w:tcW w:w="1030" w:type="dxa"/>
            <w:shd w:val="clear" w:color="auto" w:fill="auto"/>
            <w:vAlign w:val="center"/>
          </w:tcPr>
          <w:p w14:paraId="35D2772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仿宋_GB2312"/>
                <w:kern w:val="2"/>
                <w:sz w:val="24"/>
                <w:szCs w:val="24"/>
                <w:highlight w:val="none"/>
                <w:lang w:val="en-US" w:eastAsia="zh-CN" w:bidi="ar-SA"/>
              </w:rPr>
            </w:pPr>
            <w:r>
              <w:rPr>
                <w:rFonts w:hint="eastAsia" w:ascii="宋体" w:hAnsi="宋体" w:cs="仿宋_GB2312"/>
                <w:kern w:val="2"/>
                <w:sz w:val="24"/>
                <w:szCs w:val="24"/>
                <w:highlight w:val="none"/>
                <w:lang w:val="en-US" w:eastAsia="zh-CN" w:bidi="ar-SA"/>
              </w:rPr>
              <w:t>主观分</w:t>
            </w:r>
          </w:p>
        </w:tc>
        <w:tc>
          <w:tcPr>
            <w:tcW w:w="1540" w:type="dxa"/>
            <w:shd w:val="clear" w:color="auto" w:fill="auto"/>
            <w:vAlign w:val="center"/>
          </w:tcPr>
          <w:p w14:paraId="3F081951">
            <w:pPr>
              <w:pStyle w:val="131"/>
              <w:pageBreakBefore w:val="0"/>
              <w:kinsoku/>
              <w:wordWrap/>
              <w:overflowPunct/>
              <w:topLinePunct w:val="0"/>
              <w:autoSpaceDE/>
              <w:autoSpaceDN/>
              <w:bidi w:val="0"/>
              <w:adjustRightInd/>
              <w:snapToGrid/>
              <w:spacing w:before="0" w:line="360" w:lineRule="auto"/>
              <w:ind w:firstLine="0" w:firstLineChars="0"/>
              <w:jc w:val="center"/>
              <w:textAlignment w:val="auto"/>
              <w:rPr>
                <w:rFonts w:hint="eastAsia" w:cs="仿宋_GB2312" w:asciiTheme="minorEastAsia" w:hAnsiTheme="minorEastAsia" w:eastAsiaTheme="minorEastAsia"/>
                <w:kern w:val="2"/>
                <w:sz w:val="24"/>
                <w:szCs w:val="24"/>
                <w:highlight w:val="none"/>
                <w:lang w:val="en-US" w:eastAsia="zh-CN" w:bidi="ar-SA"/>
              </w:rPr>
            </w:pPr>
          </w:p>
        </w:tc>
      </w:tr>
      <w:tr w14:paraId="6B65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BEE8B13">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4538" w:type="dxa"/>
            <w:vAlign w:val="top"/>
          </w:tcPr>
          <w:p w14:paraId="0EC26C90">
            <w:pPr>
              <w:pageBreakBefore w:val="0"/>
              <w:kinsoku/>
              <w:wordWrap/>
              <w:overflowPunct/>
              <w:topLinePunct w:val="0"/>
              <w:bidi w:val="0"/>
              <w:adjustRightInd/>
              <w:snapToGrid/>
              <w:spacing w:line="360" w:lineRule="auto"/>
              <w:ind w:right="174" w:rightChars="83"/>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其他服务承诺</w:t>
            </w:r>
            <w:r>
              <w:rPr>
                <w:rFonts w:hint="eastAsia" w:ascii="宋体" w:hAnsi="宋体" w:cs="宋体"/>
                <w:color w:val="auto"/>
                <w:sz w:val="24"/>
                <w:szCs w:val="24"/>
                <w:highlight w:val="none"/>
                <w:lang w:val="en-US" w:eastAsia="zh-CN"/>
              </w:rPr>
              <w:t>：</w:t>
            </w:r>
          </w:p>
          <w:p w14:paraId="5E52A277">
            <w:pPr>
              <w:pageBreakBefore w:val="0"/>
              <w:kinsoku/>
              <w:wordWrap/>
              <w:overflowPunct/>
              <w:topLinePunct w:val="0"/>
              <w:bidi w:val="0"/>
              <w:adjustRightInd/>
              <w:snapToGrid/>
              <w:spacing w:line="360" w:lineRule="auto"/>
              <w:ind w:right="174" w:rightChars="83"/>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根据投标人提供的其他服务承诺与采购需求的符合或优于情况进行打分。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评分范围：2,1,0</w:t>
            </w:r>
            <w:r>
              <w:rPr>
                <w:rFonts w:hint="eastAsia" w:ascii="宋体" w:hAnsi="宋体" w:cs="宋体"/>
                <w:color w:val="auto"/>
                <w:kern w:val="2"/>
                <w:sz w:val="24"/>
                <w:szCs w:val="24"/>
                <w:highlight w:val="none"/>
                <w:lang w:val="en-US" w:eastAsia="zh-CN" w:bidi="ar-SA"/>
              </w:rPr>
              <w:t>）</w:t>
            </w:r>
          </w:p>
        </w:tc>
        <w:tc>
          <w:tcPr>
            <w:tcW w:w="630" w:type="dxa"/>
            <w:vAlign w:val="center"/>
          </w:tcPr>
          <w:p w14:paraId="0807B924">
            <w:pPr>
              <w:keepNext w:val="0"/>
              <w:keepLines w:val="0"/>
              <w:pageBreakBefore w:val="0"/>
              <w:kinsoku/>
              <w:wordWrap/>
              <w:overflowPunct/>
              <w:topLinePunct w:val="0"/>
              <w:autoSpaceDE/>
              <w:autoSpaceDN/>
              <w:bidi w:val="0"/>
              <w:adjustRightInd/>
              <w:snapToGrid/>
              <w:spacing w:line="360" w:lineRule="auto"/>
              <w:ind w:firstLine="120" w:firstLineChars="50"/>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30" w:type="dxa"/>
            <w:vAlign w:val="center"/>
          </w:tcPr>
          <w:p w14:paraId="0651238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cs="仿宋_GB2312"/>
                <w:kern w:val="2"/>
                <w:sz w:val="24"/>
                <w:szCs w:val="24"/>
                <w:highlight w:val="none"/>
                <w:lang w:val="en-US" w:eastAsia="zh-CN" w:bidi="ar-SA"/>
              </w:rPr>
              <w:t>主观分</w:t>
            </w:r>
          </w:p>
        </w:tc>
        <w:tc>
          <w:tcPr>
            <w:tcW w:w="1540" w:type="dxa"/>
          </w:tcPr>
          <w:p w14:paraId="1EE2610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0110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3F95719">
            <w:pPr>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4538" w:type="dxa"/>
            <w:vAlign w:val="top"/>
          </w:tcPr>
          <w:p w14:paraId="4743E358">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cs="宋体" w:asciiTheme="minorEastAsia" w:hAnsiTheme="minorEastAsia" w:eastAsiaTheme="minorEastAsia"/>
                <w:sz w:val="24"/>
                <w:highlight w:val="none"/>
              </w:rPr>
              <w:t>分值权重</w:t>
            </w:r>
            <w:r>
              <w:rPr>
                <w:rFonts w:hint="eastAsia" w:ascii="宋体" w:hAnsi="宋体" w:eastAsia="宋体" w:cs="宋体"/>
                <w:color w:val="auto"/>
                <w:sz w:val="24"/>
                <w:szCs w:val="24"/>
                <w:highlight w:val="none"/>
              </w:rPr>
              <w:t>］的计算公式计算。</w:t>
            </w:r>
          </w:p>
          <w:p w14:paraId="07EBF0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2B6CE068">
            <w:pPr>
              <w:pStyle w:val="24"/>
              <w:pageBreakBefore w:val="0"/>
              <w:kinsoku/>
              <w:wordWrap/>
              <w:overflowPunct/>
              <w:topLinePunct w:val="0"/>
              <w:bidi w:val="0"/>
              <w:adjustRightInd/>
              <w:snapToGrid/>
              <w:spacing w:line="360" w:lineRule="auto"/>
              <w:textAlignment w:val="auto"/>
              <w:rPr>
                <w:rFonts w:hint="default" w:eastAsiaTheme="minorEastAsia"/>
                <w:highlight w:val="none"/>
                <w:lang w:val="en-US" w:eastAsia="zh-CN"/>
              </w:rPr>
            </w:pPr>
            <w:r>
              <w:rPr>
                <w:rFonts w:hint="eastAsia" w:cs="宋体" w:asciiTheme="minorEastAsia" w:hAnsiTheme="minorEastAsia" w:eastAsiaTheme="minorEastAsia"/>
                <w:sz w:val="24"/>
                <w:highlight w:val="none"/>
                <w:lang w:val="en-US" w:eastAsia="zh-CN"/>
              </w:rPr>
              <w:t>报价明细中分3个类型，每个类型报价分权重如下：</w:t>
            </w:r>
          </w:p>
          <w:tbl>
            <w:tblPr>
              <w:tblStyle w:val="64"/>
              <w:tblW w:w="4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3340"/>
              <w:gridCol w:w="653"/>
            </w:tblGrid>
            <w:tr w14:paraId="5A3E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14:paraId="79F4A6CA">
                  <w:pPr>
                    <w:pStyle w:val="24"/>
                    <w:pageBreakBefore w:val="0"/>
                    <w:kinsoku/>
                    <w:wordWrap/>
                    <w:overflowPunct/>
                    <w:topLinePunct w:val="0"/>
                    <w:bidi w:val="0"/>
                    <w:adjustRightInd/>
                    <w:snapToGrid/>
                    <w:spacing w:line="360" w:lineRule="auto"/>
                    <w:jc w:val="center"/>
                    <w:textAlignment w:val="auto"/>
                    <w:rPr>
                      <w:rFonts w:hint="eastAsia" w:eastAsia="宋体"/>
                      <w:highlight w:val="none"/>
                      <w:vertAlign w:val="baseline"/>
                      <w:lang w:val="en-US" w:eastAsia="zh-CN"/>
                    </w:rPr>
                  </w:pPr>
                  <w:r>
                    <w:rPr>
                      <w:rFonts w:hint="eastAsia"/>
                      <w:highlight w:val="none"/>
                      <w:vertAlign w:val="baseline"/>
                      <w:lang w:val="en-US" w:eastAsia="zh-CN"/>
                    </w:rPr>
                    <w:t>1</w:t>
                  </w:r>
                </w:p>
              </w:tc>
              <w:tc>
                <w:tcPr>
                  <w:tcW w:w="3340" w:type="dxa"/>
                  <w:vAlign w:val="center"/>
                </w:tcPr>
                <w:p w14:paraId="5B35740B">
                  <w:pPr>
                    <w:keepNext w:val="0"/>
                    <w:keepLines w:val="0"/>
                    <w:pageBreakBefore w:val="0"/>
                    <w:kinsoku/>
                    <w:wordWrap/>
                    <w:overflowPunct/>
                    <w:topLinePunct w:val="0"/>
                    <w:bidi w:val="0"/>
                    <w:adjustRightInd/>
                    <w:snapToGrid/>
                    <w:spacing w:line="360" w:lineRule="auto"/>
                    <w:contextualSpacing/>
                    <w:jc w:val="both"/>
                    <w:textAlignment w:val="auto"/>
                    <w:rPr>
                      <w:rFonts w:hint="default"/>
                      <w:b w:val="0"/>
                      <w:bCs w:val="0"/>
                      <w:highlight w:val="none"/>
                      <w:vertAlign w:val="baseline"/>
                      <w:lang w:val="en-US"/>
                    </w:rPr>
                  </w:pPr>
                  <w:r>
                    <w:rPr>
                      <w:rFonts w:hint="eastAsia" w:ascii="宋体" w:hAnsi="宋体" w:eastAsia="宋体" w:cs="宋体"/>
                      <w:b w:val="0"/>
                      <w:bCs w:val="0"/>
                      <w:sz w:val="24"/>
                      <w:szCs w:val="24"/>
                      <w:highlight w:val="none"/>
                      <w:lang w:val="en-US" w:eastAsia="zh-CN"/>
                    </w:rPr>
                    <w:t>园中园（厂中厂）（包含各园中园内生产加工、仓储、寄递、危化品、餐饮等重点企业单位）</w:t>
                  </w:r>
                  <w:r>
                    <w:rPr>
                      <w:rFonts w:hint="eastAsia" w:ascii="宋体" w:hAnsi="宋体" w:cs="宋体"/>
                      <w:b w:val="0"/>
                      <w:bCs w:val="0"/>
                      <w:sz w:val="24"/>
                      <w:szCs w:val="24"/>
                      <w:highlight w:val="none"/>
                      <w:lang w:val="en-US" w:eastAsia="zh-CN"/>
                    </w:rPr>
                    <w:t>报价</w:t>
                  </w:r>
                </w:p>
              </w:tc>
              <w:tc>
                <w:tcPr>
                  <w:tcW w:w="653" w:type="dxa"/>
                  <w:vAlign w:val="center"/>
                </w:tcPr>
                <w:p w14:paraId="56EA266B">
                  <w:pPr>
                    <w:pStyle w:val="24"/>
                    <w:pageBreakBefore w:val="0"/>
                    <w:kinsoku/>
                    <w:wordWrap/>
                    <w:overflowPunct/>
                    <w:topLinePunct w:val="0"/>
                    <w:bidi w:val="0"/>
                    <w:adjustRightInd/>
                    <w:snapToGrid/>
                    <w:spacing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5分</w:t>
                  </w:r>
                </w:p>
              </w:tc>
            </w:tr>
            <w:tr w14:paraId="4A44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14:paraId="55D865AA">
                  <w:pPr>
                    <w:pStyle w:val="24"/>
                    <w:pageBreakBefore w:val="0"/>
                    <w:kinsoku/>
                    <w:wordWrap/>
                    <w:overflowPunct/>
                    <w:topLinePunct w:val="0"/>
                    <w:bidi w:val="0"/>
                    <w:adjustRightInd/>
                    <w:snapToGrid/>
                    <w:spacing w:line="360" w:lineRule="auto"/>
                    <w:jc w:val="center"/>
                    <w:textAlignment w:val="auto"/>
                    <w:rPr>
                      <w:rFonts w:hint="eastAsia" w:eastAsia="宋体"/>
                      <w:highlight w:val="none"/>
                      <w:vertAlign w:val="baseline"/>
                      <w:lang w:val="en-US" w:eastAsia="zh-CN"/>
                    </w:rPr>
                  </w:pPr>
                  <w:r>
                    <w:rPr>
                      <w:rFonts w:hint="eastAsia"/>
                      <w:highlight w:val="none"/>
                      <w:vertAlign w:val="baseline"/>
                      <w:lang w:val="en-US" w:eastAsia="zh-CN"/>
                    </w:rPr>
                    <w:t>2</w:t>
                  </w:r>
                </w:p>
              </w:tc>
              <w:tc>
                <w:tcPr>
                  <w:tcW w:w="3340" w:type="dxa"/>
                  <w:vAlign w:val="center"/>
                </w:tcPr>
                <w:p w14:paraId="1F8EAC8F">
                  <w:pPr>
                    <w:keepNext w:val="0"/>
                    <w:keepLines w:val="0"/>
                    <w:pageBreakBefore w:val="0"/>
                    <w:kinsoku/>
                    <w:wordWrap/>
                    <w:overflowPunct/>
                    <w:topLinePunct w:val="0"/>
                    <w:bidi w:val="0"/>
                    <w:adjustRightInd/>
                    <w:snapToGrid/>
                    <w:spacing w:line="360" w:lineRule="auto"/>
                    <w:jc w:val="both"/>
                    <w:textAlignment w:val="auto"/>
                    <w:rPr>
                      <w:rFonts w:hint="default"/>
                      <w:b w:val="0"/>
                      <w:bCs w:val="0"/>
                      <w:highlight w:val="none"/>
                      <w:vertAlign w:val="baseline"/>
                      <w:lang w:val="en-US"/>
                    </w:rPr>
                  </w:pPr>
                  <w:r>
                    <w:rPr>
                      <w:rFonts w:hint="eastAsia" w:ascii="宋体" w:hAnsi="宋体" w:eastAsia="宋体" w:cs="宋体"/>
                      <w:b w:val="0"/>
                      <w:bCs w:val="0"/>
                      <w:sz w:val="24"/>
                      <w:szCs w:val="24"/>
                      <w:highlight w:val="none"/>
                      <w:lang w:val="en-US" w:eastAsia="zh-CN"/>
                    </w:rPr>
                    <w:t>在建工地</w:t>
                  </w:r>
                  <w:r>
                    <w:rPr>
                      <w:rFonts w:hint="eastAsia" w:ascii="宋体" w:hAnsi="宋体" w:cs="宋体"/>
                      <w:b w:val="0"/>
                      <w:bCs w:val="0"/>
                      <w:sz w:val="24"/>
                      <w:szCs w:val="24"/>
                      <w:highlight w:val="none"/>
                      <w:lang w:val="en-US" w:eastAsia="zh-CN"/>
                    </w:rPr>
                    <w:t>报价</w:t>
                  </w:r>
                </w:p>
              </w:tc>
              <w:tc>
                <w:tcPr>
                  <w:tcW w:w="653" w:type="dxa"/>
                  <w:vAlign w:val="center"/>
                </w:tcPr>
                <w:p w14:paraId="678E6F01">
                  <w:pPr>
                    <w:pStyle w:val="24"/>
                    <w:pageBreakBefore w:val="0"/>
                    <w:kinsoku/>
                    <w:wordWrap/>
                    <w:overflowPunct/>
                    <w:topLinePunct w:val="0"/>
                    <w:bidi w:val="0"/>
                    <w:adjustRightInd/>
                    <w:snapToGrid/>
                    <w:spacing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3分</w:t>
                  </w:r>
                </w:p>
              </w:tc>
            </w:tr>
            <w:tr w14:paraId="0EA3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dxa"/>
                  <w:vAlign w:val="center"/>
                </w:tcPr>
                <w:p w14:paraId="0E0C4A2F">
                  <w:pPr>
                    <w:pStyle w:val="24"/>
                    <w:pageBreakBefore w:val="0"/>
                    <w:kinsoku/>
                    <w:wordWrap/>
                    <w:overflowPunct/>
                    <w:topLinePunct w:val="0"/>
                    <w:bidi w:val="0"/>
                    <w:adjustRightInd/>
                    <w:snapToGrid/>
                    <w:spacing w:line="360" w:lineRule="auto"/>
                    <w:jc w:val="center"/>
                    <w:textAlignment w:val="auto"/>
                    <w:rPr>
                      <w:rFonts w:hint="eastAsia" w:eastAsia="宋体"/>
                      <w:highlight w:val="none"/>
                      <w:vertAlign w:val="baseline"/>
                      <w:lang w:val="en-US" w:eastAsia="zh-CN"/>
                    </w:rPr>
                  </w:pPr>
                  <w:r>
                    <w:rPr>
                      <w:rFonts w:hint="eastAsia"/>
                      <w:highlight w:val="none"/>
                      <w:vertAlign w:val="baseline"/>
                      <w:lang w:val="en-US" w:eastAsia="zh-CN"/>
                    </w:rPr>
                    <w:t>3</w:t>
                  </w:r>
                </w:p>
              </w:tc>
              <w:tc>
                <w:tcPr>
                  <w:tcW w:w="3340" w:type="dxa"/>
                  <w:vAlign w:val="center"/>
                </w:tcPr>
                <w:p w14:paraId="15070036">
                  <w:pPr>
                    <w:keepNext w:val="0"/>
                    <w:keepLines w:val="0"/>
                    <w:pageBreakBefore w:val="0"/>
                    <w:kinsoku/>
                    <w:wordWrap/>
                    <w:overflowPunct/>
                    <w:topLinePunct w:val="0"/>
                    <w:bidi w:val="0"/>
                    <w:adjustRightInd/>
                    <w:snapToGrid/>
                    <w:spacing w:line="360" w:lineRule="auto"/>
                    <w:jc w:val="both"/>
                    <w:textAlignment w:val="auto"/>
                    <w:rPr>
                      <w:rFonts w:hint="default"/>
                      <w:b w:val="0"/>
                      <w:bCs w:val="0"/>
                      <w:highlight w:val="none"/>
                      <w:vertAlign w:val="baseline"/>
                      <w:lang w:val="en-US"/>
                    </w:rPr>
                  </w:pPr>
                  <w:r>
                    <w:rPr>
                      <w:rFonts w:hint="eastAsia" w:ascii="宋体" w:hAnsi="宋体" w:eastAsia="宋体" w:cs="宋体"/>
                      <w:b w:val="0"/>
                      <w:bCs w:val="0"/>
                      <w:sz w:val="24"/>
                      <w:szCs w:val="24"/>
                      <w:highlight w:val="none"/>
                      <w:lang w:val="en-US" w:eastAsia="zh-CN"/>
                    </w:rPr>
                    <w:t>生产加工、寄递、危化品等单位</w:t>
                  </w:r>
                  <w:r>
                    <w:rPr>
                      <w:rFonts w:hint="eastAsia" w:ascii="宋体" w:hAnsi="宋体" w:cs="宋体"/>
                      <w:b w:val="0"/>
                      <w:bCs w:val="0"/>
                      <w:sz w:val="24"/>
                      <w:szCs w:val="24"/>
                      <w:highlight w:val="none"/>
                      <w:lang w:val="en-US" w:eastAsia="zh-CN"/>
                    </w:rPr>
                    <w:t>报价</w:t>
                  </w:r>
                </w:p>
              </w:tc>
              <w:tc>
                <w:tcPr>
                  <w:tcW w:w="653" w:type="dxa"/>
                  <w:vAlign w:val="center"/>
                </w:tcPr>
                <w:p w14:paraId="26D62D85">
                  <w:pPr>
                    <w:pStyle w:val="24"/>
                    <w:pageBreakBefore w:val="0"/>
                    <w:kinsoku/>
                    <w:wordWrap/>
                    <w:overflowPunct/>
                    <w:topLinePunct w:val="0"/>
                    <w:bidi w:val="0"/>
                    <w:adjustRightInd/>
                    <w:snapToGrid/>
                    <w:spacing w:line="360" w:lineRule="auto"/>
                    <w:jc w:val="center"/>
                    <w:textAlignment w:val="auto"/>
                    <w:rPr>
                      <w:rFonts w:hint="default" w:eastAsia="宋体"/>
                      <w:highlight w:val="none"/>
                      <w:vertAlign w:val="baseline"/>
                      <w:lang w:val="en-US" w:eastAsia="zh-CN"/>
                    </w:rPr>
                  </w:pPr>
                  <w:r>
                    <w:rPr>
                      <w:rFonts w:hint="eastAsia"/>
                      <w:highlight w:val="none"/>
                      <w:vertAlign w:val="baseline"/>
                      <w:lang w:val="en-US" w:eastAsia="zh-CN"/>
                    </w:rPr>
                    <w:t>2分</w:t>
                  </w:r>
                </w:p>
              </w:tc>
            </w:tr>
          </w:tbl>
          <w:p w14:paraId="4E426D09">
            <w:pPr>
              <w:pStyle w:val="2"/>
              <w:pageBreakBefore w:val="0"/>
              <w:kinsoku/>
              <w:wordWrap/>
              <w:overflowPunct/>
              <w:topLinePunct w:val="0"/>
              <w:bidi w:val="0"/>
              <w:adjustRightInd/>
              <w:snapToGrid/>
              <w:spacing w:before="0" w:after="0" w:line="360" w:lineRule="auto"/>
              <w:textAlignment w:val="auto"/>
              <w:rPr>
                <w:rFonts w:hint="eastAsia"/>
                <w:lang w:val="en-US" w:eastAsia="zh-CN"/>
              </w:rPr>
            </w:pPr>
          </w:p>
        </w:tc>
        <w:tc>
          <w:tcPr>
            <w:tcW w:w="630" w:type="dxa"/>
            <w:vAlign w:val="center"/>
          </w:tcPr>
          <w:p w14:paraId="0C3342EE">
            <w:pPr>
              <w:keepNext w:val="0"/>
              <w:keepLines w:val="0"/>
              <w:pageBreakBefore w:val="0"/>
              <w:kinsoku/>
              <w:wordWrap/>
              <w:overflowPunct/>
              <w:topLinePunct w:val="0"/>
              <w:autoSpaceDE/>
              <w:autoSpaceDN/>
              <w:bidi w:val="0"/>
              <w:adjustRightInd/>
              <w:snapToGrid/>
              <w:spacing w:line="360" w:lineRule="auto"/>
              <w:ind w:firstLine="120" w:firstLineChars="50"/>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1030" w:type="dxa"/>
            <w:vAlign w:val="center"/>
          </w:tcPr>
          <w:p w14:paraId="7CAD80C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客观分</w:t>
            </w:r>
          </w:p>
        </w:tc>
        <w:tc>
          <w:tcPr>
            <w:tcW w:w="1540" w:type="dxa"/>
          </w:tcPr>
          <w:p w14:paraId="66C20AB4">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bl>
    <w:p w14:paraId="0D6CFACE">
      <w:pPr>
        <w:pageBreakBefore w:val="0"/>
        <w:kinsoku/>
        <w:wordWrap/>
        <w:overflowPunct/>
        <w:topLinePunct w:val="0"/>
        <w:autoSpaceDE/>
        <w:autoSpaceDN/>
        <w:bidi w:val="0"/>
        <w:adjustRightInd/>
        <w:snapToGrid/>
        <w:spacing w:line="360" w:lineRule="auto"/>
        <w:textAlignment w:val="auto"/>
        <w:rPr>
          <w:color w:val="auto"/>
        </w:rPr>
      </w:pPr>
    </w:p>
    <w:p w14:paraId="163D5711">
      <w:pPr>
        <w:pageBreakBefore w:val="0"/>
        <w:kinsoku/>
        <w:wordWrap/>
        <w:overflowPunct/>
        <w:topLinePunct w:val="0"/>
        <w:autoSpaceDE/>
        <w:autoSpaceDN/>
        <w:bidi w:val="0"/>
        <w:adjustRightInd/>
        <w:snapToGrid/>
        <w:spacing w:line="360" w:lineRule="auto"/>
        <w:textAlignment w:val="auto"/>
        <w:rPr>
          <w:rFonts w:ascii="宋体" w:hAnsi="宋体" w:cs="宋体"/>
          <w:b/>
          <w:color w:val="auto"/>
          <w:sz w:val="24"/>
        </w:rPr>
      </w:pPr>
      <w:r>
        <w:rPr>
          <w:rFonts w:hint="eastAsia" w:ascii="宋体" w:hAnsi="宋体" w:cs="宋体"/>
          <w:color w:val="auto"/>
          <w:sz w:val="20"/>
          <w:szCs w:val="20"/>
          <w:shd w:val="clear" w:color="auto" w:fill="FFFFFF"/>
        </w:rPr>
        <w:t>*</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 </w:t>
      </w:r>
    </w:p>
    <w:p w14:paraId="4ECE342C">
      <w:pPr>
        <w:pageBreakBefore w:val="0"/>
        <w:kinsoku/>
        <w:wordWrap/>
        <w:overflowPunct/>
        <w:topLinePunct w:val="0"/>
        <w:autoSpaceDE/>
        <w:autoSpaceDN/>
        <w:bidi w:val="0"/>
        <w:adjustRightInd/>
        <w:snapToGrid/>
        <w:spacing w:line="360" w:lineRule="auto"/>
        <w:textAlignment w:val="auto"/>
        <w:rPr>
          <w:rFonts w:ascii="宋体" w:hAnsi="宋体" w:cs="宋体"/>
          <w:b/>
          <w:color w:val="auto"/>
          <w:sz w:val="28"/>
          <w:szCs w:val="28"/>
        </w:rPr>
      </w:pPr>
      <w:r>
        <w:rPr>
          <w:rFonts w:hint="eastAsia" w:ascii="宋体" w:hAnsi="宋体" w:cs="宋体"/>
          <w:b/>
          <w:color w:val="auto"/>
          <w:sz w:val="32"/>
        </w:rPr>
        <w:t>一、评标方法</w:t>
      </w:r>
    </w:p>
    <w:p w14:paraId="16894485">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14:paraId="482B9736">
      <w:pPr>
        <w:pageBreakBefore w:val="0"/>
        <w:kinsoku/>
        <w:wordWrap/>
        <w:overflowPunct/>
        <w:topLinePunct w:val="0"/>
        <w:autoSpaceDE/>
        <w:autoSpaceDN/>
        <w:bidi w:val="0"/>
        <w:adjustRightInd/>
        <w:snapToGrid/>
        <w:spacing w:line="360" w:lineRule="auto"/>
        <w:textAlignment w:val="auto"/>
        <w:rPr>
          <w:rFonts w:ascii="宋体" w:hAnsi="宋体" w:cs="宋体"/>
          <w:color w:val="auto"/>
          <w:kern w:val="0"/>
          <w:sz w:val="24"/>
        </w:rPr>
      </w:pPr>
      <w:r>
        <w:rPr>
          <w:rFonts w:hint="eastAsia" w:ascii="宋体" w:hAnsi="宋体" w:cs="宋体"/>
          <w:b/>
          <w:color w:val="auto"/>
          <w:sz w:val="32"/>
        </w:rPr>
        <w:t>二、评标标准</w:t>
      </w:r>
    </w:p>
    <w:p w14:paraId="28BC3B05">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kern w:val="0"/>
          <w:sz w:val="24"/>
        </w:rPr>
        <w:t>见评标办法前附表。</w:t>
      </w:r>
    </w:p>
    <w:p w14:paraId="10617F75">
      <w:pPr>
        <w:pageBreakBefore w:val="0"/>
        <w:kinsoku/>
        <w:wordWrap/>
        <w:overflowPunct/>
        <w:topLinePunct w:val="0"/>
        <w:autoSpaceDE/>
        <w:autoSpaceDN/>
        <w:bidi w:val="0"/>
        <w:adjustRightInd/>
        <w:snapToGrid/>
        <w:spacing w:line="360" w:lineRule="auto"/>
        <w:textAlignment w:val="auto"/>
        <w:outlineLvl w:val="0"/>
        <w:rPr>
          <w:rFonts w:ascii="宋体" w:hAnsi="宋体" w:cs="宋体"/>
          <w:b/>
          <w:color w:val="auto"/>
          <w:sz w:val="36"/>
          <w:szCs w:val="36"/>
        </w:rPr>
      </w:pPr>
      <w:r>
        <w:rPr>
          <w:rFonts w:hint="eastAsia" w:ascii="宋体" w:hAnsi="宋体" w:cs="宋体"/>
          <w:b/>
          <w:color w:val="auto"/>
          <w:sz w:val="36"/>
          <w:szCs w:val="36"/>
        </w:rPr>
        <w:t>三、评标程序</w:t>
      </w:r>
    </w:p>
    <w:p w14:paraId="12FA18B1">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14:paraId="2138F22D">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14:paraId="48C94ED6">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评标委员会各成员应当独立对每个投标人的商务和技术文件进行评价，并汇总商务技术得分情况。</w:t>
      </w:r>
    </w:p>
    <w:p w14:paraId="6AD2B6A1">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b/>
          <w:color w:val="auto"/>
          <w:kern w:val="0"/>
          <w:sz w:val="24"/>
        </w:rPr>
      </w:pPr>
      <w:r>
        <w:rPr>
          <w:rFonts w:hint="eastAsia" w:ascii="宋体" w:hAnsi="宋体" w:cs="宋体"/>
          <w:b/>
          <w:color w:val="auto"/>
          <w:kern w:val="0"/>
          <w:sz w:val="24"/>
        </w:rPr>
        <w:t>3.4报价评审。</w:t>
      </w:r>
    </w:p>
    <w:p w14:paraId="2ADDC355">
      <w:pPr>
        <w:pStyle w:val="131"/>
        <w:pageBreakBefore w:val="0"/>
        <w:kinsoku/>
        <w:wordWrap/>
        <w:overflowPunct/>
        <w:topLinePunct w:val="0"/>
        <w:autoSpaceDE/>
        <w:autoSpaceDN/>
        <w:bidi w:val="0"/>
        <w:adjustRightInd/>
        <w:snapToGrid/>
        <w:spacing w:before="0" w:line="360" w:lineRule="auto"/>
        <w:ind w:firstLine="508" w:firstLineChars="212"/>
        <w:textAlignment w:val="auto"/>
        <w:rPr>
          <w:rFonts w:ascii="宋体" w:hAnsi="宋体" w:cs="宋体"/>
          <w:color w:val="auto"/>
          <w:kern w:val="0"/>
        </w:rPr>
      </w:pPr>
      <w:r>
        <w:rPr>
          <w:rFonts w:hint="eastAsia" w:ascii="宋体" w:hAnsi="宋体" w:cs="宋体"/>
          <w:color w:val="auto"/>
          <w:kern w:val="0"/>
        </w:rPr>
        <w:t>3.4.1投标文件报价出现前后不一致的，按照下列规定修正：</w:t>
      </w:r>
    </w:p>
    <w:p w14:paraId="5E52DCB1">
      <w:pPr>
        <w:pStyle w:val="131"/>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eastAsia="宋体" w:cs="宋体"/>
          <w:color w:val="auto"/>
          <w:kern w:val="0"/>
          <w:szCs w:val="24"/>
          <w:lang w:eastAsia="zh-CN"/>
        </w:rPr>
      </w:pPr>
      <w:r>
        <w:rPr>
          <w:rFonts w:hint="eastAsia" w:ascii="宋体" w:hAnsi="宋体" w:cs="宋体"/>
          <w:color w:val="auto"/>
          <w:kern w:val="0"/>
          <w:szCs w:val="24"/>
        </w:rPr>
        <w:t>3.4.1.1投标文件中开标一览表(报价表)内容与投标文件中相应内容不一致的，以开标一览表(报价表)为准</w:t>
      </w:r>
      <w:r>
        <w:rPr>
          <w:rFonts w:hint="eastAsia" w:ascii="宋体" w:hAnsi="宋体" w:cs="宋体"/>
          <w:color w:val="auto"/>
          <w:kern w:val="0"/>
          <w:szCs w:val="24"/>
          <w:lang w:eastAsia="zh-CN"/>
        </w:rPr>
        <w:t>；</w:t>
      </w:r>
    </w:p>
    <w:p w14:paraId="46F81DB3">
      <w:pPr>
        <w:pStyle w:val="131"/>
        <w:keepNext w:val="0"/>
        <w:keepLines w:val="0"/>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eastAsia="宋体" w:cs="宋体"/>
          <w:color w:val="auto"/>
          <w:kern w:val="0"/>
          <w:szCs w:val="24"/>
          <w:lang w:eastAsia="zh-CN"/>
        </w:rPr>
      </w:pPr>
      <w:r>
        <w:rPr>
          <w:rFonts w:hint="eastAsia" w:ascii="宋体" w:hAnsi="宋体" w:cs="宋体"/>
          <w:color w:val="auto"/>
          <w:kern w:val="0"/>
          <w:szCs w:val="24"/>
        </w:rPr>
        <w:t>3.4.1.2大写金额和小写金额不一致的，以大写金额为准</w:t>
      </w:r>
      <w:r>
        <w:rPr>
          <w:rFonts w:hint="eastAsia" w:ascii="宋体" w:hAnsi="宋体" w:cs="宋体"/>
          <w:color w:val="auto"/>
          <w:kern w:val="0"/>
          <w:szCs w:val="24"/>
          <w:lang w:eastAsia="zh-CN"/>
        </w:rPr>
        <w:t>；</w:t>
      </w:r>
    </w:p>
    <w:p w14:paraId="0951568F">
      <w:pPr>
        <w:pStyle w:val="131"/>
        <w:keepNext w:val="0"/>
        <w:keepLines w:val="0"/>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eastAsia="宋体" w:cs="宋体"/>
          <w:color w:val="auto"/>
          <w:kern w:val="0"/>
          <w:szCs w:val="24"/>
          <w:lang w:eastAsia="zh-CN"/>
        </w:rPr>
      </w:pPr>
      <w:r>
        <w:rPr>
          <w:rFonts w:hint="eastAsia" w:ascii="宋体" w:hAnsi="宋体" w:cs="宋体"/>
          <w:color w:val="auto"/>
          <w:kern w:val="0"/>
          <w:szCs w:val="24"/>
        </w:rPr>
        <w:t>3.4.1.3单价金额小数点或者百分比有明显错位的，以开标一览表的总价为准，并修改单价</w:t>
      </w:r>
      <w:r>
        <w:rPr>
          <w:rFonts w:hint="eastAsia" w:ascii="宋体" w:hAnsi="宋体" w:cs="宋体"/>
          <w:color w:val="auto"/>
          <w:kern w:val="0"/>
          <w:szCs w:val="24"/>
          <w:lang w:eastAsia="zh-CN"/>
        </w:rPr>
        <w:t>；</w:t>
      </w:r>
    </w:p>
    <w:p w14:paraId="4FF843C4">
      <w:pPr>
        <w:pStyle w:val="131"/>
        <w:keepNext w:val="0"/>
        <w:keepLines w:val="0"/>
        <w:pageBreakBefore w:val="0"/>
        <w:kinsoku/>
        <w:wordWrap/>
        <w:overflowPunct/>
        <w:topLinePunct w:val="0"/>
        <w:autoSpaceDE/>
        <w:autoSpaceDN/>
        <w:bidi w:val="0"/>
        <w:adjustRightInd/>
        <w:snapToGrid/>
        <w:spacing w:before="0" w:line="360" w:lineRule="auto"/>
        <w:ind w:firstLine="480"/>
        <w:textAlignment w:val="auto"/>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14:paraId="3F292A04">
      <w:pPr>
        <w:pStyle w:val="131"/>
        <w:keepNext w:val="0"/>
        <w:keepLines w:val="0"/>
        <w:pageBreakBefore w:val="0"/>
        <w:kinsoku/>
        <w:wordWrap/>
        <w:overflowPunct/>
        <w:topLinePunct w:val="0"/>
        <w:autoSpaceDE/>
        <w:autoSpaceDN/>
        <w:bidi w:val="0"/>
        <w:adjustRightInd/>
        <w:snapToGrid/>
        <w:spacing w:before="0" w:line="360" w:lineRule="auto"/>
        <w:ind w:firstLine="480"/>
        <w:textAlignment w:val="auto"/>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0AE16F0A">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line="360" w:lineRule="auto"/>
        <w:ind w:firstLine="240" w:firstLineChars="10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rPr>
        <w:t>3.4.2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r>
        <w:rPr>
          <w:rFonts w:hint="eastAsia" w:ascii="宋体" w:hAnsi="宋体" w:cs="宋体"/>
          <w:b/>
          <w:bCs/>
          <w:i/>
          <w:iCs/>
          <w:caps w:val="0"/>
          <w:color w:val="auto"/>
          <w:spacing w:val="0"/>
          <w:w w:val="100"/>
          <w:kern w:val="0"/>
          <w:sz w:val="24"/>
          <w:szCs w:val="24"/>
          <w:highlight w:val="none"/>
          <w:shd w:val="clear" w:fill="FFFFFF"/>
          <w:vertAlign w:val="baseline"/>
          <w:lang w:val="en-US" w:eastAsia="zh-CN" w:bidi="ar"/>
        </w:rPr>
        <w:t>（本项目不适用该条款）</w:t>
      </w:r>
    </w:p>
    <w:p w14:paraId="20BC8D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360" w:lineRule="auto"/>
        <w:ind w:left="0" w:right="0" w:firstLine="641"/>
        <w:jc w:val="both"/>
        <w:textAlignment w:val="baseline"/>
        <w:rPr>
          <w:rFonts w:ascii="宋体" w:hAnsi="宋体" w:cs="宋体"/>
          <w:color w:val="auto"/>
          <w:kern w:val="0"/>
          <w:sz w:val="24"/>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480F0D">
      <w:pPr>
        <w:pStyle w:val="131"/>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rPr>
        <w:t>3.4.</w:t>
      </w:r>
      <w:r>
        <w:rPr>
          <w:rFonts w:hint="eastAsia" w:ascii="宋体" w:hAnsi="宋体" w:cs="宋体"/>
          <w:color w:val="auto"/>
          <w:kern w:val="0"/>
          <w:szCs w:val="24"/>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921CCBC">
      <w:pPr>
        <w:pStyle w:val="131"/>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cs="宋体"/>
          <w:color w:val="auto"/>
          <w:kern w:val="0"/>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3B5FA5FB">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3.5排序与推荐。</w:t>
      </w:r>
      <w:r>
        <w:rPr>
          <w:rFonts w:hint="eastAsia" w:ascii="宋体" w:hAnsi="宋体" w:cs="宋体"/>
          <w:color w:val="auto"/>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b/>
          <w:bCs/>
          <w:color w:val="auto"/>
          <w:kern w:val="0"/>
          <w:sz w:val="24"/>
          <w:highlight w:val="none"/>
          <w:lang w:val="en" w:eastAsia="zh-CN"/>
        </w:rPr>
        <w:t>本项目推荐的中标候选人数量：</w:t>
      </w:r>
      <w:r>
        <w:rPr>
          <w:rFonts w:hint="eastAsia" w:ascii="宋体" w:hAnsi="宋体" w:cs="宋体"/>
          <w:b/>
          <w:bCs/>
          <w:color w:val="auto"/>
          <w:kern w:val="0"/>
          <w:sz w:val="24"/>
          <w:highlight w:val="none"/>
          <w:u w:val="single"/>
          <w:lang w:val="en-US" w:eastAsia="zh-CN"/>
        </w:rPr>
        <w:t xml:space="preserve"> 1名 </w:t>
      </w:r>
      <w:r>
        <w:rPr>
          <w:rFonts w:hint="eastAsia" w:ascii="宋体" w:hAnsi="宋体" w:cs="宋体"/>
          <w:b/>
          <w:bCs/>
          <w:color w:val="auto"/>
          <w:kern w:val="0"/>
          <w:sz w:val="24"/>
          <w:highlight w:val="none"/>
          <w:lang w:val="en" w:eastAsia="zh-CN"/>
        </w:rPr>
        <w:t>。</w:t>
      </w:r>
    </w:p>
    <w:p w14:paraId="46581A93">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5D1964E">
      <w:pPr>
        <w:pageBreakBefore w:val="0"/>
        <w:kinsoku/>
        <w:wordWrap/>
        <w:overflowPunct/>
        <w:topLinePunct w:val="0"/>
        <w:autoSpaceDE/>
        <w:autoSpaceDN/>
        <w:bidi w:val="0"/>
        <w:adjustRightInd/>
        <w:snapToGrid/>
        <w:spacing w:line="360" w:lineRule="auto"/>
        <w:ind w:firstLine="472" w:firstLineChars="196"/>
        <w:textAlignment w:val="auto"/>
        <w:rPr>
          <w:rFonts w:ascii="宋体" w:hAnsi="宋体" w:cs="宋体"/>
          <w:color w:val="auto"/>
          <w:kern w:val="0"/>
          <w:sz w:val="24"/>
        </w:rPr>
      </w:pPr>
      <w:r>
        <w:rPr>
          <w:rFonts w:hint="eastAsia" w:ascii="宋体" w:hAnsi="宋体" w:cs="宋体"/>
          <w:b/>
          <w:color w:val="auto"/>
          <w:kern w:val="0"/>
          <w:sz w:val="24"/>
        </w:rPr>
        <w:t>3.6编写评标报告。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4C6DA2A">
      <w:pPr>
        <w:pageBreakBefore w:val="0"/>
        <w:widowControl/>
        <w:shd w:val="clear" w:color="auto" w:fill="FFFFFF"/>
        <w:kinsoku/>
        <w:wordWrap/>
        <w:overflowPunct/>
        <w:topLinePunct w:val="0"/>
        <w:autoSpaceDE/>
        <w:autoSpaceDN/>
        <w:bidi w:val="0"/>
        <w:adjustRightInd/>
        <w:snapToGrid/>
        <w:spacing w:line="360" w:lineRule="auto"/>
        <w:jc w:val="left"/>
        <w:textAlignment w:val="auto"/>
        <w:rPr>
          <w:rFonts w:ascii="宋体" w:hAnsi="宋体" w:cs="宋体"/>
          <w:b/>
          <w:color w:val="auto"/>
          <w:sz w:val="32"/>
        </w:rPr>
      </w:pPr>
      <w:r>
        <w:rPr>
          <w:rFonts w:hint="eastAsia" w:ascii="宋体" w:hAnsi="宋体" w:cs="宋体"/>
          <w:b/>
          <w:color w:val="auto"/>
          <w:sz w:val="32"/>
        </w:rPr>
        <w:t>四、评标中的其他事项</w:t>
      </w:r>
    </w:p>
    <w:p w14:paraId="765E7819">
      <w:pPr>
        <w:pStyle w:val="131"/>
        <w:pageBreakBefore w:val="0"/>
        <w:kinsoku/>
        <w:wordWrap/>
        <w:overflowPunct/>
        <w:topLinePunct w:val="0"/>
        <w:autoSpaceDE/>
        <w:autoSpaceDN/>
        <w:bidi w:val="0"/>
        <w:adjustRightInd/>
        <w:snapToGrid/>
        <w:spacing w:before="0" w:line="360" w:lineRule="auto"/>
        <w:ind w:firstLine="472" w:firstLineChars="196"/>
        <w:textAlignment w:val="auto"/>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0856FA22">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4.2.7投标报价超过招标文件中规定的预算金额或者最高限价的</w:t>
      </w:r>
      <w:r>
        <w:rPr>
          <w:rFonts w:hint="eastAsia" w:ascii="宋体" w:hAnsi="宋体" w:cs="宋体"/>
          <w:color w:val="auto"/>
          <w:kern w:val="0"/>
          <w:sz w:val="24"/>
          <w:highlight w:val="none"/>
          <w:lang w:val="en-US" w:eastAsia="zh-CN"/>
        </w:rPr>
        <w:t>或</w:t>
      </w:r>
      <w:r>
        <w:rPr>
          <w:rFonts w:hint="eastAsia" w:ascii="宋体" w:hAnsi="宋体" w:cs="宋体"/>
          <w:b/>
          <w:bCs/>
          <w:color w:val="auto"/>
          <w:kern w:val="0"/>
          <w:sz w:val="24"/>
          <w:highlight w:val="none"/>
          <w:lang w:val="en-US" w:eastAsia="zh-CN"/>
        </w:rPr>
        <w:t>招标文件写明的单次检查最高限价</w:t>
      </w:r>
      <w:r>
        <w:rPr>
          <w:rFonts w:hint="eastAsia" w:ascii="宋体" w:hAnsi="宋体" w:cs="宋体"/>
          <w:color w:val="auto"/>
          <w:kern w:val="0"/>
          <w:sz w:val="24"/>
          <w:highlight w:val="none"/>
          <w:lang w:eastAsia="zh-CN"/>
        </w:rPr>
        <w:t>；</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57175583">
      <w:pPr>
        <w:spacing w:line="360" w:lineRule="auto"/>
        <w:ind w:firstLine="480" w:firstLineChars="200"/>
        <w:rPr>
          <w:rFonts w:hint="default" w:ascii="宋体" w:hAnsi="宋体" w:cs="宋体"/>
          <w:i/>
          <w:iCs/>
          <w:color w:val="auto"/>
          <w:kern w:val="0"/>
          <w:sz w:val="24"/>
          <w:highlight w:val="none"/>
          <w:lang w:val="en-US" w:eastAsia="zh-CN"/>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r>
        <w:rPr>
          <w:rFonts w:hint="eastAsia" w:ascii="宋体" w:hAnsi="宋体" w:cs="宋体"/>
          <w:b/>
          <w:bCs/>
          <w:i/>
          <w:iCs/>
          <w:caps w:val="0"/>
          <w:color w:val="auto"/>
          <w:spacing w:val="0"/>
          <w:w w:val="100"/>
          <w:kern w:val="0"/>
          <w:sz w:val="24"/>
          <w:szCs w:val="24"/>
          <w:highlight w:val="none"/>
          <w:shd w:val="clear" w:fill="FFFFFF"/>
          <w:vertAlign w:val="baseline"/>
          <w:lang w:val="en-US" w:eastAsia="zh-CN" w:bidi="ar"/>
        </w:rPr>
        <w:t>（本项目不适用该条款）</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lang w:val="en-US" w:eastAsia="zh-CN"/>
        </w:rPr>
        <w:t>4.2.10</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 xml:space="preserve">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33FDA895">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14:paraId="2FA02100">
      <w:pPr>
        <w:pStyle w:val="6"/>
        <w:pageBreakBefore w:val="0"/>
        <w:kinsoku/>
        <w:wordWrap/>
        <w:overflowPunct/>
        <w:topLinePunct w:val="0"/>
        <w:autoSpaceDE/>
        <w:autoSpaceDN/>
        <w:bidi w:val="0"/>
        <w:adjustRightInd/>
        <w:snapToGrid/>
        <w:spacing w:line="360" w:lineRule="auto"/>
        <w:ind w:firstLine="472" w:firstLineChars="196"/>
        <w:textAlignment w:val="auto"/>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14:paraId="1E9E1A77">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5.1符合专业条件的供应商或者对招标文件作实质响应的供应商不足3家的；</w:t>
      </w:r>
    </w:p>
    <w:p w14:paraId="44B4FE9D">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5.2出现影响采购公正的违法、违规行为的；</w:t>
      </w:r>
    </w:p>
    <w:p w14:paraId="65A7A2E6">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5.3投标人的报价均超过了采购预算，采购人不能支付的；</w:t>
      </w:r>
    </w:p>
    <w:p w14:paraId="5605D4C5">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5.4因重大变故，采购任务取消的。</w:t>
      </w:r>
    </w:p>
    <w:p w14:paraId="084A4F3B">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废标后，</w:t>
      </w:r>
      <w:r>
        <w:rPr>
          <w:rFonts w:hint="eastAsia" w:cs="宋体"/>
          <w:color w:val="auto"/>
          <w:lang w:eastAsia="zh-CN"/>
        </w:rPr>
        <w:t>采购代理机构</w:t>
      </w:r>
      <w:r>
        <w:rPr>
          <w:rFonts w:hint="eastAsia" w:cs="宋体"/>
          <w:color w:val="auto"/>
        </w:rPr>
        <w:t>应当将废标理由通知所有投标人。</w:t>
      </w:r>
    </w:p>
    <w:p w14:paraId="4846DFD1">
      <w:pPr>
        <w:pStyle w:val="6"/>
        <w:pageBreakBefore w:val="0"/>
        <w:kinsoku/>
        <w:wordWrap/>
        <w:overflowPunct/>
        <w:topLinePunct w:val="0"/>
        <w:autoSpaceDE/>
        <w:autoSpaceDN/>
        <w:bidi w:val="0"/>
        <w:adjustRightInd/>
        <w:snapToGrid/>
        <w:spacing w:line="360" w:lineRule="auto"/>
        <w:ind w:firstLine="590" w:firstLineChars="245"/>
        <w:textAlignment w:val="auto"/>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w:t>
      </w:r>
      <w:r>
        <w:rPr>
          <w:rFonts w:hint="eastAsia" w:cs="宋体"/>
          <w:color w:val="auto"/>
          <w:lang w:eastAsia="zh-CN"/>
        </w:rPr>
        <w:t>采购代理机构</w:t>
      </w:r>
      <w:r>
        <w:rPr>
          <w:rFonts w:hint="eastAsia" w:cs="宋体"/>
          <w:color w:val="auto"/>
        </w:rPr>
        <w:t>沟通并作书面记录。采购人、</w:t>
      </w:r>
      <w:r>
        <w:rPr>
          <w:rFonts w:hint="eastAsia" w:cs="宋体"/>
          <w:color w:val="auto"/>
          <w:lang w:eastAsia="zh-CN"/>
        </w:rPr>
        <w:t>采购代理机构</w:t>
      </w:r>
      <w:r>
        <w:rPr>
          <w:rFonts w:hint="eastAsia" w:cs="宋体"/>
          <w:color w:val="auto"/>
        </w:rPr>
        <w:t>确认后，将修改招标文件，重新组织采购活动。</w:t>
      </w:r>
    </w:p>
    <w:p w14:paraId="0AEDA061">
      <w:pPr>
        <w:pStyle w:val="6"/>
        <w:pageBreakBefore w:val="0"/>
        <w:kinsoku/>
        <w:wordWrap/>
        <w:overflowPunct/>
        <w:topLinePunct w:val="0"/>
        <w:autoSpaceDE/>
        <w:autoSpaceDN/>
        <w:bidi w:val="0"/>
        <w:adjustRightInd/>
        <w:snapToGrid/>
        <w:spacing w:line="360" w:lineRule="auto"/>
        <w:ind w:firstLine="482"/>
        <w:textAlignment w:val="auto"/>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14:paraId="6117FB7E">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7.1未确定中标供应商的，终止本次政府采购活动，重新开展政府采购活动。</w:t>
      </w:r>
    </w:p>
    <w:p w14:paraId="711A6C9E">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7.2已确定中标供应商但尚未签订政府采购合同的，中标结果无效，从合格的中标候选人中另行确定中标供应商；没有合格的中标候选人的，重新开展政府采购活动。</w:t>
      </w:r>
    </w:p>
    <w:p w14:paraId="484D0550">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7.3政府采购合同已签订但尚未履行的，撤销合同，从合格的中标候选人中另行确定中标供应商；没有合格的中标候选人的，重新开展政府采购活动。</w:t>
      </w:r>
    </w:p>
    <w:p w14:paraId="26406D5B">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7.4政府采购合同已经履行，给采购人、供应商造成损失的，由责任人承担赔偿责任。</w:t>
      </w:r>
    </w:p>
    <w:p w14:paraId="488206E3">
      <w:pPr>
        <w:pStyle w:val="6"/>
        <w:pageBreakBefore w:val="0"/>
        <w:kinsoku/>
        <w:wordWrap/>
        <w:overflowPunct/>
        <w:topLinePunct w:val="0"/>
        <w:autoSpaceDE/>
        <w:autoSpaceDN/>
        <w:bidi w:val="0"/>
        <w:adjustRightInd/>
        <w:snapToGrid/>
        <w:spacing w:line="360" w:lineRule="auto"/>
        <w:textAlignment w:val="auto"/>
        <w:rPr>
          <w:rFonts w:cs="宋体"/>
          <w:color w:val="auto"/>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p>
    <w:p w14:paraId="6B011BD5">
      <w:pPr>
        <w:pStyle w:val="6"/>
        <w:snapToGrid w:val="0"/>
        <w:spacing w:line="360" w:lineRule="auto"/>
        <w:ind w:firstLine="0" w:firstLineChars="0"/>
        <w:rPr>
          <w:rFonts w:cs="宋体"/>
          <w:color w:val="auto"/>
        </w:rPr>
      </w:pPr>
    </w:p>
    <w:p w14:paraId="6A176951">
      <w:pPr>
        <w:rPr>
          <w:rFonts w:hint="eastAsia" w:ascii="宋体" w:hAnsi="宋体" w:cs="宋体"/>
          <w:b/>
          <w:color w:val="auto"/>
          <w:sz w:val="36"/>
          <w:szCs w:val="36"/>
        </w:rPr>
      </w:pPr>
      <w:r>
        <w:rPr>
          <w:rFonts w:hint="eastAsia" w:ascii="宋体" w:hAnsi="宋体" w:cs="宋体"/>
          <w:b/>
          <w:color w:val="auto"/>
          <w:sz w:val="36"/>
          <w:szCs w:val="36"/>
        </w:rPr>
        <w:br w:type="page"/>
      </w:r>
    </w:p>
    <w:p w14:paraId="1B5DC343">
      <w:pPr>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第五部分</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拟签订的合同文本</w:t>
      </w:r>
    </w:p>
    <w:p w14:paraId="019EC3F6">
      <w:pPr>
        <w:pStyle w:val="32"/>
        <w:keepNext w:val="0"/>
        <w:keepLines w:val="0"/>
        <w:pageBreakBefore w:val="0"/>
        <w:widowControl w:val="0"/>
        <w:shd w:val="clear" w:color="auto" w:fill="FFFFFF"/>
        <w:kinsoku/>
        <w:wordWrap/>
        <w:overflowPunct/>
        <w:topLinePunct w:val="0"/>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（最终稿由双方协商后确定）</w:t>
      </w:r>
    </w:p>
    <w:p w14:paraId="7815EEBF">
      <w:pPr>
        <w:keepNext w:val="0"/>
        <w:keepLines w:val="0"/>
        <w:pageBreakBefore w:val="0"/>
        <w:widowControl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（备注：采购文件中仅列出合同主要条款，合同文本格式和内容最终以双方签字确认盖章的为准。</w:t>
      </w:r>
    </w:p>
    <w:p w14:paraId="44DF4D69">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采购合同</w:t>
      </w:r>
    </w:p>
    <w:p w14:paraId="09DECFA7">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w:t>
      </w:r>
    </w:p>
    <w:p w14:paraId="6EF622A1">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724AE31C">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1、合同签订的依据</w:t>
      </w:r>
    </w:p>
    <w:p w14:paraId="051A9A0B">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1.1《中华人民共和国民法典》</w:t>
      </w:r>
    </w:p>
    <w:p w14:paraId="2CAFE91C">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1.2国家、省及行业主管部门相关的法规和规章</w:t>
      </w:r>
    </w:p>
    <w:p w14:paraId="3DFEA2B7">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1.3本采购文件及补充（答疑）文件</w:t>
      </w:r>
    </w:p>
    <w:p w14:paraId="6EB7F42D">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1.4响应文件</w:t>
      </w:r>
    </w:p>
    <w:p w14:paraId="7D5C182D">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2、技术服务内容的约定：</w:t>
      </w:r>
    </w:p>
    <w:p w14:paraId="3784E7E0">
      <w:pPr>
        <w:keepNext w:val="0"/>
        <w:keepLines w:val="0"/>
        <w:pageBreakBefore w:val="0"/>
        <w:widowControl w:val="0"/>
        <w:tabs>
          <w:tab w:val="left" w:pos="360"/>
          <w:tab w:val="left" w:pos="540"/>
        </w:tabs>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2.1根据《杭州市安全生产社会化服务指南（试行）》要求，乙方在开展安全生产社会化服务活动前应当完成“</w:t>
      </w:r>
      <w:r>
        <w:rPr>
          <w:rFonts w:hint="eastAsia" w:ascii="宋体" w:hAnsi="宋体" w:cs="宋体"/>
          <w:sz w:val="24"/>
          <w:szCs w:val="24"/>
          <w:highlight w:val="none"/>
          <w:lang w:eastAsia="zh-CN"/>
        </w:rPr>
        <w:t>浙江省工业企业安全在线系统</w:t>
      </w:r>
      <w:r>
        <w:rPr>
          <w:rFonts w:hint="eastAsia" w:ascii="宋体" w:hAnsi="宋体" w:eastAsia="宋体" w:cs="宋体"/>
          <w:sz w:val="24"/>
          <w:szCs w:val="24"/>
          <w:highlight w:val="none"/>
        </w:rPr>
        <w:t>”（以下简称服务机构管理系统）注册并录入相关信息，向属地应急管理部门进行从业告知。</w:t>
      </w:r>
    </w:p>
    <w:p w14:paraId="64A329F8">
      <w:pPr>
        <w:keepNext w:val="0"/>
        <w:keepLines w:val="0"/>
        <w:pageBreakBefore w:val="0"/>
        <w:kinsoku/>
        <w:wordWrap/>
        <w:overflowPunct/>
        <w:topLinePunct w:val="0"/>
        <w:bidi w:val="0"/>
        <w:adjustRightInd/>
        <w:snapToGrid/>
        <w:spacing w:line="360" w:lineRule="auto"/>
        <w:ind w:firstLine="453" w:firstLineChars="18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按照省市区关于安全生产监管要求对高新区企业进行202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年度安全生产隐患排查。检查频次</w:t>
      </w:r>
      <w:r>
        <w:rPr>
          <w:rFonts w:hint="eastAsia" w:ascii="宋体" w:hAnsi="宋体" w:cs="宋体"/>
          <w:sz w:val="24"/>
          <w:szCs w:val="24"/>
          <w:highlight w:val="none"/>
          <w:lang w:val="en-US" w:eastAsia="zh-CN"/>
        </w:rPr>
        <w:t>原则上</w:t>
      </w:r>
      <w:r>
        <w:rPr>
          <w:rFonts w:hint="eastAsia" w:ascii="宋体" w:hAnsi="宋体" w:eastAsia="宋体" w:cs="宋体"/>
          <w:sz w:val="24"/>
          <w:szCs w:val="24"/>
          <w:highlight w:val="none"/>
          <w:lang w:val="en-US" w:eastAsia="zh-CN"/>
        </w:rPr>
        <w:t>每个园中园及在建工地一年不少于二次全面检查（</w:t>
      </w:r>
      <w:r>
        <w:rPr>
          <w:rFonts w:hint="eastAsia" w:ascii="宋体" w:hAnsi="宋体" w:cs="宋体"/>
          <w:sz w:val="24"/>
          <w:szCs w:val="24"/>
          <w:highlight w:val="none"/>
          <w:lang w:val="en-US" w:eastAsia="zh-CN"/>
        </w:rPr>
        <w:t>含</w:t>
      </w:r>
      <w:r>
        <w:rPr>
          <w:rFonts w:hint="eastAsia" w:ascii="宋体" w:hAnsi="宋体" w:eastAsia="宋体" w:cs="宋体"/>
          <w:sz w:val="24"/>
          <w:szCs w:val="24"/>
          <w:highlight w:val="none"/>
          <w:lang w:val="en-US" w:eastAsia="zh-CN"/>
        </w:rPr>
        <w:t>各园中园</w:t>
      </w:r>
      <w:r>
        <w:rPr>
          <w:rFonts w:hint="eastAsia" w:ascii="宋体" w:hAnsi="宋体" w:cs="宋体"/>
          <w:sz w:val="24"/>
          <w:szCs w:val="24"/>
          <w:highlight w:val="none"/>
          <w:lang w:val="en-US" w:eastAsia="zh-CN"/>
        </w:rPr>
        <w:t>内</w:t>
      </w:r>
      <w:r>
        <w:rPr>
          <w:rFonts w:hint="eastAsia" w:ascii="宋体" w:hAnsi="宋体" w:eastAsia="宋体" w:cs="宋体"/>
          <w:sz w:val="24"/>
          <w:szCs w:val="24"/>
          <w:highlight w:val="none"/>
          <w:lang w:val="en-US" w:eastAsia="zh-CN"/>
        </w:rPr>
        <w:t>生产加工、仓储、寄递、危化品、餐饮等重点企业单位</w:t>
      </w:r>
      <w:r>
        <w:rPr>
          <w:rFonts w:hint="eastAsia" w:ascii="宋体" w:hAnsi="宋体" w:cs="宋体"/>
          <w:sz w:val="24"/>
          <w:szCs w:val="24"/>
          <w:highlight w:val="none"/>
          <w:lang w:val="en-US" w:eastAsia="zh-CN"/>
        </w:rPr>
        <w:t>，包括二次全面检查（含复查、培训教育、服务指导）以外的省市区各专项行动检查</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计划检查园中园（厂中厂）约</w:t>
      </w:r>
      <w:r>
        <w:rPr>
          <w:rFonts w:hint="eastAsia" w:ascii="宋体" w:hAnsi="宋体" w:cs="宋体"/>
          <w:sz w:val="24"/>
          <w:szCs w:val="24"/>
          <w:highlight w:val="none"/>
          <w:lang w:val="en-US" w:eastAsia="zh-CN"/>
        </w:rPr>
        <w:t>89家</w:t>
      </w:r>
      <w:r>
        <w:rPr>
          <w:rFonts w:hint="eastAsia" w:ascii="宋体" w:hAnsi="宋体" w:eastAsia="宋体" w:cs="宋体"/>
          <w:sz w:val="24"/>
          <w:szCs w:val="24"/>
          <w:highlight w:val="none"/>
          <w:lang w:val="en-US" w:eastAsia="zh-CN"/>
        </w:rPr>
        <w:t>，在建工地约</w:t>
      </w:r>
      <w:r>
        <w:rPr>
          <w:rFonts w:hint="eastAsia" w:ascii="宋体" w:hAnsi="宋体" w:cs="宋体"/>
          <w:sz w:val="24"/>
          <w:szCs w:val="24"/>
          <w:highlight w:val="none"/>
          <w:lang w:val="en-US" w:eastAsia="zh-CN"/>
        </w:rPr>
        <w:t>21家</w:t>
      </w:r>
      <w:r>
        <w:rPr>
          <w:rFonts w:hint="eastAsia" w:ascii="宋体" w:hAnsi="宋体" w:eastAsia="宋体" w:cs="宋体"/>
          <w:sz w:val="24"/>
          <w:szCs w:val="24"/>
          <w:highlight w:val="none"/>
          <w:lang w:val="en-US" w:eastAsia="zh-CN"/>
        </w:rPr>
        <w:t>，生产加工、寄递、危化品等单位专项检查约</w:t>
      </w:r>
      <w:r>
        <w:rPr>
          <w:rFonts w:hint="eastAsia" w:ascii="宋体" w:hAnsi="宋体" w:cs="宋体"/>
          <w:sz w:val="24"/>
          <w:szCs w:val="24"/>
          <w:highlight w:val="none"/>
          <w:lang w:val="en-US" w:eastAsia="zh-CN"/>
        </w:rPr>
        <w:t>214</w:t>
      </w:r>
      <w:r>
        <w:rPr>
          <w:rFonts w:hint="eastAsia" w:ascii="宋体" w:hAnsi="宋体" w:eastAsia="宋体" w:cs="宋体"/>
          <w:sz w:val="24"/>
          <w:szCs w:val="24"/>
          <w:highlight w:val="none"/>
          <w:lang w:val="en-US" w:eastAsia="zh-CN"/>
        </w:rPr>
        <w:t>家（</w:t>
      </w:r>
      <w:r>
        <w:rPr>
          <w:rFonts w:hint="eastAsia" w:ascii="宋体" w:hAnsi="宋体" w:cs="宋体"/>
          <w:sz w:val="24"/>
          <w:szCs w:val="24"/>
          <w:highlight w:val="none"/>
          <w:lang w:val="en-US" w:eastAsia="zh-CN"/>
        </w:rPr>
        <w:t>具体</w:t>
      </w:r>
      <w:r>
        <w:rPr>
          <w:rFonts w:hint="eastAsia" w:ascii="宋体" w:hAnsi="宋体" w:eastAsia="宋体" w:cs="宋体"/>
          <w:sz w:val="24"/>
          <w:szCs w:val="24"/>
          <w:highlight w:val="none"/>
          <w:lang w:val="en-US" w:eastAsia="zh-CN"/>
        </w:rPr>
        <w:t>根据实际情况决定）。</w:t>
      </w:r>
      <w:r>
        <w:rPr>
          <w:rFonts w:hint="eastAsia" w:ascii="宋体" w:hAnsi="宋体" w:eastAsia="宋体" w:cs="宋体"/>
          <w:color w:val="auto"/>
          <w:sz w:val="24"/>
          <w:szCs w:val="24"/>
          <w:highlight w:val="none"/>
          <w:lang w:val="en-US" w:eastAsia="zh-CN"/>
        </w:rPr>
        <w:t>包含全面检查记录、汇总整理、</w:t>
      </w:r>
      <w:r>
        <w:rPr>
          <w:rFonts w:hint="eastAsia" w:ascii="宋体" w:hAnsi="宋体" w:cs="宋体"/>
          <w:color w:val="auto"/>
          <w:sz w:val="24"/>
          <w:szCs w:val="24"/>
          <w:highlight w:val="none"/>
          <w:lang w:val="en-US" w:eastAsia="zh-CN"/>
        </w:rPr>
        <w:t>宣传教育、业务</w:t>
      </w:r>
      <w:r>
        <w:rPr>
          <w:rFonts w:hint="eastAsia" w:ascii="宋体" w:hAnsi="宋体" w:eastAsia="宋体" w:cs="宋体"/>
          <w:color w:val="auto"/>
          <w:sz w:val="24"/>
          <w:szCs w:val="24"/>
          <w:highlight w:val="none"/>
          <w:lang w:val="en-US" w:eastAsia="zh-CN"/>
        </w:rPr>
        <w:t>培训、指导服务</w:t>
      </w:r>
      <w:r>
        <w:rPr>
          <w:rFonts w:hint="eastAsia" w:ascii="宋体" w:hAnsi="宋体" w:cs="宋体"/>
          <w:color w:val="auto"/>
          <w:sz w:val="24"/>
          <w:szCs w:val="24"/>
          <w:highlight w:val="none"/>
          <w:lang w:val="en-US" w:eastAsia="zh-CN"/>
        </w:rPr>
        <w:t>、应急演练组织策划</w:t>
      </w:r>
      <w:r>
        <w:rPr>
          <w:rFonts w:hint="eastAsia" w:ascii="宋体" w:hAnsi="宋体" w:eastAsia="宋体" w:cs="宋体"/>
          <w:color w:val="auto"/>
          <w:sz w:val="24"/>
          <w:szCs w:val="24"/>
          <w:highlight w:val="none"/>
          <w:lang w:val="en-US" w:eastAsia="zh-CN"/>
        </w:rPr>
        <w:t>及工业</w:t>
      </w:r>
      <w:r>
        <w:rPr>
          <w:rFonts w:hint="eastAsia" w:ascii="宋体" w:hAnsi="宋体" w:eastAsia="宋体" w:cs="宋体"/>
          <w:sz w:val="24"/>
          <w:szCs w:val="24"/>
          <w:highlight w:val="none"/>
          <w:lang w:val="en-US" w:eastAsia="zh-CN"/>
        </w:rPr>
        <w:t>企业在线系统录入工作等。</w:t>
      </w:r>
      <w:r>
        <w:rPr>
          <w:rFonts w:hint="eastAsia" w:ascii="宋体" w:hAnsi="宋体" w:eastAsia="宋体" w:cs="宋体"/>
          <w:sz w:val="24"/>
          <w:szCs w:val="24"/>
          <w:highlight w:val="none"/>
        </w:rPr>
        <w:t>每年安排两次全面检查或宣传教育、业务培训、指导服务、应急演练组织策划等形式及内容，如特殊情况，在检查企业数不足，且在服务外包总费用内的，可适时增加检查次数或专项检查</w:t>
      </w:r>
      <w:r>
        <w:rPr>
          <w:rFonts w:hint="eastAsia" w:ascii="宋体" w:hAnsi="宋体" w:cs="宋体"/>
          <w:sz w:val="24"/>
          <w:szCs w:val="24"/>
          <w:highlight w:val="none"/>
          <w:lang w:eastAsia="zh-CN"/>
        </w:rPr>
        <w:t>，如检查企业纳入省市区相关部门检查的，将不纳入检查范围（具体根据上级部门要求）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同时根据省市区专项行动要求适时开展专项检查，并要求服务外包单位提供每次检查全面分析报告</w:t>
      </w:r>
      <w:r>
        <w:rPr>
          <w:rFonts w:hint="eastAsia" w:ascii="宋体" w:hAnsi="宋体" w:eastAsia="宋体" w:cs="宋体"/>
          <w:sz w:val="24"/>
          <w:szCs w:val="24"/>
          <w:highlight w:val="none"/>
        </w:rPr>
        <w:t>。检查过程各专委办以及网格员全程参与，并督促企业做好整改闭环。</w:t>
      </w:r>
    </w:p>
    <w:p w14:paraId="19863702">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2.3乙方在响应时承诺的相关内容。</w:t>
      </w:r>
    </w:p>
    <w:p w14:paraId="309F2F83">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3、服务期</w:t>
      </w:r>
    </w:p>
    <w:p w14:paraId="5C21F557">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3.1本项目服务期为一年（    年  月   日-    年   月   日）或乙方服务费用到</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rPr>
        <w:t>万元止，服务期到期，合同终止</w:t>
      </w:r>
      <w:r>
        <w:rPr>
          <w:rFonts w:hint="eastAsia" w:ascii="宋体" w:hAnsi="宋体" w:eastAsia="宋体" w:cs="宋体"/>
          <w:sz w:val="24"/>
          <w:szCs w:val="24"/>
          <w:highlight w:val="none"/>
          <w:lang w:val="en-US" w:eastAsia="zh-CN"/>
        </w:rPr>
        <w:t>.</w:t>
      </w:r>
    </w:p>
    <w:p w14:paraId="12CA840B">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4、服务标准及要求：</w:t>
      </w:r>
    </w:p>
    <w:p w14:paraId="65FE8696">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4.1执行《拱墅区企业安全生产标准、隐患排查标准、政府监管执法标准“三标融合”清单（试行）》及采购人的要求</w:t>
      </w:r>
    </w:p>
    <w:p w14:paraId="5E72B560">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5、项目负责人：姓名：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，身份证号：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8598642">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6、服务费用及支付</w:t>
      </w:r>
    </w:p>
    <w:p w14:paraId="69C25C93">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6.1合同服务费限额：</w:t>
      </w:r>
      <w:r>
        <w:rPr>
          <w:rFonts w:hint="eastAsia" w:ascii="宋体" w:hAnsi="宋体" w:cs="宋体"/>
          <w:sz w:val="24"/>
          <w:szCs w:val="24"/>
          <w:highlight w:val="none"/>
          <w:u w:val="single"/>
          <w:lang w:val="en-US" w:eastAsia="zh-CN"/>
        </w:rPr>
        <w:t>100</w:t>
      </w:r>
      <w:r>
        <w:rPr>
          <w:rFonts w:hint="eastAsia" w:ascii="宋体" w:hAnsi="宋体" w:eastAsia="宋体" w:cs="宋体"/>
          <w:sz w:val="24"/>
          <w:szCs w:val="24"/>
          <w:highlight w:val="none"/>
          <w:u w:val="single"/>
        </w:rPr>
        <w:t>万元 （年度服务费总限额）</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其中安全生产、平安建设宣传教育费用20万，具体根据实际制作及开展情况结算。</w:t>
      </w:r>
    </w:p>
    <w:p w14:paraId="21C69424">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6.2各服务类别单价（成交单价）：</w:t>
      </w:r>
    </w:p>
    <w:tbl>
      <w:tblPr>
        <w:tblStyle w:val="63"/>
        <w:tblW w:w="7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663"/>
        <w:gridCol w:w="2041"/>
      </w:tblGrid>
      <w:tr w14:paraId="2B14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Align w:val="center"/>
          </w:tcPr>
          <w:p w14:paraId="77F1CEAC">
            <w:pPr>
              <w:keepNext w:val="0"/>
              <w:keepLines w:val="0"/>
              <w:pageBreakBefore w:val="0"/>
              <w:widowControl w:val="0"/>
              <w:shd w:val="clear" w:color="auto" w:fill="FFFFFF"/>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4663" w:type="dxa"/>
            <w:vAlign w:val="center"/>
          </w:tcPr>
          <w:p w14:paraId="0D8379E9">
            <w:pPr>
              <w:keepNext w:val="0"/>
              <w:keepLines w:val="0"/>
              <w:pageBreakBefore w:val="0"/>
              <w:widowControl w:val="0"/>
              <w:shd w:val="clear" w:color="auto" w:fill="FFFFFF"/>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2041" w:type="dxa"/>
            <w:vAlign w:val="center"/>
          </w:tcPr>
          <w:p w14:paraId="09C9CCE5">
            <w:pPr>
              <w:keepNext w:val="0"/>
              <w:keepLines w:val="0"/>
              <w:pageBreakBefore w:val="0"/>
              <w:widowControl w:val="0"/>
              <w:shd w:val="clear" w:color="auto" w:fill="FFFFFF"/>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单次检查价格</w:t>
            </w:r>
          </w:p>
        </w:tc>
      </w:tr>
      <w:tr w14:paraId="28EB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17" w:type="dxa"/>
            <w:vAlign w:val="center"/>
          </w:tcPr>
          <w:p w14:paraId="7C41228F">
            <w:pPr>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4663" w:type="dxa"/>
            <w:vAlign w:val="center"/>
          </w:tcPr>
          <w:p w14:paraId="0945B81B">
            <w:pPr>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园中园（厂中厂）（包含各园中园内生产加工、仓储、寄递、危化品、餐饮等重点企业单位）</w:t>
            </w:r>
          </w:p>
        </w:tc>
        <w:tc>
          <w:tcPr>
            <w:tcW w:w="2041" w:type="dxa"/>
            <w:vAlign w:val="center"/>
          </w:tcPr>
          <w:p w14:paraId="70F213FC">
            <w:pPr>
              <w:pStyle w:val="32"/>
              <w:keepNext w:val="0"/>
              <w:keepLines w:val="0"/>
              <w:pageBreakBefore w:val="0"/>
              <w:widowControl w:val="0"/>
              <w:kinsoku/>
              <w:wordWrap/>
              <w:overflowPunct/>
              <w:topLinePunct w:val="0"/>
              <w:bidi w:val="0"/>
              <w:adjustRightInd/>
              <w:snapToGrid/>
              <w:spacing w:line="360" w:lineRule="auto"/>
              <w:contextualSpacing/>
              <w:jc w:val="center"/>
              <w:textAlignment w:val="auto"/>
              <w:rPr>
                <w:rFonts w:hint="eastAsia" w:ascii="宋体" w:hAnsi="宋体" w:eastAsia="宋体" w:cs="宋体"/>
                <w:b/>
                <w:bCs/>
                <w:sz w:val="24"/>
                <w:szCs w:val="24"/>
                <w:highlight w:val="none"/>
              </w:rPr>
            </w:pPr>
          </w:p>
        </w:tc>
      </w:tr>
      <w:tr w14:paraId="3EEB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14:paraId="38530C4A">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4663" w:type="dxa"/>
            <w:vAlign w:val="center"/>
          </w:tcPr>
          <w:p w14:paraId="1A8BDC5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在建工地</w:t>
            </w:r>
          </w:p>
        </w:tc>
        <w:tc>
          <w:tcPr>
            <w:tcW w:w="2041" w:type="dxa"/>
            <w:vAlign w:val="center"/>
          </w:tcPr>
          <w:p w14:paraId="5CB70926">
            <w:pPr>
              <w:pStyle w:val="32"/>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p>
        </w:tc>
      </w:tr>
      <w:tr w14:paraId="7103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Align w:val="center"/>
          </w:tcPr>
          <w:p w14:paraId="3BE3F427">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4663" w:type="dxa"/>
            <w:vAlign w:val="center"/>
          </w:tcPr>
          <w:p w14:paraId="08DF3DD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生产加工、寄递、危化品等单位</w:t>
            </w:r>
          </w:p>
        </w:tc>
        <w:tc>
          <w:tcPr>
            <w:tcW w:w="2041" w:type="dxa"/>
            <w:vAlign w:val="center"/>
          </w:tcPr>
          <w:p w14:paraId="6D375171">
            <w:pPr>
              <w:pStyle w:val="32"/>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bCs/>
                <w:sz w:val="24"/>
                <w:szCs w:val="24"/>
                <w:highlight w:val="none"/>
              </w:rPr>
            </w:pPr>
          </w:p>
        </w:tc>
      </w:tr>
    </w:tbl>
    <w:p w14:paraId="6F6588E3">
      <w:pPr>
        <w:keepNext w:val="0"/>
        <w:keepLines w:val="0"/>
        <w:pageBreakBefore w:val="0"/>
        <w:widowControl w:val="0"/>
        <w:kinsoku/>
        <w:wordWrap/>
        <w:overflowPunct/>
        <w:topLinePunct w:val="0"/>
        <w:bidi w:val="0"/>
        <w:adjustRightInd/>
        <w:snapToGrid/>
        <w:spacing w:line="360" w:lineRule="auto"/>
        <w:ind w:right="-21" w:rightChars="-10" w:firstLine="361" w:firstLineChars="15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服务费按半年一结，每半年结算时，根据实际服务类别及数量，结合单价进行计算，并经甲方确认服务工作符合要求的（考核细则见合同附件），按规定比例结算价款。</w:t>
      </w:r>
    </w:p>
    <w:p w14:paraId="6D217F13">
      <w:pPr>
        <w:keepNext w:val="0"/>
        <w:keepLines w:val="0"/>
        <w:pageBreakBefore w:val="0"/>
        <w:widowControl w:val="0"/>
        <w:kinsoku/>
        <w:wordWrap/>
        <w:overflowPunct/>
        <w:topLinePunct w:val="0"/>
        <w:bidi w:val="0"/>
        <w:adjustRightInd/>
        <w:snapToGrid/>
        <w:spacing w:line="360" w:lineRule="auto"/>
        <w:ind w:right="-21" w:rightChars="-10" w:firstLine="361" w:firstLineChars="15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在服务期内，甲方有额外突发性安全生产检查的也包含在本合同内，且服务费不再额外支付。</w:t>
      </w:r>
    </w:p>
    <w:p w14:paraId="2398F555">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7、违约责任</w:t>
      </w:r>
    </w:p>
    <w:p w14:paraId="3832422E">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7.1乙方不能按服务要求完成的，每逾期一天应支付成交总金额千分之二的违约金；延迟时间达到</w:t>
      </w:r>
      <w:r>
        <w:rPr>
          <w:rFonts w:hint="eastAsia" w:ascii="宋体" w:hAnsi="宋体" w:eastAsia="宋体" w:cs="宋体"/>
          <w:sz w:val="24"/>
          <w:szCs w:val="24"/>
          <w:highlight w:val="none"/>
          <w:u w:val="single"/>
        </w:rPr>
        <w:t xml:space="preserve"> 15 </w:t>
      </w:r>
      <w:r>
        <w:rPr>
          <w:rFonts w:hint="eastAsia" w:ascii="宋体" w:hAnsi="宋体" w:eastAsia="宋体" w:cs="宋体"/>
          <w:sz w:val="24"/>
          <w:szCs w:val="24"/>
          <w:highlight w:val="none"/>
        </w:rPr>
        <w:t>天，甲方有权要求解除合同，并要求乙方赔偿甲方因此所受的各项损失；</w:t>
      </w:r>
    </w:p>
    <w:p w14:paraId="2AACD314">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7.2如乙方严重违反合同条款或甲方认定其无履行合同的能力，甲方有权要求解除合同。如给甲方造成损失的，</w:t>
      </w:r>
      <w:r>
        <w:rPr>
          <w:rFonts w:hint="eastAsia" w:ascii="宋体" w:hAnsi="宋体" w:eastAsia="宋体" w:cs="宋体"/>
          <w:kern w:val="0"/>
          <w:sz w:val="24"/>
          <w:szCs w:val="24"/>
          <w:highlight w:val="none"/>
        </w:rPr>
        <w:t>乙方应承担与此有关的一切损失和费用。</w:t>
      </w:r>
    </w:p>
    <w:p w14:paraId="2C4D5694">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7.3其他违反合同约定情形，违约方应当按合同法的规定承担违约责任。</w:t>
      </w:r>
    </w:p>
    <w:p w14:paraId="037870AA">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8、合同生效：</w:t>
      </w:r>
    </w:p>
    <w:p w14:paraId="1C88D94E">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8.1本合同自双方签字（盖章）之日起生效。</w:t>
      </w:r>
    </w:p>
    <w:p w14:paraId="7142856D">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8.2本合同一式</w:t>
      </w:r>
      <w:r>
        <w:rPr>
          <w:rFonts w:hint="eastAsia" w:ascii="宋体" w:hAnsi="宋体" w:eastAsia="宋体" w:cs="宋体"/>
          <w:sz w:val="24"/>
          <w:szCs w:val="24"/>
          <w:highlight w:val="none"/>
          <w:u w:val="single"/>
        </w:rPr>
        <w:t xml:space="preserve"> 柒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肆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叁 </w:t>
      </w:r>
      <w:r>
        <w:rPr>
          <w:rFonts w:hint="eastAsia" w:ascii="宋体" w:hAnsi="宋体" w:eastAsia="宋体" w:cs="宋体"/>
          <w:sz w:val="24"/>
          <w:szCs w:val="24"/>
          <w:highlight w:val="none"/>
        </w:rPr>
        <w:t>份，具有同等法律效力。</w:t>
      </w:r>
    </w:p>
    <w:p w14:paraId="4CFAC002">
      <w:pPr>
        <w:keepNext w:val="0"/>
        <w:keepLines w:val="0"/>
        <w:pageBreakBefore w:val="0"/>
        <w:widowControl w:val="0"/>
        <w:kinsoku/>
        <w:wordWrap/>
        <w:overflowPunct/>
        <w:topLinePunct w:val="0"/>
        <w:bidi w:val="0"/>
        <w:adjustRightInd/>
        <w:snapToGrid/>
        <w:spacing w:line="360" w:lineRule="auto"/>
        <w:ind w:right="-21" w:rightChars="-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9、争议解决：</w:t>
      </w:r>
    </w:p>
    <w:p w14:paraId="7B3F89A7">
      <w:pPr>
        <w:keepNext w:val="0"/>
        <w:keepLines w:val="0"/>
        <w:pageBreakBefore w:val="0"/>
        <w:widowControl w:val="0"/>
        <w:kinsoku/>
        <w:wordWrap/>
        <w:overflowPunct/>
        <w:topLinePunct w:val="0"/>
        <w:bidi w:val="0"/>
        <w:adjustRightInd/>
        <w:snapToGrid/>
        <w:spacing w:line="360" w:lineRule="auto"/>
        <w:ind w:right="-21" w:rightChars="-1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9.1执行本合同中发生的争议，买卖双方应通过友好协商的方式妥善解决。如协商不能解决时，可向签约地人民法院提起诉讼。</w:t>
      </w:r>
    </w:p>
    <w:p w14:paraId="43A6EF89">
      <w:pPr>
        <w:keepNext w:val="0"/>
        <w:keepLines w:val="0"/>
        <w:pageBreakBefore w:val="0"/>
        <w:widowControl w:val="0"/>
        <w:kinsoku/>
        <w:wordWrap/>
        <w:overflowPunct/>
        <w:topLinePunct w:val="0"/>
        <w:bidi w:val="0"/>
        <w:adjustRightInd/>
        <w:snapToGrid/>
        <w:spacing w:line="360" w:lineRule="auto"/>
        <w:ind w:right="-21" w:rightChars="-1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10、合同附件</w:t>
      </w:r>
    </w:p>
    <w:p w14:paraId="6FF6CC7C">
      <w:pPr>
        <w:pStyle w:val="61"/>
        <w:keepNext w:val="0"/>
        <w:keepLines w:val="0"/>
        <w:pageBreakBefore w:val="0"/>
        <w:widowControl w:val="0"/>
        <w:kinsoku/>
        <w:wordWrap/>
        <w:overflowPunct/>
        <w:topLinePunct w:val="0"/>
        <w:bidi w:val="0"/>
        <w:adjustRightInd/>
        <w:snapToGrid/>
        <w:spacing w:line="360" w:lineRule="auto"/>
        <w:ind w:right="-51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附件一：</w:t>
      </w:r>
      <w:r>
        <w:rPr>
          <w:rFonts w:hint="eastAsia" w:hAnsi="宋体" w:cs="宋体"/>
          <w:sz w:val="24"/>
          <w:szCs w:val="24"/>
          <w:highlight w:val="none"/>
          <w:lang w:val="en-US" w:eastAsia="zh-CN"/>
        </w:rPr>
        <w:t>高新区</w:t>
      </w:r>
      <w:r>
        <w:rPr>
          <w:rFonts w:hint="eastAsia" w:ascii="宋体" w:hAnsi="宋体" w:eastAsia="宋体" w:cs="宋体"/>
          <w:sz w:val="24"/>
          <w:szCs w:val="24"/>
          <w:highlight w:val="none"/>
        </w:rPr>
        <w:t>年度安全生产外服单位工作方案</w:t>
      </w:r>
    </w:p>
    <w:p w14:paraId="0258AD69">
      <w:pPr>
        <w:keepNext w:val="0"/>
        <w:keepLines w:val="0"/>
        <w:pageBreakBefore w:val="0"/>
        <w:widowControl w:val="0"/>
        <w:kinsoku/>
        <w:wordWrap/>
        <w:overflowPunct/>
        <w:topLinePunct w:val="0"/>
        <w:bidi w:val="0"/>
        <w:adjustRightInd/>
        <w:snapToGrid/>
        <w:spacing w:line="360" w:lineRule="auto"/>
        <w:ind w:right="-21" w:rightChars="-1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附件二：年度安全生产服务外服对象名单。</w:t>
      </w:r>
    </w:p>
    <w:p w14:paraId="5D6CCF99">
      <w:pPr>
        <w:keepNext w:val="0"/>
        <w:keepLines w:val="0"/>
        <w:pageBreakBefore w:val="0"/>
        <w:widowControl w:val="0"/>
        <w:kinsoku/>
        <w:wordWrap/>
        <w:overflowPunct/>
        <w:topLinePunct w:val="0"/>
        <w:bidi w:val="0"/>
        <w:adjustRightInd/>
        <w:snapToGrid/>
        <w:spacing w:line="360" w:lineRule="auto"/>
        <w:ind w:right="-21" w:rightChars="-1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附件三：安全中介机构服务质量考评细则、安全中介机构技术服务满意度测评表。</w:t>
      </w:r>
    </w:p>
    <w:tbl>
      <w:tblPr>
        <w:tblStyle w:val="63"/>
        <w:tblpPr w:leftFromText="180" w:rightFromText="180" w:vertAnchor="text" w:horzAnchor="page" w:tblpX="1787" w:tblpY="1118"/>
        <w:tblOverlap w:val="never"/>
        <w:tblW w:w="8528" w:type="dxa"/>
        <w:tblInd w:w="0" w:type="dxa"/>
        <w:tblLayout w:type="fixed"/>
        <w:tblCellMar>
          <w:top w:w="0" w:type="dxa"/>
          <w:left w:w="108" w:type="dxa"/>
          <w:bottom w:w="0" w:type="dxa"/>
          <w:right w:w="108" w:type="dxa"/>
        </w:tblCellMar>
      </w:tblPr>
      <w:tblGrid>
        <w:gridCol w:w="4264"/>
        <w:gridCol w:w="4264"/>
      </w:tblGrid>
      <w:tr w14:paraId="69EEFD7A">
        <w:tblPrEx>
          <w:tblCellMar>
            <w:top w:w="0" w:type="dxa"/>
            <w:left w:w="108" w:type="dxa"/>
            <w:bottom w:w="0" w:type="dxa"/>
            <w:right w:w="108" w:type="dxa"/>
          </w:tblCellMar>
        </w:tblPrEx>
        <w:tc>
          <w:tcPr>
            <w:tcW w:w="4264" w:type="dxa"/>
            <w:shd w:val="clear" w:color="auto" w:fill="auto"/>
            <w:vAlign w:val="center"/>
          </w:tcPr>
          <w:p w14:paraId="1A32BB68">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 方（盖章）：</w:t>
            </w:r>
          </w:p>
        </w:tc>
        <w:tc>
          <w:tcPr>
            <w:tcW w:w="4264" w:type="dxa"/>
            <w:shd w:val="clear" w:color="auto" w:fill="auto"/>
            <w:vAlign w:val="center"/>
          </w:tcPr>
          <w:p w14:paraId="13093A07">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 方（盖章）：</w:t>
            </w:r>
          </w:p>
        </w:tc>
      </w:tr>
      <w:tr w14:paraId="0AEF048E">
        <w:tblPrEx>
          <w:tblCellMar>
            <w:top w:w="0" w:type="dxa"/>
            <w:left w:w="108" w:type="dxa"/>
            <w:bottom w:w="0" w:type="dxa"/>
            <w:right w:w="108" w:type="dxa"/>
          </w:tblCellMar>
        </w:tblPrEx>
        <w:tc>
          <w:tcPr>
            <w:tcW w:w="4264" w:type="dxa"/>
            <w:shd w:val="clear" w:color="auto" w:fill="auto"/>
            <w:vAlign w:val="center"/>
          </w:tcPr>
          <w:p w14:paraId="26431D25">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tc>
        <w:tc>
          <w:tcPr>
            <w:tcW w:w="4264" w:type="dxa"/>
            <w:shd w:val="clear" w:color="auto" w:fill="auto"/>
            <w:vAlign w:val="center"/>
          </w:tcPr>
          <w:p w14:paraId="399B0DAB">
            <w:pPr>
              <w:pStyle w:val="32"/>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tc>
      </w:tr>
      <w:tr w14:paraId="2CF8B48A">
        <w:tblPrEx>
          <w:tblCellMar>
            <w:top w:w="0" w:type="dxa"/>
            <w:left w:w="108" w:type="dxa"/>
            <w:bottom w:w="0" w:type="dxa"/>
            <w:right w:w="108" w:type="dxa"/>
          </w:tblCellMar>
        </w:tblPrEx>
        <w:tc>
          <w:tcPr>
            <w:tcW w:w="4264" w:type="dxa"/>
            <w:shd w:val="clear" w:color="auto" w:fill="auto"/>
            <w:vAlign w:val="center"/>
          </w:tcPr>
          <w:p w14:paraId="6E49DE35">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通讯地址：</w:t>
            </w:r>
          </w:p>
        </w:tc>
        <w:tc>
          <w:tcPr>
            <w:tcW w:w="4264" w:type="dxa"/>
            <w:shd w:val="clear" w:color="auto" w:fill="auto"/>
            <w:vAlign w:val="center"/>
          </w:tcPr>
          <w:p w14:paraId="0345BEB9">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通讯地址：</w:t>
            </w:r>
          </w:p>
        </w:tc>
      </w:tr>
      <w:tr w14:paraId="10EC39AC">
        <w:tblPrEx>
          <w:tblCellMar>
            <w:top w:w="0" w:type="dxa"/>
            <w:left w:w="108" w:type="dxa"/>
            <w:bottom w:w="0" w:type="dxa"/>
            <w:right w:w="108" w:type="dxa"/>
          </w:tblCellMar>
        </w:tblPrEx>
        <w:tc>
          <w:tcPr>
            <w:tcW w:w="4264" w:type="dxa"/>
            <w:shd w:val="clear" w:color="auto" w:fill="auto"/>
            <w:vAlign w:val="center"/>
          </w:tcPr>
          <w:p w14:paraId="70EA9088">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 户 行：</w:t>
            </w:r>
          </w:p>
        </w:tc>
        <w:tc>
          <w:tcPr>
            <w:tcW w:w="4264" w:type="dxa"/>
            <w:shd w:val="clear" w:color="auto" w:fill="auto"/>
            <w:vAlign w:val="center"/>
          </w:tcPr>
          <w:p w14:paraId="410CB13F">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 户 行：</w:t>
            </w:r>
          </w:p>
        </w:tc>
      </w:tr>
      <w:tr w14:paraId="54665F28">
        <w:tblPrEx>
          <w:tblCellMar>
            <w:top w:w="0" w:type="dxa"/>
            <w:left w:w="108" w:type="dxa"/>
            <w:bottom w:w="0" w:type="dxa"/>
            <w:right w:w="108" w:type="dxa"/>
          </w:tblCellMar>
        </w:tblPrEx>
        <w:tc>
          <w:tcPr>
            <w:tcW w:w="4264" w:type="dxa"/>
            <w:shd w:val="clear" w:color="auto" w:fill="auto"/>
            <w:vAlign w:val="center"/>
          </w:tcPr>
          <w:p w14:paraId="1036E1D9">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    号：</w:t>
            </w:r>
          </w:p>
        </w:tc>
        <w:tc>
          <w:tcPr>
            <w:tcW w:w="4264" w:type="dxa"/>
            <w:shd w:val="clear" w:color="auto" w:fill="auto"/>
            <w:vAlign w:val="center"/>
          </w:tcPr>
          <w:p w14:paraId="241C6B04">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    号：</w:t>
            </w:r>
          </w:p>
        </w:tc>
      </w:tr>
      <w:tr w14:paraId="5C12DB88">
        <w:tblPrEx>
          <w:tblCellMar>
            <w:top w:w="0" w:type="dxa"/>
            <w:left w:w="108" w:type="dxa"/>
            <w:bottom w:w="0" w:type="dxa"/>
            <w:right w:w="108" w:type="dxa"/>
          </w:tblCellMar>
        </w:tblPrEx>
        <w:tc>
          <w:tcPr>
            <w:tcW w:w="4264" w:type="dxa"/>
            <w:shd w:val="clear" w:color="auto" w:fill="auto"/>
            <w:vAlign w:val="center"/>
          </w:tcPr>
          <w:p w14:paraId="429890D3">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264" w:type="dxa"/>
            <w:shd w:val="clear" w:color="auto" w:fill="auto"/>
            <w:vAlign w:val="center"/>
          </w:tcPr>
          <w:p w14:paraId="3AC62E69">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5F9D5087">
        <w:tblPrEx>
          <w:tblCellMar>
            <w:top w:w="0" w:type="dxa"/>
            <w:left w:w="108" w:type="dxa"/>
            <w:bottom w:w="0" w:type="dxa"/>
            <w:right w:w="108" w:type="dxa"/>
          </w:tblCellMar>
        </w:tblPrEx>
        <w:tc>
          <w:tcPr>
            <w:tcW w:w="8528" w:type="dxa"/>
            <w:gridSpan w:val="2"/>
            <w:shd w:val="clear" w:color="auto" w:fill="auto"/>
            <w:vAlign w:val="center"/>
          </w:tcPr>
          <w:p w14:paraId="36924042">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p>
          <w:p w14:paraId="2CD0CD66">
            <w:pPr>
              <w:keepNext w:val="0"/>
              <w:keepLines w:val="0"/>
              <w:pageBreakBefore w:val="0"/>
              <w:widowControl w:val="0"/>
              <w:kinsoku/>
              <w:wordWrap/>
              <w:overflowPunct/>
              <w:topLinePunct w:val="0"/>
              <w:bidi w:val="0"/>
              <w:adjustRightInd/>
              <w:snapToGrid/>
              <w:spacing w:line="360" w:lineRule="auto"/>
              <w:ind w:right="-21" w:rightChars="-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tc>
      </w:tr>
    </w:tbl>
    <w:p w14:paraId="0529F8F4">
      <w:pPr>
        <w:rPr>
          <w:rFonts w:hint="eastAsia" w:ascii="宋体" w:hAnsi="宋体" w:eastAsia="宋体" w:cs="宋体"/>
          <w:b/>
          <w:spacing w:val="0"/>
          <w:w w:val="100"/>
          <w:sz w:val="36"/>
          <w:szCs w:val="20"/>
          <w:highlight w:val="none"/>
        </w:rPr>
      </w:pPr>
    </w:p>
    <w:p w14:paraId="153BB575">
      <w:pPr>
        <w:rPr>
          <w:rFonts w:hint="eastAsia" w:ascii="宋体" w:hAnsi="宋体" w:eastAsia="宋体" w:cs="宋体"/>
          <w:b/>
          <w:spacing w:val="0"/>
          <w:w w:val="100"/>
          <w:sz w:val="36"/>
          <w:szCs w:val="20"/>
          <w:highlight w:val="none"/>
        </w:rPr>
      </w:pPr>
      <w:r>
        <w:rPr>
          <w:rFonts w:hint="eastAsia" w:ascii="宋体" w:hAnsi="宋体" w:eastAsia="宋体" w:cs="宋体"/>
          <w:b/>
          <w:spacing w:val="0"/>
          <w:w w:val="100"/>
          <w:sz w:val="36"/>
          <w:szCs w:val="20"/>
          <w:highlight w:val="none"/>
        </w:rPr>
        <w:br w:type="page"/>
      </w:r>
    </w:p>
    <w:p w14:paraId="73006C89">
      <w:pPr>
        <w:rPr>
          <w:rFonts w:hint="eastAsia" w:ascii="宋体" w:hAnsi="宋体" w:eastAsia="宋体" w:cs="宋体"/>
          <w:b/>
          <w:spacing w:val="0"/>
          <w:w w:val="100"/>
          <w:sz w:val="36"/>
          <w:szCs w:val="20"/>
          <w:highlight w:val="none"/>
        </w:rPr>
        <w:sectPr>
          <w:footerReference r:id="rId8" w:type="first"/>
          <w:footerReference r:id="rId7" w:type="default"/>
          <w:pgSz w:w="11906" w:h="16838"/>
          <w:pgMar w:top="1440" w:right="1800" w:bottom="1440" w:left="1800" w:header="851" w:footer="992" w:gutter="0"/>
          <w:pgNumType w:fmt="decimal"/>
          <w:cols w:space="720" w:num="1"/>
          <w:docGrid w:linePitch="312" w:charSpace="0"/>
        </w:sectPr>
      </w:pPr>
    </w:p>
    <w:p w14:paraId="3912FBC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r>
        <w:rPr>
          <w:rFonts w:hint="eastAsia" w:ascii="宋体" w:hAnsi="宋体" w:cs="宋体"/>
          <w:b/>
          <w:bCs w:val="0"/>
          <w:sz w:val="24"/>
          <w:szCs w:val="24"/>
          <w:highlight w:val="none"/>
          <w:lang w:val="en-US" w:eastAsia="zh-CN"/>
        </w:rPr>
        <w:t>三</w:t>
      </w:r>
      <w:r>
        <w:rPr>
          <w:rFonts w:hint="eastAsia" w:ascii="宋体" w:hAnsi="宋体" w:eastAsia="宋体" w:cs="宋体"/>
          <w:b/>
          <w:sz w:val="24"/>
          <w:szCs w:val="24"/>
          <w:highlight w:val="none"/>
        </w:rPr>
        <w:t xml:space="preserve">  安全中介机构服务质量考评细则</w:t>
      </w:r>
    </w:p>
    <w:p w14:paraId="64255ECA">
      <w:pPr>
        <w:keepNext w:val="0"/>
        <w:keepLines w:val="0"/>
        <w:pageBreakBefore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在服务</w:t>
      </w:r>
      <w:r>
        <w:rPr>
          <w:rFonts w:hint="eastAsia" w:ascii="宋体" w:hAnsi="宋体" w:cs="宋体"/>
          <w:bCs/>
          <w:sz w:val="24"/>
          <w:szCs w:val="24"/>
          <w:highlight w:val="none"/>
          <w:lang w:val="en-US" w:eastAsia="zh-CN"/>
        </w:rPr>
        <w:t>外包</w:t>
      </w:r>
      <w:r>
        <w:rPr>
          <w:rFonts w:hint="eastAsia" w:ascii="宋体" w:hAnsi="宋体" w:eastAsia="宋体" w:cs="宋体"/>
          <w:bCs/>
          <w:sz w:val="24"/>
          <w:szCs w:val="24"/>
          <w:highlight w:val="none"/>
        </w:rPr>
        <w:t>单位进行一轮深层次隐患排查后，如后续在省、市、区等安监部门检查过程中发现的</w:t>
      </w:r>
      <w:r>
        <w:rPr>
          <w:rFonts w:hint="eastAsia" w:ascii="宋体" w:hAnsi="宋体" w:cs="宋体"/>
          <w:bCs/>
          <w:sz w:val="24"/>
          <w:szCs w:val="24"/>
          <w:highlight w:val="none"/>
          <w:lang w:val="en-US" w:eastAsia="zh-CN"/>
        </w:rPr>
        <w:t>重大</w:t>
      </w:r>
      <w:r>
        <w:rPr>
          <w:rFonts w:hint="eastAsia" w:ascii="宋体" w:hAnsi="宋体" w:eastAsia="宋体" w:cs="宋体"/>
          <w:bCs/>
          <w:sz w:val="24"/>
          <w:szCs w:val="24"/>
          <w:highlight w:val="none"/>
        </w:rPr>
        <w:t>安全隐患</w:t>
      </w:r>
      <w:r>
        <w:rPr>
          <w:rFonts w:hint="eastAsia" w:ascii="宋体" w:hAnsi="宋体" w:cs="宋体"/>
          <w:bCs/>
          <w:sz w:val="24"/>
          <w:szCs w:val="24"/>
          <w:highlight w:val="none"/>
          <w:lang w:val="en-US" w:eastAsia="zh-CN"/>
        </w:rPr>
        <w:t>或被通报的</w:t>
      </w:r>
      <w:r>
        <w:rPr>
          <w:rFonts w:hint="eastAsia" w:ascii="宋体" w:hAnsi="宋体" w:eastAsia="宋体" w:cs="宋体"/>
          <w:bCs/>
          <w:sz w:val="24"/>
          <w:szCs w:val="24"/>
          <w:highlight w:val="none"/>
        </w:rPr>
        <w:t>（除经常性反复隐患外），服务外包单位</w:t>
      </w:r>
      <w:r>
        <w:rPr>
          <w:rFonts w:hint="eastAsia" w:ascii="宋体" w:hAnsi="宋体" w:cs="宋体"/>
          <w:bCs/>
          <w:sz w:val="24"/>
          <w:szCs w:val="24"/>
          <w:highlight w:val="none"/>
          <w:lang w:val="en-US" w:eastAsia="zh-CN"/>
        </w:rPr>
        <w:t>未检查指出的，</w:t>
      </w:r>
      <w:r>
        <w:rPr>
          <w:rFonts w:hint="eastAsia" w:ascii="宋体" w:hAnsi="宋体" w:eastAsia="宋体" w:cs="宋体"/>
          <w:bCs/>
          <w:sz w:val="24"/>
          <w:szCs w:val="24"/>
          <w:highlight w:val="none"/>
        </w:rPr>
        <w:t>本次本轮费用将予以扣除，扣除费用不纳入年度绩效考核费用计算。</w:t>
      </w:r>
    </w:p>
    <w:p w14:paraId="353FA94F">
      <w:pPr>
        <w:pStyle w:val="24"/>
        <w:rPr>
          <w:rFonts w:hint="default" w:eastAsia="宋体"/>
          <w:highlight w:val="none"/>
          <w:lang w:val="en-US" w:eastAsia="zh-CN"/>
        </w:rPr>
      </w:pPr>
      <w:r>
        <w:rPr>
          <w:rFonts w:hint="eastAsia" w:hAnsi="宋体" w:cs="宋体"/>
          <w:bCs/>
          <w:sz w:val="24"/>
          <w:szCs w:val="24"/>
          <w:highlight w:val="none"/>
          <w:lang w:val="en-US" w:eastAsia="zh-CN"/>
        </w:rPr>
        <w:t xml:space="preserve">    2、在合同期内，如发生安全生产责任事故的，经认定，安全隐患问题因</w:t>
      </w:r>
      <w:r>
        <w:rPr>
          <w:rFonts w:hint="eastAsia" w:ascii="宋体" w:hAnsi="宋体" w:eastAsia="宋体" w:cs="宋体"/>
          <w:bCs/>
          <w:sz w:val="24"/>
          <w:szCs w:val="24"/>
          <w:highlight w:val="none"/>
        </w:rPr>
        <w:t>服务单位</w:t>
      </w:r>
      <w:r>
        <w:rPr>
          <w:rFonts w:hint="eastAsia" w:hAnsi="宋体" w:cs="宋体"/>
          <w:bCs/>
          <w:sz w:val="24"/>
          <w:szCs w:val="24"/>
          <w:highlight w:val="none"/>
          <w:lang w:val="en-US" w:eastAsia="zh-CN"/>
        </w:rPr>
        <w:t>在检查期间</w:t>
      </w:r>
      <w:r>
        <w:rPr>
          <w:rFonts w:hint="eastAsia" w:ascii="宋体" w:hAnsi="宋体" w:cs="宋体"/>
          <w:bCs/>
          <w:sz w:val="24"/>
          <w:szCs w:val="24"/>
          <w:highlight w:val="none"/>
          <w:lang w:val="en-US" w:eastAsia="zh-CN"/>
        </w:rPr>
        <w:t>未检查指出</w:t>
      </w:r>
      <w:r>
        <w:rPr>
          <w:rFonts w:hint="eastAsia" w:hAnsi="宋体" w:cs="宋体"/>
          <w:bCs/>
          <w:sz w:val="24"/>
          <w:szCs w:val="24"/>
          <w:highlight w:val="none"/>
          <w:lang w:val="en-US" w:eastAsia="zh-CN"/>
        </w:rPr>
        <w:t>的，</w:t>
      </w:r>
      <w:r>
        <w:rPr>
          <w:rFonts w:hint="eastAsia" w:ascii="宋体" w:hAnsi="宋体" w:eastAsia="宋体" w:cs="宋体"/>
          <w:bCs/>
          <w:sz w:val="24"/>
          <w:szCs w:val="24"/>
          <w:highlight w:val="none"/>
        </w:rPr>
        <w:t>本次本轮费用将予以扣除</w:t>
      </w:r>
      <w:r>
        <w:rPr>
          <w:rFonts w:hint="eastAsia" w:hAnsi="宋体" w:cs="宋体"/>
          <w:bCs/>
          <w:sz w:val="24"/>
          <w:szCs w:val="24"/>
          <w:highlight w:val="none"/>
          <w:lang w:eastAsia="zh-CN"/>
        </w:rPr>
        <w:t>，</w:t>
      </w:r>
      <w:r>
        <w:rPr>
          <w:rFonts w:hint="eastAsia" w:hAnsi="宋体" w:cs="宋体"/>
          <w:bCs/>
          <w:sz w:val="24"/>
          <w:szCs w:val="24"/>
          <w:highlight w:val="none"/>
          <w:lang w:val="en-US" w:eastAsia="zh-CN"/>
        </w:rPr>
        <w:t>同时上报主管部门，根据相关法律法规予以处理，并保留事故责任追究的权利。</w:t>
      </w:r>
    </w:p>
    <w:p w14:paraId="186C7073">
      <w:pPr>
        <w:keepNext w:val="0"/>
        <w:keepLines w:val="0"/>
        <w:pageBreakBefore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杭州大运河数智未来城管理委员会</w:t>
      </w:r>
      <w:r>
        <w:rPr>
          <w:rFonts w:hint="eastAsia" w:ascii="宋体" w:hAnsi="宋体" w:eastAsia="宋体" w:cs="宋体"/>
          <w:sz w:val="24"/>
          <w:szCs w:val="24"/>
          <w:highlight w:val="none"/>
        </w:rPr>
        <w:t>制定以下《拱墅区安全中介机构服务质量考评细则》（本部分附件1），对安全中介机构实际开展安全技术服务情况进行监督和考评，综合被服务企业及相关部门的意见进行日常监测、半年测评、年终考核，以工作量、服务质量及实际服务效果相结合的方式进行考评。绩效考评得分与实际付款金额挂钩，实际付款金额额度按下表支付：</w:t>
      </w:r>
    </w:p>
    <w:p w14:paraId="26D52B42">
      <w:pPr>
        <w:keepNext w:val="0"/>
        <w:keepLines w:val="0"/>
        <w:pageBreakBefore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考评得分与付款金额比例一览表</w:t>
      </w:r>
    </w:p>
    <w:tbl>
      <w:tblPr>
        <w:tblStyle w:val="63"/>
        <w:tblW w:w="8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68"/>
        <w:gridCol w:w="1260"/>
        <w:gridCol w:w="1260"/>
        <w:gridCol w:w="1345"/>
        <w:gridCol w:w="1407"/>
      </w:tblGrid>
      <w:tr w14:paraId="2308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42" w:type="dxa"/>
            <w:noWrap w:val="0"/>
            <w:vAlign w:val="center"/>
          </w:tcPr>
          <w:p w14:paraId="57A5A9C4">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考核得分</w:t>
            </w:r>
          </w:p>
        </w:tc>
        <w:tc>
          <w:tcPr>
            <w:tcW w:w="1568" w:type="dxa"/>
            <w:noWrap w:val="0"/>
            <w:vAlign w:val="center"/>
          </w:tcPr>
          <w:p w14:paraId="0540951E">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90分以上</w:t>
            </w:r>
          </w:p>
        </w:tc>
        <w:tc>
          <w:tcPr>
            <w:tcW w:w="1260" w:type="dxa"/>
            <w:noWrap w:val="0"/>
            <w:vAlign w:val="center"/>
          </w:tcPr>
          <w:p w14:paraId="1E951F23">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80～89分</w:t>
            </w:r>
          </w:p>
        </w:tc>
        <w:tc>
          <w:tcPr>
            <w:tcW w:w="1260" w:type="dxa"/>
            <w:noWrap w:val="0"/>
            <w:vAlign w:val="center"/>
          </w:tcPr>
          <w:p w14:paraId="334ECF92">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70～79分</w:t>
            </w:r>
          </w:p>
        </w:tc>
        <w:tc>
          <w:tcPr>
            <w:tcW w:w="1345" w:type="dxa"/>
            <w:noWrap w:val="0"/>
            <w:vAlign w:val="center"/>
          </w:tcPr>
          <w:p w14:paraId="397CFD03">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60～69分</w:t>
            </w:r>
          </w:p>
        </w:tc>
        <w:tc>
          <w:tcPr>
            <w:tcW w:w="1407" w:type="dxa"/>
            <w:noWrap w:val="0"/>
            <w:vAlign w:val="center"/>
          </w:tcPr>
          <w:p w14:paraId="065B4227">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60分以下</w:t>
            </w:r>
          </w:p>
        </w:tc>
      </w:tr>
      <w:tr w14:paraId="6E2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42" w:type="dxa"/>
            <w:noWrap w:val="0"/>
            <w:vAlign w:val="center"/>
          </w:tcPr>
          <w:p w14:paraId="07628ABA">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付款比例</w:t>
            </w:r>
          </w:p>
        </w:tc>
        <w:tc>
          <w:tcPr>
            <w:tcW w:w="1568" w:type="dxa"/>
            <w:noWrap w:val="0"/>
            <w:vAlign w:val="center"/>
          </w:tcPr>
          <w:p w14:paraId="65AEB573">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全额付款</w:t>
            </w:r>
          </w:p>
        </w:tc>
        <w:tc>
          <w:tcPr>
            <w:tcW w:w="1260" w:type="dxa"/>
            <w:noWrap w:val="0"/>
            <w:vAlign w:val="center"/>
          </w:tcPr>
          <w:p w14:paraId="7F8366B3">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九折付款</w:t>
            </w:r>
          </w:p>
        </w:tc>
        <w:tc>
          <w:tcPr>
            <w:tcW w:w="1260" w:type="dxa"/>
            <w:noWrap w:val="0"/>
            <w:vAlign w:val="center"/>
          </w:tcPr>
          <w:p w14:paraId="54B901E6">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八折付款</w:t>
            </w:r>
          </w:p>
        </w:tc>
        <w:tc>
          <w:tcPr>
            <w:tcW w:w="1345" w:type="dxa"/>
            <w:noWrap w:val="0"/>
            <w:vAlign w:val="center"/>
          </w:tcPr>
          <w:p w14:paraId="3695D742">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七折付款</w:t>
            </w:r>
          </w:p>
        </w:tc>
        <w:tc>
          <w:tcPr>
            <w:tcW w:w="1407" w:type="dxa"/>
            <w:noWrap w:val="0"/>
            <w:vAlign w:val="center"/>
          </w:tcPr>
          <w:p w14:paraId="0D313927">
            <w:pPr>
              <w:keepNext w:val="0"/>
              <w:keepLines w:val="0"/>
              <w:pageBreakBefore w:val="0"/>
              <w:tabs>
                <w:tab w:val="left" w:pos="360"/>
                <w:tab w:val="left" w:pos="540"/>
              </w:tabs>
              <w:kinsoku/>
              <w:wordWrap/>
              <w:overflowPunct/>
              <w:topLinePunct w:val="0"/>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六折付款</w:t>
            </w:r>
          </w:p>
        </w:tc>
      </w:tr>
    </w:tbl>
    <w:p w14:paraId="32F6B4C1">
      <w:pPr>
        <w:keepNext w:val="0"/>
        <w:keepLines w:val="0"/>
        <w:pageBreakBefore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实际付款金额 = 项目金额数（扣除依据第一条扣减费用） ×付款比例</w:t>
      </w:r>
    </w:p>
    <w:p w14:paraId="590C87B5">
      <w:pPr>
        <w:keepNext w:val="0"/>
        <w:keepLines w:val="0"/>
        <w:pageBreakBefore w:val="0"/>
        <w:tabs>
          <w:tab w:val="left" w:pos="360"/>
          <w:tab w:val="left" w:pos="540"/>
        </w:tabs>
        <w:kinsoku/>
        <w:wordWrap/>
        <w:overflowPunct/>
        <w:topLinePunct w:val="0"/>
        <w:bidi w:val="0"/>
        <w:adjustRightInd/>
        <w:snapToGrid/>
        <w:spacing w:line="360" w:lineRule="auto"/>
        <w:ind w:firstLine="480" w:firstLineChars="200"/>
        <w:jc w:val="left"/>
        <w:rPr>
          <w:rFonts w:hint="eastAsia" w:ascii="宋体" w:hAnsi="宋体" w:eastAsia="宋体" w:cs="宋体"/>
          <w:sz w:val="24"/>
          <w:szCs w:val="24"/>
          <w:highlight w:val="none"/>
        </w:rPr>
        <w:sectPr>
          <w:footerReference r:id="rId9" w:type="default"/>
          <w:pgSz w:w="11907" w:h="16840"/>
          <w:pgMar w:top="1440" w:right="1800" w:bottom="1440" w:left="1800" w:header="851" w:footer="992" w:gutter="0"/>
          <w:pgNumType w:fmt="decimal"/>
          <w:cols w:space="720" w:num="1"/>
          <w:docGrid w:linePitch="312" w:charSpace="0"/>
        </w:sectPr>
      </w:pPr>
      <w:r>
        <w:rPr>
          <w:rFonts w:hint="eastAsia" w:ascii="宋体" w:hAnsi="宋体" w:eastAsia="宋体" w:cs="宋体"/>
          <w:sz w:val="24"/>
          <w:szCs w:val="24"/>
          <w:highlight w:val="none"/>
        </w:rPr>
        <w:t>对于安全中介机构违反国家咨询服务相关规定，特别是弄虚作假，出具虚假检查报告、证明和服务人员不到现场等行为，一经查实，将严肃处理，并报有关部门按《安全生产法》第八十九条进行处理。</w:t>
      </w:r>
    </w:p>
    <w:p w14:paraId="39256B35">
      <w:pPr>
        <w:pStyle w:val="24"/>
        <w:rPr>
          <w:rFonts w:hint="eastAsia"/>
        </w:rPr>
      </w:pPr>
    </w:p>
    <w:tbl>
      <w:tblPr>
        <w:tblStyle w:val="63"/>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7970"/>
        <w:gridCol w:w="4481"/>
        <w:gridCol w:w="798"/>
      </w:tblGrid>
      <w:tr w14:paraId="4A7C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noWrap w:val="0"/>
            <w:vAlign w:val="center"/>
          </w:tcPr>
          <w:p w14:paraId="5FF8B1B4">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w:t>
            </w:r>
          </w:p>
        </w:tc>
        <w:tc>
          <w:tcPr>
            <w:tcW w:w="7970" w:type="dxa"/>
            <w:noWrap w:val="0"/>
            <w:vAlign w:val="center"/>
          </w:tcPr>
          <w:p w14:paraId="504A2AEC">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标准内容和要求</w:t>
            </w:r>
          </w:p>
        </w:tc>
        <w:tc>
          <w:tcPr>
            <w:tcW w:w="4481" w:type="dxa"/>
            <w:noWrap w:val="0"/>
            <w:vAlign w:val="center"/>
          </w:tcPr>
          <w:p w14:paraId="6F0AD408">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798" w:type="dxa"/>
            <w:noWrap w:val="0"/>
            <w:vAlign w:val="center"/>
          </w:tcPr>
          <w:p w14:paraId="2F796BD7">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得分</w:t>
            </w:r>
          </w:p>
        </w:tc>
      </w:tr>
      <w:tr w14:paraId="3C75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restart"/>
            <w:noWrap w:val="0"/>
            <w:vAlign w:val="center"/>
          </w:tcPr>
          <w:p w14:paraId="39A5868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w:t>
            </w:r>
          </w:p>
          <w:p w14:paraId="469C078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w:t>
            </w:r>
          </w:p>
          <w:p w14:paraId="0AF1CD7D">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w:t>
            </w:r>
          </w:p>
          <w:p w14:paraId="02B8CE4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w:t>
            </w:r>
          </w:p>
          <w:p w14:paraId="5C88196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（20分）</w:t>
            </w:r>
          </w:p>
        </w:tc>
        <w:tc>
          <w:tcPr>
            <w:tcW w:w="7970" w:type="dxa"/>
            <w:tcBorders>
              <w:bottom w:val="single" w:color="auto" w:sz="4" w:space="0"/>
            </w:tcBorders>
            <w:noWrap w:val="0"/>
            <w:vAlign w:val="center"/>
          </w:tcPr>
          <w:p w14:paraId="501187D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1、机构经依法核准登记，具有独立的法人资格(4分)</w:t>
            </w:r>
          </w:p>
        </w:tc>
        <w:tc>
          <w:tcPr>
            <w:tcW w:w="4481" w:type="dxa"/>
            <w:tcBorders>
              <w:bottom w:val="single" w:color="auto" w:sz="4" w:space="0"/>
            </w:tcBorders>
            <w:noWrap w:val="0"/>
            <w:vAlign w:val="center"/>
          </w:tcPr>
          <w:p w14:paraId="2FCD6E0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未能提供工商营业执照，扣4分</w:t>
            </w:r>
          </w:p>
        </w:tc>
        <w:tc>
          <w:tcPr>
            <w:tcW w:w="798" w:type="dxa"/>
            <w:noWrap w:val="0"/>
            <w:vAlign w:val="center"/>
          </w:tcPr>
          <w:p w14:paraId="25FC60BF">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125B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4D6C245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1C55E7D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2、机构具有安全技术服务资质(4分)</w:t>
            </w:r>
          </w:p>
        </w:tc>
        <w:tc>
          <w:tcPr>
            <w:tcW w:w="4481" w:type="dxa"/>
            <w:shd w:val="clear" w:color="auto" w:fill="FFFFFF"/>
            <w:noWrap w:val="0"/>
            <w:vAlign w:val="center"/>
          </w:tcPr>
          <w:p w14:paraId="4541062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未能提供相关安全服务资质证明材料，扣4分</w:t>
            </w:r>
          </w:p>
        </w:tc>
        <w:tc>
          <w:tcPr>
            <w:tcW w:w="798" w:type="dxa"/>
            <w:noWrap w:val="0"/>
            <w:vAlign w:val="center"/>
          </w:tcPr>
          <w:p w14:paraId="27D04C65">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527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0E5D676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3E0A166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3、按要求配备</w:t>
            </w:r>
            <w:r>
              <w:rPr>
                <w:rFonts w:hint="eastAsia" w:ascii="宋体" w:hAnsi="宋体" w:cs="宋体"/>
                <w:sz w:val="24"/>
                <w:szCs w:val="24"/>
                <w:highlight w:val="none"/>
                <w:lang w:val="en-US" w:eastAsia="zh-CN"/>
              </w:rPr>
              <w:t>项目负责人、</w:t>
            </w:r>
            <w:r>
              <w:rPr>
                <w:rFonts w:hint="eastAsia" w:ascii="宋体" w:hAnsi="宋体" w:eastAsia="宋体" w:cs="宋体"/>
                <w:sz w:val="24"/>
                <w:szCs w:val="24"/>
                <w:highlight w:val="none"/>
              </w:rPr>
              <w:t>联络人员及必要的办公设备、车辆（4分）</w:t>
            </w:r>
          </w:p>
        </w:tc>
        <w:tc>
          <w:tcPr>
            <w:tcW w:w="4481" w:type="dxa"/>
            <w:shd w:val="clear" w:color="auto" w:fill="FFFFFF"/>
            <w:noWrap w:val="0"/>
            <w:vAlign w:val="center"/>
          </w:tcPr>
          <w:p w14:paraId="44E52A7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实际运作不正常，人员、设备不到位，扣1-4分</w:t>
            </w:r>
          </w:p>
        </w:tc>
        <w:tc>
          <w:tcPr>
            <w:tcW w:w="798" w:type="dxa"/>
            <w:noWrap w:val="0"/>
            <w:vAlign w:val="center"/>
          </w:tcPr>
          <w:p w14:paraId="5B7DB3EC">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3D39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2C76BDE4">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13C8499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4、参加安全检查服务的人员数量、专业及配置比例符合规定要求（4分）</w:t>
            </w:r>
          </w:p>
        </w:tc>
        <w:tc>
          <w:tcPr>
            <w:tcW w:w="4481" w:type="dxa"/>
            <w:shd w:val="clear" w:color="auto" w:fill="FFFFFF"/>
            <w:noWrap w:val="0"/>
            <w:vAlign w:val="center"/>
          </w:tcPr>
          <w:p w14:paraId="2597B6D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检查服务人员配置要求不符合规定的，扣1-4分</w:t>
            </w:r>
          </w:p>
        </w:tc>
        <w:tc>
          <w:tcPr>
            <w:tcW w:w="798" w:type="dxa"/>
            <w:noWrap w:val="0"/>
            <w:vAlign w:val="center"/>
          </w:tcPr>
          <w:p w14:paraId="24793C8D">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4FAF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 w:type="dxa"/>
            <w:vMerge w:val="continue"/>
            <w:shd w:val="clear" w:color="auto" w:fill="auto"/>
            <w:noWrap w:val="0"/>
            <w:vAlign w:val="center"/>
          </w:tcPr>
          <w:p w14:paraId="1656C32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shd w:val="clear" w:color="auto" w:fill="FFFFFF"/>
            <w:noWrap w:val="0"/>
            <w:vAlign w:val="center"/>
          </w:tcPr>
          <w:p w14:paraId="17282DC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5、建立检查服务工作制度，有相应的操作流程或服务指导书并执行到位(4分)</w:t>
            </w:r>
          </w:p>
        </w:tc>
        <w:tc>
          <w:tcPr>
            <w:tcW w:w="4481" w:type="dxa"/>
            <w:shd w:val="clear" w:color="auto" w:fill="FFFFFF"/>
            <w:noWrap w:val="0"/>
            <w:vAlign w:val="center"/>
          </w:tcPr>
          <w:p w14:paraId="0D5D8F0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未能提供相应工作制度或执行不到位，扣1-4分</w:t>
            </w:r>
          </w:p>
        </w:tc>
        <w:tc>
          <w:tcPr>
            <w:tcW w:w="798" w:type="dxa"/>
            <w:noWrap w:val="0"/>
            <w:vAlign w:val="center"/>
          </w:tcPr>
          <w:p w14:paraId="0687433E">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p>
        </w:tc>
      </w:tr>
      <w:tr w14:paraId="7518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27" w:type="dxa"/>
            <w:vMerge w:val="restart"/>
            <w:noWrap w:val="0"/>
            <w:vAlign w:val="center"/>
          </w:tcPr>
          <w:p w14:paraId="3CE17FE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w:t>
            </w:r>
          </w:p>
          <w:p w14:paraId="077846D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范</w:t>
            </w:r>
          </w:p>
          <w:p w14:paraId="487EBDFB">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14:paraId="0E3E777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14:paraId="20FD5FED">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（30分）</w:t>
            </w:r>
          </w:p>
        </w:tc>
        <w:tc>
          <w:tcPr>
            <w:tcW w:w="7970" w:type="dxa"/>
            <w:noWrap w:val="0"/>
            <w:vAlign w:val="center"/>
          </w:tcPr>
          <w:p w14:paraId="61B0AA1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1、检查服务前应制订详细的月度服务工作计划，并报采购人审核同意后实施 (4分)</w:t>
            </w:r>
          </w:p>
        </w:tc>
        <w:tc>
          <w:tcPr>
            <w:tcW w:w="4481" w:type="dxa"/>
            <w:noWrap w:val="0"/>
            <w:vAlign w:val="center"/>
          </w:tcPr>
          <w:p w14:paraId="5FDD967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少1次扣1分</w:t>
            </w:r>
          </w:p>
        </w:tc>
        <w:tc>
          <w:tcPr>
            <w:tcW w:w="798" w:type="dxa"/>
            <w:noWrap w:val="0"/>
            <w:vAlign w:val="center"/>
          </w:tcPr>
          <w:p w14:paraId="46B022C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7054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27" w:type="dxa"/>
            <w:vMerge w:val="continue"/>
            <w:noWrap w:val="0"/>
            <w:vAlign w:val="center"/>
          </w:tcPr>
          <w:p w14:paraId="31ED535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7EB3328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2、按照服务合同规定的服务次数及内容，开展安全技术服务活动，并对其承担的服务业务的真实性、客观性、科学性、准确性负责。(4分)</w:t>
            </w:r>
          </w:p>
        </w:tc>
        <w:tc>
          <w:tcPr>
            <w:tcW w:w="4481" w:type="dxa"/>
            <w:noWrap w:val="0"/>
            <w:vAlign w:val="center"/>
          </w:tcPr>
          <w:p w14:paraId="1A162B8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未做到发现1次扣0.5分</w:t>
            </w:r>
          </w:p>
        </w:tc>
        <w:tc>
          <w:tcPr>
            <w:tcW w:w="798" w:type="dxa"/>
            <w:noWrap w:val="0"/>
            <w:vAlign w:val="center"/>
          </w:tcPr>
          <w:p w14:paraId="7BEC60E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2851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27" w:type="dxa"/>
            <w:vMerge w:val="continue"/>
            <w:noWrap w:val="0"/>
            <w:vAlign w:val="center"/>
          </w:tcPr>
          <w:p w14:paraId="2C3E6FD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4DA9E44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3、按照检查服务计划及服务工作要求组织相应的技术人员开展安全服务活动（4分）</w:t>
            </w:r>
          </w:p>
        </w:tc>
        <w:tc>
          <w:tcPr>
            <w:tcW w:w="4481" w:type="dxa"/>
            <w:noWrap w:val="0"/>
            <w:vAlign w:val="center"/>
          </w:tcPr>
          <w:p w14:paraId="3DD72FE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检查人员专业及数量不到位的，1次扣0.5分</w:t>
            </w:r>
          </w:p>
        </w:tc>
        <w:tc>
          <w:tcPr>
            <w:tcW w:w="798" w:type="dxa"/>
            <w:noWrap w:val="0"/>
            <w:vAlign w:val="center"/>
          </w:tcPr>
          <w:p w14:paraId="704D083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1F1B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continue"/>
            <w:noWrap w:val="0"/>
            <w:vAlign w:val="center"/>
          </w:tcPr>
          <w:p w14:paraId="011F308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546C81D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4、对被服务企业安全生产状况进行全面排查，并形成书面检查服务报告(10分)</w:t>
            </w:r>
          </w:p>
        </w:tc>
        <w:tc>
          <w:tcPr>
            <w:tcW w:w="4481" w:type="dxa"/>
            <w:noWrap w:val="0"/>
            <w:vAlign w:val="center"/>
          </w:tcPr>
          <w:p w14:paraId="5D435AC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无书面检查报告或检查报告不完善的，1次扣0.5分</w:t>
            </w:r>
          </w:p>
        </w:tc>
        <w:tc>
          <w:tcPr>
            <w:tcW w:w="798" w:type="dxa"/>
            <w:noWrap w:val="0"/>
            <w:vAlign w:val="center"/>
          </w:tcPr>
          <w:p w14:paraId="7AAB39E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6012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7" w:type="dxa"/>
            <w:vMerge w:val="continue"/>
            <w:noWrap w:val="0"/>
            <w:vAlign w:val="center"/>
          </w:tcPr>
          <w:p w14:paraId="3EDED91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2622EA8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5、对被服务企业安全生产状况进行全面排查发现的隐患，应提出明确整改建议(4分)</w:t>
            </w:r>
          </w:p>
        </w:tc>
        <w:tc>
          <w:tcPr>
            <w:tcW w:w="4481" w:type="dxa"/>
            <w:noWrap w:val="0"/>
            <w:vAlign w:val="center"/>
          </w:tcPr>
          <w:p w14:paraId="2144154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未提出隐患整改建议的，1次扣0.5分；整改建议缺乏针对性的，1次扣0.5分</w:t>
            </w:r>
          </w:p>
        </w:tc>
        <w:tc>
          <w:tcPr>
            <w:tcW w:w="798" w:type="dxa"/>
            <w:noWrap w:val="0"/>
            <w:vAlign w:val="center"/>
          </w:tcPr>
          <w:p w14:paraId="7EDC9D9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10ED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27" w:type="dxa"/>
            <w:vMerge w:val="continue"/>
            <w:noWrap w:val="0"/>
            <w:vAlign w:val="center"/>
          </w:tcPr>
          <w:p w14:paraId="30B79FB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6820C6E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6、服务前按照相关规定与企业签订技术保密协议及廉洁自律条款。检查服务人员应严格遵守企业各项规章制度，进入现场按规定穿戴自备防护用品，保证自身安全（4分）</w:t>
            </w:r>
          </w:p>
        </w:tc>
        <w:tc>
          <w:tcPr>
            <w:tcW w:w="4481" w:type="dxa"/>
            <w:noWrap w:val="0"/>
            <w:vAlign w:val="center"/>
          </w:tcPr>
          <w:p w14:paraId="19C37B7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未能做到的，1次扣0.5分</w:t>
            </w:r>
          </w:p>
        </w:tc>
        <w:tc>
          <w:tcPr>
            <w:tcW w:w="798" w:type="dxa"/>
            <w:noWrap w:val="0"/>
            <w:vAlign w:val="center"/>
          </w:tcPr>
          <w:p w14:paraId="572EADD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FCE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restart"/>
            <w:noWrap w:val="0"/>
            <w:vAlign w:val="center"/>
          </w:tcPr>
          <w:p w14:paraId="70EEF1ED">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p w14:paraId="16CA3B00">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14:paraId="3A98D1D2">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14:paraId="656F823D">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w:t>
            </w:r>
          </w:p>
          <w:p w14:paraId="77B12A4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督</w:t>
            </w:r>
          </w:p>
          <w:p w14:paraId="0211FDC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（20分）</w:t>
            </w:r>
          </w:p>
        </w:tc>
        <w:tc>
          <w:tcPr>
            <w:tcW w:w="7970" w:type="dxa"/>
            <w:noWrap w:val="0"/>
            <w:vAlign w:val="center"/>
          </w:tcPr>
          <w:p w14:paraId="6FFCD8D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1、检查中发现企业存在重大安全隐患未整改到位或采取有效防范措施的，中介机构应及时将有关情况书面告知监管部门(3分)</w:t>
            </w:r>
          </w:p>
        </w:tc>
        <w:tc>
          <w:tcPr>
            <w:tcW w:w="4481" w:type="dxa"/>
            <w:noWrap w:val="0"/>
            <w:vAlign w:val="center"/>
          </w:tcPr>
          <w:p w14:paraId="47CD8AE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未书面告知监管部门的，1次扣1分</w:t>
            </w:r>
          </w:p>
        </w:tc>
        <w:tc>
          <w:tcPr>
            <w:tcW w:w="798" w:type="dxa"/>
            <w:noWrap w:val="0"/>
            <w:vAlign w:val="center"/>
          </w:tcPr>
          <w:p w14:paraId="6FC4D41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11BC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27" w:type="dxa"/>
            <w:vMerge w:val="continue"/>
            <w:noWrap w:val="0"/>
            <w:vAlign w:val="center"/>
          </w:tcPr>
          <w:p w14:paraId="7BB84365">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noWrap w:val="0"/>
            <w:vAlign w:val="center"/>
          </w:tcPr>
          <w:p w14:paraId="035D9F7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2、中介机构应及时将安全检查资料、现场勘查记录、影像资料及有关证据归档，不得外泄，并按照监管部门要求及时报送各类检查报告及相关资料(4分)</w:t>
            </w:r>
          </w:p>
        </w:tc>
        <w:tc>
          <w:tcPr>
            <w:tcW w:w="4481" w:type="dxa"/>
            <w:noWrap w:val="0"/>
            <w:vAlign w:val="center"/>
          </w:tcPr>
          <w:p w14:paraId="7B87786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缺1次，扣0.5分</w:t>
            </w:r>
          </w:p>
        </w:tc>
        <w:tc>
          <w:tcPr>
            <w:tcW w:w="798" w:type="dxa"/>
            <w:noWrap w:val="0"/>
            <w:vAlign w:val="center"/>
          </w:tcPr>
          <w:p w14:paraId="65FE260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7EE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7" w:type="dxa"/>
            <w:vMerge w:val="continue"/>
            <w:noWrap w:val="0"/>
            <w:vAlign w:val="center"/>
          </w:tcPr>
          <w:p w14:paraId="33319C24">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noWrap w:val="0"/>
            <w:vAlign w:val="center"/>
          </w:tcPr>
          <w:p w14:paraId="385596E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3、因服务态度不好、工作方法方式粗暴被服务企业投诉反映，经核实属实的(3分)</w:t>
            </w:r>
          </w:p>
        </w:tc>
        <w:tc>
          <w:tcPr>
            <w:tcW w:w="4481" w:type="dxa"/>
            <w:noWrap w:val="0"/>
            <w:vAlign w:val="center"/>
          </w:tcPr>
          <w:p w14:paraId="35E15A3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核实1次，扣1分</w:t>
            </w:r>
          </w:p>
        </w:tc>
        <w:tc>
          <w:tcPr>
            <w:tcW w:w="798" w:type="dxa"/>
            <w:noWrap w:val="0"/>
            <w:vAlign w:val="center"/>
          </w:tcPr>
          <w:p w14:paraId="4373A76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7474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27" w:type="dxa"/>
            <w:vMerge w:val="continue"/>
            <w:noWrap w:val="0"/>
            <w:vAlign w:val="center"/>
          </w:tcPr>
          <w:p w14:paraId="400D606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c>
        <w:tc>
          <w:tcPr>
            <w:tcW w:w="7970" w:type="dxa"/>
            <w:noWrap w:val="0"/>
            <w:vAlign w:val="center"/>
          </w:tcPr>
          <w:p w14:paraId="5866AAA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4、中介机构必须依法经营服务，不得假借政府部门及其工作人员名义或采取不正当手段获取利益，不得借机推销产品或服务，杜绝商业贿赂及其他经济违法行为。被举报存在违法违规行为，并经查证属实的(10分)</w:t>
            </w:r>
          </w:p>
        </w:tc>
        <w:tc>
          <w:tcPr>
            <w:tcW w:w="4481" w:type="dxa"/>
            <w:noWrap w:val="0"/>
            <w:vAlign w:val="center"/>
          </w:tcPr>
          <w:p w14:paraId="2AB75C2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查实1次，扣10分。情节严重的，终止合同，另行处理。</w:t>
            </w:r>
          </w:p>
        </w:tc>
        <w:tc>
          <w:tcPr>
            <w:tcW w:w="798" w:type="dxa"/>
            <w:noWrap w:val="0"/>
            <w:vAlign w:val="center"/>
          </w:tcPr>
          <w:p w14:paraId="0305D60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2197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7" w:type="dxa"/>
            <w:vMerge w:val="restart"/>
            <w:noWrap w:val="0"/>
            <w:vAlign w:val="center"/>
          </w:tcPr>
          <w:p w14:paraId="329A967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w:t>
            </w:r>
          </w:p>
          <w:p w14:paraId="53B80C8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务</w:t>
            </w:r>
          </w:p>
          <w:p w14:paraId="1F6347F7">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效</w:t>
            </w:r>
          </w:p>
          <w:p w14:paraId="65B4E3E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果</w:t>
            </w:r>
          </w:p>
          <w:p w14:paraId="2D23225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（30分）</w:t>
            </w:r>
          </w:p>
        </w:tc>
        <w:tc>
          <w:tcPr>
            <w:tcW w:w="7970" w:type="dxa"/>
            <w:noWrap w:val="0"/>
            <w:vAlign w:val="center"/>
          </w:tcPr>
          <w:p w14:paraId="2B8D626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1、按服务合同要求完成检查服务内容(6分)</w:t>
            </w:r>
          </w:p>
        </w:tc>
        <w:tc>
          <w:tcPr>
            <w:tcW w:w="4481" w:type="dxa"/>
            <w:noWrap w:val="0"/>
            <w:vAlign w:val="center"/>
          </w:tcPr>
          <w:p w14:paraId="251EA50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在合同规定时限内未完成服务内容的，缺1项，扣0.5分</w:t>
            </w:r>
          </w:p>
        </w:tc>
        <w:tc>
          <w:tcPr>
            <w:tcW w:w="798" w:type="dxa"/>
            <w:noWrap w:val="0"/>
            <w:vAlign w:val="center"/>
          </w:tcPr>
          <w:p w14:paraId="4288074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148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27" w:type="dxa"/>
            <w:vMerge w:val="continue"/>
            <w:noWrap w:val="0"/>
            <w:vAlign w:val="center"/>
          </w:tcPr>
          <w:p w14:paraId="1A69E3F3">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25ED295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2、被服务的企业安全绩效提升改善成效明显(6分)</w:t>
            </w:r>
          </w:p>
        </w:tc>
        <w:tc>
          <w:tcPr>
            <w:tcW w:w="4481" w:type="dxa"/>
            <w:noWrap w:val="0"/>
            <w:vAlign w:val="center"/>
          </w:tcPr>
          <w:p w14:paraId="570A143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企业安全绩效水平提升改善不明显的，酌情扣1-6分</w:t>
            </w:r>
          </w:p>
        </w:tc>
        <w:tc>
          <w:tcPr>
            <w:tcW w:w="798" w:type="dxa"/>
            <w:noWrap w:val="0"/>
            <w:vAlign w:val="center"/>
          </w:tcPr>
          <w:p w14:paraId="363D25C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767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27" w:type="dxa"/>
            <w:vMerge w:val="continue"/>
            <w:noWrap w:val="0"/>
            <w:vAlign w:val="center"/>
          </w:tcPr>
          <w:p w14:paraId="653327A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1B85E66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3、被服务企业在上级部门或区相关部门组织的各类安全检查中，发现存在违反安全三同时、严重设施设备缺陷、无证生产经营等固有重大安全隐患的（8分）</w:t>
            </w:r>
          </w:p>
        </w:tc>
        <w:tc>
          <w:tcPr>
            <w:tcW w:w="4481" w:type="dxa"/>
            <w:noWrap w:val="0"/>
            <w:vAlign w:val="center"/>
          </w:tcPr>
          <w:p w14:paraId="66792A5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发现1次，视情节严重性大小扣1-4分</w:t>
            </w:r>
          </w:p>
        </w:tc>
        <w:tc>
          <w:tcPr>
            <w:tcW w:w="798" w:type="dxa"/>
            <w:noWrap w:val="0"/>
            <w:vAlign w:val="center"/>
          </w:tcPr>
          <w:p w14:paraId="69EEF47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672F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continue"/>
            <w:noWrap w:val="0"/>
            <w:vAlign w:val="center"/>
          </w:tcPr>
          <w:p w14:paraId="7D99B37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321E4E3C">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4、被服务企业对安全技术服务机构的服务质量作满意度测评(5分)</w:t>
            </w:r>
          </w:p>
        </w:tc>
        <w:tc>
          <w:tcPr>
            <w:tcW w:w="4481" w:type="dxa"/>
            <w:noWrap w:val="0"/>
            <w:vAlign w:val="center"/>
          </w:tcPr>
          <w:p w14:paraId="066A398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由被服务企业确认评分，满意得5分，比较满意得4分，基本满意得3分，不太满意得2分，不满意得0分</w:t>
            </w:r>
          </w:p>
        </w:tc>
        <w:tc>
          <w:tcPr>
            <w:tcW w:w="798" w:type="dxa"/>
            <w:noWrap w:val="0"/>
            <w:vAlign w:val="center"/>
          </w:tcPr>
          <w:p w14:paraId="72175F8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4BE5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27" w:type="dxa"/>
            <w:vMerge w:val="continue"/>
            <w:noWrap w:val="0"/>
            <w:vAlign w:val="center"/>
          </w:tcPr>
          <w:p w14:paraId="1D687A9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7970" w:type="dxa"/>
            <w:noWrap w:val="0"/>
            <w:vAlign w:val="center"/>
          </w:tcPr>
          <w:p w14:paraId="23C5CB4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5、监管部门对安全技术服务机构的服务质量作满意度测评(5分)</w:t>
            </w:r>
          </w:p>
        </w:tc>
        <w:tc>
          <w:tcPr>
            <w:tcW w:w="4481" w:type="dxa"/>
            <w:noWrap w:val="0"/>
            <w:vAlign w:val="center"/>
          </w:tcPr>
          <w:p w14:paraId="22A6364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由监管部门确认评分，满意得5分，比较满意得4分，基本满意得3分，不太满意得2分，不满意得0分</w:t>
            </w:r>
          </w:p>
        </w:tc>
        <w:tc>
          <w:tcPr>
            <w:tcW w:w="798" w:type="dxa"/>
            <w:noWrap w:val="0"/>
            <w:vAlign w:val="center"/>
          </w:tcPr>
          <w:p w14:paraId="2313C3A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7F6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176" w:type="dxa"/>
            <w:gridSpan w:val="4"/>
            <w:noWrap w:val="0"/>
            <w:vAlign w:val="center"/>
          </w:tcPr>
          <w:p w14:paraId="4260271F">
            <w:pPr>
              <w:keepNext w:val="0"/>
              <w:keepLines w:val="0"/>
              <w:pageBreakBefore w:val="0"/>
              <w:kinsoku/>
              <w:wordWrap/>
              <w:overflowPunct/>
              <w:topLinePunct w:val="0"/>
              <w:bidi w:val="0"/>
              <w:adjustRightInd/>
              <w:snapToGrid/>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考评人签名：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b/>
                <w:sz w:val="24"/>
                <w:szCs w:val="24"/>
                <w:highlight w:val="none"/>
              </w:rPr>
              <w:t>考评合计得分：</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考评日期：</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w:t>
            </w:r>
            <w:r>
              <w:rPr>
                <w:rFonts w:hint="eastAsia" w:ascii="宋体" w:hAnsi="宋体" w:eastAsia="宋体" w:cs="宋体"/>
                <w:sz w:val="24"/>
                <w:szCs w:val="24"/>
                <w:highlight w:val="none"/>
              </w:rPr>
              <w:t xml:space="preserve">   </w:t>
            </w:r>
          </w:p>
        </w:tc>
      </w:tr>
    </w:tbl>
    <w:p w14:paraId="506CC75B">
      <w:pPr>
        <w:rPr>
          <w:rFonts w:hint="eastAsia" w:ascii="宋体" w:hAnsi="宋体" w:eastAsia="宋体" w:cs="宋体"/>
          <w:b/>
          <w:spacing w:val="0"/>
          <w:w w:val="100"/>
          <w:sz w:val="36"/>
          <w:szCs w:val="20"/>
          <w:highlight w:val="none"/>
        </w:rPr>
        <w:sectPr>
          <w:pgSz w:w="16838" w:h="11906" w:orient="landscape"/>
          <w:pgMar w:top="1440" w:right="1800" w:bottom="1440" w:left="1800" w:header="851" w:footer="992" w:gutter="0"/>
          <w:pgNumType w:fmt="decimal"/>
          <w:cols w:space="720" w:num="1"/>
          <w:docGrid w:linePitch="312" w:charSpace="0"/>
        </w:sectPr>
      </w:pPr>
    </w:p>
    <w:p w14:paraId="3A76B85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安全中介机构技术服务满意度测评表</w:t>
      </w:r>
    </w:p>
    <w:p w14:paraId="4576DBD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p w14:paraId="65CE285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测评时间段：</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E61A77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被测评对象：</w:t>
      </w:r>
      <w:r>
        <w:rPr>
          <w:rFonts w:hint="eastAsia" w:ascii="宋体" w:hAnsi="宋体" w:eastAsia="宋体" w:cs="宋体"/>
          <w:sz w:val="24"/>
          <w:szCs w:val="24"/>
          <w:highlight w:val="none"/>
          <w:u w:val="single"/>
        </w:rPr>
        <w:t xml:space="preserve">                                                  </w:t>
      </w:r>
    </w:p>
    <w:p w14:paraId="3C68ABB7">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p>
    <w:tbl>
      <w:tblPr>
        <w:tblStyle w:val="63"/>
        <w:tblW w:w="908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33"/>
        <w:gridCol w:w="1433"/>
        <w:gridCol w:w="1433"/>
        <w:gridCol w:w="1434"/>
        <w:gridCol w:w="1663"/>
      </w:tblGrid>
      <w:tr w14:paraId="2CE7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88" w:type="dxa"/>
            <w:vMerge w:val="restart"/>
            <w:noWrap w:val="0"/>
            <w:vAlign w:val="center"/>
          </w:tcPr>
          <w:p w14:paraId="070F0D0A">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测评项目</w:t>
            </w:r>
          </w:p>
        </w:tc>
        <w:tc>
          <w:tcPr>
            <w:tcW w:w="7396" w:type="dxa"/>
            <w:gridSpan w:val="5"/>
            <w:noWrap w:val="0"/>
            <w:vAlign w:val="top"/>
          </w:tcPr>
          <w:p w14:paraId="1ABC30D1">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测评等级</w:t>
            </w:r>
          </w:p>
        </w:tc>
      </w:tr>
      <w:tr w14:paraId="732C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688" w:type="dxa"/>
            <w:vMerge w:val="continue"/>
            <w:noWrap w:val="0"/>
            <w:vAlign w:val="center"/>
          </w:tcPr>
          <w:p w14:paraId="085652AC">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kern w:val="0"/>
                <w:sz w:val="24"/>
                <w:szCs w:val="24"/>
                <w:highlight w:val="none"/>
              </w:rPr>
            </w:pPr>
          </w:p>
        </w:tc>
        <w:tc>
          <w:tcPr>
            <w:tcW w:w="1433" w:type="dxa"/>
            <w:noWrap w:val="0"/>
            <w:vAlign w:val="center"/>
          </w:tcPr>
          <w:p w14:paraId="0FCF87EE">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满意</w:t>
            </w:r>
          </w:p>
          <w:p w14:paraId="4C9408DC">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(5分)</w:t>
            </w:r>
          </w:p>
        </w:tc>
        <w:tc>
          <w:tcPr>
            <w:tcW w:w="1433" w:type="dxa"/>
            <w:noWrap w:val="0"/>
            <w:vAlign w:val="center"/>
          </w:tcPr>
          <w:p w14:paraId="33699FEA">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比较满意</w:t>
            </w:r>
          </w:p>
          <w:p w14:paraId="29FA3C2E">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（4分）</w:t>
            </w:r>
          </w:p>
        </w:tc>
        <w:tc>
          <w:tcPr>
            <w:tcW w:w="1433" w:type="dxa"/>
            <w:noWrap w:val="0"/>
            <w:vAlign w:val="center"/>
          </w:tcPr>
          <w:p w14:paraId="46A71876">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基本满意</w:t>
            </w:r>
          </w:p>
          <w:p w14:paraId="0CC1F9AE">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（3分）</w:t>
            </w:r>
          </w:p>
        </w:tc>
        <w:tc>
          <w:tcPr>
            <w:tcW w:w="1434" w:type="dxa"/>
            <w:noWrap w:val="0"/>
            <w:vAlign w:val="center"/>
          </w:tcPr>
          <w:p w14:paraId="31533469">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不太满意</w:t>
            </w:r>
          </w:p>
          <w:p w14:paraId="12DFA90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（2分）</w:t>
            </w:r>
          </w:p>
        </w:tc>
        <w:tc>
          <w:tcPr>
            <w:tcW w:w="1663" w:type="dxa"/>
            <w:noWrap w:val="0"/>
            <w:vAlign w:val="center"/>
          </w:tcPr>
          <w:p w14:paraId="1E571041">
            <w:pPr>
              <w:keepNext w:val="0"/>
              <w:keepLines w:val="0"/>
              <w:pageBreakBefore w:val="0"/>
              <w:widowControl/>
              <w:kinsoku/>
              <w:wordWrap/>
              <w:overflowPunct/>
              <w:topLinePunct w:val="0"/>
              <w:bidi w:val="0"/>
              <w:adjustRightInd/>
              <w:snapToGrid/>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不满意</w:t>
            </w:r>
          </w:p>
          <w:p w14:paraId="21784BD4">
            <w:pPr>
              <w:keepNext w:val="0"/>
              <w:keepLines w:val="0"/>
              <w:pageBreakBefore w:val="0"/>
              <w:kinsoku/>
              <w:wordWrap/>
              <w:overflowPunct/>
              <w:topLinePunct w:val="0"/>
              <w:bidi w:val="0"/>
              <w:adjustRightInd/>
              <w:snapToGrid/>
              <w:spacing w:line="360" w:lineRule="auto"/>
              <w:ind w:firstLine="236" w:firstLineChars="98"/>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（0分）</w:t>
            </w:r>
          </w:p>
        </w:tc>
      </w:tr>
      <w:tr w14:paraId="2F40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88" w:type="dxa"/>
            <w:noWrap w:val="0"/>
            <w:vAlign w:val="center"/>
          </w:tcPr>
          <w:p w14:paraId="1F7CE4E3">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机构建设</w:t>
            </w:r>
          </w:p>
        </w:tc>
        <w:tc>
          <w:tcPr>
            <w:tcW w:w="1433" w:type="dxa"/>
            <w:noWrap w:val="0"/>
            <w:vAlign w:val="top"/>
          </w:tcPr>
          <w:p w14:paraId="7F907FB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2118B8E2">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7394350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14A1873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205C913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0D05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88" w:type="dxa"/>
            <w:noWrap w:val="0"/>
            <w:vAlign w:val="center"/>
          </w:tcPr>
          <w:p w14:paraId="783D3F84">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规范服务</w:t>
            </w:r>
          </w:p>
        </w:tc>
        <w:tc>
          <w:tcPr>
            <w:tcW w:w="1433" w:type="dxa"/>
            <w:noWrap w:val="0"/>
            <w:vAlign w:val="top"/>
          </w:tcPr>
          <w:p w14:paraId="1A9821A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3881EE8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7B9512E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034D9EF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3D486A8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314D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88" w:type="dxa"/>
            <w:noWrap w:val="0"/>
            <w:vAlign w:val="center"/>
          </w:tcPr>
          <w:p w14:paraId="380AEFB6">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服务监督</w:t>
            </w:r>
          </w:p>
        </w:tc>
        <w:tc>
          <w:tcPr>
            <w:tcW w:w="1433" w:type="dxa"/>
            <w:noWrap w:val="0"/>
            <w:vAlign w:val="top"/>
          </w:tcPr>
          <w:p w14:paraId="4E516D8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3D95CF90">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103DAC0F">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3262BAB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3A337EF8">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1CA2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88" w:type="dxa"/>
            <w:noWrap w:val="0"/>
            <w:vAlign w:val="center"/>
          </w:tcPr>
          <w:p w14:paraId="6B04E121">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服务效果</w:t>
            </w:r>
          </w:p>
        </w:tc>
        <w:tc>
          <w:tcPr>
            <w:tcW w:w="1433" w:type="dxa"/>
            <w:noWrap w:val="0"/>
            <w:vAlign w:val="top"/>
          </w:tcPr>
          <w:p w14:paraId="4918933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4D71E24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76AF1BB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28CD8146">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14282F9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0680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88" w:type="dxa"/>
            <w:noWrap w:val="0"/>
            <w:vAlign w:val="top"/>
          </w:tcPr>
          <w:p w14:paraId="6C3CD4AC">
            <w:pPr>
              <w:keepNext w:val="0"/>
              <w:keepLines w:val="0"/>
              <w:pageBreakBefore w:val="0"/>
              <w:kinsoku/>
              <w:wordWrap/>
              <w:overflowPunct/>
              <w:topLinePunct w:val="0"/>
              <w:bidi w:val="0"/>
              <w:adjustRightInd/>
              <w:snapToGrid/>
              <w:spacing w:line="360" w:lineRule="auto"/>
              <w:ind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rPr>
              <w:t>总体评价</w:t>
            </w:r>
          </w:p>
        </w:tc>
        <w:tc>
          <w:tcPr>
            <w:tcW w:w="1433" w:type="dxa"/>
            <w:noWrap w:val="0"/>
            <w:vAlign w:val="top"/>
          </w:tcPr>
          <w:p w14:paraId="6412CC35">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40A6D0DE">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3" w:type="dxa"/>
            <w:noWrap w:val="0"/>
            <w:vAlign w:val="top"/>
          </w:tcPr>
          <w:p w14:paraId="18D33BB7">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434" w:type="dxa"/>
            <w:noWrap w:val="0"/>
            <w:vAlign w:val="top"/>
          </w:tcPr>
          <w:p w14:paraId="2B5CEB3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c>
          <w:tcPr>
            <w:tcW w:w="1663" w:type="dxa"/>
            <w:noWrap w:val="0"/>
            <w:vAlign w:val="top"/>
          </w:tcPr>
          <w:p w14:paraId="000CC89B">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3E51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9084" w:type="dxa"/>
            <w:gridSpan w:val="6"/>
            <w:noWrap w:val="0"/>
            <w:vAlign w:val="top"/>
          </w:tcPr>
          <w:p w14:paraId="72CCBE2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服务中存在的问题：</w:t>
            </w:r>
          </w:p>
        </w:tc>
      </w:tr>
      <w:tr w14:paraId="617C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084" w:type="dxa"/>
            <w:gridSpan w:val="6"/>
            <w:noWrap w:val="0"/>
            <w:vAlign w:val="top"/>
          </w:tcPr>
          <w:p w14:paraId="2D4EFE2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提出的意见或建议：</w:t>
            </w:r>
          </w:p>
          <w:p w14:paraId="532060C9">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tc>
      </w:tr>
      <w:tr w14:paraId="5453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9084" w:type="dxa"/>
            <w:gridSpan w:val="6"/>
            <w:noWrap w:val="0"/>
            <w:vAlign w:val="top"/>
          </w:tcPr>
          <w:p w14:paraId="5E87A4C4">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填表单位：                    </w:t>
            </w:r>
          </w:p>
          <w:p w14:paraId="2582681A">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p>
          <w:p w14:paraId="3C647751">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                    手机：                  传真：</w:t>
            </w:r>
          </w:p>
        </w:tc>
      </w:tr>
    </w:tbl>
    <w:p w14:paraId="31B88CAF">
      <w:pPr>
        <w:keepNext w:val="0"/>
        <w:keepLines w:val="0"/>
        <w:pageBreakBefore w:val="0"/>
        <w:kinsoku/>
        <w:wordWrap/>
        <w:overflowPunct/>
        <w:topLinePunct w:val="0"/>
        <w:bidi w:val="0"/>
        <w:adjustRightInd/>
        <w:snapToGrid/>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41D440">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1、在以上表格的“测评等级”中任意选择其中一个打“√”，多选的无效；</w:t>
      </w:r>
    </w:p>
    <w:p w14:paraId="3279DA4D">
      <w:pPr>
        <w:keepNext w:val="0"/>
        <w:keepLines w:val="0"/>
        <w:pageBreakBefore w:val="0"/>
        <w:kinsoku/>
        <w:wordWrap/>
        <w:overflowPunct/>
        <w:topLinePunct w:val="0"/>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2、测评单位根据根据安全中介机构检查服务实际开展情况真实填写本测评表；</w:t>
      </w:r>
    </w:p>
    <w:p w14:paraId="6034C502">
      <w:pPr>
        <w:keepNext w:val="0"/>
        <w:keepLines w:val="0"/>
        <w:pageBreakBefore w:val="0"/>
        <w:kinsoku/>
        <w:wordWrap/>
        <w:overflowPunct/>
        <w:topLinePunct w:val="0"/>
        <w:bidi w:val="0"/>
        <w:adjustRightInd/>
        <w:snapToGrid/>
        <w:spacing w:line="360" w:lineRule="auto"/>
        <w:rPr>
          <w:rFonts w:hint="eastAsia" w:eastAsia="宋体"/>
          <w:lang w:eastAsia="zh-CN"/>
        </w:rPr>
        <w:sectPr>
          <w:pgSz w:w="11906" w:h="16838"/>
          <w:pgMar w:top="1440" w:right="1800" w:bottom="1440" w:left="1800" w:header="851" w:footer="992" w:gutter="0"/>
          <w:pgNumType w:fmt="decimal"/>
          <w:cols w:space="720" w:num="1"/>
          <w:docGrid w:linePitch="312" w:charSpace="0"/>
        </w:sectPr>
      </w:pPr>
      <w:r>
        <w:rPr>
          <w:rFonts w:hint="eastAsia" w:ascii="宋体" w:hAnsi="宋体" w:eastAsia="宋体" w:cs="宋体"/>
          <w:sz w:val="24"/>
          <w:szCs w:val="24"/>
          <w:highlight w:val="none"/>
        </w:rPr>
        <w:t xml:space="preserve">    3、请将本测评表填写后传真采购人</w:t>
      </w:r>
      <w:r>
        <w:rPr>
          <w:rFonts w:hint="eastAsia" w:ascii="宋体" w:hAnsi="宋体" w:cs="宋体"/>
          <w:sz w:val="24"/>
          <w:szCs w:val="24"/>
          <w:highlight w:val="none"/>
          <w:lang w:eastAsia="zh-CN"/>
        </w:rPr>
        <w:t>。</w:t>
      </w:r>
    </w:p>
    <w:p w14:paraId="30BF1466">
      <w:pPr>
        <w:jc w:val="center"/>
        <w:rPr>
          <w:rFonts w:ascii="宋体" w:hAnsi="宋体" w:cs="宋体"/>
          <w:b/>
          <w:color w:val="auto"/>
          <w:sz w:val="36"/>
          <w:szCs w:val="20"/>
        </w:rPr>
      </w:pPr>
      <w:r>
        <w:rPr>
          <w:rFonts w:hint="eastAsia" w:ascii="宋体" w:hAnsi="宋体" w:cs="宋体"/>
          <w:b/>
          <w:color w:val="auto"/>
          <w:sz w:val="36"/>
          <w:szCs w:val="20"/>
        </w:rPr>
        <w:t>第六部分 应提交的有关格式范例</w:t>
      </w:r>
    </w:p>
    <w:p w14:paraId="389DB47E">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36"/>
          <w:szCs w:val="36"/>
        </w:rPr>
      </w:pPr>
    </w:p>
    <w:p w14:paraId="6DD5ECAB">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36"/>
          <w:szCs w:val="36"/>
        </w:rPr>
      </w:pPr>
      <w:r>
        <w:rPr>
          <w:rFonts w:hint="eastAsia" w:ascii="宋体" w:hAnsi="宋体" w:cs="宋体"/>
          <w:b/>
          <w:color w:val="auto"/>
          <w:kern w:val="0"/>
          <w:sz w:val="36"/>
          <w:szCs w:val="36"/>
        </w:rPr>
        <w:t>资格文件部分</w:t>
      </w:r>
    </w:p>
    <w:p w14:paraId="27835371">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44E53C6A">
      <w:pPr>
        <w:kinsoku/>
        <w:wordWrap/>
        <w:overflowPunct/>
        <w:topLinePunct w:val="0"/>
        <w:bidi w:val="0"/>
        <w:adjustRightInd/>
        <w:snapToGrid/>
        <w:spacing w:beforeAutospacing="0" w:afterAutospacing="0" w:line="360" w:lineRule="auto"/>
        <w:jc w:val="center"/>
        <w:textAlignment w:val="auto"/>
        <w:outlineLvl w:val="0"/>
        <w:rPr>
          <w:rFonts w:hint="default" w:ascii="宋体" w:hAnsi="宋体" w:eastAsia="宋体" w:cs="宋体"/>
          <w:b/>
          <w:color w:val="auto"/>
          <w:kern w:val="0"/>
          <w:sz w:val="36"/>
          <w:szCs w:val="36"/>
          <w:lang w:val="en-US" w:eastAsia="zh-CN"/>
        </w:rPr>
      </w:pPr>
      <w:r>
        <w:rPr>
          <w:rFonts w:hint="eastAsia" w:ascii="宋体" w:hAnsi="宋体" w:cs="宋体"/>
          <w:b/>
          <w:color w:val="auto"/>
          <w:kern w:val="0"/>
          <w:sz w:val="36"/>
          <w:szCs w:val="36"/>
          <w:lang w:val="en-US" w:eastAsia="zh-CN"/>
        </w:rPr>
        <w:t xml:space="preserve"> </w:t>
      </w:r>
      <w:r>
        <w:rPr>
          <w:rFonts w:hint="eastAsia" w:ascii="宋体" w:hAnsi="宋体" w:cs="宋体"/>
          <w:b/>
          <w:color w:val="auto"/>
          <w:kern w:val="0"/>
          <w:sz w:val="36"/>
          <w:szCs w:val="36"/>
          <w:lang w:val="en-US" w:eastAsia="zh-CN"/>
        </w:rPr>
        <w:tab/>
      </w:r>
      <w:r>
        <w:rPr>
          <w:rFonts w:hint="eastAsia" w:ascii="宋体" w:hAnsi="宋体" w:cs="宋体"/>
          <w:b/>
          <w:color w:val="auto"/>
          <w:kern w:val="0"/>
          <w:sz w:val="36"/>
          <w:szCs w:val="36"/>
          <w:lang w:val="en-US" w:eastAsia="zh-CN"/>
        </w:rPr>
        <w:t xml:space="preserve"> </w:t>
      </w:r>
      <w:r>
        <w:rPr>
          <w:rFonts w:hint="eastAsia" w:ascii="宋体" w:hAnsi="宋体" w:cs="宋体"/>
          <w:b/>
          <w:color w:val="auto"/>
          <w:kern w:val="0"/>
          <w:sz w:val="36"/>
          <w:szCs w:val="36"/>
          <w:lang w:val="en-US" w:eastAsia="zh-CN"/>
        </w:rPr>
        <w:tab/>
      </w:r>
    </w:p>
    <w:p w14:paraId="2BE3A37B">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45CF5DF7">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5FEB792B">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14:paraId="2C51809F">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14:paraId="44C1924A">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p>
    <w:p w14:paraId="69A01280">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p>
    <w:p w14:paraId="3CD4384B">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r>
        <w:rPr>
          <w:rFonts w:hint="eastAsia" w:ascii="宋体" w:hAnsi="宋体" w:cs="宋体"/>
          <w:color w:val="auto"/>
          <w:kern w:val="0"/>
          <w:sz w:val="24"/>
        </w:rPr>
        <w:br w:type="page"/>
      </w:r>
      <w:r>
        <w:rPr>
          <w:rFonts w:hint="eastAsia" w:ascii="宋体" w:hAnsi="宋体" w:cs="宋体"/>
          <w:b/>
          <w:color w:val="auto"/>
          <w:kern w:val="0"/>
          <w:sz w:val="32"/>
          <w:szCs w:val="32"/>
        </w:rPr>
        <w:t xml:space="preserve">  一、 符合参加政府采购活动应当具备的一般条件的承诺函</w:t>
      </w:r>
    </w:p>
    <w:p w14:paraId="243EB464">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（采购人）、（采购代理机构）：</w:t>
      </w:r>
    </w:p>
    <w:p w14:paraId="3C7974AD">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我方参与（项目名称）【招标编号：（采购编号）】政府采购活动，郑重承诺：</w:t>
      </w:r>
    </w:p>
    <w:p w14:paraId="6AAB7C29">
      <w:pPr>
        <w:kinsoku/>
        <w:wordWrap/>
        <w:overflowPunct/>
        <w:topLinePunct w:val="0"/>
        <w:bidi w:val="0"/>
        <w:adjustRightInd/>
        <w:snapToGrid/>
        <w:spacing w:beforeAutospacing="0" w:afterAutospacing="0" w:line="360" w:lineRule="auto"/>
        <w:ind w:firstLine="360" w:firstLineChars="150"/>
        <w:textAlignment w:val="auto"/>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3CCC14BF">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1、具有独立承担民事责任的能力；</w:t>
      </w:r>
    </w:p>
    <w:p w14:paraId="2014581C">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36C732E6">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3、具有履行合同所必需的设备和专业技术能力；</w:t>
      </w:r>
    </w:p>
    <w:p w14:paraId="774BABC2">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4、有依法缴纳税收和社会保障资金的良好记录；</w:t>
      </w:r>
    </w:p>
    <w:p w14:paraId="6306B97F">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645A3F97">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6、具有法律、行政法规规定的其他条件。</w:t>
      </w:r>
    </w:p>
    <w:p w14:paraId="3BC61457">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41715919">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（三）不存在以下情况：</w:t>
      </w:r>
    </w:p>
    <w:p w14:paraId="0639C050">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232D1680">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46BA858E">
      <w:pPr>
        <w:kinsoku/>
        <w:wordWrap/>
        <w:overflowPunct/>
        <w:topLinePunct w:val="0"/>
        <w:bidi w:val="0"/>
        <w:adjustRightInd/>
        <w:snapToGrid/>
        <w:spacing w:beforeAutospacing="0" w:afterAutospacing="0" w:line="360" w:lineRule="auto"/>
        <w:ind w:firstLine="5520" w:firstLineChars="2300"/>
        <w:textAlignment w:val="auto"/>
        <w:rPr>
          <w:rFonts w:hint="eastAsia" w:ascii="宋体" w:hAnsi="宋体" w:cs="宋体"/>
          <w:color w:val="auto"/>
          <w:kern w:val="0"/>
          <w:sz w:val="24"/>
          <w:lang w:val="zh-CN"/>
        </w:rPr>
      </w:pPr>
    </w:p>
    <w:p w14:paraId="2D69225B">
      <w:pPr>
        <w:kinsoku/>
        <w:wordWrap/>
        <w:overflowPunct/>
        <w:topLinePunct w:val="0"/>
        <w:bidi w:val="0"/>
        <w:adjustRightInd/>
        <w:snapToGrid/>
        <w:spacing w:beforeAutospacing="0" w:afterAutospacing="0" w:line="360" w:lineRule="auto"/>
        <w:ind w:firstLine="5520" w:firstLineChars="2300"/>
        <w:textAlignment w:val="auto"/>
        <w:rPr>
          <w:rFonts w:hint="eastAsia" w:ascii="宋体" w:hAnsi="宋体" w:cs="宋体"/>
          <w:color w:val="auto"/>
          <w:kern w:val="0"/>
          <w:sz w:val="24"/>
          <w:lang w:val="zh-CN"/>
        </w:rPr>
      </w:pPr>
    </w:p>
    <w:p w14:paraId="399D1D17">
      <w:pPr>
        <w:kinsoku/>
        <w:wordWrap/>
        <w:overflowPunct/>
        <w:topLinePunct w:val="0"/>
        <w:bidi w:val="0"/>
        <w:adjustRightInd/>
        <w:snapToGrid/>
        <w:spacing w:beforeAutospacing="0" w:afterAutospacing="0" w:line="360" w:lineRule="auto"/>
        <w:ind w:firstLine="5520" w:firstLineChars="2300"/>
        <w:textAlignment w:val="auto"/>
        <w:rPr>
          <w:rFonts w:ascii="宋体" w:hAnsi="宋体" w:cs="宋体"/>
          <w:color w:val="auto"/>
          <w:kern w:val="0"/>
          <w:sz w:val="24"/>
        </w:rPr>
      </w:pPr>
      <w:r>
        <w:rPr>
          <w:rFonts w:hint="eastAsia" w:ascii="宋体" w:hAnsi="宋体" w:cs="宋体"/>
          <w:color w:val="auto"/>
          <w:kern w:val="0"/>
          <w:sz w:val="24"/>
          <w:lang w:val="zh-CN"/>
        </w:rPr>
        <w:t>投标人名称(电子签名)：</w:t>
      </w:r>
    </w:p>
    <w:p w14:paraId="57B812AE">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47018B30">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022ED193">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48CFA3D7">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5E37813D">
      <w:pPr>
        <w:kinsoku/>
        <w:wordWrap/>
        <w:overflowPunct/>
        <w:topLinePunct w:val="0"/>
        <w:bidi w:val="0"/>
        <w:adjustRightInd/>
        <w:snapToGrid/>
        <w:spacing w:beforeAutospacing="0" w:afterAutospacing="0" w:line="360" w:lineRule="auto"/>
        <w:textAlignment w:val="auto"/>
        <w:rPr>
          <w:rFonts w:ascii="宋体" w:hAnsi="宋体" w:cs="宋体"/>
          <w:color w:val="auto"/>
        </w:rPr>
      </w:pPr>
    </w:p>
    <w:p w14:paraId="70264329">
      <w:pPr>
        <w:widowControl/>
        <w:kinsoku/>
        <w:wordWrap/>
        <w:overflowPunct/>
        <w:topLinePunct w:val="0"/>
        <w:bidi w:val="0"/>
        <w:adjustRightInd/>
        <w:snapToGrid/>
        <w:spacing w:beforeAutospacing="0" w:afterAutospacing="0" w:line="360" w:lineRule="auto"/>
        <w:jc w:val="left"/>
        <w:textAlignment w:val="auto"/>
        <w:rPr>
          <w:rFonts w:ascii="宋体" w:hAnsi="宋体" w:cs="宋体"/>
          <w:b/>
          <w:color w:val="auto"/>
          <w:kern w:val="0"/>
          <w:sz w:val="32"/>
          <w:szCs w:val="32"/>
        </w:rPr>
      </w:pPr>
      <w:r>
        <w:rPr>
          <w:rFonts w:ascii="宋体" w:hAnsi="宋体" w:cs="宋体"/>
          <w:b/>
          <w:color w:val="auto"/>
          <w:kern w:val="0"/>
          <w:sz w:val="32"/>
          <w:szCs w:val="32"/>
        </w:rPr>
        <w:br w:type="page"/>
      </w:r>
    </w:p>
    <w:p w14:paraId="1A9A0DF7">
      <w:pPr>
        <w:widowControl/>
        <w:kinsoku/>
        <w:wordWrap/>
        <w:overflowPunct/>
        <w:topLinePunct w:val="0"/>
        <w:bidi w:val="0"/>
        <w:adjustRightInd/>
        <w:snapToGrid/>
        <w:spacing w:beforeAutospacing="0" w:afterAutospacing="0" w:line="360" w:lineRule="auto"/>
        <w:ind w:firstLine="643" w:firstLineChars="200"/>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7BDC2AD7">
      <w:pPr>
        <w:widowControl/>
        <w:kinsoku/>
        <w:wordWrap/>
        <w:overflowPunct/>
        <w:topLinePunct w:val="0"/>
        <w:bidi w:val="0"/>
        <w:adjustRightInd/>
        <w:snapToGrid/>
        <w:spacing w:beforeAutospacing="0" w:afterAutospacing="0" w:line="360" w:lineRule="auto"/>
        <w:ind w:firstLine="482" w:firstLineChars="200"/>
        <w:jc w:val="left"/>
        <w:textAlignment w:val="auto"/>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14:paraId="21EE9A6A">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390D438A">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42D3BDFA">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0DC3FB62">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14:paraId="1D9CDCE5">
      <w:pPr>
        <w:kinsoku/>
        <w:wordWrap/>
        <w:overflowPunct/>
        <w:topLinePunct w:val="0"/>
        <w:bidi w:val="0"/>
        <w:adjustRightInd/>
        <w:snapToGrid/>
        <w:spacing w:beforeAutospacing="0" w:afterAutospacing="0" w:line="360" w:lineRule="auto"/>
        <w:ind w:firstLine="472" w:firstLineChars="196"/>
        <w:jc w:val="left"/>
        <w:textAlignment w:val="auto"/>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.专门面向中小企业，服务全部由符合政策要求的中小企业（或小微企业）承接的，提供相应的中小企业声明函（附件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72C7822E">
      <w:pPr>
        <w:widowControl/>
        <w:kinsoku/>
        <w:wordWrap/>
        <w:overflowPunct/>
        <w:topLinePunct w:val="0"/>
        <w:bidi w:val="0"/>
        <w:adjustRightInd/>
        <w:snapToGrid/>
        <w:spacing w:beforeAutospacing="0" w:afterAutospacing="0" w:line="360" w:lineRule="auto"/>
        <w:ind w:firstLine="480"/>
        <w:jc w:val="left"/>
        <w:textAlignment w:val="auto"/>
        <w:rPr>
          <w:rFonts w:ascii="宋体" w:hAnsi="宋体" w:cs="宋体"/>
          <w:color w:val="auto"/>
          <w:sz w:val="24"/>
        </w:rPr>
      </w:pPr>
    </w:p>
    <w:p w14:paraId="79F73B9D">
      <w:pPr>
        <w:widowControl/>
        <w:kinsoku/>
        <w:wordWrap/>
        <w:overflowPunct/>
        <w:topLinePunct w:val="0"/>
        <w:bidi w:val="0"/>
        <w:adjustRightInd/>
        <w:snapToGrid/>
        <w:spacing w:beforeAutospacing="0" w:afterAutospacing="0" w:line="360" w:lineRule="auto"/>
        <w:ind w:firstLine="472" w:firstLineChars="196"/>
        <w:jc w:val="left"/>
        <w:textAlignment w:val="auto"/>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04009C1B">
      <w:pPr>
        <w:kinsoku/>
        <w:wordWrap/>
        <w:overflowPunct/>
        <w:topLinePunct w:val="0"/>
        <w:bidi w:val="0"/>
        <w:adjustRightInd/>
        <w:snapToGrid/>
        <w:spacing w:beforeAutospacing="0" w:afterAutospacing="0" w:line="360" w:lineRule="auto"/>
        <w:jc w:val="center"/>
        <w:textAlignment w:val="auto"/>
        <w:rPr>
          <w:rFonts w:ascii="宋体" w:hAnsi="宋体" w:cs="宋体"/>
          <w:color w:val="auto"/>
          <w:sz w:val="24"/>
        </w:rPr>
      </w:pPr>
      <w:r>
        <w:rPr>
          <w:rFonts w:hint="eastAsia" w:ascii="宋体" w:hAnsi="宋体" w:cs="宋体"/>
          <w:b/>
          <w:color w:val="auto"/>
          <w:sz w:val="24"/>
        </w:rPr>
        <w:t xml:space="preserve">    </w:t>
      </w:r>
    </w:p>
    <w:p w14:paraId="72A251EB">
      <w:pPr>
        <w:kinsoku/>
        <w:wordWrap/>
        <w:overflowPunct/>
        <w:topLinePunct w:val="0"/>
        <w:bidi w:val="0"/>
        <w:adjustRightInd/>
        <w:snapToGrid/>
        <w:spacing w:beforeAutospacing="0" w:afterAutospacing="0" w:line="360" w:lineRule="auto"/>
        <w:ind w:firstLine="482" w:firstLineChars="200"/>
        <w:textAlignment w:val="auto"/>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52652C8A">
      <w:pPr>
        <w:widowControl/>
        <w:kinsoku/>
        <w:wordWrap/>
        <w:overflowPunct/>
        <w:topLinePunct w:val="0"/>
        <w:bidi w:val="0"/>
        <w:adjustRightInd/>
        <w:snapToGrid/>
        <w:spacing w:beforeAutospacing="0" w:afterAutospacing="0" w:line="360" w:lineRule="auto"/>
        <w:ind w:left="150"/>
        <w:jc w:val="center"/>
        <w:textAlignment w:val="auto"/>
        <w:rPr>
          <w:rFonts w:ascii="宋体" w:hAnsi="宋体" w:cs="宋体"/>
          <w:b/>
          <w:color w:val="auto"/>
          <w:kern w:val="0"/>
          <w:sz w:val="32"/>
          <w:szCs w:val="32"/>
        </w:rPr>
      </w:pPr>
    </w:p>
    <w:p w14:paraId="4BA4E37F">
      <w:pPr>
        <w:widowControl/>
        <w:kinsoku/>
        <w:wordWrap/>
        <w:overflowPunct/>
        <w:topLinePunct w:val="0"/>
        <w:bidi w:val="0"/>
        <w:adjustRightInd/>
        <w:snapToGrid/>
        <w:spacing w:beforeAutospacing="0" w:afterAutospacing="0" w:line="360" w:lineRule="auto"/>
        <w:ind w:left="150"/>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738B5719">
      <w:pPr>
        <w:kinsoku/>
        <w:wordWrap/>
        <w:overflowPunct/>
        <w:topLinePunct w:val="0"/>
        <w:bidi w:val="0"/>
        <w:adjustRightInd/>
        <w:snapToGrid/>
        <w:spacing w:beforeAutospacing="0" w:afterAutospacing="0" w:line="360" w:lineRule="auto"/>
        <w:jc w:val="center"/>
        <w:textAlignment w:val="auto"/>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14:paraId="64E8BED3">
      <w:pPr>
        <w:kinsoku/>
        <w:wordWrap/>
        <w:overflowPunct/>
        <w:topLinePunct w:val="0"/>
        <w:bidi w:val="0"/>
        <w:adjustRightInd/>
        <w:snapToGrid/>
        <w:spacing w:beforeAutospacing="0" w:afterAutospacing="0" w:line="360" w:lineRule="auto"/>
        <w:textAlignment w:val="auto"/>
        <w:rPr>
          <w:rFonts w:ascii="宋体" w:hAnsi="宋体" w:cs="宋体"/>
          <w:color w:val="auto"/>
        </w:rPr>
      </w:pPr>
    </w:p>
    <w:p w14:paraId="593ED490">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7249CD59">
      <w:pPr>
        <w:widowControl/>
        <w:kinsoku/>
        <w:wordWrap/>
        <w:overflowPunct/>
        <w:topLinePunct w:val="0"/>
        <w:bidi w:val="0"/>
        <w:adjustRightInd/>
        <w:snapToGrid/>
        <w:spacing w:beforeAutospacing="0" w:afterAutospacing="0" w:line="360" w:lineRule="auto"/>
        <w:jc w:val="left"/>
        <w:textAlignment w:val="auto"/>
        <w:rPr>
          <w:rFonts w:ascii="宋体" w:hAnsi="宋体" w:cs="宋体"/>
          <w:b/>
          <w:color w:val="auto"/>
          <w:kern w:val="0"/>
          <w:sz w:val="36"/>
          <w:szCs w:val="36"/>
        </w:rPr>
      </w:pPr>
      <w:r>
        <w:rPr>
          <w:rFonts w:ascii="宋体" w:hAnsi="宋体" w:cs="宋体"/>
          <w:b/>
          <w:color w:val="auto"/>
          <w:kern w:val="0"/>
          <w:sz w:val="36"/>
          <w:szCs w:val="36"/>
        </w:rPr>
        <w:br w:type="page"/>
      </w:r>
    </w:p>
    <w:p w14:paraId="2F0B5EE9">
      <w:pPr>
        <w:kinsoku/>
        <w:wordWrap/>
        <w:overflowPunct/>
        <w:topLinePunct w:val="0"/>
        <w:bidi w:val="0"/>
        <w:adjustRightInd/>
        <w:snapToGrid/>
        <w:spacing w:beforeAutospacing="0" w:afterAutospacing="0" w:line="360" w:lineRule="auto"/>
        <w:ind w:right="420"/>
        <w:jc w:val="center"/>
        <w:textAlignment w:val="auto"/>
        <w:rPr>
          <w:rFonts w:ascii="宋体" w:hAnsi="宋体" w:cs="宋体"/>
          <w:b/>
          <w:color w:val="auto"/>
          <w:kern w:val="0"/>
          <w:sz w:val="36"/>
          <w:szCs w:val="36"/>
        </w:rPr>
      </w:pPr>
      <w:r>
        <w:rPr>
          <w:rFonts w:hint="eastAsia" w:ascii="宋体" w:hAnsi="宋体" w:cs="宋体"/>
          <w:b/>
          <w:color w:val="auto"/>
          <w:kern w:val="0"/>
          <w:sz w:val="36"/>
          <w:szCs w:val="36"/>
        </w:rPr>
        <w:t>商务技术文件部分</w:t>
      </w:r>
    </w:p>
    <w:p w14:paraId="7F0EDB79">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24"/>
        </w:rPr>
      </w:pPr>
    </w:p>
    <w:p w14:paraId="070B9A69">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28"/>
          <w:szCs w:val="28"/>
        </w:rPr>
      </w:pPr>
      <w:r>
        <w:rPr>
          <w:rFonts w:hint="eastAsia" w:ascii="宋体" w:hAnsi="宋体" w:cs="宋体"/>
          <w:b/>
          <w:color w:val="auto"/>
          <w:kern w:val="0"/>
          <w:sz w:val="28"/>
          <w:szCs w:val="28"/>
        </w:rPr>
        <w:t>目录</w:t>
      </w:r>
    </w:p>
    <w:p w14:paraId="3571F7E5">
      <w:pPr>
        <w:numPr>
          <w:ilvl w:val="0"/>
          <w:numId w:val="1"/>
        </w:numPr>
        <w:kinsoku/>
        <w:wordWrap/>
        <w:overflowPunct/>
        <w:topLinePunct w:val="0"/>
        <w:bidi w:val="0"/>
        <w:adjustRightInd/>
        <w:snapToGrid/>
        <w:spacing w:beforeAutospacing="0" w:afterAutospacing="0" w:line="360" w:lineRule="auto"/>
        <w:jc w:val="both"/>
        <w:textAlignment w:val="auto"/>
        <w:rPr>
          <w:rFonts w:hint="eastAsia" w:ascii="宋体" w:hAnsi="宋体" w:cs="宋体"/>
          <w:color w:val="auto"/>
        </w:rPr>
      </w:pPr>
      <w:r>
        <w:rPr>
          <w:rFonts w:hint="eastAsia" w:ascii="宋体" w:hAnsi="宋体" w:cs="宋体"/>
          <w:color w:val="auto"/>
          <w:sz w:val="24"/>
        </w:rPr>
        <w:t>投标函</w:t>
      </w:r>
      <w:r>
        <w:rPr>
          <w:rFonts w:hint="eastAsia" w:ascii="宋体" w:hAnsi="宋体" w:cs="宋体"/>
          <w:color w:val="auto"/>
        </w:rPr>
        <w:t>………………………………………………………………………………（页码）</w:t>
      </w:r>
    </w:p>
    <w:p w14:paraId="3304C0A2">
      <w:pPr>
        <w:numPr>
          <w:ilvl w:val="0"/>
          <w:numId w:val="0"/>
        </w:numPr>
        <w:kinsoku/>
        <w:wordWrap/>
        <w:overflowPunct/>
        <w:topLinePunct w:val="0"/>
        <w:bidi w:val="0"/>
        <w:adjustRightInd/>
        <w:snapToGrid/>
        <w:spacing w:beforeAutospacing="0" w:afterAutospacing="0" w:line="360" w:lineRule="auto"/>
        <w:jc w:val="both"/>
        <w:textAlignment w:val="auto"/>
        <w:rPr>
          <w:rFonts w:ascii="宋体" w:hAnsi="宋体" w:cs="宋体"/>
          <w:color w:val="auto"/>
        </w:rPr>
      </w:pPr>
      <w:r>
        <w:rPr>
          <w:rFonts w:hint="eastAsia" w:ascii="宋体" w:hAnsi="宋体" w:cs="宋体"/>
          <w:color w:val="auto"/>
          <w:sz w:val="24"/>
        </w:rPr>
        <w:t>（2）授权委托书或法定代表人（单位负责人、自然人本人）身份证明</w:t>
      </w:r>
      <w:r>
        <w:rPr>
          <w:rFonts w:hint="eastAsia" w:ascii="宋体" w:hAnsi="宋体" w:cs="宋体"/>
          <w:color w:val="auto"/>
        </w:rPr>
        <w:t>……（页码）</w:t>
      </w:r>
    </w:p>
    <w:p w14:paraId="43A74C00">
      <w:pPr>
        <w:kinsoku/>
        <w:wordWrap/>
        <w:overflowPunct/>
        <w:topLinePunct w:val="0"/>
        <w:bidi w:val="0"/>
        <w:adjustRightInd/>
        <w:snapToGrid/>
        <w:spacing w:beforeAutospacing="0" w:afterAutospacing="0" w:line="360" w:lineRule="auto"/>
        <w:textAlignment w:val="auto"/>
        <w:rPr>
          <w:rFonts w:ascii="宋体" w:hAnsi="宋体" w:cs="宋体"/>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color w:val="auto"/>
        </w:rPr>
        <w:t>………………………………………………………………………（页码）</w:t>
      </w:r>
    </w:p>
    <w:p w14:paraId="41A7DF71">
      <w:pPr>
        <w:kinsoku/>
        <w:wordWrap/>
        <w:overflowPunct/>
        <w:topLinePunct w:val="0"/>
        <w:bidi w:val="0"/>
        <w:adjustRightInd/>
        <w:snapToGrid/>
        <w:spacing w:beforeAutospacing="0" w:afterAutospacing="0" w:line="360" w:lineRule="auto"/>
        <w:textAlignment w:val="auto"/>
        <w:rPr>
          <w:rFonts w:ascii="宋体" w:hAns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color w:val="auto"/>
        </w:rPr>
        <w:t>…………………………………………………………………（页码）</w:t>
      </w:r>
    </w:p>
    <w:p w14:paraId="2E44C933">
      <w:pPr>
        <w:kinsoku/>
        <w:wordWrap/>
        <w:overflowPunct/>
        <w:topLinePunct w:val="0"/>
        <w:bidi w:val="0"/>
        <w:adjustRightInd/>
        <w:snapToGrid/>
        <w:spacing w:beforeAutospacing="0" w:afterAutospacing="0" w:line="360" w:lineRule="auto"/>
        <w:textAlignment w:val="auto"/>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color w:val="auto"/>
        </w:rPr>
        <w:t>………………………………………</w:t>
      </w:r>
      <w:r>
        <w:rPr>
          <w:rFonts w:hint="eastAsia" w:ascii="宋体" w:hAnsi="宋体" w:cs="宋体"/>
          <w:color w:val="auto"/>
          <w:sz w:val="24"/>
        </w:rPr>
        <w:t>…</w:t>
      </w:r>
      <w:r>
        <w:rPr>
          <w:rFonts w:hint="eastAsia" w:ascii="宋体" w:hAnsi="宋体" w:cs="宋体"/>
          <w:color w:val="auto"/>
        </w:rPr>
        <w:t>………（页码）</w:t>
      </w:r>
    </w:p>
    <w:p w14:paraId="40A87C22">
      <w:pPr>
        <w:kinsoku/>
        <w:wordWrap/>
        <w:overflowPunct/>
        <w:topLinePunct w:val="0"/>
        <w:bidi w:val="0"/>
        <w:adjustRightInd/>
        <w:snapToGrid/>
        <w:spacing w:beforeAutospacing="0" w:afterAutospacing="0" w:line="360" w:lineRule="auto"/>
        <w:textAlignment w:val="auto"/>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color w:val="auto"/>
        </w:rPr>
        <w:t>……………………………………………………………………（页码）</w:t>
      </w:r>
    </w:p>
    <w:p w14:paraId="7C04E90F">
      <w:pPr>
        <w:kinsoku/>
        <w:wordWrap/>
        <w:overflowPunct/>
        <w:topLinePunct w:val="0"/>
        <w:bidi w:val="0"/>
        <w:adjustRightInd/>
        <w:snapToGrid/>
        <w:spacing w:beforeAutospacing="0" w:afterAutospacing="0" w:line="360" w:lineRule="auto"/>
        <w:textAlignment w:val="auto"/>
        <w:rPr>
          <w:rFonts w:ascii="宋体" w:hAnsi="宋体" w:cs="宋体"/>
          <w:color w:val="auto"/>
        </w:rPr>
      </w:pP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）商务技术偏离表</w:t>
      </w:r>
      <w:r>
        <w:rPr>
          <w:rFonts w:hint="eastAsia" w:ascii="宋体" w:hAnsi="宋体" w:cs="宋体"/>
          <w:color w:val="auto"/>
        </w:rPr>
        <w:t>……………………………………………………………………（页码）</w:t>
      </w:r>
    </w:p>
    <w:p w14:paraId="27CDBD42">
      <w:pPr>
        <w:kinsoku/>
        <w:wordWrap/>
        <w:overflowPunct/>
        <w:topLinePunct w:val="0"/>
        <w:bidi w:val="0"/>
        <w:adjustRightInd/>
        <w:snapToGrid/>
        <w:spacing w:beforeAutospacing="0" w:afterAutospacing="0" w:line="360" w:lineRule="auto"/>
        <w:textAlignment w:val="auto"/>
        <w:rPr>
          <w:rFonts w:ascii="宋体" w:hAnsi="宋体" w:cs="宋体"/>
          <w:color w:val="auto"/>
        </w:rPr>
      </w:pP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r>
        <w:rPr>
          <w:rFonts w:hint="eastAsia" w:ascii="宋体" w:hAnsi="宋体" w:cs="宋体"/>
          <w:color w:val="auto"/>
        </w:rPr>
        <w:t>………………………………………………（页码）</w:t>
      </w:r>
    </w:p>
    <w:p w14:paraId="0A7DEB45">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6456077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438FA07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74167D6B">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1C5AF53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749E778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21409B9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1EFF5C7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428DBE3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35C4FACA">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4E3BB33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1A08C297">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p>
    <w:p w14:paraId="599069C5">
      <w:pPr>
        <w:kinsoku/>
        <w:wordWrap/>
        <w:overflowPunct/>
        <w:topLinePunct w:val="0"/>
        <w:bidi w:val="0"/>
        <w:adjustRightInd/>
        <w:snapToGrid/>
        <w:spacing w:beforeAutospacing="0" w:afterAutospacing="0" w:line="360" w:lineRule="auto"/>
        <w:textAlignment w:val="auto"/>
        <w:rPr>
          <w:rFonts w:ascii="宋体" w:hAnsi="宋体" w:cs="宋体"/>
          <w:b/>
          <w:color w:val="auto"/>
          <w:kern w:val="0"/>
          <w:sz w:val="32"/>
          <w:szCs w:val="32"/>
          <w:lang w:val="zh-CN"/>
        </w:rPr>
      </w:pPr>
    </w:p>
    <w:p w14:paraId="28A6C08F">
      <w:pPr>
        <w:widowControl/>
        <w:kinsoku/>
        <w:wordWrap/>
        <w:overflowPunct/>
        <w:topLinePunct w:val="0"/>
        <w:bidi w:val="0"/>
        <w:adjustRightInd/>
        <w:snapToGrid/>
        <w:spacing w:beforeAutospacing="0" w:afterAutospacing="0" w:line="360" w:lineRule="auto"/>
        <w:jc w:val="left"/>
        <w:textAlignment w:val="auto"/>
        <w:rPr>
          <w:rFonts w:ascii="宋体" w:hAnsi="宋体" w:cs="宋体"/>
          <w:b/>
          <w:color w:val="auto"/>
          <w:kern w:val="0"/>
          <w:sz w:val="32"/>
          <w:szCs w:val="32"/>
        </w:rPr>
      </w:pPr>
      <w:r>
        <w:rPr>
          <w:rFonts w:ascii="宋体" w:hAnsi="宋体" w:cs="宋体"/>
          <w:b/>
          <w:color w:val="auto"/>
          <w:kern w:val="0"/>
          <w:sz w:val="32"/>
          <w:szCs w:val="32"/>
        </w:rPr>
        <w:br w:type="page"/>
      </w:r>
    </w:p>
    <w:p w14:paraId="40780BE5">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14:paraId="61453D52">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（采购人）、（采购代理机构）：</w:t>
      </w:r>
    </w:p>
    <w:p w14:paraId="46B3B639">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我方参加你方组织的（项目名称）【招标编号：（采购编号）】招标的有关活动，并对此项目进行投标。为此：</w:t>
      </w:r>
    </w:p>
    <w:p w14:paraId="64FE3CF8">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天（不少于90天）</w:t>
      </w:r>
      <w:r>
        <w:rPr>
          <w:rFonts w:hint="eastAsia" w:ascii="宋体" w:hAnsi="宋体" w:cs="宋体"/>
          <w:color w:val="auto"/>
        </w:rPr>
        <w:t>，</w:t>
      </w:r>
      <w:r>
        <w:rPr>
          <w:rFonts w:hint="eastAsia" w:ascii="宋体" w:hAnsi="宋体" w:cs="宋体"/>
          <w:color w:val="auto"/>
          <w:sz w:val="24"/>
        </w:rPr>
        <w:t>本投标文件在投标有效期满之前均具有约束力。</w:t>
      </w:r>
    </w:p>
    <w:p w14:paraId="59BCEE2E">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2、我方的投标文件包括以下内容：</w:t>
      </w:r>
    </w:p>
    <w:p w14:paraId="03A8943F">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rPr>
        <w:t>2.1资格文件：</w:t>
      </w:r>
    </w:p>
    <w:p w14:paraId="6684FEBA">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2.1.1承诺函；</w:t>
      </w:r>
    </w:p>
    <w:p w14:paraId="73172F16">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w:t>
      </w:r>
      <w:r>
        <w:rPr>
          <w:rFonts w:hint="eastAsia" w:ascii="宋体" w:hAnsi="宋体" w:cs="宋体"/>
          <w:color w:val="auto"/>
          <w:sz w:val="24"/>
        </w:rPr>
        <w:t>（如果有)</w:t>
      </w:r>
      <w:r>
        <w:rPr>
          <w:rFonts w:hint="eastAsia" w:ascii="宋体" w:hAnsi="宋体" w:cs="宋体"/>
          <w:snapToGrid w:val="0"/>
          <w:color w:val="auto"/>
          <w:kern w:val="28"/>
          <w:sz w:val="24"/>
          <w:szCs w:val="20"/>
        </w:rPr>
        <w:t>；</w:t>
      </w:r>
    </w:p>
    <w:p w14:paraId="5F7602CA">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落实政府采购政策需满足的资格要求（如果有）；</w:t>
      </w:r>
    </w:p>
    <w:p w14:paraId="600C4438">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本项目的特定资格要求（如果有)。</w:t>
      </w:r>
    </w:p>
    <w:p w14:paraId="7A700E78">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052FDA89">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14:paraId="1253C0AD">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2.2.2授权委托书或法定代表人（单位负责人）身份证明；</w:t>
      </w:r>
    </w:p>
    <w:p w14:paraId="78E2FDC1">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分包意向协议（如果有)；</w:t>
      </w:r>
    </w:p>
    <w:p w14:paraId="7F39262A">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p>
    <w:p w14:paraId="6CF94EEB">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p>
    <w:p w14:paraId="41450F58">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p>
    <w:p w14:paraId="7EA81A22">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14:paraId="5CA9DA7C">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14:paraId="7A970A6B">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14:paraId="1E473E9D">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2.3.1开标一览表（报价表）；</w:t>
      </w:r>
    </w:p>
    <w:p w14:paraId="002295CA">
      <w:pPr>
        <w:kinsoku/>
        <w:wordWrap/>
        <w:overflowPunct/>
        <w:topLinePunct w:val="0"/>
        <w:bidi w:val="0"/>
        <w:adjustRightInd/>
        <w:snapToGrid/>
        <w:spacing w:beforeAutospacing="0" w:afterAutospacing="0" w:line="360" w:lineRule="auto"/>
        <w:ind w:left="420" w:leftChars="200" w:firstLine="480" w:firstLineChars="200"/>
        <w:textAlignment w:val="auto"/>
        <w:rPr>
          <w:rFonts w:ascii="宋体" w:hAnsi="宋体" w:cs="宋体"/>
          <w:color w:val="auto"/>
          <w:sz w:val="24"/>
        </w:rPr>
      </w:pPr>
      <w:r>
        <w:rPr>
          <w:rFonts w:hint="eastAsia" w:ascii="宋体" w:hAnsi="宋体" w:cs="宋体"/>
          <w:color w:val="auto"/>
          <w:sz w:val="24"/>
        </w:rPr>
        <w:t>2.3.2中小企业声明函（如果有）。</w:t>
      </w:r>
    </w:p>
    <w:p w14:paraId="5D1F017C">
      <w:pPr>
        <w:numPr>
          <w:ilvl w:val="0"/>
          <w:numId w:val="0"/>
        </w:numPr>
        <w:kinsoku/>
        <w:wordWrap/>
        <w:overflowPunct/>
        <w:topLinePunct w:val="0"/>
        <w:bidi w:val="0"/>
        <w:adjustRightInd/>
        <w:snapToGrid/>
        <w:spacing w:beforeAutospacing="0" w:afterAutospacing="0"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4E75574">
      <w:pPr>
        <w:numPr>
          <w:ilvl w:val="0"/>
          <w:numId w:val="0"/>
        </w:num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ascii="宋体" w:hAnsi="宋体" w:eastAsia="宋体" w:cs="宋体"/>
          <w:color w:val="auto"/>
          <w:kern w:val="2"/>
          <w:sz w:val="24"/>
          <w:szCs w:val="24"/>
          <w:lang w:val="en-US" w:eastAsia="zh-CN" w:bidi="ar-SA"/>
        </w:rPr>
        <w:t>4、</w:t>
      </w:r>
      <w:r>
        <w:rPr>
          <w:rFonts w:hint="eastAsia" w:ascii="宋体" w:hAnsi="宋体" w:cs="宋体"/>
          <w:color w:val="auto"/>
          <w:sz w:val="24"/>
        </w:rPr>
        <w:t>如我方中标，我方承诺：</w:t>
      </w:r>
    </w:p>
    <w:p w14:paraId="290C6BF7">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14:paraId="031A8FB5">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rPr>
        <w:t xml:space="preserve">4.2在签订合同时不向你方提出附加条件； </w:t>
      </w:r>
    </w:p>
    <w:p w14:paraId="723CC219">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rPr>
        <w:t xml:space="preserve">4.3按照招标文件要求提交履约保证金； </w:t>
      </w:r>
    </w:p>
    <w:p w14:paraId="33B5B563">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14:paraId="3DCE62F2">
      <w:pPr>
        <w:kinsoku/>
        <w:wordWrap/>
        <w:overflowPunct/>
        <w:topLinePunct w:val="0"/>
        <w:bidi w:val="0"/>
        <w:adjustRightInd/>
        <w:snapToGrid/>
        <w:spacing w:beforeAutospacing="0" w:afterAutospacing="0" w:line="360" w:lineRule="auto"/>
        <w:ind w:left="210" w:leftChars="100" w:firstLine="480" w:firstLineChars="200"/>
        <w:textAlignment w:val="auto"/>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1CD7F2B">
      <w:pPr>
        <w:kinsoku/>
        <w:wordWrap/>
        <w:overflowPunct/>
        <w:topLinePunct w:val="0"/>
        <w:bidi w:val="0"/>
        <w:adjustRightInd/>
        <w:snapToGrid/>
        <w:spacing w:beforeAutospacing="0" w:afterAutospacing="0" w:line="360" w:lineRule="auto"/>
        <w:ind w:left="210" w:leftChars="100" w:firstLine="480"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其他补充说明</w:t>
      </w:r>
      <w:r>
        <w:rPr>
          <w:rFonts w:hint="eastAsia" w:ascii="宋体" w:hAnsi="宋体" w:cs="宋体"/>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rPr>
        <w:t>。</w:t>
      </w:r>
    </w:p>
    <w:p w14:paraId="4553A556">
      <w:pPr>
        <w:kinsoku/>
        <w:wordWrap/>
        <w:overflowPunct/>
        <w:topLinePunct w:val="0"/>
        <w:bidi w:val="0"/>
        <w:adjustRightInd/>
        <w:snapToGrid/>
        <w:spacing w:beforeAutospacing="0" w:afterAutospacing="0" w:line="360" w:lineRule="auto"/>
        <w:ind w:firstLine="3600" w:firstLineChars="1500"/>
        <w:textAlignment w:val="auto"/>
        <w:rPr>
          <w:rFonts w:ascii="宋体" w:hAnsi="宋体" w:cs="宋体"/>
          <w:color w:val="auto"/>
          <w:sz w:val="24"/>
        </w:rPr>
      </w:pPr>
      <w:r>
        <w:rPr>
          <w:rFonts w:hint="eastAsia" w:ascii="宋体" w:hAnsi="宋体" w:cs="宋体"/>
          <w:color w:val="auto"/>
          <w:sz w:val="24"/>
        </w:rPr>
        <w:t xml:space="preserve">投标人名称（电子签名）：                          </w:t>
      </w:r>
    </w:p>
    <w:p w14:paraId="29B7634C">
      <w:pPr>
        <w:kinsoku/>
        <w:wordWrap/>
        <w:overflowPunct/>
        <w:topLinePunct w:val="0"/>
        <w:bidi w:val="0"/>
        <w:adjustRightInd/>
        <w:snapToGrid/>
        <w:spacing w:beforeAutospacing="0" w:afterAutospacing="0" w:line="360" w:lineRule="auto"/>
        <w:jc w:val="center"/>
        <w:textAlignment w:val="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日期：  年   月   日</w:t>
      </w:r>
    </w:p>
    <w:p w14:paraId="61DFFCB7">
      <w:pPr>
        <w:kinsoku/>
        <w:wordWrap/>
        <w:overflowPunct/>
        <w:topLinePunct w:val="0"/>
        <w:bidi w:val="0"/>
        <w:adjustRightInd/>
        <w:snapToGrid/>
        <w:spacing w:beforeAutospacing="0" w:afterAutospacing="0" w:line="360" w:lineRule="auto"/>
        <w:ind w:left="420" w:leftChars="200" w:firstLine="4200" w:firstLineChars="1750"/>
        <w:textAlignment w:val="auto"/>
        <w:rPr>
          <w:rFonts w:ascii="宋体" w:hAnsi="宋体" w:cs="宋体"/>
          <w:color w:val="auto"/>
          <w:kern w:val="0"/>
          <w:sz w:val="24"/>
          <w:u w:val="single"/>
        </w:rPr>
      </w:pPr>
    </w:p>
    <w:p w14:paraId="3E40D215">
      <w:pPr>
        <w:kinsoku/>
        <w:wordWrap/>
        <w:overflowPunct/>
        <w:topLinePunct w:val="0"/>
        <w:bidi w:val="0"/>
        <w:adjustRightInd/>
        <w:snapToGrid/>
        <w:spacing w:beforeAutospacing="0" w:afterAutospacing="0" w:line="360" w:lineRule="auto"/>
        <w:ind w:right="420"/>
        <w:textAlignment w:val="auto"/>
        <w:rPr>
          <w:rFonts w:ascii="宋体" w:hAnsi="宋体" w:cs="宋体"/>
          <w:color w:val="auto"/>
          <w:sz w:val="24"/>
        </w:rPr>
      </w:pPr>
      <w:r>
        <w:rPr>
          <w:rFonts w:hint="eastAsia" w:ascii="宋体" w:hAnsi="宋体" w:cs="宋体"/>
          <w:color w:val="auto"/>
          <w:sz w:val="24"/>
        </w:rPr>
        <w:t>注：按本格式和要求提供。</w:t>
      </w:r>
    </w:p>
    <w:p w14:paraId="057C1421">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38D7D80F">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p>
    <w:p w14:paraId="4F2C387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6ABD2BE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19BF1D4A">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7C384ED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35F7456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2504AFD6">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166B5AB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6ED5FBD8">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0A893AF6">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12AE3028">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76990EF3">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2C4D6E5A">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4CC474BC">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14:paraId="77B27A07">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 xml:space="preserve">                                </w:t>
      </w:r>
    </w:p>
    <w:p w14:paraId="201106C6">
      <w:pPr>
        <w:kinsoku/>
        <w:wordWrap/>
        <w:overflowPunct/>
        <w:topLinePunct w:val="0"/>
        <w:bidi w:val="0"/>
        <w:adjustRightInd/>
        <w:snapToGrid/>
        <w:spacing w:beforeAutospacing="0" w:afterAutospacing="0" w:line="360" w:lineRule="auto"/>
        <w:ind w:firstLine="2872" w:firstLineChars="894"/>
        <w:textAlignment w:val="auto"/>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14:paraId="756E3DC1">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43B85C3">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14:paraId="0FEBAC2E">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01E0C5F7">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C318709">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kern w:val="0"/>
          <w:sz w:val="24"/>
          <w:lang w:val="zh-CN"/>
        </w:rPr>
        <w:t xml:space="preserve">                                              投标人名称(电子签名)：</w:t>
      </w:r>
    </w:p>
    <w:p w14:paraId="5F4B578E">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val="zh-CN"/>
        </w:rPr>
        <w:t>月   日</w:t>
      </w:r>
    </w:p>
    <w:p w14:paraId="72A0B1D8">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p>
    <w:p w14:paraId="5646EA4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r>
        <w:rPr>
          <w:rFonts w:hint="eastAsia" w:ascii="宋体" w:hAnsi="宋体" w:cs="宋体"/>
          <w:b/>
          <w:color w:val="auto"/>
          <w:kern w:val="0"/>
          <w:sz w:val="32"/>
          <w:szCs w:val="32"/>
          <w:lang w:val="zh-CN"/>
        </w:rPr>
        <w:t xml:space="preserve">      </w:t>
      </w: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授权委托书（适用于联合体投标）</w:t>
      </w:r>
    </w:p>
    <w:p w14:paraId="55290081">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5EC7DB41">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14:paraId="2AE2CEC1">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2486D962">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68DECAF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0C16EA2B">
      <w:pPr>
        <w:kinsoku/>
        <w:wordWrap/>
        <w:overflowPunct/>
        <w:topLinePunct w:val="0"/>
        <w:bidi w:val="0"/>
        <w:adjustRightInd/>
        <w:snapToGrid/>
        <w:spacing w:beforeAutospacing="0" w:afterAutospacing="0" w:line="360" w:lineRule="auto"/>
        <w:textAlignment w:val="auto"/>
        <w:rPr>
          <w:rFonts w:ascii="宋体" w:hAnsi="宋体" w:cs="宋体"/>
          <w:color w:val="auto"/>
        </w:rPr>
      </w:pPr>
    </w:p>
    <w:p w14:paraId="4CCA8644">
      <w:pPr>
        <w:kinsoku/>
        <w:wordWrap/>
        <w:overflowPunct/>
        <w:topLinePunct w:val="0"/>
        <w:bidi w:val="0"/>
        <w:adjustRightInd/>
        <w:snapToGrid/>
        <w:spacing w:beforeAutospacing="0" w:afterAutospacing="0" w:line="360" w:lineRule="auto"/>
        <w:ind w:firstLine="4560" w:firstLineChars="1900"/>
        <w:textAlignment w:val="auto"/>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4363B76C">
      <w:pPr>
        <w:kinsoku/>
        <w:wordWrap/>
        <w:overflowPunct/>
        <w:topLinePunct w:val="0"/>
        <w:bidi w:val="0"/>
        <w:adjustRightInd/>
        <w:snapToGrid/>
        <w:spacing w:beforeAutospacing="0" w:afterAutospacing="0" w:line="360" w:lineRule="auto"/>
        <w:ind w:firstLine="4560" w:firstLineChars="1900"/>
        <w:textAlignment w:val="auto"/>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63831895">
      <w:pPr>
        <w:kinsoku/>
        <w:wordWrap/>
        <w:overflowPunct/>
        <w:topLinePunct w:val="0"/>
        <w:bidi w:val="0"/>
        <w:adjustRightInd/>
        <w:snapToGrid/>
        <w:spacing w:beforeAutospacing="0" w:afterAutospacing="0" w:line="360" w:lineRule="auto"/>
        <w:ind w:firstLine="5760" w:firstLineChars="2400"/>
        <w:textAlignment w:val="auto"/>
        <w:rPr>
          <w:rFonts w:ascii="宋体" w:hAnsi="宋体" w:cs="宋体"/>
          <w:color w:val="auto"/>
        </w:rPr>
      </w:pPr>
      <w:r>
        <w:rPr>
          <w:rFonts w:hint="eastAsia" w:ascii="宋体" w:hAnsi="宋体" w:cs="宋体"/>
          <w:color w:val="auto"/>
          <w:kern w:val="0"/>
          <w:sz w:val="24"/>
          <w:lang w:val="zh-CN"/>
        </w:rPr>
        <w:t>……</w:t>
      </w:r>
    </w:p>
    <w:p w14:paraId="4C0690EB">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0B923601">
      <w:pP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br w:type="page"/>
      </w:r>
    </w:p>
    <w:p w14:paraId="4FCE5971">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14:paraId="3E42836C">
      <w:pPr>
        <w:pStyle w:val="149"/>
        <w:kinsoku/>
        <w:wordWrap/>
        <w:overflowPunct/>
        <w:topLinePunct w:val="0"/>
        <w:bidi w:val="0"/>
        <w:adjustRightInd/>
        <w:snapToGrid/>
        <w:spacing w:beforeAutospacing="0" w:afterAutospacing="0" w:line="360" w:lineRule="auto"/>
        <w:textAlignment w:val="auto"/>
        <w:rPr>
          <w:rFonts w:hAnsi="宋体" w:cs="宋体"/>
          <w:bCs/>
          <w:color w:val="auto"/>
          <w:sz w:val="24"/>
        </w:rPr>
      </w:pPr>
      <w:r>
        <w:rPr>
          <w:rFonts w:hint="eastAsia" w:hAnsi="宋体" w:cs="宋体"/>
          <w:bCs/>
          <w:color w:val="auto"/>
          <w:sz w:val="24"/>
        </w:rPr>
        <w:t>身份证件扫描件：</w:t>
      </w:r>
    </w:p>
    <w:tbl>
      <w:tblPr>
        <w:tblStyle w:val="63"/>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0F3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7" w:hRule="atLeast"/>
          <w:jc w:val="center"/>
        </w:trPr>
        <w:tc>
          <w:tcPr>
            <w:tcW w:w="8840" w:type="dxa"/>
          </w:tcPr>
          <w:p w14:paraId="2EA8021B">
            <w:pPr>
              <w:pStyle w:val="149"/>
              <w:kinsoku/>
              <w:wordWrap/>
              <w:overflowPunct/>
              <w:topLinePunct w:val="0"/>
              <w:bidi w:val="0"/>
              <w:adjustRightInd/>
              <w:snapToGrid/>
              <w:spacing w:beforeAutospacing="0" w:afterAutospacing="0" w:line="360" w:lineRule="auto"/>
              <w:textAlignment w:val="auto"/>
              <w:rPr>
                <w:rFonts w:hAnsi="宋体" w:cs="宋体"/>
                <w:bCs/>
                <w:color w:val="auto"/>
                <w:sz w:val="24"/>
              </w:rPr>
            </w:pPr>
            <w:r>
              <w:rPr>
                <w:rFonts w:hint="eastAsia" w:hAnsi="宋体" w:cs="宋体"/>
                <w:bCs/>
                <w:color w:val="auto"/>
                <w:sz w:val="24"/>
              </w:rPr>
              <w:t>正面：                                 反面：</w:t>
            </w:r>
          </w:p>
          <w:p w14:paraId="346528AA">
            <w:pPr>
              <w:pStyle w:val="149"/>
              <w:kinsoku/>
              <w:wordWrap/>
              <w:overflowPunct/>
              <w:topLinePunct w:val="0"/>
              <w:bidi w:val="0"/>
              <w:adjustRightInd/>
              <w:snapToGrid/>
              <w:spacing w:beforeAutospacing="0" w:afterAutospacing="0" w:line="360" w:lineRule="auto"/>
              <w:textAlignment w:val="auto"/>
              <w:rPr>
                <w:rFonts w:hAnsi="宋体" w:cs="宋体"/>
                <w:bCs/>
                <w:color w:val="auto"/>
                <w:sz w:val="24"/>
              </w:rPr>
            </w:pPr>
          </w:p>
        </w:tc>
      </w:tr>
    </w:tbl>
    <w:p w14:paraId="1E2F0FD6">
      <w:pPr>
        <w:kinsoku/>
        <w:wordWrap/>
        <w:overflowPunct/>
        <w:topLinePunct w:val="0"/>
        <w:bidi w:val="0"/>
        <w:adjustRightInd/>
        <w:snapToGrid/>
        <w:spacing w:beforeAutospacing="0" w:afterAutospacing="0" w:line="360" w:lineRule="auto"/>
        <w:ind w:firstLine="576"/>
        <w:jc w:val="center"/>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6ABCA085">
      <w:pPr>
        <w:kinsoku/>
        <w:wordWrap/>
        <w:overflowPunct/>
        <w:topLinePunct w:val="0"/>
        <w:bidi w:val="0"/>
        <w:adjustRightInd/>
        <w:snapToGrid/>
        <w:spacing w:beforeAutospacing="0" w:afterAutospacing="0" w:line="360" w:lineRule="auto"/>
        <w:ind w:firstLine="576"/>
        <w:jc w:val="center"/>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投标人名称(电子签名)：                              </w:t>
      </w:r>
    </w:p>
    <w:p w14:paraId="26E394A3">
      <w:pPr>
        <w:kinsoku/>
        <w:wordWrap/>
        <w:overflowPunct/>
        <w:topLinePunct w:val="0"/>
        <w:bidi w:val="0"/>
        <w:adjustRightInd/>
        <w:snapToGrid/>
        <w:spacing w:beforeAutospacing="0" w:afterAutospacing="0" w:line="360" w:lineRule="auto"/>
        <w:jc w:val="center"/>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57BD53F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2069125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531EA0A6">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189511F7">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73CE1B0A">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1F5045E3">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0D11BB85">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24298EE7">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79D4BDF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72BCFBFC">
      <w:pPr>
        <w:kinsoku/>
        <w:wordWrap/>
        <w:overflowPunct/>
        <w:topLinePunct w:val="0"/>
        <w:bidi w:val="0"/>
        <w:adjustRightInd/>
        <w:snapToGrid/>
        <w:spacing w:beforeAutospacing="0" w:afterAutospacing="0" w:line="360" w:lineRule="auto"/>
        <w:ind w:right="480"/>
        <w:textAlignment w:val="auto"/>
        <w:rPr>
          <w:rFonts w:ascii="宋体" w:hAnsi="宋体" w:cs="宋体"/>
          <w:b/>
          <w:color w:val="auto"/>
          <w:kern w:val="0"/>
          <w:sz w:val="32"/>
          <w:szCs w:val="32"/>
        </w:rPr>
        <w:sectPr>
          <w:headerReference r:id="rId11" w:type="first"/>
          <w:footerReference r:id="rId13" w:type="first"/>
          <w:headerReference r:id="rId10" w:type="default"/>
          <w:footerReference r:id="rId12" w:type="default"/>
          <w:pgSz w:w="11906" w:h="16838"/>
          <w:pgMar w:top="1440" w:right="1800" w:bottom="1440" w:left="1800" w:header="851" w:footer="992" w:gutter="0"/>
          <w:cols w:space="720" w:num="1"/>
          <w:titlePg/>
          <w:docGrid w:linePitch="312" w:charSpace="0"/>
        </w:sectPr>
      </w:pPr>
    </w:p>
    <w:p w14:paraId="4B07E68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14:paraId="0C7D5C83">
      <w:pPr>
        <w:widowControl/>
        <w:kinsoku/>
        <w:wordWrap/>
        <w:overflowPunct/>
        <w:topLinePunct w:val="0"/>
        <w:bidi w:val="0"/>
        <w:adjustRightInd/>
        <w:snapToGrid/>
        <w:spacing w:beforeAutospacing="0" w:afterAutospacing="0" w:line="360" w:lineRule="auto"/>
        <w:ind w:firstLine="120" w:firstLineChars="50"/>
        <w:jc w:val="left"/>
        <w:textAlignment w:val="auto"/>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p w14:paraId="60234978">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p>
    <w:p w14:paraId="34F5A1DB">
      <w:pPr>
        <w:kinsoku/>
        <w:wordWrap/>
        <w:overflowPunct/>
        <w:topLinePunct w:val="0"/>
        <w:bidi w:val="0"/>
        <w:adjustRightInd/>
        <w:snapToGrid/>
        <w:spacing w:beforeAutospacing="0" w:afterAutospacing="0" w:line="360" w:lineRule="auto"/>
        <w:jc w:val="center"/>
        <w:textAlignment w:val="auto"/>
        <w:rPr>
          <w:rFonts w:hint="eastAsia" w:ascii="宋体" w:hAnsi="宋体" w:cs="宋体"/>
          <w:b/>
          <w:color w:val="auto"/>
          <w:kern w:val="0"/>
          <w:sz w:val="32"/>
          <w:szCs w:val="32"/>
        </w:rPr>
      </w:pPr>
    </w:p>
    <w:p w14:paraId="1FDA744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四、符合性审查资料</w:t>
      </w:r>
    </w:p>
    <w:tbl>
      <w:tblPr>
        <w:tblStyle w:val="63"/>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976"/>
        <w:gridCol w:w="2881"/>
        <w:gridCol w:w="2010"/>
      </w:tblGrid>
      <w:tr w14:paraId="5D58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20" w:type="dxa"/>
            <w:vAlign w:val="center"/>
          </w:tcPr>
          <w:p w14:paraId="5C7DC11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z w:val="24"/>
              </w:rPr>
            </w:pPr>
            <w:r>
              <w:rPr>
                <w:rFonts w:hint="eastAsia" w:ascii="宋体" w:hAnsi="宋体" w:cs="宋体"/>
                <w:b/>
                <w:color w:val="auto"/>
                <w:sz w:val="24"/>
              </w:rPr>
              <w:t>序号</w:t>
            </w:r>
          </w:p>
        </w:tc>
        <w:tc>
          <w:tcPr>
            <w:tcW w:w="3976" w:type="dxa"/>
            <w:vAlign w:val="center"/>
          </w:tcPr>
          <w:p w14:paraId="5E01F8F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z w:val="24"/>
              </w:rPr>
            </w:pPr>
            <w:r>
              <w:rPr>
                <w:rFonts w:hint="eastAsia" w:ascii="宋体" w:hAnsi="宋体" w:cs="宋体"/>
                <w:b/>
                <w:color w:val="auto"/>
                <w:sz w:val="24"/>
              </w:rPr>
              <w:t>实质性要求</w:t>
            </w:r>
          </w:p>
        </w:tc>
        <w:tc>
          <w:tcPr>
            <w:tcW w:w="2881" w:type="dxa"/>
            <w:vAlign w:val="center"/>
          </w:tcPr>
          <w:p w14:paraId="49DD77B5">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z w:val="24"/>
              </w:rPr>
            </w:pPr>
            <w:r>
              <w:rPr>
                <w:rFonts w:hint="eastAsia" w:ascii="宋体" w:hAnsi="宋体" w:cs="宋体"/>
                <w:b/>
                <w:color w:val="auto"/>
                <w:sz w:val="24"/>
              </w:rPr>
              <w:t>需要提供的符合性审查资料</w:t>
            </w:r>
          </w:p>
        </w:tc>
        <w:tc>
          <w:tcPr>
            <w:tcW w:w="2010" w:type="dxa"/>
            <w:vAlign w:val="center"/>
          </w:tcPr>
          <w:p w14:paraId="1D8A7631">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z w:val="24"/>
              </w:rPr>
            </w:pPr>
            <w:r>
              <w:rPr>
                <w:rFonts w:hint="eastAsia" w:ascii="宋体" w:hAnsi="宋体" w:cs="宋体"/>
                <w:b/>
                <w:color w:val="auto"/>
                <w:sz w:val="24"/>
              </w:rPr>
              <w:t>投标文件中的</w:t>
            </w:r>
          </w:p>
          <w:p w14:paraId="1E0EA92A">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z w:val="24"/>
              </w:rPr>
            </w:pPr>
            <w:r>
              <w:rPr>
                <w:rFonts w:hint="eastAsia" w:ascii="宋体" w:hAnsi="宋体" w:cs="宋体"/>
                <w:b/>
                <w:color w:val="auto"/>
                <w:sz w:val="24"/>
              </w:rPr>
              <w:t>页码位置</w:t>
            </w:r>
          </w:p>
        </w:tc>
      </w:tr>
      <w:tr w14:paraId="5C2E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11B86352">
            <w:pPr>
              <w:kinsoku/>
              <w:wordWrap/>
              <w:overflowPunct/>
              <w:topLinePunct w:val="0"/>
              <w:bidi w:val="0"/>
              <w:adjustRightInd/>
              <w:snapToGrid/>
              <w:spacing w:beforeAutospacing="0" w:afterAutospacing="0" w:line="360" w:lineRule="auto"/>
              <w:jc w:val="center"/>
              <w:textAlignment w:val="auto"/>
              <w:rPr>
                <w:rFonts w:ascii="宋体" w:hAnsi="宋体" w:cs="宋体"/>
                <w:color w:val="auto"/>
                <w:sz w:val="24"/>
              </w:rPr>
            </w:pPr>
            <w:r>
              <w:rPr>
                <w:rFonts w:hint="eastAsia" w:ascii="宋体" w:hAnsi="宋体" w:cs="宋体"/>
                <w:color w:val="auto"/>
                <w:sz w:val="24"/>
              </w:rPr>
              <w:t>1</w:t>
            </w:r>
          </w:p>
        </w:tc>
        <w:tc>
          <w:tcPr>
            <w:tcW w:w="3976" w:type="dxa"/>
          </w:tcPr>
          <w:p w14:paraId="2E30E7DA">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投标文件按照招标文件要求签署、盖章。</w:t>
            </w:r>
          </w:p>
        </w:tc>
        <w:tc>
          <w:tcPr>
            <w:tcW w:w="2881" w:type="dxa"/>
            <w:vAlign w:val="center"/>
          </w:tcPr>
          <w:p w14:paraId="31777769">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需要使用电子签名或者签字盖章的投标文件的组成部分</w:t>
            </w:r>
          </w:p>
        </w:tc>
        <w:tc>
          <w:tcPr>
            <w:tcW w:w="2010" w:type="dxa"/>
          </w:tcPr>
          <w:p w14:paraId="49518C3E">
            <w:pPr>
              <w:kinsoku/>
              <w:wordWrap/>
              <w:overflowPunct/>
              <w:topLinePunct w:val="0"/>
              <w:bidi w:val="0"/>
              <w:adjustRightInd/>
              <w:snapToGrid/>
              <w:spacing w:beforeAutospacing="0" w:afterAutospacing="0" w:line="360" w:lineRule="auto"/>
              <w:textAlignment w:val="auto"/>
              <w:rPr>
                <w:rFonts w:hint="eastAsia" w:ascii="宋体" w:hAnsi="宋体" w:cs="宋体"/>
                <w:color w:val="auto"/>
                <w:sz w:val="24"/>
              </w:rPr>
            </w:pPr>
            <w:r>
              <w:rPr>
                <w:rFonts w:hint="eastAsia" w:ascii="宋体" w:hAnsi="宋体" w:cs="宋体"/>
                <w:color w:val="auto"/>
                <w:sz w:val="24"/>
              </w:rPr>
              <w:t>见投标文件</w:t>
            </w:r>
          </w:p>
          <w:p w14:paraId="79D6C209">
            <w:pPr>
              <w:kinsoku/>
              <w:wordWrap/>
              <w:overflowPunct/>
              <w:topLinePunct w:val="0"/>
              <w:bidi w:val="0"/>
              <w:adjustRightInd/>
              <w:snapToGrid/>
              <w:spacing w:beforeAutospacing="0" w:afterAutospacing="0" w:line="360" w:lineRule="auto"/>
              <w:textAlignment w:val="auto"/>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7C55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7765FEBE">
            <w:pPr>
              <w:kinsoku/>
              <w:wordWrap/>
              <w:overflowPunct/>
              <w:topLinePunct w:val="0"/>
              <w:bidi w:val="0"/>
              <w:adjustRightInd/>
              <w:snapToGrid/>
              <w:spacing w:beforeAutospacing="0" w:afterAutospacing="0" w:line="360" w:lineRule="auto"/>
              <w:jc w:val="center"/>
              <w:textAlignment w:val="auto"/>
              <w:rPr>
                <w:rFonts w:ascii="宋体" w:hAnsi="宋体" w:cs="宋体"/>
                <w:color w:val="auto"/>
                <w:sz w:val="24"/>
              </w:rPr>
            </w:pPr>
            <w:r>
              <w:rPr>
                <w:rFonts w:hint="eastAsia" w:ascii="宋体" w:hAnsi="宋体" w:cs="宋体"/>
                <w:color w:val="auto"/>
                <w:sz w:val="24"/>
              </w:rPr>
              <w:t>2</w:t>
            </w:r>
          </w:p>
        </w:tc>
        <w:tc>
          <w:tcPr>
            <w:tcW w:w="3976" w:type="dxa"/>
          </w:tcPr>
          <w:p w14:paraId="5A9A464C">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投标文件中承诺的投标有效期不少于招标文件中载明的投标有效期。</w:t>
            </w:r>
          </w:p>
        </w:tc>
        <w:tc>
          <w:tcPr>
            <w:tcW w:w="2881" w:type="dxa"/>
            <w:vAlign w:val="center"/>
          </w:tcPr>
          <w:p w14:paraId="032BDFE7">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投标函</w:t>
            </w:r>
          </w:p>
        </w:tc>
        <w:tc>
          <w:tcPr>
            <w:tcW w:w="2010" w:type="dxa"/>
          </w:tcPr>
          <w:p w14:paraId="6C2DBA13">
            <w:pPr>
              <w:kinsoku/>
              <w:wordWrap/>
              <w:overflowPunct/>
              <w:topLinePunct w:val="0"/>
              <w:bidi w:val="0"/>
              <w:adjustRightInd/>
              <w:snapToGrid/>
              <w:spacing w:beforeAutospacing="0" w:afterAutospacing="0" w:line="360" w:lineRule="auto"/>
              <w:textAlignment w:val="auto"/>
              <w:rPr>
                <w:rFonts w:hint="eastAsia" w:ascii="宋体" w:hAnsi="宋体" w:cs="宋体"/>
                <w:color w:val="auto"/>
                <w:sz w:val="24"/>
              </w:rPr>
            </w:pPr>
            <w:r>
              <w:rPr>
                <w:rFonts w:hint="eastAsia" w:ascii="宋体" w:hAnsi="宋体" w:cs="宋体"/>
                <w:color w:val="auto"/>
                <w:sz w:val="24"/>
              </w:rPr>
              <w:t>见投标文件</w:t>
            </w:r>
          </w:p>
          <w:p w14:paraId="3E7E4132">
            <w:pPr>
              <w:kinsoku/>
              <w:wordWrap/>
              <w:overflowPunct/>
              <w:topLinePunct w:val="0"/>
              <w:bidi w:val="0"/>
              <w:adjustRightInd/>
              <w:snapToGrid/>
              <w:spacing w:beforeAutospacing="0" w:afterAutospacing="0" w:line="360" w:lineRule="auto"/>
              <w:textAlignment w:val="auto"/>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0514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5852881A">
            <w:pPr>
              <w:jc w:val="center"/>
              <w:rPr>
                <w:rFonts w:ascii="宋体" w:hAnsi="宋体" w:cs="宋体"/>
                <w:color w:val="auto"/>
                <w:sz w:val="24"/>
              </w:rPr>
            </w:pPr>
            <w:r>
              <w:rPr>
                <w:rFonts w:hint="eastAsia" w:ascii="宋体" w:hAnsi="宋体" w:cs="宋体"/>
                <w:b w:val="0"/>
                <w:bCs w:val="0"/>
                <w:color w:val="auto"/>
                <w:sz w:val="24"/>
                <w:highlight w:val="none"/>
                <w:lang w:val="en-US" w:eastAsia="zh-CN"/>
              </w:rPr>
              <w:t>3</w:t>
            </w:r>
          </w:p>
        </w:tc>
        <w:tc>
          <w:tcPr>
            <w:tcW w:w="3976" w:type="dxa"/>
            <w:vAlign w:val="top"/>
          </w:tcPr>
          <w:p w14:paraId="2E585239">
            <w:pPr>
              <w:spacing w:line="360" w:lineRule="auto"/>
              <w:rPr>
                <w:rFonts w:ascii="宋体" w:hAnsi="宋体" w:cs="宋体"/>
                <w:color w:val="auto"/>
                <w:sz w:val="24"/>
              </w:rPr>
            </w:pPr>
            <w:r>
              <w:rPr>
                <w:rFonts w:hint="eastAsia" w:ascii="宋体" w:hAnsi="宋体" w:cs="宋体"/>
                <w:b w:val="0"/>
                <w:bCs w:val="0"/>
                <w:snapToGrid w:val="0"/>
                <w:color w:val="auto"/>
                <w:sz w:val="24"/>
                <w:highlight w:val="none"/>
                <w:lang w:val="en-US" w:eastAsia="zh-CN"/>
              </w:rPr>
              <w:t>其他实质性要求1：</w:t>
            </w:r>
          </w:p>
        </w:tc>
        <w:tc>
          <w:tcPr>
            <w:tcW w:w="2881" w:type="dxa"/>
            <w:vMerge w:val="restart"/>
            <w:vAlign w:val="center"/>
          </w:tcPr>
          <w:p w14:paraId="4261FFFF">
            <w:pPr>
              <w:rPr>
                <w:rFonts w:ascii="宋体" w:hAnsi="宋体" w:cs="宋体"/>
                <w:color w:val="auto"/>
                <w:sz w:val="24"/>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2010" w:type="dxa"/>
            <w:vAlign w:val="top"/>
          </w:tcPr>
          <w:p w14:paraId="0C1C3127">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w:t>
            </w:r>
          </w:p>
          <w:p w14:paraId="4C281352">
            <w:pPr>
              <w:rPr>
                <w:rFonts w:ascii="宋体" w:hAnsi="宋体" w:cs="宋体"/>
                <w:color w:val="auto"/>
              </w:rPr>
            </w:pPr>
            <w:r>
              <w:rPr>
                <w:rFonts w:hint="eastAsia" w:ascii="宋体" w:hAnsi="宋体" w:cs="宋体"/>
                <w:b w:val="0"/>
                <w:bCs w:val="0"/>
                <w:color w:val="auto"/>
                <w:sz w:val="24"/>
                <w:highlight w:val="none"/>
              </w:rPr>
              <w:t>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5349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278CFB67">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3976" w:type="dxa"/>
            <w:vAlign w:val="top"/>
          </w:tcPr>
          <w:p w14:paraId="0298DFF6">
            <w:pPr>
              <w:spacing w:line="360" w:lineRule="auto"/>
              <w:rPr>
                <w:rFonts w:hint="eastAsia"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881" w:type="dxa"/>
            <w:vMerge w:val="continue"/>
            <w:vAlign w:val="center"/>
          </w:tcPr>
          <w:p w14:paraId="1276DA5F">
            <w:pPr>
              <w:rPr>
                <w:rFonts w:hint="eastAsia" w:ascii="宋体" w:hAnsi="宋体" w:cs="宋体"/>
                <w:b w:val="0"/>
                <w:bCs w:val="0"/>
                <w:color w:val="auto"/>
                <w:kern w:val="0"/>
                <w:sz w:val="24"/>
                <w:highlight w:val="none"/>
              </w:rPr>
            </w:pPr>
          </w:p>
        </w:tc>
        <w:tc>
          <w:tcPr>
            <w:tcW w:w="2010" w:type="dxa"/>
            <w:vAlign w:val="top"/>
          </w:tcPr>
          <w:p w14:paraId="5CBE7152">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w:t>
            </w:r>
          </w:p>
          <w:p w14:paraId="7093007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165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40D34EC8">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3976" w:type="dxa"/>
            <w:vAlign w:val="top"/>
          </w:tcPr>
          <w:p w14:paraId="445FB574">
            <w:pPr>
              <w:spacing w:line="360" w:lineRule="auto"/>
              <w:rPr>
                <w:rFonts w:hint="eastAsia"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881" w:type="dxa"/>
            <w:vMerge w:val="continue"/>
            <w:vAlign w:val="center"/>
          </w:tcPr>
          <w:p w14:paraId="510D7AB0">
            <w:pPr>
              <w:rPr>
                <w:rFonts w:hint="eastAsia" w:ascii="宋体" w:hAnsi="宋体" w:cs="宋体"/>
                <w:b w:val="0"/>
                <w:bCs w:val="0"/>
                <w:color w:val="auto"/>
                <w:kern w:val="0"/>
                <w:sz w:val="24"/>
                <w:highlight w:val="none"/>
              </w:rPr>
            </w:pPr>
          </w:p>
        </w:tc>
        <w:tc>
          <w:tcPr>
            <w:tcW w:w="2010" w:type="dxa"/>
            <w:vAlign w:val="top"/>
          </w:tcPr>
          <w:p w14:paraId="12B925E1">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w:t>
            </w:r>
          </w:p>
          <w:p w14:paraId="4E0FCF74">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2A62D120">
      <w:pPr>
        <w:kinsoku/>
        <w:wordWrap/>
        <w:overflowPunct/>
        <w:topLinePunct w:val="0"/>
        <w:bidi w:val="0"/>
        <w:adjustRightInd/>
        <w:snapToGrid/>
        <w:spacing w:beforeAutospacing="0" w:afterAutospacing="0" w:line="360" w:lineRule="auto"/>
        <w:ind w:right="420"/>
        <w:textAlignment w:val="auto"/>
        <w:rPr>
          <w:rFonts w:ascii="宋体" w:hAnsi="宋体" w:cs="宋体"/>
          <w:color w:val="auto"/>
          <w:sz w:val="24"/>
        </w:rPr>
      </w:pPr>
      <w:r>
        <w:rPr>
          <w:rFonts w:hint="eastAsia" w:ascii="宋体" w:hAnsi="宋体" w:cs="宋体"/>
          <w:color w:val="auto"/>
          <w:sz w:val="24"/>
        </w:rPr>
        <w:t>注：按本格式和要求提供。</w:t>
      </w:r>
    </w:p>
    <w:p w14:paraId="3C44FB4E">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1180B68C">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27FDD00">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0EBD3AE6">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3872F09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42D7AA46">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65A3703F">
      <w:pPr>
        <w:rPr>
          <w:rFonts w:hint="eastAsia" w:ascii="宋体" w:hAnsi="宋体" w:cs="宋体"/>
          <w:b/>
          <w:color w:val="auto"/>
          <w:kern w:val="0"/>
          <w:sz w:val="32"/>
          <w:szCs w:val="32"/>
        </w:rPr>
      </w:pPr>
      <w:r>
        <w:rPr>
          <w:rFonts w:hint="eastAsia" w:ascii="宋体" w:hAnsi="宋体" w:cs="宋体"/>
          <w:b/>
          <w:color w:val="auto"/>
          <w:kern w:val="0"/>
          <w:sz w:val="32"/>
          <w:szCs w:val="32"/>
        </w:rPr>
        <w:br w:type="page"/>
      </w:r>
    </w:p>
    <w:p w14:paraId="646521CD">
      <w:pPr>
        <w:kinsoku/>
        <w:wordWrap/>
        <w:overflowPunct/>
        <w:topLinePunct w:val="0"/>
        <w:bidi w:val="0"/>
        <w:adjustRightInd/>
        <w:snapToGrid/>
        <w:spacing w:beforeAutospacing="0" w:afterAutospacing="0" w:line="360" w:lineRule="auto"/>
        <w:jc w:val="center"/>
        <w:textAlignment w:val="auto"/>
        <w:rPr>
          <w:rFonts w:ascii="宋体" w:hAnsi="宋体" w:cs="宋体"/>
          <w:color w:val="auto"/>
        </w:rPr>
      </w:pPr>
      <w:r>
        <w:rPr>
          <w:rFonts w:hint="eastAsia" w:ascii="宋体" w:hAnsi="宋体" w:cs="宋体"/>
          <w:b/>
          <w:color w:val="auto"/>
          <w:kern w:val="0"/>
          <w:sz w:val="32"/>
          <w:szCs w:val="32"/>
        </w:rPr>
        <w:t>五、评标标准相应的商务技术资料</w:t>
      </w:r>
    </w:p>
    <w:p w14:paraId="3EC9C83D">
      <w:pPr>
        <w:kinsoku/>
        <w:wordWrap/>
        <w:overflowPunct/>
        <w:topLinePunct w:val="0"/>
        <w:bidi w:val="0"/>
        <w:adjustRightInd/>
        <w:snapToGrid/>
        <w:spacing w:beforeAutospacing="0" w:afterAutospacing="0" w:line="360" w:lineRule="auto"/>
        <w:jc w:val="left"/>
        <w:textAlignment w:val="auto"/>
        <w:rPr>
          <w:rFonts w:ascii="宋体" w:hAnsi="宋体" w:cs="宋体"/>
          <w:b/>
          <w:color w:val="auto"/>
          <w:sz w:val="24"/>
        </w:rPr>
      </w:pPr>
      <w:r>
        <w:rPr>
          <w:rFonts w:hint="eastAsia" w:ascii="宋体" w:hAnsi="宋体" w:cs="宋体"/>
          <w:b/>
          <w:color w:val="auto"/>
          <w:sz w:val="24"/>
        </w:rPr>
        <w:t>（按招标文件第四部分评标办法前附表中“投标文件中评标标准相应的商务技术资料目录”提供资料。）</w:t>
      </w:r>
    </w:p>
    <w:tbl>
      <w:tblPr>
        <w:tblStyle w:val="6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4F691C5A">
      <w:pPr>
        <w:kinsoku/>
        <w:wordWrap/>
        <w:overflowPunct/>
        <w:topLinePunct w:val="0"/>
        <w:bidi w:val="0"/>
        <w:adjustRightInd/>
        <w:snapToGrid/>
        <w:spacing w:beforeAutospacing="0" w:afterAutospacing="0" w:line="360" w:lineRule="auto"/>
        <w:textAlignment w:val="auto"/>
        <w:rPr>
          <w:rFonts w:hint="eastAsia" w:ascii="宋体" w:hAnsi="宋体" w:cs="宋体"/>
          <w:b/>
          <w:color w:val="auto"/>
          <w:kern w:val="0"/>
          <w:sz w:val="32"/>
          <w:szCs w:val="32"/>
        </w:rPr>
      </w:pPr>
    </w:p>
    <w:p w14:paraId="3BF0208F">
      <w:pPr>
        <w:kinsoku/>
        <w:wordWrap/>
        <w:overflowPunct/>
        <w:topLinePunct w:val="0"/>
        <w:bidi w:val="0"/>
        <w:adjustRightInd/>
        <w:snapToGrid/>
        <w:spacing w:beforeAutospacing="0" w:afterAutospacing="0" w:line="360" w:lineRule="auto"/>
        <w:ind w:firstLine="2891" w:firstLineChars="900"/>
        <w:textAlignment w:val="auto"/>
        <w:rPr>
          <w:rFonts w:hint="eastAsia" w:ascii="宋体" w:hAnsi="宋体" w:cs="宋体"/>
          <w:b/>
          <w:color w:val="auto"/>
          <w:kern w:val="0"/>
          <w:sz w:val="32"/>
          <w:szCs w:val="32"/>
        </w:rPr>
      </w:pPr>
    </w:p>
    <w:p w14:paraId="1AA34AFA">
      <w:pPr>
        <w:kinsoku/>
        <w:wordWrap/>
        <w:overflowPunct/>
        <w:topLinePunct w:val="0"/>
        <w:bidi w:val="0"/>
        <w:adjustRightInd/>
        <w:snapToGrid/>
        <w:spacing w:beforeAutospacing="0" w:afterAutospacing="0" w:line="360" w:lineRule="auto"/>
        <w:ind w:firstLine="2891" w:firstLineChars="900"/>
        <w:textAlignment w:val="auto"/>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27"/>
        <w:gridCol w:w="1948"/>
        <w:gridCol w:w="1311"/>
        <w:gridCol w:w="1332"/>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927"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948" w:type="dxa"/>
            <w:tcBorders>
              <w:top w:val="single" w:color="auto" w:sz="4" w:space="0"/>
              <w:left w:val="single" w:color="auto" w:sz="4" w:space="0"/>
              <w:bottom w:val="single" w:color="auto" w:sz="4" w:space="0"/>
              <w:right w:val="single" w:color="auto" w:sz="4" w:space="0"/>
            </w:tcBorders>
            <w:vAlign w:val="center"/>
          </w:tcPr>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311"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332"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927"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948"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927"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948"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927"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948"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311"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7AA319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p w14:paraId="417F2D8B">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r>
        <w:rPr>
          <w:rFonts w:hint="eastAsia" w:ascii="宋体" w:hAnsi="宋体" w:cs="宋体"/>
          <w:b/>
          <w:color w:val="auto"/>
          <w:kern w:val="0"/>
          <w:sz w:val="32"/>
          <w:szCs w:val="32"/>
        </w:rPr>
        <w:t>七、商务技术偏离表</w:t>
      </w:r>
    </w:p>
    <w:tbl>
      <w:tblPr>
        <w:tblStyle w:val="64"/>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399"/>
        <w:gridCol w:w="3535"/>
        <w:gridCol w:w="1311"/>
      </w:tblGrid>
      <w:tr w14:paraId="7F58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178BB0">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pPr>
            <w:r>
              <w:rPr>
                <w:rFonts w:hint="eastAsia" w:ascii="宋体" w:hAnsi="宋体" w:cs="宋体"/>
                <w:b/>
                <w:bCs/>
                <w:color w:val="auto"/>
                <w:sz w:val="24"/>
              </w:rPr>
              <w:t>序号</w:t>
            </w:r>
          </w:p>
        </w:tc>
        <w:tc>
          <w:tcPr>
            <w:tcW w:w="3399" w:type="dxa"/>
          </w:tcPr>
          <w:p w14:paraId="136AB708">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pPr>
            <w:r>
              <w:rPr>
                <w:rFonts w:hint="eastAsia" w:ascii="宋体" w:hAnsi="宋体" w:cs="宋体"/>
                <w:b/>
                <w:bCs/>
                <w:color w:val="auto"/>
                <w:sz w:val="24"/>
              </w:rPr>
              <w:t>招标文件章节及具体内容</w:t>
            </w:r>
          </w:p>
        </w:tc>
        <w:tc>
          <w:tcPr>
            <w:tcW w:w="3535" w:type="dxa"/>
          </w:tcPr>
          <w:p w14:paraId="37567C51">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pPr>
            <w:r>
              <w:rPr>
                <w:rFonts w:hint="eastAsia" w:ascii="宋体" w:hAnsi="宋体" w:cs="宋体"/>
                <w:b/>
                <w:bCs/>
                <w:color w:val="auto"/>
                <w:sz w:val="24"/>
              </w:rPr>
              <w:t>投标文件章节及具体内容</w:t>
            </w:r>
          </w:p>
        </w:tc>
        <w:tc>
          <w:tcPr>
            <w:tcW w:w="1311" w:type="dxa"/>
          </w:tcPr>
          <w:p w14:paraId="35DF0812">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pPr>
            <w:r>
              <w:rPr>
                <w:rFonts w:hint="eastAsia" w:ascii="宋体" w:hAnsi="宋体" w:cs="宋体"/>
                <w:b/>
                <w:bCs/>
                <w:color w:val="auto"/>
                <w:sz w:val="24"/>
              </w:rPr>
              <w:t>偏离说明</w:t>
            </w:r>
          </w:p>
        </w:tc>
      </w:tr>
      <w:tr w14:paraId="487E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66F221">
            <w:pPr>
              <w:kinsoku/>
              <w:wordWrap/>
              <w:overflowPunct/>
              <w:topLinePunct w:val="0"/>
              <w:bidi w:val="0"/>
              <w:adjustRightInd/>
              <w:snapToGrid/>
              <w:spacing w:beforeAutospacing="0" w:afterAutospacing="0" w:line="360" w:lineRule="auto"/>
              <w:jc w:val="center"/>
              <w:textAlignment w:val="auto"/>
              <w:rPr>
                <w:rFonts w:ascii="宋体" w:hAnsi="宋体" w:cs="宋体"/>
                <w:color w:val="auto"/>
                <w:kern w:val="0"/>
                <w:sz w:val="24"/>
              </w:rPr>
            </w:pPr>
            <w:r>
              <w:rPr>
                <w:rFonts w:hint="eastAsia" w:ascii="宋体" w:hAnsi="宋体" w:cs="宋体"/>
                <w:color w:val="auto"/>
                <w:kern w:val="0"/>
                <w:sz w:val="24"/>
              </w:rPr>
              <w:t>1</w:t>
            </w:r>
          </w:p>
        </w:tc>
        <w:tc>
          <w:tcPr>
            <w:tcW w:w="3399" w:type="dxa"/>
          </w:tcPr>
          <w:p w14:paraId="5513A716">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c>
          <w:tcPr>
            <w:tcW w:w="3535" w:type="dxa"/>
          </w:tcPr>
          <w:p w14:paraId="45792CE7">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c>
          <w:tcPr>
            <w:tcW w:w="1311" w:type="dxa"/>
          </w:tcPr>
          <w:p w14:paraId="7782540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r>
      <w:tr w14:paraId="7BB6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6CC027">
            <w:pPr>
              <w:kinsoku/>
              <w:wordWrap/>
              <w:overflowPunct/>
              <w:topLinePunct w:val="0"/>
              <w:bidi w:val="0"/>
              <w:adjustRightInd/>
              <w:snapToGrid/>
              <w:spacing w:beforeAutospacing="0" w:afterAutospacing="0" w:line="360" w:lineRule="auto"/>
              <w:jc w:val="center"/>
              <w:textAlignment w:val="auto"/>
              <w:rPr>
                <w:rFonts w:ascii="宋体" w:hAnsi="宋体" w:cs="宋体"/>
                <w:color w:val="auto"/>
                <w:kern w:val="0"/>
                <w:sz w:val="24"/>
              </w:rPr>
            </w:pPr>
            <w:r>
              <w:rPr>
                <w:rFonts w:hint="eastAsia" w:ascii="宋体" w:hAnsi="宋体" w:cs="宋体"/>
                <w:color w:val="auto"/>
                <w:kern w:val="0"/>
                <w:sz w:val="24"/>
              </w:rPr>
              <w:t>2</w:t>
            </w:r>
          </w:p>
        </w:tc>
        <w:tc>
          <w:tcPr>
            <w:tcW w:w="3399" w:type="dxa"/>
          </w:tcPr>
          <w:p w14:paraId="3E562704">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c>
          <w:tcPr>
            <w:tcW w:w="3535" w:type="dxa"/>
          </w:tcPr>
          <w:p w14:paraId="5ED8B19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c>
          <w:tcPr>
            <w:tcW w:w="1311" w:type="dxa"/>
          </w:tcPr>
          <w:p w14:paraId="1A878F09">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r>
      <w:tr w14:paraId="1B00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F7680D">
            <w:pPr>
              <w:kinsoku/>
              <w:wordWrap/>
              <w:overflowPunct/>
              <w:topLinePunct w:val="0"/>
              <w:bidi w:val="0"/>
              <w:adjustRightInd/>
              <w:snapToGrid/>
              <w:spacing w:beforeAutospacing="0" w:afterAutospacing="0" w:line="360" w:lineRule="auto"/>
              <w:jc w:val="center"/>
              <w:textAlignment w:val="auto"/>
              <w:rPr>
                <w:rFonts w:ascii="宋体" w:hAnsi="宋体" w:cs="宋体"/>
                <w:color w:val="auto"/>
                <w:kern w:val="0"/>
                <w:sz w:val="24"/>
              </w:rPr>
            </w:pPr>
            <w:r>
              <w:rPr>
                <w:rFonts w:hint="eastAsia" w:ascii="宋体" w:hAnsi="宋体" w:cs="宋体"/>
                <w:color w:val="auto"/>
                <w:kern w:val="0"/>
                <w:sz w:val="24"/>
              </w:rPr>
              <w:t>……</w:t>
            </w:r>
          </w:p>
        </w:tc>
        <w:tc>
          <w:tcPr>
            <w:tcW w:w="3399" w:type="dxa"/>
          </w:tcPr>
          <w:p w14:paraId="6468E1F3">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c>
          <w:tcPr>
            <w:tcW w:w="3535" w:type="dxa"/>
          </w:tcPr>
          <w:p w14:paraId="4738135E">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c>
          <w:tcPr>
            <w:tcW w:w="1311" w:type="dxa"/>
          </w:tcPr>
          <w:p w14:paraId="6091A545">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p>
        </w:tc>
      </w:tr>
    </w:tbl>
    <w:p w14:paraId="3DD33D1D">
      <w:pPr>
        <w:kinsoku/>
        <w:wordWrap/>
        <w:overflowPunct/>
        <w:topLinePunct w:val="0"/>
        <w:bidi w:val="0"/>
        <w:adjustRightInd/>
        <w:snapToGrid/>
        <w:spacing w:beforeAutospacing="0" w:afterAutospacing="0" w:line="360" w:lineRule="auto"/>
        <w:jc w:val="left"/>
        <w:textAlignment w:val="auto"/>
        <w:rPr>
          <w:rFonts w:ascii="宋体" w:hAnsi="宋体" w:cs="宋体"/>
          <w:color w:val="auto"/>
          <w:kern w:val="0"/>
          <w:sz w:val="24"/>
        </w:rPr>
      </w:pPr>
      <w:r>
        <w:rPr>
          <w:rFonts w:hint="eastAsia" w:ascii="宋体" w:hAnsi="宋体" w:cs="宋体"/>
          <w:color w:val="auto"/>
          <w:kern w:val="0"/>
          <w:sz w:val="24"/>
        </w:rPr>
        <w:t>投标人保证：除商务技术偏离表列出的偏离外，投标人响应招标文件的全部要求</w:t>
      </w:r>
    </w:p>
    <w:p w14:paraId="5FB1DE6B">
      <w:pPr>
        <w:kinsoku/>
        <w:wordWrap/>
        <w:overflowPunct/>
        <w:topLinePunct w:val="0"/>
        <w:bidi w:val="0"/>
        <w:adjustRightInd/>
        <w:snapToGrid/>
        <w:spacing w:beforeAutospacing="0" w:afterAutospacing="0" w:line="360" w:lineRule="auto"/>
        <w:ind w:right="420"/>
        <w:textAlignment w:val="auto"/>
        <w:rPr>
          <w:rFonts w:ascii="宋体" w:hAnsi="宋体" w:cs="宋体"/>
          <w:color w:val="auto"/>
          <w:sz w:val="24"/>
        </w:rPr>
      </w:pPr>
      <w:r>
        <w:rPr>
          <w:rFonts w:hint="eastAsia" w:ascii="宋体" w:hAnsi="宋体" w:cs="宋体"/>
          <w:color w:val="auto"/>
          <w:sz w:val="24"/>
        </w:rPr>
        <w:t>注：按本格式和要求提供。</w:t>
      </w:r>
    </w:p>
    <w:p w14:paraId="07DF6848">
      <w:pPr>
        <w:widowControl/>
        <w:kinsoku/>
        <w:wordWrap/>
        <w:overflowPunct/>
        <w:topLinePunct w:val="0"/>
        <w:bidi w:val="0"/>
        <w:adjustRightInd/>
        <w:snapToGrid/>
        <w:spacing w:beforeAutospacing="0" w:afterAutospacing="0" w:line="360" w:lineRule="auto"/>
        <w:jc w:val="left"/>
        <w:textAlignment w:val="auto"/>
        <w:rPr>
          <w:rFonts w:ascii="宋体" w:hAnsi="宋体" w:cs="宋体"/>
          <w:b/>
          <w:bCs/>
          <w:color w:val="auto"/>
          <w:sz w:val="32"/>
          <w:szCs w:val="32"/>
        </w:rPr>
      </w:pPr>
      <w:r>
        <w:rPr>
          <w:rFonts w:ascii="宋体" w:hAnsi="宋体" w:cs="宋体"/>
          <w:b/>
          <w:bCs/>
          <w:color w:val="auto"/>
          <w:sz w:val="32"/>
          <w:szCs w:val="32"/>
        </w:rPr>
        <w:br w:type="page"/>
      </w:r>
    </w:p>
    <w:p w14:paraId="3E5DBEFD">
      <w:pPr>
        <w:kinsoku/>
        <w:wordWrap/>
        <w:overflowPunct/>
        <w:topLinePunct w:val="0"/>
        <w:bidi w:val="0"/>
        <w:adjustRightInd/>
        <w:snapToGrid/>
        <w:spacing w:beforeAutospacing="0" w:afterAutospacing="0" w:line="360" w:lineRule="auto"/>
        <w:ind w:firstLine="1911" w:firstLineChars="595"/>
        <w:textAlignment w:val="auto"/>
        <w:rPr>
          <w:rFonts w:ascii="宋体" w:hAnsi="宋体" w:cs="宋体"/>
          <w:b/>
          <w:color w:val="auto"/>
          <w:kern w:val="0"/>
          <w:sz w:val="32"/>
          <w:szCs w:val="32"/>
        </w:rPr>
      </w:pPr>
      <w:r>
        <w:rPr>
          <w:rFonts w:hint="eastAsia" w:ascii="宋体" w:hAnsi="宋体" w:cs="宋体"/>
          <w:b/>
          <w:bCs/>
          <w:color w:val="auto"/>
          <w:sz w:val="32"/>
          <w:szCs w:val="32"/>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4BB7B85E">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p>
    <w:p w14:paraId="50681702">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7F8ADB19">
      <w:pPr>
        <w:kinsoku/>
        <w:wordWrap/>
        <w:overflowPunct/>
        <w:topLinePunct w:val="0"/>
        <w:autoSpaceDE w:val="0"/>
        <w:autoSpaceDN w:val="0"/>
        <w:bidi w:val="0"/>
        <w:adjustRightInd/>
        <w:snapToGrid/>
        <w:spacing w:beforeAutospacing="0" w:afterAutospacing="0" w:line="360" w:lineRule="auto"/>
        <w:ind w:left="2" w:leftChars="1"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62DB64EF">
      <w:pPr>
        <w:kinsoku/>
        <w:wordWrap/>
        <w:overflowPunct/>
        <w:topLinePunct w:val="0"/>
        <w:autoSpaceDE w:val="0"/>
        <w:autoSpaceDN w:val="0"/>
        <w:bidi w:val="0"/>
        <w:adjustRightInd/>
        <w:snapToGrid/>
        <w:spacing w:beforeAutospacing="0" w:afterAutospacing="0" w:line="360" w:lineRule="auto"/>
        <w:ind w:left="2" w:leftChars="1"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57FCA8E4">
      <w:pPr>
        <w:kinsoku/>
        <w:wordWrap/>
        <w:overflowPunct/>
        <w:topLinePunct w:val="0"/>
        <w:autoSpaceDE w:val="0"/>
        <w:autoSpaceDN w:val="0"/>
        <w:bidi w:val="0"/>
        <w:adjustRightInd/>
        <w:snapToGrid/>
        <w:spacing w:beforeAutospacing="0" w:afterAutospacing="0" w:line="360" w:lineRule="auto"/>
        <w:ind w:left="2" w:leftChars="1"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6CA9B081">
      <w:pPr>
        <w:kinsoku/>
        <w:wordWrap/>
        <w:overflowPunct/>
        <w:topLinePunct w:val="0"/>
        <w:autoSpaceDE w:val="0"/>
        <w:autoSpaceDN w:val="0"/>
        <w:bidi w:val="0"/>
        <w:adjustRightInd/>
        <w:snapToGrid/>
        <w:spacing w:beforeAutospacing="0" w:afterAutospacing="0" w:line="360" w:lineRule="auto"/>
        <w:ind w:left="2" w:leftChars="1"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053C7C1C">
      <w:pPr>
        <w:kinsoku/>
        <w:wordWrap/>
        <w:overflowPunct/>
        <w:topLinePunct w:val="0"/>
        <w:autoSpaceDE w:val="0"/>
        <w:autoSpaceDN w:val="0"/>
        <w:bidi w:val="0"/>
        <w:adjustRightInd/>
        <w:snapToGrid/>
        <w:spacing w:beforeAutospacing="0" w:afterAutospacing="0" w:line="360" w:lineRule="auto"/>
        <w:ind w:left="2" w:leftChars="1"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59E726A5">
      <w:pPr>
        <w:kinsoku/>
        <w:wordWrap/>
        <w:overflowPunct/>
        <w:topLinePunct w:val="0"/>
        <w:autoSpaceDE w:val="0"/>
        <w:autoSpaceDN w:val="0"/>
        <w:bidi w:val="0"/>
        <w:adjustRightInd/>
        <w:snapToGrid/>
        <w:spacing w:beforeAutospacing="0" w:afterAutospacing="0" w:line="360" w:lineRule="auto"/>
        <w:ind w:left="481" w:leftChars="229"/>
        <w:jc w:val="left"/>
        <w:textAlignment w:val="auto"/>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14:paraId="68496FF6">
      <w:pPr>
        <w:kinsoku/>
        <w:wordWrap/>
        <w:overflowPunct/>
        <w:topLinePunct w:val="0"/>
        <w:autoSpaceDE w:val="0"/>
        <w:autoSpaceDN w:val="0"/>
        <w:bidi w:val="0"/>
        <w:adjustRightInd/>
        <w:snapToGrid/>
        <w:spacing w:beforeAutospacing="0" w:afterAutospacing="0" w:line="360" w:lineRule="auto"/>
        <w:jc w:val="left"/>
        <w:textAlignment w:val="auto"/>
        <w:rPr>
          <w:rFonts w:ascii="宋体" w:hAnsi="宋体" w:cs="宋体"/>
          <w:color w:val="auto"/>
          <w:kern w:val="0"/>
          <w:sz w:val="24"/>
          <w:lang w:val="zh-CN"/>
        </w:rPr>
      </w:pPr>
      <w:r>
        <w:rPr>
          <w:rFonts w:hint="eastAsia" w:ascii="宋体" w:hAnsi="宋体" w:cs="宋体"/>
          <w:color w:val="auto"/>
          <w:kern w:val="0"/>
          <w:sz w:val="24"/>
          <w:lang w:val="zh-CN"/>
        </w:rPr>
        <w:t>好处；</w:t>
      </w:r>
    </w:p>
    <w:p w14:paraId="5782AFBF">
      <w:pPr>
        <w:kinsoku/>
        <w:wordWrap/>
        <w:overflowPunct/>
        <w:topLinePunct w:val="0"/>
        <w:autoSpaceDE w:val="0"/>
        <w:autoSpaceDN w:val="0"/>
        <w:bidi w:val="0"/>
        <w:adjustRightInd/>
        <w:snapToGrid/>
        <w:spacing w:beforeAutospacing="0" w:afterAutospacing="0" w:line="360" w:lineRule="auto"/>
        <w:ind w:left="481" w:leftChars="229"/>
        <w:jc w:val="left"/>
        <w:textAlignment w:val="auto"/>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14:paraId="3EDF6FDD">
      <w:pPr>
        <w:kinsoku/>
        <w:wordWrap/>
        <w:overflowPunct/>
        <w:topLinePunct w:val="0"/>
        <w:autoSpaceDE w:val="0"/>
        <w:autoSpaceDN w:val="0"/>
        <w:bidi w:val="0"/>
        <w:adjustRightInd/>
        <w:snapToGrid/>
        <w:spacing w:beforeAutospacing="0" w:afterAutospacing="0" w:line="360" w:lineRule="auto"/>
        <w:jc w:val="left"/>
        <w:textAlignment w:val="auto"/>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14:paraId="255D19A0">
      <w:pPr>
        <w:kinsoku/>
        <w:wordWrap/>
        <w:overflowPunct/>
        <w:topLinePunct w:val="0"/>
        <w:autoSpaceDE w:val="0"/>
        <w:autoSpaceDN w:val="0"/>
        <w:bidi w:val="0"/>
        <w:adjustRightInd/>
        <w:snapToGrid/>
        <w:spacing w:beforeAutospacing="0" w:afterAutospacing="0" w:line="360" w:lineRule="auto"/>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14:paraId="40485143">
      <w:pPr>
        <w:kinsoku/>
        <w:wordWrap/>
        <w:overflowPunct/>
        <w:topLinePunct w:val="0"/>
        <w:autoSpaceDE w:val="0"/>
        <w:autoSpaceDN w:val="0"/>
        <w:bidi w:val="0"/>
        <w:adjustRightInd/>
        <w:snapToGrid/>
        <w:spacing w:beforeAutospacing="0" w:afterAutospacing="0" w:line="360" w:lineRule="auto"/>
        <w:ind w:left="2"/>
        <w:jc w:val="left"/>
        <w:textAlignment w:val="auto"/>
        <w:rPr>
          <w:rFonts w:ascii="宋体" w:hAnsi="宋体" w:cs="宋体"/>
          <w:color w:val="auto"/>
          <w:kern w:val="0"/>
          <w:sz w:val="24"/>
          <w:lang w:val="zh-CN"/>
        </w:rPr>
      </w:pPr>
    </w:p>
    <w:p w14:paraId="2A64E7C3">
      <w:pPr>
        <w:kinsoku/>
        <w:wordWrap/>
        <w:overflowPunct/>
        <w:topLinePunct w:val="0"/>
        <w:autoSpaceDE w:val="0"/>
        <w:autoSpaceDN w:val="0"/>
        <w:bidi w:val="0"/>
        <w:adjustRightInd/>
        <w:snapToGrid/>
        <w:spacing w:beforeAutospacing="0" w:afterAutospacing="0" w:line="360" w:lineRule="auto"/>
        <w:ind w:left="2"/>
        <w:jc w:val="left"/>
        <w:textAlignment w:val="auto"/>
        <w:rPr>
          <w:rFonts w:ascii="宋体" w:hAnsi="宋体" w:cs="宋体"/>
          <w:color w:val="auto"/>
          <w:kern w:val="0"/>
          <w:sz w:val="24"/>
          <w:lang w:val="zh-CN"/>
        </w:rPr>
      </w:pPr>
    </w:p>
    <w:p w14:paraId="2BCDEEEA">
      <w:pPr>
        <w:kinsoku/>
        <w:wordWrap/>
        <w:overflowPunct/>
        <w:topLinePunct w:val="0"/>
        <w:autoSpaceDE w:val="0"/>
        <w:autoSpaceDN w:val="0"/>
        <w:bidi w:val="0"/>
        <w:adjustRightInd/>
        <w:snapToGrid/>
        <w:spacing w:beforeAutospacing="0" w:afterAutospacing="0" w:line="360" w:lineRule="auto"/>
        <w:ind w:left="2"/>
        <w:jc w:val="left"/>
        <w:textAlignment w:val="auto"/>
        <w:rPr>
          <w:rFonts w:ascii="宋体" w:hAnsi="宋体" w:cs="宋体"/>
          <w:color w:val="auto"/>
          <w:kern w:val="0"/>
          <w:sz w:val="24"/>
          <w:lang w:val="zh-CN"/>
        </w:rPr>
      </w:pPr>
    </w:p>
    <w:p w14:paraId="5FA14290">
      <w:pPr>
        <w:kinsoku/>
        <w:wordWrap/>
        <w:overflowPunct/>
        <w:topLinePunct w:val="0"/>
        <w:autoSpaceDE w:val="0"/>
        <w:autoSpaceDN w:val="0"/>
        <w:bidi w:val="0"/>
        <w:adjustRightInd/>
        <w:snapToGrid/>
        <w:spacing w:beforeAutospacing="0" w:afterAutospacing="0" w:line="360" w:lineRule="auto"/>
        <w:ind w:left="2" w:leftChars="1" w:right="1120" w:firstLine="4560" w:firstLineChars="19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0600AC0D">
      <w:pPr>
        <w:kinsoku/>
        <w:wordWrap/>
        <w:overflowPunct/>
        <w:topLinePunct w:val="0"/>
        <w:bidi w:val="0"/>
        <w:adjustRightInd/>
        <w:snapToGrid/>
        <w:spacing w:beforeAutospacing="0" w:afterAutospacing="0" w:line="360" w:lineRule="auto"/>
        <w:ind w:left="4620" w:leftChars="2200"/>
        <w:textAlignment w:val="auto"/>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75468122">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pPr>
    </w:p>
    <w:p w14:paraId="19BA5575">
      <w:pPr>
        <w:kinsoku/>
        <w:wordWrap/>
        <w:overflowPunct/>
        <w:topLinePunct w:val="0"/>
        <w:bidi w:val="0"/>
        <w:adjustRightInd/>
        <w:snapToGrid/>
        <w:spacing w:beforeAutospacing="0" w:afterAutospacing="0" w:line="360" w:lineRule="auto"/>
        <w:ind w:right="420"/>
        <w:textAlignment w:val="auto"/>
        <w:rPr>
          <w:rFonts w:ascii="宋体" w:hAnsi="宋体" w:cs="宋体"/>
          <w:color w:val="auto"/>
          <w:sz w:val="24"/>
        </w:rPr>
      </w:pPr>
      <w:r>
        <w:rPr>
          <w:rFonts w:hint="eastAsia" w:ascii="宋体" w:hAnsi="宋体" w:cs="宋体"/>
          <w:color w:val="auto"/>
          <w:sz w:val="24"/>
        </w:rPr>
        <w:t>注：按本格式和要求提供。</w:t>
      </w:r>
    </w:p>
    <w:p w14:paraId="1218C8BD">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sectPr>
          <w:headerReference r:id="rId15" w:type="first"/>
          <w:footerReference r:id="rId17" w:type="first"/>
          <w:headerReference r:id="rId14" w:type="default"/>
          <w:footerReference r:id="rId16" w:type="default"/>
          <w:pgSz w:w="11906" w:h="16838"/>
          <w:pgMar w:top="1440" w:right="1800" w:bottom="1440" w:left="1800" w:header="851" w:footer="992" w:gutter="0"/>
          <w:cols w:space="720" w:num="1"/>
          <w:titlePg/>
          <w:docGrid w:linePitch="312" w:charSpace="0"/>
        </w:sectPr>
      </w:pPr>
    </w:p>
    <w:p w14:paraId="6C1E771F">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36"/>
          <w:szCs w:val="36"/>
        </w:rPr>
      </w:pPr>
      <w:r>
        <w:rPr>
          <w:rFonts w:hint="eastAsia" w:ascii="宋体" w:hAnsi="宋体" w:cs="宋体"/>
          <w:b/>
          <w:color w:val="auto"/>
          <w:kern w:val="0"/>
          <w:sz w:val="36"/>
          <w:szCs w:val="36"/>
        </w:rPr>
        <w:t>报价文件部分</w:t>
      </w:r>
    </w:p>
    <w:p w14:paraId="15A6ED71">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36"/>
          <w:szCs w:val="36"/>
        </w:rPr>
      </w:pPr>
      <w:r>
        <w:rPr>
          <w:rFonts w:hint="eastAsia" w:ascii="宋体" w:hAnsi="宋体" w:cs="宋体"/>
          <w:b/>
          <w:color w:val="auto"/>
          <w:kern w:val="0"/>
          <w:sz w:val="36"/>
          <w:szCs w:val="36"/>
        </w:rPr>
        <w:t>目录</w:t>
      </w:r>
    </w:p>
    <w:p w14:paraId="7D34D161">
      <w:pPr>
        <w:kinsoku/>
        <w:wordWrap/>
        <w:overflowPunct/>
        <w:topLinePunct w:val="0"/>
        <w:bidi w:val="0"/>
        <w:adjustRightInd/>
        <w:snapToGrid/>
        <w:spacing w:beforeAutospacing="0" w:afterAutospacing="0" w:line="360" w:lineRule="auto"/>
        <w:jc w:val="center"/>
        <w:textAlignment w:val="auto"/>
        <w:outlineLvl w:val="0"/>
        <w:rPr>
          <w:rFonts w:ascii="宋体" w:hAnsi="宋体" w:cs="宋体"/>
          <w:b/>
          <w:color w:val="auto"/>
          <w:kern w:val="0"/>
          <w:sz w:val="36"/>
          <w:szCs w:val="36"/>
        </w:rPr>
      </w:pPr>
    </w:p>
    <w:p w14:paraId="3F631C89">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（1）开标一览表（报价表）…………………………………………………（页码）</w:t>
      </w:r>
    </w:p>
    <w:p w14:paraId="31154DB3">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（2）中小企业声明函…………………………………………………………（页码）</w:t>
      </w:r>
    </w:p>
    <w:p w14:paraId="637214EC">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242FA85F">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5559E89F">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0CBE10CB">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63155D6B">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036427A6">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3CFA3BB0">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32BFF5A0">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3924E4D9">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45CEDF2F">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0EC48095">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147B14DA">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0CC579C8">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68B39DFC">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11EF20AE">
      <w:pPr>
        <w:kinsoku/>
        <w:wordWrap/>
        <w:overflowPunct/>
        <w:topLinePunct w:val="0"/>
        <w:bidi w:val="0"/>
        <w:adjustRightInd/>
        <w:snapToGrid/>
        <w:spacing w:beforeAutospacing="0" w:afterAutospacing="0" w:line="360" w:lineRule="auto"/>
        <w:ind w:right="480"/>
        <w:jc w:val="center"/>
        <w:textAlignment w:val="auto"/>
        <w:rPr>
          <w:rFonts w:ascii="宋体" w:hAnsi="宋体" w:cs="宋体"/>
          <w:b/>
          <w:color w:val="auto"/>
          <w:kern w:val="0"/>
          <w:sz w:val="32"/>
          <w:szCs w:val="32"/>
        </w:rPr>
      </w:pPr>
    </w:p>
    <w:p w14:paraId="2A7E3C33">
      <w:pPr>
        <w:pStyle w:val="693"/>
        <w:keepNext w:val="0"/>
        <w:pageBreakBefore w:val="0"/>
        <w:tabs>
          <w:tab w:val="clear" w:pos="720"/>
        </w:tabs>
        <w:kinsoku/>
        <w:wordWrap/>
        <w:overflowPunct/>
        <w:topLinePunct w:val="0"/>
        <w:bidi w:val="0"/>
        <w:adjustRightInd/>
        <w:snapToGrid/>
        <w:spacing w:beforeAutospacing="0" w:afterAutospacing="0" w:line="360" w:lineRule="auto"/>
        <w:ind w:firstLine="643"/>
        <w:textAlignment w:val="auto"/>
        <w:outlineLvl w:val="9"/>
        <w:rPr>
          <w:rFonts w:ascii="宋体" w:hAnsi="宋体" w:eastAsia="宋体" w:cs="宋体"/>
          <w:color w:val="auto"/>
          <w:kern w:val="2"/>
          <w:sz w:val="32"/>
          <w:szCs w:val="32"/>
        </w:rPr>
        <w:sectPr>
          <w:headerReference r:id="rId19" w:type="first"/>
          <w:footerReference r:id="rId21" w:type="first"/>
          <w:headerReference r:id="rId18" w:type="default"/>
          <w:footerReference r:id="rId20" w:type="default"/>
          <w:pgSz w:w="11906" w:h="16838"/>
          <w:pgMar w:top="1440" w:right="1800" w:bottom="1440" w:left="1800" w:header="851" w:footer="992" w:gutter="0"/>
          <w:cols w:space="720" w:num="1"/>
          <w:titlePg/>
          <w:docGrid w:linePitch="312" w:charSpace="0"/>
        </w:sectPr>
      </w:pPr>
    </w:p>
    <w:p w14:paraId="5C1B0AD1">
      <w:pPr>
        <w:pStyle w:val="693"/>
        <w:keepNext w:val="0"/>
        <w:pageBreakBefore w:val="0"/>
        <w:tabs>
          <w:tab w:val="clear" w:pos="720"/>
        </w:tabs>
        <w:kinsoku/>
        <w:wordWrap/>
        <w:overflowPunct/>
        <w:topLinePunct w:val="0"/>
        <w:bidi w:val="0"/>
        <w:adjustRightInd/>
        <w:snapToGrid/>
        <w:spacing w:beforeAutospacing="0" w:afterAutospacing="0" w:line="360" w:lineRule="auto"/>
        <w:ind w:firstLine="643"/>
        <w:textAlignment w:val="auto"/>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一、开标一览表（报价表）</w:t>
      </w:r>
    </w:p>
    <w:p w14:paraId="0CED8BF9">
      <w:pPr>
        <w:kinsoku/>
        <w:wordWrap/>
        <w:overflowPunct/>
        <w:topLinePunct w:val="0"/>
        <w:bidi w:val="0"/>
        <w:adjustRightInd/>
        <w:snapToGrid/>
        <w:spacing w:beforeAutospacing="0" w:afterAutospacing="0" w:line="360" w:lineRule="auto"/>
        <w:textAlignment w:val="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E33CFA1">
      <w:pPr>
        <w:kinsoku/>
        <w:wordWrap/>
        <w:overflowPunct/>
        <w:topLinePunct w:val="0"/>
        <w:bidi w:val="0"/>
        <w:adjustRightInd/>
        <w:snapToGrid/>
        <w:spacing w:beforeAutospacing="0" w:afterAutospacing="0" w:line="360" w:lineRule="auto"/>
        <w:ind w:firstLine="482"/>
        <w:textAlignment w:val="auto"/>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556331DE">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3"/>
        <w:tblpPr w:leftFromText="180" w:rightFromText="180" w:vertAnchor="text" w:tblpXSpec="center" w:tblpY="1"/>
        <w:tblOverlap w:val="never"/>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5050"/>
        <w:gridCol w:w="1950"/>
        <w:gridCol w:w="1300"/>
      </w:tblGrid>
      <w:tr w14:paraId="0452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8" w:type="dxa"/>
            <w:vAlign w:val="center"/>
          </w:tcPr>
          <w:p w14:paraId="6DF01651">
            <w:pPr>
              <w:spacing w:line="360" w:lineRule="auto"/>
              <w:jc w:val="center"/>
              <w:rPr>
                <w:rFonts w:hint="eastAsia" w:ascii="宋体" w:hAnsi="宋体" w:eastAsia="宋体" w:cs="宋体"/>
                <w:b/>
                <w:bCs w:val="0"/>
                <w:spacing w:val="0"/>
                <w:w w:val="100"/>
                <w:sz w:val="24"/>
                <w:szCs w:val="24"/>
                <w:highlight w:val="none"/>
              </w:rPr>
            </w:pPr>
            <w:r>
              <w:rPr>
                <w:rFonts w:hint="eastAsia" w:ascii="宋体" w:hAnsi="宋体" w:eastAsia="宋体" w:cs="宋体"/>
                <w:b/>
                <w:bCs w:val="0"/>
                <w:spacing w:val="0"/>
                <w:w w:val="100"/>
                <w:sz w:val="24"/>
                <w:szCs w:val="24"/>
                <w:highlight w:val="none"/>
              </w:rPr>
              <w:t>序号</w:t>
            </w:r>
          </w:p>
        </w:tc>
        <w:tc>
          <w:tcPr>
            <w:tcW w:w="5050" w:type="dxa"/>
            <w:vAlign w:val="center"/>
          </w:tcPr>
          <w:p w14:paraId="07B4345A">
            <w:pPr>
              <w:spacing w:line="360" w:lineRule="auto"/>
              <w:jc w:val="center"/>
              <w:rPr>
                <w:rFonts w:hint="eastAsia" w:ascii="宋体" w:hAnsi="宋体" w:eastAsia="宋体" w:cs="宋体"/>
                <w:b/>
                <w:bCs w:val="0"/>
                <w:spacing w:val="0"/>
                <w:w w:val="100"/>
                <w:sz w:val="24"/>
                <w:szCs w:val="24"/>
                <w:highlight w:val="none"/>
                <w:lang w:eastAsia="zh-CN"/>
              </w:rPr>
            </w:pPr>
            <w:r>
              <w:rPr>
                <w:rFonts w:hint="eastAsia" w:ascii="宋体" w:hAnsi="宋体" w:cs="宋体"/>
                <w:b/>
                <w:bCs w:val="0"/>
                <w:spacing w:val="0"/>
                <w:w w:val="100"/>
                <w:sz w:val="24"/>
                <w:szCs w:val="24"/>
                <w:highlight w:val="none"/>
                <w:lang w:val="en-US" w:eastAsia="zh-CN"/>
              </w:rPr>
              <w:t>类型</w:t>
            </w:r>
          </w:p>
        </w:tc>
        <w:tc>
          <w:tcPr>
            <w:tcW w:w="1950" w:type="dxa"/>
            <w:vAlign w:val="center"/>
          </w:tcPr>
          <w:p w14:paraId="7C17F1C3">
            <w:pPr>
              <w:spacing w:line="360" w:lineRule="auto"/>
              <w:jc w:val="center"/>
              <w:rPr>
                <w:rFonts w:hint="default" w:ascii="宋体" w:hAnsi="宋体" w:eastAsia="宋体" w:cs="宋体"/>
                <w:b/>
                <w:bCs w:val="0"/>
                <w:spacing w:val="0"/>
                <w:w w:val="100"/>
                <w:sz w:val="24"/>
                <w:szCs w:val="24"/>
                <w:highlight w:val="none"/>
                <w:lang w:val="en-US" w:eastAsia="zh-CN"/>
              </w:rPr>
            </w:pPr>
            <w:r>
              <w:rPr>
                <w:rFonts w:hint="eastAsia" w:ascii="宋体" w:hAnsi="宋体" w:cs="宋体"/>
                <w:b/>
                <w:bCs w:val="0"/>
                <w:spacing w:val="0"/>
                <w:w w:val="100"/>
                <w:sz w:val="24"/>
                <w:szCs w:val="24"/>
                <w:highlight w:val="none"/>
                <w:lang w:val="en-US" w:eastAsia="zh-CN"/>
              </w:rPr>
              <w:t>单次检查价格</w:t>
            </w:r>
          </w:p>
        </w:tc>
        <w:tc>
          <w:tcPr>
            <w:tcW w:w="1300" w:type="dxa"/>
            <w:vAlign w:val="center"/>
          </w:tcPr>
          <w:p w14:paraId="25053DF3">
            <w:pPr>
              <w:spacing w:line="360" w:lineRule="auto"/>
              <w:jc w:val="center"/>
              <w:rPr>
                <w:rFonts w:hint="eastAsia" w:ascii="宋体" w:hAnsi="宋体" w:eastAsia="宋体" w:cs="宋体"/>
                <w:b/>
                <w:bCs w:val="0"/>
                <w:spacing w:val="0"/>
                <w:w w:val="100"/>
                <w:sz w:val="24"/>
                <w:szCs w:val="24"/>
                <w:highlight w:val="none"/>
              </w:rPr>
            </w:pPr>
          </w:p>
          <w:p w14:paraId="1A35EC8E">
            <w:pPr>
              <w:spacing w:line="360" w:lineRule="auto"/>
              <w:jc w:val="center"/>
              <w:rPr>
                <w:rFonts w:hint="eastAsia" w:ascii="宋体" w:hAnsi="宋体" w:eastAsia="宋体" w:cs="宋体"/>
                <w:b/>
                <w:bCs w:val="0"/>
                <w:spacing w:val="0"/>
                <w:w w:val="100"/>
                <w:sz w:val="24"/>
                <w:szCs w:val="24"/>
                <w:highlight w:val="none"/>
              </w:rPr>
            </w:pPr>
            <w:r>
              <w:rPr>
                <w:rFonts w:hint="eastAsia" w:ascii="宋体" w:hAnsi="宋体" w:eastAsia="宋体" w:cs="宋体"/>
                <w:b/>
                <w:bCs w:val="0"/>
                <w:spacing w:val="0"/>
                <w:w w:val="100"/>
                <w:sz w:val="24"/>
                <w:szCs w:val="24"/>
                <w:highlight w:val="none"/>
              </w:rPr>
              <w:t>备注</w:t>
            </w:r>
          </w:p>
          <w:p w14:paraId="0C4FBD79">
            <w:pPr>
              <w:spacing w:line="360" w:lineRule="auto"/>
              <w:jc w:val="center"/>
              <w:rPr>
                <w:rFonts w:hint="eastAsia" w:ascii="宋体" w:hAnsi="宋体" w:eastAsia="宋体" w:cs="宋体"/>
                <w:b/>
                <w:bCs w:val="0"/>
                <w:spacing w:val="0"/>
                <w:w w:val="100"/>
                <w:sz w:val="24"/>
                <w:szCs w:val="24"/>
                <w:highlight w:val="none"/>
              </w:rPr>
            </w:pPr>
          </w:p>
        </w:tc>
      </w:tr>
      <w:tr w14:paraId="2E57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8" w:type="dxa"/>
            <w:vAlign w:val="center"/>
          </w:tcPr>
          <w:p w14:paraId="798AF450">
            <w:pPr>
              <w:spacing w:line="360" w:lineRule="auto"/>
              <w:jc w:val="center"/>
              <w:rPr>
                <w:rFonts w:hint="eastAsia" w:ascii="宋体" w:hAnsi="宋体" w:eastAsia="宋体" w:cs="宋体"/>
                <w:b/>
                <w:bCs w:val="0"/>
                <w:spacing w:val="0"/>
                <w:w w:val="100"/>
                <w:sz w:val="24"/>
                <w:szCs w:val="24"/>
                <w:highlight w:val="none"/>
              </w:rPr>
            </w:pPr>
            <w:r>
              <w:rPr>
                <w:rFonts w:hint="eastAsia" w:ascii="宋体" w:hAnsi="宋体" w:eastAsia="宋体" w:cs="宋体"/>
                <w:b/>
                <w:bCs w:val="0"/>
                <w:spacing w:val="0"/>
                <w:w w:val="100"/>
                <w:sz w:val="24"/>
                <w:szCs w:val="24"/>
                <w:highlight w:val="none"/>
              </w:rPr>
              <w:t>1</w:t>
            </w:r>
          </w:p>
        </w:tc>
        <w:tc>
          <w:tcPr>
            <w:tcW w:w="5050" w:type="dxa"/>
            <w:vAlign w:val="center"/>
          </w:tcPr>
          <w:p w14:paraId="700C4992">
            <w:pPr>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园中园（厂中厂）（包含各园中园内生产加工、仓储、寄递、危化品、餐饮等重点企业单位）</w:t>
            </w:r>
          </w:p>
        </w:tc>
        <w:tc>
          <w:tcPr>
            <w:tcW w:w="1950" w:type="dxa"/>
            <w:vAlign w:val="center"/>
          </w:tcPr>
          <w:p w14:paraId="12D011DA">
            <w:pPr>
              <w:spacing w:line="360" w:lineRule="auto"/>
              <w:jc w:val="center"/>
              <w:rPr>
                <w:rFonts w:hint="default" w:ascii="宋体" w:hAnsi="宋体" w:eastAsia="宋体" w:cs="宋体"/>
                <w:b/>
                <w:bCs w:val="0"/>
                <w:spacing w:val="0"/>
                <w:w w:val="100"/>
                <w:sz w:val="24"/>
                <w:szCs w:val="24"/>
                <w:highlight w:val="none"/>
                <w:lang w:val="en-US" w:eastAsia="zh-CN"/>
              </w:rPr>
            </w:pPr>
            <w:r>
              <w:rPr>
                <w:rFonts w:hint="eastAsia" w:ascii="宋体" w:hAnsi="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元/家次</w:t>
            </w:r>
          </w:p>
        </w:tc>
        <w:tc>
          <w:tcPr>
            <w:tcW w:w="1300" w:type="dxa"/>
            <w:vMerge w:val="restart"/>
            <w:vAlign w:val="center"/>
          </w:tcPr>
          <w:p w14:paraId="56F955B6">
            <w:pPr>
              <w:spacing w:after="120"/>
              <w:jc w:val="center"/>
              <w:rPr>
                <w:rFonts w:hint="eastAsia" w:ascii="宋体" w:hAnsi="宋体" w:eastAsia="宋体" w:cs="宋体"/>
                <w:b/>
                <w:bCs w:val="0"/>
                <w:spacing w:val="0"/>
                <w:w w:val="100"/>
                <w:sz w:val="24"/>
                <w:szCs w:val="24"/>
                <w:highlight w:val="none"/>
                <w:lang w:eastAsia="zh-CN"/>
              </w:rPr>
            </w:pPr>
            <w:r>
              <w:rPr>
                <w:rFonts w:hint="eastAsia" w:ascii="宋体" w:hAnsi="宋体" w:eastAsia="宋体" w:cs="宋体"/>
                <w:b w:val="0"/>
                <w:bCs/>
                <w:spacing w:val="0"/>
                <w:w w:val="100"/>
                <w:sz w:val="24"/>
                <w:szCs w:val="24"/>
                <w:highlight w:val="none"/>
                <w:lang w:eastAsia="zh-CN"/>
              </w:rPr>
              <w:t>备注：具体名单在成交后统一提供</w:t>
            </w:r>
          </w:p>
        </w:tc>
      </w:tr>
      <w:tr w14:paraId="0251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8" w:type="dxa"/>
            <w:vAlign w:val="center"/>
          </w:tcPr>
          <w:p w14:paraId="328B1194">
            <w:pPr>
              <w:spacing w:line="360" w:lineRule="auto"/>
              <w:jc w:val="center"/>
              <w:rPr>
                <w:rFonts w:hint="eastAsia" w:ascii="宋体" w:hAnsi="宋体" w:eastAsia="宋体" w:cs="宋体"/>
                <w:b/>
                <w:bCs w:val="0"/>
                <w:spacing w:val="0"/>
                <w:w w:val="100"/>
                <w:sz w:val="24"/>
                <w:szCs w:val="24"/>
                <w:highlight w:val="none"/>
                <w:lang w:val="en-US" w:eastAsia="zh-CN"/>
              </w:rPr>
            </w:pPr>
            <w:r>
              <w:rPr>
                <w:rFonts w:hint="eastAsia" w:ascii="宋体" w:hAnsi="宋体" w:cs="宋体"/>
                <w:b/>
                <w:bCs w:val="0"/>
                <w:spacing w:val="0"/>
                <w:w w:val="100"/>
                <w:sz w:val="24"/>
                <w:szCs w:val="24"/>
                <w:highlight w:val="none"/>
                <w:lang w:val="en-US" w:eastAsia="zh-CN"/>
              </w:rPr>
              <w:t>2</w:t>
            </w:r>
          </w:p>
        </w:tc>
        <w:tc>
          <w:tcPr>
            <w:tcW w:w="5050" w:type="dxa"/>
            <w:vAlign w:val="center"/>
          </w:tcPr>
          <w:p w14:paraId="462AAC3F">
            <w:pPr>
              <w:keepNext w:val="0"/>
              <w:keepLines w:val="0"/>
              <w:pageBreakBefore w:val="0"/>
              <w:kinsoku/>
              <w:wordWrap/>
              <w:overflowPunct/>
              <w:topLinePunct w:val="0"/>
              <w:bidi w:val="0"/>
              <w:adjustRightInd/>
              <w:snapToGrid/>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在建工地</w:t>
            </w:r>
          </w:p>
        </w:tc>
        <w:tc>
          <w:tcPr>
            <w:tcW w:w="1950" w:type="dxa"/>
            <w:vAlign w:val="center"/>
          </w:tcPr>
          <w:p w14:paraId="267E8613">
            <w:pPr>
              <w:spacing w:line="360" w:lineRule="auto"/>
              <w:jc w:val="center"/>
              <w:rPr>
                <w:rFonts w:hint="default" w:ascii="宋体" w:hAnsi="宋体" w:eastAsia="宋体" w:cs="宋体"/>
                <w:b/>
                <w:bCs w:val="0"/>
                <w:spacing w:val="0"/>
                <w:w w:val="100"/>
                <w:sz w:val="24"/>
                <w:szCs w:val="24"/>
                <w:highlight w:val="none"/>
                <w:lang w:val="en-US" w:eastAsia="zh-CN"/>
              </w:rPr>
            </w:pPr>
            <w:r>
              <w:rPr>
                <w:rFonts w:hint="eastAsia" w:ascii="宋体" w:hAnsi="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元/家次</w:t>
            </w:r>
          </w:p>
        </w:tc>
        <w:tc>
          <w:tcPr>
            <w:tcW w:w="1300" w:type="dxa"/>
            <w:vMerge w:val="continue"/>
            <w:vAlign w:val="center"/>
          </w:tcPr>
          <w:p w14:paraId="085A6501">
            <w:pPr>
              <w:spacing w:after="120"/>
              <w:jc w:val="center"/>
              <w:rPr>
                <w:rFonts w:hint="eastAsia" w:ascii="宋体" w:hAnsi="宋体" w:eastAsia="宋体" w:cs="宋体"/>
                <w:b/>
                <w:bCs w:val="0"/>
                <w:spacing w:val="0"/>
                <w:w w:val="100"/>
                <w:sz w:val="24"/>
                <w:szCs w:val="24"/>
                <w:highlight w:val="none"/>
              </w:rPr>
            </w:pPr>
          </w:p>
        </w:tc>
      </w:tr>
      <w:tr w14:paraId="53D6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8" w:type="dxa"/>
            <w:vAlign w:val="center"/>
          </w:tcPr>
          <w:p w14:paraId="56FD4CBE">
            <w:pPr>
              <w:spacing w:line="360" w:lineRule="auto"/>
              <w:jc w:val="center"/>
              <w:rPr>
                <w:rFonts w:hint="eastAsia" w:ascii="宋体" w:hAnsi="宋体" w:eastAsia="宋体" w:cs="宋体"/>
                <w:b/>
                <w:bCs w:val="0"/>
                <w:spacing w:val="0"/>
                <w:w w:val="100"/>
                <w:sz w:val="24"/>
                <w:szCs w:val="24"/>
                <w:highlight w:val="none"/>
                <w:lang w:val="en-US" w:eastAsia="zh-CN"/>
              </w:rPr>
            </w:pPr>
            <w:r>
              <w:rPr>
                <w:rFonts w:hint="eastAsia" w:ascii="宋体" w:hAnsi="宋体" w:cs="宋体"/>
                <w:b/>
                <w:bCs w:val="0"/>
                <w:spacing w:val="0"/>
                <w:w w:val="100"/>
                <w:sz w:val="24"/>
                <w:szCs w:val="24"/>
                <w:highlight w:val="none"/>
                <w:lang w:val="en-US" w:eastAsia="zh-CN"/>
              </w:rPr>
              <w:t>3</w:t>
            </w:r>
          </w:p>
        </w:tc>
        <w:tc>
          <w:tcPr>
            <w:tcW w:w="5050" w:type="dxa"/>
            <w:vAlign w:val="center"/>
          </w:tcPr>
          <w:p w14:paraId="60435C6C">
            <w:pPr>
              <w:keepNext w:val="0"/>
              <w:keepLines w:val="0"/>
              <w:pageBreakBefore w:val="0"/>
              <w:kinsoku/>
              <w:wordWrap/>
              <w:overflowPunct/>
              <w:topLinePunct w:val="0"/>
              <w:bidi w:val="0"/>
              <w:adjustRightInd/>
              <w:snapToGrid/>
              <w:spacing w:line="360" w:lineRule="auto"/>
              <w:jc w:val="center"/>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生产加工、寄递、危化品等单位</w:t>
            </w:r>
            <w:r>
              <w:rPr>
                <w:rFonts w:hint="eastAsia" w:ascii="宋体" w:hAnsi="宋体" w:cs="宋体"/>
                <w:b/>
                <w:bCs/>
                <w:sz w:val="24"/>
                <w:szCs w:val="24"/>
                <w:highlight w:val="none"/>
                <w:lang w:val="en-US" w:eastAsia="zh-CN"/>
              </w:rPr>
              <w:t>专项检查</w:t>
            </w:r>
          </w:p>
        </w:tc>
        <w:tc>
          <w:tcPr>
            <w:tcW w:w="1950" w:type="dxa"/>
            <w:vAlign w:val="center"/>
          </w:tcPr>
          <w:p w14:paraId="021711DA">
            <w:pPr>
              <w:spacing w:line="360" w:lineRule="auto"/>
              <w:jc w:val="center"/>
              <w:rPr>
                <w:rFonts w:hint="eastAsia" w:ascii="宋体" w:hAnsi="宋体" w:eastAsia="宋体" w:cs="宋体"/>
                <w:b/>
                <w:bCs w:val="0"/>
                <w:spacing w:val="0"/>
                <w:w w:val="100"/>
                <w:sz w:val="24"/>
                <w:szCs w:val="24"/>
                <w:highlight w:val="none"/>
              </w:rPr>
            </w:pPr>
            <w:r>
              <w:rPr>
                <w:rFonts w:hint="eastAsia" w:ascii="宋体" w:hAnsi="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元/家次</w:t>
            </w:r>
          </w:p>
        </w:tc>
        <w:tc>
          <w:tcPr>
            <w:tcW w:w="1300" w:type="dxa"/>
            <w:vMerge w:val="continue"/>
            <w:vAlign w:val="center"/>
          </w:tcPr>
          <w:p w14:paraId="51784A1B">
            <w:pPr>
              <w:spacing w:after="120"/>
              <w:jc w:val="center"/>
              <w:rPr>
                <w:rFonts w:hint="eastAsia" w:ascii="宋体" w:hAnsi="宋体" w:eastAsia="宋体" w:cs="宋体"/>
                <w:b/>
                <w:bCs w:val="0"/>
                <w:spacing w:val="0"/>
                <w:w w:val="100"/>
                <w:sz w:val="24"/>
                <w:szCs w:val="24"/>
                <w:highlight w:val="none"/>
              </w:rPr>
            </w:pPr>
          </w:p>
        </w:tc>
      </w:tr>
    </w:tbl>
    <w:p w14:paraId="7F70F49B">
      <w:pPr>
        <w:kinsoku/>
        <w:wordWrap/>
        <w:overflowPunct/>
        <w:topLinePunct w:val="0"/>
        <w:bidi w:val="0"/>
        <w:adjustRightInd/>
        <w:snapToGrid/>
        <w:spacing w:beforeAutospacing="0" w:afterAutospacing="0" w:line="360" w:lineRule="auto"/>
        <w:ind w:left="480"/>
        <w:textAlignment w:val="auto"/>
        <w:rPr>
          <w:rFonts w:ascii="宋体" w:hAnsi="宋体" w:cs="宋体"/>
          <w:b/>
          <w:color w:val="auto"/>
          <w:kern w:val="0"/>
          <w:sz w:val="24"/>
          <w:lang w:val="zh-CN"/>
        </w:rPr>
      </w:pPr>
      <w:r>
        <w:rPr>
          <w:rFonts w:hint="eastAsia" w:ascii="宋体" w:hAnsi="宋体" w:cs="宋体"/>
          <w:b/>
          <w:color w:val="auto"/>
          <w:kern w:val="0"/>
          <w:sz w:val="24"/>
          <w:lang w:val="zh-CN"/>
        </w:rPr>
        <w:t>注：</w:t>
      </w:r>
    </w:p>
    <w:p w14:paraId="7FE00A70">
      <w:pPr>
        <w:kinsoku/>
        <w:wordWrap/>
        <w:overflowPunct/>
        <w:topLinePunct w:val="0"/>
        <w:bidi w:val="0"/>
        <w:adjustRightInd/>
        <w:snapToGrid/>
        <w:spacing w:beforeAutospacing="0" w:afterAutospacing="0" w:line="360" w:lineRule="auto"/>
        <w:ind w:left="-2" w:leftChars="-1" w:firstLine="480" w:firstLineChars="200"/>
        <w:textAlignment w:val="auto"/>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w:t>
      </w:r>
    </w:p>
    <w:p w14:paraId="14246794">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14:paraId="1796CE3C">
      <w:pPr>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3、特别提示：采购代理机构将对项目名称和项目编号，中标供应商名称、地址和中标金额，主要中标标的名称、服务范围、服务要求、服务时间、服务标准等予以公示。</w:t>
      </w:r>
    </w:p>
    <w:p w14:paraId="596D31F9">
      <w:pPr>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b/>
          <w:color w:val="auto"/>
          <w:kern w:val="0"/>
          <w:sz w:val="24"/>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C4BB30C">
      <w:pPr>
        <w:pStyle w:val="693"/>
        <w:keepNext w:val="0"/>
        <w:pageBreakBefore w:val="0"/>
        <w:tabs>
          <w:tab w:val="clear" w:pos="720"/>
        </w:tabs>
        <w:kinsoku/>
        <w:wordWrap/>
        <w:overflowPunct/>
        <w:topLinePunct w:val="0"/>
        <w:bidi w:val="0"/>
        <w:adjustRightInd/>
        <w:snapToGrid/>
        <w:spacing w:beforeAutospacing="0" w:afterAutospacing="0" w:line="360" w:lineRule="auto"/>
        <w:ind w:firstLine="643"/>
        <w:textAlignment w:val="auto"/>
        <w:outlineLvl w:val="9"/>
        <w:rPr>
          <w:rFonts w:ascii="宋体" w:hAnsi="宋体" w:eastAsia="宋体" w:cs="宋体"/>
          <w:color w:val="auto"/>
          <w:kern w:val="2"/>
          <w:sz w:val="32"/>
          <w:szCs w:val="32"/>
        </w:rPr>
        <w:sectPr>
          <w:pgSz w:w="11906" w:h="16838"/>
          <w:pgMar w:top="1440" w:right="1800" w:bottom="1440" w:left="1800" w:header="851" w:footer="992" w:gutter="0"/>
          <w:cols w:space="720" w:num="1"/>
          <w:titlePg/>
          <w:docGrid w:linePitch="312" w:charSpace="0"/>
        </w:sectPr>
      </w:pPr>
    </w:p>
    <w:p w14:paraId="4716CA4D">
      <w:pPr>
        <w:pStyle w:val="693"/>
        <w:keepNext w:val="0"/>
        <w:pageBreakBefore w:val="0"/>
        <w:tabs>
          <w:tab w:val="clear" w:pos="720"/>
        </w:tabs>
        <w:kinsoku/>
        <w:wordWrap/>
        <w:overflowPunct/>
        <w:topLinePunct w:val="0"/>
        <w:bidi w:val="0"/>
        <w:adjustRightInd/>
        <w:snapToGrid/>
        <w:spacing w:beforeAutospacing="0" w:afterAutospacing="0" w:line="360" w:lineRule="auto"/>
        <w:ind w:firstLine="643"/>
        <w:textAlignment w:val="auto"/>
        <w:outlineLvl w:val="9"/>
        <w:rPr>
          <w:rFonts w:ascii="宋体" w:hAnsi="宋体" w:eastAsia="宋体" w:cs="宋体"/>
          <w:color w:val="auto"/>
          <w:sz w:val="32"/>
          <w:szCs w:val="32"/>
        </w:rPr>
      </w:pPr>
      <w:r>
        <w:rPr>
          <w:rFonts w:hint="eastAsia" w:ascii="宋体" w:hAnsi="宋体" w:eastAsia="宋体" w:cs="宋体"/>
          <w:color w:val="auto"/>
          <w:kern w:val="2"/>
          <w:sz w:val="32"/>
          <w:szCs w:val="32"/>
        </w:rPr>
        <w:t>二、</w:t>
      </w:r>
      <w:r>
        <w:rPr>
          <w:rFonts w:hint="eastAsia" w:ascii="宋体" w:hAnsi="宋体" w:eastAsia="宋体" w:cs="宋体"/>
          <w:color w:val="auto"/>
          <w:sz w:val="32"/>
          <w:szCs w:val="32"/>
        </w:rPr>
        <w:t>中小企业声明函（如果有）</w:t>
      </w:r>
    </w:p>
    <w:p w14:paraId="6A7CFF41">
      <w:pPr>
        <w:widowControl/>
        <w:kinsoku/>
        <w:wordWrap/>
        <w:overflowPunct/>
        <w:topLinePunct w:val="0"/>
        <w:bidi w:val="0"/>
        <w:adjustRightInd/>
        <w:snapToGrid/>
        <w:spacing w:beforeAutospacing="0" w:afterAutospacing="0" w:line="360" w:lineRule="auto"/>
        <w:ind w:firstLine="120" w:firstLineChars="50"/>
        <w:jc w:val="left"/>
        <w:textAlignment w:val="auto"/>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14DAF7B1">
      <w:pPr>
        <w:pStyle w:val="693"/>
        <w:keepNext w:val="0"/>
        <w:pageBreakBefore w:val="0"/>
        <w:tabs>
          <w:tab w:val="clear" w:pos="720"/>
        </w:tabs>
        <w:kinsoku/>
        <w:wordWrap/>
        <w:overflowPunct/>
        <w:topLinePunct w:val="0"/>
        <w:bidi w:val="0"/>
        <w:adjustRightInd/>
        <w:snapToGrid/>
        <w:spacing w:beforeAutospacing="0" w:afterAutospacing="0" w:line="360" w:lineRule="auto"/>
        <w:ind w:firstLine="643"/>
        <w:textAlignment w:val="auto"/>
        <w:outlineLvl w:val="9"/>
        <w:rPr>
          <w:rFonts w:ascii="宋体" w:hAnsi="宋体" w:eastAsia="宋体" w:cs="宋体"/>
          <w:b w:val="0"/>
          <w:color w:val="auto"/>
          <w:sz w:val="32"/>
          <w:szCs w:val="32"/>
        </w:rPr>
      </w:pPr>
    </w:p>
    <w:p w14:paraId="2E64DCA4">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5C1ACFFC">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066A0E47">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3064A8C7">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670ED592">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3E84154D">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1178A24F">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614E0D63">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4B31F7CC">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2D3D2379">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77196A9A">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7369C967">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7D5716F6">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54A8D2C3">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5AF73092">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10902BDB">
      <w:pPr>
        <w:kinsoku/>
        <w:wordWrap/>
        <w:overflowPunct/>
        <w:topLinePunct w:val="0"/>
        <w:bidi w:val="0"/>
        <w:adjustRightInd/>
        <w:snapToGrid/>
        <w:spacing w:beforeAutospacing="0" w:afterAutospacing="0" w:line="360" w:lineRule="auto"/>
        <w:ind w:right="420" w:firstLine="3614" w:firstLineChars="1000"/>
        <w:textAlignment w:val="auto"/>
        <w:rPr>
          <w:rFonts w:ascii="宋体" w:hAnsi="宋体" w:cs="宋体"/>
          <w:b/>
          <w:color w:val="auto"/>
          <w:kern w:val="0"/>
          <w:sz w:val="36"/>
          <w:szCs w:val="36"/>
        </w:rPr>
      </w:pPr>
    </w:p>
    <w:p w14:paraId="404A2753">
      <w:pPr>
        <w:pStyle w:val="2"/>
        <w:keepNext w:val="0"/>
        <w:keepLines w:val="0"/>
        <w:pageBreakBefore/>
        <w:widowControl/>
        <w:kinsoku/>
        <w:wordWrap/>
        <w:overflowPunct/>
        <w:topLinePunct w:val="0"/>
        <w:bidi w:val="0"/>
        <w:adjustRightInd/>
        <w:snapToGrid/>
        <w:spacing w:before="0" w:beforeAutospacing="0" w:after="0" w:afterAutospacing="0" w:line="360" w:lineRule="auto"/>
        <w:jc w:val="center"/>
        <w:textAlignment w:val="auto"/>
        <w:rPr>
          <w:rFonts w:ascii="宋体" w:hAnsi="宋体" w:cs="宋体"/>
          <w:color w:val="auto"/>
        </w:rPr>
      </w:pPr>
      <w:r>
        <w:rPr>
          <w:rFonts w:hint="eastAsia" w:ascii="宋体" w:hAnsi="宋体" w:cs="宋体"/>
          <w:color w:val="auto"/>
        </w:rPr>
        <w:t>附件</w:t>
      </w:r>
    </w:p>
    <w:p w14:paraId="5F04AB0E">
      <w:pPr>
        <w:kinsoku/>
        <w:wordWrap/>
        <w:overflowPunct/>
        <w:topLinePunct w:val="0"/>
        <w:bidi w:val="0"/>
        <w:adjustRightInd/>
        <w:snapToGrid/>
        <w:spacing w:beforeAutospacing="0" w:afterAutospacing="0" w:line="360" w:lineRule="auto"/>
        <w:textAlignment w:val="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095D3462">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r>
        <w:rPr>
          <w:rFonts w:hint="eastAsia" w:ascii="宋体" w:hAnsi="宋体" w:cs="宋体"/>
          <w:b/>
          <w:color w:val="auto"/>
          <w:spacing w:val="6"/>
          <w:sz w:val="32"/>
          <w:szCs w:val="32"/>
        </w:rPr>
        <w:t>残疾人福利性单位声明函</w:t>
      </w:r>
    </w:p>
    <w:p w14:paraId="6CE903EA">
      <w:pPr>
        <w:kinsoku/>
        <w:wordWrap/>
        <w:overflowPunct/>
        <w:topLinePunct w:val="0"/>
        <w:bidi w:val="0"/>
        <w:adjustRightInd/>
        <w:snapToGrid/>
        <w:spacing w:beforeAutospacing="0" w:afterAutospacing="0" w:line="360" w:lineRule="auto"/>
        <w:textAlignment w:val="auto"/>
        <w:rPr>
          <w:rFonts w:ascii="宋体" w:hAnsi="宋体" w:cs="宋体"/>
          <w:b/>
          <w:color w:val="auto"/>
          <w:spacing w:val="6"/>
          <w:sz w:val="30"/>
          <w:szCs w:val="30"/>
        </w:rPr>
      </w:pPr>
    </w:p>
    <w:p w14:paraId="210C0054">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__项目采购活动提供本单位制造的货物（由本单位承担工程/提供服务），或者提供其他残疾人福利性单位制造的货物（不包括使用非残疾人福利性单位注册商标的货物）。</w:t>
      </w:r>
    </w:p>
    <w:p w14:paraId="1F988FBB">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17D2DC9B">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p>
    <w:p w14:paraId="0860930B">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p>
    <w:p w14:paraId="2D27CBC5">
      <w:pPr>
        <w:tabs>
          <w:tab w:val="left" w:pos="4860"/>
        </w:tabs>
        <w:kinsoku/>
        <w:wordWrap/>
        <w:overflowPunct/>
        <w:topLinePunct w:val="0"/>
        <w:bidi w:val="0"/>
        <w:adjustRightInd/>
        <w:snapToGrid/>
        <w:spacing w:beforeAutospacing="0" w:afterAutospacing="0" w:line="360" w:lineRule="auto"/>
        <w:ind w:right="1560" w:firstLine="480" w:firstLineChars="200"/>
        <w:jc w:val="center"/>
        <w:textAlignment w:val="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投标人名称（电子签名）</w:t>
      </w:r>
      <w:r>
        <w:rPr>
          <w:rFonts w:hint="eastAsia" w:ascii="宋体" w:hAnsi="宋体" w:cs="宋体"/>
          <w:color w:val="auto"/>
          <w:sz w:val="24"/>
        </w:rPr>
        <w:t>：</w:t>
      </w:r>
    </w:p>
    <w:p w14:paraId="18FC6637">
      <w:pPr>
        <w:tabs>
          <w:tab w:val="left" w:pos="4860"/>
        </w:tabs>
        <w:kinsoku/>
        <w:wordWrap/>
        <w:overflowPunct/>
        <w:topLinePunct w:val="0"/>
        <w:bidi w:val="0"/>
        <w:adjustRightInd/>
        <w:snapToGrid/>
        <w:spacing w:beforeAutospacing="0" w:afterAutospacing="0" w:line="360" w:lineRule="auto"/>
        <w:ind w:right="1560" w:firstLine="480" w:firstLineChars="200"/>
        <w:jc w:val="center"/>
        <w:textAlignment w:val="auto"/>
        <w:rPr>
          <w:rFonts w:ascii="宋体" w:hAnsi="宋体" w:cs="宋体"/>
          <w:color w:val="auto"/>
          <w:sz w:val="24"/>
        </w:rPr>
      </w:pPr>
      <w:r>
        <w:rPr>
          <w:rFonts w:hint="eastAsia" w:ascii="宋体" w:hAnsi="宋体" w:cs="宋体"/>
          <w:color w:val="auto"/>
          <w:sz w:val="24"/>
        </w:rPr>
        <w:t xml:space="preserve">       日  期：</w:t>
      </w:r>
    </w:p>
    <w:p w14:paraId="5E59FAD7">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p>
    <w:p w14:paraId="4E837282">
      <w:pPr>
        <w:kinsoku/>
        <w:wordWrap/>
        <w:overflowPunct/>
        <w:topLinePunct w:val="0"/>
        <w:bidi w:val="0"/>
        <w:adjustRightInd/>
        <w:snapToGrid/>
        <w:spacing w:beforeAutospacing="0" w:afterAutospacing="0" w:line="360" w:lineRule="auto"/>
        <w:ind w:firstLine="420" w:firstLineChars="200"/>
        <w:textAlignment w:val="auto"/>
        <w:rPr>
          <w:rFonts w:ascii="宋体" w:hAnsi="宋体" w:cs="宋体"/>
          <w:color w:val="auto"/>
        </w:rPr>
      </w:pPr>
    </w:p>
    <w:p w14:paraId="7402D968">
      <w:pPr>
        <w:kinsoku/>
        <w:wordWrap/>
        <w:overflowPunct/>
        <w:topLinePunct w:val="0"/>
        <w:bidi w:val="0"/>
        <w:adjustRightInd/>
        <w:snapToGrid/>
        <w:spacing w:beforeAutospacing="0" w:afterAutospacing="0" w:line="360" w:lineRule="auto"/>
        <w:ind w:firstLine="420" w:firstLineChars="200"/>
        <w:textAlignment w:val="auto"/>
        <w:rPr>
          <w:rFonts w:ascii="宋体" w:hAnsi="宋体" w:cs="宋体"/>
          <w:color w:val="auto"/>
        </w:rPr>
      </w:pPr>
    </w:p>
    <w:p w14:paraId="3E92AC2F">
      <w:pPr>
        <w:kinsoku/>
        <w:wordWrap/>
        <w:overflowPunct/>
        <w:topLinePunct w:val="0"/>
        <w:bidi w:val="0"/>
        <w:adjustRightInd/>
        <w:snapToGrid/>
        <w:spacing w:beforeAutospacing="0" w:afterAutospacing="0" w:line="360" w:lineRule="auto"/>
        <w:ind w:firstLine="420" w:firstLineChars="200"/>
        <w:textAlignment w:val="auto"/>
        <w:rPr>
          <w:rFonts w:ascii="宋体" w:hAnsi="宋体" w:cs="宋体"/>
          <w:color w:val="auto"/>
        </w:rPr>
      </w:pPr>
    </w:p>
    <w:p w14:paraId="7E7CCC59">
      <w:pPr>
        <w:kinsoku/>
        <w:wordWrap/>
        <w:overflowPunct/>
        <w:topLinePunct w:val="0"/>
        <w:bidi w:val="0"/>
        <w:adjustRightInd/>
        <w:snapToGrid/>
        <w:spacing w:beforeAutospacing="0" w:afterAutospacing="0" w:line="360" w:lineRule="auto"/>
        <w:ind w:firstLine="420" w:firstLineChars="200"/>
        <w:textAlignment w:val="auto"/>
        <w:rPr>
          <w:rFonts w:ascii="宋体" w:hAnsi="宋体" w:cs="宋体"/>
          <w:color w:val="auto"/>
        </w:rPr>
      </w:pPr>
    </w:p>
    <w:p w14:paraId="5960B5DB">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6DFA4E62">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68D7E3DF">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08EDE05D">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02286535">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31A6D2C0">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19487347">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2A0DF5EA">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6E662A5D">
      <w:pPr>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1CBB6D80">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C8262D">
      <w:pPr>
        <w:kinsoku/>
        <w:wordWrap/>
        <w:overflowPunct/>
        <w:topLinePunct w:val="0"/>
        <w:bidi w:val="0"/>
        <w:adjustRightInd/>
        <w:snapToGrid/>
        <w:spacing w:beforeAutospacing="0" w:afterAutospacing="0" w:line="360" w:lineRule="auto"/>
        <w:textAlignment w:val="auto"/>
        <w:rPr>
          <w:rFonts w:ascii="宋体" w:hAnsi="宋体" w:cs="宋体"/>
          <w:bCs/>
          <w:color w:val="auto"/>
          <w:sz w:val="24"/>
        </w:rPr>
      </w:pPr>
      <w:r>
        <w:rPr>
          <w:rFonts w:hint="eastAsia" w:ascii="宋体" w:hAnsi="宋体" w:cs="宋体"/>
          <w:bCs/>
          <w:color w:val="auto"/>
          <w:sz w:val="24"/>
        </w:rPr>
        <w:t>一、质疑供应商基本信息</w:t>
      </w:r>
    </w:p>
    <w:p w14:paraId="2DFFA8C1">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679ACD19">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14C186EF">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61C9D143">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45112631">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AA7F54E">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5C5A446">
      <w:pPr>
        <w:kinsoku/>
        <w:wordWrap/>
        <w:overflowPunct/>
        <w:topLinePunct w:val="0"/>
        <w:bidi w:val="0"/>
        <w:adjustRightInd/>
        <w:snapToGrid/>
        <w:spacing w:beforeAutospacing="0" w:afterAutospacing="0" w:line="360" w:lineRule="auto"/>
        <w:textAlignment w:val="auto"/>
        <w:rPr>
          <w:rFonts w:ascii="宋体" w:hAnsi="宋体" w:cs="宋体"/>
          <w:bCs/>
          <w:color w:val="auto"/>
          <w:sz w:val="24"/>
        </w:rPr>
      </w:pPr>
      <w:r>
        <w:rPr>
          <w:rFonts w:hint="eastAsia" w:ascii="宋体" w:hAnsi="宋体" w:cs="宋体"/>
          <w:bCs/>
          <w:color w:val="auto"/>
          <w:sz w:val="24"/>
        </w:rPr>
        <w:t>二、质疑项目基本情况</w:t>
      </w:r>
    </w:p>
    <w:p w14:paraId="14974F22">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3229C35">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5B92AA1">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7A7948FB">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54B2849D">
      <w:pPr>
        <w:kinsoku/>
        <w:wordWrap/>
        <w:overflowPunct/>
        <w:topLinePunct w:val="0"/>
        <w:bidi w:val="0"/>
        <w:adjustRightInd/>
        <w:snapToGrid/>
        <w:spacing w:beforeAutospacing="0" w:afterAutospacing="0" w:line="360" w:lineRule="auto"/>
        <w:textAlignment w:val="auto"/>
        <w:rPr>
          <w:rFonts w:ascii="宋体" w:hAnsi="宋体" w:cs="宋体"/>
          <w:bCs/>
          <w:color w:val="auto"/>
          <w:sz w:val="24"/>
        </w:rPr>
      </w:pPr>
      <w:r>
        <w:rPr>
          <w:rFonts w:hint="eastAsia" w:ascii="宋体" w:hAnsi="宋体" w:cs="宋体"/>
          <w:bCs/>
          <w:color w:val="auto"/>
          <w:sz w:val="24"/>
        </w:rPr>
        <w:t>三、质疑事项具体内容</w:t>
      </w:r>
    </w:p>
    <w:p w14:paraId="1000AADF">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713EFB4B">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7F2CD797">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u w:val="dotted"/>
        </w:rPr>
        <w:t xml:space="preserve">                                                       </w:t>
      </w:r>
    </w:p>
    <w:p w14:paraId="402F9DAF">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230FE76B">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u w:val="dotted"/>
        </w:rPr>
        <w:t xml:space="preserve">                                                     </w:t>
      </w:r>
    </w:p>
    <w:p w14:paraId="7341E1FA">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质疑事项2</w:t>
      </w:r>
    </w:p>
    <w:p w14:paraId="082F5310">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w:t>
      </w:r>
    </w:p>
    <w:p w14:paraId="165AE786">
      <w:pPr>
        <w:kinsoku/>
        <w:wordWrap/>
        <w:overflowPunct/>
        <w:topLinePunct w:val="0"/>
        <w:bidi w:val="0"/>
        <w:adjustRightInd/>
        <w:snapToGrid/>
        <w:spacing w:beforeAutospacing="0" w:afterAutospacing="0" w:line="360" w:lineRule="auto"/>
        <w:textAlignment w:val="auto"/>
        <w:rPr>
          <w:rFonts w:ascii="宋体" w:hAnsi="宋体" w:cs="宋体"/>
          <w:bCs/>
          <w:color w:val="auto"/>
          <w:sz w:val="24"/>
        </w:rPr>
      </w:pPr>
      <w:r>
        <w:rPr>
          <w:rFonts w:hint="eastAsia" w:ascii="宋体" w:hAnsi="宋体" w:cs="宋体"/>
          <w:bCs/>
          <w:color w:val="auto"/>
          <w:sz w:val="24"/>
        </w:rPr>
        <w:t>四、与质疑事项相关的质疑请求</w:t>
      </w:r>
    </w:p>
    <w:p w14:paraId="0F0F0B61">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11D3153">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 xml:space="preserve">签字(签章)：                   公章：                      </w:t>
      </w:r>
    </w:p>
    <w:p w14:paraId="0A94A144">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 xml:space="preserve">日期：    </w:t>
      </w:r>
    </w:p>
    <w:p w14:paraId="037C5BCF">
      <w:pPr>
        <w:kinsoku/>
        <w:wordWrap/>
        <w:overflowPunct/>
        <w:topLinePunct w:val="0"/>
        <w:bidi w:val="0"/>
        <w:adjustRightInd/>
        <w:snapToGrid/>
        <w:spacing w:beforeAutospacing="0" w:afterAutospacing="0" w:line="360" w:lineRule="auto"/>
        <w:jc w:val="center"/>
        <w:textAlignment w:val="auto"/>
        <w:rPr>
          <w:rFonts w:ascii="宋体" w:hAnsi="宋体" w:cs="宋体"/>
          <w:b/>
          <w:bCs/>
          <w:color w:val="auto"/>
          <w:sz w:val="24"/>
        </w:rPr>
      </w:pPr>
    </w:p>
    <w:p w14:paraId="4CE16BCC">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36BF6B23">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7CC0DC85">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70BCDD3C">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r>
        <w:rPr>
          <w:rFonts w:hint="eastAsia" w:ascii="宋体" w:hAnsi="宋体" w:cs="宋体"/>
          <w:b/>
          <w:color w:val="auto"/>
          <w:sz w:val="24"/>
        </w:rPr>
        <w:t>质疑函制作说明：</w:t>
      </w:r>
    </w:p>
    <w:p w14:paraId="51F30F64">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1.供应商提出质疑时，应提交质疑函和必要的证明材料。</w:t>
      </w:r>
    </w:p>
    <w:p w14:paraId="7E8E2DB0">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12864808">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0F9EE480">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372C88EA">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5.质疑函的质疑请求应与质疑事项相关。</w:t>
      </w:r>
    </w:p>
    <w:p w14:paraId="7AF466FA">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65034A4D">
      <w:pPr>
        <w:widowControl/>
        <w:kinsoku/>
        <w:wordWrap/>
        <w:overflowPunct/>
        <w:topLinePunct w:val="0"/>
        <w:bidi w:val="0"/>
        <w:adjustRightInd/>
        <w:snapToGrid/>
        <w:spacing w:beforeAutospacing="0" w:afterAutospacing="0" w:line="360" w:lineRule="auto"/>
        <w:ind w:firstLine="600" w:firstLineChars="200"/>
        <w:jc w:val="left"/>
        <w:textAlignment w:val="auto"/>
        <w:rPr>
          <w:rFonts w:ascii="宋体" w:hAnsi="宋体" w:cs="宋体"/>
          <w:color w:val="auto"/>
          <w:sz w:val="30"/>
          <w:szCs w:val="30"/>
        </w:rPr>
      </w:pPr>
    </w:p>
    <w:p w14:paraId="43AE52B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1097DD98">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548019B0">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43C29C6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1C78C221">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682520C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3BDD3FF5">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3954A64B">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0BC4800F">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2ECD41D0">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55CFFCEE">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2AFC7B1C">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70B93858">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767316DA">
      <w:pPr>
        <w:kinsoku/>
        <w:wordWrap/>
        <w:overflowPunct/>
        <w:topLinePunct w:val="0"/>
        <w:bidi w:val="0"/>
        <w:adjustRightInd/>
        <w:snapToGrid/>
        <w:spacing w:beforeAutospacing="0" w:afterAutospacing="0" w:line="360" w:lineRule="auto"/>
        <w:jc w:val="left"/>
        <w:textAlignment w:val="auto"/>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7252EA3C">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z w:val="24"/>
        </w:rPr>
      </w:pPr>
    </w:p>
    <w:p w14:paraId="441D040D">
      <w:pPr>
        <w:kinsoku/>
        <w:wordWrap/>
        <w:overflowPunct/>
        <w:topLinePunct w:val="0"/>
        <w:bidi w:val="0"/>
        <w:adjustRightInd/>
        <w:snapToGrid/>
        <w:spacing w:beforeAutospacing="0" w:afterAutospacing="0" w:line="360" w:lineRule="auto"/>
        <w:jc w:val="center"/>
        <w:textAlignment w:val="auto"/>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4D9DA756">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一、投诉相关主体基本情况</w:t>
      </w:r>
    </w:p>
    <w:p w14:paraId="3324E821">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7B9F738A">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7658649">
      <w:pPr>
        <w:tabs>
          <w:tab w:val="left" w:pos="6510"/>
        </w:tabs>
        <w:kinsoku/>
        <w:wordWrap/>
        <w:overflowPunct/>
        <w:topLinePunct w:val="0"/>
        <w:bidi w:val="0"/>
        <w:adjustRightInd/>
        <w:snapToGrid/>
        <w:spacing w:beforeAutospacing="0" w:afterAutospacing="0" w:line="360" w:lineRule="auto"/>
        <w:jc w:val="left"/>
        <w:textAlignment w:val="auto"/>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C7CD27F">
      <w:pPr>
        <w:tabs>
          <w:tab w:val="left" w:pos="6510"/>
        </w:tabs>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408F49A5">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D093F0D">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14:paraId="39396F5D">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25ED6763">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10A628E4">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E316937">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被投诉人2</w:t>
      </w:r>
    </w:p>
    <w:p w14:paraId="4EA95ED2">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w:t>
      </w:r>
    </w:p>
    <w:p w14:paraId="6758CC57">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AF852B9">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73A1A08">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22266253">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二、投诉项目基本情况</w:t>
      </w:r>
    </w:p>
    <w:p w14:paraId="16979A77">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6C892F93">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31F11036">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2055D6DB">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419B6C56">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0E28382E">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732388C8">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三、质疑基本情况</w:t>
      </w:r>
    </w:p>
    <w:p w14:paraId="397791CE">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2910249B">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7530F5AF">
      <w:pPr>
        <w:kinsoku/>
        <w:wordWrap/>
        <w:overflowPunct/>
        <w:topLinePunct w:val="0"/>
        <w:bidi w:val="0"/>
        <w:adjustRightInd/>
        <w:snapToGrid/>
        <w:spacing w:beforeAutospacing="0" w:afterAutospacing="0" w:line="360" w:lineRule="auto"/>
        <w:ind w:firstLine="360" w:firstLineChars="150"/>
        <w:textAlignment w:val="auto"/>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14:paraId="43594A11">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四、投诉事项具体内容</w:t>
      </w:r>
    </w:p>
    <w:p w14:paraId="39DEF4E6">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57933782">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65EFCA21">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u w:val="dotted"/>
        </w:rPr>
        <w:t xml:space="preserve">                                                      </w:t>
      </w:r>
    </w:p>
    <w:p w14:paraId="4D3CFC86">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725C42E9">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u w:val="dotted"/>
        </w:rPr>
        <w:t xml:space="preserve">                                                      </w:t>
      </w:r>
    </w:p>
    <w:p w14:paraId="490E3A25">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投诉事项2</w:t>
      </w:r>
    </w:p>
    <w:p w14:paraId="619585C6">
      <w:pPr>
        <w:kinsoku/>
        <w:wordWrap/>
        <w:overflowPunct/>
        <w:topLinePunct w:val="0"/>
        <w:bidi w:val="0"/>
        <w:adjustRightInd/>
        <w:snapToGrid/>
        <w:spacing w:beforeAutospacing="0" w:afterAutospacing="0" w:line="360" w:lineRule="auto"/>
        <w:textAlignment w:val="auto"/>
        <w:rPr>
          <w:rFonts w:ascii="宋体" w:hAnsi="宋体" w:cs="宋体"/>
          <w:color w:val="auto"/>
          <w:sz w:val="24"/>
          <w:u w:val="dotted"/>
        </w:rPr>
      </w:pPr>
      <w:r>
        <w:rPr>
          <w:rFonts w:hint="eastAsia" w:ascii="宋体" w:hAnsi="宋体" w:cs="宋体"/>
          <w:color w:val="auto"/>
          <w:sz w:val="24"/>
        </w:rPr>
        <w:t>……</w:t>
      </w:r>
    </w:p>
    <w:p w14:paraId="337D6E83">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五、与投诉事项相关的投诉请求</w:t>
      </w:r>
    </w:p>
    <w:p w14:paraId="163ADE34">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678FEFC">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r>
        <w:rPr>
          <w:rFonts w:hint="eastAsia" w:ascii="宋体" w:hAnsi="宋体" w:cs="宋体"/>
          <w:color w:val="auto"/>
          <w:sz w:val="24"/>
        </w:rPr>
        <w:t xml:space="preserve">                                                                                                    </w:t>
      </w:r>
    </w:p>
    <w:p w14:paraId="1F766D20">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 xml:space="preserve">签字(签章)：                   公章：                      </w:t>
      </w:r>
    </w:p>
    <w:p w14:paraId="351FAE4F">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rPr>
        <w:t xml:space="preserve">日期：    </w:t>
      </w:r>
    </w:p>
    <w:p w14:paraId="10525470">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3B129170">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p>
    <w:p w14:paraId="2D572639">
      <w:pPr>
        <w:kinsoku/>
        <w:wordWrap/>
        <w:overflowPunct/>
        <w:topLinePunct w:val="0"/>
        <w:bidi w:val="0"/>
        <w:adjustRightInd/>
        <w:snapToGrid/>
        <w:spacing w:beforeAutospacing="0" w:afterAutospacing="0" w:line="360" w:lineRule="auto"/>
        <w:textAlignment w:val="auto"/>
        <w:rPr>
          <w:rFonts w:ascii="宋体" w:hAnsi="宋体" w:cs="宋体"/>
          <w:b/>
          <w:color w:val="auto"/>
          <w:sz w:val="24"/>
        </w:rPr>
      </w:pPr>
      <w:r>
        <w:rPr>
          <w:rFonts w:hint="eastAsia" w:ascii="宋体" w:hAnsi="宋体" w:cs="宋体"/>
          <w:b/>
          <w:color w:val="auto"/>
          <w:sz w:val="24"/>
        </w:rPr>
        <w:t>投诉书制作说明：</w:t>
      </w:r>
    </w:p>
    <w:p w14:paraId="2ACBE8C4">
      <w:pPr>
        <w:widowControl/>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00F564D1">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0F826504">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07D25566">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70A75C26">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0FB5FFAD">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6.投诉书的投诉请求应与投诉事项相关。</w:t>
      </w:r>
    </w:p>
    <w:p w14:paraId="1BA818D7">
      <w:pPr>
        <w:widowControl/>
        <w:kinsoku/>
        <w:wordWrap/>
        <w:overflowPunct/>
        <w:topLinePunct w:val="0"/>
        <w:bidi w:val="0"/>
        <w:adjustRightInd/>
        <w:snapToGrid/>
        <w:spacing w:beforeAutospacing="0" w:afterAutospacing="0"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7C002633">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7C5855C0">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14:paraId="1164078E">
      <w:pPr>
        <w:kinsoku/>
        <w:wordWrap/>
        <w:overflowPunct/>
        <w:topLinePunct w:val="0"/>
        <w:bidi w:val="0"/>
        <w:adjustRightInd/>
        <w:snapToGrid/>
        <w:spacing w:beforeAutospacing="0" w:afterAutospacing="0" w:line="360" w:lineRule="auto"/>
        <w:textAlignment w:val="auto"/>
        <w:rPr>
          <w:rFonts w:ascii="宋体" w:hAnsi="宋体" w:cs="宋体"/>
          <w:color w:val="auto"/>
          <w:sz w:val="24"/>
          <w:u w:val="single"/>
        </w:rPr>
      </w:pPr>
    </w:p>
    <w:p w14:paraId="5DC5D66C">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color w:val="auto"/>
          <w:sz w:val="24"/>
          <w:u w:val="single"/>
        </w:rPr>
        <w:t>（采购人）、（采购代理机构）：</w:t>
      </w:r>
    </w:p>
    <w:p w14:paraId="5F60695A">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2784EBE1">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color w:val="auto"/>
          <w:sz w:val="24"/>
        </w:rPr>
      </w:pPr>
      <w:r>
        <w:rPr>
          <w:rFonts w:hint="eastAsia" w:ascii="宋体" w:hAnsi="宋体" w:cs="宋体"/>
          <w:color w:val="auto"/>
          <w:sz w:val="24"/>
        </w:rPr>
        <w:t>特此说明。</w:t>
      </w:r>
    </w:p>
    <w:p w14:paraId="6BE5BA55">
      <w:pPr>
        <w:kinsoku/>
        <w:wordWrap/>
        <w:overflowPunct/>
        <w:topLinePunct w:val="0"/>
        <w:bidi w:val="0"/>
        <w:adjustRightInd/>
        <w:snapToGrid/>
        <w:spacing w:beforeAutospacing="0" w:afterAutospacing="0" w:line="360" w:lineRule="auto"/>
        <w:ind w:firstLine="494"/>
        <w:textAlignment w:val="auto"/>
        <w:rPr>
          <w:rFonts w:ascii="宋体" w:hAnsi="宋体" w:cs="宋体"/>
          <w:color w:val="auto"/>
          <w:sz w:val="24"/>
        </w:rPr>
      </w:pPr>
    </w:p>
    <w:p w14:paraId="770B2D4C">
      <w:pPr>
        <w:kinsoku/>
        <w:wordWrap/>
        <w:overflowPunct/>
        <w:topLinePunct w:val="0"/>
        <w:bidi w:val="0"/>
        <w:adjustRightInd/>
        <w:snapToGrid/>
        <w:spacing w:beforeAutospacing="0" w:afterAutospacing="0" w:line="360" w:lineRule="auto"/>
        <w:ind w:firstLine="494"/>
        <w:textAlignment w:val="auto"/>
        <w:rPr>
          <w:rFonts w:ascii="宋体" w:hAnsi="宋体" w:cs="宋体"/>
          <w:color w:val="auto"/>
          <w:sz w:val="24"/>
        </w:rPr>
      </w:pPr>
    </w:p>
    <w:p w14:paraId="2FCE6785">
      <w:pPr>
        <w:kinsoku/>
        <w:wordWrap/>
        <w:overflowPunct/>
        <w:topLinePunct w:val="0"/>
        <w:bidi w:val="0"/>
        <w:adjustRightInd/>
        <w:snapToGrid/>
        <w:spacing w:beforeAutospacing="0" w:afterAutospacing="0" w:line="360" w:lineRule="auto"/>
        <w:ind w:firstLine="494"/>
        <w:textAlignment w:val="auto"/>
        <w:rPr>
          <w:rFonts w:ascii="宋体" w:hAnsi="宋体" w:cs="宋体"/>
          <w:color w:val="auto"/>
          <w:sz w:val="24"/>
        </w:rPr>
      </w:pPr>
    </w:p>
    <w:p w14:paraId="683206DA">
      <w:pPr>
        <w:kinsoku/>
        <w:wordWrap/>
        <w:overflowPunct/>
        <w:topLinePunct w:val="0"/>
        <w:bidi w:val="0"/>
        <w:adjustRightInd/>
        <w:snapToGrid/>
        <w:spacing w:beforeAutospacing="0" w:afterAutospacing="0" w:line="360" w:lineRule="auto"/>
        <w:ind w:firstLine="494"/>
        <w:textAlignment w:val="auto"/>
        <w:rPr>
          <w:rFonts w:ascii="宋体" w:hAnsi="宋体" w:cs="宋体"/>
          <w:color w:val="auto"/>
          <w:sz w:val="24"/>
        </w:rPr>
      </w:pPr>
    </w:p>
    <w:p w14:paraId="558EB527">
      <w:pPr>
        <w:kinsoku/>
        <w:wordWrap/>
        <w:overflowPunct/>
        <w:topLinePunct w:val="0"/>
        <w:bidi w:val="0"/>
        <w:adjustRightInd/>
        <w:snapToGrid/>
        <w:spacing w:beforeAutospacing="0" w:afterAutospacing="0" w:line="360" w:lineRule="auto"/>
        <w:ind w:right="480" w:firstLine="4080" w:firstLineChars="1700"/>
        <w:textAlignment w:val="auto"/>
        <w:rPr>
          <w:rFonts w:ascii="宋体" w:hAnsi="宋体" w:cs="宋体"/>
          <w:color w:val="auto"/>
          <w:sz w:val="24"/>
        </w:rPr>
      </w:pPr>
      <w:r>
        <w:rPr>
          <w:rFonts w:hint="eastAsia" w:ascii="宋体" w:hAnsi="宋体" w:cs="宋体"/>
          <w:color w:val="auto"/>
          <w:sz w:val="24"/>
        </w:rPr>
        <w:t>投标单位（法定名称章）：</w:t>
      </w:r>
    </w:p>
    <w:p w14:paraId="4DE7AF74">
      <w:pPr>
        <w:kinsoku/>
        <w:wordWrap/>
        <w:overflowPunct/>
        <w:topLinePunct w:val="0"/>
        <w:bidi w:val="0"/>
        <w:adjustRightInd/>
        <w:snapToGrid/>
        <w:spacing w:beforeAutospacing="0" w:afterAutospacing="0" w:line="360" w:lineRule="auto"/>
        <w:ind w:right="1440" w:firstLine="494"/>
        <w:jc w:val="center"/>
        <w:textAlignment w:val="auto"/>
        <w:rPr>
          <w:rFonts w:ascii="宋体" w:hAnsi="宋体" w:cs="宋体"/>
          <w:color w:val="auto"/>
          <w:sz w:val="24"/>
        </w:rPr>
      </w:pPr>
      <w:r>
        <w:rPr>
          <w:rFonts w:hint="eastAsia" w:ascii="宋体" w:hAnsi="宋体" w:cs="宋体"/>
          <w:color w:val="auto"/>
          <w:sz w:val="24"/>
        </w:rPr>
        <w:t xml:space="preserve">                              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月  </w:t>
      </w:r>
      <w:r>
        <w:rPr>
          <w:rFonts w:hint="eastAsia" w:ascii="宋体" w:hAnsi="宋体" w:cs="宋体"/>
          <w:color w:val="auto"/>
          <w:sz w:val="24"/>
          <w:lang w:val="en-US" w:eastAsia="zh-CN"/>
        </w:rPr>
        <w:t xml:space="preserve"> </w:t>
      </w:r>
      <w:r>
        <w:rPr>
          <w:rFonts w:hint="eastAsia" w:ascii="宋体" w:hAnsi="宋体" w:cs="宋体"/>
          <w:color w:val="auto"/>
          <w:sz w:val="24"/>
        </w:rPr>
        <w:t xml:space="preserve"> 日</w:t>
      </w:r>
    </w:p>
    <w:p w14:paraId="69B4B996">
      <w:pPr>
        <w:kinsoku/>
        <w:wordWrap/>
        <w:overflowPunct/>
        <w:topLinePunct w:val="0"/>
        <w:bidi w:val="0"/>
        <w:adjustRightInd/>
        <w:snapToGrid/>
        <w:spacing w:beforeAutospacing="0" w:afterAutospacing="0" w:line="360" w:lineRule="auto"/>
        <w:textAlignment w:val="auto"/>
        <w:rPr>
          <w:rFonts w:ascii="宋体" w:hAnsi="宋体" w:cs="宋体"/>
          <w:color w:val="auto"/>
          <w:sz w:val="24"/>
        </w:rPr>
      </w:pPr>
      <w:r>
        <w:rPr>
          <w:rFonts w:hint="eastAsia" w:ascii="宋体" w:hAnsi="宋体" w:cs="宋体"/>
          <w:b/>
          <w:bCs/>
          <w:color w:val="auto"/>
          <w:sz w:val="24"/>
        </w:rPr>
        <w:t>附：</w:t>
      </w:r>
    </w:p>
    <w:p w14:paraId="1892A60B">
      <w:pPr>
        <w:kinsoku/>
        <w:wordWrap/>
        <w:overflowPunct/>
        <w:topLinePunct w:val="0"/>
        <w:bidi w:val="0"/>
        <w:adjustRightInd/>
        <w:snapToGrid/>
        <w:spacing w:beforeAutospacing="0" w:afterAutospacing="0" w:line="360" w:lineRule="auto"/>
        <w:textAlignment w:val="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14:paraId="04F1440F">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04C42930">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33C254D0">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38BF0D25">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482064EF">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2E9B841A">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kern w:val="0"/>
          <w:sz w:val="32"/>
          <w:szCs w:val="32"/>
          <w:lang w:val="zh-CN"/>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w:t>
      </w:r>
      <w:r>
        <w:rPr>
          <w:rFonts w:hint="eastAsia" w:ascii="宋体" w:hAnsi="宋体" w:cs="宋体"/>
          <w:b/>
          <w:color w:val="auto"/>
          <w:kern w:val="0"/>
          <w:sz w:val="32"/>
          <w:szCs w:val="32"/>
          <w:lang w:val="zh-CN"/>
        </w:rPr>
        <w:t>联合协议</w:t>
      </w:r>
    </w:p>
    <w:p w14:paraId="21A031C7">
      <w:pPr>
        <w:widowControl/>
        <w:kinsoku/>
        <w:wordWrap/>
        <w:overflowPunct/>
        <w:topLinePunct w:val="0"/>
        <w:bidi w:val="0"/>
        <w:adjustRightInd/>
        <w:snapToGrid/>
        <w:spacing w:beforeAutospacing="0" w:afterAutospacing="0" w:line="360" w:lineRule="auto"/>
        <w:ind w:firstLine="482" w:firstLineChars="200"/>
        <w:jc w:val="left"/>
        <w:textAlignment w:val="auto"/>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14:paraId="3E26344A">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14:paraId="61B9AE46">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37B9232F">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授权代表根据招标文件规定及投标内容而对采购人、采购代理机构所作的任何合法承诺，包括书面澄清及相应等均对联合投标各方产生约束力。</w:t>
      </w:r>
    </w:p>
    <w:p w14:paraId="2808C94E">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14:paraId="4068D8DE">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25F52E52">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5862672C">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w:t>
      </w:r>
    </w:p>
    <w:p w14:paraId="37BEB84F">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14:paraId="0E2FD867">
      <w:pPr>
        <w:kinsoku/>
        <w:wordWrap/>
        <w:overflowPunct/>
        <w:topLinePunct w:val="0"/>
        <w:bidi w:val="0"/>
        <w:adjustRightInd/>
        <w:snapToGrid/>
        <w:spacing w:beforeAutospacing="0" w:afterAutospacing="0" w:line="360" w:lineRule="auto"/>
        <w:ind w:firstLine="576"/>
        <w:textAlignment w:val="auto"/>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（联合体成员X</w:t>
      </w:r>
      <w:r>
        <w:rPr>
          <w:rFonts w:ascii="宋体" w:hAnsi="宋体" w:cs="宋体"/>
          <w:color w:val="auto"/>
          <w:kern w:val="0"/>
          <w:sz w:val="24"/>
          <w:u w:val="single"/>
        </w:rPr>
        <w:t>,</w:t>
      </w:r>
      <w:r>
        <w:rPr>
          <w:rFonts w:hint="eastAsia" w:ascii="宋体" w:hAnsi="宋体" w:cs="宋体"/>
          <w:color w:val="auto"/>
          <w:kern w:val="0"/>
          <w:sz w:val="24"/>
          <w:u w:val="single"/>
        </w:rPr>
        <w:t>……）</w:t>
      </w:r>
      <w:r>
        <w:rPr>
          <w:rFonts w:hint="eastAsia" w:ascii="宋体" w:hAnsi="宋体" w:cs="宋体"/>
          <w:color w:val="auto"/>
          <w:kern w:val="0"/>
          <w:sz w:val="24"/>
        </w:rPr>
        <w:t>提供的服务由小微企业承接，其合同份额占到合同总金额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7CD29E99">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b/>
          <w:bCs/>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14:paraId="2A02A154">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14:paraId="455D6017">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14:paraId="48C21B7B">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3A944E10">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125AC664">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14:paraId="6AF42BA8">
      <w:pPr>
        <w:kinsoku/>
        <w:wordWrap/>
        <w:overflowPunct/>
        <w:topLinePunct w:val="0"/>
        <w:bidi w:val="0"/>
        <w:adjustRightInd/>
        <w:snapToGrid/>
        <w:spacing w:beforeAutospacing="0" w:afterAutospacing="0" w:line="360" w:lineRule="auto"/>
        <w:ind w:firstLine="4080" w:firstLineChars="1700"/>
        <w:textAlignment w:val="auto"/>
        <w:rPr>
          <w:rFonts w:hint="eastAsia" w:ascii="宋体" w:hAnsi="宋体" w:cs="宋体"/>
          <w:color w:val="auto"/>
          <w:kern w:val="0"/>
          <w:sz w:val="24"/>
          <w:lang w:val="zh-CN"/>
        </w:rPr>
      </w:pPr>
    </w:p>
    <w:p w14:paraId="01C876FE">
      <w:pPr>
        <w:kinsoku/>
        <w:wordWrap/>
        <w:overflowPunct/>
        <w:topLinePunct w:val="0"/>
        <w:bidi w:val="0"/>
        <w:adjustRightInd/>
        <w:snapToGrid/>
        <w:spacing w:beforeAutospacing="0" w:afterAutospacing="0" w:line="360" w:lineRule="auto"/>
        <w:ind w:firstLine="4080" w:firstLineChars="1700"/>
        <w:textAlignment w:val="auto"/>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70132B93">
      <w:pPr>
        <w:kinsoku/>
        <w:wordWrap/>
        <w:overflowPunct/>
        <w:topLinePunct w:val="0"/>
        <w:bidi w:val="0"/>
        <w:adjustRightInd/>
        <w:snapToGrid/>
        <w:spacing w:beforeAutospacing="0" w:afterAutospacing="0" w:line="360" w:lineRule="auto"/>
        <w:ind w:firstLine="4080" w:firstLineChars="1700"/>
        <w:textAlignment w:val="auto"/>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61EEC259">
      <w:pPr>
        <w:kinsoku/>
        <w:wordWrap/>
        <w:overflowPunct/>
        <w:topLinePunct w:val="0"/>
        <w:bidi w:val="0"/>
        <w:adjustRightInd/>
        <w:snapToGrid/>
        <w:spacing w:beforeAutospacing="0" w:afterAutospacing="0" w:line="360" w:lineRule="auto"/>
        <w:ind w:right="960"/>
        <w:jc w:val="center"/>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17ED9057">
      <w:pPr>
        <w:kinsoku/>
        <w:wordWrap/>
        <w:overflowPunct/>
        <w:topLinePunct w:val="0"/>
        <w:bidi w:val="0"/>
        <w:adjustRightInd/>
        <w:snapToGrid/>
        <w:spacing w:beforeAutospacing="0" w:afterAutospacing="0" w:line="360" w:lineRule="auto"/>
        <w:jc w:val="right"/>
        <w:textAlignment w:val="auto"/>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8D15453">
      <w:pPr>
        <w:kinsoku/>
        <w:wordWrap/>
        <w:overflowPunct/>
        <w:topLinePunct w:val="0"/>
        <w:bidi w:val="0"/>
        <w:adjustRightInd/>
        <w:snapToGrid/>
        <w:spacing w:beforeAutospacing="0" w:afterAutospacing="0" w:line="360" w:lineRule="auto"/>
        <w:ind w:right="420"/>
        <w:textAlignment w:val="auto"/>
        <w:rPr>
          <w:rFonts w:ascii="宋体" w:hAnsi="宋体" w:cs="宋体"/>
          <w:color w:val="auto"/>
          <w:sz w:val="24"/>
        </w:rPr>
      </w:pPr>
      <w:r>
        <w:rPr>
          <w:rFonts w:hint="eastAsia" w:ascii="宋体" w:hAnsi="宋体" w:cs="宋体"/>
          <w:color w:val="auto"/>
          <w:sz w:val="24"/>
        </w:rPr>
        <w:t>注：按本格式和要求提供。</w:t>
      </w:r>
    </w:p>
    <w:p w14:paraId="5EC76ADB">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15F1AD7B">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65D8228E">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6E52AF4E">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31614DF7">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5C44CC79">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36332B8F">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4ADD7521">
      <w:pPr>
        <w:kinsoku/>
        <w:wordWrap/>
        <w:overflowPunct/>
        <w:topLinePunct w:val="0"/>
        <w:bidi w:val="0"/>
        <w:adjustRightInd/>
        <w:snapToGrid/>
        <w:spacing w:beforeAutospacing="0" w:afterAutospacing="0" w:line="360" w:lineRule="auto"/>
        <w:jc w:val="center"/>
        <w:textAlignment w:val="auto"/>
        <w:rPr>
          <w:rFonts w:ascii="宋体" w:hAnsi="宋体" w:cs="宋体"/>
          <w:b/>
          <w:color w:val="auto"/>
          <w:kern w:val="0"/>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w:t>
      </w:r>
      <w:r>
        <w:rPr>
          <w:rFonts w:hint="eastAsia" w:ascii="宋体" w:hAnsi="宋体" w:cs="宋体"/>
          <w:b/>
          <w:color w:val="auto"/>
          <w:kern w:val="0"/>
          <w:sz w:val="32"/>
          <w:szCs w:val="32"/>
        </w:rPr>
        <w:t>分包意向协议</w:t>
      </w:r>
    </w:p>
    <w:p w14:paraId="07CB81B6">
      <w:pPr>
        <w:widowControl/>
        <w:kinsoku/>
        <w:wordWrap/>
        <w:overflowPunct/>
        <w:topLinePunct w:val="0"/>
        <w:bidi w:val="0"/>
        <w:adjustRightInd/>
        <w:snapToGrid/>
        <w:spacing w:beforeAutospacing="0" w:afterAutospacing="0" w:line="360" w:lineRule="auto"/>
        <w:ind w:firstLine="120" w:firstLineChars="50"/>
        <w:jc w:val="left"/>
        <w:textAlignment w:val="auto"/>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14:paraId="01B10348">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5486E155">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666292B9">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（分包供应商2名称），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lang w:val="zh-CN"/>
        </w:rPr>
        <w:t>相应资质条件且不得再次分包；</w:t>
      </w:r>
    </w:p>
    <w:p w14:paraId="2F73BC35">
      <w:pPr>
        <w:pStyle w:val="3"/>
        <w:kinsoku/>
        <w:wordWrap/>
        <w:overflowPunct/>
        <w:topLinePunct w:val="0"/>
        <w:bidi w:val="0"/>
        <w:adjustRightInd/>
        <w:snapToGrid/>
        <w:spacing w:beforeAutospacing="0" w:afterAutospacing="0" w:line="360" w:lineRule="auto"/>
        <w:ind w:left="664" w:leftChars="316" w:firstLine="229" w:firstLineChars="95"/>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14:paraId="614969E8">
      <w:pPr>
        <w:kinsoku/>
        <w:wordWrap/>
        <w:overflowPunct/>
        <w:topLinePunct w:val="0"/>
        <w:bidi w:val="0"/>
        <w:adjustRightInd/>
        <w:snapToGrid/>
        <w:spacing w:beforeAutospacing="0" w:afterAutospacing="0" w:line="360" w:lineRule="auto"/>
        <w:textAlignment w:val="auto"/>
        <w:rPr>
          <w:color w:val="auto"/>
        </w:rPr>
      </w:pPr>
      <w:r>
        <w:rPr>
          <w:rFonts w:hint="eastAsia"/>
          <w:color w:val="auto"/>
          <w:lang w:val="zh-CN"/>
        </w:rPr>
        <w:t xml:space="preserve"> </w:t>
      </w:r>
    </w:p>
    <w:p w14:paraId="44D1F68F">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p>
    <w:p w14:paraId="01D9A4FD">
      <w:pPr>
        <w:kinsoku/>
        <w:wordWrap/>
        <w:overflowPunct/>
        <w:topLinePunct w:val="0"/>
        <w:bidi w:val="0"/>
        <w:adjustRightInd/>
        <w:snapToGrid/>
        <w:spacing w:beforeAutospacing="0" w:afterAutospacing="0" w:line="360" w:lineRule="auto"/>
        <w:ind w:firstLine="576"/>
        <w:textAlignment w:val="auto"/>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……）提供的服务全部由小微企业承接，</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7FD87ADF">
      <w:pPr>
        <w:kinsoku/>
        <w:wordWrap/>
        <w:overflowPunct/>
        <w:topLinePunct w:val="0"/>
        <w:bidi w:val="0"/>
        <w:adjustRightInd/>
        <w:snapToGrid/>
        <w:spacing w:beforeAutospacing="0" w:afterAutospacing="0" w:line="360" w:lineRule="auto"/>
        <w:ind w:firstLine="480" w:firstLineChars="200"/>
        <w:textAlignment w:val="auto"/>
        <w:rPr>
          <w:rFonts w:ascii="宋体" w:hAnsi="宋体" w:cs="宋体"/>
          <w:b/>
          <w:bCs/>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p>
    <w:p w14:paraId="0E617A17">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14:paraId="22C753E0">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u w:val="single"/>
        </w:rPr>
      </w:pPr>
      <w:r>
        <w:rPr>
          <w:rFonts w:hint="eastAsia" w:ascii="宋体" w:hAnsi="宋体" w:cs="宋体"/>
          <w:color w:val="auto"/>
          <w:u w:val="single"/>
        </w:rPr>
        <w:t xml:space="preserve">                                                                                  </w:t>
      </w:r>
    </w:p>
    <w:p w14:paraId="38ED7542">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四、质量</w:t>
      </w:r>
    </w:p>
    <w:p w14:paraId="53540F62">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2A6543DF">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五、价款或者报酬</w:t>
      </w:r>
    </w:p>
    <w:p w14:paraId="479967C8">
      <w:pPr>
        <w:kinsoku/>
        <w:wordWrap/>
        <w:overflowPunct/>
        <w:topLinePunct w:val="0"/>
        <w:bidi w:val="0"/>
        <w:adjustRightInd/>
        <w:snapToGrid/>
        <w:spacing w:beforeAutospacing="0" w:afterAutospacing="0" w:line="360" w:lineRule="auto"/>
        <w:ind w:left="573" w:leftChars="273"/>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22D83D3A">
      <w:pPr>
        <w:kinsoku/>
        <w:wordWrap/>
        <w:overflowPunct/>
        <w:topLinePunct w:val="0"/>
        <w:bidi w:val="0"/>
        <w:adjustRightInd/>
        <w:snapToGrid/>
        <w:spacing w:beforeAutospacing="0" w:afterAutospacing="0" w:line="360" w:lineRule="auto"/>
        <w:ind w:left="573" w:leftChars="273"/>
        <w:textAlignment w:val="auto"/>
        <w:rPr>
          <w:rFonts w:ascii="宋体" w:hAnsi="宋体" w:cs="宋体"/>
          <w:color w:val="auto"/>
          <w:kern w:val="0"/>
          <w:sz w:val="24"/>
          <w:lang w:val="zh-CN"/>
        </w:rPr>
      </w:pPr>
      <w:r>
        <w:rPr>
          <w:rFonts w:hint="eastAsia" w:ascii="宋体" w:hAnsi="宋体" w:cs="宋体"/>
          <w:color w:val="auto"/>
          <w:kern w:val="0"/>
          <w:sz w:val="24"/>
          <w:lang w:val="zh-CN"/>
        </w:rPr>
        <w:t>六、违约责任</w:t>
      </w:r>
    </w:p>
    <w:p w14:paraId="63236BCC">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5A760A5B">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七、争议解决的办法</w:t>
      </w:r>
    </w:p>
    <w:p w14:paraId="3A001945">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1390DA14">
      <w:pPr>
        <w:kinsoku/>
        <w:wordWrap/>
        <w:overflowPunct/>
        <w:topLinePunct w:val="0"/>
        <w:bidi w:val="0"/>
        <w:adjustRightInd/>
        <w:snapToGrid/>
        <w:spacing w:beforeAutospacing="0" w:afterAutospacing="0" w:line="360" w:lineRule="auto"/>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八、其他</w:t>
      </w:r>
    </w:p>
    <w:p w14:paraId="2831445B">
      <w:pPr>
        <w:kinsoku/>
        <w:wordWrap/>
        <w:overflowPunct/>
        <w:topLinePunct w:val="0"/>
        <w:bidi w:val="0"/>
        <w:adjustRightInd/>
        <w:snapToGrid/>
        <w:spacing w:beforeAutospacing="0" w:afterAutospacing="0" w:line="360" w:lineRule="auto"/>
        <w:ind w:left="5758" w:leftChars="342" w:hanging="5040" w:hangingChars="2100"/>
        <w:textAlignment w:val="auto"/>
        <w:rPr>
          <w:rFonts w:hint="eastAsia" w:ascii="宋体" w:hAnsi="宋体" w:cs="宋体"/>
          <w:color w:val="auto"/>
          <w:kern w:val="0"/>
          <w:sz w:val="24"/>
          <w:lang w:val="zh-CN"/>
        </w:rPr>
      </w:pPr>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 xml:space="preserve">  。                                           </w:t>
      </w:r>
    </w:p>
    <w:p w14:paraId="15E80FAA">
      <w:pPr>
        <w:kinsoku/>
        <w:wordWrap/>
        <w:overflowPunct/>
        <w:topLinePunct w:val="0"/>
        <w:bidi w:val="0"/>
        <w:adjustRightInd/>
        <w:snapToGrid/>
        <w:spacing w:beforeAutospacing="0" w:afterAutospacing="0" w:line="360" w:lineRule="auto"/>
        <w:ind w:left="5758" w:leftChars="342" w:hanging="5040" w:hangingChars="2100"/>
        <w:textAlignment w:val="auto"/>
        <w:rPr>
          <w:rFonts w:hint="eastAsia" w:ascii="宋体" w:hAnsi="宋体" w:cs="宋体"/>
          <w:color w:val="auto"/>
          <w:kern w:val="0"/>
          <w:sz w:val="24"/>
          <w:lang w:val="zh-CN"/>
        </w:rPr>
      </w:pPr>
    </w:p>
    <w:p w14:paraId="7ED718F4">
      <w:pPr>
        <w:kinsoku/>
        <w:wordWrap/>
        <w:overflowPunct/>
        <w:topLinePunct w:val="0"/>
        <w:bidi w:val="0"/>
        <w:adjustRightInd/>
        <w:snapToGrid/>
        <w:spacing w:beforeAutospacing="0" w:afterAutospacing="0" w:line="360" w:lineRule="auto"/>
        <w:ind w:left="5747" w:leftChars="2508" w:hanging="480" w:hangingChars="200"/>
        <w:textAlignment w:val="auto"/>
        <w:rPr>
          <w:rFonts w:ascii="宋体" w:hAnsi="宋体" w:cs="宋体"/>
          <w:color w:val="auto"/>
          <w:kern w:val="0"/>
          <w:sz w:val="24"/>
          <w:lang w:val="zh-CN"/>
        </w:rPr>
      </w:pPr>
      <w:r>
        <w:rPr>
          <w:rFonts w:hint="eastAsia" w:ascii="宋体" w:hAnsi="宋体" w:cs="宋体"/>
          <w:color w:val="auto"/>
          <w:kern w:val="0"/>
          <w:sz w:val="24"/>
          <w:lang w:val="zh-CN"/>
        </w:rPr>
        <w:t>投标人名称(电子签名)：</w:t>
      </w:r>
    </w:p>
    <w:p w14:paraId="7C73D325">
      <w:pPr>
        <w:kinsoku/>
        <w:wordWrap/>
        <w:overflowPunct/>
        <w:topLinePunct w:val="0"/>
        <w:bidi w:val="0"/>
        <w:adjustRightInd/>
        <w:snapToGrid/>
        <w:spacing w:beforeAutospacing="0" w:afterAutospacing="0" w:line="360" w:lineRule="auto"/>
        <w:jc w:val="right"/>
        <w:textAlignment w:val="auto"/>
        <w:rPr>
          <w:rFonts w:ascii="宋体" w:hAnsi="宋体" w:cs="宋体"/>
          <w:color w:val="auto"/>
          <w:kern w:val="0"/>
          <w:sz w:val="24"/>
          <w:lang w:val="zh-CN"/>
        </w:rPr>
      </w:pPr>
      <w:r>
        <w:rPr>
          <w:rFonts w:hint="eastAsia" w:ascii="宋体" w:hAnsi="宋体" w:cs="宋体"/>
          <w:color w:val="auto"/>
          <w:kern w:val="0"/>
          <w:sz w:val="24"/>
          <w:lang w:val="zh-CN"/>
        </w:rPr>
        <w:t>分包供应商名称(电子签名/公章)：</w:t>
      </w:r>
    </w:p>
    <w:p w14:paraId="28BF5E1D">
      <w:pPr>
        <w:kinsoku/>
        <w:wordWrap/>
        <w:overflowPunct/>
        <w:topLinePunct w:val="0"/>
        <w:bidi w:val="0"/>
        <w:adjustRightInd/>
        <w:snapToGrid/>
        <w:spacing w:beforeAutospacing="0" w:afterAutospacing="0" w:line="360" w:lineRule="auto"/>
        <w:ind w:firstLine="5760" w:firstLineChars="2400"/>
        <w:textAlignment w:val="auto"/>
        <w:rPr>
          <w:rFonts w:ascii="宋体" w:hAnsi="宋体" w:cs="宋体"/>
          <w:color w:val="auto"/>
        </w:rPr>
      </w:pPr>
      <w:r>
        <w:rPr>
          <w:rFonts w:hint="eastAsia" w:ascii="宋体" w:hAnsi="宋体" w:cs="宋体"/>
          <w:color w:val="auto"/>
          <w:kern w:val="0"/>
          <w:sz w:val="24"/>
          <w:lang w:val="zh-CN"/>
        </w:rPr>
        <w:t>……</w:t>
      </w:r>
    </w:p>
    <w:p w14:paraId="258105CF">
      <w:pPr>
        <w:kinsoku/>
        <w:wordWrap/>
        <w:overflowPunct/>
        <w:topLinePunct w:val="0"/>
        <w:bidi w:val="0"/>
        <w:adjustRightInd/>
        <w:snapToGrid/>
        <w:spacing w:beforeAutospacing="0" w:afterAutospacing="0" w:line="360" w:lineRule="auto"/>
        <w:ind w:left="5758" w:leftChars="342" w:hanging="5040" w:hangingChars="2100"/>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1BA96448">
      <w:pPr>
        <w:kinsoku/>
        <w:wordWrap/>
        <w:overflowPunct/>
        <w:topLinePunct w:val="0"/>
        <w:bidi w:val="0"/>
        <w:adjustRightInd/>
        <w:snapToGrid/>
        <w:spacing w:beforeAutospacing="0" w:afterAutospacing="0" w:line="360" w:lineRule="auto"/>
        <w:ind w:right="420"/>
        <w:textAlignment w:val="auto"/>
        <w:rPr>
          <w:rFonts w:ascii="宋体" w:hAnsi="宋体" w:cs="宋体"/>
          <w:b/>
          <w:color w:val="auto"/>
          <w:spacing w:val="6"/>
          <w:sz w:val="32"/>
          <w:szCs w:val="32"/>
        </w:rPr>
      </w:pPr>
      <w:r>
        <w:rPr>
          <w:rFonts w:hint="eastAsia" w:ascii="宋体" w:hAnsi="宋体" w:cs="宋体"/>
          <w:color w:val="auto"/>
          <w:sz w:val="24"/>
        </w:rPr>
        <w:t>注：按本格式和要求提供。</w:t>
      </w:r>
    </w:p>
    <w:p w14:paraId="620C3F91">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22936C27">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48E82D3D">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1BC2245F">
      <w:pPr>
        <w:kinsoku/>
        <w:wordWrap/>
        <w:overflowPunct/>
        <w:topLinePunct w:val="0"/>
        <w:autoSpaceDE w:val="0"/>
        <w:autoSpaceDN w:val="0"/>
        <w:bidi w:val="0"/>
        <w:adjustRightInd/>
        <w:snapToGrid/>
        <w:spacing w:beforeAutospacing="0" w:afterAutospacing="0" w:line="360" w:lineRule="auto"/>
        <w:jc w:val="center"/>
        <w:textAlignment w:val="auto"/>
        <w:rPr>
          <w:rFonts w:ascii="宋体" w:hAnsi="宋体" w:cs="宋体"/>
          <w:b/>
          <w:color w:val="auto"/>
          <w:spacing w:val="6"/>
          <w:sz w:val="32"/>
          <w:szCs w:val="32"/>
        </w:rPr>
      </w:pPr>
    </w:p>
    <w:p w14:paraId="41114B88">
      <w:pPr>
        <w:rPr>
          <w:rFonts w:hint="eastAsia" w:ascii="宋体" w:hAnsi="宋体" w:cs="宋体"/>
          <w:b/>
          <w:color w:val="auto"/>
          <w:sz w:val="36"/>
          <w:szCs w:val="20"/>
        </w:rPr>
      </w:pPr>
      <w:r>
        <w:rPr>
          <w:rFonts w:hint="eastAsia" w:ascii="宋体" w:hAnsi="宋体" w:cs="宋体"/>
          <w:b/>
          <w:color w:val="auto"/>
          <w:sz w:val="36"/>
          <w:szCs w:val="20"/>
        </w:rPr>
        <w:br w:type="page"/>
      </w:r>
    </w:p>
    <w:p w14:paraId="01DDB4AC">
      <w:pPr>
        <w:rPr>
          <w:rFonts w:ascii="宋体" w:hAnsi="宋体" w:cs="宋体"/>
          <w:b/>
          <w:color w:val="auto"/>
          <w:sz w:val="36"/>
          <w:szCs w:val="20"/>
        </w:rPr>
      </w:pPr>
      <w:r>
        <w:rPr>
          <w:rFonts w:hint="eastAsia" w:ascii="宋体" w:hAnsi="宋体" w:cs="宋体"/>
          <w:b/>
          <w:color w:val="auto"/>
          <w:sz w:val="36"/>
          <w:szCs w:val="20"/>
        </w:rPr>
        <w:t>附件</w:t>
      </w:r>
      <w:r>
        <w:rPr>
          <w:rFonts w:ascii="宋体" w:hAnsi="宋体" w:cs="宋体"/>
          <w:b/>
          <w:color w:val="auto"/>
          <w:sz w:val="36"/>
          <w:szCs w:val="20"/>
        </w:rPr>
        <w:t>7</w:t>
      </w:r>
      <w:r>
        <w:rPr>
          <w:rFonts w:hint="eastAsia" w:ascii="宋体" w:hAnsi="宋体" w:cs="宋体"/>
          <w:b/>
          <w:color w:val="auto"/>
          <w:sz w:val="36"/>
          <w:szCs w:val="20"/>
        </w:rPr>
        <w:t>：中小企业声明函</w:t>
      </w:r>
    </w:p>
    <w:p w14:paraId="6293FD2F">
      <w:pPr>
        <w:kinsoku/>
        <w:wordWrap/>
        <w:overflowPunct/>
        <w:topLinePunct w:val="0"/>
        <w:bidi w:val="0"/>
        <w:adjustRightInd/>
        <w:snapToGrid/>
        <w:spacing w:beforeAutospacing="0" w:afterAutospacing="0" w:line="360" w:lineRule="auto"/>
        <w:jc w:val="center"/>
        <w:textAlignment w:val="auto"/>
        <w:rPr>
          <w:rFonts w:ascii="宋体" w:hAnsi="宋体" w:cs="宋体"/>
          <w:color w:val="auto"/>
          <w:sz w:val="24"/>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693C50E2">
      <w:pPr>
        <w:kinsoku/>
        <w:wordWrap/>
        <w:overflowPunct/>
        <w:topLinePunct w:val="0"/>
        <w:bidi w:val="0"/>
        <w:adjustRightInd/>
        <w:snapToGrid/>
        <w:spacing w:beforeAutospacing="0" w:afterAutospacing="0" w:line="360" w:lineRule="auto"/>
        <w:ind w:right="420" w:firstLine="720" w:firstLineChars="300"/>
        <w:textAlignment w:val="auto"/>
        <w:rPr>
          <w:rFonts w:ascii="宋体" w:hAnsi="宋体" w:cs="宋体"/>
          <w:color w:val="auto"/>
          <w:sz w:val="24"/>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4CFCBBDC">
      <w:pPr>
        <w:pStyle w:val="3"/>
        <w:rPr>
          <w:rFonts w:ascii="宋体" w:hAnsi="宋体" w:eastAsia="宋体" w:cs="宋体"/>
          <w:color w:val="auto"/>
          <w:lang w:val="en-US"/>
        </w:rPr>
      </w:pPr>
    </w:p>
    <w:p w14:paraId="34DF59BA">
      <w:pPr>
        <w:spacing w:line="360" w:lineRule="auto"/>
        <w:ind w:right="420"/>
        <w:rPr>
          <w:rFonts w:ascii="宋体" w:hAnsi="宋体" w:cs="宋体"/>
          <w:color w:val="auto"/>
        </w:rPr>
      </w:pPr>
    </w:p>
    <w:p w14:paraId="76D6EF3B">
      <w:pPr>
        <w:spacing w:line="360" w:lineRule="auto"/>
        <w:rPr>
          <w:rFonts w:ascii="宋体" w:hAnsi="宋体" w:cs="宋体"/>
          <w:bCs/>
          <w:color w:val="auto"/>
          <w:sz w:val="24"/>
        </w:rPr>
      </w:pPr>
    </w:p>
    <w:sectPr>
      <w:headerReference r:id="rId23" w:type="first"/>
      <w:footerReference r:id="rId26" w:type="first"/>
      <w:headerReference r:id="rId22" w:type="default"/>
      <w:footerReference r:id="rId24" w:type="default"/>
      <w:footerReference r:id="rId25" w:type="even"/>
      <w:pgSz w:w="11906" w:h="16838"/>
      <w:pgMar w:top="1440" w:right="1800" w:bottom="1440" w:left="180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453B">
    <w:pPr>
      <w:pStyle w:val="39"/>
      <w:framePr w:wrap="around" w:vAnchor="text" w:hAnchor="margin" w:xAlign="right" w:y="1"/>
      <w:rPr>
        <w:rStyle w:val="73"/>
      </w:rPr>
    </w:pPr>
    <w:r>
      <w:fldChar w:fldCharType="begin"/>
    </w:r>
    <w:r>
      <w:rPr>
        <w:rStyle w:val="73"/>
      </w:rPr>
      <w:instrText xml:space="preserve">PAGE  </w:instrText>
    </w:r>
    <w:r>
      <w:fldChar w:fldCharType="end"/>
    </w:r>
  </w:p>
  <w:p w14:paraId="2A481D83">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83316">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DB5D9">
                          <w:pPr>
                            <w:pStyle w:val="3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DDB5D9">
                    <w:pPr>
                      <w:pStyle w:val="3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10AD">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0C9FF">
                          <w:pPr>
                            <w:pStyle w:val="3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70C9FF">
                    <w:pPr>
                      <w:pStyle w:val="3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947F">
    <w:pPr>
      <w:pStyle w:val="39"/>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4C3E8">
                          <w:pPr>
                            <w:pStyle w:val="3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DA4C3E8">
                    <w:pPr>
                      <w:pStyle w:val="3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F85B">
    <w:pPr>
      <w:pStyle w:val="39"/>
      <w:framePr w:wrap="around" w:vAnchor="text" w:hAnchor="margin" w:xAlign="right" w:y="1"/>
      <w:rPr>
        <w:rStyle w:val="73"/>
      </w:rPr>
    </w:pPr>
    <w:r>
      <w:fldChar w:fldCharType="begin"/>
    </w:r>
    <w:r>
      <w:rPr>
        <w:rStyle w:val="73"/>
      </w:rPr>
      <w:instrText xml:space="preserve">PAGE  </w:instrText>
    </w:r>
    <w:r>
      <w:fldChar w:fldCharType="end"/>
    </w:r>
  </w:p>
  <w:p w14:paraId="2D4F2974">
    <w:pPr>
      <w:pStyle w:val="3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10275">
    <w:pPr>
      <w:pStyle w:val="39"/>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CD1D9">
                          <w:pPr>
                            <w:pStyle w:val="3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FCD1D9">
                    <w:pPr>
                      <w:pStyle w:val="3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68FF">
    <w:pPr>
      <w:pStyle w:val="3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68DE3">
                          <w:pPr>
                            <w:pStyle w:val="39"/>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B68DE3">
                    <w:pPr>
                      <w:pStyle w:val="39"/>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26081741">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A850">
    <w:pPr>
      <w:pStyle w:val="39"/>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422AC">
                          <w:pPr>
                            <w:pStyle w:val="3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E3422AC">
                    <w:pPr>
                      <w:pStyle w:val="3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FF0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103</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379E6">
    <w:pPr>
      <w:pStyle w:val="3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7EA58">
                          <w:pPr>
                            <w:pStyle w:val="39"/>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937EA58">
                    <w:pPr>
                      <w:pStyle w:val="39"/>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20CF4F0D">
    <w:pPr>
      <w:pStyle w:val="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3965">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D4136">
                          <w:pPr>
                            <w:pStyle w:val="3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D4136">
                    <w:pPr>
                      <w:pStyle w:val="3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BBA5">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71B20">
                          <w:pPr>
                            <w:pStyle w:val="3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871B20">
                    <w:pPr>
                      <w:pStyle w:val="3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8984">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460E3">
                          <w:pPr>
                            <w:pStyle w:val="3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4460E3">
                    <w:pPr>
                      <w:pStyle w:val="3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6319">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BFA3">
                          <w:pPr>
                            <w:pStyle w:val="3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FDBFA3">
                    <w:pPr>
                      <w:pStyle w:val="3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28E8">
    <w:pPr>
      <w:pStyle w:val="41"/>
      <w:pBdr>
        <w:bottom w:val="single" w:color="auto" w:sz="6" w:space="4"/>
      </w:pBdr>
      <w:jc w:val="right"/>
    </w:pPr>
    <w:r>
      <w:t></w:t>
    </w:r>
    <w:r>
      <w:rPr>
        <w:rFonts w:hint="eastAsia"/>
      </w:rPr>
      <w:t xml:space="preserve">             </w:t>
    </w:r>
    <w:r>
      <w:t>杭州市政府采购公开招标文件</w:t>
    </w:r>
  </w:p>
  <w:p w14:paraId="7FAC0A36">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C1FF7">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A94F">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ED64">
    <w:pPr>
      <w:pStyle w:val="41"/>
      <w:rPr>
        <w:rFonts w:ascii="仿宋_GB2312" w:eastAsia="仿宋_GB2312"/>
        <w:b/>
        <w:i/>
        <w:u w:val="single"/>
      </w:rPr>
    </w:pPr>
    <w:r>
      <w:t></w:t>
    </w:r>
    <w:r>
      <w:rPr>
        <w:rFonts w:hint="eastAsia"/>
      </w:rPr>
      <w:t xml:space="preserve">                                                  </w:t>
    </w:r>
    <w:r>
      <w:t xml:space="preserve">            杭州市政府采购公开招标文件</w:t>
    </w:r>
  </w:p>
  <w:p w14:paraId="7C2D1658">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B5D4">
    <w:pPr>
      <w:pStyle w:val="41"/>
    </w:pPr>
    <w:r>
      <w:t></w:t>
    </w:r>
    <w:r>
      <w:rPr>
        <w:rFonts w:hint="eastAsia"/>
      </w:rPr>
      <w:t xml:space="preserve">         </w:t>
    </w:r>
  </w:p>
  <w:p w14:paraId="0B28EE58">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5848E">
    <w:pPr>
      <w:pStyle w:val="41"/>
      <w:rPr>
        <w:rFonts w:ascii="仿宋_GB2312" w:eastAsia="仿宋_GB2312"/>
        <w:b/>
        <w:i/>
        <w:u w:val="single"/>
      </w:rPr>
    </w:pPr>
    <w:r>
      <w:t></w:t>
    </w:r>
    <w:r>
      <w:rPr>
        <w:rFonts w:hint="eastAsia"/>
      </w:rPr>
      <w:t xml:space="preserve">                                       </w:t>
    </w:r>
    <w:r>
      <w:t>杭州市政府采购公开招标文件</w:t>
    </w:r>
  </w:p>
  <w:p w14:paraId="42BD8938">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19B9">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CE58">
    <w:pPr>
      <w:pStyle w:val="41"/>
      <w:jc w:val="right"/>
      <w:rPr>
        <w:rFonts w:ascii="仿宋_GB2312" w:eastAsia="仿宋_GB2312"/>
        <w:b/>
        <w:i/>
        <w:u w:val="single"/>
      </w:rPr>
    </w:pPr>
    <w:r>
      <w:rPr>
        <w:rFonts w:hint="eastAsia"/>
      </w:rPr>
      <w:t xml:space="preserve">                                  </w:t>
    </w:r>
    <w:r>
      <w:t>杭州市政府采购公开招标文件</w:t>
    </w:r>
  </w:p>
  <w:p w14:paraId="02A78D8A">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14E9">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DF84">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1B109"/>
    <w:multiLevelType w:val="singleLevel"/>
    <w:tmpl w:val="BA11B1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YTM2NGZlMWQ5ZTljOGI5MDBkNjZkYzIyMmIwNzg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0FDE"/>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07A"/>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2375FA"/>
    <w:rsid w:val="019F7441"/>
    <w:rsid w:val="01A3073B"/>
    <w:rsid w:val="01B30470"/>
    <w:rsid w:val="01B37585"/>
    <w:rsid w:val="01D55165"/>
    <w:rsid w:val="01DF6BF8"/>
    <w:rsid w:val="01EC2C57"/>
    <w:rsid w:val="025F0711"/>
    <w:rsid w:val="026B2E25"/>
    <w:rsid w:val="02824D4D"/>
    <w:rsid w:val="028B36A9"/>
    <w:rsid w:val="02DC4B10"/>
    <w:rsid w:val="02DD76CE"/>
    <w:rsid w:val="02F36323"/>
    <w:rsid w:val="02F5619C"/>
    <w:rsid w:val="0326446A"/>
    <w:rsid w:val="032D5555"/>
    <w:rsid w:val="033E4BBF"/>
    <w:rsid w:val="036634D2"/>
    <w:rsid w:val="03DD35E4"/>
    <w:rsid w:val="04076900"/>
    <w:rsid w:val="0410030A"/>
    <w:rsid w:val="041A5A3B"/>
    <w:rsid w:val="042311BA"/>
    <w:rsid w:val="042B157A"/>
    <w:rsid w:val="048F763B"/>
    <w:rsid w:val="049F330E"/>
    <w:rsid w:val="04AA775C"/>
    <w:rsid w:val="04AF1889"/>
    <w:rsid w:val="04E60F5C"/>
    <w:rsid w:val="04F419D9"/>
    <w:rsid w:val="04F66F48"/>
    <w:rsid w:val="05251E14"/>
    <w:rsid w:val="0560706F"/>
    <w:rsid w:val="05A16594"/>
    <w:rsid w:val="05A7762D"/>
    <w:rsid w:val="060E5941"/>
    <w:rsid w:val="06110FAF"/>
    <w:rsid w:val="06493CA7"/>
    <w:rsid w:val="065A6178"/>
    <w:rsid w:val="066F1CF3"/>
    <w:rsid w:val="068F2313"/>
    <w:rsid w:val="06930BB8"/>
    <w:rsid w:val="07245D42"/>
    <w:rsid w:val="07264C62"/>
    <w:rsid w:val="0779354C"/>
    <w:rsid w:val="08061376"/>
    <w:rsid w:val="08452D77"/>
    <w:rsid w:val="086401F8"/>
    <w:rsid w:val="08751CAA"/>
    <w:rsid w:val="087E4C40"/>
    <w:rsid w:val="08A871D0"/>
    <w:rsid w:val="08D66AD6"/>
    <w:rsid w:val="08DA33A3"/>
    <w:rsid w:val="08E80F13"/>
    <w:rsid w:val="090E5BA6"/>
    <w:rsid w:val="09335624"/>
    <w:rsid w:val="0944690F"/>
    <w:rsid w:val="09535675"/>
    <w:rsid w:val="095F057D"/>
    <w:rsid w:val="09642282"/>
    <w:rsid w:val="09733572"/>
    <w:rsid w:val="09772C16"/>
    <w:rsid w:val="098353B5"/>
    <w:rsid w:val="099D2DC6"/>
    <w:rsid w:val="09A92330"/>
    <w:rsid w:val="09B06B87"/>
    <w:rsid w:val="09C13146"/>
    <w:rsid w:val="09E04166"/>
    <w:rsid w:val="0A1C0718"/>
    <w:rsid w:val="0A3E7710"/>
    <w:rsid w:val="0A5B7E63"/>
    <w:rsid w:val="0A9F4195"/>
    <w:rsid w:val="0AA374A5"/>
    <w:rsid w:val="0AAB7649"/>
    <w:rsid w:val="0ABC5606"/>
    <w:rsid w:val="0B155186"/>
    <w:rsid w:val="0B16569D"/>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A77331"/>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6D6359"/>
    <w:rsid w:val="0E9D0089"/>
    <w:rsid w:val="0EB803EE"/>
    <w:rsid w:val="0ECB3177"/>
    <w:rsid w:val="0EF94D4B"/>
    <w:rsid w:val="0F152D89"/>
    <w:rsid w:val="0F4958DC"/>
    <w:rsid w:val="0F515DF7"/>
    <w:rsid w:val="0F596BA8"/>
    <w:rsid w:val="0F6248D2"/>
    <w:rsid w:val="0F693536"/>
    <w:rsid w:val="0F7B0511"/>
    <w:rsid w:val="0F7B76D9"/>
    <w:rsid w:val="0F816ACD"/>
    <w:rsid w:val="0F9832DB"/>
    <w:rsid w:val="0FBF3FD2"/>
    <w:rsid w:val="0FBF7FF3"/>
    <w:rsid w:val="0FEB0105"/>
    <w:rsid w:val="10646583"/>
    <w:rsid w:val="106F038A"/>
    <w:rsid w:val="107D4B15"/>
    <w:rsid w:val="108A3C80"/>
    <w:rsid w:val="108B0D18"/>
    <w:rsid w:val="109918C4"/>
    <w:rsid w:val="10C26171"/>
    <w:rsid w:val="10F33360"/>
    <w:rsid w:val="10FC16EA"/>
    <w:rsid w:val="110F1D40"/>
    <w:rsid w:val="11266F33"/>
    <w:rsid w:val="118963A1"/>
    <w:rsid w:val="11C6522A"/>
    <w:rsid w:val="11E104CC"/>
    <w:rsid w:val="11E20309"/>
    <w:rsid w:val="12255233"/>
    <w:rsid w:val="124F64A1"/>
    <w:rsid w:val="12530213"/>
    <w:rsid w:val="12657C6A"/>
    <w:rsid w:val="127723A9"/>
    <w:rsid w:val="12862074"/>
    <w:rsid w:val="12883966"/>
    <w:rsid w:val="129E45B4"/>
    <w:rsid w:val="12D81596"/>
    <w:rsid w:val="13072A44"/>
    <w:rsid w:val="135F4BE2"/>
    <w:rsid w:val="13693592"/>
    <w:rsid w:val="139B1A0A"/>
    <w:rsid w:val="139D25C7"/>
    <w:rsid w:val="13BF3CE4"/>
    <w:rsid w:val="13DF5603"/>
    <w:rsid w:val="13E26EA1"/>
    <w:rsid w:val="141008D8"/>
    <w:rsid w:val="14125FE6"/>
    <w:rsid w:val="146B566C"/>
    <w:rsid w:val="146D271E"/>
    <w:rsid w:val="14982588"/>
    <w:rsid w:val="149A5AD9"/>
    <w:rsid w:val="14A7619D"/>
    <w:rsid w:val="150536C3"/>
    <w:rsid w:val="150C1963"/>
    <w:rsid w:val="151447A0"/>
    <w:rsid w:val="154A6454"/>
    <w:rsid w:val="15762120"/>
    <w:rsid w:val="15B66837"/>
    <w:rsid w:val="163D06F1"/>
    <w:rsid w:val="166A058B"/>
    <w:rsid w:val="16922719"/>
    <w:rsid w:val="169A670E"/>
    <w:rsid w:val="16A8729C"/>
    <w:rsid w:val="16B33777"/>
    <w:rsid w:val="16BC70A7"/>
    <w:rsid w:val="16C6339E"/>
    <w:rsid w:val="172F2D79"/>
    <w:rsid w:val="17557BEF"/>
    <w:rsid w:val="17D349C1"/>
    <w:rsid w:val="17D3547E"/>
    <w:rsid w:val="1830729E"/>
    <w:rsid w:val="1870062C"/>
    <w:rsid w:val="18736C61"/>
    <w:rsid w:val="18817102"/>
    <w:rsid w:val="18830A15"/>
    <w:rsid w:val="18852B28"/>
    <w:rsid w:val="188B5321"/>
    <w:rsid w:val="18DB2018"/>
    <w:rsid w:val="18E611E1"/>
    <w:rsid w:val="19932372"/>
    <w:rsid w:val="19A20DD5"/>
    <w:rsid w:val="19AE03F1"/>
    <w:rsid w:val="1A071A03"/>
    <w:rsid w:val="1A1F16AE"/>
    <w:rsid w:val="1A3B272E"/>
    <w:rsid w:val="1A3B5C77"/>
    <w:rsid w:val="1A98475D"/>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86011"/>
    <w:rsid w:val="1C88086E"/>
    <w:rsid w:val="1D266CE1"/>
    <w:rsid w:val="1D2E5810"/>
    <w:rsid w:val="1D3963AF"/>
    <w:rsid w:val="1D6A673C"/>
    <w:rsid w:val="1D9247AE"/>
    <w:rsid w:val="1DB567EC"/>
    <w:rsid w:val="1DE3579B"/>
    <w:rsid w:val="1DF51A98"/>
    <w:rsid w:val="1E187177"/>
    <w:rsid w:val="1E3D060F"/>
    <w:rsid w:val="1E3F7D2E"/>
    <w:rsid w:val="1E4134E4"/>
    <w:rsid w:val="1E5062B3"/>
    <w:rsid w:val="1E523514"/>
    <w:rsid w:val="1E714A66"/>
    <w:rsid w:val="1E802593"/>
    <w:rsid w:val="1E8B6156"/>
    <w:rsid w:val="1E9D67E6"/>
    <w:rsid w:val="1EA703CC"/>
    <w:rsid w:val="1EAA2CB1"/>
    <w:rsid w:val="1EB7330C"/>
    <w:rsid w:val="1ED473FE"/>
    <w:rsid w:val="1EDA17E8"/>
    <w:rsid w:val="1F0A0FF3"/>
    <w:rsid w:val="1F5771FF"/>
    <w:rsid w:val="1FA77208"/>
    <w:rsid w:val="1FD52DD5"/>
    <w:rsid w:val="1FE305D3"/>
    <w:rsid w:val="1FE868A9"/>
    <w:rsid w:val="20034907"/>
    <w:rsid w:val="20173E4B"/>
    <w:rsid w:val="20497B95"/>
    <w:rsid w:val="204E48BC"/>
    <w:rsid w:val="208921B3"/>
    <w:rsid w:val="20973DEB"/>
    <w:rsid w:val="20A15B29"/>
    <w:rsid w:val="20B26522"/>
    <w:rsid w:val="20B44310"/>
    <w:rsid w:val="211116EB"/>
    <w:rsid w:val="216133FC"/>
    <w:rsid w:val="216E7FC6"/>
    <w:rsid w:val="21D56769"/>
    <w:rsid w:val="21E52EF3"/>
    <w:rsid w:val="21FB5D7B"/>
    <w:rsid w:val="22015E94"/>
    <w:rsid w:val="220B1C3D"/>
    <w:rsid w:val="221D1D20"/>
    <w:rsid w:val="22334A87"/>
    <w:rsid w:val="22BE6801"/>
    <w:rsid w:val="231C2D03"/>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4EC7B7F"/>
    <w:rsid w:val="258B00E2"/>
    <w:rsid w:val="25A917A6"/>
    <w:rsid w:val="25AC5B1F"/>
    <w:rsid w:val="25BE27CC"/>
    <w:rsid w:val="25F74A5C"/>
    <w:rsid w:val="2628662C"/>
    <w:rsid w:val="262D45DE"/>
    <w:rsid w:val="26571970"/>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D7CC7"/>
    <w:rsid w:val="28DE40AA"/>
    <w:rsid w:val="29345E77"/>
    <w:rsid w:val="294C65AD"/>
    <w:rsid w:val="29806583"/>
    <w:rsid w:val="298B3C4C"/>
    <w:rsid w:val="29BC1B38"/>
    <w:rsid w:val="29F26D24"/>
    <w:rsid w:val="2A15033F"/>
    <w:rsid w:val="2A1662C1"/>
    <w:rsid w:val="2A1C7367"/>
    <w:rsid w:val="2A2815FA"/>
    <w:rsid w:val="2A6D6092"/>
    <w:rsid w:val="2A7D76B4"/>
    <w:rsid w:val="2AC450FA"/>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1B49C8"/>
    <w:rsid w:val="2E4B082A"/>
    <w:rsid w:val="2E5D4E86"/>
    <w:rsid w:val="2E5D790B"/>
    <w:rsid w:val="2E6C11DA"/>
    <w:rsid w:val="2E9A3C18"/>
    <w:rsid w:val="2EBB0FEE"/>
    <w:rsid w:val="2EC63002"/>
    <w:rsid w:val="2F0A6B38"/>
    <w:rsid w:val="2F3C7955"/>
    <w:rsid w:val="2F634EE2"/>
    <w:rsid w:val="2F946CCB"/>
    <w:rsid w:val="2FD25781"/>
    <w:rsid w:val="2FDC745C"/>
    <w:rsid w:val="2FFD7934"/>
    <w:rsid w:val="30733ACD"/>
    <w:rsid w:val="308C3862"/>
    <w:rsid w:val="309379D8"/>
    <w:rsid w:val="30A270F7"/>
    <w:rsid w:val="30DF1478"/>
    <w:rsid w:val="30EC586F"/>
    <w:rsid w:val="30EE2ED1"/>
    <w:rsid w:val="311F308B"/>
    <w:rsid w:val="314550B7"/>
    <w:rsid w:val="319C6071"/>
    <w:rsid w:val="31AC537E"/>
    <w:rsid w:val="31E3679B"/>
    <w:rsid w:val="31E732FD"/>
    <w:rsid w:val="320F4EAD"/>
    <w:rsid w:val="32517576"/>
    <w:rsid w:val="32BE5C2C"/>
    <w:rsid w:val="32FB6478"/>
    <w:rsid w:val="33104F29"/>
    <w:rsid w:val="33263B3F"/>
    <w:rsid w:val="336963EB"/>
    <w:rsid w:val="33816EEB"/>
    <w:rsid w:val="33EB55CD"/>
    <w:rsid w:val="33EC4C02"/>
    <w:rsid w:val="340D2360"/>
    <w:rsid w:val="3410665D"/>
    <w:rsid w:val="34211214"/>
    <w:rsid w:val="342E63AB"/>
    <w:rsid w:val="348C7C8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0C2303"/>
    <w:rsid w:val="373F410B"/>
    <w:rsid w:val="37751C56"/>
    <w:rsid w:val="37B02C8E"/>
    <w:rsid w:val="37EE7094"/>
    <w:rsid w:val="38296C89"/>
    <w:rsid w:val="383002EB"/>
    <w:rsid w:val="38586797"/>
    <w:rsid w:val="386F15DF"/>
    <w:rsid w:val="38765C86"/>
    <w:rsid w:val="38BC0149"/>
    <w:rsid w:val="38D87D1C"/>
    <w:rsid w:val="38E35DFD"/>
    <w:rsid w:val="39636459"/>
    <w:rsid w:val="396B7F6C"/>
    <w:rsid w:val="39B417A9"/>
    <w:rsid w:val="39DD11A6"/>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CE5335D"/>
    <w:rsid w:val="3CF60293"/>
    <w:rsid w:val="3D37175C"/>
    <w:rsid w:val="3D3C7F39"/>
    <w:rsid w:val="3D440F09"/>
    <w:rsid w:val="3D4504A0"/>
    <w:rsid w:val="3D8734BB"/>
    <w:rsid w:val="3D9A11D4"/>
    <w:rsid w:val="3DA16D89"/>
    <w:rsid w:val="3DA364BE"/>
    <w:rsid w:val="3DC115C9"/>
    <w:rsid w:val="3DE041CB"/>
    <w:rsid w:val="3E0D48F6"/>
    <w:rsid w:val="3E1868B4"/>
    <w:rsid w:val="3E377251"/>
    <w:rsid w:val="3E42664B"/>
    <w:rsid w:val="3E5A7334"/>
    <w:rsid w:val="3E6C4972"/>
    <w:rsid w:val="3E7B5D6B"/>
    <w:rsid w:val="3E843E66"/>
    <w:rsid w:val="3E8F51FE"/>
    <w:rsid w:val="3E926F87"/>
    <w:rsid w:val="3E9A59DE"/>
    <w:rsid w:val="3EAF4836"/>
    <w:rsid w:val="3EC33DFA"/>
    <w:rsid w:val="3F060E16"/>
    <w:rsid w:val="3F1D1096"/>
    <w:rsid w:val="3F2F0234"/>
    <w:rsid w:val="3F416ABE"/>
    <w:rsid w:val="3F6363FE"/>
    <w:rsid w:val="3F675FA1"/>
    <w:rsid w:val="3F756B8F"/>
    <w:rsid w:val="3F7A2500"/>
    <w:rsid w:val="3F95482B"/>
    <w:rsid w:val="3FDB2873"/>
    <w:rsid w:val="4019356B"/>
    <w:rsid w:val="401F7137"/>
    <w:rsid w:val="40436D96"/>
    <w:rsid w:val="40592157"/>
    <w:rsid w:val="406E1CAE"/>
    <w:rsid w:val="40A0133A"/>
    <w:rsid w:val="40C31A53"/>
    <w:rsid w:val="40FF545D"/>
    <w:rsid w:val="410067C8"/>
    <w:rsid w:val="418F0D2A"/>
    <w:rsid w:val="419F6963"/>
    <w:rsid w:val="41D01505"/>
    <w:rsid w:val="423170C2"/>
    <w:rsid w:val="42474939"/>
    <w:rsid w:val="424C3C57"/>
    <w:rsid w:val="42613FF3"/>
    <w:rsid w:val="42660D96"/>
    <w:rsid w:val="428667D2"/>
    <w:rsid w:val="42CD1CE0"/>
    <w:rsid w:val="42E1381E"/>
    <w:rsid w:val="42ED6459"/>
    <w:rsid w:val="42FE58DD"/>
    <w:rsid w:val="43174B3D"/>
    <w:rsid w:val="43444517"/>
    <w:rsid w:val="434B790E"/>
    <w:rsid w:val="4360274F"/>
    <w:rsid w:val="43977AB6"/>
    <w:rsid w:val="43A3342B"/>
    <w:rsid w:val="43C77C27"/>
    <w:rsid w:val="43DE09EE"/>
    <w:rsid w:val="44002FAD"/>
    <w:rsid w:val="44692B43"/>
    <w:rsid w:val="449101DD"/>
    <w:rsid w:val="44921A6F"/>
    <w:rsid w:val="44A2413C"/>
    <w:rsid w:val="44DE1391"/>
    <w:rsid w:val="451B225C"/>
    <w:rsid w:val="452410C9"/>
    <w:rsid w:val="45317DFB"/>
    <w:rsid w:val="456D3CE4"/>
    <w:rsid w:val="4579042C"/>
    <w:rsid w:val="457F0571"/>
    <w:rsid w:val="45851176"/>
    <w:rsid w:val="45B65249"/>
    <w:rsid w:val="45C63B94"/>
    <w:rsid w:val="45F91CA4"/>
    <w:rsid w:val="460E7DA5"/>
    <w:rsid w:val="46422483"/>
    <w:rsid w:val="46476EB4"/>
    <w:rsid w:val="4659254A"/>
    <w:rsid w:val="465B0637"/>
    <w:rsid w:val="465E3F0D"/>
    <w:rsid w:val="466A16E6"/>
    <w:rsid w:val="467D1F70"/>
    <w:rsid w:val="46893F2B"/>
    <w:rsid w:val="46C4686E"/>
    <w:rsid w:val="46D7531D"/>
    <w:rsid w:val="475A2C17"/>
    <w:rsid w:val="477B778F"/>
    <w:rsid w:val="478203EC"/>
    <w:rsid w:val="47921CFB"/>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522F4E"/>
    <w:rsid w:val="4AB82D0F"/>
    <w:rsid w:val="4AEB7664"/>
    <w:rsid w:val="4AFD7C19"/>
    <w:rsid w:val="4B0567D1"/>
    <w:rsid w:val="4B236AAE"/>
    <w:rsid w:val="4B707271"/>
    <w:rsid w:val="4B7342A7"/>
    <w:rsid w:val="4B9739F7"/>
    <w:rsid w:val="4BEE2503"/>
    <w:rsid w:val="4C245A30"/>
    <w:rsid w:val="4C4D68A6"/>
    <w:rsid w:val="4CB6685F"/>
    <w:rsid w:val="4CC367FE"/>
    <w:rsid w:val="4D077F3C"/>
    <w:rsid w:val="4D123355"/>
    <w:rsid w:val="4D2A3B31"/>
    <w:rsid w:val="4D312C52"/>
    <w:rsid w:val="4D665E71"/>
    <w:rsid w:val="4D7762D0"/>
    <w:rsid w:val="4D9001A3"/>
    <w:rsid w:val="4D905305"/>
    <w:rsid w:val="4D964A72"/>
    <w:rsid w:val="4D9C1254"/>
    <w:rsid w:val="4E793892"/>
    <w:rsid w:val="4E800872"/>
    <w:rsid w:val="4EA74993"/>
    <w:rsid w:val="4EC569ED"/>
    <w:rsid w:val="4ED50EA1"/>
    <w:rsid w:val="4EEC050C"/>
    <w:rsid w:val="4F104EC3"/>
    <w:rsid w:val="4F111E0D"/>
    <w:rsid w:val="4F47354A"/>
    <w:rsid w:val="4F911C54"/>
    <w:rsid w:val="4FAE0225"/>
    <w:rsid w:val="4FE625E0"/>
    <w:rsid w:val="5021480F"/>
    <w:rsid w:val="50311A25"/>
    <w:rsid w:val="50681F00"/>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073988"/>
    <w:rsid w:val="522E4CC3"/>
    <w:rsid w:val="5244713B"/>
    <w:rsid w:val="52615633"/>
    <w:rsid w:val="526F4DE4"/>
    <w:rsid w:val="528D20F2"/>
    <w:rsid w:val="52977FD4"/>
    <w:rsid w:val="52A25790"/>
    <w:rsid w:val="52A96B6F"/>
    <w:rsid w:val="52B45975"/>
    <w:rsid w:val="52D94AA4"/>
    <w:rsid w:val="52EA3A62"/>
    <w:rsid w:val="52F50BB8"/>
    <w:rsid w:val="53097272"/>
    <w:rsid w:val="531E0F9C"/>
    <w:rsid w:val="532C5252"/>
    <w:rsid w:val="533023AC"/>
    <w:rsid w:val="53544462"/>
    <w:rsid w:val="5397158E"/>
    <w:rsid w:val="53E12120"/>
    <w:rsid w:val="54013861"/>
    <w:rsid w:val="54487265"/>
    <w:rsid w:val="544D6070"/>
    <w:rsid w:val="54605E1E"/>
    <w:rsid w:val="546B6463"/>
    <w:rsid w:val="5495703C"/>
    <w:rsid w:val="54B3506A"/>
    <w:rsid w:val="54CA0D16"/>
    <w:rsid w:val="54DD4057"/>
    <w:rsid w:val="54E7490F"/>
    <w:rsid w:val="550764A4"/>
    <w:rsid w:val="550B2BF6"/>
    <w:rsid w:val="55214EB5"/>
    <w:rsid w:val="55364EFD"/>
    <w:rsid w:val="555D4828"/>
    <w:rsid w:val="557A4C8B"/>
    <w:rsid w:val="558931E1"/>
    <w:rsid w:val="558A0B6B"/>
    <w:rsid w:val="55923347"/>
    <w:rsid w:val="55925180"/>
    <w:rsid w:val="55983B1B"/>
    <w:rsid w:val="55A8376B"/>
    <w:rsid w:val="55DC29B6"/>
    <w:rsid w:val="55DD4241"/>
    <w:rsid w:val="56235AC6"/>
    <w:rsid w:val="566B6D1E"/>
    <w:rsid w:val="56D80314"/>
    <w:rsid w:val="57032A2C"/>
    <w:rsid w:val="57062473"/>
    <w:rsid w:val="570F5219"/>
    <w:rsid w:val="57364B06"/>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4352B9"/>
    <w:rsid w:val="595E1678"/>
    <w:rsid w:val="596D5BD4"/>
    <w:rsid w:val="597E3DD8"/>
    <w:rsid w:val="59A06022"/>
    <w:rsid w:val="59F80043"/>
    <w:rsid w:val="5A09252F"/>
    <w:rsid w:val="5A0B2778"/>
    <w:rsid w:val="5A2A7C7B"/>
    <w:rsid w:val="5A3E2560"/>
    <w:rsid w:val="5A5D3B6E"/>
    <w:rsid w:val="5A637A76"/>
    <w:rsid w:val="5A6D33BA"/>
    <w:rsid w:val="5A745DFB"/>
    <w:rsid w:val="5A792B1F"/>
    <w:rsid w:val="5A874767"/>
    <w:rsid w:val="5A8C2C8F"/>
    <w:rsid w:val="5AA85BE2"/>
    <w:rsid w:val="5AAD6F28"/>
    <w:rsid w:val="5AD63A24"/>
    <w:rsid w:val="5B2E1A1D"/>
    <w:rsid w:val="5B843A1C"/>
    <w:rsid w:val="5B873E3F"/>
    <w:rsid w:val="5C02690E"/>
    <w:rsid w:val="5C074CC3"/>
    <w:rsid w:val="5C137CDC"/>
    <w:rsid w:val="5C196DA7"/>
    <w:rsid w:val="5C2A048C"/>
    <w:rsid w:val="5C2A09B2"/>
    <w:rsid w:val="5C45578C"/>
    <w:rsid w:val="5C80234E"/>
    <w:rsid w:val="5C8A680C"/>
    <w:rsid w:val="5D0C4701"/>
    <w:rsid w:val="5D0F0395"/>
    <w:rsid w:val="5D221076"/>
    <w:rsid w:val="5D397964"/>
    <w:rsid w:val="5D5A391C"/>
    <w:rsid w:val="5D5F10C0"/>
    <w:rsid w:val="5D891B7B"/>
    <w:rsid w:val="5D9D264E"/>
    <w:rsid w:val="5DAD38EE"/>
    <w:rsid w:val="5DD45079"/>
    <w:rsid w:val="5E006862"/>
    <w:rsid w:val="5E0207B9"/>
    <w:rsid w:val="5E0653E8"/>
    <w:rsid w:val="5E1834A1"/>
    <w:rsid w:val="5E261785"/>
    <w:rsid w:val="5E4A7017"/>
    <w:rsid w:val="5E552BBA"/>
    <w:rsid w:val="5E611C10"/>
    <w:rsid w:val="5E7A0F3F"/>
    <w:rsid w:val="5EFC7377"/>
    <w:rsid w:val="5F06174D"/>
    <w:rsid w:val="5F125E59"/>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077190"/>
    <w:rsid w:val="624F3E49"/>
    <w:rsid w:val="62632286"/>
    <w:rsid w:val="62885958"/>
    <w:rsid w:val="62F40B65"/>
    <w:rsid w:val="62FC2CFE"/>
    <w:rsid w:val="63024505"/>
    <w:rsid w:val="635600A5"/>
    <w:rsid w:val="635B1DB5"/>
    <w:rsid w:val="63711FED"/>
    <w:rsid w:val="63880DDC"/>
    <w:rsid w:val="638D750D"/>
    <w:rsid w:val="63AC6CC0"/>
    <w:rsid w:val="63D27965"/>
    <w:rsid w:val="63D30956"/>
    <w:rsid w:val="64055776"/>
    <w:rsid w:val="64240056"/>
    <w:rsid w:val="643E143A"/>
    <w:rsid w:val="64491666"/>
    <w:rsid w:val="648B6EEF"/>
    <w:rsid w:val="648E0AED"/>
    <w:rsid w:val="64C158BF"/>
    <w:rsid w:val="64CE2EAA"/>
    <w:rsid w:val="653C3090"/>
    <w:rsid w:val="65854376"/>
    <w:rsid w:val="658767BE"/>
    <w:rsid w:val="65892531"/>
    <w:rsid w:val="66195831"/>
    <w:rsid w:val="662E75B1"/>
    <w:rsid w:val="66342C2E"/>
    <w:rsid w:val="663E784C"/>
    <w:rsid w:val="666524F6"/>
    <w:rsid w:val="668B6A45"/>
    <w:rsid w:val="66DB1226"/>
    <w:rsid w:val="67011F07"/>
    <w:rsid w:val="672F3F24"/>
    <w:rsid w:val="67362901"/>
    <w:rsid w:val="673E055F"/>
    <w:rsid w:val="673E3563"/>
    <w:rsid w:val="67551CE3"/>
    <w:rsid w:val="67840CA0"/>
    <w:rsid w:val="678F3DBF"/>
    <w:rsid w:val="679F4A2F"/>
    <w:rsid w:val="67A22552"/>
    <w:rsid w:val="67B22DCC"/>
    <w:rsid w:val="67BE71AA"/>
    <w:rsid w:val="67D90273"/>
    <w:rsid w:val="67DE5875"/>
    <w:rsid w:val="67E55852"/>
    <w:rsid w:val="67EB1AB4"/>
    <w:rsid w:val="67FA1285"/>
    <w:rsid w:val="68492FC4"/>
    <w:rsid w:val="68551F4F"/>
    <w:rsid w:val="68595D1F"/>
    <w:rsid w:val="687C10C9"/>
    <w:rsid w:val="68840C16"/>
    <w:rsid w:val="68872541"/>
    <w:rsid w:val="68876EFB"/>
    <w:rsid w:val="68884654"/>
    <w:rsid w:val="689F444F"/>
    <w:rsid w:val="68B96DBB"/>
    <w:rsid w:val="68CA2805"/>
    <w:rsid w:val="68E937A3"/>
    <w:rsid w:val="691664E5"/>
    <w:rsid w:val="693E15D3"/>
    <w:rsid w:val="695E1C9B"/>
    <w:rsid w:val="69627681"/>
    <w:rsid w:val="6977531D"/>
    <w:rsid w:val="698C05B6"/>
    <w:rsid w:val="69AD126C"/>
    <w:rsid w:val="69CC2BFF"/>
    <w:rsid w:val="69DF58FE"/>
    <w:rsid w:val="69FD55B8"/>
    <w:rsid w:val="6A0B1C62"/>
    <w:rsid w:val="6A2406C8"/>
    <w:rsid w:val="6A254F56"/>
    <w:rsid w:val="6ADE0BD1"/>
    <w:rsid w:val="6AE96859"/>
    <w:rsid w:val="6B147746"/>
    <w:rsid w:val="6B24787C"/>
    <w:rsid w:val="6B29684C"/>
    <w:rsid w:val="6B573233"/>
    <w:rsid w:val="6B5B6274"/>
    <w:rsid w:val="6B60313D"/>
    <w:rsid w:val="6B8C2AEF"/>
    <w:rsid w:val="6B935D53"/>
    <w:rsid w:val="6BD437E3"/>
    <w:rsid w:val="6C196F71"/>
    <w:rsid w:val="6C226FCB"/>
    <w:rsid w:val="6C31226F"/>
    <w:rsid w:val="6C552F0B"/>
    <w:rsid w:val="6C6D1806"/>
    <w:rsid w:val="6C8222E0"/>
    <w:rsid w:val="6C8C67B7"/>
    <w:rsid w:val="6C9D744C"/>
    <w:rsid w:val="6D167928"/>
    <w:rsid w:val="6D26299B"/>
    <w:rsid w:val="6D4772EC"/>
    <w:rsid w:val="6D9078AF"/>
    <w:rsid w:val="6DAA3FEF"/>
    <w:rsid w:val="6DC0172B"/>
    <w:rsid w:val="6DCB690C"/>
    <w:rsid w:val="6DD41A5B"/>
    <w:rsid w:val="6DD644F6"/>
    <w:rsid w:val="6DF43C2E"/>
    <w:rsid w:val="6DF51CA3"/>
    <w:rsid w:val="6E166CE7"/>
    <w:rsid w:val="6E6A572C"/>
    <w:rsid w:val="6E8335BD"/>
    <w:rsid w:val="6E846599"/>
    <w:rsid w:val="6E8E12EF"/>
    <w:rsid w:val="6E972936"/>
    <w:rsid w:val="6EC425A0"/>
    <w:rsid w:val="6ED446C5"/>
    <w:rsid w:val="6F1C418A"/>
    <w:rsid w:val="6F2A7D94"/>
    <w:rsid w:val="6F5002D8"/>
    <w:rsid w:val="6F8331F1"/>
    <w:rsid w:val="6FAE1A09"/>
    <w:rsid w:val="6FD75BF8"/>
    <w:rsid w:val="707723D0"/>
    <w:rsid w:val="70C1148D"/>
    <w:rsid w:val="70DC0075"/>
    <w:rsid w:val="70F5661B"/>
    <w:rsid w:val="71360107"/>
    <w:rsid w:val="713B688E"/>
    <w:rsid w:val="71D43752"/>
    <w:rsid w:val="71F1796A"/>
    <w:rsid w:val="72154626"/>
    <w:rsid w:val="72262B5D"/>
    <w:rsid w:val="72283FF7"/>
    <w:rsid w:val="722E7212"/>
    <w:rsid w:val="723A0474"/>
    <w:rsid w:val="725923E4"/>
    <w:rsid w:val="72864BF7"/>
    <w:rsid w:val="729023FC"/>
    <w:rsid w:val="729EEF4D"/>
    <w:rsid w:val="73C0646E"/>
    <w:rsid w:val="742222F5"/>
    <w:rsid w:val="74476126"/>
    <w:rsid w:val="745A206A"/>
    <w:rsid w:val="74706664"/>
    <w:rsid w:val="747F3682"/>
    <w:rsid w:val="749C4185"/>
    <w:rsid w:val="74EC5322"/>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2D794F"/>
    <w:rsid w:val="78775729"/>
    <w:rsid w:val="78A42DB0"/>
    <w:rsid w:val="78A656AB"/>
    <w:rsid w:val="78B2245C"/>
    <w:rsid w:val="78E172CC"/>
    <w:rsid w:val="78EA1D1F"/>
    <w:rsid w:val="78F87A16"/>
    <w:rsid w:val="7904172F"/>
    <w:rsid w:val="790B5327"/>
    <w:rsid w:val="790F7E27"/>
    <w:rsid w:val="792A231A"/>
    <w:rsid w:val="79316829"/>
    <w:rsid w:val="797E66A9"/>
    <w:rsid w:val="798518A4"/>
    <w:rsid w:val="79A97383"/>
    <w:rsid w:val="79B871A5"/>
    <w:rsid w:val="79C132A8"/>
    <w:rsid w:val="79DA59F4"/>
    <w:rsid w:val="79E27E8B"/>
    <w:rsid w:val="79F850CE"/>
    <w:rsid w:val="79F93A46"/>
    <w:rsid w:val="79FD443C"/>
    <w:rsid w:val="7A0C5ABB"/>
    <w:rsid w:val="7A1D1975"/>
    <w:rsid w:val="7A3E5150"/>
    <w:rsid w:val="7A4670D6"/>
    <w:rsid w:val="7A534B63"/>
    <w:rsid w:val="7A615382"/>
    <w:rsid w:val="7A67303B"/>
    <w:rsid w:val="7AAB1D04"/>
    <w:rsid w:val="7ABA4368"/>
    <w:rsid w:val="7AD05746"/>
    <w:rsid w:val="7B1DE066"/>
    <w:rsid w:val="7B257FFD"/>
    <w:rsid w:val="7B273D20"/>
    <w:rsid w:val="7B343476"/>
    <w:rsid w:val="7B5A2978"/>
    <w:rsid w:val="7B5A7E4C"/>
    <w:rsid w:val="7B667AF9"/>
    <w:rsid w:val="7B7468F8"/>
    <w:rsid w:val="7B890ECD"/>
    <w:rsid w:val="7B963516"/>
    <w:rsid w:val="7BE73D72"/>
    <w:rsid w:val="7BEE0103"/>
    <w:rsid w:val="7C0A0FE4"/>
    <w:rsid w:val="7C254906"/>
    <w:rsid w:val="7C590818"/>
    <w:rsid w:val="7C7C10F6"/>
    <w:rsid w:val="7C853BEA"/>
    <w:rsid w:val="7C881368"/>
    <w:rsid w:val="7CE27788"/>
    <w:rsid w:val="7D0C32F1"/>
    <w:rsid w:val="7D0F408D"/>
    <w:rsid w:val="7D0F4857"/>
    <w:rsid w:val="7D491C6C"/>
    <w:rsid w:val="7D5429C0"/>
    <w:rsid w:val="7D6E6D43"/>
    <w:rsid w:val="7DB57A34"/>
    <w:rsid w:val="7DC32BB3"/>
    <w:rsid w:val="7DE60973"/>
    <w:rsid w:val="7DEF0916"/>
    <w:rsid w:val="7E1E5218"/>
    <w:rsid w:val="7E9A4E1F"/>
    <w:rsid w:val="7EA7723A"/>
    <w:rsid w:val="7EF56FBB"/>
    <w:rsid w:val="7F0768EB"/>
    <w:rsid w:val="7F143BEC"/>
    <w:rsid w:val="7F5931D8"/>
    <w:rsid w:val="7F715AF2"/>
    <w:rsid w:val="7F886E69"/>
    <w:rsid w:val="7FC56178"/>
    <w:rsid w:val="BB7FA927"/>
    <w:rsid w:val="EBFF11F6"/>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193"/>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link w:val="265"/>
    <w:qFormat/>
    <w:uiPriority w:val="0"/>
    <w:pPr>
      <w:spacing w:line="480" w:lineRule="exact"/>
      <w:ind w:firstLine="480" w:firstLineChars="200"/>
    </w:pPr>
    <w:rPr>
      <w:rFonts w:ascii="宋体" w:hAnsi="宋体"/>
      <w:sz w:val="24"/>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4"/>
    <w:qFormat/>
    <w:uiPriority w:val="99"/>
    <w:pPr>
      <w:jc w:val="left"/>
    </w:pPr>
  </w:style>
  <w:style w:type="paragraph" w:styleId="21">
    <w:name w:val="Salutation"/>
    <w:basedOn w:val="1"/>
    <w:next w:val="1"/>
    <w:link w:val="298"/>
    <w:qFormat/>
    <w:uiPriority w:val="0"/>
    <w:rPr>
      <w:rFonts w:ascii="仿宋_GB2312" w:eastAsia="仿宋_GB2312"/>
      <w:sz w:val="28"/>
      <w:szCs w:val="20"/>
    </w:rPr>
  </w:style>
  <w:style w:type="paragraph" w:styleId="22">
    <w:name w:val="Body Text 3"/>
    <w:basedOn w:val="1"/>
    <w:link w:val="330"/>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1"/>
    <w:link w:val="430"/>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envelope return"/>
    <w:basedOn w:val="1"/>
    <w:qFormat/>
    <w:uiPriority w:val="99"/>
    <w:pPr>
      <w:snapToGrid w:val="0"/>
    </w:pPr>
    <w:rPr>
      <w:rFonts w:ascii="Arial" w:hAnsi="Arial" w:cs="Arial"/>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6"/>
    <w:qFormat/>
    <w:uiPriority w:val="0"/>
    <w:rPr>
      <w:b/>
      <w:bCs/>
    </w:rPr>
  </w:style>
  <w:style w:type="paragraph" w:styleId="61">
    <w:name w:val="Body Text First Indent"/>
    <w:basedOn w:val="24"/>
    <w:link w:val="321"/>
    <w:qFormat/>
    <w:uiPriority w:val="0"/>
    <w:pPr>
      <w:ind w:firstLine="420"/>
    </w:pPr>
    <w:rPr>
      <w:rFonts w:hAnsi="Calibri" w:cs="Times New Roman"/>
      <w:snapToGrid/>
      <w:szCs w:val="20"/>
    </w:rPr>
  </w:style>
  <w:style w:type="paragraph" w:styleId="62">
    <w:name w:val="Body Text First Indent 2"/>
    <w:basedOn w:val="6"/>
    <w:next w:val="1"/>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2"/>
    <w:qFormat/>
    <w:uiPriority w:val="0"/>
    <w:rPr>
      <w:rFonts w:ascii="宋体" w:hAnsi="宋体"/>
      <w:kern w:val="2"/>
      <w:sz w:val="21"/>
      <w:szCs w:val="24"/>
    </w:rPr>
  </w:style>
  <w:style w:type="character" w:customStyle="1" w:styleId="122">
    <w:name w:val="font11"/>
    <w:basedOn w:val="70"/>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9"/>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2"/>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7"/>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6"/>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8"/>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1"/>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7"/>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10"/>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basedOn w:val="70"/>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7"/>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2"/>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1"/>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8"/>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24"/>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No Spacing1"/>
    <w:qFormat/>
    <w:uiPriority w:val="0"/>
    <w:rPr>
      <w:rFonts w:ascii="Times New Roman" w:hAnsi="Times New Roman" w:eastAsia="??" w:cs="宋体"/>
      <w:sz w:val="22"/>
      <w:szCs w:val="22"/>
      <w:lang w:val="en-US" w:eastAsia="en-US" w:bidi="ar-SA"/>
    </w:rPr>
  </w:style>
  <w:style w:type="paragraph" w:customStyle="1" w:styleId="966">
    <w:name w:val="Other|1"/>
    <w:basedOn w:val="1"/>
    <w:qFormat/>
    <w:uiPriority w:val="0"/>
    <w:pPr>
      <w:widowControl w:val="0"/>
      <w:shd w:val="clear" w:color="auto" w:fill="auto"/>
      <w:spacing w:line="322" w:lineRule="exact"/>
    </w:pPr>
    <w:rPr>
      <w:rFonts w:ascii="MingLiU" w:hAnsi="MingLiU" w:eastAsia="MingLiU" w:cs="MingLiU"/>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81</Words>
  <Characters>96</Characters>
  <Lines>281</Lines>
  <Paragraphs>79</Paragraphs>
  <TotalTime>33</TotalTime>
  <ScaleCrop>false</ScaleCrop>
  <LinksUpToDate>false</LinksUpToDate>
  <CharactersWithSpaces>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mly</cp:lastModifiedBy>
  <cp:lastPrinted>2026-03-18T02:12:00Z</cp:lastPrinted>
  <dcterms:modified xsi:type="dcterms:W3CDTF">2026-04-21T15:24:48Z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4CD7832D4FC1469FBC54F67CBA462247_13</vt:lpwstr>
  </property>
  <property fmtid="{D5CDD505-2E9C-101B-9397-08002B2CF9AE}" pid="5" name="KSOTemplateDocerSaveRecord">
    <vt:lpwstr>eyJoZGlkIjoiOThkYTM2NGZlMWQ5ZTljOGI5MDBkNjZkYzIyMmIwNzgiLCJ1c2VySWQiOiIyMTQ3NzgzMjgifQ==</vt:lpwstr>
  </property>
</Properties>
</file>