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AA926F">
      <w:pPr>
        <w:ind w:firstLine="0" w:firstLineChars="0"/>
        <w:jc w:val="both"/>
        <w:rPr>
          <w:rFonts w:hint="default" w:eastAsia="宋体"/>
          <w:b/>
          <w:bCs/>
          <w:color w:val="auto"/>
          <w:sz w:val="44"/>
          <w:szCs w:val="44"/>
          <w:highlight w:val="none"/>
          <w:lang w:val="en-US" w:eastAsia="zh-CN"/>
        </w:rPr>
      </w:pPr>
      <w:bookmarkStart w:id="0" w:name="_Toc86202581"/>
    </w:p>
    <w:p w14:paraId="75668E48">
      <w:pPr>
        <w:spacing w:line="240" w:lineRule="atLeast"/>
        <w:ind w:firstLine="0" w:firstLineChars="0"/>
        <w:jc w:val="center"/>
        <w:rPr>
          <w:rFonts w:hint="eastAsia" w:cs="宋体"/>
          <w:b/>
          <w:bCs/>
          <w:color w:val="auto"/>
          <w:spacing w:val="20"/>
          <w:sz w:val="280"/>
          <w:szCs w:val="280"/>
          <w:highlight w:val="none"/>
        </w:rPr>
      </w:pPr>
      <w:r>
        <w:rPr>
          <w:rFonts w:hint="eastAsia" w:ascii="宋体" w:hAnsi="宋体" w:eastAsia="宋体" w:cs="宋体"/>
          <w:b/>
          <w:bCs/>
          <w:color w:val="auto"/>
          <w:sz w:val="60"/>
          <w:szCs w:val="60"/>
          <w:highlight w:val="none"/>
          <w:lang w:eastAsia="zh-CN"/>
        </w:rPr>
        <w:t>屯留区新型文化空间数字化设备及图书配套项目</w:t>
      </w:r>
    </w:p>
    <w:p w14:paraId="12BCF4AB">
      <w:pPr>
        <w:pStyle w:val="25"/>
        <w:rPr>
          <w:rFonts w:hint="eastAsia"/>
          <w:color w:val="auto"/>
          <w:highlight w:val="none"/>
        </w:rPr>
      </w:pPr>
    </w:p>
    <w:p w14:paraId="5311DCBC">
      <w:pPr>
        <w:rPr>
          <w:rFonts w:hint="eastAsia"/>
          <w:color w:val="auto"/>
          <w:highlight w:val="none"/>
        </w:rPr>
      </w:pPr>
    </w:p>
    <w:p w14:paraId="61F7B899">
      <w:pPr>
        <w:rPr>
          <w:rFonts w:hint="eastAsia"/>
          <w:color w:val="auto"/>
          <w:highlight w:val="none"/>
        </w:rPr>
      </w:pPr>
    </w:p>
    <w:p w14:paraId="4E973EBF">
      <w:pPr>
        <w:rPr>
          <w:rFonts w:hint="eastAsia"/>
          <w:color w:val="auto"/>
          <w:highlight w:val="none"/>
        </w:rPr>
      </w:pPr>
    </w:p>
    <w:p w14:paraId="58D193B3">
      <w:pPr>
        <w:pStyle w:val="25"/>
        <w:rPr>
          <w:rFonts w:hint="eastAsia"/>
          <w:color w:val="auto"/>
          <w:highlight w:val="none"/>
        </w:rPr>
      </w:pPr>
    </w:p>
    <w:p w14:paraId="55C9F097">
      <w:pPr>
        <w:spacing w:line="240" w:lineRule="atLeast"/>
        <w:ind w:firstLine="0" w:firstLineChars="0"/>
        <w:jc w:val="center"/>
        <w:rPr>
          <w:rFonts w:cs="宋体"/>
          <w:b/>
          <w:bCs/>
          <w:color w:val="auto"/>
          <w:spacing w:val="20"/>
          <w:sz w:val="90"/>
          <w:szCs w:val="90"/>
          <w:highlight w:val="none"/>
          <w:lang w:val="zh-CN"/>
        </w:rPr>
      </w:pPr>
      <w:r>
        <w:rPr>
          <w:rFonts w:hint="eastAsia" w:cs="宋体"/>
          <w:b/>
          <w:bCs/>
          <w:color w:val="auto"/>
          <w:spacing w:val="20"/>
          <w:sz w:val="90"/>
          <w:szCs w:val="90"/>
          <w:highlight w:val="none"/>
        </w:rPr>
        <w:t>招标</w:t>
      </w:r>
      <w:r>
        <w:rPr>
          <w:rFonts w:hint="eastAsia" w:cs="宋体"/>
          <w:b/>
          <w:bCs/>
          <w:color w:val="auto"/>
          <w:spacing w:val="20"/>
          <w:sz w:val="90"/>
          <w:szCs w:val="90"/>
          <w:highlight w:val="none"/>
          <w:lang w:val="zh-CN"/>
        </w:rPr>
        <w:t>文件</w:t>
      </w:r>
    </w:p>
    <w:p w14:paraId="06B90E83">
      <w:pPr>
        <w:pStyle w:val="14"/>
        <w:ind w:firstLine="0" w:firstLineChars="0"/>
        <w:jc w:val="center"/>
        <w:rPr>
          <w:rFonts w:ascii="宋体" w:hAnsi="宋体" w:cs="宋体"/>
          <w:bCs/>
          <w:color w:val="auto"/>
          <w:kern w:val="0"/>
          <w:sz w:val="28"/>
          <w:szCs w:val="28"/>
          <w:highlight w:val="none"/>
        </w:rPr>
      </w:pPr>
      <w:r>
        <w:rPr>
          <w:rFonts w:hint="eastAsia" w:ascii="宋体" w:hAnsi="宋体" w:cs="宋体"/>
          <w:bCs/>
          <w:color w:val="auto"/>
          <w:kern w:val="0"/>
          <w:sz w:val="28"/>
          <w:szCs w:val="28"/>
          <w:highlight w:val="none"/>
        </w:rPr>
        <w:t>项目编号：</w:t>
      </w:r>
      <w:r>
        <w:rPr>
          <w:rFonts w:hint="eastAsia"/>
          <w:color w:val="auto"/>
          <w:highlight w:val="none"/>
          <w:lang w:eastAsia="zh-CN"/>
        </w:rPr>
        <w:t>1404052026AGK00023</w:t>
      </w:r>
      <w:r>
        <w:rPr>
          <w:rFonts w:hint="eastAsia"/>
          <w:color w:val="auto"/>
          <w:highlight w:val="none"/>
          <w:lang w:val="en-US" w:eastAsia="zh-CN"/>
        </w:rPr>
        <w:t xml:space="preserve">  </w:t>
      </w:r>
      <w:r>
        <w:rPr>
          <w:rFonts w:hint="eastAsia" w:ascii="宋体" w:hAnsi="宋体" w:cs="宋体"/>
          <w:bCs/>
          <w:color w:val="auto"/>
          <w:kern w:val="0"/>
          <w:sz w:val="28"/>
          <w:szCs w:val="28"/>
          <w:highlight w:val="none"/>
          <w:lang w:val="en-US" w:eastAsia="zh-CN"/>
        </w:rPr>
        <w:t xml:space="preserve"> </w:t>
      </w:r>
      <w:r>
        <w:rPr>
          <w:rFonts w:hint="eastAsia" w:ascii="宋体" w:hAnsi="宋体" w:cs="宋体"/>
          <w:bCs/>
          <w:color w:val="auto"/>
          <w:kern w:val="0"/>
          <w:sz w:val="28"/>
          <w:szCs w:val="28"/>
          <w:highlight w:val="none"/>
        </w:rPr>
        <w:t xml:space="preserve"> </w:t>
      </w:r>
    </w:p>
    <w:p w14:paraId="1110807A">
      <w:pPr>
        <w:ind w:firstLine="480"/>
        <w:rPr>
          <w:rFonts w:ascii="Calibri" w:hAnsi="Calibri"/>
          <w:color w:val="auto"/>
          <w:highlight w:val="none"/>
        </w:rPr>
      </w:pPr>
    </w:p>
    <w:p w14:paraId="34D3BDB6">
      <w:pPr>
        <w:pStyle w:val="14"/>
        <w:rPr>
          <w:color w:val="auto"/>
          <w:highlight w:val="none"/>
        </w:rPr>
      </w:pPr>
    </w:p>
    <w:p w14:paraId="340E4A32">
      <w:pPr>
        <w:ind w:firstLine="480"/>
        <w:rPr>
          <w:color w:val="auto"/>
          <w:highlight w:val="none"/>
        </w:rPr>
      </w:pPr>
    </w:p>
    <w:p w14:paraId="31A1B338">
      <w:pPr>
        <w:pStyle w:val="16"/>
        <w:ind w:firstLine="480"/>
        <w:rPr>
          <w:color w:val="auto"/>
          <w:highlight w:val="none"/>
        </w:rPr>
      </w:pPr>
    </w:p>
    <w:p w14:paraId="14B4C820">
      <w:pPr>
        <w:pStyle w:val="38"/>
        <w:ind w:firstLine="280"/>
        <w:rPr>
          <w:color w:val="auto"/>
          <w:highlight w:val="none"/>
        </w:rPr>
      </w:pPr>
    </w:p>
    <w:p w14:paraId="4C1D3C49">
      <w:pPr>
        <w:ind w:firstLine="480"/>
        <w:rPr>
          <w:color w:val="auto"/>
          <w:highlight w:val="none"/>
        </w:rPr>
      </w:pPr>
    </w:p>
    <w:p w14:paraId="5AC58055">
      <w:pPr>
        <w:pStyle w:val="16"/>
        <w:ind w:firstLine="480"/>
        <w:rPr>
          <w:color w:val="auto"/>
          <w:highlight w:val="none"/>
        </w:rPr>
      </w:pPr>
    </w:p>
    <w:p w14:paraId="664C05C5">
      <w:pPr>
        <w:ind w:firstLine="0" w:firstLineChars="0"/>
        <w:rPr>
          <w:rFonts w:ascii="仿宋_GB2312" w:hAnsi="Calibri" w:eastAsia="仿宋_GB2312"/>
          <w:color w:val="auto"/>
          <w:sz w:val="36"/>
          <w:szCs w:val="36"/>
          <w:highlight w:val="none"/>
        </w:rPr>
      </w:pPr>
    </w:p>
    <w:p w14:paraId="7D5CF897">
      <w:pPr>
        <w:pStyle w:val="25"/>
        <w:jc w:val="center"/>
        <w:rPr>
          <w:rFonts w:hint="eastAsia" w:ascii="宋体" w:hAnsi="宋体" w:eastAsia="宋体" w:cs="宋体"/>
          <w:b/>
          <w:bCs/>
          <w:color w:val="auto"/>
          <w:highlight w:val="none"/>
        </w:rPr>
      </w:pPr>
      <w:r>
        <w:rPr>
          <w:rFonts w:hint="eastAsia" w:ascii="宋体" w:hAnsi="宋体" w:eastAsia="宋体" w:cs="宋体"/>
          <w:b/>
          <w:bCs/>
          <w:color w:val="auto"/>
          <w:sz w:val="36"/>
          <w:szCs w:val="36"/>
          <w:highlight w:val="none"/>
          <w:lang w:val="en-US" w:eastAsia="zh-CN"/>
        </w:rPr>
        <w:t>采购单位：长治市屯留区文化和旅游局</w:t>
      </w:r>
    </w:p>
    <w:p w14:paraId="67A81B4C">
      <w:pPr>
        <w:ind w:firstLine="720"/>
        <w:jc w:val="center"/>
        <w:rPr>
          <w:rFonts w:ascii="微软雅黑" w:hAnsi="微软雅黑" w:eastAsia="微软雅黑"/>
          <w:b/>
          <w:bCs/>
          <w:color w:val="auto"/>
          <w:sz w:val="36"/>
          <w:szCs w:val="36"/>
          <w:highlight w:val="none"/>
        </w:rPr>
      </w:pPr>
      <w:r>
        <w:rPr>
          <w:rFonts w:hint="eastAsia" w:cs="宋体"/>
          <w:b/>
          <w:bCs/>
          <w:color w:val="auto"/>
          <w:sz w:val="36"/>
          <w:szCs w:val="36"/>
          <w:highlight w:val="none"/>
          <w:lang w:val="en-US" w:eastAsia="zh-CN"/>
        </w:rPr>
        <w:t>采购</w:t>
      </w:r>
      <w:r>
        <w:rPr>
          <w:rFonts w:hint="eastAsia" w:ascii="宋体" w:hAnsi="宋体" w:eastAsia="宋体" w:cs="宋体"/>
          <w:b/>
          <w:bCs/>
          <w:color w:val="auto"/>
          <w:sz w:val="36"/>
          <w:szCs w:val="36"/>
          <w:highlight w:val="none"/>
        </w:rPr>
        <w:t>代理机构：</w:t>
      </w:r>
      <w:r>
        <w:rPr>
          <w:rFonts w:hint="eastAsia" w:ascii="宋体" w:hAnsi="宋体" w:eastAsia="宋体" w:cs="宋体"/>
          <w:b/>
          <w:bCs/>
          <w:color w:val="auto"/>
          <w:sz w:val="36"/>
          <w:szCs w:val="36"/>
          <w:highlight w:val="none"/>
          <w:lang w:val="en-US" w:eastAsia="zh-CN"/>
        </w:rPr>
        <w:t>山西铭汇工程项目管理有限公司</w:t>
      </w:r>
    </w:p>
    <w:p w14:paraId="577EB80F">
      <w:pPr>
        <w:ind w:firstLine="0" w:firstLineChars="0"/>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二〇二</w:t>
      </w:r>
      <w:r>
        <w:rPr>
          <w:rFonts w:hint="eastAsia" w:ascii="宋体" w:hAnsi="宋体" w:eastAsia="宋体" w:cs="宋体"/>
          <w:b/>
          <w:bCs/>
          <w:color w:val="auto"/>
          <w:sz w:val="36"/>
          <w:szCs w:val="36"/>
          <w:highlight w:val="none"/>
          <w:lang w:val="en-US" w:eastAsia="zh-CN"/>
        </w:rPr>
        <w:t>六</w:t>
      </w:r>
      <w:r>
        <w:rPr>
          <w:rFonts w:hint="eastAsia" w:ascii="宋体" w:hAnsi="宋体" w:eastAsia="宋体" w:cs="宋体"/>
          <w:b/>
          <w:bCs/>
          <w:color w:val="auto"/>
          <w:sz w:val="36"/>
          <w:szCs w:val="36"/>
          <w:highlight w:val="none"/>
        </w:rPr>
        <w:t>年</w:t>
      </w:r>
      <w:r>
        <w:rPr>
          <w:rFonts w:hint="eastAsia" w:ascii="宋体" w:hAnsi="宋体" w:eastAsia="宋体" w:cs="宋体"/>
          <w:b/>
          <w:bCs/>
          <w:color w:val="auto"/>
          <w:sz w:val="36"/>
          <w:szCs w:val="36"/>
          <w:highlight w:val="none"/>
          <w:lang w:val="en-US" w:eastAsia="zh-CN"/>
        </w:rPr>
        <w:t>四</w:t>
      </w:r>
      <w:r>
        <w:rPr>
          <w:rFonts w:hint="eastAsia" w:ascii="宋体" w:hAnsi="宋体" w:eastAsia="宋体" w:cs="宋体"/>
          <w:b/>
          <w:bCs/>
          <w:color w:val="auto"/>
          <w:sz w:val="36"/>
          <w:szCs w:val="36"/>
          <w:highlight w:val="none"/>
        </w:rPr>
        <w:t>月</w:t>
      </w:r>
    </w:p>
    <w:p w14:paraId="42230578">
      <w:pPr>
        <w:ind w:firstLine="0" w:firstLineChars="0"/>
        <w:rPr>
          <w:rFonts w:cs="宋体"/>
          <w:color w:val="auto"/>
          <w:spacing w:val="-6"/>
          <w:highlight w:val="none"/>
        </w:rPr>
      </w:pPr>
      <w:r>
        <w:rPr>
          <w:rFonts w:hint="eastAsia" w:cs="宋体"/>
          <w:color w:val="auto"/>
          <w:spacing w:val="-6"/>
          <w:highlight w:val="none"/>
        </w:rPr>
        <w:br w:type="page"/>
      </w:r>
    </w:p>
    <w:p w14:paraId="40EFD373">
      <w:pPr>
        <w:keepNext/>
        <w:spacing w:before="240" w:beforeLines="100" w:after="240" w:afterLines="100"/>
        <w:ind w:firstLine="0" w:firstLineChars="0"/>
        <w:jc w:val="center"/>
        <w:outlineLvl w:val="0"/>
        <w:rPr>
          <w:b/>
          <w:color w:val="auto"/>
          <w:sz w:val="11"/>
          <w:szCs w:val="2"/>
          <w:highlight w:val="none"/>
        </w:rPr>
      </w:pPr>
    </w:p>
    <w:p w14:paraId="461CF68F">
      <w:pPr>
        <w:pStyle w:val="4"/>
        <w:spacing w:after="240"/>
        <w:rPr>
          <w:color w:val="auto"/>
          <w:highlight w:val="none"/>
        </w:rPr>
      </w:pPr>
      <w:bookmarkStart w:id="1" w:name="_Toc9659"/>
      <w:bookmarkStart w:id="2" w:name="_Toc15866"/>
      <w:r>
        <w:rPr>
          <w:color w:val="auto"/>
          <w:highlight w:val="none"/>
        </w:rPr>
        <w:t>目</w:t>
      </w:r>
      <w:r>
        <w:rPr>
          <w:rFonts w:hint="eastAsia"/>
          <w:color w:val="auto"/>
          <w:highlight w:val="none"/>
        </w:rPr>
        <w:t xml:space="preserve">  </w:t>
      </w:r>
      <w:r>
        <w:rPr>
          <w:color w:val="auto"/>
          <w:highlight w:val="none"/>
        </w:rPr>
        <w:t>录</w:t>
      </w:r>
      <w:bookmarkEnd w:id="1"/>
      <w:bookmarkEnd w:id="2"/>
    </w:p>
    <w:p w14:paraId="2B29D44C">
      <w:pPr>
        <w:pStyle w:val="25"/>
        <w:tabs>
          <w:tab w:val="right" w:leader="dot" w:pos="8986"/>
        </w:tabs>
        <w:spacing w:line="480" w:lineRule="auto"/>
        <w:ind w:firstLine="480"/>
        <w:rPr>
          <w:color w:val="auto"/>
          <w:highlight w:val="none"/>
        </w:rPr>
      </w:pPr>
      <w:r>
        <w:rPr>
          <w:rFonts w:hint="eastAsia"/>
          <w:color w:val="auto"/>
          <w:highlight w:val="none"/>
        </w:rPr>
        <w:fldChar w:fldCharType="begin"/>
      </w:r>
      <w:r>
        <w:rPr>
          <w:rFonts w:hint="eastAsia"/>
          <w:color w:val="auto"/>
          <w:highlight w:val="none"/>
        </w:rPr>
        <w:instrText xml:space="preserve">TOC \o "1-1" \h \u </w:instrText>
      </w:r>
      <w:r>
        <w:rPr>
          <w:rFonts w:hint="eastAsia"/>
          <w:color w:val="auto"/>
          <w:highlight w:val="none"/>
        </w:rPr>
        <w:fldChar w:fldCharType="separate"/>
      </w:r>
      <w:r>
        <w:rPr>
          <w:color w:val="auto"/>
          <w:highlight w:val="none"/>
        </w:rPr>
        <w:fldChar w:fldCharType="begin"/>
      </w:r>
      <w:r>
        <w:rPr>
          <w:color w:val="auto"/>
          <w:highlight w:val="none"/>
        </w:rPr>
        <w:instrText xml:space="preserve"> HYPERLINK \l "_Toc27260" </w:instrText>
      </w:r>
      <w:r>
        <w:rPr>
          <w:color w:val="auto"/>
          <w:highlight w:val="none"/>
        </w:rPr>
        <w:fldChar w:fldCharType="separate"/>
      </w:r>
      <w:r>
        <w:rPr>
          <w:rFonts w:hint="eastAsia"/>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_Toc27260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3883793B">
      <w:pPr>
        <w:pStyle w:val="25"/>
        <w:tabs>
          <w:tab w:val="right" w:leader="dot" w:pos="8986"/>
        </w:tabs>
        <w:spacing w:line="480" w:lineRule="auto"/>
        <w:ind w:firstLine="480"/>
        <w:rPr>
          <w:color w:val="auto"/>
          <w:highlight w:val="none"/>
        </w:rPr>
      </w:pPr>
      <w:r>
        <w:rPr>
          <w:color w:val="auto"/>
          <w:highlight w:val="none"/>
        </w:rPr>
        <w:fldChar w:fldCharType="begin"/>
      </w:r>
      <w:r>
        <w:rPr>
          <w:color w:val="auto"/>
          <w:highlight w:val="none"/>
        </w:rPr>
        <w:instrText xml:space="preserve"> HYPERLINK \l "_Toc6633" </w:instrText>
      </w:r>
      <w:r>
        <w:rPr>
          <w:color w:val="auto"/>
          <w:highlight w:val="none"/>
        </w:rPr>
        <w:fldChar w:fldCharType="separate"/>
      </w:r>
      <w:r>
        <w:rPr>
          <w:rFonts w:hint="eastAsia"/>
          <w:color w:val="auto"/>
          <w:highlight w:val="none"/>
        </w:rPr>
        <w:t>第二章 投标人须知</w:t>
      </w:r>
      <w:r>
        <w:rPr>
          <w:color w:val="auto"/>
          <w:highlight w:val="none"/>
        </w:rPr>
        <w:tab/>
      </w:r>
      <w:r>
        <w:rPr>
          <w:color w:val="auto"/>
          <w:highlight w:val="none"/>
        </w:rPr>
        <w:fldChar w:fldCharType="begin"/>
      </w:r>
      <w:r>
        <w:rPr>
          <w:color w:val="auto"/>
          <w:highlight w:val="none"/>
        </w:rPr>
        <w:instrText xml:space="preserve"> PAGEREF _Toc6633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2465A287">
      <w:pPr>
        <w:pStyle w:val="25"/>
        <w:tabs>
          <w:tab w:val="right" w:leader="dot" w:pos="8986"/>
        </w:tabs>
        <w:spacing w:line="480" w:lineRule="auto"/>
        <w:ind w:firstLine="480"/>
        <w:rPr>
          <w:rFonts w:hint="eastAsia" w:eastAsia="宋体"/>
          <w:color w:val="auto"/>
          <w:highlight w:val="none"/>
          <w:lang w:val="en-US" w:eastAsia="zh-CN"/>
        </w:rPr>
      </w:pPr>
      <w:r>
        <w:rPr>
          <w:color w:val="auto"/>
          <w:highlight w:val="none"/>
        </w:rPr>
        <w:fldChar w:fldCharType="begin"/>
      </w:r>
      <w:r>
        <w:rPr>
          <w:color w:val="auto"/>
          <w:highlight w:val="none"/>
        </w:rPr>
        <w:instrText xml:space="preserve"> HYPERLINK \l "_Toc30907" </w:instrText>
      </w:r>
      <w:r>
        <w:rPr>
          <w:color w:val="auto"/>
          <w:highlight w:val="none"/>
        </w:rPr>
        <w:fldChar w:fldCharType="separate"/>
      </w:r>
      <w:r>
        <w:rPr>
          <w:rFonts w:hint="eastAsia"/>
          <w:color w:val="auto"/>
          <w:highlight w:val="none"/>
        </w:rPr>
        <w:t>第三章 评标标准和评标方法</w:t>
      </w:r>
      <w:r>
        <w:rPr>
          <w:color w:val="auto"/>
          <w:highlight w:val="none"/>
        </w:rPr>
        <w:tab/>
      </w:r>
      <w:r>
        <w:rPr>
          <w:rFonts w:hint="eastAsia"/>
          <w:color w:val="auto"/>
          <w:highlight w:val="none"/>
          <w:lang w:val="en-US" w:eastAsia="zh-CN"/>
        </w:rPr>
        <w:t>3</w:t>
      </w:r>
      <w:r>
        <w:rPr>
          <w:color w:val="auto"/>
          <w:highlight w:val="none"/>
        </w:rPr>
        <w:fldChar w:fldCharType="end"/>
      </w:r>
      <w:r>
        <w:rPr>
          <w:rFonts w:hint="eastAsia"/>
          <w:color w:val="auto"/>
          <w:highlight w:val="none"/>
          <w:lang w:val="en-US" w:eastAsia="zh-CN"/>
        </w:rPr>
        <w:t>1</w:t>
      </w:r>
    </w:p>
    <w:p w14:paraId="037823B6">
      <w:pPr>
        <w:pStyle w:val="25"/>
        <w:tabs>
          <w:tab w:val="right" w:leader="dot" w:pos="8986"/>
        </w:tabs>
        <w:spacing w:line="480" w:lineRule="auto"/>
        <w:ind w:firstLine="480"/>
        <w:rPr>
          <w:rFonts w:hint="eastAsia" w:eastAsia="宋体"/>
          <w:color w:val="auto"/>
          <w:highlight w:val="none"/>
          <w:lang w:val="en-US" w:eastAsia="zh-CN"/>
        </w:rPr>
      </w:pPr>
      <w:r>
        <w:rPr>
          <w:color w:val="auto"/>
          <w:highlight w:val="none"/>
        </w:rPr>
        <w:fldChar w:fldCharType="begin"/>
      </w:r>
      <w:r>
        <w:rPr>
          <w:color w:val="auto"/>
          <w:highlight w:val="none"/>
        </w:rPr>
        <w:instrText xml:space="preserve"> HYPERLINK \l "_Toc12584" </w:instrText>
      </w:r>
      <w:r>
        <w:rPr>
          <w:color w:val="auto"/>
          <w:highlight w:val="none"/>
        </w:rPr>
        <w:fldChar w:fldCharType="separate"/>
      </w:r>
      <w:r>
        <w:rPr>
          <w:rFonts w:hint="eastAsia"/>
          <w:color w:val="auto"/>
          <w:highlight w:val="none"/>
        </w:rPr>
        <w:t>第四章 商务、技术要求</w:t>
      </w:r>
      <w:r>
        <w:rPr>
          <w:color w:val="auto"/>
          <w:highlight w:val="none"/>
        </w:rPr>
        <w:tab/>
      </w:r>
      <w:r>
        <w:rPr>
          <w:color w:val="auto"/>
          <w:highlight w:val="none"/>
        </w:rPr>
        <w:fldChar w:fldCharType="begin"/>
      </w:r>
      <w:r>
        <w:rPr>
          <w:color w:val="auto"/>
          <w:highlight w:val="none"/>
        </w:rPr>
        <w:instrText xml:space="preserve"> PAGEREF _Toc12584 \h </w:instrText>
      </w:r>
      <w:r>
        <w:rPr>
          <w:color w:val="auto"/>
          <w:highlight w:val="none"/>
        </w:rPr>
        <w:fldChar w:fldCharType="separate"/>
      </w:r>
      <w:r>
        <w:rPr>
          <w:rFonts w:hint="eastAsia"/>
          <w:color w:val="auto"/>
          <w:highlight w:val="none"/>
          <w:lang w:val="en-US" w:eastAsia="zh-CN"/>
        </w:rPr>
        <w:t>4</w:t>
      </w:r>
      <w:r>
        <w:rPr>
          <w:color w:val="auto"/>
          <w:highlight w:val="none"/>
        </w:rPr>
        <w:fldChar w:fldCharType="end"/>
      </w:r>
      <w:r>
        <w:rPr>
          <w:color w:val="auto"/>
          <w:highlight w:val="none"/>
        </w:rPr>
        <w:fldChar w:fldCharType="end"/>
      </w:r>
      <w:r>
        <w:rPr>
          <w:rFonts w:hint="eastAsia"/>
          <w:color w:val="auto"/>
          <w:highlight w:val="none"/>
          <w:lang w:val="en-US" w:eastAsia="zh-CN"/>
        </w:rPr>
        <w:t>1</w:t>
      </w:r>
    </w:p>
    <w:p w14:paraId="4DDB9C56">
      <w:pPr>
        <w:pStyle w:val="25"/>
        <w:tabs>
          <w:tab w:val="right" w:leader="dot" w:pos="8986"/>
        </w:tabs>
        <w:spacing w:line="480" w:lineRule="auto"/>
        <w:ind w:firstLine="480"/>
        <w:rPr>
          <w:rFonts w:hint="eastAsia" w:eastAsia="宋体"/>
          <w:color w:val="auto"/>
          <w:highlight w:val="none"/>
          <w:lang w:val="en-US" w:eastAsia="zh-CN"/>
        </w:rPr>
      </w:pPr>
      <w:r>
        <w:rPr>
          <w:color w:val="auto"/>
          <w:highlight w:val="none"/>
        </w:rPr>
        <w:fldChar w:fldCharType="begin"/>
      </w:r>
      <w:r>
        <w:rPr>
          <w:color w:val="auto"/>
          <w:highlight w:val="none"/>
        </w:rPr>
        <w:instrText xml:space="preserve"> HYPERLINK \l "_Toc29860" </w:instrText>
      </w:r>
      <w:r>
        <w:rPr>
          <w:color w:val="auto"/>
          <w:highlight w:val="none"/>
        </w:rPr>
        <w:fldChar w:fldCharType="separate"/>
      </w:r>
      <w:r>
        <w:rPr>
          <w:rFonts w:hint="eastAsia"/>
          <w:color w:val="auto"/>
          <w:highlight w:val="none"/>
        </w:rPr>
        <w:t>第五章 合同文本</w:t>
      </w:r>
      <w:r>
        <w:rPr>
          <w:color w:val="auto"/>
          <w:highlight w:val="none"/>
        </w:rPr>
        <w:tab/>
      </w:r>
      <w:r>
        <w:rPr>
          <w:rFonts w:hint="eastAsia"/>
          <w:color w:val="auto"/>
          <w:highlight w:val="none"/>
          <w:lang w:val="en-US" w:eastAsia="zh-CN"/>
        </w:rPr>
        <w:t>7</w:t>
      </w:r>
      <w:r>
        <w:rPr>
          <w:color w:val="auto"/>
          <w:highlight w:val="none"/>
        </w:rPr>
        <w:fldChar w:fldCharType="end"/>
      </w:r>
      <w:r>
        <w:rPr>
          <w:rFonts w:hint="eastAsia"/>
          <w:color w:val="auto"/>
          <w:highlight w:val="none"/>
          <w:lang w:val="en-US" w:eastAsia="zh-CN"/>
        </w:rPr>
        <w:t>1</w:t>
      </w:r>
    </w:p>
    <w:p w14:paraId="63CDA2F5">
      <w:pPr>
        <w:pStyle w:val="25"/>
        <w:tabs>
          <w:tab w:val="right" w:leader="dot" w:pos="8986"/>
        </w:tabs>
        <w:spacing w:line="480" w:lineRule="auto"/>
        <w:ind w:firstLine="480"/>
        <w:rPr>
          <w:rFonts w:hint="eastAsia" w:eastAsia="宋体"/>
          <w:color w:val="auto"/>
          <w:highlight w:val="none"/>
          <w:lang w:val="en-US" w:eastAsia="zh-CN"/>
        </w:rPr>
      </w:pPr>
      <w:r>
        <w:rPr>
          <w:color w:val="auto"/>
          <w:highlight w:val="none"/>
        </w:rPr>
        <w:fldChar w:fldCharType="begin"/>
      </w:r>
      <w:r>
        <w:rPr>
          <w:color w:val="auto"/>
          <w:highlight w:val="none"/>
        </w:rPr>
        <w:instrText xml:space="preserve"> HYPERLINK \l "_Toc15237" </w:instrText>
      </w:r>
      <w:r>
        <w:rPr>
          <w:color w:val="auto"/>
          <w:highlight w:val="none"/>
        </w:rPr>
        <w:fldChar w:fldCharType="separate"/>
      </w:r>
      <w:r>
        <w:rPr>
          <w:rFonts w:hint="eastAsia"/>
          <w:color w:val="auto"/>
          <w:highlight w:val="none"/>
        </w:rPr>
        <w:t>第六章 投标文件格式</w:t>
      </w:r>
      <w:r>
        <w:rPr>
          <w:color w:val="auto"/>
          <w:highlight w:val="none"/>
        </w:rPr>
        <w:tab/>
      </w:r>
      <w:r>
        <w:rPr>
          <w:rFonts w:hint="eastAsia"/>
          <w:color w:val="auto"/>
          <w:highlight w:val="none"/>
          <w:lang w:val="en-US" w:eastAsia="zh-CN"/>
        </w:rPr>
        <w:t>8</w:t>
      </w:r>
      <w:r>
        <w:rPr>
          <w:color w:val="auto"/>
          <w:highlight w:val="none"/>
        </w:rPr>
        <w:fldChar w:fldCharType="end"/>
      </w:r>
      <w:r>
        <w:rPr>
          <w:rFonts w:hint="eastAsia"/>
          <w:color w:val="auto"/>
          <w:highlight w:val="none"/>
          <w:lang w:val="en-US" w:eastAsia="zh-CN"/>
        </w:rPr>
        <w:t>5</w:t>
      </w:r>
    </w:p>
    <w:p w14:paraId="23953E0C">
      <w:pPr>
        <w:tabs>
          <w:tab w:val="right" w:leader="middleDot" w:pos="8715"/>
        </w:tabs>
        <w:spacing w:after="120" w:line="480" w:lineRule="auto"/>
        <w:ind w:firstLine="240" w:firstLineChars="100"/>
        <w:rPr>
          <w:color w:val="auto"/>
          <w:highlight w:val="none"/>
        </w:rPr>
        <w:sectPr>
          <w:headerReference r:id="rId7" w:type="first"/>
          <w:footerReference r:id="rId10" w:type="first"/>
          <w:headerReference r:id="rId5" w:type="default"/>
          <w:footerReference r:id="rId8" w:type="default"/>
          <w:headerReference r:id="rId6" w:type="even"/>
          <w:footerReference r:id="rId9" w:type="even"/>
          <w:pgSz w:w="11905" w:h="16838"/>
          <w:pgMar w:top="1587" w:right="1417" w:bottom="1417" w:left="1417" w:header="850" w:footer="992" w:gutter="85"/>
          <w:pgNumType w:start="1"/>
          <w:cols w:space="0" w:num="1"/>
          <w:docGrid w:linePitch="312" w:charSpace="0"/>
        </w:sectPr>
      </w:pPr>
      <w:r>
        <w:rPr>
          <w:rFonts w:hint="eastAsia"/>
          <w:color w:val="auto"/>
          <w:highlight w:val="none"/>
        </w:rPr>
        <w:fldChar w:fldCharType="end"/>
      </w:r>
      <w:r>
        <w:rPr>
          <w:rFonts w:hint="eastAsia"/>
          <w:color w:val="auto"/>
          <w:highlight w:val="none"/>
        </w:rPr>
        <w:t xml:space="preserve">  </w:t>
      </w:r>
    </w:p>
    <w:p w14:paraId="202F9D3A">
      <w:pPr>
        <w:pStyle w:val="4"/>
        <w:numPr>
          <w:ilvl w:val="0"/>
          <w:numId w:val="3"/>
        </w:numPr>
        <w:spacing w:after="240"/>
        <w:rPr>
          <w:color w:val="auto"/>
          <w:highlight w:val="none"/>
        </w:rPr>
      </w:pPr>
      <w:bookmarkStart w:id="3" w:name="_Toc27260"/>
      <w:r>
        <w:rPr>
          <w:rFonts w:hint="eastAsia"/>
          <w:color w:val="auto"/>
          <w:highlight w:val="none"/>
        </w:rPr>
        <w:t>招标公告</w:t>
      </w:r>
      <w:bookmarkEnd w:id="3"/>
    </w:p>
    <w:p w14:paraId="056B8851">
      <w:pPr>
        <w:pBdr>
          <w:top w:val="single" w:color="auto" w:sz="12" w:space="1"/>
          <w:left w:val="single" w:color="auto" w:sz="12" w:space="4"/>
          <w:bottom w:val="single" w:color="auto" w:sz="12" w:space="0"/>
          <w:right w:val="single" w:color="auto" w:sz="12" w:space="4"/>
        </w:pBdr>
        <w:ind w:left="480" w:leftChars="200" w:right="480" w:rightChars="200" w:firstLine="482"/>
        <w:rPr>
          <w:rFonts w:cs="宋体"/>
          <w:b/>
          <w:bCs/>
          <w:color w:val="auto"/>
          <w:highlight w:val="none"/>
        </w:rPr>
      </w:pPr>
      <w:r>
        <w:rPr>
          <w:rFonts w:hint="eastAsia" w:cs="宋体"/>
          <w:b/>
          <w:bCs/>
          <w:color w:val="auto"/>
          <w:highlight w:val="none"/>
        </w:rPr>
        <w:t>项目概况</w:t>
      </w:r>
    </w:p>
    <w:p w14:paraId="05E58753">
      <w:pPr>
        <w:pBdr>
          <w:top w:val="single" w:color="auto" w:sz="12" w:space="1"/>
          <w:left w:val="single" w:color="auto" w:sz="12" w:space="4"/>
          <w:bottom w:val="single" w:color="auto" w:sz="12" w:space="0"/>
          <w:right w:val="single" w:color="auto" w:sz="12" w:space="4"/>
        </w:pBdr>
        <w:ind w:left="480" w:leftChars="200" w:right="480" w:rightChars="200" w:firstLine="480"/>
        <w:rPr>
          <w:rFonts w:cs="宋体"/>
          <w:color w:val="auto"/>
          <w:highlight w:val="none"/>
        </w:rPr>
      </w:pPr>
      <w:r>
        <w:rPr>
          <w:rFonts w:hint="eastAsia" w:cs="宋体"/>
          <w:color w:val="auto"/>
          <w:highlight w:val="none"/>
          <w:lang w:eastAsia="zh-CN"/>
        </w:rPr>
        <w:t>屯留区新型文化空间数字化设备及图书配套项目</w:t>
      </w:r>
      <w:r>
        <w:rPr>
          <w:rFonts w:hint="eastAsia" w:cs="宋体"/>
          <w:color w:val="auto"/>
          <w:highlight w:val="none"/>
        </w:rPr>
        <w:t>的潜在投标人应在</w:t>
      </w:r>
      <w:r>
        <w:rPr>
          <w:rFonts w:hint="eastAsia" w:cs="宋体"/>
          <w:color w:val="auto"/>
          <w:highlight w:val="none"/>
          <w:u w:val="single"/>
        </w:rPr>
        <w:t>政采云平台线上</w:t>
      </w:r>
      <w:r>
        <w:rPr>
          <w:rFonts w:hint="eastAsia" w:cs="宋体"/>
          <w:color w:val="auto"/>
          <w:highlight w:val="none"/>
        </w:rPr>
        <w:t>获取招标文件，并于</w:t>
      </w:r>
      <w:r>
        <w:rPr>
          <w:rFonts w:hint="eastAsia"/>
          <w:color w:val="auto"/>
          <w:highlight w:val="none"/>
        </w:rPr>
        <w:t>202</w:t>
      </w:r>
      <w:r>
        <w:rPr>
          <w:rFonts w:hint="eastAsia"/>
          <w:color w:val="auto"/>
          <w:highlight w:val="none"/>
          <w:lang w:val="en-US" w:eastAsia="zh-CN"/>
        </w:rPr>
        <w:t>6</w:t>
      </w:r>
      <w:r>
        <w:rPr>
          <w:rFonts w:hint="eastAsia"/>
          <w:color w:val="auto"/>
          <w:highlight w:val="none"/>
        </w:rPr>
        <w:t>年</w:t>
      </w:r>
      <w:r>
        <w:rPr>
          <w:rFonts w:hint="eastAsia"/>
          <w:color w:val="auto"/>
          <w:highlight w:val="none"/>
          <w:lang w:val="en-US" w:eastAsia="zh-CN"/>
        </w:rPr>
        <w:t>05</w:t>
      </w:r>
      <w:r>
        <w:rPr>
          <w:rFonts w:hint="eastAsia"/>
          <w:color w:val="auto"/>
          <w:highlight w:val="none"/>
        </w:rPr>
        <w:t>月</w:t>
      </w:r>
      <w:r>
        <w:rPr>
          <w:rFonts w:hint="eastAsia"/>
          <w:color w:val="auto"/>
          <w:highlight w:val="none"/>
          <w:lang w:val="en-US" w:eastAsia="zh-CN"/>
        </w:rPr>
        <w:t>21</w:t>
      </w:r>
      <w:r>
        <w:rPr>
          <w:rFonts w:hint="eastAsia"/>
          <w:color w:val="auto"/>
          <w:highlight w:val="none"/>
        </w:rPr>
        <w:t>日</w:t>
      </w:r>
      <w:r>
        <w:rPr>
          <w:rFonts w:hint="eastAsia"/>
          <w:color w:val="auto"/>
          <w:highlight w:val="none"/>
          <w:lang w:val="en-US" w:eastAsia="zh-CN"/>
        </w:rPr>
        <w:t>0</w:t>
      </w:r>
      <w:r>
        <w:rPr>
          <w:rFonts w:hint="eastAsia" w:cs="宋体"/>
          <w:color w:val="auto"/>
          <w:highlight w:val="none"/>
          <w:lang w:val="en-US" w:eastAsia="zh-CN"/>
        </w:rPr>
        <w:t>9</w:t>
      </w:r>
      <w:r>
        <w:rPr>
          <w:rFonts w:hint="eastAsia" w:cs="宋体"/>
          <w:color w:val="auto"/>
          <w:highlight w:val="none"/>
        </w:rPr>
        <w:t>时</w:t>
      </w:r>
      <w:r>
        <w:rPr>
          <w:rFonts w:hint="eastAsia" w:cs="宋体"/>
          <w:color w:val="auto"/>
          <w:highlight w:val="none"/>
          <w:lang w:val="en-US" w:eastAsia="zh-CN"/>
        </w:rPr>
        <w:t>00</w:t>
      </w:r>
      <w:r>
        <w:rPr>
          <w:rFonts w:hint="eastAsia" w:cs="宋体"/>
          <w:color w:val="auto"/>
          <w:highlight w:val="none"/>
        </w:rPr>
        <w:t>分</w:t>
      </w:r>
      <w:r>
        <w:rPr>
          <w:rFonts w:hint="eastAsia" w:cs="宋体"/>
          <w:bCs/>
          <w:color w:val="auto"/>
          <w:highlight w:val="none"/>
        </w:rPr>
        <w:t>（北京时间）前提交投标文件</w:t>
      </w:r>
      <w:r>
        <w:rPr>
          <w:rFonts w:hint="eastAsia" w:cs="宋体"/>
          <w:color w:val="auto"/>
          <w:highlight w:val="none"/>
        </w:rPr>
        <w:t>。</w:t>
      </w:r>
    </w:p>
    <w:p w14:paraId="4ADBC8E5">
      <w:pPr>
        <w:keepNext/>
        <w:keepLines/>
        <w:spacing w:before="120" w:beforeLines="50" w:after="24" w:afterLines="10"/>
        <w:ind w:left="0" w:leftChars="0" w:firstLine="0" w:firstLineChars="0"/>
        <w:outlineLvl w:val="1"/>
        <w:rPr>
          <w:b/>
          <w:color w:val="auto"/>
          <w:kern w:val="0"/>
          <w:highlight w:val="none"/>
        </w:rPr>
      </w:pPr>
      <w:bookmarkStart w:id="4" w:name="_Toc35393629"/>
      <w:bookmarkStart w:id="5" w:name="_Toc28359089"/>
      <w:bookmarkStart w:id="6" w:name="_Toc35393798"/>
      <w:bookmarkStart w:id="7" w:name="_Toc28359012"/>
      <w:r>
        <w:rPr>
          <w:rFonts w:hint="eastAsia"/>
          <w:b/>
          <w:color w:val="auto"/>
          <w:kern w:val="0"/>
          <w:highlight w:val="none"/>
        </w:rPr>
        <w:t>一、项目基本情况</w:t>
      </w:r>
      <w:bookmarkEnd w:id="4"/>
      <w:bookmarkEnd w:id="5"/>
      <w:bookmarkEnd w:id="6"/>
      <w:bookmarkEnd w:id="7"/>
    </w:p>
    <w:p w14:paraId="2DE81532">
      <w:pPr>
        <w:ind w:firstLine="480" w:firstLineChars="200"/>
        <w:rPr>
          <w:rFonts w:hint="eastAsia" w:ascii="宋体" w:hAnsi="宋体" w:eastAsia="宋体" w:cs="宋体"/>
          <w:color w:val="auto"/>
          <w:sz w:val="24"/>
          <w:szCs w:val="24"/>
          <w:highlight w:val="none"/>
          <w:lang w:eastAsia="zh-CN"/>
        </w:rPr>
      </w:pPr>
      <w:bookmarkStart w:id="8" w:name="_Toc28359015"/>
      <w:bookmarkStart w:id="9" w:name="_Toc28359014"/>
      <w:bookmarkStart w:id="10" w:name="_Toc35393800"/>
      <w:bookmarkStart w:id="11" w:name="_Toc35393631"/>
      <w:bookmarkStart w:id="12" w:name="_Toc28359091"/>
      <w:bookmarkStart w:id="13" w:name="_Toc35393632"/>
      <w:bookmarkStart w:id="14" w:name="_Toc35393801"/>
      <w:bookmarkStart w:id="15" w:name="_Toc28359092"/>
      <w:r>
        <w:rPr>
          <w:rFonts w:hint="eastAsia" w:ascii="宋体" w:hAnsi="宋体" w:eastAsia="宋体" w:cs="宋体"/>
          <w:color w:val="auto"/>
          <w:sz w:val="24"/>
          <w:szCs w:val="24"/>
          <w:highlight w:val="none"/>
        </w:rPr>
        <w:t>项目编号：</w:t>
      </w:r>
      <w:r>
        <w:rPr>
          <w:rFonts w:hint="eastAsia" w:cs="宋体"/>
          <w:color w:val="auto"/>
          <w:sz w:val="24"/>
          <w:szCs w:val="24"/>
          <w:highlight w:val="none"/>
          <w:lang w:eastAsia="zh-CN"/>
        </w:rPr>
        <w:t>1404052026AGK00023</w:t>
      </w:r>
    </w:p>
    <w:p w14:paraId="54220316">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highlight w:val="none"/>
          <w:lang w:eastAsia="zh-CN"/>
        </w:rPr>
        <w:t>屯留区新型文化空间数字化设备及图书配套项目 </w:t>
      </w:r>
      <w:r>
        <w:rPr>
          <w:rFonts w:hint="eastAsia" w:ascii="宋体" w:hAnsi="宋体" w:eastAsia="宋体" w:cs="宋体"/>
          <w:color w:val="auto"/>
          <w:highlight w:val="none"/>
        </w:rPr>
        <w:t xml:space="preserve">   </w:t>
      </w:r>
      <w:r>
        <w:rPr>
          <w:rFonts w:hint="eastAsia" w:ascii="宋体" w:hAnsi="宋体" w:eastAsia="宋体" w:cs="宋体"/>
          <w:color w:val="auto"/>
          <w:sz w:val="24"/>
          <w:szCs w:val="24"/>
          <w:highlight w:val="none"/>
        </w:rPr>
        <w:t>   </w:t>
      </w:r>
    </w:p>
    <w:p w14:paraId="742DE2EE">
      <w:pPr>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预算金额（元）：500000</w:t>
      </w:r>
      <w:r>
        <w:rPr>
          <w:rFonts w:hint="eastAsia" w:cs="宋体"/>
          <w:color w:val="auto"/>
          <w:sz w:val="24"/>
          <w:szCs w:val="24"/>
          <w:highlight w:val="none"/>
          <w:lang w:val="en-US" w:eastAsia="zh-CN"/>
        </w:rPr>
        <w:t>.00</w:t>
      </w:r>
    </w:p>
    <w:p w14:paraId="4138AD0A">
      <w:pPr>
        <w:ind w:firstLine="480" w:firstLineChars="200"/>
        <w:rPr>
          <w:rFonts w:hint="default" w:cs="宋体"/>
          <w:color w:val="auto"/>
          <w:sz w:val="24"/>
          <w:szCs w:val="24"/>
          <w:highlight w:val="none"/>
          <w:lang w:val="en-US" w:eastAsia="zh-CN"/>
        </w:rPr>
      </w:pPr>
      <w:r>
        <w:rPr>
          <w:rFonts w:hint="eastAsia" w:ascii="宋体" w:hAnsi="宋体" w:eastAsia="宋体" w:cs="宋体"/>
          <w:color w:val="auto"/>
          <w:sz w:val="24"/>
          <w:szCs w:val="24"/>
          <w:highlight w:val="none"/>
        </w:rPr>
        <w:t>最高限价（元）：</w:t>
      </w:r>
      <w:r>
        <w:rPr>
          <w:rFonts w:hint="eastAsia" w:cs="宋体"/>
          <w:color w:val="auto"/>
          <w:sz w:val="24"/>
          <w:szCs w:val="24"/>
          <w:highlight w:val="none"/>
          <w:lang w:val="en-US" w:eastAsia="zh-CN"/>
        </w:rPr>
        <w:t>50000.00，450000.00</w:t>
      </w:r>
    </w:p>
    <w:p w14:paraId="76A76A30">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        </w:t>
      </w:r>
    </w:p>
    <w:p w14:paraId="271D3E77">
      <w:pPr>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标项一</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标项名称:</w:t>
      </w:r>
      <w:r>
        <w:rPr>
          <w:rFonts w:hint="eastAsia" w:cs="宋体"/>
          <w:color w:val="auto"/>
          <w:sz w:val="24"/>
          <w:szCs w:val="24"/>
          <w:highlight w:val="none"/>
          <w:lang w:val="en-US" w:eastAsia="zh-CN"/>
        </w:rPr>
        <w:t xml:space="preserve"> </w:t>
      </w:r>
      <w:r>
        <w:rPr>
          <w:rFonts w:hint="eastAsia" w:cs="宋体"/>
          <w:color w:val="auto"/>
          <w:sz w:val="24"/>
          <w:szCs w:val="24"/>
          <w:highlight w:val="none"/>
          <w:lang w:eastAsia="zh-CN"/>
        </w:rPr>
        <w:t>屯留区新型文化空间数字化设备及图书配套项目</w:t>
      </w:r>
      <w:r>
        <w:rPr>
          <w:rFonts w:hint="eastAsia" w:cs="宋体"/>
          <w:color w:val="auto"/>
          <w:sz w:val="24"/>
          <w:szCs w:val="24"/>
          <w:highlight w:val="none"/>
          <w:lang w:val="en-US" w:eastAsia="zh-CN"/>
        </w:rPr>
        <w:t>包1</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数量: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预算金额（元）：</w:t>
      </w:r>
      <w:r>
        <w:rPr>
          <w:rFonts w:hint="eastAsia" w:ascii="宋体" w:hAnsi="宋体" w:eastAsia="宋体" w:cs="宋体"/>
          <w:color w:val="auto"/>
          <w:sz w:val="24"/>
          <w:szCs w:val="24"/>
          <w:highlight w:val="none"/>
          <w:lang w:val="en-US" w:eastAsia="zh-CN"/>
        </w:rPr>
        <w:t>50000.00</w:t>
      </w:r>
    </w:p>
    <w:p w14:paraId="1A9087F3">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简要规格描述或项目基本概况介绍、用途：拟采购2000本</w:t>
      </w:r>
      <w:r>
        <w:rPr>
          <w:rFonts w:hint="eastAsia" w:cs="宋体"/>
          <w:color w:val="auto"/>
          <w:sz w:val="24"/>
          <w:szCs w:val="24"/>
          <w:highlight w:val="none"/>
          <w:lang w:val="en-US" w:eastAsia="zh-CN"/>
        </w:rPr>
        <w:t>精品</w:t>
      </w:r>
      <w:r>
        <w:rPr>
          <w:rFonts w:hint="eastAsia" w:ascii="宋体" w:hAnsi="宋体" w:eastAsia="宋体" w:cs="宋体"/>
          <w:color w:val="auto"/>
          <w:sz w:val="24"/>
          <w:szCs w:val="24"/>
          <w:highlight w:val="none"/>
          <w:lang w:val="en-US" w:eastAsia="zh-CN"/>
        </w:rPr>
        <w:t>少儿绘本，包括</w:t>
      </w:r>
      <w:r>
        <w:rPr>
          <w:rFonts w:hint="eastAsia" w:ascii="宋体" w:hAnsi="宋体" w:eastAsia="宋体" w:cs="宋体"/>
          <w:color w:val="auto"/>
          <w:sz w:val="24"/>
          <w:szCs w:val="24"/>
          <w:highlight w:val="none"/>
        </w:rPr>
        <w:t>货物的供应、运输及售后服务等相关内容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具体报价范围、采购范围及所达到的具体要求，以本</w:t>
      </w:r>
      <w:r>
        <w:rPr>
          <w:rFonts w:hint="eastAsia" w:cs="宋体"/>
          <w:color w:val="auto"/>
          <w:sz w:val="24"/>
          <w:szCs w:val="24"/>
          <w:highlight w:val="none"/>
          <w:lang w:val="en-US" w:eastAsia="zh-CN"/>
        </w:rPr>
        <w:t>招标</w:t>
      </w:r>
      <w:r>
        <w:rPr>
          <w:rFonts w:hint="eastAsia" w:ascii="宋体" w:hAnsi="宋体" w:eastAsia="宋体" w:cs="宋体"/>
          <w:color w:val="auto"/>
          <w:sz w:val="24"/>
          <w:szCs w:val="24"/>
          <w:highlight w:val="none"/>
        </w:rPr>
        <w:t>文件中商务、技术和服务的相应要求为准。</w:t>
      </w:r>
    </w:p>
    <w:p w14:paraId="3DB85856">
      <w:pPr>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备注：无           </w:t>
      </w:r>
    </w:p>
    <w:p w14:paraId="1F52A247">
      <w:pPr>
        <w:pageBreakBefore w:val="0"/>
        <w:kinsoku/>
        <w:wordWrap/>
        <w:overflowPunct/>
        <w:topLinePunct w:val="0"/>
        <w:autoSpaceDE/>
        <w:autoSpaceDN/>
        <w:bidi w:val="0"/>
        <w:adjustRightInd/>
        <w:snapToGrid/>
        <w:spacing w:line="360" w:lineRule="auto"/>
        <w:ind w:firstLine="480" w:firstLineChars="200"/>
        <w:textAlignment w:val="auto"/>
        <w:rPr>
          <w:rFonts w:hint="default" w:cs="宋体"/>
          <w:color w:val="auto"/>
          <w:sz w:val="24"/>
          <w:szCs w:val="24"/>
          <w:highlight w:val="none"/>
          <w:lang w:val="en-US" w:eastAsia="zh-CN"/>
        </w:rPr>
      </w:pPr>
      <w:r>
        <w:rPr>
          <w:rFonts w:hint="eastAsia" w:ascii="宋体" w:hAnsi="宋体" w:eastAsia="宋体" w:cs="宋体"/>
          <w:color w:val="auto"/>
          <w:sz w:val="24"/>
          <w:szCs w:val="24"/>
          <w:highlight w:val="none"/>
        </w:rPr>
        <w:t>标项二</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标项名称: </w:t>
      </w:r>
      <w:r>
        <w:rPr>
          <w:rFonts w:hint="eastAsia" w:cs="宋体"/>
          <w:color w:val="auto"/>
          <w:sz w:val="24"/>
          <w:szCs w:val="24"/>
          <w:highlight w:val="none"/>
          <w:lang w:eastAsia="zh-CN"/>
        </w:rPr>
        <w:t>屯留区新型文化空间数字化设备及图书配套项目</w:t>
      </w:r>
      <w:r>
        <w:rPr>
          <w:rFonts w:hint="eastAsia" w:ascii="宋体" w:hAnsi="宋体" w:eastAsia="宋体" w:cs="宋体"/>
          <w:color w:val="auto"/>
          <w:sz w:val="24"/>
          <w:szCs w:val="24"/>
          <w:highlight w:val="none"/>
        </w:rPr>
        <w:t>包2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数量: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预算金额（元）：</w:t>
      </w:r>
      <w:r>
        <w:rPr>
          <w:rFonts w:hint="eastAsia" w:cs="宋体"/>
          <w:color w:val="auto"/>
          <w:sz w:val="24"/>
          <w:szCs w:val="24"/>
          <w:highlight w:val="none"/>
          <w:lang w:val="en-US" w:eastAsia="zh-CN"/>
        </w:rPr>
        <w:t>450000.00</w:t>
      </w:r>
    </w:p>
    <w:p w14:paraId="4D85614A">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简要规格描述或项目基本概况介绍、用途：</w:t>
      </w:r>
      <w:r>
        <w:rPr>
          <w:rFonts w:hint="eastAsia" w:cs="宋体"/>
          <w:color w:val="auto"/>
          <w:sz w:val="24"/>
          <w:szCs w:val="24"/>
          <w:highlight w:val="none"/>
          <w:lang w:val="en-US" w:eastAsia="zh-CN"/>
        </w:rPr>
        <w:t>拟采购一批数字化设备，包括</w:t>
      </w:r>
      <w:r>
        <w:rPr>
          <w:rFonts w:hint="eastAsia" w:ascii="宋体" w:hAnsi="宋体" w:eastAsia="宋体" w:cs="宋体"/>
          <w:color w:val="auto"/>
          <w:kern w:val="0"/>
          <w:sz w:val="24"/>
          <w:szCs w:val="24"/>
          <w:highlight w:val="none"/>
          <w:lang w:val="en-US" w:eastAsia="zh-CN"/>
        </w:rPr>
        <w:t>智慧文化互动视觉效果设备</w:t>
      </w:r>
      <w:r>
        <w:rPr>
          <w:rFonts w:hint="eastAsia" w:cs="宋体"/>
          <w:color w:val="auto"/>
          <w:kern w:val="0"/>
          <w:sz w:val="24"/>
          <w:szCs w:val="24"/>
          <w:highlight w:val="none"/>
          <w:lang w:val="en-US" w:eastAsia="zh-CN"/>
        </w:rPr>
        <w:t>1批</w:t>
      </w:r>
      <w:r>
        <w:rPr>
          <w:rFonts w:hint="eastAsia" w:ascii="宋体" w:hAnsi="宋体" w:eastAsia="宋体" w:cs="宋体"/>
          <w:color w:val="auto"/>
          <w:kern w:val="0"/>
          <w:sz w:val="24"/>
          <w:szCs w:val="24"/>
          <w:highlight w:val="none"/>
          <w:lang w:val="en-US" w:eastAsia="zh-CN"/>
        </w:rPr>
        <w:t>、AI智慧</w:t>
      </w:r>
      <w:r>
        <w:rPr>
          <w:rFonts w:hint="eastAsia" w:ascii="宋体" w:hAnsi="宋体" w:eastAsia="宋体" w:cs="宋体"/>
          <w:color w:val="auto"/>
          <w:kern w:val="0"/>
          <w:sz w:val="24"/>
          <w:szCs w:val="24"/>
          <w:highlight w:val="none"/>
        </w:rPr>
        <w:t>朗读亭</w:t>
      </w:r>
      <w:r>
        <w:rPr>
          <w:rFonts w:hint="eastAsia" w:cs="宋体"/>
          <w:color w:val="auto"/>
          <w:kern w:val="0"/>
          <w:sz w:val="24"/>
          <w:szCs w:val="24"/>
          <w:highlight w:val="none"/>
          <w:lang w:val="en-US" w:eastAsia="zh-CN"/>
        </w:rPr>
        <w:t>1台</w:t>
      </w:r>
      <w:r>
        <w:rPr>
          <w:rFonts w:hint="eastAsia" w:ascii="宋体" w:hAnsi="宋体" w:eastAsia="宋体" w:cs="宋体"/>
          <w:color w:val="auto"/>
          <w:kern w:val="0"/>
          <w:sz w:val="24"/>
          <w:szCs w:val="24"/>
          <w:highlight w:val="none"/>
          <w:lang w:eastAsia="zh-CN"/>
        </w:rPr>
        <w:t>、</w:t>
      </w:r>
      <w:r>
        <w:rPr>
          <w:rFonts w:hint="eastAsia" w:cs="宋体"/>
          <w:color w:val="auto"/>
          <w:kern w:val="0"/>
          <w:sz w:val="24"/>
          <w:szCs w:val="24"/>
          <w:highlight w:val="none"/>
          <w:lang w:val="en-US" w:eastAsia="zh-CN"/>
        </w:rPr>
        <w:t>儿童正姿阅读椅30把、</w:t>
      </w:r>
      <w:r>
        <w:rPr>
          <w:rFonts w:hint="eastAsia" w:ascii="宋体" w:hAnsi="宋体" w:eastAsia="宋体" w:cs="宋体"/>
          <w:color w:val="auto"/>
          <w:sz w:val="24"/>
          <w:szCs w:val="24"/>
          <w:highlight w:val="none"/>
          <w:vertAlign w:val="baseline"/>
          <w:lang w:val="en-US" w:eastAsia="zh-CN"/>
        </w:rPr>
        <w:t>智慧听书机（桌面款）</w:t>
      </w:r>
      <w:r>
        <w:rPr>
          <w:rFonts w:hint="eastAsia" w:cs="宋体"/>
          <w:color w:val="auto"/>
          <w:sz w:val="24"/>
          <w:szCs w:val="24"/>
          <w:highlight w:val="none"/>
          <w:vertAlign w:val="baseline"/>
          <w:lang w:val="en-US" w:eastAsia="zh-CN"/>
        </w:rPr>
        <w:t>6台</w:t>
      </w:r>
      <w:r>
        <w:rPr>
          <w:rFonts w:hint="eastAsia" w:ascii="宋体" w:hAnsi="宋体" w:eastAsia="宋体" w:cs="宋体"/>
          <w:color w:val="auto"/>
          <w:sz w:val="24"/>
          <w:szCs w:val="24"/>
          <w:highlight w:val="none"/>
          <w:vertAlign w:val="baseline"/>
          <w:lang w:val="en-US" w:eastAsia="zh-CN"/>
        </w:rPr>
        <w:t>、</w:t>
      </w:r>
      <w:r>
        <w:rPr>
          <w:rFonts w:hint="eastAsia" w:ascii="宋体" w:hAnsi="宋体" w:eastAsia="宋体" w:cs="宋体"/>
          <w:color w:val="auto"/>
          <w:sz w:val="24"/>
          <w:szCs w:val="24"/>
          <w:highlight w:val="none"/>
        </w:rPr>
        <w:t>数字文化</w:t>
      </w:r>
      <w:r>
        <w:rPr>
          <w:rFonts w:hint="eastAsia" w:cs="宋体"/>
          <w:color w:val="auto"/>
          <w:sz w:val="24"/>
          <w:szCs w:val="24"/>
          <w:highlight w:val="none"/>
          <w:lang w:val="en-US" w:eastAsia="zh-CN"/>
        </w:rPr>
        <w:t>智慧</w:t>
      </w:r>
      <w:r>
        <w:rPr>
          <w:rFonts w:hint="eastAsia" w:ascii="宋体" w:hAnsi="宋体" w:eastAsia="宋体" w:cs="宋体"/>
          <w:color w:val="auto"/>
          <w:sz w:val="24"/>
          <w:szCs w:val="24"/>
          <w:highlight w:val="none"/>
        </w:rPr>
        <w:t>终端</w:t>
      </w:r>
      <w:r>
        <w:rPr>
          <w:rFonts w:hint="eastAsia" w:cs="宋体"/>
          <w:color w:val="auto"/>
          <w:sz w:val="24"/>
          <w:szCs w:val="24"/>
          <w:highlight w:val="none"/>
          <w:lang w:val="en-US" w:eastAsia="zh-CN"/>
        </w:rPr>
        <w:t>1台、儿童阅读机1台、互动文化展示墙展示终端1套。</w:t>
      </w:r>
      <w:r>
        <w:rPr>
          <w:rFonts w:hint="eastAsia" w:ascii="宋体" w:hAnsi="宋体" w:eastAsia="宋体" w:cs="宋体"/>
          <w:color w:val="auto"/>
          <w:sz w:val="24"/>
          <w:szCs w:val="24"/>
          <w:highlight w:val="none"/>
          <w:lang w:val="en-US" w:eastAsia="zh-CN"/>
        </w:rPr>
        <w:t>包括</w:t>
      </w:r>
      <w:r>
        <w:rPr>
          <w:rFonts w:hint="eastAsia" w:ascii="宋体" w:hAnsi="宋体" w:eastAsia="宋体" w:cs="宋体"/>
          <w:color w:val="auto"/>
          <w:sz w:val="24"/>
          <w:szCs w:val="24"/>
          <w:highlight w:val="none"/>
        </w:rPr>
        <w:t>货物的供应、运输</w:t>
      </w:r>
      <w:r>
        <w:rPr>
          <w:rFonts w:hint="eastAsia" w:cs="宋体"/>
          <w:color w:val="auto"/>
          <w:sz w:val="24"/>
          <w:szCs w:val="24"/>
          <w:highlight w:val="none"/>
          <w:lang w:eastAsia="zh-CN"/>
        </w:rPr>
        <w:t>、</w:t>
      </w:r>
      <w:r>
        <w:rPr>
          <w:rFonts w:hint="eastAsia" w:cs="宋体"/>
          <w:color w:val="auto"/>
          <w:sz w:val="24"/>
          <w:szCs w:val="24"/>
          <w:highlight w:val="none"/>
          <w:lang w:val="en-US" w:eastAsia="zh-CN"/>
        </w:rPr>
        <w:t>安装调试</w:t>
      </w:r>
      <w:r>
        <w:rPr>
          <w:rFonts w:hint="eastAsia" w:ascii="宋体" w:hAnsi="宋体" w:eastAsia="宋体" w:cs="宋体"/>
          <w:color w:val="auto"/>
          <w:sz w:val="24"/>
          <w:szCs w:val="24"/>
          <w:highlight w:val="none"/>
        </w:rPr>
        <w:t>及售后服务等相关内容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具体报价范围、采购范围及所达到的具体要求，以本</w:t>
      </w:r>
      <w:r>
        <w:rPr>
          <w:rFonts w:hint="eastAsia" w:cs="宋体"/>
          <w:color w:val="auto"/>
          <w:sz w:val="24"/>
          <w:szCs w:val="24"/>
          <w:highlight w:val="none"/>
          <w:lang w:val="en-US" w:eastAsia="zh-CN"/>
        </w:rPr>
        <w:t>招标</w:t>
      </w:r>
      <w:r>
        <w:rPr>
          <w:rFonts w:hint="eastAsia" w:ascii="宋体" w:hAnsi="宋体" w:eastAsia="宋体" w:cs="宋体"/>
          <w:color w:val="auto"/>
          <w:sz w:val="24"/>
          <w:szCs w:val="24"/>
          <w:highlight w:val="none"/>
        </w:rPr>
        <w:t>文件中商务、技术和服务的相应要求为准。</w:t>
      </w:r>
    </w:p>
    <w:p w14:paraId="465C13B5">
      <w:pPr>
        <w:pStyle w:val="35"/>
        <w:keepNext w:val="0"/>
        <w:keepLines w:val="0"/>
        <w:widowControl/>
        <w:suppressLineNumbers w:val="0"/>
        <w:spacing w:before="0" w:beforeAutospacing="0" w:after="0" w:afterAutospacing="0"/>
        <w:ind w:left="0" w:right="0" w:firstLine="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备注：无           </w:t>
      </w:r>
    </w:p>
    <w:p w14:paraId="41773B97">
      <w:pPr>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合同履约期限：</w:t>
      </w:r>
      <w:r>
        <w:rPr>
          <w:rFonts w:hint="eastAsia" w:cs="宋体"/>
          <w:color w:val="auto"/>
          <w:sz w:val="24"/>
          <w:szCs w:val="24"/>
          <w:highlight w:val="none"/>
          <w:lang w:val="en-US" w:eastAsia="zh-CN"/>
        </w:rPr>
        <w:t>包1，自</w:t>
      </w:r>
      <w:r>
        <w:rPr>
          <w:rFonts w:hint="eastAsia" w:ascii="宋体" w:hAnsi="宋体" w:eastAsia="宋体" w:cs="宋体"/>
          <w:color w:val="auto"/>
          <w:kern w:val="0"/>
          <w:sz w:val="24"/>
          <w:szCs w:val="24"/>
          <w:highlight w:val="none"/>
          <w:lang w:val="en-US" w:eastAsia="zh-CN" w:bidi="ar-SA"/>
        </w:rPr>
        <w:t>签订合同之日起 20天内</w:t>
      </w:r>
      <w:r>
        <w:rPr>
          <w:rFonts w:hint="eastAsia" w:cs="宋体"/>
          <w:color w:val="auto"/>
          <w:kern w:val="0"/>
          <w:sz w:val="24"/>
          <w:szCs w:val="24"/>
          <w:highlight w:val="none"/>
          <w:lang w:val="en-US" w:eastAsia="zh-CN" w:bidi="ar-SA"/>
        </w:rPr>
        <w:t>完成供货</w:t>
      </w:r>
    </w:p>
    <w:p w14:paraId="22E5C371">
      <w:pPr>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eastAsia" w:cs="宋体"/>
          <w:color w:val="auto"/>
          <w:sz w:val="24"/>
          <w:szCs w:val="24"/>
          <w:highlight w:val="none"/>
          <w:lang w:val="en-US" w:eastAsia="zh-CN"/>
        </w:rPr>
        <w:t>包2</w:t>
      </w:r>
      <w:r>
        <w:rPr>
          <w:rFonts w:hint="eastAsia" w:ascii="宋体" w:hAnsi="宋体" w:eastAsia="宋体" w:cs="宋体"/>
          <w:color w:val="auto"/>
          <w:kern w:val="0"/>
          <w:sz w:val="24"/>
          <w:szCs w:val="24"/>
          <w:highlight w:val="none"/>
          <w:lang w:val="en-US" w:eastAsia="zh-CN" w:bidi="ar-SA"/>
        </w:rPr>
        <w:t>，自签订合同之日起 20天内完成供货及安装调试</w:t>
      </w:r>
    </w:p>
    <w:p w14:paraId="30825C5A">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本项目（否）接受联合体投标。</w:t>
      </w:r>
    </w:p>
    <w:bookmarkEnd w:id="8"/>
    <w:bookmarkEnd w:id="9"/>
    <w:bookmarkEnd w:id="10"/>
    <w:bookmarkEnd w:id="11"/>
    <w:bookmarkEnd w:id="12"/>
    <w:bookmarkEnd w:id="13"/>
    <w:bookmarkEnd w:id="14"/>
    <w:bookmarkEnd w:id="15"/>
    <w:p w14:paraId="38ECDED9">
      <w:pPr>
        <w:keepNext/>
        <w:keepLines/>
        <w:pageBreakBefore w:val="0"/>
        <w:kinsoku/>
        <w:wordWrap/>
        <w:overflowPunct/>
        <w:topLinePunct w:val="0"/>
        <w:autoSpaceDE/>
        <w:autoSpaceDN/>
        <w:bidi w:val="0"/>
        <w:adjustRightInd/>
        <w:snapToGrid/>
        <w:spacing w:before="120" w:beforeLines="50" w:after="24" w:afterLines="10" w:line="360" w:lineRule="auto"/>
        <w:ind w:left="0" w:leftChars="0" w:firstLine="0" w:firstLineChars="0"/>
        <w:textAlignment w:val="auto"/>
        <w:outlineLvl w:val="1"/>
        <w:rPr>
          <w:b/>
          <w:color w:val="auto"/>
          <w:kern w:val="0"/>
          <w:highlight w:val="none"/>
        </w:rPr>
      </w:pPr>
      <w:r>
        <w:rPr>
          <w:rFonts w:hint="eastAsia"/>
          <w:b/>
          <w:color w:val="auto"/>
          <w:kern w:val="0"/>
          <w:highlight w:val="none"/>
        </w:rPr>
        <w:t>二、申请人的资格要求</w:t>
      </w:r>
    </w:p>
    <w:p w14:paraId="013386F5">
      <w:pPr>
        <w:pageBreakBefore w:val="0"/>
        <w:kinsoku/>
        <w:wordWrap/>
        <w:overflowPunct/>
        <w:topLinePunct w:val="0"/>
        <w:autoSpaceDE/>
        <w:autoSpaceDN/>
        <w:bidi w:val="0"/>
        <w:adjustRightInd/>
        <w:snapToGrid/>
        <w:spacing w:line="360" w:lineRule="auto"/>
        <w:ind w:firstLine="480"/>
        <w:textAlignment w:val="auto"/>
        <w:rPr>
          <w:color w:val="auto"/>
          <w:highlight w:val="none"/>
        </w:rPr>
      </w:pPr>
      <w:r>
        <w:rPr>
          <w:color w:val="auto"/>
          <w:highlight w:val="none"/>
        </w:rPr>
        <w:t>1.满足《中华人民共和国政府采购法》第二十二条规定；</w:t>
      </w:r>
      <w:r>
        <w:rPr>
          <w:rFonts w:hint="eastAsia"/>
          <w:color w:val="auto"/>
          <w:highlight w:val="none"/>
        </w:rPr>
        <w:t>    </w:t>
      </w:r>
    </w:p>
    <w:p w14:paraId="23CFA3C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olor w:val="auto"/>
          <w:highlight w:val="none"/>
          <w:lang w:eastAsia="zh-CN"/>
        </w:rPr>
      </w:pPr>
      <w:r>
        <w:rPr>
          <w:rFonts w:hint="eastAsia"/>
          <w:color w:val="auto"/>
          <w:highlight w:val="none"/>
        </w:rPr>
        <w:t>2.落实政府采购政策需满足的资格要求：</w:t>
      </w:r>
      <w:r>
        <w:rPr>
          <w:rFonts w:hint="eastAsia"/>
          <w:color w:val="auto"/>
          <w:highlight w:val="none"/>
          <w:lang w:val="en-US" w:eastAsia="zh-CN"/>
        </w:rPr>
        <w:t>包1，包2：</w:t>
      </w:r>
      <w:r>
        <w:rPr>
          <w:rFonts w:hint="eastAsia" w:cs="宋体"/>
          <w:color w:val="auto"/>
          <w:sz w:val="24"/>
          <w:szCs w:val="24"/>
          <w:highlight w:val="none"/>
          <w:lang w:val="en-US" w:eastAsia="zh-CN"/>
        </w:rPr>
        <w:t>无</w:t>
      </w:r>
      <w:r>
        <w:rPr>
          <w:rFonts w:hint="eastAsia" w:ascii="宋体" w:hAnsi="宋体" w:eastAsia="宋体"/>
          <w:color w:val="auto"/>
          <w:highlight w:val="none"/>
          <w:lang w:eastAsia="zh-CN"/>
        </w:rPr>
        <w:t>。</w:t>
      </w:r>
    </w:p>
    <w:p w14:paraId="1CBD121B">
      <w:pPr>
        <w:pageBreakBefore w:val="0"/>
        <w:kinsoku/>
        <w:wordWrap/>
        <w:overflowPunct/>
        <w:topLinePunct w:val="0"/>
        <w:autoSpaceDE/>
        <w:autoSpaceDN/>
        <w:bidi w:val="0"/>
        <w:adjustRightInd/>
        <w:snapToGrid/>
        <w:spacing w:line="360" w:lineRule="auto"/>
        <w:ind w:firstLine="480"/>
        <w:textAlignment w:val="auto"/>
        <w:rPr>
          <w:rFonts w:hint="eastAsia" w:eastAsia="宋体"/>
          <w:color w:val="auto"/>
          <w:highlight w:val="none"/>
          <w:lang w:eastAsia="zh-CN"/>
        </w:rPr>
      </w:pPr>
      <w:r>
        <w:rPr>
          <w:rFonts w:hint="eastAsia"/>
          <w:color w:val="auto"/>
          <w:highlight w:val="none"/>
        </w:rPr>
        <w:t>3.本项目的特定资格要求：</w:t>
      </w:r>
      <w:r>
        <w:rPr>
          <w:rFonts w:hint="eastAsia"/>
          <w:color w:val="auto"/>
          <w:highlight w:val="none"/>
        </w:rPr>
        <w:br w:type="textWrapping"/>
      </w:r>
      <w:r>
        <w:rPr>
          <w:rFonts w:hint="eastAsia"/>
          <w:color w:val="auto"/>
          <w:highlight w:val="none"/>
        </w:rPr>
        <w:t>【</w:t>
      </w:r>
      <w:r>
        <w:rPr>
          <w:rFonts w:hint="eastAsia"/>
          <w:color w:val="auto"/>
          <w:highlight w:val="none"/>
          <w:lang w:val="en-US" w:eastAsia="zh-CN"/>
        </w:rPr>
        <w:t>包</w:t>
      </w:r>
      <w:r>
        <w:rPr>
          <w:rFonts w:hint="eastAsia"/>
          <w:color w:val="auto"/>
          <w:highlight w:val="none"/>
        </w:rPr>
        <w:t>1】</w:t>
      </w:r>
      <w:r>
        <w:rPr>
          <w:rFonts w:hint="eastAsia"/>
          <w:color w:val="auto"/>
          <w:highlight w:val="none"/>
        </w:rPr>
        <w:br w:type="textWrapping"/>
      </w:r>
      <w:r>
        <w:rPr>
          <w:rFonts w:hint="eastAsia"/>
          <w:color w:val="auto"/>
          <w:highlight w:val="none"/>
          <w:lang w:eastAsia="zh-CN"/>
        </w:rPr>
        <w:t>具有有效的出版物经营许可证。</w:t>
      </w:r>
    </w:p>
    <w:p w14:paraId="6B8A54E5">
      <w:pPr>
        <w:keepNext/>
        <w:keepLines/>
        <w:pageBreakBefore w:val="0"/>
        <w:kinsoku/>
        <w:wordWrap/>
        <w:overflowPunct/>
        <w:topLinePunct w:val="0"/>
        <w:autoSpaceDE/>
        <w:autoSpaceDN/>
        <w:bidi w:val="0"/>
        <w:adjustRightInd/>
        <w:snapToGrid/>
        <w:spacing w:before="120" w:beforeLines="50" w:after="24" w:afterLines="10" w:line="360" w:lineRule="auto"/>
        <w:ind w:left="0" w:leftChars="0" w:firstLine="0" w:firstLineChars="0"/>
        <w:textAlignment w:val="auto"/>
        <w:outlineLvl w:val="1"/>
        <w:rPr>
          <w:b/>
          <w:color w:val="auto"/>
          <w:kern w:val="0"/>
          <w:highlight w:val="none"/>
        </w:rPr>
      </w:pPr>
      <w:r>
        <w:rPr>
          <w:rFonts w:hint="eastAsia"/>
          <w:b/>
          <w:color w:val="auto"/>
          <w:kern w:val="0"/>
          <w:highlight w:val="none"/>
        </w:rPr>
        <w:t>三、获取招标文件</w:t>
      </w:r>
    </w:p>
    <w:p w14:paraId="5B797107">
      <w:pPr>
        <w:pageBreakBefore w:val="0"/>
        <w:kinsoku/>
        <w:wordWrap/>
        <w:overflowPunct/>
        <w:topLinePunct w:val="0"/>
        <w:autoSpaceDE/>
        <w:autoSpaceDN/>
        <w:bidi w:val="0"/>
        <w:adjustRightInd/>
        <w:snapToGrid/>
        <w:spacing w:line="360" w:lineRule="auto"/>
        <w:ind w:firstLine="480"/>
        <w:textAlignment w:val="auto"/>
        <w:rPr>
          <w:rFonts w:hint="eastAsia"/>
          <w:color w:val="auto"/>
          <w:highlight w:val="none"/>
        </w:rPr>
      </w:pPr>
      <w:r>
        <w:rPr>
          <w:rFonts w:hint="eastAsia"/>
          <w:color w:val="auto"/>
          <w:highlight w:val="none"/>
        </w:rPr>
        <w:t>时间</w:t>
      </w:r>
      <w:r>
        <w:rPr>
          <w:rFonts w:hint="eastAsia" w:ascii="宋体" w:hAnsi="宋体" w:eastAsia="宋体"/>
          <w:color w:val="auto"/>
          <w:highlight w:val="none"/>
        </w:rPr>
        <w:t>：</w:t>
      </w:r>
      <w:r>
        <w:rPr>
          <w:rFonts w:hint="eastAsia" w:ascii="宋体" w:hAnsi="宋体" w:eastAsia="宋体"/>
          <w:color w:val="auto"/>
          <w:highlight w:val="none"/>
          <w:lang w:val="en-US" w:eastAsia="zh-CN"/>
        </w:rPr>
        <w:t>2026</w:t>
      </w:r>
      <w:r>
        <w:rPr>
          <w:rFonts w:hint="eastAsia" w:ascii="宋体" w:hAnsi="宋体" w:eastAsia="宋体"/>
          <w:color w:val="auto"/>
          <w:highlight w:val="none"/>
        </w:rPr>
        <w:t>年</w:t>
      </w:r>
      <w:r>
        <w:rPr>
          <w:rFonts w:hint="eastAsia" w:ascii="宋体" w:hAnsi="宋体" w:eastAsia="宋体"/>
          <w:color w:val="auto"/>
          <w:highlight w:val="none"/>
          <w:lang w:val="en-US" w:eastAsia="zh-CN"/>
        </w:rPr>
        <w:t>04</w:t>
      </w:r>
      <w:r>
        <w:rPr>
          <w:rFonts w:hint="eastAsia" w:ascii="宋体" w:hAnsi="宋体" w:eastAsia="宋体"/>
          <w:color w:val="auto"/>
          <w:highlight w:val="none"/>
        </w:rPr>
        <w:t>月</w:t>
      </w:r>
      <w:r>
        <w:rPr>
          <w:rFonts w:hint="eastAsia"/>
          <w:color w:val="auto"/>
          <w:highlight w:val="none"/>
          <w:lang w:val="en-US" w:eastAsia="zh-CN"/>
        </w:rPr>
        <w:t>30</w:t>
      </w:r>
      <w:r>
        <w:rPr>
          <w:rFonts w:hint="eastAsia" w:ascii="宋体" w:hAnsi="宋体" w:eastAsia="宋体"/>
          <w:color w:val="auto"/>
          <w:highlight w:val="none"/>
        </w:rPr>
        <w:t>日至</w:t>
      </w:r>
      <w:r>
        <w:rPr>
          <w:rFonts w:hint="eastAsia" w:ascii="宋体" w:hAnsi="宋体" w:eastAsia="宋体"/>
          <w:color w:val="auto"/>
          <w:highlight w:val="none"/>
          <w:lang w:val="en-US" w:eastAsia="zh-CN"/>
        </w:rPr>
        <w:t>2026</w:t>
      </w:r>
      <w:r>
        <w:rPr>
          <w:rFonts w:hint="eastAsia" w:ascii="宋体" w:hAnsi="宋体" w:eastAsia="宋体"/>
          <w:color w:val="auto"/>
          <w:highlight w:val="none"/>
        </w:rPr>
        <w:t>年</w:t>
      </w:r>
      <w:r>
        <w:rPr>
          <w:rFonts w:hint="eastAsia" w:ascii="宋体" w:hAnsi="宋体" w:eastAsia="宋体"/>
          <w:color w:val="auto"/>
          <w:highlight w:val="none"/>
          <w:lang w:val="en-US" w:eastAsia="zh-CN"/>
        </w:rPr>
        <w:t>05</w:t>
      </w:r>
      <w:r>
        <w:rPr>
          <w:rFonts w:hint="eastAsia" w:ascii="宋体" w:hAnsi="宋体" w:eastAsia="宋体"/>
          <w:color w:val="auto"/>
          <w:highlight w:val="none"/>
        </w:rPr>
        <w:t>月</w:t>
      </w:r>
      <w:r>
        <w:rPr>
          <w:rFonts w:hint="eastAsia"/>
          <w:color w:val="auto"/>
          <w:highlight w:val="none"/>
          <w:lang w:val="en-US" w:eastAsia="zh-CN"/>
        </w:rPr>
        <w:t>11</w:t>
      </w:r>
      <w:r>
        <w:rPr>
          <w:rFonts w:hint="eastAsia" w:ascii="宋体" w:hAnsi="宋体" w:eastAsia="宋体"/>
          <w:color w:val="auto"/>
          <w:highlight w:val="none"/>
        </w:rPr>
        <w:t>日，每</w:t>
      </w:r>
      <w:r>
        <w:rPr>
          <w:rFonts w:hint="eastAsia"/>
          <w:color w:val="auto"/>
          <w:highlight w:val="none"/>
        </w:rPr>
        <w:t>天上午00:00至12:00，下午12:00至23:59（北京时间，法定节假日除外）        </w:t>
      </w:r>
    </w:p>
    <w:p w14:paraId="0C40E36A">
      <w:pPr>
        <w:pageBreakBefore w:val="0"/>
        <w:kinsoku/>
        <w:wordWrap/>
        <w:overflowPunct/>
        <w:topLinePunct w:val="0"/>
        <w:autoSpaceDE/>
        <w:autoSpaceDN/>
        <w:bidi w:val="0"/>
        <w:adjustRightInd/>
        <w:snapToGrid/>
        <w:spacing w:line="360" w:lineRule="auto"/>
        <w:ind w:firstLine="480"/>
        <w:textAlignment w:val="auto"/>
        <w:rPr>
          <w:rFonts w:hint="eastAsia"/>
          <w:color w:val="auto"/>
          <w:highlight w:val="none"/>
        </w:rPr>
      </w:pPr>
      <w:r>
        <w:rPr>
          <w:rFonts w:hint="eastAsia"/>
          <w:color w:val="auto"/>
          <w:highlight w:val="none"/>
        </w:rPr>
        <w:t>地点：政采云平台线上获取</w:t>
      </w:r>
    </w:p>
    <w:p w14:paraId="19C745F5">
      <w:pPr>
        <w:pageBreakBefore w:val="0"/>
        <w:kinsoku/>
        <w:wordWrap/>
        <w:overflowPunct/>
        <w:topLinePunct w:val="0"/>
        <w:autoSpaceDE/>
        <w:autoSpaceDN/>
        <w:bidi w:val="0"/>
        <w:adjustRightInd/>
        <w:snapToGrid/>
        <w:spacing w:line="360" w:lineRule="auto"/>
        <w:ind w:firstLine="480"/>
        <w:textAlignment w:val="auto"/>
        <w:rPr>
          <w:rFonts w:hint="eastAsia"/>
          <w:color w:val="auto"/>
          <w:highlight w:val="none"/>
        </w:rPr>
      </w:pPr>
      <w:r>
        <w:rPr>
          <w:rFonts w:hint="eastAsia"/>
          <w:color w:val="auto"/>
          <w:highlight w:val="none"/>
        </w:rPr>
        <w:t>方式：在线获取       </w:t>
      </w:r>
    </w:p>
    <w:p w14:paraId="44C3497B">
      <w:pPr>
        <w:pageBreakBefore w:val="0"/>
        <w:kinsoku/>
        <w:wordWrap/>
        <w:overflowPunct/>
        <w:topLinePunct w:val="0"/>
        <w:autoSpaceDE/>
        <w:autoSpaceDN/>
        <w:bidi w:val="0"/>
        <w:adjustRightInd/>
        <w:snapToGrid/>
        <w:spacing w:line="360" w:lineRule="auto"/>
        <w:ind w:firstLine="480"/>
        <w:textAlignment w:val="auto"/>
        <w:rPr>
          <w:rFonts w:hint="eastAsia"/>
          <w:color w:val="auto"/>
          <w:highlight w:val="none"/>
        </w:rPr>
      </w:pPr>
      <w:r>
        <w:rPr>
          <w:rFonts w:hint="eastAsia"/>
          <w:color w:val="auto"/>
          <w:highlight w:val="none"/>
        </w:rPr>
        <w:t>售价（元）：0</w:t>
      </w:r>
    </w:p>
    <w:p w14:paraId="28CDD58C">
      <w:pPr>
        <w:keepNext/>
        <w:keepLines/>
        <w:pageBreakBefore w:val="0"/>
        <w:kinsoku/>
        <w:wordWrap/>
        <w:overflowPunct/>
        <w:topLinePunct w:val="0"/>
        <w:autoSpaceDE/>
        <w:autoSpaceDN/>
        <w:bidi w:val="0"/>
        <w:adjustRightInd/>
        <w:snapToGrid/>
        <w:spacing w:before="120" w:beforeLines="50" w:after="24" w:afterLines="10" w:line="360" w:lineRule="auto"/>
        <w:ind w:left="0" w:leftChars="0" w:firstLine="0" w:firstLineChars="0"/>
        <w:textAlignment w:val="auto"/>
        <w:outlineLvl w:val="1"/>
        <w:rPr>
          <w:b/>
          <w:color w:val="auto"/>
          <w:kern w:val="0"/>
          <w:highlight w:val="none"/>
        </w:rPr>
      </w:pPr>
      <w:r>
        <w:rPr>
          <w:rFonts w:hint="eastAsia"/>
          <w:b/>
          <w:color w:val="auto"/>
          <w:kern w:val="0"/>
          <w:highlight w:val="none"/>
        </w:rPr>
        <w:t>四、提交投标文件截止时间、开标时间和地点</w:t>
      </w:r>
    </w:p>
    <w:p w14:paraId="24FF9AB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olor w:val="auto"/>
          <w:highlight w:val="none"/>
        </w:rPr>
      </w:pPr>
      <w:r>
        <w:rPr>
          <w:rFonts w:hint="eastAsia"/>
          <w:color w:val="auto"/>
          <w:highlight w:val="none"/>
        </w:rPr>
        <w:t>提交投标文件截止时间：</w:t>
      </w:r>
      <w:r>
        <w:rPr>
          <w:rFonts w:hint="eastAsia" w:ascii="宋体" w:hAnsi="宋体" w:eastAsia="宋体"/>
          <w:color w:val="auto"/>
          <w:highlight w:val="none"/>
          <w:lang w:val="en-US" w:eastAsia="zh-CN"/>
        </w:rPr>
        <w:t>2026</w:t>
      </w:r>
      <w:r>
        <w:rPr>
          <w:rFonts w:hint="eastAsia" w:ascii="宋体" w:hAnsi="宋体" w:eastAsia="宋体"/>
          <w:color w:val="auto"/>
          <w:highlight w:val="none"/>
        </w:rPr>
        <w:t>年</w:t>
      </w:r>
      <w:r>
        <w:rPr>
          <w:rFonts w:hint="eastAsia" w:ascii="宋体" w:hAnsi="宋体" w:eastAsia="宋体"/>
          <w:color w:val="auto"/>
          <w:highlight w:val="none"/>
          <w:lang w:val="en-US" w:eastAsia="zh-CN"/>
        </w:rPr>
        <w:t>05</w:t>
      </w:r>
      <w:r>
        <w:rPr>
          <w:rFonts w:hint="eastAsia" w:ascii="宋体" w:hAnsi="宋体" w:eastAsia="宋体"/>
          <w:color w:val="auto"/>
          <w:highlight w:val="none"/>
        </w:rPr>
        <w:t>月</w:t>
      </w:r>
      <w:r>
        <w:rPr>
          <w:rFonts w:hint="eastAsia"/>
          <w:color w:val="auto"/>
          <w:highlight w:val="none"/>
          <w:lang w:val="en-US" w:eastAsia="zh-CN"/>
        </w:rPr>
        <w:t>21</w:t>
      </w:r>
      <w:r>
        <w:rPr>
          <w:rFonts w:hint="eastAsia" w:ascii="宋体" w:hAnsi="宋体" w:eastAsia="宋体"/>
          <w:color w:val="auto"/>
          <w:highlight w:val="none"/>
        </w:rPr>
        <w:t>日</w:t>
      </w:r>
      <w:r>
        <w:rPr>
          <w:rFonts w:hint="eastAsia" w:ascii="宋体" w:hAnsi="宋体" w:eastAsia="宋体"/>
          <w:color w:val="auto"/>
          <w:highlight w:val="none"/>
          <w:lang w:val="en-US" w:eastAsia="zh-CN"/>
        </w:rPr>
        <w:t>09</w:t>
      </w:r>
      <w:r>
        <w:rPr>
          <w:rFonts w:hint="eastAsia" w:ascii="宋体" w:hAnsi="宋体" w:eastAsia="宋体"/>
          <w:color w:val="auto"/>
          <w:highlight w:val="none"/>
        </w:rPr>
        <w:t>:</w:t>
      </w:r>
      <w:r>
        <w:rPr>
          <w:rFonts w:hint="eastAsia" w:ascii="宋体" w:hAnsi="宋体" w:eastAsia="宋体"/>
          <w:color w:val="auto"/>
          <w:highlight w:val="none"/>
          <w:lang w:val="en-US" w:eastAsia="zh-CN"/>
        </w:rPr>
        <w:t>00</w:t>
      </w:r>
      <w:r>
        <w:rPr>
          <w:rFonts w:hint="eastAsia" w:ascii="宋体" w:hAnsi="宋体" w:eastAsia="宋体"/>
          <w:color w:val="auto"/>
          <w:highlight w:val="none"/>
        </w:rPr>
        <w:t>（北京时间）        </w:t>
      </w:r>
    </w:p>
    <w:p w14:paraId="23DB112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olor w:val="auto"/>
          <w:highlight w:val="none"/>
        </w:rPr>
      </w:pPr>
      <w:r>
        <w:rPr>
          <w:rFonts w:hint="eastAsia" w:ascii="宋体" w:hAnsi="宋体" w:eastAsia="宋体"/>
          <w:color w:val="auto"/>
          <w:highlight w:val="none"/>
        </w:rPr>
        <w:t>投标地点（网址）：请登录政采云投标客户端投标     </w:t>
      </w:r>
    </w:p>
    <w:p w14:paraId="2C9BA863">
      <w:pPr>
        <w:pageBreakBefore w:val="0"/>
        <w:kinsoku/>
        <w:wordWrap/>
        <w:overflowPunct/>
        <w:topLinePunct w:val="0"/>
        <w:autoSpaceDE/>
        <w:autoSpaceDN/>
        <w:bidi w:val="0"/>
        <w:adjustRightInd/>
        <w:snapToGrid/>
        <w:spacing w:line="360" w:lineRule="auto"/>
        <w:ind w:firstLine="480"/>
        <w:textAlignment w:val="auto"/>
        <w:rPr>
          <w:rFonts w:hint="eastAsia"/>
          <w:color w:val="auto"/>
          <w:highlight w:val="none"/>
        </w:rPr>
      </w:pPr>
      <w:r>
        <w:rPr>
          <w:rFonts w:hint="eastAsia" w:ascii="宋体" w:hAnsi="宋体" w:eastAsia="宋体"/>
          <w:color w:val="auto"/>
          <w:highlight w:val="none"/>
        </w:rPr>
        <w:t>开标时间：</w:t>
      </w:r>
      <w:r>
        <w:rPr>
          <w:rFonts w:hint="eastAsia" w:ascii="宋体" w:hAnsi="宋体" w:eastAsia="宋体"/>
          <w:color w:val="auto"/>
          <w:highlight w:val="none"/>
          <w:lang w:val="en-US" w:eastAsia="zh-CN"/>
        </w:rPr>
        <w:t>2026</w:t>
      </w:r>
      <w:r>
        <w:rPr>
          <w:rFonts w:hint="eastAsia" w:ascii="宋体" w:hAnsi="宋体" w:eastAsia="宋体"/>
          <w:color w:val="auto"/>
          <w:highlight w:val="none"/>
        </w:rPr>
        <w:t>年</w:t>
      </w:r>
      <w:r>
        <w:rPr>
          <w:rFonts w:hint="eastAsia" w:ascii="宋体" w:hAnsi="宋体" w:eastAsia="宋体"/>
          <w:color w:val="auto"/>
          <w:highlight w:val="none"/>
          <w:lang w:val="en-US" w:eastAsia="zh-CN"/>
        </w:rPr>
        <w:t>05</w:t>
      </w:r>
      <w:r>
        <w:rPr>
          <w:rFonts w:hint="eastAsia" w:ascii="宋体" w:hAnsi="宋体" w:eastAsia="宋体"/>
          <w:color w:val="auto"/>
          <w:highlight w:val="none"/>
        </w:rPr>
        <w:t>月</w:t>
      </w:r>
      <w:r>
        <w:rPr>
          <w:rFonts w:hint="eastAsia"/>
          <w:color w:val="auto"/>
          <w:highlight w:val="none"/>
          <w:lang w:val="en-US" w:eastAsia="zh-CN"/>
        </w:rPr>
        <w:t>21</w:t>
      </w:r>
      <w:r>
        <w:rPr>
          <w:rFonts w:hint="eastAsia" w:ascii="宋体" w:hAnsi="宋体" w:eastAsia="宋体"/>
          <w:color w:val="auto"/>
          <w:highlight w:val="none"/>
        </w:rPr>
        <w:t>日</w:t>
      </w:r>
      <w:r>
        <w:rPr>
          <w:rFonts w:hint="eastAsia" w:ascii="宋体" w:hAnsi="宋体" w:eastAsia="宋体"/>
          <w:color w:val="auto"/>
          <w:highlight w:val="none"/>
          <w:lang w:val="en-US" w:eastAsia="zh-CN"/>
        </w:rPr>
        <w:t>09</w:t>
      </w:r>
      <w:r>
        <w:rPr>
          <w:rFonts w:hint="eastAsia" w:ascii="宋体" w:hAnsi="宋体" w:eastAsia="宋体"/>
          <w:color w:val="auto"/>
          <w:highlight w:val="none"/>
        </w:rPr>
        <w:t>:</w:t>
      </w:r>
      <w:r>
        <w:rPr>
          <w:rFonts w:hint="eastAsia" w:ascii="宋体" w:hAnsi="宋体" w:eastAsia="宋体"/>
          <w:color w:val="auto"/>
          <w:highlight w:val="none"/>
          <w:lang w:val="en-US" w:eastAsia="zh-CN"/>
        </w:rPr>
        <w:t>00</w:t>
      </w:r>
      <w:r>
        <w:rPr>
          <w:rFonts w:hint="eastAsia" w:ascii="宋体" w:hAnsi="宋体" w:eastAsia="宋体"/>
          <w:color w:val="auto"/>
          <w:highlight w:val="none"/>
        </w:rPr>
        <w:t>       </w:t>
      </w:r>
      <w:r>
        <w:rPr>
          <w:rFonts w:hint="eastAsia"/>
          <w:color w:val="auto"/>
          <w:highlight w:val="none"/>
        </w:rPr>
        <w:t> </w:t>
      </w:r>
    </w:p>
    <w:p w14:paraId="4C52124C">
      <w:pPr>
        <w:pageBreakBefore w:val="0"/>
        <w:kinsoku/>
        <w:wordWrap/>
        <w:overflowPunct/>
        <w:topLinePunct w:val="0"/>
        <w:autoSpaceDE/>
        <w:autoSpaceDN/>
        <w:bidi w:val="0"/>
        <w:adjustRightInd/>
        <w:snapToGrid/>
        <w:spacing w:line="360" w:lineRule="auto"/>
        <w:textAlignment w:val="auto"/>
        <w:rPr>
          <w:rFonts w:ascii="宋体" w:hAnsi="宋体" w:eastAsia="宋体" w:cs="宋体"/>
          <w:color w:val="auto"/>
          <w:highlight w:val="none"/>
        </w:rPr>
      </w:pPr>
      <w:r>
        <w:rPr>
          <w:rFonts w:hint="eastAsia" w:ascii="宋体" w:hAnsi="宋体" w:eastAsia="宋体" w:cs="宋体"/>
          <w:color w:val="auto"/>
          <w:highlight w:val="none"/>
        </w:rPr>
        <w:t>开标地点：</w:t>
      </w:r>
      <w:r>
        <w:rPr>
          <w:rFonts w:hint="eastAsia" w:ascii="宋体" w:hAnsi="宋体" w:eastAsia="宋体" w:cs="宋体"/>
          <w:color w:val="auto"/>
          <w:highlight w:val="none"/>
          <w:lang w:val="en-US" w:eastAsia="zh-CN"/>
        </w:rPr>
        <w:t>长治市潞州区太行东街街道潞阳门中路桃园巷9号滨河花园小区5号楼1层106铺号华鑫旺烟酒茶二楼。</w:t>
      </w:r>
      <w:r>
        <w:rPr>
          <w:rFonts w:hint="eastAsia" w:ascii="宋体" w:hAnsi="宋体" w:eastAsia="宋体" w:cs="宋体"/>
          <w:color w:val="auto"/>
          <w:highlight w:val="none"/>
        </w:rPr>
        <w:t xml:space="preserve">  </w:t>
      </w:r>
    </w:p>
    <w:p w14:paraId="48E5D9ED">
      <w:pPr>
        <w:pageBreakBefore w:val="0"/>
        <w:kinsoku/>
        <w:wordWrap/>
        <w:overflowPunct/>
        <w:topLinePunct w:val="0"/>
        <w:autoSpaceDE/>
        <w:autoSpaceDN/>
        <w:bidi w:val="0"/>
        <w:adjustRightInd/>
        <w:snapToGrid/>
        <w:spacing w:line="360" w:lineRule="auto"/>
        <w:ind w:left="0" w:leftChars="0" w:firstLine="0" w:firstLineChars="0"/>
        <w:textAlignment w:val="auto"/>
        <w:rPr>
          <w:rFonts w:ascii="宋体" w:hAnsi="宋体" w:eastAsia="宋体" w:cs="宋体"/>
          <w:color w:val="auto"/>
          <w:highlight w:val="none"/>
        </w:rPr>
      </w:pPr>
      <w:r>
        <w:rPr>
          <w:rFonts w:hint="eastAsia" w:ascii="宋体" w:hAnsi="宋体" w:eastAsia="宋体" w:cs="宋体"/>
          <w:b/>
          <w:bCs/>
          <w:color w:val="auto"/>
          <w:highlight w:val="none"/>
        </w:rPr>
        <w:t>五、公告期限</w:t>
      </w:r>
      <w:r>
        <w:rPr>
          <w:rFonts w:hint="eastAsia" w:ascii="宋体" w:hAnsi="宋体" w:eastAsia="宋体" w:cs="宋体"/>
          <w:color w:val="auto"/>
          <w:highlight w:val="none"/>
        </w:rPr>
        <w:t xml:space="preserve"> </w:t>
      </w:r>
    </w:p>
    <w:p w14:paraId="46730A86">
      <w:pPr>
        <w:pageBreakBefore w:val="0"/>
        <w:kinsoku/>
        <w:wordWrap/>
        <w:overflowPunct/>
        <w:topLinePunct w:val="0"/>
        <w:autoSpaceDE/>
        <w:autoSpaceDN/>
        <w:bidi w:val="0"/>
        <w:adjustRightInd/>
        <w:snapToGrid/>
        <w:spacing w:line="360" w:lineRule="auto"/>
        <w:textAlignment w:val="auto"/>
        <w:rPr>
          <w:rFonts w:ascii="宋体" w:hAnsi="宋体" w:eastAsia="宋体" w:cs="宋体"/>
          <w:color w:val="auto"/>
          <w:highlight w:val="none"/>
        </w:rPr>
      </w:pPr>
      <w:r>
        <w:rPr>
          <w:rFonts w:hint="eastAsia" w:ascii="宋体" w:hAnsi="宋体" w:eastAsia="宋体" w:cs="宋体"/>
          <w:color w:val="auto"/>
          <w:highlight w:val="none"/>
        </w:rPr>
        <w:t>自本公告发布之日起5个工作日。</w:t>
      </w:r>
    </w:p>
    <w:p w14:paraId="190CA5D7">
      <w:pPr>
        <w:pageBreakBefore w:val="0"/>
        <w:kinsoku/>
        <w:wordWrap/>
        <w:overflowPunct/>
        <w:topLinePunct w:val="0"/>
        <w:autoSpaceDE/>
        <w:autoSpaceDN/>
        <w:bidi w:val="0"/>
        <w:adjustRightInd/>
        <w:snapToGrid/>
        <w:spacing w:line="360" w:lineRule="auto"/>
        <w:ind w:left="0" w:leftChars="0" w:firstLine="0" w:firstLineChars="0"/>
        <w:textAlignment w:val="auto"/>
        <w:rPr>
          <w:rFonts w:ascii="宋体" w:hAnsi="宋体" w:eastAsia="宋体" w:cs="宋体"/>
          <w:color w:val="auto"/>
          <w:highlight w:val="none"/>
        </w:rPr>
      </w:pPr>
      <w:r>
        <w:rPr>
          <w:rFonts w:ascii="宋体" w:hAnsi="宋体" w:eastAsia="宋体" w:cs="宋体"/>
          <w:b/>
          <w:bCs/>
          <w:color w:val="auto"/>
          <w:highlight w:val="none"/>
        </w:rPr>
        <w:t>六</w:t>
      </w:r>
      <w:r>
        <w:rPr>
          <w:rFonts w:hint="eastAsia" w:ascii="宋体" w:hAnsi="宋体" w:eastAsia="宋体" w:cs="宋体"/>
          <w:b/>
          <w:bCs/>
          <w:color w:val="auto"/>
          <w:highlight w:val="none"/>
        </w:rPr>
        <w:t>、其他补充事宜</w:t>
      </w:r>
      <w:r>
        <w:rPr>
          <w:rFonts w:ascii="宋体" w:hAnsi="宋体" w:eastAsia="宋体" w:cs="宋体"/>
          <w:b/>
          <w:bCs/>
          <w:color w:val="auto"/>
          <w:highlight w:val="none"/>
        </w:rPr>
        <w:t> </w:t>
      </w:r>
      <w:r>
        <w:rPr>
          <w:rFonts w:ascii="宋体" w:hAnsi="宋体" w:eastAsia="宋体" w:cs="宋体"/>
          <w:color w:val="auto"/>
          <w:highlight w:val="none"/>
        </w:rPr>
        <w:t>   </w:t>
      </w:r>
    </w:p>
    <w:p w14:paraId="56005082">
      <w:pPr>
        <w:pageBreakBefore w:val="0"/>
        <w:kinsoku/>
        <w:wordWrap/>
        <w:overflowPunct/>
        <w:topLinePunct w:val="0"/>
        <w:autoSpaceDE/>
        <w:autoSpaceDN/>
        <w:bidi w:val="0"/>
        <w:adjustRightInd/>
        <w:snapToGrid/>
        <w:spacing w:line="360" w:lineRule="auto"/>
        <w:textAlignment w:val="auto"/>
        <w:rPr>
          <w:rFonts w:ascii="宋体" w:hAnsi="宋体" w:eastAsia="宋体" w:cs="宋体"/>
          <w:color w:val="auto"/>
          <w:highlight w:val="none"/>
        </w:rPr>
      </w:pPr>
      <w:r>
        <w:rPr>
          <w:rFonts w:ascii="宋体" w:hAnsi="宋体" w:eastAsia="宋体" w:cs="宋体"/>
          <w:color w:val="auto"/>
          <w:highlight w:val="none"/>
        </w:rPr>
        <w:t xml:space="preserve">针对本项目的质疑需一次性提出，多次提出将不予受理。供应商参与山西省政府采购项目时，符合法定质疑条件的，通过政府采购平台进入“项目质疑管理”栏目向采购人、采购代理机构在线提起质疑。      </w:t>
      </w:r>
    </w:p>
    <w:p w14:paraId="53DF8F19">
      <w:pPr>
        <w:pageBreakBefore w:val="0"/>
        <w:kinsoku/>
        <w:wordWrap/>
        <w:overflowPunct/>
        <w:topLinePunct w:val="0"/>
        <w:autoSpaceDE/>
        <w:autoSpaceDN/>
        <w:bidi w:val="0"/>
        <w:adjustRightInd/>
        <w:snapToGrid/>
        <w:spacing w:line="360" w:lineRule="auto"/>
        <w:textAlignment w:val="auto"/>
        <w:rPr>
          <w:rFonts w:ascii="宋体" w:hAnsi="宋体" w:eastAsia="宋体" w:cs="宋体"/>
          <w:color w:val="auto"/>
          <w:highlight w:val="none"/>
        </w:rPr>
      </w:pPr>
      <w:r>
        <w:rPr>
          <w:rFonts w:ascii="宋体" w:hAnsi="宋体" w:eastAsia="宋体" w:cs="宋体"/>
          <w:color w:val="auto"/>
          <w:highlight w:val="none"/>
        </w:rPr>
        <w:t xml:space="preserve">代理费支付方式：供应商支付 </w:t>
      </w:r>
    </w:p>
    <w:p w14:paraId="3A893672">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eastAsia="zh-CN"/>
        </w:rPr>
      </w:pPr>
      <w:r>
        <w:rPr>
          <w:rFonts w:ascii="宋体" w:hAnsi="宋体" w:eastAsia="宋体" w:cs="宋体"/>
          <w:color w:val="auto"/>
          <w:highlight w:val="none"/>
        </w:rPr>
        <w:t>代理费收费标准：</w:t>
      </w:r>
      <w:r>
        <w:rPr>
          <w:rFonts w:hint="eastAsia" w:ascii="宋体" w:hAnsi="宋体" w:eastAsia="宋体" w:cs="宋体"/>
          <w:color w:val="auto"/>
          <w:highlight w:val="none"/>
          <w:lang w:eastAsia="zh-CN"/>
        </w:rPr>
        <w:t>参照原国家发展计划委员会发布的《采购代理服务收费管理暂行办法》（计价格[2002]1980号）、《国家发展改革委办公厅关于采购代理服务收费有关问题的通知》（发改办价格[2003]857号）和《国家发展改革委关于降低部分建设项目收费标准规范收费行为等有关问题的通知》（发改价格[2011]534号）规定计取</w:t>
      </w:r>
      <w:r>
        <w:rPr>
          <w:rFonts w:hint="eastAsia" w:cs="宋体"/>
          <w:color w:val="auto"/>
          <w:highlight w:val="none"/>
          <w:lang w:eastAsia="zh-CN"/>
        </w:rPr>
        <w:t>。</w:t>
      </w:r>
    </w:p>
    <w:p w14:paraId="3E7652E6">
      <w:pPr>
        <w:pageBreakBefore w:val="0"/>
        <w:kinsoku/>
        <w:wordWrap/>
        <w:overflowPunct/>
        <w:topLinePunct w:val="0"/>
        <w:autoSpaceDE/>
        <w:autoSpaceDN/>
        <w:bidi w:val="0"/>
        <w:adjustRightInd/>
        <w:snapToGrid/>
        <w:spacing w:line="360" w:lineRule="auto"/>
        <w:textAlignment w:val="auto"/>
        <w:rPr>
          <w:rFonts w:ascii="宋体" w:hAnsi="宋体" w:eastAsia="宋体" w:cs="宋体"/>
          <w:color w:val="auto"/>
          <w:highlight w:val="none"/>
        </w:rPr>
      </w:pPr>
      <w:r>
        <w:rPr>
          <w:rFonts w:ascii="宋体" w:hAnsi="宋体" w:eastAsia="宋体" w:cs="宋体"/>
          <w:color w:val="auto"/>
          <w:highlight w:val="none"/>
        </w:rPr>
        <w:t>代理费收费金额（元）： /  </w:t>
      </w:r>
    </w:p>
    <w:p w14:paraId="652AA0D8">
      <w:pPr>
        <w:keepNext/>
        <w:keepLines/>
        <w:pageBreakBefore w:val="0"/>
        <w:kinsoku/>
        <w:wordWrap/>
        <w:overflowPunct/>
        <w:topLinePunct w:val="0"/>
        <w:autoSpaceDE/>
        <w:autoSpaceDN/>
        <w:bidi w:val="0"/>
        <w:adjustRightInd/>
        <w:snapToGrid/>
        <w:spacing w:before="120" w:beforeLines="50" w:after="24" w:afterLines="10" w:line="360" w:lineRule="auto"/>
        <w:ind w:left="0" w:leftChars="0" w:firstLine="0" w:firstLineChars="0"/>
        <w:textAlignment w:val="auto"/>
        <w:outlineLvl w:val="1"/>
        <w:rPr>
          <w:b/>
          <w:color w:val="auto"/>
          <w:kern w:val="0"/>
          <w:highlight w:val="none"/>
        </w:rPr>
      </w:pPr>
      <w:r>
        <w:rPr>
          <w:rFonts w:hint="eastAsia"/>
          <w:b/>
          <w:color w:val="auto"/>
          <w:kern w:val="0"/>
          <w:highlight w:val="none"/>
        </w:rPr>
        <w:t>七、凡对本次采购提出询问，请按以下方式联系</w:t>
      </w:r>
    </w:p>
    <w:p w14:paraId="1CB7E98D">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bookmarkStart w:id="16" w:name="_Toc28359019"/>
      <w:bookmarkStart w:id="17" w:name="_Toc35393637"/>
      <w:bookmarkStart w:id="18" w:name="_Toc28359096"/>
      <w:bookmarkStart w:id="19" w:name="_Toc35393806"/>
      <w:bookmarkStart w:id="20" w:name="_Toc28359098"/>
      <w:bookmarkStart w:id="21" w:name="_Toc35393639"/>
      <w:bookmarkStart w:id="22" w:name="_Toc15103"/>
      <w:bookmarkStart w:id="23" w:name="_Toc28359021"/>
      <w:bookmarkStart w:id="24" w:name="_Toc35393808"/>
      <w:r>
        <w:rPr>
          <w:rFonts w:hint="eastAsia" w:ascii="宋体" w:hAnsi="宋体" w:eastAsia="宋体" w:cs="宋体"/>
          <w:color w:val="auto"/>
          <w:highlight w:val="none"/>
        </w:rPr>
        <w:t>1.采购人信息</w:t>
      </w:r>
      <w:bookmarkEnd w:id="16"/>
      <w:bookmarkEnd w:id="17"/>
      <w:bookmarkEnd w:id="18"/>
      <w:bookmarkEnd w:id="19"/>
    </w:p>
    <w:p w14:paraId="1012A296">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val="en-US" w:eastAsia="zh-CN"/>
        </w:rPr>
      </w:pPr>
      <w:bookmarkStart w:id="25" w:name="_Toc35393807"/>
      <w:bookmarkStart w:id="26" w:name="_Toc35393638"/>
      <w:bookmarkStart w:id="27" w:name="_Toc28359097"/>
      <w:bookmarkStart w:id="28" w:name="_Toc28359020"/>
      <w:r>
        <w:rPr>
          <w:rFonts w:hint="eastAsia" w:ascii="宋体" w:hAnsi="宋体" w:eastAsia="宋体" w:cs="宋体"/>
          <w:color w:val="auto"/>
          <w:highlight w:val="none"/>
          <w:lang w:val="en-US" w:eastAsia="zh-CN"/>
        </w:rPr>
        <w:t>名称</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长治市屯留区文化和旅游局</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 xml:space="preserve"> </w:t>
      </w:r>
    </w:p>
    <w:p w14:paraId="04C42482">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地址：</w:t>
      </w:r>
      <w:r>
        <w:rPr>
          <w:rFonts w:hint="eastAsia" w:ascii="宋体" w:hAnsi="宋体" w:eastAsia="宋体" w:cs="宋体"/>
          <w:color w:val="auto"/>
          <w:highlight w:val="none"/>
          <w:lang w:val="en-US" w:eastAsia="zh-CN"/>
        </w:rPr>
        <w:t>长治市屯留区麟绛西大街123号</w:t>
      </w:r>
    </w:p>
    <w:p w14:paraId="3A406A11">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联系电话：</w:t>
      </w:r>
      <w:r>
        <w:rPr>
          <w:rFonts w:hint="eastAsia" w:ascii="宋体" w:hAnsi="宋体" w:eastAsia="宋体" w:cs="宋体"/>
          <w:color w:val="auto"/>
          <w:highlight w:val="none"/>
          <w:lang w:val="en-US" w:eastAsia="zh-CN"/>
        </w:rPr>
        <w:t xml:space="preserve">0355-7522121 </w:t>
      </w:r>
    </w:p>
    <w:bookmarkEnd w:id="20"/>
    <w:bookmarkEnd w:id="21"/>
    <w:bookmarkEnd w:id="22"/>
    <w:bookmarkEnd w:id="23"/>
    <w:bookmarkEnd w:id="24"/>
    <w:bookmarkEnd w:id="25"/>
    <w:bookmarkEnd w:id="26"/>
    <w:bookmarkEnd w:id="27"/>
    <w:bookmarkEnd w:id="28"/>
    <w:p w14:paraId="40B36D05">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bookmarkStart w:id="29" w:name="_Toc6633"/>
      <w:r>
        <w:rPr>
          <w:rFonts w:hint="eastAsia" w:ascii="宋体" w:hAnsi="宋体" w:eastAsia="宋体" w:cs="宋体"/>
          <w:color w:val="auto"/>
          <w:highlight w:val="none"/>
        </w:rPr>
        <w:t>2.采购代理机构信息</w:t>
      </w:r>
    </w:p>
    <w:p w14:paraId="01E986FA">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名称</w:t>
      </w:r>
      <w:r>
        <w:rPr>
          <w:rFonts w:hint="eastAsia" w:ascii="宋体" w:hAnsi="宋体" w:eastAsia="宋体" w:cs="宋体"/>
          <w:color w:val="auto"/>
          <w:highlight w:val="none"/>
          <w:lang w:eastAsia="zh-CN"/>
        </w:rPr>
        <w:t>：山西铭汇工程项目管理有限公司</w:t>
      </w:r>
    </w:p>
    <w:p w14:paraId="62757159">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地址：</w:t>
      </w:r>
      <w:r>
        <w:rPr>
          <w:rFonts w:hint="eastAsia" w:ascii="宋体" w:hAnsi="宋体" w:eastAsia="宋体" w:cs="宋体"/>
          <w:color w:val="auto"/>
          <w:highlight w:val="none"/>
          <w:lang w:eastAsia="zh-CN"/>
        </w:rPr>
        <w:t>长治市潞州区太行东街街道潞阳门中路桃园巷9号滨河花园小区5号楼1层106铺号华鑫旺烟酒茶二楼</w:t>
      </w:r>
    </w:p>
    <w:p w14:paraId="46A5E9B2">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联系方</w:t>
      </w:r>
      <w:r>
        <w:rPr>
          <w:rFonts w:hint="eastAsia" w:ascii="宋体" w:hAnsi="宋体" w:eastAsia="宋体" w:cs="宋体"/>
          <w:color w:val="auto"/>
          <w:highlight w:val="none"/>
          <w:lang w:eastAsia="zh-CN"/>
        </w:rPr>
        <w:t>式：</w:t>
      </w:r>
      <w:r>
        <w:rPr>
          <w:rFonts w:hint="eastAsia" w:ascii="宋体" w:hAnsi="宋体" w:eastAsia="宋体" w:cs="宋体"/>
          <w:color w:val="auto"/>
          <w:highlight w:val="none"/>
          <w:lang w:val="en-US" w:eastAsia="zh-CN"/>
        </w:rPr>
        <w:t>0355-7737788</w:t>
      </w:r>
    </w:p>
    <w:p w14:paraId="7E21DFC2">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3.项目联系方式</w:t>
      </w:r>
    </w:p>
    <w:p w14:paraId="70B70161">
      <w:pPr>
        <w:pageBreakBefore w:val="0"/>
        <w:kinsoku/>
        <w:wordWrap/>
        <w:overflowPunct/>
        <w:topLinePunct w:val="0"/>
        <w:autoSpaceDE/>
        <w:autoSpaceDN/>
        <w:bidi w:val="0"/>
        <w:adjustRightInd/>
        <w:snapToGrid/>
        <w:spacing w:line="360" w:lineRule="auto"/>
        <w:textAlignment w:val="auto"/>
        <w:rPr>
          <w:rFonts w:hint="default" w:ascii="宋体" w:hAnsi="宋体" w:eastAsia="宋体" w:cs="宋体"/>
          <w:color w:val="auto"/>
          <w:highlight w:val="none"/>
          <w:lang w:val="en-US"/>
        </w:rPr>
      </w:pPr>
      <w:r>
        <w:rPr>
          <w:rFonts w:hint="eastAsia" w:ascii="宋体" w:hAnsi="宋体" w:eastAsia="宋体" w:cs="宋体"/>
          <w:color w:val="auto"/>
          <w:highlight w:val="none"/>
        </w:rPr>
        <w:t>项目联系人：</w:t>
      </w:r>
      <w:r>
        <w:rPr>
          <w:rFonts w:hint="eastAsia" w:ascii="宋体" w:hAnsi="宋体" w:eastAsia="宋体" w:cs="宋体"/>
          <w:color w:val="auto"/>
          <w:highlight w:val="none"/>
          <w:lang w:val="en-US" w:eastAsia="zh-CN"/>
        </w:rPr>
        <w:t>邵波</w:t>
      </w:r>
    </w:p>
    <w:p w14:paraId="0BEC2F66">
      <w:pPr>
        <w:pageBreakBefore w:val="0"/>
        <w:kinsoku/>
        <w:wordWrap/>
        <w:overflowPunct/>
        <w:topLinePunct w:val="0"/>
        <w:autoSpaceDE/>
        <w:autoSpaceDN/>
        <w:bidi w:val="0"/>
        <w:adjustRightInd/>
        <w:snapToGrid/>
        <w:spacing w:line="360" w:lineRule="auto"/>
        <w:textAlignment w:val="auto"/>
        <w:rPr>
          <w:rFonts w:ascii="宋体" w:hAnsi="宋体" w:eastAsia="宋体" w:cs="宋体"/>
          <w:color w:val="auto"/>
          <w:highlight w:val="none"/>
        </w:rPr>
        <w:sectPr>
          <w:headerReference r:id="rId11" w:type="default"/>
          <w:footerReference r:id="rId12" w:type="default"/>
          <w:pgSz w:w="11906" w:h="16838"/>
          <w:pgMar w:top="1134" w:right="1134" w:bottom="1134" w:left="1418" w:header="851" w:footer="992" w:gutter="0"/>
          <w:pgNumType w:fmt="decimal" w:start="1"/>
          <w:cols w:space="720" w:num="1"/>
          <w:docGrid w:linePitch="312" w:charSpace="0"/>
        </w:sectPr>
      </w:pPr>
      <w:r>
        <w:rPr>
          <w:rFonts w:hint="eastAsia" w:ascii="宋体" w:hAnsi="宋体" w:eastAsia="宋体" w:cs="宋体"/>
          <w:color w:val="auto"/>
          <w:highlight w:val="none"/>
          <w:lang w:val="en-US" w:eastAsia="zh-CN"/>
        </w:rPr>
        <w:t>联系方式：0355-7737788</w:t>
      </w:r>
    </w:p>
    <w:p w14:paraId="47C1F8BD">
      <w:pPr>
        <w:pStyle w:val="4"/>
        <w:spacing w:after="312"/>
        <w:rPr>
          <w:color w:val="auto"/>
          <w:highlight w:val="none"/>
        </w:rPr>
      </w:pPr>
      <w:r>
        <w:rPr>
          <w:rFonts w:hint="eastAsia"/>
          <w:color w:val="auto"/>
          <w:highlight w:val="none"/>
        </w:rPr>
        <w:t>第二章 投标人须知</w:t>
      </w:r>
      <w:bookmarkEnd w:id="29"/>
    </w:p>
    <w:p w14:paraId="41EF36C8">
      <w:pPr>
        <w:keepNext/>
        <w:keepLines/>
        <w:widowControl/>
        <w:spacing w:before="234" w:beforeLines="75" w:after="46" w:afterLines="15"/>
        <w:ind w:firstLine="0" w:firstLineChars="0"/>
        <w:jc w:val="center"/>
        <w:outlineLvl w:val="2"/>
        <w:rPr>
          <w:b/>
          <w:color w:val="auto"/>
          <w:szCs w:val="32"/>
          <w:highlight w:val="none"/>
        </w:rPr>
      </w:pPr>
      <w:r>
        <w:rPr>
          <w:rFonts w:hint="eastAsia"/>
          <w:b/>
          <w:color w:val="auto"/>
          <w:szCs w:val="32"/>
          <w:highlight w:val="none"/>
        </w:rPr>
        <w:t>投标人</w:t>
      </w:r>
      <w:r>
        <w:rPr>
          <w:b/>
          <w:color w:val="auto"/>
          <w:szCs w:val="32"/>
          <w:highlight w:val="none"/>
        </w:rPr>
        <w:t>须知前附表</w:t>
      </w:r>
    </w:p>
    <w:tbl>
      <w:tblPr>
        <w:tblStyle w:val="40"/>
        <w:tblW w:w="94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7"/>
        <w:gridCol w:w="1718"/>
        <w:gridCol w:w="6859"/>
      </w:tblGrid>
      <w:tr w14:paraId="0C41B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1" w:hRule="atLeast"/>
          <w:jc w:val="center"/>
        </w:trPr>
        <w:tc>
          <w:tcPr>
            <w:tcW w:w="887" w:type="dxa"/>
            <w:tcBorders>
              <w:top w:val="single" w:color="000000" w:sz="4" w:space="0"/>
              <w:left w:val="single" w:color="000000" w:sz="4" w:space="0"/>
              <w:bottom w:val="single" w:color="000000" w:sz="4" w:space="0"/>
              <w:right w:val="single" w:color="000000" w:sz="4" w:space="0"/>
            </w:tcBorders>
            <w:vAlign w:val="center"/>
          </w:tcPr>
          <w:p w14:paraId="0461F0E9">
            <w:pPr>
              <w:spacing w:line="240" w:lineRule="auto"/>
              <w:ind w:firstLine="0" w:firstLineChars="0"/>
              <w:jc w:val="center"/>
              <w:rPr>
                <w:b/>
                <w:bCs/>
                <w:color w:val="auto"/>
                <w:sz w:val="21"/>
                <w:szCs w:val="21"/>
                <w:highlight w:val="none"/>
              </w:rPr>
            </w:pPr>
            <w:r>
              <w:rPr>
                <w:rFonts w:hint="eastAsia"/>
                <w:b/>
                <w:bCs/>
                <w:color w:val="auto"/>
                <w:sz w:val="21"/>
                <w:szCs w:val="21"/>
                <w:highlight w:val="none"/>
              </w:rPr>
              <w:t>序号</w:t>
            </w:r>
          </w:p>
        </w:tc>
        <w:tc>
          <w:tcPr>
            <w:tcW w:w="1718" w:type="dxa"/>
            <w:tcBorders>
              <w:top w:val="single" w:color="000000" w:sz="4" w:space="0"/>
              <w:left w:val="single" w:color="000000" w:sz="4" w:space="0"/>
              <w:bottom w:val="single" w:color="000000" w:sz="4" w:space="0"/>
              <w:right w:val="single" w:color="000000" w:sz="4" w:space="0"/>
            </w:tcBorders>
            <w:vAlign w:val="center"/>
          </w:tcPr>
          <w:p w14:paraId="26FEBBBF">
            <w:pPr>
              <w:spacing w:line="240" w:lineRule="auto"/>
              <w:ind w:firstLine="0" w:firstLineChars="0"/>
              <w:jc w:val="center"/>
              <w:rPr>
                <w:b/>
                <w:bCs/>
                <w:color w:val="auto"/>
                <w:sz w:val="21"/>
                <w:szCs w:val="21"/>
                <w:highlight w:val="none"/>
              </w:rPr>
            </w:pPr>
            <w:r>
              <w:rPr>
                <w:rFonts w:hint="eastAsia"/>
                <w:b/>
                <w:bCs/>
                <w:color w:val="auto"/>
                <w:sz w:val="21"/>
                <w:szCs w:val="21"/>
                <w:highlight w:val="none"/>
              </w:rPr>
              <w:t>内    容</w:t>
            </w:r>
          </w:p>
        </w:tc>
        <w:tc>
          <w:tcPr>
            <w:tcW w:w="6859" w:type="dxa"/>
            <w:tcBorders>
              <w:top w:val="single" w:color="000000" w:sz="4" w:space="0"/>
              <w:left w:val="single" w:color="000000" w:sz="4" w:space="0"/>
              <w:bottom w:val="single" w:color="000000" w:sz="4" w:space="0"/>
              <w:right w:val="single" w:color="000000" w:sz="4" w:space="0"/>
            </w:tcBorders>
            <w:vAlign w:val="center"/>
          </w:tcPr>
          <w:p w14:paraId="02F52A88">
            <w:pPr>
              <w:spacing w:line="240" w:lineRule="auto"/>
              <w:ind w:firstLine="0" w:firstLineChars="0"/>
              <w:jc w:val="center"/>
              <w:rPr>
                <w:b/>
                <w:bCs/>
                <w:color w:val="auto"/>
                <w:sz w:val="21"/>
                <w:szCs w:val="21"/>
                <w:highlight w:val="none"/>
              </w:rPr>
            </w:pPr>
            <w:r>
              <w:rPr>
                <w:rFonts w:hint="eastAsia"/>
                <w:b/>
                <w:bCs/>
                <w:color w:val="auto"/>
                <w:sz w:val="21"/>
                <w:szCs w:val="21"/>
                <w:highlight w:val="none"/>
              </w:rPr>
              <w:t>说明与要求</w:t>
            </w:r>
          </w:p>
        </w:tc>
      </w:tr>
      <w:tr w14:paraId="1B385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jc w:val="center"/>
        </w:trPr>
        <w:tc>
          <w:tcPr>
            <w:tcW w:w="887" w:type="dxa"/>
            <w:tcBorders>
              <w:top w:val="single" w:color="000000" w:sz="4" w:space="0"/>
              <w:left w:val="single" w:color="000000" w:sz="4" w:space="0"/>
              <w:bottom w:val="single" w:color="000000" w:sz="4" w:space="0"/>
              <w:right w:val="single" w:color="000000" w:sz="4" w:space="0"/>
            </w:tcBorders>
            <w:vAlign w:val="center"/>
          </w:tcPr>
          <w:p w14:paraId="23F04111">
            <w:pPr>
              <w:spacing w:line="240" w:lineRule="auto"/>
              <w:ind w:firstLine="0" w:firstLineChars="0"/>
              <w:jc w:val="center"/>
              <w:rPr>
                <w:color w:val="auto"/>
                <w:highlight w:val="none"/>
              </w:rPr>
            </w:pPr>
            <w:r>
              <w:rPr>
                <w:rFonts w:hint="eastAsia"/>
                <w:color w:val="auto"/>
                <w:highlight w:val="none"/>
              </w:rPr>
              <w:t>1</w:t>
            </w:r>
          </w:p>
        </w:tc>
        <w:tc>
          <w:tcPr>
            <w:tcW w:w="1718" w:type="dxa"/>
            <w:tcBorders>
              <w:top w:val="single" w:color="000000" w:sz="4" w:space="0"/>
              <w:left w:val="single" w:color="000000" w:sz="4" w:space="0"/>
              <w:bottom w:val="single" w:color="000000" w:sz="4" w:space="0"/>
              <w:right w:val="single" w:color="000000" w:sz="4" w:space="0"/>
            </w:tcBorders>
            <w:vAlign w:val="center"/>
          </w:tcPr>
          <w:p w14:paraId="1D2726E2">
            <w:pPr>
              <w:spacing w:line="240" w:lineRule="auto"/>
              <w:ind w:firstLine="0" w:firstLineChars="0"/>
              <w:jc w:val="center"/>
              <w:rPr>
                <w:color w:val="auto"/>
                <w:highlight w:val="none"/>
              </w:rPr>
            </w:pPr>
            <w:r>
              <w:rPr>
                <w:rFonts w:hint="eastAsia"/>
                <w:color w:val="auto"/>
                <w:highlight w:val="none"/>
              </w:rPr>
              <w:t>采购人</w:t>
            </w:r>
          </w:p>
        </w:tc>
        <w:tc>
          <w:tcPr>
            <w:tcW w:w="6859" w:type="dxa"/>
            <w:tcBorders>
              <w:top w:val="single" w:color="000000" w:sz="4" w:space="0"/>
              <w:left w:val="single" w:color="000000" w:sz="4" w:space="0"/>
              <w:bottom w:val="single" w:color="000000" w:sz="4" w:space="0"/>
              <w:right w:val="single" w:color="000000" w:sz="4" w:space="0"/>
            </w:tcBorders>
            <w:vAlign w:val="center"/>
          </w:tcPr>
          <w:p w14:paraId="71107CF7">
            <w:pPr>
              <w:spacing w:line="240" w:lineRule="auto"/>
              <w:ind w:firstLine="0" w:firstLineChars="0"/>
              <w:jc w:val="left"/>
              <w:rPr>
                <w:color w:val="auto"/>
                <w:highlight w:val="none"/>
              </w:rPr>
            </w:pPr>
            <w:r>
              <w:rPr>
                <w:rFonts w:hint="eastAsia" w:ascii="宋体" w:hAnsi="宋体" w:eastAsia="宋体" w:cs="宋体"/>
                <w:color w:val="auto"/>
                <w:highlight w:val="none"/>
                <w:lang w:val="en-US" w:eastAsia="zh-CN"/>
              </w:rPr>
              <w:t>长治市屯留区文化和旅游局</w:t>
            </w:r>
            <w:r>
              <w:rPr>
                <w:rFonts w:hint="eastAsia" w:ascii="宋体" w:hAnsi="宋体" w:eastAsia="宋体" w:cs="宋体"/>
                <w:color w:val="auto"/>
                <w:highlight w:val="none"/>
              </w:rPr>
              <w:t xml:space="preserve">  </w:t>
            </w:r>
          </w:p>
        </w:tc>
      </w:tr>
      <w:tr w14:paraId="0F3DF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jc w:val="center"/>
        </w:trPr>
        <w:tc>
          <w:tcPr>
            <w:tcW w:w="887" w:type="dxa"/>
            <w:tcBorders>
              <w:top w:val="single" w:color="000000" w:sz="4" w:space="0"/>
              <w:left w:val="single" w:color="000000" w:sz="4" w:space="0"/>
              <w:bottom w:val="single" w:color="000000" w:sz="4" w:space="0"/>
              <w:right w:val="single" w:color="000000" w:sz="4" w:space="0"/>
            </w:tcBorders>
            <w:vAlign w:val="center"/>
          </w:tcPr>
          <w:p w14:paraId="1E4B5C5A">
            <w:pPr>
              <w:spacing w:line="240" w:lineRule="auto"/>
              <w:ind w:firstLine="0" w:firstLineChars="0"/>
              <w:jc w:val="center"/>
              <w:rPr>
                <w:color w:val="auto"/>
                <w:highlight w:val="none"/>
              </w:rPr>
            </w:pPr>
            <w:r>
              <w:rPr>
                <w:rFonts w:hint="eastAsia"/>
                <w:color w:val="auto"/>
                <w:highlight w:val="none"/>
              </w:rPr>
              <w:t>2</w:t>
            </w:r>
          </w:p>
        </w:tc>
        <w:tc>
          <w:tcPr>
            <w:tcW w:w="1718" w:type="dxa"/>
            <w:tcBorders>
              <w:top w:val="single" w:color="000000" w:sz="4" w:space="0"/>
              <w:left w:val="single" w:color="000000" w:sz="4" w:space="0"/>
              <w:bottom w:val="single" w:color="000000" w:sz="4" w:space="0"/>
              <w:right w:val="single" w:color="000000" w:sz="4" w:space="0"/>
            </w:tcBorders>
            <w:vAlign w:val="center"/>
          </w:tcPr>
          <w:p w14:paraId="3F902E23">
            <w:pPr>
              <w:spacing w:line="240" w:lineRule="auto"/>
              <w:ind w:firstLine="0" w:firstLineChars="0"/>
              <w:jc w:val="center"/>
              <w:rPr>
                <w:color w:val="auto"/>
                <w:highlight w:val="none"/>
              </w:rPr>
            </w:pPr>
            <w:r>
              <w:rPr>
                <w:rFonts w:hint="eastAsia"/>
                <w:color w:val="auto"/>
                <w:highlight w:val="none"/>
              </w:rPr>
              <w:t>代理机构</w:t>
            </w:r>
          </w:p>
        </w:tc>
        <w:tc>
          <w:tcPr>
            <w:tcW w:w="6859" w:type="dxa"/>
            <w:tcBorders>
              <w:top w:val="single" w:color="000000" w:sz="4" w:space="0"/>
              <w:left w:val="single" w:color="000000" w:sz="4" w:space="0"/>
              <w:bottom w:val="single" w:color="000000" w:sz="4" w:space="0"/>
              <w:right w:val="single" w:color="000000" w:sz="4" w:space="0"/>
            </w:tcBorders>
            <w:vAlign w:val="center"/>
          </w:tcPr>
          <w:p w14:paraId="4DDDCE9B">
            <w:pPr>
              <w:spacing w:line="240" w:lineRule="auto"/>
              <w:ind w:firstLine="0" w:firstLineChars="0"/>
              <w:jc w:val="left"/>
              <w:rPr>
                <w:color w:val="auto"/>
                <w:highlight w:val="none"/>
              </w:rPr>
            </w:pPr>
            <w:r>
              <w:rPr>
                <w:rFonts w:hint="eastAsia" w:cs="宋体"/>
                <w:color w:val="auto"/>
                <w:sz w:val="24"/>
                <w:szCs w:val="24"/>
                <w:highlight w:val="none"/>
                <w:lang w:eastAsia="zh-CN"/>
              </w:rPr>
              <w:t>山西铭汇工程项目管理有限公司</w:t>
            </w:r>
          </w:p>
        </w:tc>
      </w:tr>
      <w:tr w14:paraId="2048F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jc w:val="center"/>
        </w:trPr>
        <w:tc>
          <w:tcPr>
            <w:tcW w:w="887" w:type="dxa"/>
            <w:tcBorders>
              <w:top w:val="single" w:color="000000" w:sz="4" w:space="0"/>
              <w:left w:val="single" w:color="000000" w:sz="4" w:space="0"/>
              <w:bottom w:val="single" w:color="000000" w:sz="4" w:space="0"/>
              <w:right w:val="single" w:color="000000" w:sz="4" w:space="0"/>
            </w:tcBorders>
            <w:vAlign w:val="center"/>
          </w:tcPr>
          <w:p w14:paraId="0BB160E2">
            <w:pPr>
              <w:spacing w:line="240" w:lineRule="auto"/>
              <w:ind w:firstLine="0" w:firstLineChars="0"/>
              <w:jc w:val="center"/>
              <w:rPr>
                <w:color w:val="auto"/>
                <w:highlight w:val="none"/>
              </w:rPr>
            </w:pPr>
            <w:r>
              <w:rPr>
                <w:rFonts w:hint="eastAsia"/>
                <w:color w:val="auto"/>
                <w:highlight w:val="none"/>
              </w:rPr>
              <w:t>3</w:t>
            </w:r>
          </w:p>
        </w:tc>
        <w:tc>
          <w:tcPr>
            <w:tcW w:w="1718" w:type="dxa"/>
            <w:tcBorders>
              <w:top w:val="single" w:color="000000" w:sz="4" w:space="0"/>
              <w:left w:val="single" w:color="000000" w:sz="4" w:space="0"/>
              <w:bottom w:val="single" w:color="000000" w:sz="4" w:space="0"/>
              <w:right w:val="single" w:color="000000" w:sz="4" w:space="0"/>
            </w:tcBorders>
            <w:vAlign w:val="center"/>
          </w:tcPr>
          <w:p w14:paraId="45F601FE">
            <w:pPr>
              <w:spacing w:line="240" w:lineRule="auto"/>
              <w:ind w:firstLine="0" w:firstLineChars="0"/>
              <w:jc w:val="center"/>
              <w:rPr>
                <w:color w:val="auto"/>
                <w:highlight w:val="none"/>
              </w:rPr>
            </w:pPr>
            <w:r>
              <w:rPr>
                <w:rFonts w:hint="eastAsia"/>
                <w:color w:val="auto"/>
                <w:highlight w:val="none"/>
              </w:rPr>
              <w:t>项目名称</w:t>
            </w:r>
          </w:p>
        </w:tc>
        <w:tc>
          <w:tcPr>
            <w:tcW w:w="6859" w:type="dxa"/>
            <w:tcBorders>
              <w:top w:val="single" w:color="000000" w:sz="4" w:space="0"/>
              <w:left w:val="single" w:color="000000" w:sz="4" w:space="0"/>
              <w:bottom w:val="single" w:color="000000" w:sz="4" w:space="0"/>
              <w:right w:val="single" w:color="000000" w:sz="4" w:space="0"/>
            </w:tcBorders>
            <w:vAlign w:val="center"/>
          </w:tcPr>
          <w:p w14:paraId="62EB59A5">
            <w:pPr>
              <w:spacing w:line="240" w:lineRule="auto"/>
              <w:ind w:firstLine="0" w:firstLineChars="0"/>
              <w:jc w:val="left"/>
              <w:rPr>
                <w:rFonts w:hint="eastAsia" w:eastAsia="宋体"/>
                <w:color w:val="auto"/>
                <w:highlight w:val="none"/>
                <w:lang w:eastAsia="zh-CN"/>
              </w:rPr>
            </w:pPr>
            <w:r>
              <w:rPr>
                <w:rFonts w:hint="eastAsia" w:cs="宋体"/>
                <w:color w:val="auto"/>
                <w:highlight w:val="none"/>
                <w:lang w:eastAsia="zh-CN"/>
              </w:rPr>
              <w:t>屯留区新型文化空间数字化设备及图书配套项目</w:t>
            </w:r>
          </w:p>
        </w:tc>
      </w:tr>
      <w:tr w14:paraId="006E0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40" w:hRule="atLeast"/>
          <w:jc w:val="center"/>
        </w:trPr>
        <w:tc>
          <w:tcPr>
            <w:tcW w:w="887" w:type="dxa"/>
            <w:tcBorders>
              <w:top w:val="single" w:color="000000" w:sz="4" w:space="0"/>
              <w:left w:val="single" w:color="000000" w:sz="4" w:space="0"/>
              <w:bottom w:val="single" w:color="000000" w:sz="4" w:space="0"/>
              <w:right w:val="single" w:color="000000" w:sz="4" w:space="0"/>
            </w:tcBorders>
            <w:vAlign w:val="center"/>
          </w:tcPr>
          <w:p w14:paraId="17593F67">
            <w:pPr>
              <w:spacing w:line="240" w:lineRule="auto"/>
              <w:ind w:firstLine="0" w:firstLineChars="0"/>
              <w:jc w:val="center"/>
              <w:rPr>
                <w:color w:val="auto"/>
                <w:highlight w:val="none"/>
              </w:rPr>
            </w:pPr>
            <w:r>
              <w:rPr>
                <w:rFonts w:hint="eastAsia"/>
                <w:color w:val="auto"/>
                <w:highlight w:val="none"/>
              </w:rPr>
              <w:t>4</w:t>
            </w:r>
          </w:p>
        </w:tc>
        <w:tc>
          <w:tcPr>
            <w:tcW w:w="1718" w:type="dxa"/>
            <w:tcBorders>
              <w:top w:val="single" w:color="000000" w:sz="4" w:space="0"/>
              <w:left w:val="single" w:color="000000" w:sz="4" w:space="0"/>
              <w:bottom w:val="single" w:color="000000" w:sz="4" w:space="0"/>
              <w:right w:val="single" w:color="000000" w:sz="4" w:space="0"/>
            </w:tcBorders>
            <w:vAlign w:val="center"/>
          </w:tcPr>
          <w:p w14:paraId="7BFF24B5">
            <w:pPr>
              <w:spacing w:line="240" w:lineRule="auto"/>
              <w:ind w:firstLine="0" w:firstLineChars="0"/>
              <w:jc w:val="center"/>
              <w:rPr>
                <w:color w:val="auto"/>
                <w:highlight w:val="none"/>
              </w:rPr>
            </w:pPr>
            <w:r>
              <w:rPr>
                <w:rFonts w:hint="eastAsia"/>
                <w:color w:val="auto"/>
                <w:highlight w:val="none"/>
              </w:rPr>
              <w:t>项目编号</w:t>
            </w:r>
          </w:p>
        </w:tc>
        <w:tc>
          <w:tcPr>
            <w:tcW w:w="6859" w:type="dxa"/>
            <w:tcBorders>
              <w:top w:val="single" w:color="000000" w:sz="4" w:space="0"/>
              <w:left w:val="single" w:color="000000" w:sz="4" w:space="0"/>
              <w:bottom w:val="single" w:color="000000" w:sz="4" w:space="0"/>
              <w:right w:val="single" w:color="000000" w:sz="4" w:space="0"/>
            </w:tcBorders>
            <w:vAlign w:val="center"/>
          </w:tcPr>
          <w:p w14:paraId="67DB318C">
            <w:pPr>
              <w:spacing w:line="240" w:lineRule="auto"/>
              <w:ind w:firstLine="0" w:firstLineChars="0"/>
              <w:jc w:val="left"/>
              <w:rPr>
                <w:rFonts w:hint="eastAsia" w:eastAsia="宋体"/>
                <w:b/>
                <w:color w:val="auto"/>
                <w:highlight w:val="none"/>
                <w:lang w:eastAsia="zh-CN"/>
              </w:rPr>
            </w:pPr>
            <w:r>
              <w:rPr>
                <w:rFonts w:hint="eastAsia"/>
                <w:color w:val="auto"/>
                <w:highlight w:val="none"/>
                <w:lang w:eastAsia="zh-CN"/>
              </w:rPr>
              <w:t>1404052026AGK00023</w:t>
            </w:r>
          </w:p>
        </w:tc>
      </w:tr>
      <w:tr w14:paraId="051C4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jc w:val="center"/>
        </w:trPr>
        <w:tc>
          <w:tcPr>
            <w:tcW w:w="887" w:type="dxa"/>
            <w:tcBorders>
              <w:top w:val="single" w:color="000000" w:sz="4" w:space="0"/>
              <w:left w:val="single" w:color="000000" w:sz="4" w:space="0"/>
              <w:bottom w:val="single" w:color="000000" w:sz="4" w:space="0"/>
              <w:right w:val="single" w:color="000000" w:sz="4" w:space="0"/>
            </w:tcBorders>
            <w:vAlign w:val="center"/>
          </w:tcPr>
          <w:p w14:paraId="0D3C5586">
            <w:pPr>
              <w:spacing w:line="240" w:lineRule="auto"/>
              <w:ind w:firstLine="0" w:firstLineChars="0"/>
              <w:jc w:val="center"/>
              <w:rPr>
                <w:color w:val="auto"/>
                <w:highlight w:val="none"/>
              </w:rPr>
            </w:pPr>
            <w:r>
              <w:rPr>
                <w:rFonts w:hint="eastAsia"/>
                <w:color w:val="auto"/>
                <w:highlight w:val="none"/>
              </w:rPr>
              <w:t>5</w:t>
            </w:r>
          </w:p>
        </w:tc>
        <w:tc>
          <w:tcPr>
            <w:tcW w:w="1718" w:type="dxa"/>
            <w:tcBorders>
              <w:top w:val="single" w:color="000000" w:sz="4" w:space="0"/>
              <w:left w:val="single" w:color="000000" w:sz="4" w:space="0"/>
              <w:bottom w:val="single" w:color="000000" w:sz="4" w:space="0"/>
              <w:right w:val="single" w:color="000000" w:sz="4" w:space="0"/>
            </w:tcBorders>
            <w:vAlign w:val="center"/>
          </w:tcPr>
          <w:p w14:paraId="40D56570">
            <w:pPr>
              <w:spacing w:line="240" w:lineRule="auto"/>
              <w:ind w:firstLine="0" w:firstLineChars="0"/>
              <w:jc w:val="center"/>
              <w:rPr>
                <w:color w:val="auto"/>
                <w:highlight w:val="none"/>
              </w:rPr>
            </w:pPr>
            <w:r>
              <w:rPr>
                <w:rFonts w:hint="eastAsia"/>
                <w:color w:val="auto"/>
                <w:highlight w:val="none"/>
              </w:rPr>
              <w:t>采购方式</w:t>
            </w:r>
          </w:p>
        </w:tc>
        <w:tc>
          <w:tcPr>
            <w:tcW w:w="6859" w:type="dxa"/>
            <w:tcBorders>
              <w:top w:val="single" w:color="000000" w:sz="4" w:space="0"/>
              <w:left w:val="single" w:color="000000" w:sz="4" w:space="0"/>
              <w:bottom w:val="single" w:color="000000" w:sz="4" w:space="0"/>
              <w:right w:val="single" w:color="000000" w:sz="4" w:space="0"/>
            </w:tcBorders>
            <w:vAlign w:val="center"/>
          </w:tcPr>
          <w:p w14:paraId="09E8EA6C">
            <w:pPr>
              <w:spacing w:line="240" w:lineRule="auto"/>
              <w:ind w:firstLine="0" w:firstLineChars="0"/>
              <w:jc w:val="left"/>
              <w:rPr>
                <w:color w:val="auto"/>
                <w:highlight w:val="none"/>
              </w:rPr>
            </w:pPr>
            <w:r>
              <w:rPr>
                <w:rFonts w:hint="eastAsia"/>
                <w:color w:val="auto"/>
                <w:highlight w:val="none"/>
              </w:rPr>
              <w:t>公开招标</w:t>
            </w:r>
          </w:p>
        </w:tc>
      </w:tr>
      <w:tr w14:paraId="7EFF0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jc w:val="center"/>
        </w:trPr>
        <w:tc>
          <w:tcPr>
            <w:tcW w:w="887" w:type="dxa"/>
            <w:tcBorders>
              <w:top w:val="single" w:color="000000" w:sz="4" w:space="0"/>
              <w:left w:val="single" w:color="000000" w:sz="4" w:space="0"/>
              <w:bottom w:val="single" w:color="000000" w:sz="4" w:space="0"/>
              <w:right w:val="single" w:color="000000" w:sz="4" w:space="0"/>
            </w:tcBorders>
            <w:vAlign w:val="center"/>
          </w:tcPr>
          <w:p w14:paraId="10D2D6DF">
            <w:pPr>
              <w:spacing w:line="240" w:lineRule="auto"/>
              <w:ind w:firstLine="0" w:firstLineChars="0"/>
              <w:jc w:val="center"/>
              <w:rPr>
                <w:color w:val="auto"/>
                <w:highlight w:val="none"/>
              </w:rPr>
            </w:pPr>
            <w:r>
              <w:rPr>
                <w:rFonts w:hint="eastAsia"/>
                <w:color w:val="auto"/>
                <w:highlight w:val="none"/>
              </w:rPr>
              <w:t>6</w:t>
            </w:r>
          </w:p>
        </w:tc>
        <w:tc>
          <w:tcPr>
            <w:tcW w:w="1718" w:type="dxa"/>
            <w:tcBorders>
              <w:top w:val="single" w:color="000000" w:sz="4" w:space="0"/>
              <w:left w:val="single" w:color="000000" w:sz="4" w:space="0"/>
              <w:bottom w:val="single" w:color="000000" w:sz="4" w:space="0"/>
              <w:right w:val="single" w:color="000000" w:sz="4" w:space="0"/>
            </w:tcBorders>
            <w:vAlign w:val="center"/>
          </w:tcPr>
          <w:p w14:paraId="05822B65">
            <w:pPr>
              <w:spacing w:line="240" w:lineRule="auto"/>
              <w:ind w:firstLine="0" w:firstLineChars="0"/>
              <w:jc w:val="center"/>
              <w:rPr>
                <w:color w:val="auto"/>
                <w:highlight w:val="none"/>
              </w:rPr>
            </w:pPr>
            <w:r>
              <w:rPr>
                <w:rFonts w:hint="eastAsia"/>
                <w:color w:val="auto"/>
                <w:highlight w:val="none"/>
              </w:rPr>
              <w:t>资金来源及</w:t>
            </w:r>
          </w:p>
          <w:p w14:paraId="71C46B30">
            <w:pPr>
              <w:spacing w:line="240" w:lineRule="auto"/>
              <w:ind w:firstLine="0" w:firstLineChars="0"/>
              <w:jc w:val="center"/>
              <w:rPr>
                <w:color w:val="auto"/>
                <w:highlight w:val="none"/>
              </w:rPr>
            </w:pPr>
            <w:r>
              <w:rPr>
                <w:rFonts w:hint="eastAsia"/>
                <w:color w:val="auto"/>
                <w:highlight w:val="none"/>
              </w:rPr>
              <w:t>预算金额、最高限价</w:t>
            </w:r>
          </w:p>
        </w:tc>
        <w:tc>
          <w:tcPr>
            <w:tcW w:w="6859" w:type="dxa"/>
            <w:tcBorders>
              <w:top w:val="single" w:color="000000" w:sz="4" w:space="0"/>
              <w:left w:val="single" w:color="000000" w:sz="4" w:space="0"/>
              <w:bottom w:val="single" w:color="000000" w:sz="4" w:space="0"/>
              <w:right w:val="single" w:color="000000" w:sz="4" w:space="0"/>
            </w:tcBorders>
            <w:vAlign w:val="center"/>
          </w:tcPr>
          <w:p w14:paraId="666A91B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color w:val="auto"/>
                <w:highlight w:val="none"/>
              </w:rPr>
            </w:pPr>
            <w:r>
              <w:rPr>
                <w:rFonts w:hint="eastAsia"/>
                <w:color w:val="auto"/>
                <w:highlight w:val="none"/>
              </w:rPr>
              <w:t>财政性资金</w:t>
            </w:r>
          </w:p>
          <w:p w14:paraId="3EA22C9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color w:val="auto"/>
                <w:highlight w:val="none"/>
              </w:rPr>
            </w:pPr>
            <w:r>
              <w:rPr>
                <w:rFonts w:hint="eastAsia"/>
                <w:color w:val="auto"/>
                <w:highlight w:val="none"/>
              </w:rPr>
              <w:t>预算金额：500000</w:t>
            </w:r>
            <w:r>
              <w:rPr>
                <w:rFonts w:hint="eastAsia"/>
                <w:color w:val="auto"/>
                <w:highlight w:val="none"/>
                <w:lang w:val="en-US" w:eastAsia="zh-CN"/>
              </w:rPr>
              <w:t>.00</w:t>
            </w:r>
            <w:r>
              <w:rPr>
                <w:rFonts w:hint="eastAsia"/>
                <w:color w:val="auto"/>
                <w:highlight w:val="none"/>
              </w:rPr>
              <w:t xml:space="preserve">元 </w:t>
            </w:r>
          </w:p>
          <w:p w14:paraId="1AC5B5D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color w:val="auto"/>
                <w:highlight w:val="none"/>
                <w:lang w:eastAsia="zh-CN"/>
              </w:rPr>
            </w:pPr>
            <w:r>
              <w:rPr>
                <w:rFonts w:hint="eastAsia"/>
                <w:color w:val="auto"/>
                <w:highlight w:val="none"/>
              </w:rPr>
              <w:t>最高限价：</w:t>
            </w:r>
            <w:r>
              <w:rPr>
                <w:rFonts w:hint="eastAsia"/>
                <w:color w:val="auto"/>
                <w:highlight w:val="none"/>
                <w:lang w:eastAsia="zh-CN"/>
              </w:rPr>
              <w:t>包1</w:t>
            </w:r>
            <w:r>
              <w:rPr>
                <w:rFonts w:hint="eastAsia"/>
                <w:color w:val="auto"/>
                <w:highlight w:val="none"/>
              </w:rPr>
              <w:t>：</w:t>
            </w:r>
            <w:r>
              <w:rPr>
                <w:rFonts w:hint="eastAsia"/>
                <w:color w:val="auto"/>
                <w:highlight w:val="none"/>
                <w:lang w:val="en-US" w:eastAsia="zh-CN"/>
              </w:rPr>
              <w:t>50000.00</w:t>
            </w:r>
            <w:r>
              <w:rPr>
                <w:rFonts w:hint="eastAsia"/>
                <w:color w:val="auto"/>
                <w:highlight w:val="none"/>
              </w:rPr>
              <w:t>元；</w:t>
            </w:r>
            <w:r>
              <w:rPr>
                <w:rFonts w:hint="eastAsia"/>
                <w:color w:val="auto"/>
                <w:highlight w:val="none"/>
                <w:lang w:eastAsia="zh-CN"/>
              </w:rPr>
              <w:t>包2</w:t>
            </w:r>
            <w:r>
              <w:rPr>
                <w:rFonts w:hint="eastAsia"/>
                <w:color w:val="auto"/>
                <w:highlight w:val="none"/>
              </w:rPr>
              <w:t>：</w:t>
            </w:r>
            <w:r>
              <w:rPr>
                <w:rFonts w:hint="eastAsia"/>
                <w:color w:val="auto"/>
                <w:highlight w:val="none"/>
                <w:lang w:val="en-US" w:eastAsia="zh-CN"/>
              </w:rPr>
              <w:t>450000.00</w:t>
            </w:r>
            <w:r>
              <w:rPr>
                <w:rFonts w:hint="eastAsia"/>
                <w:color w:val="auto"/>
                <w:highlight w:val="none"/>
              </w:rPr>
              <w:t>元</w:t>
            </w:r>
            <w:r>
              <w:rPr>
                <w:rFonts w:hint="eastAsia"/>
                <w:color w:val="auto"/>
                <w:highlight w:val="none"/>
                <w:lang w:eastAsia="zh-CN"/>
              </w:rPr>
              <w:t>。</w:t>
            </w:r>
          </w:p>
          <w:p w14:paraId="3CC995F0">
            <w:pPr>
              <w:pStyle w:val="2"/>
              <w:rPr>
                <w:rFonts w:hint="eastAsia" w:eastAsia="宋体"/>
                <w:b/>
                <w:bCs/>
                <w:color w:val="auto"/>
                <w:highlight w:val="none"/>
                <w:lang w:val="en-US" w:eastAsia="zh-CN"/>
              </w:rPr>
            </w:pPr>
            <w:r>
              <w:rPr>
                <w:rFonts w:hint="eastAsia"/>
                <w:b/>
                <w:bCs/>
                <w:color w:val="auto"/>
                <w:highlight w:val="none"/>
                <w:lang w:val="en-US" w:eastAsia="zh-CN"/>
              </w:rPr>
              <w:t>注：</w:t>
            </w:r>
          </w:p>
          <w:p w14:paraId="7DC7C4B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color w:val="auto"/>
                <w:highlight w:val="none"/>
              </w:rPr>
            </w:pPr>
            <w:r>
              <w:rPr>
                <w:rFonts w:hint="eastAsia"/>
                <w:b/>
                <w:bCs/>
                <w:color w:val="auto"/>
                <w:highlight w:val="none"/>
              </w:rPr>
              <w:t>投标报价不得高于最高限价</w:t>
            </w:r>
            <w:r>
              <w:rPr>
                <w:rFonts w:hint="eastAsia"/>
                <w:b/>
                <w:bCs/>
                <w:color w:val="auto"/>
                <w:highlight w:val="none"/>
                <w:lang w:eastAsia="zh-CN"/>
              </w:rPr>
              <w:t>（</w:t>
            </w:r>
            <w:r>
              <w:rPr>
                <w:rFonts w:hint="eastAsia"/>
                <w:b/>
                <w:bCs/>
                <w:color w:val="auto"/>
                <w:highlight w:val="none"/>
                <w:lang w:val="en-US" w:eastAsia="zh-CN"/>
              </w:rPr>
              <w:t>单价最高限价</w:t>
            </w:r>
            <w:r>
              <w:rPr>
                <w:rFonts w:hint="eastAsia"/>
                <w:b/>
                <w:bCs/>
                <w:color w:val="auto"/>
                <w:highlight w:val="none"/>
                <w:lang w:eastAsia="zh-CN"/>
              </w:rPr>
              <w:t>）</w:t>
            </w:r>
            <w:r>
              <w:rPr>
                <w:rFonts w:hint="eastAsia"/>
                <w:b/>
                <w:bCs/>
                <w:color w:val="auto"/>
                <w:highlight w:val="none"/>
              </w:rPr>
              <w:t>,否则其投标按废标处理。</w:t>
            </w:r>
          </w:p>
        </w:tc>
      </w:tr>
      <w:tr w14:paraId="0C71F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jc w:val="center"/>
        </w:trPr>
        <w:tc>
          <w:tcPr>
            <w:tcW w:w="887" w:type="dxa"/>
            <w:tcBorders>
              <w:top w:val="single" w:color="000000" w:sz="4" w:space="0"/>
              <w:left w:val="single" w:color="000000" w:sz="4" w:space="0"/>
              <w:bottom w:val="single" w:color="000000" w:sz="4" w:space="0"/>
              <w:right w:val="single" w:color="000000" w:sz="4" w:space="0"/>
            </w:tcBorders>
            <w:vAlign w:val="center"/>
          </w:tcPr>
          <w:p w14:paraId="006392E5">
            <w:pPr>
              <w:spacing w:line="240" w:lineRule="auto"/>
              <w:ind w:firstLine="0" w:firstLineChars="0"/>
              <w:jc w:val="center"/>
              <w:rPr>
                <w:color w:val="auto"/>
                <w:highlight w:val="none"/>
              </w:rPr>
            </w:pPr>
            <w:r>
              <w:rPr>
                <w:rFonts w:hint="eastAsia"/>
                <w:color w:val="auto"/>
                <w:highlight w:val="none"/>
              </w:rPr>
              <w:t>7</w:t>
            </w:r>
          </w:p>
        </w:tc>
        <w:tc>
          <w:tcPr>
            <w:tcW w:w="1718" w:type="dxa"/>
            <w:tcBorders>
              <w:top w:val="single" w:color="000000" w:sz="4" w:space="0"/>
              <w:left w:val="single" w:color="000000" w:sz="4" w:space="0"/>
              <w:bottom w:val="single" w:color="000000" w:sz="4" w:space="0"/>
              <w:right w:val="single" w:color="000000" w:sz="4" w:space="0"/>
            </w:tcBorders>
            <w:vAlign w:val="center"/>
          </w:tcPr>
          <w:p w14:paraId="60D66956">
            <w:pPr>
              <w:spacing w:line="240" w:lineRule="auto"/>
              <w:ind w:firstLine="0" w:firstLineChars="0"/>
              <w:jc w:val="center"/>
              <w:rPr>
                <w:color w:val="auto"/>
                <w:highlight w:val="none"/>
              </w:rPr>
            </w:pPr>
            <w:r>
              <w:rPr>
                <w:rFonts w:hint="eastAsia"/>
                <w:color w:val="auto"/>
                <w:highlight w:val="none"/>
              </w:rPr>
              <w:t>评审方法</w:t>
            </w:r>
          </w:p>
        </w:tc>
        <w:tc>
          <w:tcPr>
            <w:tcW w:w="6859" w:type="dxa"/>
            <w:tcBorders>
              <w:top w:val="single" w:color="000000" w:sz="4" w:space="0"/>
              <w:left w:val="single" w:color="000000" w:sz="4" w:space="0"/>
              <w:bottom w:val="single" w:color="000000" w:sz="4" w:space="0"/>
              <w:right w:val="single" w:color="000000" w:sz="4" w:space="0"/>
            </w:tcBorders>
            <w:vAlign w:val="center"/>
          </w:tcPr>
          <w:p w14:paraId="19FA2F28">
            <w:pPr>
              <w:spacing w:line="240" w:lineRule="auto"/>
              <w:ind w:firstLine="0" w:firstLineChars="0"/>
              <w:jc w:val="left"/>
              <w:rPr>
                <w:color w:val="auto"/>
                <w:highlight w:val="none"/>
              </w:rPr>
            </w:pPr>
            <w:r>
              <w:rPr>
                <w:rFonts w:hint="eastAsia"/>
                <w:color w:val="auto"/>
                <w:highlight w:val="none"/>
              </w:rPr>
              <w:t>综合评分法</w:t>
            </w:r>
          </w:p>
        </w:tc>
      </w:tr>
      <w:tr w14:paraId="5A93D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jc w:val="center"/>
        </w:trPr>
        <w:tc>
          <w:tcPr>
            <w:tcW w:w="887" w:type="dxa"/>
            <w:tcBorders>
              <w:top w:val="single" w:color="000000" w:sz="4" w:space="0"/>
              <w:left w:val="single" w:color="000000" w:sz="4" w:space="0"/>
              <w:bottom w:val="single" w:color="000000" w:sz="4" w:space="0"/>
              <w:right w:val="single" w:color="000000" w:sz="4" w:space="0"/>
            </w:tcBorders>
            <w:vAlign w:val="center"/>
          </w:tcPr>
          <w:p w14:paraId="04259D09">
            <w:pPr>
              <w:spacing w:line="240" w:lineRule="auto"/>
              <w:ind w:firstLine="0" w:firstLineChars="0"/>
              <w:jc w:val="center"/>
              <w:rPr>
                <w:color w:val="auto"/>
                <w:highlight w:val="none"/>
              </w:rPr>
            </w:pPr>
            <w:r>
              <w:rPr>
                <w:rFonts w:hint="eastAsia"/>
                <w:color w:val="auto"/>
                <w:highlight w:val="none"/>
              </w:rPr>
              <w:t>8</w:t>
            </w:r>
          </w:p>
        </w:tc>
        <w:tc>
          <w:tcPr>
            <w:tcW w:w="1718" w:type="dxa"/>
            <w:tcBorders>
              <w:top w:val="single" w:color="000000" w:sz="4" w:space="0"/>
              <w:left w:val="single" w:color="000000" w:sz="4" w:space="0"/>
              <w:bottom w:val="single" w:color="000000" w:sz="4" w:space="0"/>
              <w:right w:val="single" w:color="000000" w:sz="4" w:space="0"/>
            </w:tcBorders>
            <w:vAlign w:val="center"/>
          </w:tcPr>
          <w:p w14:paraId="3CE3E0AA">
            <w:pPr>
              <w:spacing w:line="240" w:lineRule="auto"/>
              <w:ind w:firstLine="0" w:firstLineChars="0"/>
              <w:jc w:val="center"/>
              <w:rPr>
                <w:color w:val="auto"/>
                <w:highlight w:val="none"/>
              </w:rPr>
            </w:pPr>
            <w:r>
              <w:rPr>
                <w:rFonts w:hint="eastAsia"/>
                <w:color w:val="auto"/>
                <w:highlight w:val="none"/>
              </w:rPr>
              <w:t>中标人的确定</w:t>
            </w:r>
          </w:p>
        </w:tc>
        <w:tc>
          <w:tcPr>
            <w:tcW w:w="6859" w:type="dxa"/>
            <w:tcBorders>
              <w:top w:val="single" w:color="000000" w:sz="4" w:space="0"/>
              <w:left w:val="single" w:color="000000" w:sz="4" w:space="0"/>
              <w:bottom w:val="single" w:color="000000" w:sz="4" w:space="0"/>
              <w:right w:val="single" w:color="000000" w:sz="4" w:space="0"/>
            </w:tcBorders>
            <w:vAlign w:val="center"/>
          </w:tcPr>
          <w:p w14:paraId="30BB35C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eastAsia="宋体"/>
                <w:color w:val="auto"/>
                <w:highlight w:val="none"/>
                <w:lang w:eastAsia="zh-CN"/>
              </w:rPr>
            </w:pPr>
            <w:r>
              <w:rPr>
                <w:rFonts w:hint="eastAsia"/>
                <w:color w:val="auto"/>
                <w:highlight w:val="none"/>
              </w:rPr>
              <w:sym w:font="Wingdings" w:char="00FE"/>
            </w:r>
            <w:r>
              <w:rPr>
                <w:rFonts w:hint="eastAsia"/>
                <w:color w:val="auto"/>
                <w:highlight w:val="none"/>
              </w:rPr>
              <w:t xml:space="preserve"> 采购人授权评标委员会直接确定</w:t>
            </w:r>
            <w:r>
              <w:rPr>
                <w:rFonts w:hint="eastAsia"/>
                <w:color w:val="auto"/>
                <w:highlight w:val="none"/>
                <w:lang w:eastAsia="zh-CN"/>
              </w:rPr>
              <w:t>。</w:t>
            </w:r>
          </w:p>
          <w:p w14:paraId="131CBF8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eastAsia="宋体"/>
                <w:color w:val="auto"/>
                <w:highlight w:val="none"/>
                <w:lang w:eastAsia="zh-CN"/>
              </w:rPr>
            </w:pPr>
            <w:r>
              <w:rPr>
                <w:rFonts w:hint="eastAsia"/>
                <w:color w:val="auto"/>
                <w:highlight w:val="none"/>
              </w:rPr>
              <w:sym w:font="Wingdings" w:char="00A8"/>
            </w:r>
            <w:r>
              <w:rPr>
                <w:rFonts w:hint="eastAsia"/>
                <w:color w:val="auto"/>
                <w:highlight w:val="none"/>
              </w:rPr>
              <w:t xml:space="preserve"> 由评标委员会推荐出成交候选投标人的排序，采购人确定</w:t>
            </w:r>
            <w:r>
              <w:rPr>
                <w:rFonts w:hint="eastAsia"/>
                <w:color w:val="auto"/>
                <w:highlight w:val="none"/>
                <w:lang w:eastAsia="zh-CN"/>
              </w:rPr>
              <w:t>。</w:t>
            </w:r>
          </w:p>
        </w:tc>
      </w:tr>
      <w:tr w14:paraId="5503A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6" w:hRule="atLeast"/>
          <w:jc w:val="center"/>
        </w:trPr>
        <w:tc>
          <w:tcPr>
            <w:tcW w:w="887" w:type="dxa"/>
            <w:tcBorders>
              <w:top w:val="single" w:color="000000" w:sz="4" w:space="0"/>
              <w:left w:val="single" w:color="000000" w:sz="4" w:space="0"/>
              <w:bottom w:val="single" w:color="000000" w:sz="4" w:space="0"/>
              <w:right w:val="single" w:color="000000" w:sz="4" w:space="0"/>
            </w:tcBorders>
            <w:vAlign w:val="center"/>
          </w:tcPr>
          <w:p w14:paraId="5A6425D9">
            <w:pPr>
              <w:spacing w:line="240" w:lineRule="auto"/>
              <w:ind w:firstLine="0" w:firstLineChars="0"/>
              <w:jc w:val="center"/>
              <w:rPr>
                <w:color w:val="auto"/>
                <w:highlight w:val="none"/>
              </w:rPr>
            </w:pPr>
            <w:r>
              <w:rPr>
                <w:rFonts w:hint="eastAsia"/>
                <w:color w:val="auto"/>
                <w:highlight w:val="none"/>
              </w:rPr>
              <w:t>9</w:t>
            </w:r>
          </w:p>
        </w:tc>
        <w:tc>
          <w:tcPr>
            <w:tcW w:w="1718" w:type="dxa"/>
            <w:tcBorders>
              <w:top w:val="single" w:color="000000" w:sz="4" w:space="0"/>
              <w:left w:val="single" w:color="000000" w:sz="4" w:space="0"/>
              <w:bottom w:val="single" w:color="000000" w:sz="4" w:space="0"/>
              <w:right w:val="single" w:color="000000" w:sz="4" w:space="0"/>
            </w:tcBorders>
            <w:vAlign w:val="center"/>
          </w:tcPr>
          <w:p w14:paraId="149A8027">
            <w:pPr>
              <w:spacing w:line="240" w:lineRule="auto"/>
              <w:ind w:firstLine="0" w:firstLineChars="0"/>
              <w:jc w:val="center"/>
              <w:rPr>
                <w:color w:val="auto"/>
                <w:highlight w:val="none"/>
              </w:rPr>
            </w:pPr>
            <w:r>
              <w:rPr>
                <w:rFonts w:hint="eastAsia"/>
                <w:color w:val="auto"/>
                <w:highlight w:val="none"/>
              </w:rPr>
              <w:t>投标人应具备特殊的资格要求</w:t>
            </w:r>
          </w:p>
        </w:tc>
        <w:tc>
          <w:tcPr>
            <w:tcW w:w="6859" w:type="dxa"/>
            <w:tcBorders>
              <w:top w:val="single" w:color="000000" w:sz="4" w:space="0"/>
              <w:left w:val="single" w:color="000000" w:sz="4" w:space="0"/>
              <w:bottom w:val="single" w:color="000000" w:sz="4" w:space="0"/>
              <w:right w:val="single" w:color="000000" w:sz="4" w:space="0"/>
            </w:tcBorders>
            <w:vAlign w:val="center"/>
          </w:tcPr>
          <w:p w14:paraId="501398BA">
            <w:pPr>
              <w:spacing w:line="240" w:lineRule="auto"/>
              <w:ind w:firstLine="0" w:firstLineChars="0"/>
              <w:jc w:val="left"/>
              <w:rPr>
                <w:rFonts w:hint="eastAsia" w:ascii="宋体" w:hAnsi="宋体" w:eastAsia="宋体" w:cs="Times New Roman"/>
                <w:color w:val="auto"/>
                <w:highlight w:val="none"/>
                <w:lang w:val="en-US" w:eastAsia="zh-CN"/>
              </w:rPr>
            </w:pPr>
            <w:r>
              <w:rPr>
                <w:rFonts w:hint="eastAsia" w:cs="Times New Roman"/>
                <w:color w:val="auto"/>
                <w:highlight w:val="none"/>
                <w:lang w:val="en-US" w:eastAsia="zh-CN"/>
              </w:rPr>
              <w:t>包1</w:t>
            </w:r>
            <w:r>
              <w:rPr>
                <w:rFonts w:hint="eastAsia" w:ascii="宋体" w:hAnsi="宋体" w:eastAsia="宋体" w:cs="Times New Roman"/>
                <w:color w:val="auto"/>
                <w:highlight w:val="none"/>
                <w:lang w:val="en-US" w:eastAsia="zh-CN"/>
              </w:rPr>
              <w:t>：</w:t>
            </w:r>
            <w:r>
              <w:rPr>
                <w:rFonts w:hint="eastAsia" w:cs="Times New Roman"/>
                <w:color w:val="auto"/>
                <w:highlight w:val="none"/>
                <w:lang w:eastAsia="zh-CN"/>
              </w:rPr>
              <w:t>具有有效的出版物经营许可证</w:t>
            </w:r>
            <w:r>
              <w:rPr>
                <w:rFonts w:hint="eastAsia" w:ascii="宋体" w:hAnsi="宋体" w:eastAsia="宋体" w:cs="Times New Roman"/>
                <w:color w:val="auto"/>
                <w:highlight w:val="none"/>
                <w:lang w:eastAsia="zh-CN"/>
              </w:rPr>
              <w:t>；</w:t>
            </w:r>
          </w:p>
          <w:p w14:paraId="3E715BA7">
            <w:pPr>
              <w:spacing w:line="240" w:lineRule="auto"/>
              <w:ind w:firstLine="0" w:firstLineChars="0"/>
              <w:jc w:val="left"/>
              <w:rPr>
                <w:rFonts w:hint="default"/>
                <w:color w:val="auto"/>
                <w:highlight w:val="none"/>
                <w:lang w:val="en-US" w:eastAsia="zh-CN"/>
              </w:rPr>
            </w:pPr>
            <w:r>
              <w:rPr>
                <w:rFonts w:hint="eastAsia" w:cs="Times New Roman"/>
                <w:color w:val="auto"/>
                <w:highlight w:val="none"/>
                <w:lang w:val="en-US" w:eastAsia="zh-CN"/>
              </w:rPr>
              <w:t>包2</w:t>
            </w:r>
            <w:r>
              <w:rPr>
                <w:rFonts w:hint="eastAsia" w:ascii="宋体" w:hAnsi="宋体" w:eastAsia="宋体" w:cs="Times New Roman"/>
                <w:color w:val="auto"/>
                <w:highlight w:val="none"/>
                <w:lang w:val="en-US" w:eastAsia="zh-CN"/>
              </w:rPr>
              <w:t>：无</w:t>
            </w:r>
          </w:p>
        </w:tc>
      </w:tr>
      <w:tr w14:paraId="0D232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87" w:type="dxa"/>
            <w:tcBorders>
              <w:top w:val="single" w:color="000000" w:sz="4" w:space="0"/>
              <w:left w:val="single" w:color="000000" w:sz="4" w:space="0"/>
              <w:bottom w:val="single" w:color="000000" w:sz="4" w:space="0"/>
              <w:right w:val="single" w:color="000000" w:sz="4" w:space="0"/>
            </w:tcBorders>
            <w:vAlign w:val="center"/>
          </w:tcPr>
          <w:p w14:paraId="2CA50020">
            <w:pPr>
              <w:spacing w:line="240" w:lineRule="auto"/>
              <w:ind w:firstLine="0" w:firstLineChars="0"/>
              <w:jc w:val="center"/>
              <w:rPr>
                <w:color w:val="auto"/>
                <w:highlight w:val="none"/>
              </w:rPr>
            </w:pPr>
            <w:r>
              <w:rPr>
                <w:rFonts w:hint="eastAsia"/>
                <w:color w:val="auto"/>
                <w:highlight w:val="none"/>
              </w:rPr>
              <w:t>10</w:t>
            </w:r>
          </w:p>
        </w:tc>
        <w:tc>
          <w:tcPr>
            <w:tcW w:w="1718" w:type="dxa"/>
            <w:tcBorders>
              <w:top w:val="single" w:color="000000" w:sz="4" w:space="0"/>
              <w:left w:val="single" w:color="000000" w:sz="4" w:space="0"/>
              <w:bottom w:val="single" w:color="000000" w:sz="4" w:space="0"/>
              <w:right w:val="single" w:color="000000" w:sz="4" w:space="0"/>
            </w:tcBorders>
            <w:vAlign w:val="center"/>
          </w:tcPr>
          <w:p w14:paraId="149F3880">
            <w:pPr>
              <w:spacing w:line="240" w:lineRule="auto"/>
              <w:ind w:firstLine="0" w:firstLineChars="0"/>
              <w:jc w:val="center"/>
              <w:rPr>
                <w:color w:val="auto"/>
                <w:highlight w:val="none"/>
              </w:rPr>
            </w:pPr>
            <w:r>
              <w:rPr>
                <w:rFonts w:hint="eastAsia"/>
                <w:color w:val="auto"/>
                <w:highlight w:val="none"/>
              </w:rPr>
              <w:t>商务部分</w:t>
            </w:r>
          </w:p>
        </w:tc>
        <w:tc>
          <w:tcPr>
            <w:tcW w:w="6859" w:type="dxa"/>
            <w:tcBorders>
              <w:top w:val="single" w:color="000000" w:sz="4" w:space="0"/>
              <w:left w:val="single" w:color="000000" w:sz="4" w:space="0"/>
              <w:bottom w:val="single" w:color="000000" w:sz="4" w:space="0"/>
              <w:right w:val="single" w:color="000000" w:sz="4" w:space="0"/>
            </w:tcBorders>
            <w:vAlign w:val="center"/>
          </w:tcPr>
          <w:p w14:paraId="2321D1F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eastAsia="宋体"/>
                <w:color w:val="auto"/>
                <w:highlight w:val="none"/>
                <w:lang w:eastAsia="zh-CN"/>
              </w:rPr>
            </w:pPr>
            <w:r>
              <w:rPr>
                <w:rFonts w:hint="eastAsia"/>
                <w:color w:val="auto"/>
                <w:highlight w:val="none"/>
              </w:rPr>
              <w:t>（一）投标函</w:t>
            </w:r>
            <w:r>
              <w:rPr>
                <w:rFonts w:hint="eastAsia"/>
                <w:color w:val="auto"/>
                <w:highlight w:val="none"/>
                <w:lang w:eastAsia="zh-CN"/>
              </w:rPr>
              <w:t>；</w:t>
            </w:r>
          </w:p>
          <w:p w14:paraId="7090571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eastAsia="宋体"/>
                <w:color w:val="auto"/>
                <w:highlight w:val="none"/>
                <w:lang w:eastAsia="zh-CN"/>
              </w:rPr>
            </w:pPr>
            <w:r>
              <w:rPr>
                <w:rFonts w:hint="eastAsia"/>
                <w:color w:val="auto"/>
                <w:highlight w:val="none"/>
              </w:rPr>
              <w:t>（二）法定代表人身份证明书</w:t>
            </w:r>
            <w:r>
              <w:rPr>
                <w:rFonts w:hint="eastAsia"/>
                <w:color w:val="auto"/>
                <w:highlight w:val="none"/>
                <w:lang w:eastAsia="zh-CN"/>
              </w:rPr>
              <w:t>；</w:t>
            </w:r>
          </w:p>
          <w:p w14:paraId="67A12AE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eastAsia="宋体"/>
                <w:color w:val="auto"/>
                <w:highlight w:val="none"/>
                <w:lang w:eastAsia="zh-CN"/>
              </w:rPr>
            </w:pPr>
            <w:r>
              <w:rPr>
                <w:rFonts w:hint="eastAsia"/>
                <w:color w:val="auto"/>
                <w:highlight w:val="none"/>
              </w:rPr>
              <w:t>（三）法定代表人授权委托书</w:t>
            </w:r>
            <w:r>
              <w:rPr>
                <w:rFonts w:hint="eastAsia"/>
                <w:color w:val="auto"/>
                <w:highlight w:val="none"/>
                <w:lang w:eastAsia="zh-CN"/>
              </w:rPr>
              <w:t>；</w:t>
            </w:r>
          </w:p>
          <w:p w14:paraId="4D7E3D0D">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eastAsia="宋体"/>
                <w:color w:val="auto"/>
                <w:highlight w:val="none"/>
                <w:lang w:eastAsia="zh-CN"/>
              </w:rPr>
            </w:pPr>
            <w:r>
              <w:rPr>
                <w:rFonts w:hint="eastAsia"/>
                <w:color w:val="auto"/>
                <w:highlight w:val="none"/>
              </w:rPr>
              <w:t>（四）基本情况表</w:t>
            </w:r>
            <w:r>
              <w:rPr>
                <w:rFonts w:hint="eastAsia"/>
                <w:color w:val="auto"/>
                <w:highlight w:val="none"/>
                <w:lang w:eastAsia="zh-CN"/>
              </w:rPr>
              <w:t>；</w:t>
            </w:r>
          </w:p>
          <w:p w14:paraId="6D73619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olor w:val="auto"/>
                <w:highlight w:val="none"/>
              </w:rPr>
            </w:pPr>
            <w:r>
              <w:rPr>
                <w:rFonts w:hint="eastAsia"/>
                <w:color w:val="auto"/>
                <w:highlight w:val="none"/>
              </w:rPr>
              <w:t>（五）</w:t>
            </w:r>
            <w:r>
              <w:rPr>
                <w:rFonts w:hint="eastAsia" w:ascii="宋体" w:hAnsi="宋体" w:eastAsia="宋体"/>
                <w:color w:val="auto"/>
                <w:highlight w:val="none"/>
              </w:rPr>
              <w:t>长治市政府采购供应商信用承诺函；</w:t>
            </w:r>
          </w:p>
          <w:p w14:paraId="04D2938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olor w:val="auto"/>
                <w:highlight w:val="none"/>
              </w:rPr>
            </w:pPr>
            <w:r>
              <w:rPr>
                <w:rFonts w:hint="eastAsia" w:ascii="宋体" w:hAnsi="宋体" w:eastAsia="宋体"/>
                <w:color w:val="auto"/>
                <w:highlight w:val="none"/>
              </w:rPr>
              <w:t>（六）近年同类型项目业绩；</w:t>
            </w:r>
          </w:p>
          <w:p w14:paraId="4C78297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olor w:val="auto"/>
                <w:highlight w:val="none"/>
              </w:rPr>
            </w:pPr>
            <w:r>
              <w:rPr>
                <w:rFonts w:hint="eastAsia" w:ascii="宋体" w:hAnsi="宋体" w:eastAsia="宋体"/>
                <w:color w:val="auto"/>
                <w:highlight w:val="none"/>
              </w:rPr>
              <w:t>（七）基本户开户许可证或基本存款账户信息、投标保证金；</w:t>
            </w:r>
          </w:p>
          <w:p w14:paraId="56F7DA2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olor w:val="auto"/>
                <w:highlight w:val="none"/>
              </w:rPr>
            </w:pPr>
            <w:r>
              <w:rPr>
                <w:rFonts w:hint="eastAsia" w:ascii="宋体" w:hAnsi="宋体" w:eastAsia="宋体"/>
                <w:color w:val="auto"/>
                <w:highlight w:val="none"/>
              </w:rPr>
              <w:t>（八）投本项目特定资格的证明文件</w:t>
            </w:r>
            <w:r>
              <w:rPr>
                <w:rFonts w:hint="eastAsia" w:ascii="宋体" w:hAnsi="宋体" w:eastAsia="宋体"/>
                <w:color w:val="auto"/>
                <w:highlight w:val="none"/>
                <w:lang w:eastAsia="zh-CN"/>
              </w:rPr>
              <w:t>（</w:t>
            </w:r>
            <w:r>
              <w:rPr>
                <w:rFonts w:hint="eastAsia"/>
                <w:color w:val="auto"/>
                <w:highlight w:val="none"/>
                <w:lang w:val="en-US" w:eastAsia="zh-CN"/>
              </w:rPr>
              <w:t>包1</w:t>
            </w:r>
            <w:r>
              <w:rPr>
                <w:rFonts w:hint="eastAsia" w:ascii="宋体" w:hAnsi="宋体" w:eastAsia="宋体"/>
                <w:color w:val="auto"/>
                <w:highlight w:val="none"/>
                <w:lang w:eastAsia="zh-CN"/>
              </w:rPr>
              <w:t>）</w:t>
            </w:r>
            <w:r>
              <w:rPr>
                <w:rFonts w:hint="eastAsia" w:ascii="宋体" w:hAnsi="宋体" w:eastAsia="宋体"/>
                <w:color w:val="auto"/>
                <w:highlight w:val="none"/>
              </w:rPr>
              <w:t>；</w:t>
            </w:r>
          </w:p>
          <w:p w14:paraId="2CDF007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olor w:val="auto"/>
                <w:highlight w:val="none"/>
              </w:rPr>
            </w:pPr>
            <w:r>
              <w:rPr>
                <w:rFonts w:hint="eastAsia" w:ascii="宋体" w:hAnsi="宋体" w:eastAsia="宋体"/>
                <w:color w:val="auto"/>
                <w:highlight w:val="none"/>
              </w:rPr>
              <w:t>（九）投标货物商务偏离表；</w:t>
            </w:r>
          </w:p>
          <w:p w14:paraId="183E87F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olor w:val="auto"/>
                <w:highlight w:val="none"/>
                <w:lang w:eastAsia="zh-CN"/>
              </w:rPr>
            </w:pPr>
            <w:r>
              <w:rPr>
                <w:rFonts w:hint="eastAsia" w:ascii="宋体" w:hAnsi="宋体" w:eastAsia="宋体"/>
                <w:color w:val="auto"/>
                <w:highlight w:val="none"/>
              </w:rPr>
              <w:t>（十）投标人认为需要提供的其他商务材料</w:t>
            </w:r>
            <w:r>
              <w:rPr>
                <w:rFonts w:hint="eastAsia" w:ascii="宋体" w:hAnsi="宋体" w:eastAsia="宋体"/>
                <w:color w:val="auto"/>
                <w:highlight w:val="none"/>
                <w:lang w:eastAsia="zh-CN"/>
              </w:rPr>
              <w:t>。</w:t>
            </w:r>
          </w:p>
          <w:p w14:paraId="7E7E86A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color w:val="auto"/>
                <w:highlight w:val="none"/>
              </w:rPr>
            </w:pPr>
            <w:r>
              <w:rPr>
                <w:rFonts w:hint="eastAsia"/>
                <w:color w:val="auto"/>
                <w:highlight w:val="none"/>
              </w:rPr>
              <w:t>注：投标公告规定不接受联合体的，或没有组成联合体的，投标文件不包括联合体协议书。</w:t>
            </w:r>
          </w:p>
        </w:tc>
      </w:tr>
      <w:tr w14:paraId="3B01C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87" w:type="dxa"/>
            <w:tcBorders>
              <w:top w:val="single" w:color="000000" w:sz="4" w:space="0"/>
              <w:left w:val="single" w:color="000000" w:sz="4" w:space="0"/>
              <w:bottom w:val="single" w:color="000000" w:sz="4" w:space="0"/>
              <w:right w:val="single" w:color="000000" w:sz="4" w:space="0"/>
            </w:tcBorders>
            <w:vAlign w:val="center"/>
          </w:tcPr>
          <w:p w14:paraId="68662495">
            <w:pPr>
              <w:spacing w:line="240" w:lineRule="auto"/>
              <w:ind w:firstLine="0" w:firstLineChars="0"/>
              <w:jc w:val="center"/>
              <w:rPr>
                <w:color w:val="auto"/>
                <w:highlight w:val="none"/>
              </w:rPr>
            </w:pPr>
            <w:r>
              <w:rPr>
                <w:rFonts w:hint="eastAsia"/>
                <w:color w:val="auto"/>
                <w:highlight w:val="none"/>
              </w:rPr>
              <w:t>11</w:t>
            </w:r>
          </w:p>
        </w:tc>
        <w:tc>
          <w:tcPr>
            <w:tcW w:w="1718" w:type="dxa"/>
            <w:tcBorders>
              <w:top w:val="single" w:color="000000" w:sz="4" w:space="0"/>
              <w:left w:val="single" w:color="000000" w:sz="4" w:space="0"/>
              <w:bottom w:val="single" w:color="000000" w:sz="4" w:space="0"/>
              <w:right w:val="single" w:color="000000" w:sz="4" w:space="0"/>
            </w:tcBorders>
            <w:vAlign w:val="center"/>
          </w:tcPr>
          <w:p w14:paraId="2C8821D9">
            <w:pPr>
              <w:spacing w:line="240" w:lineRule="auto"/>
              <w:ind w:firstLine="0" w:firstLineChars="0"/>
              <w:jc w:val="center"/>
              <w:rPr>
                <w:color w:val="auto"/>
                <w:highlight w:val="none"/>
              </w:rPr>
            </w:pPr>
            <w:r>
              <w:rPr>
                <w:rFonts w:hint="eastAsia"/>
                <w:color w:val="auto"/>
                <w:highlight w:val="none"/>
              </w:rPr>
              <w:t>技术部分</w:t>
            </w:r>
          </w:p>
        </w:tc>
        <w:tc>
          <w:tcPr>
            <w:tcW w:w="6859" w:type="dxa"/>
            <w:tcBorders>
              <w:top w:val="single" w:color="000000" w:sz="4" w:space="0"/>
              <w:left w:val="single" w:color="000000" w:sz="4" w:space="0"/>
              <w:bottom w:val="single" w:color="000000" w:sz="4" w:space="0"/>
              <w:right w:val="single" w:color="000000" w:sz="4" w:space="0"/>
            </w:tcBorders>
            <w:vAlign w:val="center"/>
          </w:tcPr>
          <w:p w14:paraId="50D81A2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olor w:val="auto"/>
                <w:highlight w:val="none"/>
                <w:lang w:eastAsia="zh-CN"/>
              </w:rPr>
            </w:pPr>
            <w:r>
              <w:rPr>
                <w:rFonts w:hint="eastAsia" w:ascii="宋体" w:hAnsi="宋体" w:eastAsia="宋体"/>
                <w:color w:val="auto"/>
                <w:highlight w:val="none"/>
              </w:rPr>
              <w:t>（一）</w:t>
            </w:r>
            <w:r>
              <w:rPr>
                <w:rFonts w:hint="eastAsia" w:ascii="宋体" w:hAnsi="宋体" w:eastAsia="宋体"/>
                <w:color w:val="auto"/>
                <w:highlight w:val="none"/>
                <w:lang w:val="en-US" w:eastAsia="zh-CN"/>
              </w:rPr>
              <w:t>开标</w:t>
            </w:r>
            <w:r>
              <w:rPr>
                <w:rFonts w:hint="eastAsia" w:ascii="宋体" w:hAnsi="宋体" w:eastAsia="宋体"/>
                <w:color w:val="auto"/>
                <w:highlight w:val="none"/>
              </w:rPr>
              <w:t>一览表</w:t>
            </w:r>
            <w:r>
              <w:rPr>
                <w:rFonts w:hint="eastAsia" w:ascii="宋体" w:hAnsi="宋体" w:eastAsia="宋体"/>
                <w:color w:val="auto"/>
                <w:highlight w:val="none"/>
                <w:lang w:eastAsia="zh-CN"/>
              </w:rPr>
              <w:t>；</w:t>
            </w:r>
          </w:p>
          <w:p w14:paraId="2CCD99A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olor w:val="auto"/>
                <w:highlight w:val="none"/>
                <w:lang w:eastAsia="zh-CN"/>
              </w:rPr>
            </w:pPr>
            <w:r>
              <w:rPr>
                <w:rFonts w:hint="eastAsia" w:ascii="宋体" w:hAnsi="宋体" w:eastAsia="宋体"/>
                <w:color w:val="auto"/>
                <w:highlight w:val="none"/>
              </w:rPr>
              <w:t>（二）实施方案</w:t>
            </w:r>
            <w:r>
              <w:rPr>
                <w:rFonts w:hint="eastAsia" w:ascii="宋体" w:hAnsi="宋体" w:eastAsia="宋体"/>
                <w:color w:val="auto"/>
                <w:highlight w:val="none"/>
                <w:lang w:eastAsia="zh-CN"/>
              </w:rPr>
              <w:t>；</w:t>
            </w:r>
          </w:p>
          <w:p w14:paraId="10BD294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olor w:val="auto"/>
                <w:highlight w:val="none"/>
                <w:lang w:eastAsia="zh-CN"/>
              </w:rPr>
            </w:pPr>
            <w:r>
              <w:rPr>
                <w:rFonts w:hint="eastAsia" w:ascii="宋体" w:hAnsi="宋体" w:eastAsia="宋体"/>
                <w:color w:val="auto"/>
                <w:highlight w:val="none"/>
              </w:rPr>
              <w:t>（三）投标货物技术</w:t>
            </w:r>
            <w:r>
              <w:rPr>
                <w:rFonts w:hint="eastAsia"/>
                <w:color w:val="auto"/>
                <w:highlight w:val="none"/>
                <w:lang w:eastAsia="zh-CN"/>
              </w:rPr>
              <w:t>（</w:t>
            </w:r>
            <w:r>
              <w:rPr>
                <w:rFonts w:hint="eastAsia" w:ascii="宋体" w:hAnsi="宋体" w:eastAsia="宋体"/>
                <w:color w:val="auto"/>
                <w:highlight w:val="none"/>
              </w:rPr>
              <w:t>服务</w:t>
            </w:r>
            <w:r>
              <w:rPr>
                <w:rFonts w:hint="eastAsia"/>
                <w:color w:val="auto"/>
                <w:highlight w:val="none"/>
                <w:lang w:eastAsia="zh-CN"/>
              </w:rPr>
              <w:t>）</w:t>
            </w:r>
            <w:r>
              <w:rPr>
                <w:rFonts w:hint="eastAsia" w:ascii="宋体" w:hAnsi="宋体" w:eastAsia="宋体"/>
                <w:color w:val="auto"/>
                <w:highlight w:val="none"/>
              </w:rPr>
              <w:t>偏离表</w:t>
            </w:r>
            <w:r>
              <w:rPr>
                <w:rFonts w:hint="eastAsia" w:ascii="宋体" w:hAnsi="宋体" w:eastAsia="宋体"/>
                <w:color w:val="auto"/>
                <w:highlight w:val="none"/>
                <w:lang w:eastAsia="zh-CN"/>
              </w:rPr>
              <w:t>；</w:t>
            </w:r>
          </w:p>
          <w:p w14:paraId="32426FE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color w:val="auto"/>
                <w:highlight w:val="none"/>
                <w:lang w:eastAsia="zh-CN"/>
              </w:rPr>
            </w:pPr>
            <w:r>
              <w:rPr>
                <w:rFonts w:hint="eastAsia" w:ascii="宋体" w:hAnsi="宋体" w:eastAsia="宋体"/>
                <w:color w:val="auto"/>
                <w:highlight w:val="none"/>
                <w:lang w:eastAsia="zh-CN"/>
              </w:rPr>
              <w:t>（</w:t>
            </w:r>
            <w:r>
              <w:rPr>
                <w:rFonts w:hint="eastAsia" w:ascii="宋体" w:hAnsi="宋体" w:eastAsia="宋体"/>
                <w:color w:val="auto"/>
                <w:highlight w:val="none"/>
                <w:lang w:val="en-US" w:eastAsia="zh-CN"/>
              </w:rPr>
              <w:t>四</w:t>
            </w:r>
            <w:r>
              <w:rPr>
                <w:rFonts w:hint="eastAsia" w:ascii="宋体" w:hAnsi="宋体" w:eastAsia="宋体"/>
                <w:color w:val="auto"/>
                <w:highlight w:val="none"/>
                <w:lang w:eastAsia="zh-CN"/>
              </w:rPr>
              <w:t>）</w:t>
            </w:r>
            <w:r>
              <w:rPr>
                <w:rFonts w:hint="eastAsia" w:ascii="宋体" w:hAnsi="宋体" w:eastAsia="宋体"/>
                <w:color w:val="auto"/>
                <w:highlight w:val="none"/>
                <w:lang w:val="en-US" w:eastAsia="zh-CN"/>
              </w:rPr>
              <w:t>投标人</w:t>
            </w:r>
            <w:r>
              <w:rPr>
                <w:rFonts w:hint="eastAsia" w:ascii="宋体" w:hAnsi="宋体" w:eastAsia="宋体"/>
                <w:color w:val="auto"/>
                <w:highlight w:val="none"/>
                <w:lang w:eastAsia="zh-CN"/>
              </w:rPr>
              <w:t>认为需要提供的其他技术部分文件。</w:t>
            </w:r>
          </w:p>
        </w:tc>
      </w:tr>
      <w:tr w14:paraId="6FDB3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3" w:hRule="atLeast"/>
          <w:jc w:val="center"/>
        </w:trPr>
        <w:tc>
          <w:tcPr>
            <w:tcW w:w="887" w:type="dxa"/>
            <w:tcBorders>
              <w:top w:val="single" w:color="000000" w:sz="4" w:space="0"/>
              <w:left w:val="single" w:color="000000" w:sz="4" w:space="0"/>
              <w:bottom w:val="single" w:color="000000" w:sz="4" w:space="0"/>
              <w:right w:val="single" w:color="000000" w:sz="4" w:space="0"/>
            </w:tcBorders>
            <w:vAlign w:val="center"/>
          </w:tcPr>
          <w:p w14:paraId="60862D8C">
            <w:pPr>
              <w:spacing w:line="240" w:lineRule="auto"/>
              <w:ind w:firstLine="0" w:firstLineChars="0"/>
              <w:jc w:val="center"/>
              <w:rPr>
                <w:color w:val="auto"/>
                <w:highlight w:val="none"/>
              </w:rPr>
            </w:pPr>
            <w:r>
              <w:rPr>
                <w:rFonts w:hint="eastAsia"/>
                <w:color w:val="auto"/>
                <w:highlight w:val="none"/>
              </w:rPr>
              <w:t>12</w:t>
            </w:r>
          </w:p>
        </w:tc>
        <w:tc>
          <w:tcPr>
            <w:tcW w:w="1718" w:type="dxa"/>
            <w:tcBorders>
              <w:top w:val="single" w:color="000000" w:sz="4" w:space="0"/>
              <w:left w:val="single" w:color="000000" w:sz="4" w:space="0"/>
              <w:bottom w:val="single" w:color="000000" w:sz="4" w:space="0"/>
              <w:right w:val="single" w:color="000000" w:sz="4" w:space="0"/>
            </w:tcBorders>
            <w:vAlign w:val="center"/>
          </w:tcPr>
          <w:p w14:paraId="7C27DFDF">
            <w:pPr>
              <w:spacing w:line="240" w:lineRule="auto"/>
              <w:ind w:left="240" w:hanging="240" w:hangingChars="100"/>
              <w:jc w:val="left"/>
              <w:rPr>
                <w:color w:val="auto"/>
                <w:highlight w:val="none"/>
              </w:rPr>
            </w:pPr>
            <w:r>
              <w:rPr>
                <w:color w:val="auto"/>
                <w:highlight w:val="none"/>
              </w:rPr>
              <w:t>政府采购政策性要求部分</w:t>
            </w:r>
          </w:p>
        </w:tc>
        <w:tc>
          <w:tcPr>
            <w:tcW w:w="6859" w:type="dxa"/>
            <w:tcBorders>
              <w:top w:val="single" w:color="000000" w:sz="4" w:space="0"/>
              <w:left w:val="single" w:color="000000" w:sz="4" w:space="0"/>
              <w:bottom w:val="single" w:color="000000" w:sz="4" w:space="0"/>
              <w:right w:val="single" w:color="000000" w:sz="4" w:space="0"/>
            </w:tcBorders>
            <w:vAlign w:val="center"/>
          </w:tcPr>
          <w:p w14:paraId="18F58EA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olor w:val="auto"/>
                <w:highlight w:val="none"/>
              </w:rPr>
            </w:pPr>
            <w:r>
              <w:rPr>
                <w:rFonts w:hint="eastAsia" w:ascii="宋体" w:hAnsi="宋体" w:eastAsia="宋体"/>
                <w:color w:val="auto"/>
                <w:highlight w:val="none"/>
              </w:rPr>
              <w:t>（一）节能产品政府采购品目清单</w:t>
            </w:r>
          </w:p>
          <w:p w14:paraId="139138C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olor w:val="auto"/>
                <w:highlight w:val="none"/>
              </w:rPr>
            </w:pPr>
            <w:r>
              <w:rPr>
                <w:rFonts w:hint="eastAsia" w:ascii="宋体" w:hAnsi="宋体" w:eastAsia="宋体"/>
                <w:color w:val="auto"/>
                <w:highlight w:val="none"/>
              </w:rPr>
              <w:t>（二）环境标志产品政府采购品目清单</w:t>
            </w:r>
          </w:p>
          <w:p w14:paraId="538FFCE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olor w:val="auto"/>
                <w:highlight w:val="none"/>
              </w:rPr>
            </w:pPr>
            <w:r>
              <w:rPr>
                <w:rFonts w:hint="eastAsia" w:ascii="宋体" w:hAnsi="宋体" w:eastAsia="宋体"/>
                <w:color w:val="auto"/>
                <w:highlight w:val="none"/>
              </w:rPr>
              <w:t>（三）所投报的计算机预装正版操作系统，软件产品为正版软件</w:t>
            </w:r>
          </w:p>
          <w:p w14:paraId="3416F95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olor w:val="auto"/>
                <w:highlight w:val="none"/>
              </w:rPr>
            </w:pPr>
            <w:r>
              <w:rPr>
                <w:rFonts w:hint="eastAsia" w:ascii="宋体" w:hAnsi="宋体" w:eastAsia="宋体"/>
                <w:color w:val="auto"/>
                <w:highlight w:val="none"/>
              </w:rPr>
              <w:t>（四）所响应信息安全产品属于《网络关键设备和网络安全专用产品目录》中的产品</w:t>
            </w:r>
          </w:p>
          <w:p w14:paraId="74200996">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olor w:val="auto"/>
                <w:highlight w:val="none"/>
              </w:rPr>
            </w:pPr>
            <w:r>
              <w:rPr>
                <w:rFonts w:hint="eastAsia" w:ascii="宋体" w:hAnsi="宋体" w:eastAsia="宋体"/>
                <w:color w:val="auto"/>
                <w:highlight w:val="none"/>
              </w:rPr>
              <w:t>（五）中小企业声明函</w:t>
            </w:r>
          </w:p>
          <w:p w14:paraId="2DA4E82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olor w:val="auto"/>
                <w:highlight w:val="none"/>
              </w:rPr>
            </w:pPr>
            <w:r>
              <w:rPr>
                <w:rFonts w:hint="eastAsia" w:ascii="宋体" w:hAnsi="宋体" w:eastAsia="宋体"/>
                <w:color w:val="auto"/>
                <w:highlight w:val="none"/>
              </w:rPr>
              <w:t>（六）残疾人福利性单位声明函</w:t>
            </w:r>
          </w:p>
          <w:p w14:paraId="169807F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olor w:val="auto"/>
                <w:highlight w:val="none"/>
              </w:rPr>
            </w:pPr>
            <w:r>
              <w:rPr>
                <w:rFonts w:hint="eastAsia" w:ascii="宋体" w:hAnsi="宋体" w:eastAsia="宋体"/>
                <w:color w:val="auto"/>
                <w:highlight w:val="none"/>
              </w:rPr>
              <w:t>（七）属于监狱企业的证明文件</w:t>
            </w:r>
          </w:p>
          <w:p w14:paraId="75757522">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olor w:val="auto"/>
                <w:highlight w:val="none"/>
              </w:rPr>
            </w:pPr>
            <w:r>
              <w:rPr>
                <w:rFonts w:hint="eastAsia" w:ascii="宋体" w:hAnsi="宋体" w:eastAsia="宋体"/>
                <w:color w:val="auto"/>
                <w:highlight w:val="none"/>
              </w:rPr>
              <w:t>（八）商品包装符合《商品包装政府采购需求标准（试行）》，快递包装符合《快递包装政府采购需求标准（试行）》</w:t>
            </w:r>
          </w:p>
          <w:p w14:paraId="0FE071C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olor w:val="auto"/>
                <w:highlight w:val="none"/>
              </w:rPr>
            </w:pPr>
            <w:r>
              <w:rPr>
                <w:rFonts w:hint="eastAsia" w:ascii="宋体" w:hAnsi="宋体" w:eastAsia="宋体"/>
                <w:color w:val="auto"/>
                <w:highlight w:val="none"/>
              </w:rPr>
              <w:t>（九）创新产品或创新服务明细表格式</w:t>
            </w:r>
          </w:p>
          <w:p w14:paraId="1BBFBE36">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olor w:val="auto"/>
                <w:highlight w:val="none"/>
              </w:rPr>
            </w:pPr>
            <w:r>
              <w:rPr>
                <w:rFonts w:hint="eastAsia" w:ascii="宋体" w:hAnsi="宋体" w:eastAsia="宋体"/>
                <w:color w:val="auto"/>
                <w:highlight w:val="none"/>
              </w:rPr>
              <w:t>（十）对非实质性要求的响应内容</w:t>
            </w:r>
          </w:p>
          <w:p w14:paraId="3C4212F2">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olor w:val="auto"/>
                <w:highlight w:val="none"/>
                <w:lang w:eastAsia="zh-CN"/>
              </w:rPr>
            </w:pPr>
            <w:r>
              <w:rPr>
                <w:rFonts w:hint="eastAsia" w:ascii="宋体" w:hAnsi="宋体" w:eastAsia="宋体"/>
                <w:color w:val="auto"/>
                <w:highlight w:val="none"/>
                <w:lang w:eastAsia="zh-CN"/>
              </w:rPr>
              <w:t>（</w:t>
            </w:r>
            <w:r>
              <w:rPr>
                <w:rFonts w:hint="eastAsia" w:ascii="宋体" w:hAnsi="宋体" w:eastAsia="宋体"/>
                <w:color w:val="auto"/>
                <w:highlight w:val="none"/>
                <w:lang w:val="en-US" w:eastAsia="zh-CN"/>
              </w:rPr>
              <w:t>十一</w:t>
            </w:r>
            <w:r>
              <w:rPr>
                <w:rFonts w:hint="eastAsia" w:ascii="宋体" w:hAnsi="宋体" w:eastAsia="宋体"/>
                <w:color w:val="auto"/>
                <w:highlight w:val="none"/>
                <w:lang w:eastAsia="zh-CN"/>
              </w:rPr>
              <w:t>）</w:t>
            </w:r>
            <w:r>
              <w:rPr>
                <w:rFonts w:hint="eastAsia" w:ascii="宋体" w:hAnsi="宋体" w:eastAsia="宋体"/>
                <w:color w:val="auto"/>
                <w:highlight w:val="none"/>
              </w:rPr>
              <w:t>关于符合本国产品标准的声明函</w:t>
            </w:r>
          </w:p>
          <w:p w14:paraId="6C3BE1E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Times New Roman" w:hAnsi="Times New Roman"/>
                <w:color w:val="auto"/>
                <w:spacing w:val="20"/>
                <w:sz w:val="28"/>
                <w:szCs w:val="28"/>
                <w:highlight w:val="none"/>
                <w:lang w:eastAsia="zh-CN"/>
              </w:rPr>
            </w:pPr>
            <w:r>
              <w:rPr>
                <w:rFonts w:hint="eastAsia" w:ascii="宋体" w:hAnsi="宋体" w:eastAsia="宋体"/>
                <w:color w:val="auto"/>
                <w:highlight w:val="none"/>
                <w:lang w:eastAsia="zh-CN"/>
              </w:rPr>
              <w:t>（</w:t>
            </w:r>
            <w:r>
              <w:rPr>
                <w:rFonts w:hint="eastAsia" w:ascii="宋体" w:hAnsi="宋体" w:eastAsia="宋体"/>
                <w:color w:val="auto"/>
                <w:highlight w:val="none"/>
                <w:lang w:val="en-US" w:eastAsia="zh-CN"/>
              </w:rPr>
              <w:t>十二</w:t>
            </w:r>
            <w:r>
              <w:rPr>
                <w:rFonts w:hint="eastAsia" w:ascii="宋体" w:hAnsi="宋体" w:eastAsia="宋体"/>
                <w:color w:val="auto"/>
                <w:highlight w:val="none"/>
                <w:lang w:eastAsia="zh-CN"/>
              </w:rPr>
              <w:t>）</w:t>
            </w:r>
            <w:r>
              <w:rPr>
                <w:rFonts w:hint="eastAsia" w:ascii="宋体" w:hAnsi="宋体" w:eastAsia="宋体"/>
                <w:color w:val="auto"/>
                <w:highlight w:val="none"/>
              </w:rPr>
              <w:t>政府采购其他政策要求</w:t>
            </w:r>
          </w:p>
        </w:tc>
      </w:tr>
      <w:tr w14:paraId="5B16E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jc w:val="center"/>
        </w:trPr>
        <w:tc>
          <w:tcPr>
            <w:tcW w:w="887" w:type="dxa"/>
            <w:tcBorders>
              <w:top w:val="single" w:color="000000" w:sz="4" w:space="0"/>
              <w:left w:val="single" w:color="000000" w:sz="4" w:space="0"/>
              <w:bottom w:val="single" w:color="000000" w:sz="4" w:space="0"/>
              <w:right w:val="single" w:color="000000" w:sz="4" w:space="0"/>
            </w:tcBorders>
            <w:vAlign w:val="center"/>
          </w:tcPr>
          <w:p w14:paraId="7A957177">
            <w:pPr>
              <w:spacing w:line="240" w:lineRule="auto"/>
              <w:ind w:firstLine="0" w:firstLineChars="0"/>
              <w:jc w:val="center"/>
              <w:rPr>
                <w:color w:val="auto"/>
                <w:highlight w:val="none"/>
              </w:rPr>
            </w:pPr>
            <w:r>
              <w:rPr>
                <w:rFonts w:hint="eastAsia"/>
                <w:color w:val="auto"/>
                <w:highlight w:val="none"/>
              </w:rPr>
              <w:t>13</w:t>
            </w:r>
          </w:p>
        </w:tc>
        <w:tc>
          <w:tcPr>
            <w:tcW w:w="1718" w:type="dxa"/>
            <w:tcBorders>
              <w:top w:val="single" w:color="000000" w:sz="4" w:space="0"/>
              <w:left w:val="single" w:color="000000" w:sz="4" w:space="0"/>
              <w:bottom w:val="single" w:color="000000" w:sz="4" w:space="0"/>
              <w:right w:val="single" w:color="000000" w:sz="4" w:space="0"/>
            </w:tcBorders>
            <w:vAlign w:val="center"/>
          </w:tcPr>
          <w:p w14:paraId="1963448C">
            <w:pPr>
              <w:spacing w:line="240" w:lineRule="auto"/>
              <w:ind w:firstLine="0" w:firstLineChars="0"/>
              <w:jc w:val="center"/>
              <w:rPr>
                <w:color w:val="auto"/>
                <w:highlight w:val="none"/>
              </w:rPr>
            </w:pPr>
            <w:r>
              <w:rPr>
                <w:rFonts w:hint="eastAsia"/>
                <w:color w:val="auto"/>
                <w:highlight w:val="none"/>
              </w:rPr>
              <w:t>分册装订要求</w:t>
            </w:r>
          </w:p>
        </w:tc>
        <w:tc>
          <w:tcPr>
            <w:tcW w:w="6859" w:type="dxa"/>
            <w:tcBorders>
              <w:top w:val="single" w:color="000000" w:sz="4" w:space="0"/>
              <w:left w:val="single" w:color="000000" w:sz="4" w:space="0"/>
              <w:bottom w:val="single" w:color="000000" w:sz="4" w:space="0"/>
              <w:right w:val="single" w:color="000000" w:sz="4" w:space="0"/>
            </w:tcBorders>
            <w:vAlign w:val="center"/>
          </w:tcPr>
          <w:p w14:paraId="3D0542CD">
            <w:pPr>
              <w:spacing w:line="240" w:lineRule="auto"/>
              <w:ind w:firstLine="0" w:firstLineChars="0"/>
              <w:jc w:val="left"/>
              <w:rPr>
                <w:color w:val="auto"/>
                <w:highlight w:val="none"/>
              </w:rPr>
            </w:pPr>
            <w:r>
              <w:rPr>
                <w:rFonts w:hint="eastAsia"/>
                <w:color w:val="auto"/>
                <w:highlight w:val="none"/>
              </w:rPr>
              <w:t>/</w:t>
            </w:r>
          </w:p>
        </w:tc>
      </w:tr>
      <w:tr w14:paraId="3DD67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87" w:type="dxa"/>
            <w:tcBorders>
              <w:top w:val="single" w:color="000000" w:sz="4" w:space="0"/>
              <w:left w:val="single" w:color="000000" w:sz="4" w:space="0"/>
              <w:bottom w:val="single" w:color="000000" w:sz="4" w:space="0"/>
              <w:right w:val="single" w:color="000000" w:sz="4" w:space="0"/>
            </w:tcBorders>
            <w:vAlign w:val="center"/>
          </w:tcPr>
          <w:p w14:paraId="7C64D70D">
            <w:pPr>
              <w:spacing w:line="240" w:lineRule="auto"/>
              <w:ind w:firstLine="0" w:firstLineChars="0"/>
              <w:jc w:val="center"/>
              <w:rPr>
                <w:color w:val="auto"/>
                <w:highlight w:val="none"/>
              </w:rPr>
            </w:pPr>
            <w:r>
              <w:rPr>
                <w:rFonts w:hint="eastAsia"/>
                <w:color w:val="auto"/>
                <w:highlight w:val="none"/>
              </w:rPr>
              <w:t>14</w:t>
            </w:r>
          </w:p>
        </w:tc>
        <w:tc>
          <w:tcPr>
            <w:tcW w:w="1718" w:type="dxa"/>
            <w:tcBorders>
              <w:top w:val="single" w:color="000000" w:sz="4" w:space="0"/>
              <w:left w:val="single" w:color="000000" w:sz="4" w:space="0"/>
              <w:bottom w:val="single" w:color="000000" w:sz="4" w:space="0"/>
              <w:right w:val="single" w:color="000000" w:sz="4" w:space="0"/>
            </w:tcBorders>
            <w:vAlign w:val="center"/>
          </w:tcPr>
          <w:p w14:paraId="78D9E849">
            <w:pPr>
              <w:spacing w:line="240" w:lineRule="auto"/>
              <w:ind w:firstLine="0" w:firstLineChars="0"/>
              <w:jc w:val="center"/>
              <w:rPr>
                <w:color w:val="auto"/>
                <w:highlight w:val="none"/>
              </w:rPr>
            </w:pPr>
            <w:r>
              <w:rPr>
                <w:rFonts w:hint="eastAsia"/>
                <w:color w:val="auto"/>
                <w:highlight w:val="none"/>
              </w:rPr>
              <w:t>进口产品</w:t>
            </w:r>
          </w:p>
        </w:tc>
        <w:tc>
          <w:tcPr>
            <w:tcW w:w="6859" w:type="dxa"/>
            <w:tcBorders>
              <w:top w:val="single" w:color="000000" w:sz="4" w:space="0"/>
              <w:left w:val="single" w:color="000000" w:sz="4" w:space="0"/>
              <w:bottom w:val="single" w:color="000000" w:sz="4" w:space="0"/>
              <w:right w:val="single" w:color="000000" w:sz="4" w:space="0"/>
            </w:tcBorders>
            <w:vAlign w:val="center"/>
          </w:tcPr>
          <w:p w14:paraId="52DFC52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rPr>
              <w:t>招标文件注明采购进口产品的，如有满足需求的国内产品参加投标，将按照公平竞争原则进行评审。</w:t>
            </w:r>
          </w:p>
          <w:p w14:paraId="3F02605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rPr>
              <w:t>按照财政部《政府采购进口产品管理办法》（财库[2007]119号）及《关于政府采购进口产品管理有关问题的通知》（财办库[2008]248号）的有关规定，本项目涉及的所有采购内容除特别标注为“可接受进口产品”外，均必须采购国产产品，所采购的货物必须符合国家的强制性标准。</w:t>
            </w:r>
          </w:p>
          <w:p w14:paraId="459C49D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rPr>
              <w:t>按照《国务院办公厅关于在政府采购中实施本国产品标准及相关政策的通知》（国办发〔2025〕34 号）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D7B775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rPr>
              <w:t>政府采购活动中既有本国产品又有非本国产品参与竞争的，依法对本国产品给予价格评审优惠，对本国产品的报价给予20%的价格扣除，用扣除后的价格参与评审。</w:t>
            </w:r>
          </w:p>
          <w:p w14:paraId="1BBB1FF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C07E0A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color w:val="auto"/>
                <w:highlight w:val="none"/>
              </w:rPr>
            </w:pPr>
            <w:r>
              <w:rPr>
                <w:rFonts w:hint="eastAsia" w:ascii="宋体" w:hAnsi="宋体" w:eastAsia="宋体" w:cs="Times New Roman"/>
                <w:color w:val="auto"/>
                <w:highlight w:val="none"/>
              </w:rPr>
              <w:t>对于非专门面向中小企业的采购项目，既有本国产品也有非本国产品参与竞争，且提供本国产品的供应商同时为小微企业的，应当同时给予支持本国产品和小微企业产品的价格评审优惠，即在供应商原始报价基础上，分别计算价格扣除。</w:t>
            </w:r>
          </w:p>
        </w:tc>
      </w:tr>
      <w:tr w14:paraId="697E5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87" w:type="dxa"/>
            <w:tcBorders>
              <w:top w:val="single" w:color="000000" w:sz="4" w:space="0"/>
              <w:left w:val="single" w:color="000000" w:sz="4" w:space="0"/>
              <w:bottom w:val="single" w:color="000000" w:sz="4" w:space="0"/>
              <w:right w:val="single" w:color="000000" w:sz="4" w:space="0"/>
            </w:tcBorders>
            <w:vAlign w:val="center"/>
          </w:tcPr>
          <w:p w14:paraId="0E4FA808">
            <w:pPr>
              <w:spacing w:line="240" w:lineRule="auto"/>
              <w:ind w:firstLine="0" w:firstLineChars="0"/>
              <w:jc w:val="center"/>
              <w:rPr>
                <w:color w:val="auto"/>
                <w:sz w:val="21"/>
                <w:szCs w:val="21"/>
                <w:highlight w:val="none"/>
              </w:rPr>
            </w:pPr>
            <w:r>
              <w:rPr>
                <w:rFonts w:hint="eastAsia"/>
                <w:color w:val="auto"/>
                <w:highlight w:val="none"/>
              </w:rPr>
              <w:t>15</w:t>
            </w:r>
          </w:p>
        </w:tc>
        <w:tc>
          <w:tcPr>
            <w:tcW w:w="1718" w:type="dxa"/>
            <w:tcBorders>
              <w:top w:val="single" w:color="000000" w:sz="4" w:space="0"/>
              <w:left w:val="single" w:color="000000" w:sz="4" w:space="0"/>
              <w:bottom w:val="single" w:color="000000" w:sz="4" w:space="0"/>
              <w:right w:val="single" w:color="000000" w:sz="4" w:space="0"/>
            </w:tcBorders>
            <w:vAlign w:val="center"/>
          </w:tcPr>
          <w:p w14:paraId="2F1DC6F6">
            <w:pPr>
              <w:spacing w:line="240" w:lineRule="auto"/>
              <w:ind w:firstLine="0" w:firstLineChars="0"/>
              <w:jc w:val="center"/>
              <w:rPr>
                <w:color w:val="auto"/>
                <w:highlight w:val="none"/>
              </w:rPr>
            </w:pPr>
            <w:r>
              <w:rPr>
                <w:rFonts w:hint="eastAsia"/>
                <w:color w:val="auto"/>
                <w:highlight w:val="none"/>
              </w:rPr>
              <w:t>保证金</w:t>
            </w:r>
          </w:p>
        </w:tc>
        <w:tc>
          <w:tcPr>
            <w:tcW w:w="6859" w:type="dxa"/>
            <w:tcBorders>
              <w:top w:val="single" w:color="000000" w:sz="4" w:space="0"/>
              <w:left w:val="single" w:color="000000" w:sz="4" w:space="0"/>
              <w:bottom w:val="single" w:color="000000" w:sz="4" w:space="0"/>
              <w:right w:val="single" w:color="000000" w:sz="4" w:space="0"/>
            </w:tcBorders>
            <w:vAlign w:val="center"/>
          </w:tcPr>
          <w:p w14:paraId="6A2A1E3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color w:val="auto"/>
                <w:highlight w:val="none"/>
              </w:rPr>
            </w:pPr>
            <w:r>
              <w:rPr>
                <w:rFonts w:hint="eastAsia"/>
                <w:color w:val="auto"/>
                <w:highlight w:val="none"/>
                <w:lang w:val="en-US" w:eastAsia="zh-CN"/>
              </w:rPr>
              <w:t>1.</w:t>
            </w:r>
            <w:r>
              <w:rPr>
                <w:rFonts w:hint="eastAsia"/>
                <w:color w:val="auto"/>
                <w:highlight w:val="none"/>
              </w:rPr>
              <w:t>保证金金额：</w:t>
            </w:r>
          </w:p>
          <w:p w14:paraId="57ED3E20">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color w:val="auto"/>
                <w:highlight w:val="none"/>
              </w:rPr>
            </w:pPr>
            <w:r>
              <w:rPr>
                <w:rFonts w:hint="eastAsia"/>
                <w:color w:val="auto"/>
                <w:highlight w:val="none"/>
                <w:lang w:val="en-US" w:eastAsia="zh-CN"/>
              </w:rPr>
              <w:t>包1：</w:t>
            </w:r>
            <w:r>
              <w:rPr>
                <w:rFonts w:hint="eastAsia"/>
                <w:color w:val="auto"/>
                <w:highlight w:val="none"/>
              </w:rPr>
              <w:t>人民币</w:t>
            </w:r>
            <w:r>
              <w:rPr>
                <w:rFonts w:hint="eastAsia"/>
                <w:color w:val="auto"/>
                <w:highlight w:val="none"/>
                <w:lang w:eastAsia="zh-CN"/>
              </w:rPr>
              <w:t>：</w:t>
            </w:r>
            <w:r>
              <w:rPr>
                <w:rFonts w:hint="eastAsia"/>
                <w:color w:val="auto"/>
                <w:highlight w:val="none"/>
                <w:lang w:val="en-US" w:eastAsia="zh-CN"/>
              </w:rPr>
              <w:t>伍佰元</w:t>
            </w:r>
            <w:r>
              <w:rPr>
                <w:rFonts w:hint="eastAsia"/>
                <w:color w:val="auto"/>
                <w:highlight w:val="none"/>
              </w:rPr>
              <w:t>整（小写：</w:t>
            </w:r>
            <w:r>
              <w:rPr>
                <w:rFonts w:hint="eastAsia"/>
                <w:color w:val="auto"/>
                <w:highlight w:val="none"/>
                <w:lang w:val="en-US" w:eastAsia="zh-CN"/>
              </w:rPr>
              <w:t>500</w:t>
            </w:r>
            <w:r>
              <w:rPr>
                <w:rFonts w:hint="eastAsia"/>
                <w:color w:val="auto"/>
                <w:highlight w:val="none"/>
              </w:rPr>
              <w:t>元）；</w:t>
            </w:r>
          </w:p>
          <w:p w14:paraId="52EF6EF7">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color w:val="auto"/>
                <w:highlight w:val="none"/>
              </w:rPr>
            </w:pPr>
            <w:r>
              <w:rPr>
                <w:rFonts w:hint="eastAsia"/>
                <w:color w:val="auto"/>
                <w:highlight w:val="none"/>
                <w:lang w:val="en-US" w:eastAsia="zh-CN"/>
              </w:rPr>
              <w:t>包2：</w:t>
            </w:r>
            <w:r>
              <w:rPr>
                <w:rFonts w:hint="eastAsia"/>
                <w:color w:val="auto"/>
                <w:highlight w:val="none"/>
              </w:rPr>
              <w:t>人民币</w:t>
            </w:r>
            <w:r>
              <w:rPr>
                <w:rFonts w:hint="eastAsia"/>
                <w:color w:val="auto"/>
                <w:highlight w:val="none"/>
                <w:lang w:eastAsia="zh-CN"/>
              </w:rPr>
              <w:t>：</w:t>
            </w:r>
            <w:r>
              <w:rPr>
                <w:rFonts w:hint="eastAsia"/>
                <w:color w:val="auto"/>
                <w:highlight w:val="none"/>
                <w:lang w:val="en-US" w:eastAsia="zh-CN"/>
              </w:rPr>
              <w:t>肆仟伍佰元</w:t>
            </w:r>
            <w:r>
              <w:rPr>
                <w:rFonts w:hint="eastAsia"/>
                <w:color w:val="auto"/>
                <w:highlight w:val="none"/>
              </w:rPr>
              <w:t>整（小写：</w:t>
            </w:r>
            <w:r>
              <w:rPr>
                <w:rFonts w:hint="eastAsia"/>
                <w:color w:val="auto"/>
                <w:highlight w:val="none"/>
                <w:lang w:val="en-US" w:eastAsia="zh-CN"/>
              </w:rPr>
              <w:t>4500</w:t>
            </w:r>
            <w:r>
              <w:rPr>
                <w:rFonts w:hint="eastAsia"/>
                <w:color w:val="auto"/>
                <w:highlight w:val="none"/>
              </w:rPr>
              <w:t>元）</w:t>
            </w:r>
          </w:p>
          <w:p w14:paraId="1D70CE8A">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cs="宋体"/>
                <w:color w:val="auto"/>
                <w:sz w:val="24"/>
                <w:szCs w:val="24"/>
                <w:highlight w:val="none"/>
              </w:rPr>
            </w:pPr>
            <w:r>
              <w:rPr>
                <w:rFonts w:hint="eastAsia" w:cs="宋体"/>
                <w:color w:val="auto"/>
                <w:sz w:val="24"/>
                <w:szCs w:val="24"/>
                <w:highlight w:val="none"/>
                <w:lang w:val="en-US" w:eastAsia="zh-CN"/>
              </w:rPr>
              <w:t>2.</w:t>
            </w:r>
            <w:r>
              <w:rPr>
                <w:rFonts w:hint="eastAsia" w:cs="宋体"/>
                <w:color w:val="auto"/>
                <w:sz w:val="24"/>
                <w:szCs w:val="24"/>
                <w:highlight w:val="none"/>
              </w:rPr>
              <w:t>投标保证金的形式：转账、电汇、支票</w:t>
            </w:r>
          </w:p>
          <w:p w14:paraId="6A0EE3A0">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cs="宋体"/>
                <w:color w:val="auto"/>
                <w:sz w:val="24"/>
                <w:szCs w:val="24"/>
                <w:highlight w:val="none"/>
              </w:rPr>
            </w:pPr>
            <w:r>
              <w:rPr>
                <w:rFonts w:hint="eastAsia" w:cs="宋体"/>
                <w:color w:val="auto"/>
                <w:sz w:val="24"/>
                <w:szCs w:val="24"/>
                <w:highlight w:val="none"/>
              </w:rPr>
              <w:t>递交时限：投标截止时间前</w:t>
            </w:r>
          </w:p>
          <w:p w14:paraId="6EF0728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cs="宋体"/>
                <w:color w:val="auto"/>
                <w:sz w:val="24"/>
                <w:szCs w:val="24"/>
                <w:highlight w:val="none"/>
              </w:rPr>
            </w:pPr>
            <w:r>
              <w:rPr>
                <w:rFonts w:hint="eastAsia" w:cs="宋体"/>
                <w:color w:val="auto"/>
                <w:sz w:val="24"/>
                <w:szCs w:val="24"/>
                <w:highlight w:val="none"/>
              </w:rPr>
              <w:t>递交方式：通过本单位基本银行帐户递交</w:t>
            </w:r>
          </w:p>
          <w:p w14:paraId="0815535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cs="宋体"/>
                <w:color w:val="auto"/>
                <w:sz w:val="24"/>
                <w:szCs w:val="24"/>
                <w:highlight w:val="none"/>
              </w:rPr>
            </w:pPr>
            <w:r>
              <w:rPr>
                <w:rFonts w:hint="eastAsia" w:cs="宋体"/>
                <w:color w:val="auto"/>
                <w:sz w:val="24"/>
                <w:szCs w:val="24"/>
                <w:highlight w:val="none"/>
              </w:rPr>
              <w:t xml:space="preserve">退还方式：退还至本单位基本银行帐户 </w:t>
            </w:r>
          </w:p>
          <w:p w14:paraId="5C7ED8A5">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cs="宋体"/>
                <w:color w:val="auto"/>
                <w:sz w:val="24"/>
                <w:szCs w:val="24"/>
                <w:highlight w:val="none"/>
              </w:rPr>
            </w:pPr>
            <w:r>
              <w:rPr>
                <w:rFonts w:hint="eastAsia" w:cs="宋体"/>
                <w:color w:val="auto"/>
                <w:sz w:val="24"/>
                <w:szCs w:val="24"/>
                <w:highlight w:val="none"/>
              </w:rPr>
              <w:t>投标保证金凭证：到账通知单或转账单</w:t>
            </w:r>
          </w:p>
          <w:p w14:paraId="6F7CF761">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cs="宋体"/>
                <w:color w:val="auto"/>
                <w:sz w:val="24"/>
                <w:szCs w:val="24"/>
                <w:highlight w:val="none"/>
              </w:rPr>
            </w:pPr>
            <w:r>
              <w:rPr>
                <w:rFonts w:hint="eastAsia" w:cs="宋体"/>
                <w:color w:val="auto"/>
                <w:sz w:val="24"/>
                <w:szCs w:val="24"/>
                <w:highlight w:val="none"/>
              </w:rPr>
              <w:t>投标保证金开户银行及账号如下：</w:t>
            </w:r>
          </w:p>
          <w:p w14:paraId="2A654AE4">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cs="宋体"/>
                <w:color w:val="auto"/>
                <w:sz w:val="24"/>
                <w:szCs w:val="24"/>
                <w:highlight w:val="none"/>
              </w:rPr>
            </w:pPr>
            <w:r>
              <w:rPr>
                <w:rFonts w:hint="eastAsia" w:cs="宋体"/>
                <w:color w:val="auto"/>
                <w:sz w:val="24"/>
                <w:szCs w:val="24"/>
                <w:highlight w:val="none"/>
              </w:rPr>
              <w:t>开户名称：山西铭汇工程项目管理有限公司</w:t>
            </w:r>
          </w:p>
          <w:p w14:paraId="5843B48A">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cs="宋体"/>
                <w:color w:val="auto"/>
                <w:sz w:val="24"/>
                <w:szCs w:val="24"/>
                <w:highlight w:val="none"/>
              </w:rPr>
            </w:pPr>
            <w:r>
              <w:rPr>
                <w:rFonts w:hint="eastAsia" w:cs="宋体"/>
                <w:color w:val="auto"/>
                <w:sz w:val="24"/>
                <w:szCs w:val="24"/>
                <w:highlight w:val="none"/>
              </w:rPr>
              <w:t>开户银行：中国工商银行股份有限公司长治滨河支行</w:t>
            </w:r>
          </w:p>
          <w:p w14:paraId="696B8330">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cs="宋体"/>
                <w:color w:val="auto"/>
                <w:sz w:val="24"/>
                <w:szCs w:val="24"/>
                <w:highlight w:val="none"/>
              </w:rPr>
            </w:pPr>
            <w:r>
              <w:rPr>
                <w:rFonts w:hint="eastAsia" w:cs="宋体"/>
                <w:color w:val="auto"/>
                <w:sz w:val="24"/>
                <w:szCs w:val="24"/>
                <w:highlight w:val="none"/>
              </w:rPr>
              <w:t>银行账号：0505010309200078947</w:t>
            </w:r>
          </w:p>
          <w:p w14:paraId="21C5804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cs="宋体"/>
                <w:color w:val="auto"/>
                <w:sz w:val="24"/>
                <w:szCs w:val="24"/>
                <w:highlight w:val="none"/>
              </w:rPr>
            </w:pPr>
            <w:r>
              <w:rPr>
                <w:rFonts w:hint="eastAsia" w:cs="宋体"/>
                <w:color w:val="auto"/>
                <w:sz w:val="24"/>
                <w:szCs w:val="24"/>
                <w:highlight w:val="none"/>
              </w:rPr>
              <w:t>按递交方式退还，采购人发出中标通知书后5天内向未中标的</w:t>
            </w:r>
            <w:r>
              <w:rPr>
                <w:rFonts w:hint="eastAsia" w:cs="宋体"/>
                <w:color w:val="auto"/>
                <w:sz w:val="24"/>
                <w:szCs w:val="24"/>
                <w:highlight w:val="none"/>
                <w:lang w:val="en-US" w:eastAsia="zh-CN"/>
              </w:rPr>
              <w:t>投标人</w:t>
            </w:r>
            <w:r>
              <w:rPr>
                <w:rFonts w:hint="eastAsia" w:cs="宋体"/>
                <w:color w:val="auto"/>
                <w:sz w:val="24"/>
                <w:szCs w:val="24"/>
                <w:highlight w:val="none"/>
              </w:rPr>
              <w:t>全额退还投标保证金；采购人与中标人签订合同后5天内向中标人全额退还投标保证金。</w:t>
            </w:r>
          </w:p>
          <w:p w14:paraId="26EE0BD1">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cs="宋体"/>
                <w:color w:val="auto"/>
                <w:sz w:val="24"/>
                <w:szCs w:val="24"/>
                <w:highlight w:val="none"/>
              </w:rPr>
            </w:pPr>
            <w:r>
              <w:rPr>
                <w:rFonts w:hint="eastAsia" w:cs="宋体"/>
                <w:color w:val="auto"/>
                <w:sz w:val="24"/>
                <w:szCs w:val="24"/>
                <w:highlight w:val="none"/>
              </w:rPr>
              <w:t>注：须在汇款/转帐凭单用途栏中写明项目名称</w:t>
            </w:r>
            <w:r>
              <w:rPr>
                <w:rFonts w:hint="eastAsia" w:cs="宋体"/>
                <w:color w:val="auto"/>
                <w:sz w:val="24"/>
                <w:szCs w:val="24"/>
                <w:highlight w:val="none"/>
                <w:lang w:val="en-US" w:eastAsia="zh-CN"/>
              </w:rPr>
              <w:t>及包号</w:t>
            </w:r>
            <w:r>
              <w:rPr>
                <w:rFonts w:hint="eastAsia" w:cs="宋体"/>
                <w:color w:val="auto"/>
                <w:sz w:val="24"/>
                <w:szCs w:val="24"/>
                <w:highlight w:val="none"/>
              </w:rPr>
              <w:t>（可简写）</w:t>
            </w:r>
          </w:p>
          <w:p w14:paraId="2FCDA393">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cs="宋体"/>
                <w:color w:val="auto"/>
                <w:sz w:val="24"/>
                <w:szCs w:val="24"/>
                <w:highlight w:val="none"/>
              </w:rPr>
            </w:pPr>
            <w:r>
              <w:rPr>
                <w:rFonts w:hint="eastAsia" w:cs="宋体"/>
                <w:color w:val="auto"/>
                <w:sz w:val="24"/>
                <w:szCs w:val="24"/>
                <w:highlight w:val="none"/>
                <w:lang w:val="en-US" w:eastAsia="zh-CN"/>
              </w:rPr>
              <w:t>3.</w:t>
            </w:r>
            <w:r>
              <w:rPr>
                <w:rFonts w:hint="eastAsia" w:cs="宋体"/>
                <w:color w:val="auto"/>
                <w:sz w:val="24"/>
                <w:szCs w:val="24"/>
                <w:highlight w:val="none"/>
              </w:rPr>
              <w:t>投标保函</w:t>
            </w:r>
          </w:p>
          <w:p w14:paraId="70437E06">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left"/>
              <w:textAlignment w:val="auto"/>
              <w:rPr>
                <w:color w:val="auto"/>
                <w:sz w:val="21"/>
                <w:szCs w:val="21"/>
                <w:highlight w:val="none"/>
              </w:rPr>
            </w:pPr>
            <w:r>
              <w:rPr>
                <w:rFonts w:hint="eastAsia" w:cs="宋体"/>
                <w:color w:val="auto"/>
                <w:sz w:val="24"/>
                <w:szCs w:val="24"/>
                <w:highlight w:val="none"/>
              </w:rPr>
              <w:t>投标保函应当是具备合法资质的金融机构开具的银行保函、保证保险，工程担保公司保函。投标文件中附保函文件，其有效期应当与投标文件有效期一致，且真实有效，电子投标文件中需附保函扫描件。</w:t>
            </w:r>
          </w:p>
        </w:tc>
      </w:tr>
      <w:tr w14:paraId="2750D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jc w:val="center"/>
        </w:trPr>
        <w:tc>
          <w:tcPr>
            <w:tcW w:w="887" w:type="dxa"/>
            <w:tcBorders>
              <w:top w:val="single" w:color="000000" w:sz="4" w:space="0"/>
              <w:left w:val="single" w:color="000000" w:sz="4" w:space="0"/>
              <w:bottom w:val="single" w:color="000000" w:sz="4" w:space="0"/>
              <w:right w:val="single" w:color="000000" w:sz="4" w:space="0"/>
            </w:tcBorders>
            <w:vAlign w:val="center"/>
          </w:tcPr>
          <w:p w14:paraId="42F53B4F">
            <w:pPr>
              <w:spacing w:line="240" w:lineRule="auto"/>
              <w:ind w:firstLine="0" w:firstLineChars="0"/>
              <w:jc w:val="center"/>
              <w:rPr>
                <w:color w:val="auto"/>
                <w:sz w:val="21"/>
                <w:szCs w:val="21"/>
                <w:highlight w:val="none"/>
              </w:rPr>
            </w:pPr>
            <w:r>
              <w:rPr>
                <w:rFonts w:hint="eastAsia"/>
                <w:color w:val="auto"/>
                <w:highlight w:val="none"/>
              </w:rPr>
              <w:t>16</w:t>
            </w:r>
          </w:p>
        </w:tc>
        <w:tc>
          <w:tcPr>
            <w:tcW w:w="1718" w:type="dxa"/>
            <w:tcBorders>
              <w:top w:val="single" w:color="000000" w:sz="4" w:space="0"/>
              <w:left w:val="single" w:color="000000" w:sz="4" w:space="0"/>
              <w:bottom w:val="single" w:color="000000" w:sz="4" w:space="0"/>
              <w:right w:val="single" w:color="000000" w:sz="4" w:space="0"/>
            </w:tcBorders>
            <w:vAlign w:val="center"/>
          </w:tcPr>
          <w:p w14:paraId="64B64E69">
            <w:pPr>
              <w:spacing w:line="240" w:lineRule="auto"/>
              <w:ind w:firstLine="0" w:firstLineChars="0"/>
              <w:jc w:val="left"/>
              <w:rPr>
                <w:color w:val="auto"/>
                <w:highlight w:val="none"/>
              </w:rPr>
            </w:pPr>
            <w:r>
              <w:rPr>
                <w:rFonts w:hint="eastAsia"/>
                <w:color w:val="auto"/>
                <w:highlight w:val="none"/>
              </w:rPr>
              <w:t>投标截止时间</w:t>
            </w:r>
          </w:p>
        </w:tc>
        <w:tc>
          <w:tcPr>
            <w:tcW w:w="6859" w:type="dxa"/>
            <w:tcBorders>
              <w:top w:val="single" w:color="000000" w:sz="4" w:space="0"/>
              <w:left w:val="single" w:color="000000" w:sz="4" w:space="0"/>
              <w:bottom w:val="single" w:color="000000" w:sz="4" w:space="0"/>
              <w:right w:val="single" w:color="000000" w:sz="4" w:space="0"/>
            </w:tcBorders>
            <w:vAlign w:val="center"/>
          </w:tcPr>
          <w:p w14:paraId="0E594D52">
            <w:pPr>
              <w:spacing w:line="240" w:lineRule="auto"/>
              <w:ind w:firstLine="0" w:firstLineChars="0"/>
              <w:jc w:val="left"/>
              <w:rPr>
                <w:color w:val="auto"/>
                <w:highlight w:val="none"/>
              </w:rPr>
            </w:pPr>
            <w:r>
              <w:rPr>
                <w:rFonts w:hint="eastAsia"/>
                <w:color w:val="auto"/>
                <w:highlight w:val="none"/>
              </w:rPr>
              <w:t>20</w:t>
            </w:r>
            <w:r>
              <w:rPr>
                <w:rFonts w:hint="eastAsia"/>
                <w:color w:val="auto"/>
                <w:highlight w:val="none"/>
                <w:lang w:val="en-US" w:eastAsia="zh-CN"/>
              </w:rPr>
              <w:t>26</w:t>
            </w:r>
            <w:r>
              <w:rPr>
                <w:rFonts w:hint="eastAsia"/>
                <w:color w:val="auto"/>
                <w:highlight w:val="none"/>
              </w:rPr>
              <w:t>年</w:t>
            </w:r>
            <w:r>
              <w:rPr>
                <w:rFonts w:hint="eastAsia"/>
                <w:color w:val="auto"/>
                <w:highlight w:val="none"/>
                <w:lang w:val="en-US" w:eastAsia="zh-CN"/>
              </w:rPr>
              <w:t>05</w:t>
            </w:r>
            <w:r>
              <w:rPr>
                <w:rFonts w:hint="eastAsia"/>
                <w:color w:val="auto"/>
                <w:highlight w:val="none"/>
              </w:rPr>
              <w:t>月</w:t>
            </w:r>
            <w:r>
              <w:rPr>
                <w:rFonts w:hint="eastAsia"/>
                <w:color w:val="auto"/>
                <w:highlight w:val="none"/>
                <w:lang w:val="en-US" w:eastAsia="zh-CN"/>
              </w:rPr>
              <w:t>21</w:t>
            </w:r>
            <w:r>
              <w:rPr>
                <w:rFonts w:hint="eastAsia"/>
                <w:color w:val="auto"/>
                <w:highlight w:val="none"/>
              </w:rPr>
              <w:t>日</w:t>
            </w:r>
            <w:r>
              <w:rPr>
                <w:rFonts w:hint="eastAsia"/>
                <w:color w:val="auto"/>
                <w:highlight w:val="none"/>
                <w:lang w:val="en-US" w:eastAsia="zh-CN"/>
              </w:rPr>
              <w:t>09</w:t>
            </w:r>
            <w:r>
              <w:rPr>
                <w:rFonts w:hint="eastAsia"/>
                <w:color w:val="auto"/>
                <w:highlight w:val="none"/>
              </w:rPr>
              <w:t>点</w:t>
            </w:r>
            <w:r>
              <w:rPr>
                <w:rFonts w:hint="eastAsia"/>
                <w:color w:val="auto"/>
                <w:highlight w:val="none"/>
                <w:lang w:val="en-US" w:eastAsia="zh-CN"/>
              </w:rPr>
              <w:t>00</w:t>
            </w:r>
            <w:r>
              <w:rPr>
                <w:rFonts w:hint="eastAsia"/>
                <w:color w:val="auto"/>
                <w:highlight w:val="none"/>
              </w:rPr>
              <w:t>分（北京时间）</w:t>
            </w:r>
          </w:p>
        </w:tc>
      </w:tr>
      <w:tr w14:paraId="3B214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jc w:val="center"/>
        </w:trPr>
        <w:tc>
          <w:tcPr>
            <w:tcW w:w="887" w:type="dxa"/>
            <w:tcBorders>
              <w:top w:val="single" w:color="000000" w:sz="4" w:space="0"/>
              <w:left w:val="single" w:color="000000" w:sz="4" w:space="0"/>
              <w:bottom w:val="single" w:color="000000" w:sz="4" w:space="0"/>
              <w:right w:val="single" w:color="000000" w:sz="4" w:space="0"/>
            </w:tcBorders>
            <w:vAlign w:val="center"/>
          </w:tcPr>
          <w:p w14:paraId="3BDBB45F">
            <w:pPr>
              <w:spacing w:line="240" w:lineRule="auto"/>
              <w:ind w:firstLine="0" w:firstLineChars="0"/>
              <w:jc w:val="center"/>
              <w:rPr>
                <w:rFonts w:hint="eastAsia"/>
                <w:color w:val="auto"/>
                <w:highlight w:val="none"/>
              </w:rPr>
            </w:pPr>
            <w:r>
              <w:rPr>
                <w:rFonts w:hint="eastAsia"/>
                <w:color w:val="auto"/>
                <w:highlight w:val="none"/>
              </w:rPr>
              <w:t>17</w:t>
            </w:r>
          </w:p>
        </w:tc>
        <w:tc>
          <w:tcPr>
            <w:tcW w:w="1718" w:type="dxa"/>
            <w:tcBorders>
              <w:top w:val="single" w:color="000000" w:sz="4" w:space="0"/>
              <w:left w:val="single" w:color="000000" w:sz="4" w:space="0"/>
              <w:bottom w:val="single" w:color="000000" w:sz="4" w:space="0"/>
              <w:right w:val="single" w:color="000000" w:sz="4" w:space="0"/>
            </w:tcBorders>
            <w:vAlign w:val="center"/>
          </w:tcPr>
          <w:p w14:paraId="6766DEAF">
            <w:pPr>
              <w:spacing w:line="240" w:lineRule="auto"/>
              <w:ind w:firstLine="0" w:firstLineChars="0"/>
              <w:jc w:val="center"/>
              <w:rPr>
                <w:color w:val="auto"/>
                <w:highlight w:val="none"/>
              </w:rPr>
            </w:pPr>
            <w:r>
              <w:rPr>
                <w:rFonts w:hint="eastAsia"/>
                <w:color w:val="auto"/>
                <w:highlight w:val="none"/>
              </w:rPr>
              <w:t>投标文件</w:t>
            </w:r>
            <w:r>
              <w:rPr>
                <w:rFonts w:hint="eastAsia"/>
                <w:color w:val="auto"/>
                <w:highlight w:val="none"/>
                <w:lang w:val="en-US" w:eastAsia="zh-CN"/>
              </w:rPr>
              <w:t>递交截止时间及</w:t>
            </w:r>
            <w:r>
              <w:rPr>
                <w:rFonts w:hint="eastAsia"/>
                <w:color w:val="auto"/>
                <w:highlight w:val="none"/>
              </w:rPr>
              <w:t>地点</w:t>
            </w:r>
          </w:p>
        </w:tc>
        <w:tc>
          <w:tcPr>
            <w:tcW w:w="6859" w:type="dxa"/>
            <w:tcBorders>
              <w:top w:val="single" w:color="000000" w:sz="4" w:space="0"/>
              <w:left w:val="single" w:color="000000" w:sz="4" w:space="0"/>
              <w:bottom w:val="single" w:color="000000" w:sz="4" w:space="0"/>
              <w:right w:val="single" w:color="000000" w:sz="4" w:space="0"/>
            </w:tcBorders>
            <w:vAlign w:val="center"/>
          </w:tcPr>
          <w:p w14:paraId="1B37D969">
            <w:pPr>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auto"/>
              <w:rPr>
                <w:rFonts w:hint="eastAsia" w:cs="宋体"/>
                <w:color w:val="auto"/>
                <w:sz w:val="24"/>
                <w:szCs w:val="24"/>
                <w:highlight w:val="none"/>
              </w:rPr>
            </w:pPr>
            <w:r>
              <w:rPr>
                <w:rFonts w:hint="eastAsia" w:cs="宋体"/>
                <w:color w:val="auto"/>
                <w:sz w:val="24"/>
                <w:szCs w:val="24"/>
                <w:highlight w:val="none"/>
              </w:rPr>
              <w:t>时间：2026年</w:t>
            </w:r>
            <w:r>
              <w:rPr>
                <w:rFonts w:hint="eastAsia" w:cs="宋体"/>
                <w:color w:val="auto"/>
                <w:sz w:val="24"/>
                <w:szCs w:val="24"/>
                <w:highlight w:val="none"/>
                <w:lang w:val="en-US" w:eastAsia="zh-CN"/>
              </w:rPr>
              <w:t>05</w:t>
            </w:r>
            <w:r>
              <w:rPr>
                <w:rFonts w:hint="eastAsia" w:cs="宋体"/>
                <w:color w:val="auto"/>
                <w:sz w:val="24"/>
                <w:szCs w:val="24"/>
                <w:highlight w:val="none"/>
              </w:rPr>
              <w:t>月</w:t>
            </w:r>
            <w:r>
              <w:rPr>
                <w:rFonts w:hint="eastAsia" w:cs="宋体"/>
                <w:color w:val="auto"/>
                <w:sz w:val="24"/>
                <w:szCs w:val="24"/>
                <w:highlight w:val="none"/>
                <w:lang w:val="en-US" w:eastAsia="zh-CN"/>
              </w:rPr>
              <w:t>19</w:t>
            </w:r>
            <w:r>
              <w:rPr>
                <w:rFonts w:hint="eastAsia" w:cs="宋体"/>
                <w:color w:val="auto"/>
                <w:sz w:val="24"/>
                <w:szCs w:val="24"/>
                <w:highlight w:val="none"/>
              </w:rPr>
              <w:t>日09点</w:t>
            </w:r>
            <w:r>
              <w:rPr>
                <w:rFonts w:hint="eastAsia" w:cs="宋体"/>
                <w:color w:val="auto"/>
                <w:sz w:val="24"/>
                <w:szCs w:val="24"/>
                <w:highlight w:val="none"/>
                <w:lang w:val="en-US" w:eastAsia="zh-CN"/>
              </w:rPr>
              <w:t>00</w:t>
            </w:r>
            <w:r>
              <w:rPr>
                <w:rFonts w:hint="eastAsia" w:cs="宋体"/>
                <w:color w:val="auto"/>
                <w:sz w:val="24"/>
                <w:szCs w:val="24"/>
                <w:highlight w:val="none"/>
              </w:rPr>
              <w:t>分（北京时间）</w:t>
            </w:r>
          </w:p>
          <w:p w14:paraId="41ED9191">
            <w:pPr>
              <w:pStyle w:val="16"/>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eastAsia="宋体"/>
                <w:color w:val="auto"/>
                <w:highlight w:val="none"/>
                <w:lang w:eastAsia="zh-CN"/>
              </w:rPr>
            </w:pPr>
            <w:r>
              <w:rPr>
                <w:rFonts w:hint="eastAsia" w:cs="宋体"/>
                <w:color w:val="auto"/>
                <w:sz w:val="24"/>
                <w:szCs w:val="24"/>
                <w:highlight w:val="none"/>
              </w:rPr>
              <w:t>地点：</w:t>
            </w:r>
            <w:r>
              <w:rPr>
                <w:rFonts w:hint="eastAsia"/>
                <w:color w:val="auto"/>
                <w:highlight w:val="none"/>
              </w:rPr>
              <w:t>请登录政采云投标客户端投标</w:t>
            </w:r>
            <w:r>
              <w:rPr>
                <w:rFonts w:hint="eastAsia"/>
                <w:color w:val="auto"/>
                <w:highlight w:val="none"/>
                <w:lang w:eastAsia="zh-CN"/>
              </w:rPr>
              <w:t>。</w:t>
            </w:r>
          </w:p>
        </w:tc>
      </w:tr>
      <w:tr w14:paraId="67729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jc w:val="center"/>
        </w:trPr>
        <w:tc>
          <w:tcPr>
            <w:tcW w:w="887" w:type="dxa"/>
            <w:tcBorders>
              <w:top w:val="single" w:color="000000" w:sz="4" w:space="0"/>
              <w:left w:val="single" w:color="000000" w:sz="4" w:space="0"/>
              <w:bottom w:val="single" w:color="000000" w:sz="4" w:space="0"/>
              <w:right w:val="single" w:color="000000" w:sz="4" w:space="0"/>
            </w:tcBorders>
            <w:vAlign w:val="center"/>
          </w:tcPr>
          <w:p w14:paraId="63A84388">
            <w:pPr>
              <w:spacing w:line="240" w:lineRule="auto"/>
              <w:ind w:firstLine="0" w:firstLineChars="0"/>
              <w:jc w:val="center"/>
              <w:rPr>
                <w:rFonts w:hint="eastAsia"/>
                <w:color w:val="auto"/>
                <w:highlight w:val="none"/>
              </w:rPr>
            </w:pPr>
            <w:r>
              <w:rPr>
                <w:rFonts w:hint="eastAsia"/>
                <w:color w:val="auto"/>
                <w:highlight w:val="none"/>
              </w:rPr>
              <w:t>18</w:t>
            </w:r>
          </w:p>
        </w:tc>
        <w:tc>
          <w:tcPr>
            <w:tcW w:w="1718" w:type="dxa"/>
            <w:tcBorders>
              <w:top w:val="single" w:color="000000" w:sz="4" w:space="0"/>
              <w:left w:val="single" w:color="000000" w:sz="4" w:space="0"/>
              <w:bottom w:val="single" w:color="000000" w:sz="4" w:space="0"/>
              <w:right w:val="single" w:color="000000" w:sz="4" w:space="0"/>
            </w:tcBorders>
            <w:vAlign w:val="center"/>
          </w:tcPr>
          <w:p w14:paraId="63162A14">
            <w:pPr>
              <w:spacing w:line="240" w:lineRule="auto"/>
              <w:ind w:firstLine="0" w:firstLineChars="0"/>
              <w:jc w:val="center"/>
              <w:rPr>
                <w:color w:val="auto"/>
                <w:highlight w:val="none"/>
              </w:rPr>
            </w:pPr>
            <w:r>
              <w:rPr>
                <w:rFonts w:hint="eastAsia"/>
                <w:color w:val="auto"/>
                <w:highlight w:val="none"/>
              </w:rPr>
              <w:t>开启时间</w:t>
            </w:r>
          </w:p>
        </w:tc>
        <w:tc>
          <w:tcPr>
            <w:tcW w:w="6859" w:type="dxa"/>
            <w:tcBorders>
              <w:top w:val="single" w:color="000000" w:sz="4" w:space="0"/>
              <w:left w:val="single" w:color="000000" w:sz="4" w:space="0"/>
              <w:bottom w:val="single" w:color="000000" w:sz="4" w:space="0"/>
              <w:right w:val="single" w:color="000000" w:sz="4" w:space="0"/>
            </w:tcBorders>
            <w:vAlign w:val="center"/>
          </w:tcPr>
          <w:p w14:paraId="571202EF">
            <w:pPr>
              <w:keepNext w:val="0"/>
              <w:keepLines w:val="0"/>
              <w:pageBreakBefore w:val="0"/>
              <w:widowControl w:val="0"/>
              <w:kinsoku/>
              <w:wordWrap/>
              <w:overflowPunct/>
              <w:topLinePunct w:val="0"/>
              <w:autoSpaceDE/>
              <w:autoSpaceDN/>
              <w:bidi w:val="0"/>
              <w:adjustRightInd/>
              <w:spacing w:line="400" w:lineRule="exact"/>
              <w:ind w:firstLine="0" w:firstLineChars="0"/>
              <w:jc w:val="left"/>
              <w:textAlignment w:val="auto"/>
              <w:rPr>
                <w:color w:val="auto"/>
                <w:highlight w:val="none"/>
              </w:rPr>
            </w:pPr>
            <w:r>
              <w:rPr>
                <w:rFonts w:hint="eastAsia"/>
                <w:color w:val="auto"/>
                <w:highlight w:val="none"/>
              </w:rPr>
              <w:t>同投标截止时间</w:t>
            </w:r>
          </w:p>
        </w:tc>
      </w:tr>
      <w:tr w14:paraId="20939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jc w:val="center"/>
        </w:trPr>
        <w:tc>
          <w:tcPr>
            <w:tcW w:w="887" w:type="dxa"/>
            <w:tcBorders>
              <w:top w:val="single" w:color="000000" w:sz="4" w:space="0"/>
              <w:left w:val="single" w:color="000000" w:sz="4" w:space="0"/>
              <w:bottom w:val="single" w:color="000000" w:sz="4" w:space="0"/>
              <w:right w:val="single" w:color="000000" w:sz="4" w:space="0"/>
            </w:tcBorders>
            <w:vAlign w:val="center"/>
          </w:tcPr>
          <w:p w14:paraId="7717164D">
            <w:pPr>
              <w:spacing w:line="240" w:lineRule="auto"/>
              <w:ind w:firstLine="0" w:firstLineChars="0"/>
              <w:jc w:val="center"/>
              <w:rPr>
                <w:rFonts w:hint="eastAsia"/>
                <w:color w:val="auto"/>
                <w:highlight w:val="none"/>
              </w:rPr>
            </w:pPr>
            <w:r>
              <w:rPr>
                <w:rFonts w:hint="eastAsia"/>
                <w:color w:val="auto"/>
                <w:highlight w:val="none"/>
              </w:rPr>
              <w:t>19</w:t>
            </w:r>
          </w:p>
        </w:tc>
        <w:tc>
          <w:tcPr>
            <w:tcW w:w="1718" w:type="dxa"/>
            <w:tcBorders>
              <w:top w:val="single" w:color="000000" w:sz="4" w:space="0"/>
              <w:left w:val="single" w:color="000000" w:sz="4" w:space="0"/>
              <w:bottom w:val="single" w:color="000000" w:sz="4" w:space="0"/>
              <w:right w:val="single" w:color="000000" w:sz="4" w:space="0"/>
            </w:tcBorders>
            <w:vAlign w:val="center"/>
          </w:tcPr>
          <w:p w14:paraId="46F267D1">
            <w:pPr>
              <w:spacing w:line="240" w:lineRule="auto"/>
              <w:ind w:firstLine="0" w:firstLineChars="0"/>
              <w:jc w:val="center"/>
              <w:rPr>
                <w:color w:val="auto"/>
                <w:highlight w:val="none"/>
              </w:rPr>
            </w:pPr>
            <w:r>
              <w:rPr>
                <w:rFonts w:hint="eastAsia"/>
                <w:color w:val="auto"/>
                <w:highlight w:val="none"/>
              </w:rPr>
              <w:t>开启地点</w:t>
            </w:r>
          </w:p>
        </w:tc>
        <w:tc>
          <w:tcPr>
            <w:tcW w:w="6859" w:type="dxa"/>
            <w:tcBorders>
              <w:top w:val="single" w:color="000000" w:sz="4" w:space="0"/>
              <w:left w:val="single" w:color="000000" w:sz="4" w:space="0"/>
              <w:bottom w:val="single" w:color="000000" w:sz="4" w:space="0"/>
              <w:right w:val="single" w:color="000000" w:sz="4" w:space="0"/>
            </w:tcBorders>
            <w:vAlign w:val="center"/>
          </w:tcPr>
          <w:p w14:paraId="117C6948">
            <w:pPr>
              <w:keepNext w:val="0"/>
              <w:keepLines w:val="0"/>
              <w:pageBreakBefore w:val="0"/>
              <w:widowControl w:val="0"/>
              <w:kinsoku/>
              <w:wordWrap/>
              <w:overflowPunct/>
              <w:topLinePunct w:val="0"/>
              <w:autoSpaceDE/>
              <w:autoSpaceDN/>
              <w:bidi w:val="0"/>
              <w:adjustRightInd/>
              <w:spacing w:line="400" w:lineRule="exact"/>
              <w:ind w:left="0" w:leftChars="0" w:firstLine="0" w:firstLineChars="0"/>
              <w:jc w:val="left"/>
              <w:textAlignment w:val="auto"/>
              <w:rPr>
                <w:rFonts w:hint="eastAsia" w:eastAsia="宋体"/>
                <w:color w:val="auto"/>
                <w:highlight w:val="none"/>
                <w:lang w:eastAsia="zh-CN"/>
              </w:rPr>
            </w:pPr>
            <w:r>
              <w:rPr>
                <w:rFonts w:hint="eastAsia" w:cs="宋体"/>
                <w:color w:val="auto"/>
                <w:sz w:val="24"/>
                <w:szCs w:val="24"/>
                <w:highlight w:val="none"/>
              </w:rPr>
              <w:t>长治市潞州区太行东街街道潞阳门中路桃园巷9号滨河花园小区5号楼1层106铺号华鑫旺烟酒茶二楼</w:t>
            </w:r>
            <w:r>
              <w:rPr>
                <w:rFonts w:hint="eastAsia" w:cs="宋体"/>
                <w:color w:val="auto"/>
                <w:sz w:val="24"/>
                <w:szCs w:val="24"/>
                <w:highlight w:val="none"/>
                <w:lang w:eastAsia="zh-CN"/>
              </w:rPr>
              <w:t>。</w:t>
            </w:r>
          </w:p>
        </w:tc>
      </w:tr>
      <w:tr w14:paraId="3073E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jc w:val="center"/>
        </w:trPr>
        <w:tc>
          <w:tcPr>
            <w:tcW w:w="887" w:type="dxa"/>
            <w:tcBorders>
              <w:top w:val="single" w:color="000000" w:sz="4" w:space="0"/>
              <w:left w:val="single" w:color="000000" w:sz="4" w:space="0"/>
              <w:right w:val="single" w:color="000000" w:sz="4" w:space="0"/>
            </w:tcBorders>
            <w:vAlign w:val="center"/>
          </w:tcPr>
          <w:p w14:paraId="1F54E819">
            <w:pPr>
              <w:spacing w:line="240" w:lineRule="auto"/>
              <w:ind w:firstLine="0" w:firstLineChars="0"/>
              <w:jc w:val="center"/>
              <w:rPr>
                <w:rFonts w:hint="eastAsia"/>
                <w:color w:val="auto"/>
                <w:highlight w:val="none"/>
              </w:rPr>
            </w:pPr>
            <w:r>
              <w:rPr>
                <w:rFonts w:hint="eastAsia"/>
                <w:color w:val="auto"/>
                <w:highlight w:val="none"/>
              </w:rPr>
              <w:t>20</w:t>
            </w:r>
          </w:p>
        </w:tc>
        <w:tc>
          <w:tcPr>
            <w:tcW w:w="1718" w:type="dxa"/>
            <w:tcBorders>
              <w:top w:val="single" w:color="000000" w:sz="4" w:space="0"/>
              <w:left w:val="single" w:color="000000" w:sz="4" w:space="0"/>
              <w:right w:val="single" w:color="000000" w:sz="4" w:space="0"/>
            </w:tcBorders>
            <w:vAlign w:val="center"/>
          </w:tcPr>
          <w:p w14:paraId="135C003D">
            <w:pPr>
              <w:spacing w:line="240" w:lineRule="auto"/>
              <w:ind w:firstLine="0" w:firstLineChars="0"/>
              <w:jc w:val="center"/>
              <w:rPr>
                <w:color w:val="auto"/>
                <w:highlight w:val="none"/>
              </w:rPr>
            </w:pPr>
            <w:r>
              <w:rPr>
                <w:rFonts w:hint="eastAsia"/>
                <w:color w:val="auto"/>
                <w:highlight w:val="none"/>
              </w:rPr>
              <w:t>评审小组构成</w:t>
            </w:r>
          </w:p>
        </w:tc>
        <w:tc>
          <w:tcPr>
            <w:tcW w:w="6859" w:type="dxa"/>
            <w:tcBorders>
              <w:top w:val="single" w:color="000000" w:sz="4" w:space="0"/>
              <w:left w:val="single" w:color="000000" w:sz="4" w:space="0"/>
              <w:bottom w:val="single" w:color="000000" w:sz="4" w:space="0"/>
              <w:right w:val="single" w:color="000000" w:sz="4" w:space="0"/>
            </w:tcBorders>
            <w:vAlign w:val="center"/>
          </w:tcPr>
          <w:p w14:paraId="0E802DD8">
            <w:pPr>
              <w:keepNext w:val="0"/>
              <w:keepLines w:val="0"/>
              <w:pageBreakBefore w:val="0"/>
              <w:widowControl w:val="0"/>
              <w:kinsoku/>
              <w:wordWrap/>
              <w:overflowPunct/>
              <w:topLinePunct w:val="0"/>
              <w:autoSpaceDE/>
              <w:autoSpaceDN/>
              <w:bidi w:val="0"/>
              <w:adjustRightInd/>
              <w:spacing w:line="400" w:lineRule="exact"/>
              <w:ind w:firstLine="0" w:firstLineChars="0"/>
              <w:jc w:val="left"/>
              <w:textAlignment w:val="auto"/>
              <w:rPr>
                <w:color w:val="auto"/>
                <w:highlight w:val="none"/>
              </w:rPr>
            </w:pPr>
            <w:r>
              <w:rPr>
                <w:rFonts w:hint="eastAsia"/>
                <w:color w:val="auto"/>
                <w:highlight w:val="none"/>
              </w:rPr>
              <w:t>本采购项目评审小组成员由</w:t>
            </w:r>
            <w:r>
              <w:rPr>
                <w:rFonts w:hint="eastAsia"/>
                <w:color w:val="auto"/>
                <w:highlight w:val="none"/>
                <w:lang w:val="en-US" w:eastAsia="zh-CN"/>
              </w:rPr>
              <w:t>5</w:t>
            </w:r>
            <w:r>
              <w:rPr>
                <w:rFonts w:hint="eastAsia"/>
                <w:color w:val="auto"/>
                <w:highlight w:val="none"/>
              </w:rPr>
              <w:t>人组成，其中评审专家</w:t>
            </w:r>
            <w:r>
              <w:rPr>
                <w:rFonts w:hint="eastAsia"/>
                <w:color w:val="auto"/>
                <w:highlight w:val="none"/>
                <w:lang w:val="en-US" w:eastAsia="zh-CN"/>
              </w:rPr>
              <w:t>5</w:t>
            </w:r>
            <w:r>
              <w:rPr>
                <w:rFonts w:hint="eastAsia"/>
                <w:color w:val="auto"/>
                <w:highlight w:val="none"/>
              </w:rPr>
              <w:t>人，采购人代表</w:t>
            </w:r>
            <w:r>
              <w:rPr>
                <w:rFonts w:hint="eastAsia"/>
                <w:color w:val="auto"/>
                <w:highlight w:val="none"/>
                <w:lang w:val="en-US" w:eastAsia="zh-CN"/>
              </w:rPr>
              <w:t>0</w:t>
            </w:r>
            <w:r>
              <w:rPr>
                <w:rFonts w:hint="eastAsia"/>
                <w:color w:val="auto"/>
                <w:highlight w:val="none"/>
              </w:rPr>
              <w:t>人。</w:t>
            </w:r>
          </w:p>
          <w:p w14:paraId="2F6FA8F9">
            <w:pPr>
              <w:keepNext w:val="0"/>
              <w:keepLines w:val="0"/>
              <w:pageBreakBefore w:val="0"/>
              <w:widowControl w:val="0"/>
              <w:kinsoku/>
              <w:wordWrap/>
              <w:overflowPunct/>
              <w:topLinePunct w:val="0"/>
              <w:autoSpaceDE/>
              <w:autoSpaceDN/>
              <w:bidi w:val="0"/>
              <w:adjustRightInd/>
              <w:spacing w:line="400" w:lineRule="exact"/>
              <w:ind w:firstLine="0" w:firstLineChars="0"/>
              <w:jc w:val="left"/>
              <w:textAlignment w:val="auto"/>
              <w:rPr>
                <w:color w:val="auto"/>
                <w:highlight w:val="none"/>
              </w:rPr>
            </w:pPr>
            <w:r>
              <w:rPr>
                <w:rFonts w:hint="eastAsia"/>
                <w:color w:val="auto"/>
                <w:highlight w:val="none"/>
              </w:rPr>
              <w:t>专家确定方式：从山西省政府采购评审专家库内相关专业的专家名单中随机抽取。</w:t>
            </w:r>
          </w:p>
        </w:tc>
      </w:tr>
      <w:tr w14:paraId="24025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87" w:type="dxa"/>
            <w:tcBorders>
              <w:top w:val="single" w:color="000000" w:sz="4" w:space="0"/>
              <w:left w:val="single" w:color="000000" w:sz="4" w:space="0"/>
              <w:bottom w:val="single" w:color="000000" w:sz="4" w:space="0"/>
              <w:right w:val="single" w:color="000000" w:sz="4" w:space="0"/>
            </w:tcBorders>
            <w:vAlign w:val="center"/>
          </w:tcPr>
          <w:p w14:paraId="3026C611">
            <w:pPr>
              <w:spacing w:line="240" w:lineRule="auto"/>
              <w:ind w:firstLine="0" w:firstLineChars="0"/>
              <w:jc w:val="center"/>
              <w:rPr>
                <w:rFonts w:hint="eastAsia"/>
                <w:color w:val="auto"/>
                <w:highlight w:val="none"/>
              </w:rPr>
            </w:pPr>
            <w:r>
              <w:rPr>
                <w:rFonts w:hint="eastAsia"/>
                <w:color w:val="auto"/>
                <w:highlight w:val="none"/>
              </w:rPr>
              <w:t>21</w:t>
            </w:r>
          </w:p>
        </w:tc>
        <w:tc>
          <w:tcPr>
            <w:tcW w:w="1718" w:type="dxa"/>
            <w:tcBorders>
              <w:top w:val="single" w:color="000000" w:sz="4" w:space="0"/>
              <w:left w:val="single" w:color="000000" w:sz="4" w:space="0"/>
              <w:bottom w:val="single" w:color="000000" w:sz="4" w:space="0"/>
              <w:right w:val="single" w:color="000000" w:sz="4" w:space="0"/>
            </w:tcBorders>
            <w:vAlign w:val="center"/>
          </w:tcPr>
          <w:p w14:paraId="3E8FB9F8">
            <w:pPr>
              <w:spacing w:line="240" w:lineRule="auto"/>
              <w:ind w:firstLine="0" w:firstLineChars="0"/>
              <w:jc w:val="center"/>
              <w:rPr>
                <w:color w:val="auto"/>
                <w:highlight w:val="none"/>
              </w:rPr>
            </w:pPr>
            <w:r>
              <w:rPr>
                <w:rFonts w:hint="eastAsia"/>
                <w:color w:val="auto"/>
                <w:highlight w:val="none"/>
              </w:rPr>
              <w:t>中标结果公告</w:t>
            </w:r>
          </w:p>
        </w:tc>
        <w:tc>
          <w:tcPr>
            <w:tcW w:w="6859" w:type="dxa"/>
            <w:tcBorders>
              <w:top w:val="single" w:color="000000" w:sz="4" w:space="0"/>
              <w:left w:val="single" w:color="000000" w:sz="4" w:space="0"/>
              <w:bottom w:val="single" w:color="000000" w:sz="4" w:space="0"/>
              <w:right w:val="single" w:color="000000" w:sz="4" w:space="0"/>
            </w:tcBorders>
            <w:vAlign w:val="center"/>
          </w:tcPr>
          <w:p w14:paraId="2E803117">
            <w:pPr>
              <w:keepNext w:val="0"/>
              <w:keepLines w:val="0"/>
              <w:pageBreakBefore w:val="0"/>
              <w:widowControl w:val="0"/>
              <w:kinsoku/>
              <w:wordWrap/>
              <w:overflowPunct/>
              <w:topLinePunct w:val="0"/>
              <w:autoSpaceDE/>
              <w:autoSpaceDN/>
              <w:bidi w:val="0"/>
              <w:adjustRightInd/>
              <w:spacing w:line="400" w:lineRule="exact"/>
              <w:ind w:firstLine="0" w:firstLineChars="0"/>
              <w:jc w:val="left"/>
              <w:textAlignment w:val="auto"/>
              <w:rPr>
                <w:color w:val="auto"/>
                <w:highlight w:val="none"/>
              </w:rPr>
            </w:pPr>
            <w:r>
              <w:rPr>
                <w:rFonts w:hint="eastAsia"/>
                <w:color w:val="auto"/>
                <w:highlight w:val="none"/>
              </w:rPr>
              <w:t>公示媒体：同招标公告的媒体</w:t>
            </w:r>
          </w:p>
          <w:p w14:paraId="3674667B">
            <w:pPr>
              <w:keepNext w:val="0"/>
              <w:keepLines w:val="0"/>
              <w:pageBreakBefore w:val="0"/>
              <w:widowControl w:val="0"/>
              <w:kinsoku/>
              <w:wordWrap/>
              <w:overflowPunct/>
              <w:topLinePunct w:val="0"/>
              <w:autoSpaceDE/>
              <w:autoSpaceDN/>
              <w:bidi w:val="0"/>
              <w:adjustRightInd/>
              <w:spacing w:line="400" w:lineRule="exact"/>
              <w:ind w:firstLine="0" w:firstLineChars="0"/>
              <w:jc w:val="left"/>
              <w:textAlignment w:val="auto"/>
              <w:rPr>
                <w:color w:val="auto"/>
                <w:highlight w:val="none"/>
              </w:rPr>
            </w:pPr>
            <w:r>
              <w:rPr>
                <w:rFonts w:hint="eastAsia"/>
                <w:color w:val="auto"/>
                <w:highlight w:val="none"/>
              </w:rPr>
              <w:t>公示期限：1个工作日</w:t>
            </w:r>
          </w:p>
        </w:tc>
      </w:tr>
      <w:tr w14:paraId="3FAA2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887" w:type="dxa"/>
            <w:tcBorders>
              <w:top w:val="single" w:color="000000" w:sz="4" w:space="0"/>
              <w:left w:val="single" w:color="000000" w:sz="4" w:space="0"/>
              <w:bottom w:val="single" w:color="000000" w:sz="4" w:space="0"/>
              <w:right w:val="single" w:color="000000" w:sz="4" w:space="0"/>
            </w:tcBorders>
            <w:vAlign w:val="center"/>
          </w:tcPr>
          <w:p w14:paraId="6F165859">
            <w:pPr>
              <w:spacing w:line="240" w:lineRule="auto"/>
              <w:ind w:firstLine="0" w:firstLineChars="0"/>
              <w:jc w:val="center"/>
              <w:rPr>
                <w:rFonts w:hint="eastAsia"/>
                <w:color w:val="auto"/>
                <w:highlight w:val="none"/>
              </w:rPr>
            </w:pPr>
            <w:r>
              <w:rPr>
                <w:rFonts w:hint="eastAsia"/>
                <w:color w:val="auto"/>
                <w:highlight w:val="none"/>
              </w:rPr>
              <w:t>22</w:t>
            </w:r>
          </w:p>
        </w:tc>
        <w:tc>
          <w:tcPr>
            <w:tcW w:w="1718" w:type="dxa"/>
            <w:tcBorders>
              <w:top w:val="single" w:color="000000" w:sz="4" w:space="0"/>
              <w:left w:val="single" w:color="000000" w:sz="4" w:space="0"/>
              <w:bottom w:val="single" w:color="000000" w:sz="4" w:space="0"/>
              <w:right w:val="single" w:color="000000" w:sz="4" w:space="0"/>
            </w:tcBorders>
            <w:vAlign w:val="center"/>
          </w:tcPr>
          <w:p w14:paraId="11FF020A">
            <w:pPr>
              <w:spacing w:line="240" w:lineRule="auto"/>
              <w:ind w:firstLine="0" w:firstLineChars="0"/>
              <w:jc w:val="center"/>
              <w:rPr>
                <w:color w:val="auto"/>
                <w:highlight w:val="none"/>
              </w:rPr>
            </w:pPr>
            <w:r>
              <w:rPr>
                <w:rFonts w:hint="eastAsia"/>
                <w:color w:val="auto"/>
                <w:highlight w:val="none"/>
              </w:rPr>
              <w:t>投标有效期</w:t>
            </w:r>
          </w:p>
        </w:tc>
        <w:tc>
          <w:tcPr>
            <w:tcW w:w="6859" w:type="dxa"/>
            <w:tcBorders>
              <w:top w:val="single" w:color="000000" w:sz="4" w:space="0"/>
              <w:left w:val="single" w:color="000000" w:sz="4" w:space="0"/>
              <w:bottom w:val="single" w:color="000000" w:sz="4" w:space="0"/>
              <w:right w:val="single" w:color="000000" w:sz="4" w:space="0"/>
            </w:tcBorders>
            <w:vAlign w:val="center"/>
          </w:tcPr>
          <w:p w14:paraId="3A96B85A">
            <w:pPr>
              <w:keepNext w:val="0"/>
              <w:keepLines w:val="0"/>
              <w:pageBreakBefore w:val="0"/>
              <w:widowControl w:val="0"/>
              <w:kinsoku/>
              <w:wordWrap/>
              <w:overflowPunct/>
              <w:topLinePunct w:val="0"/>
              <w:autoSpaceDE/>
              <w:autoSpaceDN/>
              <w:bidi w:val="0"/>
              <w:adjustRightInd/>
              <w:spacing w:line="400" w:lineRule="exact"/>
              <w:ind w:firstLine="0" w:firstLineChars="0"/>
              <w:jc w:val="left"/>
              <w:textAlignment w:val="auto"/>
              <w:rPr>
                <w:color w:val="auto"/>
                <w:highlight w:val="none"/>
              </w:rPr>
            </w:pPr>
            <w:r>
              <w:rPr>
                <w:rFonts w:hint="eastAsia"/>
                <w:color w:val="auto"/>
                <w:highlight w:val="none"/>
              </w:rPr>
              <w:t>90日历天（从提交投标文件日起计算）</w:t>
            </w:r>
          </w:p>
        </w:tc>
      </w:tr>
      <w:tr w14:paraId="12B4F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887" w:type="dxa"/>
            <w:tcBorders>
              <w:top w:val="single" w:color="000000" w:sz="4" w:space="0"/>
              <w:left w:val="single" w:color="000000" w:sz="4" w:space="0"/>
              <w:bottom w:val="single" w:color="000000" w:sz="4" w:space="0"/>
              <w:right w:val="single" w:color="000000" w:sz="4" w:space="0"/>
            </w:tcBorders>
            <w:vAlign w:val="center"/>
          </w:tcPr>
          <w:p w14:paraId="6412D760">
            <w:pPr>
              <w:spacing w:line="240" w:lineRule="auto"/>
              <w:ind w:firstLine="0" w:firstLineChars="0"/>
              <w:jc w:val="center"/>
              <w:rPr>
                <w:rFonts w:hint="eastAsia"/>
                <w:color w:val="auto"/>
                <w:highlight w:val="none"/>
              </w:rPr>
            </w:pPr>
            <w:r>
              <w:rPr>
                <w:rFonts w:hint="eastAsia"/>
                <w:color w:val="auto"/>
                <w:highlight w:val="none"/>
              </w:rPr>
              <w:t>23</w:t>
            </w:r>
          </w:p>
        </w:tc>
        <w:tc>
          <w:tcPr>
            <w:tcW w:w="1718" w:type="dxa"/>
            <w:tcBorders>
              <w:top w:val="single" w:color="000000" w:sz="4" w:space="0"/>
              <w:left w:val="single" w:color="000000" w:sz="4" w:space="0"/>
              <w:bottom w:val="single" w:color="000000" w:sz="4" w:space="0"/>
              <w:right w:val="single" w:color="000000" w:sz="4" w:space="0"/>
            </w:tcBorders>
            <w:vAlign w:val="center"/>
          </w:tcPr>
          <w:p w14:paraId="5F44F3B0">
            <w:pPr>
              <w:spacing w:line="240" w:lineRule="auto"/>
              <w:ind w:firstLine="0" w:firstLineChars="0"/>
              <w:jc w:val="center"/>
              <w:rPr>
                <w:color w:val="auto"/>
                <w:highlight w:val="none"/>
              </w:rPr>
            </w:pPr>
            <w:r>
              <w:rPr>
                <w:rFonts w:hint="eastAsia"/>
                <w:color w:val="auto"/>
                <w:highlight w:val="none"/>
              </w:rPr>
              <w:t>履约保证金</w:t>
            </w:r>
          </w:p>
        </w:tc>
        <w:tc>
          <w:tcPr>
            <w:tcW w:w="6859" w:type="dxa"/>
            <w:tcBorders>
              <w:top w:val="single" w:color="000000" w:sz="4" w:space="0"/>
              <w:left w:val="single" w:color="000000" w:sz="4" w:space="0"/>
              <w:bottom w:val="single" w:color="000000" w:sz="4" w:space="0"/>
              <w:right w:val="single" w:color="000000" w:sz="4" w:space="0"/>
            </w:tcBorders>
            <w:vAlign w:val="center"/>
          </w:tcPr>
          <w:p w14:paraId="7AEE9BB0">
            <w:pPr>
              <w:keepNext w:val="0"/>
              <w:keepLines w:val="0"/>
              <w:pageBreakBefore w:val="0"/>
              <w:widowControl w:val="0"/>
              <w:kinsoku/>
              <w:wordWrap/>
              <w:overflowPunct/>
              <w:topLinePunct w:val="0"/>
              <w:autoSpaceDE/>
              <w:autoSpaceDN/>
              <w:bidi w:val="0"/>
              <w:adjustRightInd/>
              <w:spacing w:line="400" w:lineRule="exact"/>
              <w:ind w:firstLine="0" w:firstLineChars="0"/>
              <w:jc w:val="left"/>
              <w:textAlignment w:val="auto"/>
              <w:rPr>
                <w:color w:val="auto"/>
                <w:highlight w:val="none"/>
              </w:rPr>
            </w:pPr>
            <w:r>
              <w:rPr>
                <w:rFonts w:hint="eastAsia"/>
                <w:color w:val="auto"/>
                <w:highlight w:val="none"/>
              </w:rPr>
              <w:t>不要求</w:t>
            </w:r>
          </w:p>
        </w:tc>
      </w:tr>
      <w:tr w14:paraId="54C5E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jc w:val="center"/>
        </w:trPr>
        <w:tc>
          <w:tcPr>
            <w:tcW w:w="887" w:type="dxa"/>
            <w:tcBorders>
              <w:top w:val="single" w:color="000000" w:sz="4" w:space="0"/>
              <w:left w:val="single" w:color="000000" w:sz="4" w:space="0"/>
              <w:bottom w:val="single" w:color="000000" w:sz="4" w:space="0"/>
              <w:right w:val="single" w:color="000000" w:sz="4" w:space="0"/>
            </w:tcBorders>
            <w:vAlign w:val="center"/>
          </w:tcPr>
          <w:p w14:paraId="3B00400A">
            <w:pPr>
              <w:spacing w:line="240" w:lineRule="auto"/>
              <w:ind w:firstLine="0" w:firstLineChars="0"/>
              <w:jc w:val="center"/>
              <w:rPr>
                <w:rFonts w:hint="eastAsia"/>
                <w:color w:val="auto"/>
                <w:highlight w:val="none"/>
              </w:rPr>
            </w:pPr>
            <w:r>
              <w:rPr>
                <w:rFonts w:hint="eastAsia"/>
                <w:color w:val="auto"/>
                <w:highlight w:val="none"/>
              </w:rPr>
              <w:t>24</w:t>
            </w:r>
          </w:p>
        </w:tc>
        <w:tc>
          <w:tcPr>
            <w:tcW w:w="1718" w:type="dxa"/>
            <w:tcBorders>
              <w:top w:val="single" w:color="000000" w:sz="4" w:space="0"/>
              <w:left w:val="single" w:color="000000" w:sz="4" w:space="0"/>
              <w:bottom w:val="single" w:color="000000" w:sz="4" w:space="0"/>
              <w:right w:val="single" w:color="000000" w:sz="4" w:space="0"/>
            </w:tcBorders>
            <w:vAlign w:val="center"/>
          </w:tcPr>
          <w:p w14:paraId="0D05D8C7">
            <w:pPr>
              <w:spacing w:line="240" w:lineRule="auto"/>
              <w:ind w:firstLine="0" w:firstLineChars="0"/>
              <w:jc w:val="center"/>
              <w:rPr>
                <w:rFonts w:hint="eastAsia"/>
                <w:color w:val="auto"/>
                <w:highlight w:val="none"/>
              </w:rPr>
            </w:pPr>
            <w:r>
              <w:rPr>
                <w:rFonts w:hint="eastAsia"/>
                <w:color w:val="auto"/>
                <w:highlight w:val="none"/>
              </w:rPr>
              <w:t>中标服务费的</w:t>
            </w:r>
          </w:p>
          <w:p w14:paraId="0D3D8D8B">
            <w:pPr>
              <w:spacing w:line="240" w:lineRule="auto"/>
              <w:ind w:firstLine="0" w:firstLineChars="0"/>
              <w:jc w:val="center"/>
              <w:rPr>
                <w:color w:val="auto"/>
                <w:highlight w:val="none"/>
              </w:rPr>
            </w:pPr>
            <w:r>
              <w:rPr>
                <w:rFonts w:hint="eastAsia"/>
                <w:color w:val="auto"/>
                <w:highlight w:val="none"/>
              </w:rPr>
              <w:t>支付</w:t>
            </w:r>
          </w:p>
        </w:tc>
        <w:tc>
          <w:tcPr>
            <w:tcW w:w="6859" w:type="dxa"/>
            <w:tcBorders>
              <w:top w:val="single" w:color="000000" w:sz="4" w:space="0"/>
              <w:left w:val="single" w:color="000000" w:sz="4" w:space="0"/>
              <w:bottom w:val="single" w:color="000000" w:sz="4" w:space="0"/>
              <w:right w:val="single" w:color="000000" w:sz="4" w:space="0"/>
            </w:tcBorders>
            <w:vAlign w:val="center"/>
          </w:tcPr>
          <w:p w14:paraId="4B38D7BF">
            <w:pPr>
              <w:keepNext w:val="0"/>
              <w:keepLines w:val="0"/>
              <w:pageBreakBefore w:val="0"/>
              <w:widowControl w:val="0"/>
              <w:kinsoku/>
              <w:wordWrap/>
              <w:overflowPunct/>
              <w:topLinePunct w:val="0"/>
              <w:autoSpaceDE/>
              <w:autoSpaceDN/>
              <w:bidi w:val="0"/>
              <w:adjustRightInd/>
              <w:spacing w:line="400" w:lineRule="exact"/>
              <w:ind w:firstLine="0" w:firstLineChars="0"/>
              <w:jc w:val="left"/>
              <w:textAlignment w:val="auto"/>
              <w:rPr>
                <w:color w:val="auto"/>
                <w:highlight w:val="none"/>
              </w:rPr>
            </w:pPr>
            <w:r>
              <w:rPr>
                <w:rFonts w:hint="eastAsia"/>
                <w:color w:val="auto"/>
                <w:highlight w:val="none"/>
              </w:rPr>
              <w:t>由中标人在领取中标通知书时向采购代理机构一次性支付。采购代理服务费金额参照原国家发展计划委员会发布的《采购代理服务收费管理暂行办法》（计价格[2002]1980号）、《国家发展改革委办公厅关于采购代理服务收费有关问题的通知》（发改办价格[2003]857号）和《国家发展改革委关于降低部分建设项目收费标准规范收费行为等有关问题的通知》（发改价格[2011]534号）规定的收费基准价格向成交投标人计取代理服务费，取费基数为成交金额。</w:t>
            </w:r>
          </w:p>
        </w:tc>
      </w:tr>
      <w:tr w14:paraId="61E8A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jc w:val="center"/>
        </w:trPr>
        <w:tc>
          <w:tcPr>
            <w:tcW w:w="887" w:type="dxa"/>
            <w:tcBorders>
              <w:top w:val="single" w:color="000000" w:sz="4" w:space="0"/>
              <w:left w:val="single" w:color="000000" w:sz="4" w:space="0"/>
              <w:right w:val="single" w:color="000000" w:sz="4" w:space="0"/>
            </w:tcBorders>
            <w:vAlign w:val="center"/>
          </w:tcPr>
          <w:p w14:paraId="4516CE3E">
            <w:pPr>
              <w:spacing w:line="240" w:lineRule="auto"/>
              <w:ind w:firstLine="0" w:firstLineChars="0"/>
              <w:jc w:val="center"/>
              <w:rPr>
                <w:rFonts w:hint="default" w:eastAsia="宋体"/>
                <w:color w:val="auto"/>
                <w:highlight w:val="none"/>
                <w:lang w:val="en-US" w:eastAsia="zh-CN"/>
              </w:rPr>
            </w:pPr>
            <w:r>
              <w:rPr>
                <w:rFonts w:hint="eastAsia"/>
                <w:color w:val="auto"/>
                <w:highlight w:val="none"/>
                <w:lang w:val="en-US" w:eastAsia="zh-CN"/>
              </w:rPr>
              <w:t>25</w:t>
            </w:r>
          </w:p>
        </w:tc>
        <w:tc>
          <w:tcPr>
            <w:tcW w:w="1718" w:type="dxa"/>
            <w:tcBorders>
              <w:top w:val="single" w:color="000000" w:sz="4" w:space="0"/>
              <w:left w:val="single" w:color="000000" w:sz="4" w:space="0"/>
              <w:right w:val="single" w:color="000000" w:sz="4" w:space="0"/>
            </w:tcBorders>
            <w:vAlign w:val="center"/>
          </w:tcPr>
          <w:p w14:paraId="21C13BE6">
            <w:pPr>
              <w:spacing w:line="240" w:lineRule="auto"/>
              <w:ind w:firstLine="0" w:firstLineChars="0"/>
              <w:jc w:val="center"/>
              <w:rPr>
                <w:rFonts w:hint="eastAsia"/>
                <w:color w:val="auto"/>
                <w:highlight w:val="none"/>
              </w:rPr>
            </w:pPr>
            <w:r>
              <w:rPr>
                <w:rFonts w:hint="eastAsia"/>
                <w:color w:val="auto"/>
                <w:highlight w:val="none"/>
              </w:rPr>
              <w:t>异常低价</w:t>
            </w:r>
          </w:p>
          <w:p w14:paraId="3D63EC9B">
            <w:pPr>
              <w:spacing w:line="240" w:lineRule="auto"/>
              <w:ind w:firstLine="0" w:firstLineChars="0"/>
              <w:jc w:val="center"/>
              <w:rPr>
                <w:rFonts w:hint="eastAsia"/>
                <w:color w:val="auto"/>
                <w:highlight w:val="none"/>
              </w:rPr>
            </w:pPr>
            <w:r>
              <w:rPr>
                <w:rFonts w:hint="eastAsia"/>
                <w:color w:val="auto"/>
                <w:highlight w:val="none"/>
              </w:rPr>
              <w:t>审查要求</w:t>
            </w:r>
          </w:p>
        </w:tc>
        <w:tc>
          <w:tcPr>
            <w:tcW w:w="6859" w:type="dxa"/>
            <w:tcBorders>
              <w:top w:val="single" w:color="000000" w:sz="4" w:space="0"/>
              <w:left w:val="single" w:color="000000" w:sz="4" w:space="0"/>
              <w:right w:val="single" w:color="000000" w:sz="4" w:space="0"/>
            </w:tcBorders>
            <w:vAlign w:val="center"/>
          </w:tcPr>
          <w:p w14:paraId="3202DEF0">
            <w:pPr>
              <w:keepNext w:val="0"/>
              <w:keepLines w:val="0"/>
              <w:pageBreakBefore w:val="0"/>
              <w:widowControl w:val="0"/>
              <w:kinsoku/>
              <w:wordWrap/>
              <w:overflowPunct/>
              <w:topLinePunct w:val="0"/>
              <w:autoSpaceDE/>
              <w:autoSpaceDN/>
              <w:bidi w:val="0"/>
              <w:adjustRightInd/>
              <w:spacing w:line="400" w:lineRule="exact"/>
              <w:ind w:firstLine="0" w:firstLineChars="0"/>
              <w:jc w:val="left"/>
              <w:textAlignment w:val="auto"/>
              <w:rPr>
                <w:rFonts w:hint="eastAsia"/>
                <w:color w:val="auto"/>
                <w:szCs w:val="21"/>
                <w:highlight w:val="none"/>
                <w:lang w:val="en-US" w:eastAsia="zh-CN"/>
              </w:rPr>
            </w:pPr>
            <w:r>
              <w:rPr>
                <w:rFonts w:hint="eastAsia"/>
                <w:color w:val="auto"/>
                <w:szCs w:val="21"/>
                <w:highlight w:val="none"/>
                <w:lang w:val="en-US" w:eastAsia="zh-CN"/>
              </w:rPr>
              <w:t>（一）评审中出现下列情形之一的，评标委员会应当启动异常低价投标（响应）审查程序：</w:t>
            </w:r>
          </w:p>
          <w:p w14:paraId="7B9A9FCE">
            <w:pPr>
              <w:keepNext w:val="0"/>
              <w:keepLines w:val="0"/>
              <w:pageBreakBefore w:val="0"/>
              <w:widowControl w:val="0"/>
              <w:kinsoku/>
              <w:wordWrap/>
              <w:overflowPunct/>
              <w:topLinePunct w:val="0"/>
              <w:autoSpaceDE/>
              <w:autoSpaceDN/>
              <w:bidi w:val="0"/>
              <w:adjustRightInd/>
              <w:spacing w:line="400" w:lineRule="exact"/>
              <w:ind w:firstLine="0" w:firstLineChars="0"/>
              <w:jc w:val="left"/>
              <w:textAlignment w:val="auto"/>
              <w:rPr>
                <w:rFonts w:hint="eastAsia"/>
                <w:color w:val="auto"/>
                <w:szCs w:val="21"/>
                <w:highlight w:val="none"/>
                <w:lang w:val="en-US" w:eastAsia="zh-CN"/>
              </w:rPr>
            </w:pPr>
            <w:r>
              <w:rPr>
                <w:rFonts w:hint="eastAsia"/>
                <w:color w:val="auto"/>
                <w:szCs w:val="21"/>
                <w:highlight w:val="none"/>
                <w:lang w:val="en-US" w:eastAsia="zh-CN"/>
              </w:rPr>
              <w:t>1.投标（响应）报价低于全部通过符合性审查报价人投标（响应）报价平均值50%的，即投标（响应）报价&lt;全部通过符合性审查报价人投标（响应）报价平均值×50%；</w:t>
            </w:r>
          </w:p>
          <w:p w14:paraId="5DDA0EFB">
            <w:pPr>
              <w:keepNext w:val="0"/>
              <w:keepLines w:val="0"/>
              <w:pageBreakBefore w:val="0"/>
              <w:widowControl w:val="0"/>
              <w:kinsoku/>
              <w:wordWrap/>
              <w:overflowPunct/>
              <w:topLinePunct w:val="0"/>
              <w:autoSpaceDE/>
              <w:autoSpaceDN/>
              <w:bidi w:val="0"/>
              <w:adjustRightInd/>
              <w:spacing w:line="400" w:lineRule="exact"/>
              <w:ind w:firstLine="0" w:firstLineChars="0"/>
              <w:jc w:val="left"/>
              <w:textAlignment w:val="auto"/>
              <w:rPr>
                <w:rFonts w:hint="eastAsia"/>
                <w:color w:val="auto"/>
                <w:szCs w:val="21"/>
                <w:highlight w:val="none"/>
                <w:lang w:val="en-US" w:eastAsia="zh-CN"/>
              </w:rPr>
            </w:pPr>
            <w:r>
              <w:rPr>
                <w:rFonts w:hint="eastAsia"/>
                <w:color w:val="auto"/>
                <w:szCs w:val="21"/>
                <w:highlight w:val="none"/>
                <w:lang w:val="en-US" w:eastAsia="zh-CN"/>
              </w:rPr>
              <w:t>2.投标（响应）报价低于通过符合性审查的次低报价报价人投标（响应）报价50%的，即投标（响应）报价&lt;通过符合性审查的次低报价报价人投标（响应）报价×50%；</w:t>
            </w:r>
          </w:p>
          <w:p w14:paraId="04D0DDF8">
            <w:pPr>
              <w:keepNext w:val="0"/>
              <w:keepLines w:val="0"/>
              <w:pageBreakBefore w:val="0"/>
              <w:widowControl w:val="0"/>
              <w:kinsoku/>
              <w:wordWrap/>
              <w:overflowPunct/>
              <w:topLinePunct w:val="0"/>
              <w:autoSpaceDE/>
              <w:autoSpaceDN/>
              <w:bidi w:val="0"/>
              <w:adjustRightInd/>
              <w:spacing w:line="400" w:lineRule="exact"/>
              <w:ind w:firstLine="0" w:firstLineChars="0"/>
              <w:jc w:val="left"/>
              <w:textAlignment w:val="auto"/>
              <w:rPr>
                <w:rFonts w:hint="eastAsia"/>
                <w:color w:val="auto"/>
                <w:szCs w:val="21"/>
                <w:highlight w:val="none"/>
                <w:lang w:val="en-US" w:eastAsia="zh-CN"/>
              </w:rPr>
            </w:pPr>
            <w:r>
              <w:rPr>
                <w:rFonts w:hint="eastAsia"/>
                <w:color w:val="auto"/>
                <w:szCs w:val="21"/>
                <w:highlight w:val="none"/>
                <w:lang w:val="en-US" w:eastAsia="zh-CN"/>
              </w:rPr>
              <w:t>3.投标（响应）报价低于采购项目最高限价45%的，即投标（响应）报价&lt;采购项目最高限价×45%；</w:t>
            </w:r>
          </w:p>
          <w:p w14:paraId="32266BE0">
            <w:pPr>
              <w:keepNext w:val="0"/>
              <w:keepLines w:val="0"/>
              <w:pageBreakBefore w:val="0"/>
              <w:widowControl w:val="0"/>
              <w:kinsoku/>
              <w:wordWrap/>
              <w:overflowPunct/>
              <w:topLinePunct w:val="0"/>
              <w:autoSpaceDE/>
              <w:autoSpaceDN/>
              <w:bidi w:val="0"/>
              <w:adjustRightInd/>
              <w:spacing w:line="400" w:lineRule="exact"/>
              <w:ind w:firstLine="0" w:firstLineChars="0"/>
              <w:jc w:val="left"/>
              <w:textAlignment w:val="auto"/>
              <w:rPr>
                <w:rFonts w:hint="eastAsia"/>
                <w:color w:val="auto"/>
                <w:szCs w:val="21"/>
                <w:highlight w:val="none"/>
                <w:lang w:val="en-US" w:eastAsia="zh-CN"/>
              </w:rPr>
            </w:pPr>
            <w:r>
              <w:rPr>
                <w:rFonts w:hint="eastAsia"/>
                <w:color w:val="auto"/>
                <w:szCs w:val="21"/>
                <w:highlight w:val="none"/>
                <w:lang w:val="en-US" w:eastAsia="zh-CN"/>
              </w:rPr>
              <w:t>4.评标委员会基于专业判断，认为报价人报价过低，有可能影响产品质量或者不能诚信履约的其他情形。</w:t>
            </w:r>
          </w:p>
          <w:p w14:paraId="4A0CF7A1">
            <w:pPr>
              <w:keepNext w:val="0"/>
              <w:keepLines w:val="0"/>
              <w:pageBreakBefore w:val="0"/>
              <w:widowControl w:val="0"/>
              <w:kinsoku/>
              <w:wordWrap/>
              <w:overflowPunct/>
              <w:topLinePunct w:val="0"/>
              <w:autoSpaceDE/>
              <w:autoSpaceDN/>
              <w:bidi w:val="0"/>
              <w:adjustRightInd/>
              <w:spacing w:line="400" w:lineRule="exact"/>
              <w:ind w:firstLine="0" w:firstLineChars="0"/>
              <w:jc w:val="left"/>
              <w:textAlignment w:val="auto"/>
              <w:rPr>
                <w:rFonts w:hint="eastAsia"/>
                <w:color w:val="auto"/>
                <w:szCs w:val="21"/>
                <w:highlight w:val="none"/>
                <w:lang w:val="en-US" w:eastAsia="zh-CN"/>
              </w:rPr>
            </w:pPr>
            <w:r>
              <w:rPr>
                <w:rFonts w:hint="eastAsia"/>
                <w:color w:val="auto"/>
                <w:szCs w:val="21"/>
                <w:highlight w:val="none"/>
                <w:lang w:val="en-US" w:eastAsia="zh-CN"/>
              </w:rPr>
              <w:t>采购人可以结合具体项目实际情况，提高上述第1项至第3项中启动异常低价投标（响应）审查的数值标准，但是最高不得超过65%。</w:t>
            </w:r>
          </w:p>
          <w:p w14:paraId="63B4C464">
            <w:pPr>
              <w:keepNext w:val="0"/>
              <w:keepLines w:val="0"/>
              <w:pageBreakBefore w:val="0"/>
              <w:widowControl w:val="0"/>
              <w:kinsoku/>
              <w:wordWrap/>
              <w:overflowPunct/>
              <w:topLinePunct w:val="0"/>
              <w:autoSpaceDE/>
              <w:autoSpaceDN/>
              <w:bidi w:val="0"/>
              <w:adjustRightInd/>
              <w:spacing w:line="400" w:lineRule="exact"/>
              <w:ind w:firstLine="0" w:firstLineChars="0"/>
              <w:jc w:val="left"/>
              <w:textAlignment w:val="auto"/>
              <w:rPr>
                <w:rFonts w:hint="eastAsia"/>
                <w:color w:val="auto"/>
                <w:szCs w:val="21"/>
                <w:highlight w:val="none"/>
                <w:lang w:val="en-US" w:eastAsia="zh-CN"/>
              </w:rPr>
            </w:pPr>
            <w:r>
              <w:rPr>
                <w:rFonts w:hint="eastAsia"/>
                <w:color w:val="auto"/>
                <w:szCs w:val="21"/>
                <w:highlight w:val="none"/>
                <w:lang w:val="en-US" w:eastAsia="zh-CN"/>
              </w:rPr>
              <w:t>相关法律法规对报价人报价有规定的，从其规定。</w:t>
            </w:r>
          </w:p>
          <w:p w14:paraId="1E54DD81">
            <w:pPr>
              <w:keepNext w:val="0"/>
              <w:keepLines w:val="0"/>
              <w:pageBreakBefore w:val="0"/>
              <w:widowControl w:val="0"/>
              <w:kinsoku/>
              <w:wordWrap/>
              <w:overflowPunct/>
              <w:topLinePunct w:val="0"/>
              <w:autoSpaceDE/>
              <w:autoSpaceDN/>
              <w:bidi w:val="0"/>
              <w:adjustRightInd/>
              <w:spacing w:line="400" w:lineRule="exact"/>
              <w:ind w:firstLine="0" w:firstLineChars="0"/>
              <w:jc w:val="left"/>
              <w:textAlignment w:val="auto"/>
              <w:rPr>
                <w:rFonts w:hint="eastAsia"/>
                <w:color w:val="auto"/>
                <w:szCs w:val="21"/>
                <w:highlight w:val="none"/>
                <w:lang w:val="en-US" w:eastAsia="zh-CN"/>
              </w:rPr>
            </w:pPr>
            <w:r>
              <w:rPr>
                <w:rFonts w:hint="eastAsia"/>
                <w:color w:val="auto"/>
                <w:szCs w:val="21"/>
                <w:highlight w:val="none"/>
                <w:lang w:val="en-US" w:eastAsia="zh-CN"/>
              </w:rPr>
              <w:t>（二）评标委员会启动异常低价投标（响应）审查后，属于前述第1项至第4项情形的，应当要求相关报价人在评审现场合理的时间内对投标（响应）价格作出解释，提供项目具体成本测算等与报价合理性相关的说明及必要的证明材料，包括但不限于原材料成本、人工成本、制造费用等，给予相关报价人的合理时间一般不少于30 分钟。其中，属于第3项情形，报价人已随投标（响应）文件一并提交相关说明及必要的证明材料的，在评审现场可不再重复提交。</w:t>
            </w:r>
          </w:p>
          <w:p w14:paraId="3ECC5F22">
            <w:pPr>
              <w:keepNext w:val="0"/>
              <w:keepLines w:val="0"/>
              <w:pageBreakBefore w:val="0"/>
              <w:widowControl w:val="0"/>
              <w:kinsoku/>
              <w:wordWrap/>
              <w:overflowPunct/>
              <w:topLinePunct w:val="0"/>
              <w:autoSpaceDE/>
              <w:autoSpaceDN/>
              <w:bidi w:val="0"/>
              <w:adjustRightInd/>
              <w:spacing w:line="400" w:lineRule="exact"/>
              <w:ind w:firstLine="0" w:firstLineChars="0"/>
              <w:jc w:val="left"/>
              <w:textAlignment w:val="auto"/>
              <w:rPr>
                <w:rFonts w:hint="eastAsia"/>
                <w:color w:val="auto"/>
                <w:szCs w:val="21"/>
                <w:highlight w:val="none"/>
                <w:lang w:val="en-US" w:eastAsia="zh-CN"/>
              </w:rPr>
            </w:pPr>
            <w:r>
              <w:rPr>
                <w:rFonts w:hint="eastAsia"/>
                <w:color w:val="auto"/>
                <w:szCs w:val="21"/>
                <w:highlight w:val="none"/>
                <w:lang w:val="en-US" w:eastAsia="zh-CN"/>
              </w:rPr>
              <w:t>评标委员会依据专业经验，参考同类项目中标（成交）价格、类似产品市场价格水平、行业人工费用标准、国家有关部门指导行业协会发布的行业平均成本等情况，对报价合理性进行判断。投标（响应）报价人不能提供说明、证明材料，或者提供的说明、证明材料不能证明其报价合理性的，评标委员会应当将其作为无效投标（响应）处理。</w:t>
            </w:r>
          </w:p>
          <w:p w14:paraId="621C1F85">
            <w:pPr>
              <w:keepNext w:val="0"/>
              <w:keepLines w:val="0"/>
              <w:pageBreakBefore w:val="0"/>
              <w:widowControl w:val="0"/>
              <w:kinsoku/>
              <w:wordWrap/>
              <w:overflowPunct/>
              <w:topLinePunct w:val="0"/>
              <w:autoSpaceDE/>
              <w:autoSpaceDN/>
              <w:bidi w:val="0"/>
              <w:adjustRightInd/>
              <w:spacing w:line="400" w:lineRule="exact"/>
              <w:ind w:firstLine="0" w:firstLineChars="0"/>
              <w:jc w:val="left"/>
              <w:textAlignment w:val="auto"/>
              <w:rPr>
                <w:rFonts w:hint="eastAsia"/>
                <w:color w:val="auto"/>
                <w:szCs w:val="21"/>
                <w:highlight w:val="none"/>
                <w:lang w:val="en-US" w:eastAsia="zh-CN"/>
              </w:rPr>
            </w:pPr>
            <w:r>
              <w:rPr>
                <w:rFonts w:hint="eastAsia"/>
                <w:color w:val="auto"/>
                <w:szCs w:val="21"/>
                <w:highlight w:val="none"/>
                <w:lang w:val="en-US" w:eastAsia="zh-CN"/>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5BADEAE7">
            <w:pPr>
              <w:keepNext w:val="0"/>
              <w:keepLines w:val="0"/>
              <w:pageBreakBefore w:val="0"/>
              <w:widowControl w:val="0"/>
              <w:kinsoku/>
              <w:wordWrap/>
              <w:overflowPunct/>
              <w:topLinePunct w:val="0"/>
              <w:autoSpaceDE/>
              <w:autoSpaceDN/>
              <w:bidi w:val="0"/>
              <w:adjustRightInd/>
              <w:spacing w:line="400" w:lineRule="exact"/>
              <w:ind w:firstLine="0" w:firstLineChars="0"/>
              <w:jc w:val="left"/>
              <w:textAlignment w:val="auto"/>
              <w:rPr>
                <w:rFonts w:hint="eastAsia"/>
                <w:color w:val="auto"/>
                <w:szCs w:val="21"/>
                <w:highlight w:val="none"/>
                <w:lang w:val="en-US" w:eastAsia="zh-CN"/>
              </w:rPr>
            </w:pPr>
            <w:r>
              <w:rPr>
                <w:rFonts w:hint="eastAsia"/>
                <w:color w:val="auto"/>
                <w:szCs w:val="21"/>
                <w:highlight w:val="none"/>
                <w:lang w:val="en-US" w:eastAsia="zh-CN"/>
              </w:rPr>
              <w:t>异常低价投标（响应）审查的启动原因、审查意见和审查结果应当在评审报告中记录，并随报价人提供的相关说明及证明材料，以及评标委员会有关互联网浏览、查询历史一并归档。</w:t>
            </w:r>
          </w:p>
        </w:tc>
      </w:tr>
      <w:tr w14:paraId="50E1A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jc w:val="center"/>
        </w:trPr>
        <w:tc>
          <w:tcPr>
            <w:tcW w:w="887" w:type="dxa"/>
            <w:tcBorders>
              <w:top w:val="single" w:color="000000" w:sz="4" w:space="0"/>
              <w:left w:val="single" w:color="000000" w:sz="4" w:space="0"/>
              <w:right w:val="single" w:color="000000" w:sz="4" w:space="0"/>
            </w:tcBorders>
            <w:vAlign w:val="center"/>
          </w:tcPr>
          <w:p w14:paraId="0E9B7FCB">
            <w:pPr>
              <w:spacing w:line="240" w:lineRule="auto"/>
              <w:ind w:firstLine="0" w:firstLineChars="0"/>
              <w:jc w:val="center"/>
              <w:rPr>
                <w:rFonts w:hint="default" w:eastAsia="宋体"/>
                <w:color w:val="auto"/>
                <w:highlight w:val="none"/>
                <w:lang w:val="en-US" w:eastAsia="zh-CN"/>
              </w:rPr>
            </w:pPr>
            <w:r>
              <w:rPr>
                <w:rFonts w:hint="eastAsia"/>
                <w:color w:val="auto"/>
                <w:highlight w:val="none"/>
                <w:lang w:val="en-US" w:eastAsia="zh-CN"/>
              </w:rPr>
              <w:t>26</w:t>
            </w:r>
          </w:p>
        </w:tc>
        <w:tc>
          <w:tcPr>
            <w:tcW w:w="1718" w:type="dxa"/>
            <w:tcBorders>
              <w:top w:val="single" w:color="000000" w:sz="4" w:space="0"/>
              <w:left w:val="single" w:color="000000" w:sz="4" w:space="0"/>
              <w:right w:val="single" w:color="000000" w:sz="4" w:space="0"/>
            </w:tcBorders>
            <w:vAlign w:val="center"/>
          </w:tcPr>
          <w:p w14:paraId="416805D4">
            <w:pPr>
              <w:spacing w:line="240" w:lineRule="auto"/>
              <w:ind w:firstLine="0" w:firstLineChars="0"/>
              <w:jc w:val="center"/>
              <w:rPr>
                <w:rFonts w:hint="eastAsia"/>
                <w:color w:val="auto"/>
                <w:highlight w:val="none"/>
              </w:rPr>
            </w:pPr>
            <w:r>
              <w:rPr>
                <w:rFonts w:hint="eastAsia"/>
                <w:color w:val="auto"/>
                <w:highlight w:val="none"/>
              </w:rPr>
              <w:t>政府采购政策</w:t>
            </w:r>
          </w:p>
          <w:p w14:paraId="66508A66">
            <w:pPr>
              <w:spacing w:line="240" w:lineRule="auto"/>
              <w:ind w:firstLine="0" w:firstLineChars="0"/>
              <w:jc w:val="center"/>
              <w:rPr>
                <w:color w:val="auto"/>
                <w:highlight w:val="none"/>
              </w:rPr>
            </w:pPr>
            <w:r>
              <w:rPr>
                <w:rFonts w:hint="eastAsia"/>
                <w:color w:val="auto"/>
                <w:highlight w:val="none"/>
              </w:rPr>
              <w:t>要求</w:t>
            </w:r>
          </w:p>
        </w:tc>
        <w:tc>
          <w:tcPr>
            <w:tcW w:w="6859" w:type="dxa"/>
            <w:tcBorders>
              <w:top w:val="single" w:color="000000" w:sz="4" w:space="0"/>
              <w:left w:val="single" w:color="000000" w:sz="4" w:space="0"/>
              <w:right w:val="single" w:color="000000" w:sz="4" w:space="0"/>
            </w:tcBorders>
            <w:vAlign w:val="center"/>
          </w:tcPr>
          <w:sdt>
            <w:sdtPr>
              <w:rPr>
                <w:rFonts w:hint="eastAsia" w:ascii="宋体" w:hAnsi="宋体" w:eastAsia="宋体" w:cs="Times New Roman"/>
                <w:color w:val="auto"/>
                <w:kern w:val="2"/>
                <w:sz w:val="21"/>
                <w:szCs w:val="21"/>
                <w:highlight w:val="none"/>
                <w:lang w:val="en-US" w:eastAsia="zh-CN" w:bidi="ar-SA"/>
              </w:rPr>
              <w:alias w:val="根据情况修改"/>
              <w:tag w:val="落实政府采购政策/投标人须知前附表"/>
              <w:id w:val="-649674145"/>
              <w:placeholder>
                <w:docPart w:val="{b94e2ce4-9db8-454e-a69a-ba1f019d843e}"/>
              </w:placeholder>
            </w:sdtPr>
            <w:sdtEndPr>
              <w:rPr>
                <w:rFonts w:hint="eastAsia" w:ascii="宋体" w:hAnsi="宋体" w:eastAsia="宋体" w:cs="Times New Roman"/>
                <w:color w:val="auto"/>
                <w:kern w:val="2"/>
                <w:sz w:val="21"/>
                <w:szCs w:val="21"/>
                <w:highlight w:val="none"/>
                <w:lang w:val="en-US" w:eastAsia="zh-CN" w:bidi="ar-SA"/>
              </w:rPr>
            </w:sdtEndPr>
            <w:sdtContent>
              <w:p w14:paraId="4433BBE3">
                <w:pPr>
                  <w:keepNext w:val="0"/>
                  <w:keepLines w:val="0"/>
                  <w:pageBreakBefore w:val="0"/>
                  <w:widowControl w:val="0"/>
                  <w:kinsoku/>
                  <w:wordWrap/>
                  <w:overflowPunct/>
                  <w:topLinePunct w:val="0"/>
                  <w:autoSpaceDE/>
                  <w:autoSpaceDN/>
                  <w:bidi w:val="0"/>
                  <w:adjustRightInd/>
                  <w:spacing w:line="400" w:lineRule="exact"/>
                  <w:ind w:firstLine="0" w:firstLineChars="0"/>
                  <w:jc w:val="left"/>
                  <w:textAlignment w:val="auto"/>
                  <w:rPr>
                    <w:rFonts w:hint="eastAsia" w:ascii="宋体" w:hAnsi="宋体" w:eastAsia="宋体" w:cs="Times New Roman"/>
                    <w:color w:val="auto"/>
                    <w:szCs w:val="21"/>
                    <w:highlight w:val="none"/>
                    <w:lang w:val="en-US" w:eastAsia="zh-CN"/>
                  </w:rPr>
                </w:pPr>
                <w:r>
                  <w:rPr>
                    <w:rFonts w:hint="eastAsia" w:cs="Times New Roman"/>
                    <w:color w:val="auto"/>
                    <w:kern w:val="2"/>
                    <w:sz w:val="21"/>
                    <w:szCs w:val="21"/>
                    <w:highlight w:val="none"/>
                    <w:lang w:val="en-US" w:eastAsia="zh-CN" w:bidi="ar-SA"/>
                  </w:rPr>
                  <w:t xml:space="preserve">   </w:t>
                </w:r>
                <w:r>
                  <w:rPr>
                    <w:rFonts w:hint="eastAsia" w:ascii="宋体" w:hAnsi="宋体" w:eastAsia="宋体" w:cs="Times New Roman"/>
                    <w:color w:val="auto"/>
                    <w:szCs w:val="21"/>
                    <w:highlight w:val="none"/>
                    <w:lang w:val="en-US" w:eastAsia="zh-CN"/>
                  </w:rPr>
                  <w:t xml:space="preserve"> 1.本项目涉及“节能产品、环境标志产品政府采购品目清单”政府强制采购产品的要求：</w:t>
                </w:r>
              </w:p>
              <w:p w14:paraId="47AFFF88">
                <w:pPr>
                  <w:keepNext w:val="0"/>
                  <w:keepLines w:val="0"/>
                  <w:pageBreakBefore w:val="0"/>
                  <w:widowControl w:val="0"/>
                  <w:kinsoku/>
                  <w:wordWrap/>
                  <w:overflowPunct/>
                  <w:topLinePunct w:val="0"/>
                  <w:autoSpaceDE/>
                  <w:autoSpaceDN/>
                  <w:bidi w:val="0"/>
                  <w:adjustRightInd/>
                  <w:spacing w:line="400" w:lineRule="exact"/>
                  <w:ind w:left="0" w:leftChars="0" w:firstLine="48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（1）本文件列出政府强制采购产品的，供应商必须投标响应“节能产品政府采购品目清单” “环境标志产品政府采购品目清单”范围内的（★项）产品，需将政府强制采购产品如实填写到《政府强制采购产品明细表》（格式见</w:t>
                </w:r>
                <w:r>
                  <w:rPr>
                    <w:rFonts w:hint="eastAsia" w:cs="Times New Roman"/>
                    <w:color w:val="auto"/>
                    <w:szCs w:val="21"/>
                    <w:highlight w:val="none"/>
                    <w:lang w:val="en-US" w:eastAsia="zh-CN"/>
                  </w:rPr>
                  <w:t>第六章</w:t>
                </w:r>
                <w:r>
                  <w:rPr>
                    <w:rFonts w:hint="eastAsia" w:ascii="宋体" w:hAnsi="宋体" w:eastAsia="宋体" w:cs="Times New Roman"/>
                    <w:color w:val="auto"/>
                    <w:szCs w:val="21"/>
                    <w:highlight w:val="none"/>
                    <w:lang w:val="en-US" w:eastAsia="zh-CN"/>
                  </w:rPr>
                  <w:t>），并提供处于有效期之内的节能产品认证证书扫描件，认证机构须为《市场监管总局关于发布参与实施政府采购节能产品、环境标志产品认证机构名录的公告》2019年第16号文件中列明的目录单位。</w:t>
                </w:r>
              </w:p>
              <w:p w14:paraId="79080B27">
                <w:pPr>
                  <w:keepNext w:val="0"/>
                  <w:keepLines w:val="0"/>
                  <w:pageBreakBefore w:val="0"/>
                  <w:widowControl w:val="0"/>
                  <w:kinsoku/>
                  <w:wordWrap/>
                  <w:overflowPunct/>
                  <w:topLinePunct w:val="0"/>
                  <w:autoSpaceDE/>
                  <w:autoSpaceDN/>
                  <w:bidi w:val="0"/>
                  <w:adjustRightInd/>
                  <w:spacing w:line="400" w:lineRule="exact"/>
                  <w:ind w:left="0" w:leftChars="0" w:firstLine="48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（2）本文件未列出政府强制采购产品的，供应商可投标响应“节能产品政府采购品目清单、环境标志产品政府采购品目清单”中非政府强制采购产品或其范围以外的产品。</w:t>
                </w:r>
              </w:p>
              <w:p w14:paraId="5C8B3D82">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2.本项目涉及非政府强制采购产品的要求：</w:t>
                </w:r>
              </w:p>
              <w:p w14:paraId="64C38D0D">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投标响应服务有“节能产品政府采购品目清单、环境标志产品政府采购品目清单”中非政府强制采购产品的将给予适当加分。</w:t>
                </w:r>
              </w:p>
              <w:p w14:paraId="672467F0">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供应商须如实填写《非政府强制采购产品明细表》（格式见第六章），并提供处于有效期之内的节能产品、环境标志产品认证证书扫描件。</w:t>
                </w:r>
              </w:p>
              <w:p w14:paraId="5216CF5A">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3.本项目涉及“节能产品、环境标志产品品目清单”政策优先采购产品的要求：</w:t>
                </w:r>
              </w:p>
              <w:p w14:paraId="501DA27C">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响应服务中有政府优先采购（非★项）产品的将给予适当加分。</w:t>
                </w:r>
              </w:p>
              <w:p w14:paraId="12AA6126">
                <w:pPr>
                  <w:keepNext w:val="0"/>
                  <w:keepLines w:val="0"/>
                  <w:pageBreakBefore w:val="0"/>
                  <w:widowControl w:val="0"/>
                  <w:kinsoku/>
                  <w:wordWrap/>
                  <w:overflowPunct/>
                  <w:topLinePunct w:val="0"/>
                  <w:autoSpaceDE/>
                  <w:autoSpaceDN/>
                  <w:bidi w:val="0"/>
                  <w:adjustRightInd/>
                  <w:spacing w:line="400" w:lineRule="exact"/>
                  <w:ind w:firstLine="0" w:firstLineChars="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供应商须如实填写《政府优先采购产品明细表》。并提供处于有效期之内的节能产品、环境标志产品认证证书扫描件。</w:t>
                </w:r>
              </w:p>
              <w:p w14:paraId="475E6C08">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4.涉及“无线局域网认证产品政府采购清单”中政府采购政策的要求:</w:t>
                </w:r>
              </w:p>
              <w:p w14:paraId="0C6346CD">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供应商提供的无线局域网产品和含有无线局域网功能的产品属于“中国政府采购网”公布的“无线局域网认证产品政府采购清单”且在证书有效期内的，提供“中国政府采购网”公布的无线局域网产品政府采购清单封面及对应页，实行优先采购。并将所投标响应的政府优先采购产品如实填写到《政府优先采购产品明细表》（格式见第六章）。详情参见财库〔2005〕366号文件《无线局域网产品政府采购实施意见》。</w:t>
                </w:r>
              </w:p>
              <w:p w14:paraId="579FDC6B">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国家有特殊信息安全要求的项目必须采购认证产品。如本文件采购需求有特殊要求，须提供《中国政府采购网》公布的无线局域网产品政府采购清单封面及对应页，实行强制采购，并如实填写《政府强制采购产品明细表》（格式见</w:t>
                </w:r>
                <w:r>
                  <w:rPr>
                    <w:rFonts w:hint="eastAsia" w:cs="Times New Roman"/>
                    <w:color w:val="auto"/>
                    <w:szCs w:val="21"/>
                    <w:highlight w:val="none"/>
                    <w:lang w:val="en-US" w:eastAsia="zh-CN"/>
                  </w:rPr>
                  <w:t>第六章</w:t>
                </w:r>
                <w:r>
                  <w:rPr>
                    <w:rFonts w:hint="eastAsia" w:ascii="宋体" w:hAnsi="宋体" w:eastAsia="宋体" w:cs="Times New Roman"/>
                    <w:color w:val="auto"/>
                    <w:szCs w:val="21"/>
                    <w:highlight w:val="none"/>
                    <w:lang w:val="en-US" w:eastAsia="zh-CN"/>
                  </w:rPr>
                  <w:t>）。否则，投标文件符合性审查不予通过。</w:t>
                </w:r>
              </w:p>
              <w:p w14:paraId="228FFEC7">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供应商投标响应《无线局域网认证产品政府采购清单》中产品且证书在有效期内的，将给予适当加分。国家有特殊信息安全要求的项目必须采购认证产品的情形除外。</w:t>
                </w:r>
              </w:p>
              <w:p w14:paraId="389FBA0F">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5.本项目涉及正版软件的要求：</w:t>
                </w:r>
              </w:p>
              <w:p w14:paraId="2752EA8F">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本项目采购标的物涉及计算机产品或硬件产品内预装软件的，供应商需承诺投标响应的计算机产品预装正版操作系统，投标响应的硬件产品内的预装软件为正版软件。</w:t>
                </w:r>
              </w:p>
              <w:p w14:paraId="5521C643">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6.涉及网络安全产品的要求：</w:t>
                </w:r>
              </w:p>
              <w:p w14:paraId="0BBFCEE3">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按照国家网信办、财政部、工信部、公安部以及国家认监委联合下发《关于调整网络安全专用产品安全管理有关事项的公告》有关要求：自2023年7月1日起，列入《网络关键设备和网络安全专用产品目录》的网络安全专用产品应当按照《信息安全技术网络安全专用产品安全技术要求》等相关国家标准的强制性要求，由具备资格的机构安全认证合格或者安全检测符合要求后，方可销售或者提供。网络安全产品包括：网络关键设备和网络安全专用产品。</w:t>
                </w:r>
              </w:p>
              <w:p w14:paraId="58708612">
                <w:pPr>
                  <w:keepNext w:val="0"/>
                  <w:keepLines w:val="0"/>
                  <w:pageBreakBefore w:val="0"/>
                  <w:widowControl w:val="0"/>
                  <w:kinsoku/>
                  <w:wordWrap/>
                  <w:overflowPunct/>
                  <w:topLinePunct w:val="0"/>
                  <w:autoSpaceDE/>
                  <w:autoSpaceDN/>
                  <w:bidi w:val="0"/>
                  <w:adjustRightInd/>
                  <w:spacing w:line="400" w:lineRule="exact"/>
                  <w:ind w:firstLine="0" w:firstLineChars="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投标响应服务中如含有国家网信办、财政部、工信部、公安部以及国家认监委下发的《关于调整〈网络关键设备和网络安全专用产品目录〉的公告》2023年第2号文件中“网络关键设备和网络安全专用产品目录”中的产品，须提供由具备资格的机构安全认证合格或者安全检测符合要求的有效证明材料扫描件，或提供国家网信办官网发布的最新一期《网络关键设备和网络安全专用产品安全认证和安全检测结果》对应产品信息截图，否则将可能导致响应无效。</w:t>
                </w:r>
              </w:p>
              <w:p w14:paraId="6FD455CD">
                <w:pPr>
                  <w:keepNext w:val="0"/>
                  <w:keepLines w:val="0"/>
                  <w:pageBreakBefore w:val="0"/>
                  <w:widowControl w:val="0"/>
                  <w:kinsoku/>
                  <w:wordWrap/>
                  <w:overflowPunct/>
                  <w:topLinePunct w:val="0"/>
                  <w:autoSpaceDE/>
                  <w:autoSpaceDN/>
                  <w:bidi w:val="0"/>
                  <w:adjustRightInd/>
                  <w:spacing w:line="400" w:lineRule="exact"/>
                  <w:ind w:firstLine="0" w:firstLineChars="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具备资格的机构是指列入最新一批《承担网络关键设备和网络安全专用产品安全认证和安全检测任务机构名录》的机构。</w:t>
                </w:r>
              </w:p>
              <w:p w14:paraId="3FEC7D94">
                <w:pPr>
                  <w:keepNext w:val="0"/>
                  <w:keepLines w:val="0"/>
                  <w:pageBreakBefore w:val="0"/>
                  <w:widowControl w:val="0"/>
                  <w:kinsoku/>
                  <w:wordWrap/>
                  <w:overflowPunct/>
                  <w:topLinePunct w:val="0"/>
                  <w:autoSpaceDE/>
                  <w:autoSpaceDN/>
                  <w:bidi w:val="0"/>
                  <w:adjustRightInd/>
                  <w:spacing w:line="400" w:lineRule="exact"/>
                  <w:ind w:firstLine="0" w:firstLineChars="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投标响应的网络安全产品如涉及《网络关键设备和网络安全专用产品目录》中列入的38类产品，应如实填写《政府强制采购产品明细表》（格式见</w:t>
                </w:r>
                <w:r>
                  <w:rPr>
                    <w:rFonts w:hint="eastAsia" w:cs="Times New Roman"/>
                    <w:color w:val="auto"/>
                    <w:szCs w:val="21"/>
                    <w:highlight w:val="none"/>
                    <w:lang w:val="en-US" w:eastAsia="zh-CN"/>
                  </w:rPr>
                  <w:t>第六章</w:t>
                </w:r>
                <w:r>
                  <w:rPr>
                    <w:rFonts w:hint="eastAsia" w:ascii="宋体" w:hAnsi="宋体" w:eastAsia="宋体" w:cs="Times New Roman"/>
                    <w:color w:val="auto"/>
                    <w:szCs w:val="21"/>
                    <w:highlight w:val="none"/>
                    <w:lang w:val="en-US" w:eastAsia="zh-CN"/>
                  </w:rPr>
                  <w:t>）。</w:t>
                </w:r>
              </w:p>
              <w:p w14:paraId="6E9A6404">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7.中小企业参加本项目投标要求：</w:t>
                </w:r>
              </w:p>
              <w:p w14:paraId="33FBD1B5">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中小企业指在中华人民共和国境内依法设立，依据《中小企业划型标准规定》（工信部联【2011】300号）确定的小型企业、微型企业，但与大型企业的负责人为同一人，或者与大型企业存在直接控股、管理关系的除外。属于中小企业的，需如实填写《中小企业声明函》（格式见</w:t>
                </w:r>
                <w:r>
                  <w:rPr>
                    <w:rFonts w:hint="eastAsia" w:cs="Times New Roman"/>
                    <w:color w:val="auto"/>
                    <w:szCs w:val="21"/>
                    <w:highlight w:val="none"/>
                    <w:lang w:val="en-US" w:eastAsia="zh-CN"/>
                  </w:rPr>
                  <w:t>第六章</w:t>
                </w:r>
                <w:r>
                  <w:rPr>
                    <w:rFonts w:hint="eastAsia" w:ascii="宋体" w:hAnsi="宋体" w:eastAsia="宋体" w:cs="Times New Roman"/>
                    <w:color w:val="auto"/>
                    <w:szCs w:val="21"/>
                    <w:highlight w:val="none"/>
                    <w:lang w:val="en-US" w:eastAsia="zh-CN"/>
                  </w:rPr>
                  <w:t>）。</w:t>
                </w:r>
              </w:p>
              <w:p w14:paraId="5EA8E7F1">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中小企业只有提供本企业提供的服务，或者提供其他中小企业提供的服务，享受响应服务的价格折扣。若有的话，如实填写《中小企业/残疾人福利性单位提供货物/服务明细表》（格式见</w:t>
                </w:r>
                <w:r>
                  <w:rPr>
                    <w:rFonts w:hint="eastAsia" w:cs="Times New Roman"/>
                    <w:color w:val="auto"/>
                    <w:szCs w:val="21"/>
                    <w:highlight w:val="none"/>
                    <w:lang w:val="en-US" w:eastAsia="zh-CN"/>
                  </w:rPr>
                  <w:t>第六章</w:t>
                </w:r>
                <w:r>
                  <w:rPr>
                    <w:rFonts w:hint="eastAsia" w:ascii="宋体" w:hAnsi="宋体" w:eastAsia="宋体" w:cs="Times New Roman"/>
                    <w:color w:val="auto"/>
                    <w:szCs w:val="21"/>
                    <w:highlight w:val="none"/>
                    <w:lang w:val="en-US" w:eastAsia="zh-CN"/>
                  </w:rPr>
                  <w:t>）。</w:t>
                </w:r>
              </w:p>
              <w:p w14:paraId="10D6E491">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中小企业提供的货物有中小企业制造货物，或有大型企业制造货物的，不享受价格折扣。</w:t>
                </w:r>
              </w:p>
              <w:p w14:paraId="1F0B4440">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本项目若允许联合体参加，联合体各方均为小微企业的，联合体视同小微企业，享受价格折扣优惠政策；大中型企业与中小企业组成联合体的，联合协议约定中小企业的合同份额占到合同总金额30%以上的，对联合体的报价给予一定的折扣扣除。组成联合体的小微企业与联合体内其他企业存在直接控股、管理关系的，不享受价格折扣优惠政策。</w:t>
                </w:r>
              </w:p>
              <w:p w14:paraId="0E462039">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大中型企业向中小企业分包的价格折扣：大中型企业向一家或者多家中小企业分包的，分包意向协议约定中小企业的合同份额占到合同总金额30%以上的，对大中型企业的报价给予一定的折扣扣除。</w:t>
                </w:r>
              </w:p>
              <w:p w14:paraId="334EDD6F">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通过享受扶持政策、价格折扣并获得政府采购合同的：中小企业不得将合同分包给大中型企业；中型企业不得将合同分包给大型企业。</w:t>
                </w:r>
              </w:p>
              <w:p w14:paraId="7391C409">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8.残疾人福利性单位参加本项目投标的要求：</w:t>
                </w:r>
              </w:p>
              <w:p w14:paraId="3A1A8FDF">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须根据财库【2017】141号《关于促进残疾人就业政府采购政策的通知》的要求，如实填写残疾人福利性单位声明函（格式见</w:t>
                </w:r>
                <w:r>
                  <w:rPr>
                    <w:rFonts w:hint="eastAsia" w:cs="Times New Roman"/>
                    <w:color w:val="auto"/>
                    <w:szCs w:val="21"/>
                    <w:highlight w:val="none"/>
                    <w:lang w:val="en-US" w:eastAsia="zh-CN"/>
                  </w:rPr>
                  <w:t>第六章</w:t>
                </w:r>
                <w:r>
                  <w:rPr>
                    <w:rFonts w:hint="eastAsia" w:ascii="宋体" w:hAnsi="宋体" w:eastAsia="宋体" w:cs="Times New Roman"/>
                    <w:color w:val="auto"/>
                    <w:szCs w:val="21"/>
                    <w:highlight w:val="none"/>
                    <w:lang w:val="en-US" w:eastAsia="zh-CN"/>
                  </w:rPr>
                  <w:t>）。</w:t>
                </w:r>
              </w:p>
              <w:p w14:paraId="280E2891">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供应商提供的《残疾人福利性单位声明函》与事实不符的，依照《政府采购法》第七十七条第一款的规定追究法律责任。</w:t>
                </w:r>
              </w:p>
              <w:p w14:paraId="42371240">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残疾人福利性单位提供本企业提供的服务，或者提供其他残疾人福利性单位提供的服务，享受响应服务的价格折扣。若有的话，如实填写《中小企业/残疾人福利性单位提供服务明细表》（格式见</w:t>
                </w:r>
                <w:r>
                  <w:rPr>
                    <w:rFonts w:hint="eastAsia" w:cs="Times New Roman"/>
                    <w:color w:val="auto"/>
                    <w:szCs w:val="21"/>
                    <w:highlight w:val="none"/>
                    <w:lang w:val="en-US" w:eastAsia="zh-CN"/>
                  </w:rPr>
                  <w:t>第六章</w:t>
                </w:r>
                <w:r>
                  <w:rPr>
                    <w:rFonts w:hint="eastAsia" w:ascii="宋体" w:hAnsi="宋体" w:eastAsia="宋体" w:cs="Times New Roman"/>
                    <w:color w:val="auto"/>
                    <w:szCs w:val="21"/>
                    <w:highlight w:val="none"/>
                    <w:lang w:val="en-US" w:eastAsia="zh-CN"/>
                  </w:rPr>
                  <w:t>）；</w:t>
                </w:r>
              </w:p>
              <w:p w14:paraId="55C3F757">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9.本项目涉及创新服务的要求：</w:t>
                </w:r>
              </w:p>
              <w:p w14:paraId="59F4B97E">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供应商响应服务属于《山西省创新产品和服务推荐清单》中创新服务的，在评审时，享受响应服务价格折扣。</w:t>
                </w:r>
              </w:p>
              <w:p w14:paraId="1C7CFE67">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供应商响应创新服务的，应在投标文件中提供《山西省创新产品和服务推荐清单》，并填写《创新服务明细表》（格式见第六章）</w:t>
                </w:r>
              </w:p>
              <w:p w14:paraId="023870EA">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创新服务的价格折扣政策可与其他政府采购政策叠加。</w:t>
                </w:r>
              </w:p>
              <w:p w14:paraId="4A507D06">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10.监狱企业参加本项目响应的要求：</w:t>
                </w:r>
              </w:p>
              <w:p w14:paraId="0CD93BFB">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依据《财政部司法部关于政府采购支持监狱企业发展有关问题的通知》（财库〔2014〕68号）规定，监狱企业参加投标视同小微企业，需提供由省级以上监狱管理局或戒毒管理局出具的属于监狱企业的证明文件。</w:t>
                </w:r>
              </w:p>
              <w:p w14:paraId="04DECCC7">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监狱企业只有提供本企业的服务，或者提供其他中小企业提供的服务，享受预留份额、评审中价格扣除等政府采购促进中小企业发展的政府采购政策，享受响应服务的价格折扣。若有的话，如实填写《中小企业/残疾人福利性单位提供服务明细表》（格式见第六章）；</w:t>
                </w:r>
              </w:p>
              <w:p w14:paraId="7262916E">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监狱企业与中型企业组成联合体参加响应的，或者向监狱企业分包，且联合体协议或分包意向协议约定监狱企业的协议金额占到合同金额30%以上的，享受响应标的价格折扣。</w:t>
                </w:r>
              </w:p>
              <w:p w14:paraId="4A72306E">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11.本项目涉及商品包装和快递包装的要求：</w:t>
                </w:r>
              </w:p>
              <w:p w14:paraId="19B8D563">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本文件列出商品包装和快递包装要求的，供应商需填写商品包装和快递包装承诺函，承诺商品包装符合《商品包装政府采购需求标准（试行）》，快递包装符合《快递包装政府采购需求标准（试行）》。</w:t>
                </w:r>
              </w:p>
              <w:p w14:paraId="62DF003E">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本文件列出商品包装和快递包装要求的，供应商须填写《商品包装和快递包装承诺函》。</w:t>
                </w:r>
              </w:p>
              <w:p w14:paraId="7A637800">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专门面向中小企业采购的项目或特定采购包，不重复执行中小企业发展、促进残疾人就业、支持监狱企业发展的价格优惠政策。同时在服务采购项目中，服务应当全部由中小企业承接，不对其中涉及的服务的承接商作出要求。</w:t>
                </w:r>
              </w:p>
              <w:p w14:paraId="2F98ECEB">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12、《山西省财政厅关于进一步加强政府绿色采购有关事项的通知》</w:t>
                </w:r>
              </w:p>
              <w:p w14:paraId="0425AC60">
                <w:pPr>
                  <w:keepNext w:val="0"/>
                  <w:keepLines w:val="0"/>
                  <w:pageBreakBefore w:val="0"/>
                  <w:widowControl w:val="0"/>
                  <w:kinsoku/>
                  <w:wordWrap/>
                  <w:overflowPunct/>
                  <w:topLinePunct w:val="0"/>
                  <w:autoSpaceDE/>
                  <w:autoSpaceDN/>
                  <w:bidi w:val="0"/>
                  <w:adjustRightInd/>
                  <w:spacing w:line="400" w:lineRule="exact"/>
                  <w:ind w:firstLine="0" w:firstLineChars="0"/>
                  <w:jc w:val="left"/>
                  <w:textAlignment w:val="auto"/>
                  <w:rPr>
                    <w:rFonts w:ascii="Calibri" w:hAnsi="Calibri"/>
                    <w:color w:val="auto"/>
                    <w:szCs w:val="21"/>
                    <w:highlight w:val="none"/>
                  </w:rPr>
                </w:pPr>
                <w:r>
                  <w:rPr>
                    <w:rFonts w:hint="eastAsia" w:ascii="宋体" w:hAnsi="宋体" w:eastAsia="宋体" w:cs="Times New Roman"/>
                    <w:color w:val="auto"/>
                    <w:szCs w:val="21"/>
                    <w:highlight w:val="none"/>
                    <w:lang w:val="en-US" w:eastAsia="zh-CN"/>
                  </w:rPr>
                  <w:t>对实施强制采购或执行强制性绿色采购标准的品目，不接受非强制采购产品。对于优先采购的绿色产品，给予4%的价格扣除，用扣除后的价格参与评审。对中小微企业，严格落实政府采购优惠政策，同时享受绿色采购政策的价格扣除等评审优惠措施，分别计算，叠加执行。</w:t>
                </w:r>
              </w:p>
            </w:sdtContent>
          </w:sdt>
        </w:tc>
      </w:tr>
      <w:tr w14:paraId="3264B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1" w:hRule="atLeast"/>
          <w:jc w:val="center"/>
        </w:trPr>
        <w:tc>
          <w:tcPr>
            <w:tcW w:w="887" w:type="dxa"/>
            <w:tcBorders>
              <w:left w:val="single" w:color="000000" w:sz="4" w:space="0"/>
              <w:right w:val="single" w:color="000000" w:sz="4" w:space="0"/>
            </w:tcBorders>
            <w:vAlign w:val="center"/>
          </w:tcPr>
          <w:p w14:paraId="0E63BFA5">
            <w:pPr>
              <w:spacing w:line="240" w:lineRule="auto"/>
              <w:ind w:firstLine="0" w:firstLineChars="0"/>
              <w:jc w:val="center"/>
              <w:rPr>
                <w:rFonts w:hint="default" w:eastAsia="宋体"/>
                <w:color w:val="auto"/>
                <w:highlight w:val="none"/>
                <w:lang w:val="en-US" w:eastAsia="zh-CN"/>
              </w:rPr>
            </w:pPr>
            <w:r>
              <w:rPr>
                <w:rFonts w:hint="eastAsia"/>
                <w:color w:val="auto"/>
                <w:highlight w:val="none"/>
                <w:lang w:val="en-US" w:eastAsia="zh-CN"/>
              </w:rPr>
              <w:t>27</w:t>
            </w:r>
          </w:p>
        </w:tc>
        <w:tc>
          <w:tcPr>
            <w:tcW w:w="1718" w:type="dxa"/>
            <w:tcBorders>
              <w:left w:val="single" w:color="000000" w:sz="4" w:space="0"/>
              <w:right w:val="single" w:color="000000" w:sz="4" w:space="0"/>
            </w:tcBorders>
            <w:vAlign w:val="center"/>
          </w:tcPr>
          <w:p w14:paraId="2E677A0E">
            <w:pPr>
              <w:spacing w:line="240" w:lineRule="auto"/>
              <w:ind w:firstLine="0" w:firstLineChars="0"/>
              <w:rPr>
                <w:color w:val="auto"/>
                <w:highlight w:val="none"/>
              </w:rPr>
            </w:pPr>
            <w:r>
              <w:rPr>
                <w:rFonts w:hint="eastAsia"/>
                <w:color w:val="auto"/>
                <w:highlight w:val="none"/>
              </w:rPr>
              <w:t>本项目所属行业</w:t>
            </w:r>
          </w:p>
        </w:tc>
        <w:tc>
          <w:tcPr>
            <w:tcW w:w="6859" w:type="dxa"/>
            <w:tcBorders>
              <w:left w:val="single" w:color="000000" w:sz="4" w:space="0"/>
              <w:right w:val="single" w:color="000000" w:sz="4" w:space="0"/>
            </w:tcBorders>
            <w:vAlign w:val="center"/>
          </w:tcPr>
          <w:p w14:paraId="1C51EFCB">
            <w:pPr>
              <w:spacing w:line="240" w:lineRule="auto"/>
              <w:ind w:firstLine="0" w:firstLineChars="0"/>
              <w:jc w:val="left"/>
              <w:rPr>
                <w:rFonts w:hint="default" w:ascii="宋体" w:hAnsi="宋体" w:eastAsia="宋体"/>
                <w:color w:val="auto"/>
                <w:highlight w:val="none"/>
                <w:lang w:val="en-US" w:eastAsia="zh-CN"/>
              </w:rPr>
            </w:pPr>
            <w:r>
              <w:rPr>
                <w:rFonts w:hint="eastAsia"/>
                <w:color w:val="auto"/>
                <w:highlight w:val="none"/>
                <w:lang w:val="en-US" w:eastAsia="zh-CN"/>
              </w:rPr>
              <w:t>包1</w:t>
            </w:r>
            <w:r>
              <w:rPr>
                <w:rFonts w:hint="eastAsia" w:ascii="宋体" w:hAnsi="宋体" w:eastAsia="宋体"/>
                <w:color w:val="auto"/>
                <w:highlight w:val="none"/>
                <w:lang w:val="en-US" w:eastAsia="zh-CN"/>
              </w:rPr>
              <w:t>：其他未列明行业</w:t>
            </w:r>
          </w:p>
          <w:p w14:paraId="2C91258D">
            <w:pPr>
              <w:spacing w:line="240" w:lineRule="auto"/>
              <w:ind w:firstLine="0" w:firstLineChars="0"/>
              <w:jc w:val="left"/>
              <w:rPr>
                <w:rFonts w:hint="default"/>
                <w:color w:val="auto"/>
                <w:highlight w:val="none"/>
                <w:lang w:val="en-US" w:eastAsia="zh-CN"/>
              </w:rPr>
            </w:pPr>
            <w:r>
              <w:rPr>
                <w:rFonts w:hint="eastAsia"/>
                <w:color w:val="auto"/>
                <w:highlight w:val="none"/>
                <w:lang w:val="en-US" w:eastAsia="zh-CN"/>
              </w:rPr>
              <w:t>包2</w:t>
            </w:r>
            <w:r>
              <w:rPr>
                <w:rFonts w:hint="eastAsia" w:ascii="宋体" w:hAnsi="宋体" w:eastAsia="宋体"/>
                <w:color w:val="auto"/>
                <w:highlight w:val="none"/>
                <w:lang w:val="en-US" w:eastAsia="zh-CN"/>
              </w:rPr>
              <w:t>：工业</w:t>
            </w:r>
          </w:p>
        </w:tc>
      </w:tr>
      <w:tr w14:paraId="79519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8" w:hRule="atLeast"/>
          <w:jc w:val="center"/>
        </w:trPr>
        <w:tc>
          <w:tcPr>
            <w:tcW w:w="887" w:type="dxa"/>
            <w:tcBorders>
              <w:left w:val="single" w:color="000000" w:sz="4" w:space="0"/>
              <w:right w:val="single" w:color="000000" w:sz="4" w:space="0"/>
            </w:tcBorders>
            <w:vAlign w:val="center"/>
          </w:tcPr>
          <w:p w14:paraId="196E19D4">
            <w:pPr>
              <w:spacing w:line="240" w:lineRule="auto"/>
              <w:ind w:firstLine="0" w:firstLineChars="0"/>
              <w:jc w:val="center"/>
              <w:rPr>
                <w:rFonts w:hint="default" w:eastAsia="宋体"/>
                <w:color w:val="auto"/>
                <w:highlight w:val="none"/>
                <w:lang w:val="en-US" w:eastAsia="zh-CN"/>
              </w:rPr>
            </w:pPr>
            <w:r>
              <w:rPr>
                <w:rFonts w:hint="eastAsia"/>
                <w:color w:val="auto"/>
                <w:highlight w:val="none"/>
                <w:lang w:val="en-US" w:eastAsia="zh-CN"/>
              </w:rPr>
              <w:t>28</w:t>
            </w:r>
          </w:p>
        </w:tc>
        <w:tc>
          <w:tcPr>
            <w:tcW w:w="1718" w:type="dxa"/>
            <w:tcBorders>
              <w:left w:val="single" w:color="000000" w:sz="4" w:space="0"/>
              <w:right w:val="single" w:color="000000" w:sz="4" w:space="0"/>
            </w:tcBorders>
            <w:vAlign w:val="center"/>
          </w:tcPr>
          <w:p w14:paraId="077ABF7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color w:val="auto"/>
                <w:highlight w:val="none"/>
              </w:rPr>
            </w:pPr>
            <w:r>
              <w:rPr>
                <w:rFonts w:hint="eastAsia" w:ascii="宋体" w:hAnsi="宋体" w:eastAsia="宋体" w:cs="宋体"/>
                <w:color w:val="auto"/>
                <w:sz w:val="24"/>
                <w:szCs w:val="24"/>
                <w:highlight w:val="none"/>
                <w:lang w:val="en-US" w:eastAsia="zh-CN"/>
              </w:rPr>
              <w:t>“政采智贷”</w:t>
            </w:r>
          </w:p>
        </w:tc>
        <w:tc>
          <w:tcPr>
            <w:tcW w:w="6859" w:type="dxa"/>
            <w:tcBorders>
              <w:left w:val="single" w:color="000000" w:sz="4" w:space="0"/>
              <w:right w:val="single" w:color="000000" w:sz="4" w:space="0"/>
            </w:tcBorders>
            <w:vAlign w:val="center"/>
          </w:tcPr>
          <w:p w14:paraId="06396284">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为贯彻落实《山西省政府采购信用融资工作方案（试行）》，优化营商环境，加大政府采购支持市场主体培育、金融支持实体经济发展的力度，充分发挥政府采购促进中小企业发展的政策功能，进一步推进稳住经济一揽子政策措施落实，推动我市政府采购合同融资工作的顺利进行，各单位和机构要加强“政采智贷”业务宣传。</w:t>
            </w:r>
          </w:p>
          <w:p w14:paraId="14AA3D37">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color w:val="auto"/>
                <w:highlight w:val="none"/>
              </w:rPr>
            </w:pPr>
            <w:r>
              <w:rPr>
                <w:rFonts w:hint="eastAsia" w:ascii="宋体" w:hAnsi="宋体" w:eastAsia="宋体"/>
                <w:color w:val="auto"/>
                <w:highlight w:val="none"/>
                <w:lang w:val="en-US" w:eastAsia="zh-CN"/>
              </w:rPr>
              <w:t>凡符合要求且自愿选择“政采智贷”的中标人，可在“山西省政府采购网，http://www.ccgp-shanxi.gov.cn/)”，点击“政采智贷”，进入“山西政府采购信用融资平台”页面，按照《山西省“政采智贷”业务操作指南》办理该项业务。同时，参与“政采智贷”的中标人，应严格按照政府采购合同履约，严格按照信贷合同偿还债务。</w:t>
            </w:r>
          </w:p>
        </w:tc>
      </w:tr>
      <w:tr w14:paraId="4617F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8" w:hRule="atLeast"/>
          <w:jc w:val="center"/>
        </w:trPr>
        <w:tc>
          <w:tcPr>
            <w:tcW w:w="887" w:type="dxa"/>
            <w:tcBorders>
              <w:left w:val="single" w:color="000000" w:sz="4" w:space="0"/>
              <w:right w:val="single" w:color="000000" w:sz="4" w:space="0"/>
            </w:tcBorders>
            <w:vAlign w:val="center"/>
          </w:tcPr>
          <w:p w14:paraId="33D8B26F">
            <w:pPr>
              <w:spacing w:line="240" w:lineRule="auto"/>
              <w:ind w:firstLine="0" w:firstLineChars="0"/>
              <w:jc w:val="center"/>
              <w:rPr>
                <w:rFonts w:hint="default" w:eastAsia="宋体"/>
                <w:color w:val="auto"/>
                <w:highlight w:val="none"/>
                <w:lang w:val="en-US" w:eastAsia="zh-CN"/>
              </w:rPr>
            </w:pPr>
            <w:r>
              <w:rPr>
                <w:rFonts w:hint="eastAsia"/>
                <w:color w:val="auto"/>
                <w:highlight w:val="none"/>
                <w:lang w:val="en-US" w:eastAsia="zh-CN"/>
              </w:rPr>
              <w:t>29</w:t>
            </w:r>
          </w:p>
        </w:tc>
        <w:tc>
          <w:tcPr>
            <w:tcW w:w="1718" w:type="dxa"/>
            <w:tcBorders>
              <w:left w:val="single" w:color="000000" w:sz="4" w:space="0"/>
              <w:right w:val="single" w:color="000000" w:sz="4" w:space="0"/>
            </w:tcBorders>
            <w:vAlign w:val="center"/>
          </w:tcPr>
          <w:p w14:paraId="7F758340">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default"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其他</w:t>
            </w:r>
          </w:p>
        </w:tc>
        <w:tc>
          <w:tcPr>
            <w:tcW w:w="6859" w:type="dxa"/>
            <w:tcBorders>
              <w:left w:val="single" w:color="000000" w:sz="4" w:space="0"/>
              <w:right w:val="single" w:color="000000" w:sz="4" w:space="0"/>
            </w:tcBorders>
            <w:vAlign w:val="center"/>
          </w:tcPr>
          <w:p w14:paraId="7AC7B019">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Times New Roman"/>
                <w:color w:val="auto"/>
                <w:highlight w:val="none"/>
                <w:lang w:val="en-US" w:eastAsia="zh-CN"/>
              </w:rPr>
            </w:pPr>
            <w:r>
              <w:rPr>
                <w:rFonts w:hint="eastAsia" w:cs="Times New Roman"/>
                <w:color w:val="auto"/>
                <w:highlight w:val="none"/>
                <w:lang w:val="en-US" w:eastAsia="zh-CN"/>
              </w:rPr>
              <w:t>1.</w:t>
            </w:r>
            <w:r>
              <w:rPr>
                <w:rFonts w:hint="eastAsia" w:ascii="宋体" w:hAnsi="宋体" w:eastAsia="宋体" w:cs="Times New Roman"/>
                <w:color w:val="auto"/>
                <w:highlight w:val="none"/>
                <w:lang w:val="en-US" w:eastAsia="zh-CN"/>
              </w:rPr>
              <w:t>本表内容与供应商须知内容不一致的，以本表内容为准。若本</w:t>
            </w:r>
          </w:p>
          <w:p w14:paraId="37CDCD4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次招标文件中没有相关文件样本，供应商亦应当自拟格式并附于本次投标文件中。</w:t>
            </w:r>
          </w:p>
          <w:p w14:paraId="0223CB19">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Times New Roman"/>
                <w:color w:val="auto"/>
                <w:highlight w:val="none"/>
                <w:lang w:val="en-US" w:eastAsia="zh-CN"/>
              </w:rPr>
            </w:pPr>
            <w:r>
              <w:rPr>
                <w:rFonts w:hint="eastAsia" w:ascii="宋体" w:hAnsi="宋体" w:eastAsia="宋体"/>
                <w:color w:val="auto"/>
                <w:highlight w:val="none"/>
                <w:lang w:val="en-US" w:eastAsia="zh-CN"/>
              </w:rPr>
              <w:t>2.招标文件中凡涉及国家有关法律、法规及其他国家标准相关要求的，以最新标准、要求执行</w:t>
            </w:r>
            <w:r>
              <w:rPr>
                <w:rFonts w:hint="eastAsia"/>
                <w:color w:val="auto"/>
                <w:highlight w:val="none"/>
                <w:lang w:val="en-US" w:eastAsia="zh-CN"/>
              </w:rPr>
              <w:t>。</w:t>
            </w:r>
          </w:p>
        </w:tc>
      </w:tr>
    </w:tbl>
    <w:p w14:paraId="16FE552C">
      <w:pPr>
        <w:spacing w:line="324" w:lineRule="auto"/>
        <w:ind w:firstLine="0" w:firstLineChars="0"/>
        <w:jc w:val="center"/>
        <w:rPr>
          <w:color w:val="auto"/>
          <w:highlight w:val="none"/>
        </w:rPr>
      </w:pPr>
      <w:r>
        <w:rPr>
          <w:rFonts w:hint="eastAsia"/>
          <w:color w:val="auto"/>
          <w:highlight w:val="none"/>
        </w:rPr>
        <w:br w:type="page"/>
      </w:r>
      <w:r>
        <w:rPr>
          <w:rStyle w:val="50"/>
          <w:rFonts w:hint="eastAsia"/>
          <w:color w:val="auto"/>
          <w:highlight w:val="none"/>
        </w:rPr>
        <w:t>一、总则</w:t>
      </w:r>
    </w:p>
    <w:p w14:paraId="4522D490">
      <w:pPr>
        <w:pStyle w:val="7"/>
        <w:spacing w:before="156" w:after="31"/>
        <w:ind w:firstLine="482"/>
        <w:rPr>
          <w:color w:val="auto"/>
          <w:highlight w:val="none"/>
        </w:rPr>
      </w:pPr>
      <w:r>
        <w:rPr>
          <w:rFonts w:hint="eastAsia"/>
          <w:color w:val="auto"/>
          <w:highlight w:val="none"/>
        </w:rPr>
        <w:t>1.适用范围</w:t>
      </w:r>
    </w:p>
    <w:p w14:paraId="6DFE3651">
      <w:pPr>
        <w:ind w:firstLine="480"/>
        <w:rPr>
          <w:color w:val="auto"/>
          <w:highlight w:val="none"/>
        </w:rPr>
      </w:pPr>
      <w:r>
        <w:rPr>
          <w:rFonts w:hint="eastAsia"/>
          <w:color w:val="auto"/>
          <w:highlight w:val="none"/>
        </w:rPr>
        <w:t>本招标文件适用于本次招投标活动。</w:t>
      </w:r>
    </w:p>
    <w:p w14:paraId="4F9F78E4">
      <w:pPr>
        <w:pStyle w:val="7"/>
        <w:spacing w:before="156" w:after="31"/>
        <w:ind w:firstLine="482"/>
        <w:rPr>
          <w:color w:val="auto"/>
          <w:highlight w:val="none"/>
        </w:rPr>
      </w:pPr>
      <w:r>
        <w:rPr>
          <w:rFonts w:hint="eastAsia"/>
          <w:color w:val="auto"/>
          <w:highlight w:val="none"/>
        </w:rPr>
        <w:t>2.定义</w:t>
      </w:r>
    </w:p>
    <w:p w14:paraId="7E150968">
      <w:pPr>
        <w:ind w:firstLine="480"/>
        <w:rPr>
          <w:color w:val="auto"/>
          <w:highlight w:val="none"/>
        </w:rPr>
      </w:pPr>
      <w:r>
        <w:rPr>
          <w:rFonts w:hint="eastAsia"/>
          <w:color w:val="auto"/>
          <w:highlight w:val="none"/>
        </w:rPr>
        <w:t>2.1 “采购人”是指依法进行政府采购的国家机关、事业单位、团体组织，即本次采购活动的采购单位。</w:t>
      </w:r>
    </w:p>
    <w:p w14:paraId="58BD73B3">
      <w:pPr>
        <w:ind w:firstLine="480"/>
        <w:rPr>
          <w:color w:val="auto"/>
          <w:highlight w:val="none"/>
        </w:rPr>
      </w:pPr>
      <w:r>
        <w:rPr>
          <w:rFonts w:hint="eastAsia"/>
          <w:color w:val="auto"/>
          <w:highlight w:val="none"/>
        </w:rPr>
        <w:t>2.2“采购代理机构”是指</w:t>
      </w:r>
      <w:r>
        <w:rPr>
          <w:rFonts w:hint="eastAsia" w:ascii="宋体" w:hAnsi="宋体" w:eastAsia="宋体" w:cs="宋体"/>
          <w:color w:val="auto"/>
          <w:sz w:val="24"/>
          <w:szCs w:val="24"/>
          <w:highlight w:val="none"/>
        </w:rPr>
        <w:t>指组织本次</w:t>
      </w:r>
      <w:r>
        <w:rPr>
          <w:rFonts w:hint="eastAsia" w:cs="宋体"/>
          <w:color w:val="auto"/>
          <w:sz w:val="24"/>
          <w:szCs w:val="24"/>
          <w:highlight w:val="none"/>
          <w:lang w:val="en-US" w:eastAsia="zh-CN"/>
        </w:rPr>
        <w:t>招标</w:t>
      </w:r>
      <w:r>
        <w:rPr>
          <w:rFonts w:hint="eastAsia" w:ascii="宋体" w:hAnsi="宋体" w:eastAsia="宋体" w:cs="宋体"/>
          <w:color w:val="auto"/>
          <w:sz w:val="24"/>
          <w:szCs w:val="24"/>
          <w:highlight w:val="none"/>
        </w:rPr>
        <w:t>活动的机构，即“</w:t>
      </w:r>
      <w:r>
        <w:rPr>
          <w:rFonts w:hint="eastAsia" w:hAnsi="宋体" w:eastAsia="宋体" w:cs="宋体"/>
          <w:color w:val="auto"/>
          <w:sz w:val="24"/>
          <w:szCs w:val="24"/>
          <w:highlight w:val="none"/>
          <w:lang w:eastAsia="zh-CN"/>
        </w:rPr>
        <w:t>山西铭汇工程项目管理有限公司</w:t>
      </w:r>
      <w:r>
        <w:rPr>
          <w:rFonts w:hint="eastAsia" w:ascii="宋体" w:hAnsi="宋体" w:eastAsia="宋体" w:cs="宋体"/>
          <w:color w:val="auto"/>
          <w:sz w:val="24"/>
          <w:szCs w:val="24"/>
          <w:highlight w:val="none"/>
        </w:rPr>
        <w:t>”</w:t>
      </w:r>
      <w:r>
        <w:rPr>
          <w:rFonts w:hint="eastAsia"/>
          <w:color w:val="auto"/>
          <w:highlight w:val="none"/>
        </w:rPr>
        <w:t>。</w:t>
      </w:r>
    </w:p>
    <w:p w14:paraId="01409885">
      <w:pPr>
        <w:ind w:firstLine="480"/>
        <w:rPr>
          <w:color w:val="auto"/>
          <w:highlight w:val="none"/>
        </w:rPr>
      </w:pPr>
      <w:r>
        <w:rPr>
          <w:color w:val="auto"/>
          <w:highlight w:val="none"/>
        </w:rPr>
        <w:t>2.</w:t>
      </w:r>
      <w:r>
        <w:rPr>
          <w:rFonts w:hint="eastAsia"/>
          <w:color w:val="auto"/>
          <w:highlight w:val="none"/>
        </w:rPr>
        <w:t>3</w:t>
      </w:r>
      <w:r>
        <w:rPr>
          <w:color w:val="auto"/>
          <w:highlight w:val="none"/>
        </w:rPr>
        <w:t>“潜在</w:t>
      </w:r>
      <w:r>
        <w:rPr>
          <w:rFonts w:hint="eastAsia"/>
          <w:color w:val="auto"/>
          <w:highlight w:val="none"/>
        </w:rPr>
        <w:t>投标人</w:t>
      </w:r>
      <w:r>
        <w:rPr>
          <w:color w:val="auto"/>
          <w:highlight w:val="none"/>
        </w:rPr>
        <w:t>”指符合本</w:t>
      </w:r>
      <w:r>
        <w:rPr>
          <w:rFonts w:hint="eastAsia"/>
          <w:color w:val="auto"/>
          <w:highlight w:val="none"/>
        </w:rPr>
        <w:t>招标文件</w:t>
      </w:r>
      <w:r>
        <w:rPr>
          <w:color w:val="auto"/>
          <w:highlight w:val="none"/>
        </w:rPr>
        <w:t>各项规定的合格</w:t>
      </w:r>
      <w:r>
        <w:rPr>
          <w:rFonts w:hint="eastAsia"/>
          <w:color w:val="auto"/>
          <w:highlight w:val="none"/>
        </w:rPr>
        <w:t>投标人</w:t>
      </w:r>
      <w:r>
        <w:rPr>
          <w:color w:val="auto"/>
          <w:highlight w:val="none"/>
        </w:rPr>
        <w:t>。</w:t>
      </w:r>
    </w:p>
    <w:p w14:paraId="23F0EF80">
      <w:pPr>
        <w:ind w:firstLine="480"/>
        <w:rPr>
          <w:color w:val="auto"/>
          <w:highlight w:val="none"/>
        </w:rPr>
      </w:pPr>
      <w:r>
        <w:rPr>
          <w:color w:val="auto"/>
          <w:highlight w:val="none"/>
        </w:rPr>
        <w:t>2.</w:t>
      </w:r>
      <w:r>
        <w:rPr>
          <w:rFonts w:hint="eastAsia"/>
          <w:color w:val="auto"/>
          <w:highlight w:val="none"/>
        </w:rPr>
        <w:t>4</w:t>
      </w:r>
      <w:r>
        <w:rPr>
          <w:color w:val="auto"/>
          <w:highlight w:val="none"/>
        </w:rPr>
        <w:t>“</w:t>
      </w:r>
      <w:r>
        <w:rPr>
          <w:rFonts w:hint="eastAsia"/>
          <w:color w:val="auto"/>
          <w:highlight w:val="none"/>
        </w:rPr>
        <w:t>投标人</w:t>
      </w:r>
      <w:r>
        <w:rPr>
          <w:color w:val="auto"/>
          <w:highlight w:val="none"/>
        </w:rPr>
        <w:t>”指符合本</w:t>
      </w:r>
      <w:r>
        <w:rPr>
          <w:rFonts w:hint="eastAsia"/>
          <w:color w:val="auto"/>
          <w:highlight w:val="none"/>
        </w:rPr>
        <w:t>招标文件</w:t>
      </w:r>
      <w:r>
        <w:rPr>
          <w:color w:val="auto"/>
          <w:highlight w:val="none"/>
        </w:rPr>
        <w:t>规定并参加</w:t>
      </w:r>
      <w:r>
        <w:rPr>
          <w:rFonts w:hint="eastAsia"/>
          <w:color w:val="auto"/>
          <w:highlight w:val="none"/>
        </w:rPr>
        <w:t>本次投标</w:t>
      </w:r>
      <w:r>
        <w:rPr>
          <w:color w:val="auto"/>
          <w:highlight w:val="none"/>
        </w:rPr>
        <w:t>的</w:t>
      </w:r>
      <w:r>
        <w:rPr>
          <w:rFonts w:hint="eastAsia"/>
          <w:color w:val="auto"/>
          <w:highlight w:val="none"/>
        </w:rPr>
        <w:t>投标人</w:t>
      </w:r>
      <w:r>
        <w:rPr>
          <w:color w:val="auto"/>
          <w:highlight w:val="none"/>
        </w:rPr>
        <w:t>。</w:t>
      </w:r>
    </w:p>
    <w:p w14:paraId="5E1F9098">
      <w:pPr>
        <w:ind w:firstLine="480"/>
        <w:rPr>
          <w:color w:val="auto"/>
          <w:highlight w:val="none"/>
        </w:rPr>
      </w:pPr>
      <w:r>
        <w:rPr>
          <w:rFonts w:hint="eastAsia"/>
          <w:color w:val="auto"/>
          <w:highlight w:val="none"/>
        </w:rPr>
        <w:t>2.5“中标人”是指经评标委员会评审、采购人确定，最终中标的投标人。</w:t>
      </w:r>
    </w:p>
    <w:p w14:paraId="1AD9C65A">
      <w:pPr>
        <w:ind w:firstLine="480"/>
        <w:rPr>
          <w:color w:val="auto"/>
          <w:highlight w:val="none"/>
        </w:rPr>
      </w:pPr>
      <w:r>
        <w:rPr>
          <w:rFonts w:hint="eastAsia"/>
          <w:color w:val="auto"/>
          <w:highlight w:val="none"/>
        </w:rPr>
        <w:t>2.6“货物”是指各种形态、种类的物品，包括原材料、设备、产品、辅件配件、备品备件、软件、服务等标的物。</w:t>
      </w:r>
    </w:p>
    <w:p w14:paraId="7A1619AC">
      <w:pPr>
        <w:ind w:firstLine="480"/>
        <w:rPr>
          <w:color w:val="auto"/>
          <w:highlight w:val="none"/>
        </w:rPr>
      </w:pPr>
      <w:r>
        <w:rPr>
          <w:rFonts w:hint="eastAsia"/>
          <w:color w:val="auto"/>
          <w:highlight w:val="none"/>
        </w:rPr>
        <w:t>2.7“服务”是指为了保障项目顺利实施，由投标人承担与货物伴随的相关服务，包括运输、安装、调试、技术指导、培训以及售前、售中、售后服务和投标人承诺的其他类似服务。</w:t>
      </w:r>
    </w:p>
    <w:p w14:paraId="453FF62A">
      <w:pPr>
        <w:ind w:firstLine="480"/>
        <w:rPr>
          <w:color w:val="auto"/>
          <w:highlight w:val="none"/>
        </w:rPr>
      </w:pPr>
      <w:r>
        <w:rPr>
          <w:rFonts w:hint="eastAsia"/>
          <w:color w:val="auto"/>
          <w:highlight w:val="none"/>
        </w:rPr>
        <w:t>2.8“产品缺陷”是指货物在设计、原材料和零部件、制造、装配或说明指示等方面存在的潜在隐患或有碍产品使用安全和产品使用寿命等情形。</w:t>
      </w:r>
    </w:p>
    <w:p w14:paraId="6A7258E4">
      <w:pPr>
        <w:ind w:firstLine="480"/>
        <w:rPr>
          <w:color w:val="auto"/>
          <w:highlight w:val="none"/>
        </w:rPr>
      </w:pPr>
      <w:r>
        <w:rPr>
          <w:rFonts w:hint="eastAsia"/>
          <w:color w:val="auto"/>
          <w:highlight w:val="none"/>
        </w:rPr>
        <w:t>2.9“欺诈行为”是指为了影响采购过程或合同实施过程虚报、谎报、隐瞒事实，以假充真，以次充好，虚假承诺，损害国家公共利益的行为。</w:t>
      </w:r>
    </w:p>
    <w:p w14:paraId="324E1A1C">
      <w:pPr>
        <w:pStyle w:val="7"/>
        <w:spacing w:before="156" w:after="31"/>
        <w:ind w:firstLine="482"/>
        <w:rPr>
          <w:color w:val="auto"/>
          <w:highlight w:val="none"/>
        </w:rPr>
      </w:pPr>
      <w:r>
        <w:rPr>
          <w:rFonts w:hint="eastAsia"/>
          <w:color w:val="auto"/>
          <w:highlight w:val="none"/>
        </w:rPr>
        <w:t>3.合格投标人的资格条件</w:t>
      </w:r>
    </w:p>
    <w:p w14:paraId="48A92A13">
      <w:pPr>
        <w:ind w:firstLine="480"/>
        <w:rPr>
          <w:color w:val="auto"/>
          <w:highlight w:val="none"/>
        </w:rPr>
      </w:pPr>
      <w:r>
        <w:rPr>
          <w:rFonts w:hint="eastAsia"/>
          <w:color w:val="auto"/>
          <w:highlight w:val="none"/>
        </w:rPr>
        <w:t>3.1 具有本项目实施能力，符合、承认并承诺履行本招标文件各项规定的国内投标人均可参加投标。</w:t>
      </w:r>
    </w:p>
    <w:p w14:paraId="547AE541">
      <w:pPr>
        <w:ind w:firstLine="480"/>
        <w:rPr>
          <w:color w:val="auto"/>
          <w:highlight w:val="none"/>
        </w:rPr>
      </w:pPr>
      <w:r>
        <w:rPr>
          <w:rFonts w:hint="eastAsia"/>
          <w:color w:val="auto"/>
          <w:highlight w:val="none"/>
        </w:rPr>
        <w:t>3.2 投标人必须是已在中国境内依法登记注册并仍有效存续的投标人。</w:t>
      </w:r>
    </w:p>
    <w:p w14:paraId="1CCDD030">
      <w:pPr>
        <w:ind w:firstLine="480"/>
        <w:rPr>
          <w:color w:val="auto"/>
          <w:highlight w:val="none"/>
        </w:rPr>
      </w:pPr>
      <w:r>
        <w:rPr>
          <w:rFonts w:hint="eastAsia"/>
          <w:color w:val="auto"/>
          <w:highlight w:val="none"/>
        </w:rPr>
        <w:t>3.3 投标人应当遵守我国的有关法律、法规，具备《中华人民共和国政府采购法》第二十二条规定的条件和本项目所需的特定条件。</w:t>
      </w:r>
    </w:p>
    <w:p w14:paraId="2F0C6AA5">
      <w:pPr>
        <w:ind w:firstLine="480"/>
        <w:rPr>
          <w:color w:val="auto"/>
          <w:highlight w:val="none"/>
        </w:rPr>
      </w:pPr>
      <w:r>
        <w:rPr>
          <w:rFonts w:hint="eastAsia"/>
          <w:color w:val="auto"/>
          <w:highlight w:val="none"/>
        </w:rPr>
        <w:t>3.4具有法人资格且与其他法人具有控股关联关系的投标人的特别规则如下：</w:t>
      </w:r>
    </w:p>
    <w:p w14:paraId="4F7750D6">
      <w:pPr>
        <w:ind w:firstLine="480"/>
        <w:rPr>
          <w:color w:val="auto"/>
          <w:highlight w:val="none"/>
        </w:rPr>
      </w:pPr>
      <w:r>
        <w:rPr>
          <w:rFonts w:hint="eastAsia"/>
          <w:color w:val="auto"/>
          <w:highlight w:val="none"/>
        </w:rPr>
        <w:t>与采购人存在利害关系可能影响招标公正性的法人、其他组织或者个人，不得参加投标；单位负责人为同一人或者存在控股、管理关系的不同单位，不得参加同一包或者未分包的同一招标项目投标；否则，相关投标均无效。</w:t>
      </w:r>
    </w:p>
    <w:p w14:paraId="72233A23">
      <w:pPr>
        <w:ind w:firstLine="480"/>
        <w:rPr>
          <w:color w:val="auto"/>
          <w:highlight w:val="none"/>
        </w:rPr>
      </w:pPr>
      <w:r>
        <w:rPr>
          <w:rFonts w:hint="eastAsia"/>
          <w:color w:val="auto"/>
          <w:highlight w:val="none"/>
        </w:rPr>
        <w:t>3.5本次招标不允许由两个以上投标人组成一个联合体以一个投标人身份共同投标。</w:t>
      </w:r>
    </w:p>
    <w:p w14:paraId="79768A55">
      <w:pPr>
        <w:pStyle w:val="7"/>
        <w:spacing w:before="156" w:after="31"/>
        <w:ind w:firstLine="482"/>
        <w:rPr>
          <w:color w:val="auto"/>
          <w:highlight w:val="none"/>
        </w:rPr>
      </w:pPr>
      <w:r>
        <w:rPr>
          <w:rFonts w:hint="eastAsia"/>
          <w:color w:val="auto"/>
          <w:highlight w:val="none"/>
        </w:rPr>
        <w:t>4.投标费用</w:t>
      </w:r>
    </w:p>
    <w:p w14:paraId="46C9B2AE">
      <w:pPr>
        <w:ind w:firstLine="480"/>
        <w:rPr>
          <w:color w:val="auto"/>
          <w:highlight w:val="none"/>
        </w:rPr>
      </w:pPr>
      <w:r>
        <w:rPr>
          <w:rFonts w:hint="eastAsia"/>
          <w:color w:val="auto"/>
          <w:highlight w:val="none"/>
        </w:rPr>
        <w:t>投标人应当承担所有与准备和参加投标有关的费用，代理机构和采购人在任何情况下均无义务和责任承担这些费用。</w:t>
      </w:r>
    </w:p>
    <w:p w14:paraId="1D2645D8">
      <w:pPr>
        <w:pStyle w:val="7"/>
        <w:spacing w:before="156" w:after="31"/>
        <w:ind w:firstLine="482"/>
        <w:rPr>
          <w:color w:val="auto"/>
          <w:highlight w:val="none"/>
        </w:rPr>
      </w:pPr>
      <w:r>
        <w:rPr>
          <w:rFonts w:hint="eastAsia"/>
          <w:color w:val="auto"/>
          <w:highlight w:val="none"/>
        </w:rPr>
        <w:t>5.通知的告知及获取</w:t>
      </w:r>
    </w:p>
    <w:p w14:paraId="159AF3FB">
      <w:pPr>
        <w:ind w:firstLine="480"/>
        <w:rPr>
          <w:color w:val="auto"/>
          <w:highlight w:val="none"/>
        </w:rPr>
      </w:pPr>
      <w:r>
        <w:rPr>
          <w:rFonts w:hint="eastAsia"/>
          <w:color w:val="auto"/>
          <w:highlight w:val="none"/>
        </w:rPr>
        <w:t>对与本项目有关的通知，采购代理机构将以书面形式(包括书面材料、信函、传真、电子邮件等，下同)或以在本次招标公告刊登的媒体上发布公告的形式告知所有已登记并领取了招标文件的投标人，联系方式以投标人的登记为准，收到通知的投标人应以书面方式立即予以回复确认。因登记有误或线路故障导致通知延迟送达或无法送达，采购代理机构不因此承担任何责任，有关的招标活动可以继续有效地进行。</w:t>
      </w:r>
    </w:p>
    <w:p w14:paraId="2394FC0B">
      <w:pPr>
        <w:pStyle w:val="6"/>
        <w:spacing w:before="234" w:after="46"/>
        <w:rPr>
          <w:color w:val="auto"/>
          <w:highlight w:val="none"/>
        </w:rPr>
      </w:pPr>
      <w:r>
        <w:rPr>
          <w:rFonts w:hint="eastAsia"/>
          <w:color w:val="auto"/>
          <w:highlight w:val="none"/>
        </w:rPr>
        <w:t>二、招标文件</w:t>
      </w:r>
    </w:p>
    <w:p w14:paraId="687CE021">
      <w:pPr>
        <w:pStyle w:val="7"/>
        <w:spacing w:before="156" w:after="31"/>
        <w:ind w:firstLine="482"/>
        <w:rPr>
          <w:color w:val="auto"/>
          <w:highlight w:val="none"/>
        </w:rPr>
      </w:pPr>
      <w:r>
        <w:rPr>
          <w:rFonts w:hint="eastAsia"/>
          <w:color w:val="auto"/>
          <w:highlight w:val="none"/>
        </w:rPr>
        <w:t>6.招标文件的构成</w:t>
      </w:r>
    </w:p>
    <w:p w14:paraId="01A0B5BB">
      <w:pPr>
        <w:ind w:firstLine="480"/>
        <w:rPr>
          <w:color w:val="auto"/>
          <w:highlight w:val="none"/>
        </w:rPr>
      </w:pPr>
      <w:r>
        <w:rPr>
          <w:rFonts w:hint="eastAsia"/>
          <w:color w:val="auto"/>
          <w:highlight w:val="none"/>
        </w:rPr>
        <w:t>6.1招标文件由下列六部分内容组成：</w:t>
      </w:r>
    </w:p>
    <w:p w14:paraId="57ED4A36">
      <w:pPr>
        <w:ind w:firstLine="480"/>
        <w:rPr>
          <w:color w:val="auto"/>
          <w:highlight w:val="none"/>
        </w:rPr>
      </w:pPr>
      <w:r>
        <w:rPr>
          <w:rFonts w:hint="eastAsia"/>
          <w:color w:val="auto"/>
          <w:highlight w:val="none"/>
        </w:rPr>
        <w:t>第一章 招标公告；</w:t>
      </w:r>
    </w:p>
    <w:p w14:paraId="7BA001E2">
      <w:pPr>
        <w:ind w:firstLine="480"/>
        <w:rPr>
          <w:color w:val="auto"/>
          <w:highlight w:val="none"/>
        </w:rPr>
      </w:pPr>
      <w:r>
        <w:rPr>
          <w:rFonts w:hint="eastAsia"/>
          <w:color w:val="auto"/>
          <w:highlight w:val="none"/>
        </w:rPr>
        <w:t>第二章 投标人须知；</w:t>
      </w:r>
    </w:p>
    <w:p w14:paraId="094910FA">
      <w:pPr>
        <w:ind w:firstLine="480"/>
        <w:rPr>
          <w:color w:val="auto"/>
          <w:highlight w:val="none"/>
        </w:rPr>
      </w:pPr>
      <w:r>
        <w:rPr>
          <w:rFonts w:hint="eastAsia"/>
          <w:color w:val="auto"/>
          <w:highlight w:val="none"/>
        </w:rPr>
        <w:t>第三章 评标标准和评标方法；</w:t>
      </w:r>
    </w:p>
    <w:p w14:paraId="1E08D5F6">
      <w:pPr>
        <w:ind w:firstLine="480"/>
        <w:rPr>
          <w:color w:val="auto"/>
          <w:highlight w:val="none"/>
        </w:rPr>
      </w:pPr>
      <w:r>
        <w:rPr>
          <w:rFonts w:hint="eastAsia"/>
          <w:color w:val="auto"/>
          <w:highlight w:val="none"/>
        </w:rPr>
        <w:t>第四章 商务、技术要求；</w:t>
      </w:r>
    </w:p>
    <w:p w14:paraId="4493FF5D">
      <w:pPr>
        <w:ind w:firstLine="480"/>
        <w:rPr>
          <w:color w:val="auto"/>
          <w:highlight w:val="none"/>
        </w:rPr>
      </w:pPr>
      <w:r>
        <w:rPr>
          <w:rFonts w:hint="eastAsia"/>
          <w:color w:val="auto"/>
          <w:highlight w:val="none"/>
        </w:rPr>
        <w:t>第五章 合同文本；</w:t>
      </w:r>
    </w:p>
    <w:p w14:paraId="0F03032D">
      <w:pPr>
        <w:ind w:firstLine="480"/>
        <w:rPr>
          <w:color w:val="auto"/>
          <w:highlight w:val="none"/>
        </w:rPr>
      </w:pPr>
      <w:r>
        <w:rPr>
          <w:rFonts w:hint="eastAsia"/>
          <w:color w:val="auto"/>
          <w:highlight w:val="none"/>
        </w:rPr>
        <w:t>第六章 投标文件格式；</w:t>
      </w:r>
    </w:p>
    <w:p w14:paraId="4A3507E4">
      <w:pPr>
        <w:ind w:firstLine="480"/>
        <w:rPr>
          <w:color w:val="auto"/>
          <w:highlight w:val="none"/>
        </w:rPr>
      </w:pPr>
      <w:r>
        <w:rPr>
          <w:rFonts w:hint="eastAsia"/>
          <w:color w:val="auto"/>
          <w:highlight w:val="none"/>
        </w:rPr>
        <w:t>6.2投标人获取招标文件后，应仔细检查招标文件的所有内容，如有遗漏、残缺等问题，应在获得招标文件2日内向采购代理机构提出，否则，由此引起的损失由投标人自行承担。</w:t>
      </w:r>
    </w:p>
    <w:p w14:paraId="3D89805D">
      <w:pPr>
        <w:ind w:firstLine="480"/>
        <w:rPr>
          <w:color w:val="auto"/>
          <w:highlight w:val="none"/>
        </w:rPr>
      </w:pPr>
      <w:r>
        <w:rPr>
          <w:rFonts w:hint="eastAsia"/>
          <w:color w:val="auto"/>
          <w:highlight w:val="none"/>
        </w:rPr>
        <w:t>6.3投标人应认真阅读招标文件中所有的条款、事项、格式和技术规范、参数及要求等。投标人没有按照招标文件要求提交全部资料，或者投标没有对招标文件在各方面都做出实质性响应是投标人的风险，有可能导致其投标被拒绝或被认定为无效投标或被确定为投标无效。</w:t>
      </w:r>
    </w:p>
    <w:p w14:paraId="38C17664">
      <w:pPr>
        <w:pStyle w:val="7"/>
        <w:spacing w:before="156" w:after="31"/>
        <w:ind w:firstLine="482"/>
        <w:rPr>
          <w:color w:val="auto"/>
          <w:highlight w:val="none"/>
        </w:rPr>
      </w:pPr>
      <w:r>
        <w:rPr>
          <w:rFonts w:hint="eastAsia"/>
          <w:color w:val="auto"/>
          <w:highlight w:val="none"/>
        </w:rPr>
        <w:t>7.招标文件的澄清和修改</w:t>
      </w:r>
    </w:p>
    <w:p w14:paraId="65CF90D3">
      <w:pPr>
        <w:ind w:firstLine="480"/>
        <w:rPr>
          <w:color w:val="auto"/>
          <w:highlight w:val="none"/>
        </w:rPr>
      </w:pPr>
      <w:r>
        <w:rPr>
          <w:rFonts w:hint="eastAsia"/>
          <w:color w:val="auto"/>
          <w:highlight w:val="none"/>
        </w:rPr>
        <w:t>7.1 投标人澄清要求的提交：任何已登记备案并领取了招标文件的潜在投标人，均应以书面形式在投标截止时间15日以前要求对招标文件进行澄清，按招标公告中的联系地址以书面形式（包括书面材料、信函、传真，下同）送达采购代理机构。</w:t>
      </w:r>
    </w:p>
    <w:p w14:paraId="7F0C22B1">
      <w:pPr>
        <w:ind w:firstLine="480"/>
        <w:rPr>
          <w:color w:val="auto"/>
          <w:highlight w:val="none"/>
        </w:rPr>
      </w:pPr>
      <w:r>
        <w:rPr>
          <w:rFonts w:hint="eastAsia"/>
          <w:color w:val="auto"/>
          <w:highlight w:val="none"/>
        </w:rPr>
        <w:t>7.2 采购代理机构（或采购人）可以对已发出的招标文件进行必要的澄清或者修改。澄清或修改的内容可能影响投标文件编制的，采购代理机构（或采购人）在投标截止时间至少15日前，应当在原公告发布媒体上发布更正公告，并以书面形式通知所有获取招标文件的潜在投标人，不足15日的，采购代理机构（或采购人）顺延递交投标文件的截止时间。</w:t>
      </w:r>
    </w:p>
    <w:p w14:paraId="2F7DA2E7">
      <w:pPr>
        <w:ind w:firstLine="480"/>
        <w:rPr>
          <w:color w:val="auto"/>
          <w:highlight w:val="none"/>
        </w:rPr>
      </w:pPr>
      <w:r>
        <w:rPr>
          <w:rFonts w:hint="eastAsia"/>
          <w:color w:val="auto"/>
          <w:highlight w:val="none"/>
        </w:rPr>
        <w:t>7.3 采购代理机构（或采购人）可以延长投标截止时间和开标时间，应提交投标文件截止时间三日前，将该变更时间以发布变更公告及书面通知的形式通知所有招标文件收受人。</w:t>
      </w:r>
    </w:p>
    <w:p w14:paraId="12428FEB">
      <w:pPr>
        <w:ind w:firstLine="480"/>
        <w:rPr>
          <w:color w:val="auto"/>
          <w:highlight w:val="none"/>
        </w:rPr>
      </w:pPr>
      <w:r>
        <w:rPr>
          <w:rFonts w:hint="eastAsia"/>
          <w:color w:val="auto"/>
          <w:highlight w:val="none"/>
        </w:rPr>
        <w:t>7.4 采购代理机构（或采购人）澄清、修改及其它答复的效力：无论是否根据投标人的澄清、修改或进行其它答复的要求，采购代理机构（或采购人）一旦对招标文件做出澄清、修改或进行其它答复，即刻发生效力，采购代理机构（或采购人）有关的补充文件，应当作为招标文件的组成部分，对所有投标人均具有约束力。</w:t>
      </w:r>
    </w:p>
    <w:p w14:paraId="698FDC87">
      <w:pPr>
        <w:ind w:firstLine="480"/>
        <w:rPr>
          <w:color w:val="auto"/>
          <w:highlight w:val="none"/>
        </w:rPr>
      </w:pPr>
      <w:r>
        <w:rPr>
          <w:rFonts w:hint="eastAsia"/>
          <w:color w:val="auto"/>
          <w:highlight w:val="none"/>
        </w:rPr>
        <w:t>7.5 本采购项目采购人不组织所有已登记备案并领取了招标文件的潜在投标人踏勘现场。</w:t>
      </w:r>
    </w:p>
    <w:p w14:paraId="7E38A60D">
      <w:pPr>
        <w:ind w:firstLine="480"/>
        <w:rPr>
          <w:color w:val="auto"/>
          <w:highlight w:val="none"/>
        </w:rPr>
      </w:pPr>
      <w:r>
        <w:rPr>
          <w:rFonts w:hint="eastAsia"/>
          <w:color w:val="auto"/>
          <w:highlight w:val="none"/>
        </w:rPr>
        <w:t>7.6 本采购项目采购人不召开标前会。</w:t>
      </w:r>
    </w:p>
    <w:p w14:paraId="325EA6E0">
      <w:pPr>
        <w:ind w:firstLine="480"/>
        <w:rPr>
          <w:color w:val="auto"/>
          <w:highlight w:val="none"/>
        </w:rPr>
      </w:pPr>
      <w:r>
        <w:rPr>
          <w:rFonts w:hint="eastAsia"/>
          <w:color w:val="auto"/>
          <w:highlight w:val="none"/>
        </w:rPr>
        <w:t>7.7 采购代理机构（或采购人）在开标现场对投标情况可在不改变招标文件实质内容前提下做进一步的澄清和说明，并经投标人代表签字确认。</w:t>
      </w:r>
    </w:p>
    <w:p w14:paraId="73E58C89">
      <w:pPr>
        <w:pStyle w:val="6"/>
        <w:spacing w:before="234" w:after="46"/>
        <w:rPr>
          <w:color w:val="auto"/>
          <w:highlight w:val="none"/>
        </w:rPr>
      </w:pPr>
      <w:r>
        <w:rPr>
          <w:rFonts w:hint="eastAsia"/>
          <w:color w:val="auto"/>
          <w:highlight w:val="none"/>
        </w:rPr>
        <w:t>三、投标文件</w:t>
      </w:r>
    </w:p>
    <w:p w14:paraId="6F3D1DD2">
      <w:pPr>
        <w:pStyle w:val="7"/>
        <w:spacing w:before="156" w:after="31"/>
        <w:ind w:firstLine="482"/>
        <w:rPr>
          <w:color w:val="auto"/>
          <w:highlight w:val="none"/>
        </w:rPr>
      </w:pPr>
      <w:r>
        <w:rPr>
          <w:rFonts w:hint="eastAsia"/>
          <w:color w:val="auto"/>
          <w:highlight w:val="none"/>
        </w:rPr>
        <w:t>8.投标文件的语言和计量单位</w:t>
      </w:r>
    </w:p>
    <w:p w14:paraId="605A2716">
      <w:pPr>
        <w:ind w:firstLine="480"/>
        <w:rPr>
          <w:color w:val="auto"/>
          <w:highlight w:val="none"/>
        </w:rPr>
      </w:pPr>
      <w:r>
        <w:rPr>
          <w:rFonts w:hint="eastAsia"/>
          <w:color w:val="auto"/>
          <w:highlight w:val="none"/>
        </w:rPr>
        <w:t>8.1投标人提交的投标文件（包括技术文件和资料、图纸中的说明）以及投标人与采购代理机构（或采购人）就有关投标的所有来往函电均应使用中文简体字。</w:t>
      </w:r>
    </w:p>
    <w:p w14:paraId="78C03705">
      <w:pPr>
        <w:ind w:firstLine="480"/>
        <w:rPr>
          <w:color w:val="auto"/>
          <w:highlight w:val="none"/>
        </w:rPr>
      </w:pPr>
      <w:r>
        <w:rPr>
          <w:rFonts w:hint="eastAsia"/>
          <w:color w:val="auto"/>
          <w:highlight w:val="none"/>
        </w:rPr>
        <w:t>8.2投标文件所使用的计量单位，应使用国家法定计量单位。</w:t>
      </w:r>
    </w:p>
    <w:p w14:paraId="06D8994B">
      <w:pPr>
        <w:ind w:firstLine="480"/>
        <w:rPr>
          <w:color w:val="auto"/>
          <w:highlight w:val="none"/>
        </w:rPr>
      </w:pPr>
      <w:r>
        <w:rPr>
          <w:rFonts w:hint="eastAsia"/>
          <w:color w:val="auto"/>
          <w:highlight w:val="none"/>
        </w:rPr>
        <w:t>8.3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14:paraId="36663746">
      <w:pPr>
        <w:ind w:firstLine="480"/>
        <w:rPr>
          <w:color w:val="auto"/>
          <w:highlight w:val="none"/>
        </w:rPr>
      </w:pPr>
      <w:r>
        <w:rPr>
          <w:rFonts w:hint="eastAsia"/>
          <w:color w:val="auto"/>
          <w:highlight w:val="none"/>
        </w:rPr>
        <w:t>原版为外文的证书类、证明类文件，与投标人名称或其它实际情况不符的，投标人应当提供相关证明文件。</w:t>
      </w:r>
    </w:p>
    <w:p w14:paraId="3ACCB85A">
      <w:pPr>
        <w:ind w:firstLine="480"/>
        <w:rPr>
          <w:color w:val="auto"/>
          <w:highlight w:val="none"/>
        </w:rPr>
      </w:pPr>
      <w:r>
        <w:rPr>
          <w:rFonts w:hint="eastAsia"/>
          <w:color w:val="auto"/>
          <w:highlight w:val="none"/>
        </w:rPr>
        <w:t>8.4对于未附有中文译文和中文译文本不准确的投标文件，由此引起的对投标人的不利后果，采购人概不负责。</w:t>
      </w:r>
    </w:p>
    <w:p w14:paraId="10D7218D">
      <w:pPr>
        <w:pStyle w:val="7"/>
        <w:spacing w:before="156" w:after="31"/>
        <w:ind w:firstLine="482"/>
        <w:rPr>
          <w:color w:val="auto"/>
          <w:highlight w:val="none"/>
        </w:rPr>
      </w:pPr>
      <w:r>
        <w:rPr>
          <w:rFonts w:hint="eastAsia"/>
          <w:color w:val="auto"/>
          <w:highlight w:val="none"/>
        </w:rPr>
        <w:t>9.投标文件的组成及相关要求</w:t>
      </w:r>
    </w:p>
    <w:p w14:paraId="11A6FDA2">
      <w:pPr>
        <w:ind w:firstLine="480"/>
        <w:rPr>
          <w:color w:val="auto"/>
          <w:highlight w:val="none"/>
        </w:rPr>
      </w:pPr>
      <w:r>
        <w:rPr>
          <w:rFonts w:hint="eastAsia"/>
          <w:color w:val="auto"/>
          <w:highlight w:val="none"/>
        </w:rPr>
        <w:t>9.1 投标文件分为资格证明文件、商务技术文件和相关附件。</w:t>
      </w:r>
    </w:p>
    <w:p w14:paraId="65BE1475">
      <w:pPr>
        <w:ind w:firstLine="480"/>
        <w:rPr>
          <w:color w:val="auto"/>
          <w:highlight w:val="none"/>
        </w:rPr>
      </w:pPr>
      <w:r>
        <w:rPr>
          <w:rFonts w:hint="eastAsia"/>
          <w:color w:val="auto"/>
          <w:highlight w:val="none"/>
        </w:rPr>
        <w:t>资格证明文件指投标人提交的证明其有资格参加投标和中标后有能力履行合同的文件。</w:t>
      </w:r>
    </w:p>
    <w:p w14:paraId="45500DFD">
      <w:pPr>
        <w:ind w:firstLine="480"/>
        <w:rPr>
          <w:color w:val="auto"/>
          <w:highlight w:val="none"/>
        </w:rPr>
      </w:pPr>
      <w:r>
        <w:rPr>
          <w:rFonts w:hint="eastAsia"/>
          <w:color w:val="auto"/>
          <w:highlight w:val="none"/>
        </w:rPr>
        <w:t>商务技术文件指投标人能提供符合招标文件要求的相应技术服务文件。</w:t>
      </w:r>
    </w:p>
    <w:p w14:paraId="5662E27F">
      <w:pPr>
        <w:ind w:firstLine="480"/>
        <w:rPr>
          <w:color w:val="auto"/>
          <w:highlight w:val="none"/>
        </w:rPr>
      </w:pPr>
      <w:r>
        <w:rPr>
          <w:rFonts w:hint="eastAsia"/>
          <w:color w:val="auto"/>
          <w:highlight w:val="none"/>
        </w:rPr>
        <w:t>相关附件为政府采购政策性评审认定内容，若不适用，可不提供。</w:t>
      </w:r>
    </w:p>
    <w:p w14:paraId="14C87FA8">
      <w:pPr>
        <w:ind w:firstLine="480"/>
        <w:rPr>
          <w:color w:val="auto"/>
          <w:highlight w:val="none"/>
        </w:rPr>
      </w:pPr>
      <w:r>
        <w:rPr>
          <w:rFonts w:hint="eastAsia"/>
          <w:color w:val="auto"/>
          <w:highlight w:val="none"/>
        </w:rPr>
        <w:t>本次招标，投标人应按本招标文件要求提交资格、商务技术文件内容和需要投标人自行编写的其他文件。</w:t>
      </w:r>
    </w:p>
    <w:p w14:paraId="36CF7BCC">
      <w:pPr>
        <w:ind w:firstLine="480"/>
        <w:rPr>
          <w:color w:val="auto"/>
          <w:highlight w:val="none"/>
        </w:rPr>
      </w:pPr>
      <w:r>
        <w:rPr>
          <w:rFonts w:hint="eastAsia"/>
          <w:color w:val="auto"/>
          <w:highlight w:val="none"/>
        </w:rPr>
        <w:t>9.1.1电子投标文件</w:t>
      </w:r>
    </w:p>
    <w:p w14:paraId="284A4381">
      <w:pPr>
        <w:ind w:firstLine="480"/>
        <w:rPr>
          <w:color w:val="auto"/>
          <w:highlight w:val="none"/>
        </w:rPr>
      </w:pPr>
      <w:r>
        <w:rPr>
          <w:rFonts w:hint="eastAsia"/>
          <w:color w:val="auto"/>
          <w:highlight w:val="none"/>
        </w:rPr>
        <w:t>投标人在山西省政府采购网电子投标客户端去制作、编制投标文件，并使用数字证书（CA）按招标文件规定签字、签章。同时使用数字证书（CA）对投标文件进行加密。</w:t>
      </w:r>
    </w:p>
    <w:p w14:paraId="2E6FA94B">
      <w:pPr>
        <w:ind w:firstLine="480"/>
        <w:rPr>
          <w:color w:val="auto"/>
          <w:highlight w:val="none"/>
        </w:rPr>
      </w:pPr>
      <w:r>
        <w:rPr>
          <w:rFonts w:hint="eastAsia"/>
          <w:color w:val="auto"/>
          <w:highlight w:val="none"/>
        </w:rPr>
        <w:t>9.2 投标文件要求内容及编排顺序</w:t>
      </w:r>
    </w:p>
    <w:p w14:paraId="6BEDCFEC">
      <w:pPr>
        <w:ind w:firstLine="480"/>
        <w:rPr>
          <w:color w:val="auto"/>
          <w:highlight w:val="none"/>
        </w:rPr>
      </w:pPr>
      <w:r>
        <w:rPr>
          <w:rFonts w:hint="eastAsia"/>
          <w:color w:val="auto"/>
          <w:highlight w:val="none"/>
        </w:rPr>
        <w:t>投标人应按招标文件第二章“投标人须知前附表”要求，提交资格证明文件和商务技术文件及投标人自行编写的其他文件。</w:t>
      </w:r>
    </w:p>
    <w:p w14:paraId="7FA793F3">
      <w:pPr>
        <w:ind w:firstLine="480"/>
        <w:rPr>
          <w:color w:val="auto"/>
          <w:highlight w:val="none"/>
        </w:rPr>
      </w:pPr>
      <w:r>
        <w:rPr>
          <w:rFonts w:hint="eastAsia"/>
          <w:color w:val="auto"/>
          <w:highlight w:val="none"/>
        </w:rPr>
        <w:t>9.3 投标保证金</w:t>
      </w:r>
    </w:p>
    <w:p w14:paraId="530F0651">
      <w:pPr>
        <w:ind w:firstLine="480"/>
        <w:rPr>
          <w:rFonts w:hint="eastAsia" w:ascii="宋体" w:hAnsi="宋体" w:eastAsia="宋体"/>
          <w:color w:val="auto"/>
          <w:highlight w:val="none"/>
        </w:rPr>
      </w:pPr>
      <w:r>
        <w:rPr>
          <w:rFonts w:hint="eastAsia" w:ascii="宋体" w:hAnsi="宋体" w:eastAsia="宋体"/>
          <w:color w:val="auto"/>
          <w:highlight w:val="none"/>
        </w:rPr>
        <w:t>（1）投标保证金的金额、递交方式，详见投标人须知前附表。</w:t>
      </w:r>
    </w:p>
    <w:p w14:paraId="2EF4495B">
      <w:pPr>
        <w:ind w:firstLine="480"/>
        <w:rPr>
          <w:rFonts w:hint="eastAsia" w:ascii="宋体" w:hAnsi="宋体" w:eastAsia="宋体"/>
          <w:color w:val="auto"/>
          <w:highlight w:val="none"/>
        </w:rPr>
      </w:pPr>
      <w:r>
        <w:rPr>
          <w:rFonts w:hint="eastAsia" w:ascii="宋体" w:hAnsi="宋体" w:eastAsia="宋体"/>
          <w:color w:val="auto"/>
          <w:highlight w:val="none"/>
        </w:rPr>
        <w:t>（2）采购代理机构应当自中标通知书发出之日起5个工作日内退还未中标单位的投标保证金，自政府采购合同签订之日起5个工作日内退还中标单位的投标保证金。</w:t>
      </w:r>
    </w:p>
    <w:p w14:paraId="5DE02FCE">
      <w:pPr>
        <w:ind w:firstLine="480"/>
        <w:rPr>
          <w:rFonts w:hint="eastAsia" w:ascii="宋体" w:hAnsi="宋体" w:eastAsia="宋体"/>
          <w:color w:val="auto"/>
          <w:highlight w:val="none"/>
          <w:lang w:val="en-US" w:eastAsia="zh-CN"/>
        </w:rPr>
      </w:pPr>
      <w:r>
        <w:rPr>
          <w:rFonts w:hint="eastAsia" w:ascii="宋体" w:hAnsi="宋体" w:eastAsia="宋体"/>
          <w:color w:val="auto"/>
          <w:highlight w:val="none"/>
        </w:rPr>
        <w:t>（</w:t>
      </w:r>
      <w:r>
        <w:rPr>
          <w:rFonts w:hint="eastAsia" w:ascii="宋体" w:hAnsi="宋体" w:eastAsia="宋体"/>
          <w:color w:val="auto"/>
          <w:highlight w:val="none"/>
          <w:lang w:val="en-US" w:eastAsia="zh-CN"/>
        </w:rPr>
        <w:t>3</w:t>
      </w:r>
      <w:r>
        <w:rPr>
          <w:rFonts w:hint="eastAsia" w:ascii="宋体" w:hAnsi="宋体" w:eastAsia="宋体"/>
          <w:color w:val="auto"/>
          <w:highlight w:val="none"/>
        </w:rPr>
        <w:t>）</w:t>
      </w:r>
      <w:r>
        <w:rPr>
          <w:rFonts w:hint="eastAsia" w:ascii="宋体" w:hAnsi="宋体" w:eastAsia="宋体"/>
          <w:color w:val="auto"/>
          <w:highlight w:val="none"/>
          <w:lang w:val="en-US" w:eastAsia="zh-CN"/>
        </w:rPr>
        <w:t>发生下列情况之一，保证金将不予退还：</w:t>
      </w:r>
    </w:p>
    <w:p w14:paraId="646EB378">
      <w:pPr>
        <w:ind w:firstLine="480"/>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供应商在提交投标文件截止时间后撤回投标文件的；</w:t>
      </w:r>
    </w:p>
    <w:p w14:paraId="1B2DA8C2">
      <w:pPr>
        <w:ind w:firstLine="480"/>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供应商在投标文件中提供虚假材料的；</w:t>
      </w:r>
    </w:p>
    <w:p w14:paraId="4E265F5D">
      <w:pPr>
        <w:ind w:firstLine="480"/>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除因不可抗力或招标文件认可的情形以外，中标（成交）人不与采购人签订合同的；</w:t>
      </w:r>
    </w:p>
    <w:p w14:paraId="2AB92D9A">
      <w:pPr>
        <w:ind w:firstLine="480"/>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供应商与采购人、其他供应商或者采购代理机构恶意串通的；</w:t>
      </w:r>
    </w:p>
    <w:p w14:paraId="00DEE8E3">
      <w:pPr>
        <w:ind w:firstLine="480"/>
        <w:rPr>
          <w:color w:val="auto"/>
          <w:highlight w:val="none"/>
        </w:rPr>
      </w:pPr>
      <w:r>
        <w:rPr>
          <w:rFonts w:hint="eastAsia" w:ascii="宋体" w:hAnsi="宋体" w:eastAsia="宋体"/>
          <w:color w:val="auto"/>
          <w:highlight w:val="none"/>
          <w:lang w:val="en-US" w:eastAsia="zh-CN"/>
        </w:rPr>
        <w:t>招标文件规定的其他情形。</w:t>
      </w:r>
    </w:p>
    <w:p w14:paraId="0C1C0D0E">
      <w:pPr>
        <w:ind w:firstLine="480"/>
        <w:rPr>
          <w:color w:val="auto"/>
          <w:highlight w:val="none"/>
        </w:rPr>
      </w:pPr>
      <w:r>
        <w:rPr>
          <w:rFonts w:hint="eastAsia"/>
          <w:color w:val="auto"/>
          <w:highlight w:val="none"/>
        </w:rPr>
        <w:t>9.4投标报价</w:t>
      </w:r>
    </w:p>
    <w:p w14:paraId="7EDB6331">
      <w:pPr>
        <w:ind w:firstLine="480"/>
        <w:rPr>
          <w:color w:val="auto"/>
          <w:highlight w:val="none"/>
        </w:rPr>
      </w:pPr>
      <w:r>
        <w:rPr>
          <w:rFonts w:hint="eastAsia"/>
          <w:color w:val="auto"/>
          <w:highlight w:val="none"/>
        </w:rPr>
        <w:t>（1）所有投标报价均以人民币元为计算单位。只要投报了一个确定数额的总价，无论分项价格是否全部填报了相应的金额或免费字样，报价均被视为已经包含了但并不限于各项服务内容、验收、保险和相关服务等的费用。在其它情况下，由于分项报价填报不完整、不清楚或存在其它任何失误，所导致的任何不利后果均应当由投标人自行承担。</w:t>
      </w:r>
    </w:p>
    <w:p w14:paraId="774C9931">
      <w:pPr>
        <w:ind w:firstLine="480"/>
        <w:rPr>
          <w:color w:val="auto"/>
          <w:highlight w:val="none"/>
        </w:rPr>
      </w:pPr>
      <w:r>
        <w:rPr>
          <w:rFonts w:hint="eastAsia"/>
          <w:color w:val="auto"/>
          <w:highlight w:val="none"/>
        </w:rPr>
        <w:t>投标报价为最终报价，除非因特殊原因并经双方协商同意，投标人不得再要求追加任何费用。同时，除非合同条款中另有规定，否则投标人所报价格在合同实施期间不因国家政策变化而变化。</w:t>
      </w:r>
    </w:p>
    <w:p w14:paraId="4CDFA4EE">
      <w:pPr>
        <w:ind w:firstLine="480"/>
        <w:rPr>
          <w:color w:val="auto"/>
          <w:highlight w:val="none"/>
        </w:rPr>
      </w:pPr>
      <w:r>
        <w:rPr>
          <w:rFonts w:hint="eastAsia"/>
          <w:color w:val="auto"/>
          <w:highlight w:val="none"/>
        </w:rPr>
        <w:t>（2）本次招标不接受可选择或可调整的投标和报价。</w:t>
      </w:r>
    </w:p>
    <w:p w14:paraId="04DA8E55">
      <w:pPr>
        <w:ind w:firstLine="480"/>
        <w:rPr>
          <w:color w:val="auto"/>
          <w:highlight w:val="none"/>
        </w:rPr>
      </w:pPr>
      <w:r>
        <w:rPr>
          <w:rFonts w:hint="eastAsia"/>
          <w:color w:val="auto"/>
          <w:highlight w:val="none"/>
        </w:rPr>
        <w:t>（3）投标人要按投标内容要求填写开标一览表，并由法定代表人或投标人代表签署。</w:t>
      </w:r>
    </w:p>
    <w:p w14:paraId="1DD7FE1F">
      <w:pPr>
        <w:ind w:firstLine="480"/>
        <w:rPr>
          <w:color w:val="auto"/>
          <w:highlight w:val="none"/>
        </w:rPr>
      </w:pPr>
      <w:r>
        <w:rPr>
          <w:rFonts w:hint="eastAsia"/>
          <w:color w:val="auto"/>
          <w:highlight w:val="none"/>
        </w:rPr>
        <w:t>（4）投标人对投标报价若有说明应在开标一览表显著处注明，只有开标时唱出的报价优惠承诺才会在评标时予以考虑。</w:t>
      </w:r>
    </w:p>
    <w:p w14:paraId="736430C2">
      <w:pPr>
        <w:ind w:firstLine="480"/>
        <w:rPr>
          <w:color w:val="auto"/>
          <w:highlight w:val="none"/>
        </w:rPr>
      </w:pPr>
      <w:r>
        <w:rPr>
          <w:rFonts w:hint="eastAsia"/>
          <w:color w:val="auto"/>
          <w:highlight w:val="none"/>
        </w:rPr>
        <w:t>（5）投标的报价优惠承诺应对开标一览表、分项价格表等提供相应的明细清单。除报价优惠承诺外，任何超出招标文件要求而额外赠送的服务、货物、免费培训等其他形式的优惠，在评标时将不作为价格折算的必备条件。</w:t>
      </w:r>
    </w:p>
    <w:p w14:paraId="36BAC3A5">
      <w:pPr>
        <w:ind w:firstLine="480"/>
        <w:rPr>
          <w:color w:val="auto"/>
          <w:highlight w:val="none"/>
        </w:rPr>
      </w:pPr>
      <w:r>
        <w:rPr>
          <w:rFonts w:hint="eastAsia"/>
          <w:color w:val="auto"/>
          <w:highlight w:val="none"/>
        </w:rPr>
        <w:t>（6）最低报价不作为中标的保证。</w:t>
      </w:r>
    </w:p>
    <w:p w14:paraId="61F212DB">
      <w:pPr>
        <w:ind w:firstLine="480"/>
        <w:rPr>
          <w:color w:val="auto"/>
          <w:highlight w:val="none"/>
        </w:rPr>
      </w:pPr>
      <w:r>
        <w:rPr>
          <w:rFonts w:hint="eastAsia"/>
          <w:color w:val="auto"/>
          <w:highlight w:val="none"/>
        </w:rPr>
        <w:t>9.5本次招标不接受备选方案。只允许投标人有一个投标方案，否则将被视为无效投标。</w:t>
      </w:r>
    </w:p>
    <w:p w14:paraId="2EEA8365">
      <w:pPr>
        <w:pStyle w:val="7"/>
        <w:spacing w:before="156" w:after="31"/>
        <w:ind w:firstLine="482"/>
        <w:rPr>
          <w:color w:val="auto"/>
          <w:highlight w:val="none"/>
        </w:rPr>
      </w:pPr>
      <w:r>
        <w:rPr>
          <w:rFonts w:hint="eastAsia"/>
          <w:color w:val="auto"/>
          <w:highlight w:val="none"/>
        </w:rPr>
        <w:t>10.投标内容填写说明</w:t>
      </w:r>
    </w:p>
    <w:p w14:paraId="50C0A02F">
      <w:pPr>
        <w:ind w:firstLine="480"/>
        <w:rPr>
          <w:color w:val="auto"/>
          <w:highlight w:val="none"/>
        </w:rPr>
      </w:pPr>
      <w:r>
        <w:rPr>
          <w:rFonts w:hint="eastAsia"/>
          <w:color w:val="auto"/>
          <w:highlight w:val="none"/>
        </w:rPr>
        <w:t>10.1投标人应详细阅读招标文件的全部内容。投标文件须对招标文件中的内容做出实质性和完整性的响应。</w:t>
      </w:r>
    </w:p>
    <w:p w14:paraId="5811285B">
      <w:pPr>
        <w:ind w:firstLine="480"/>
        <w:rPr>
          <w:color w:val="auto"/>
          <w:highlight w:val="none"/>
        </w:rPr>
      </w:pPr>
      <w:r>
        <w:rPr>
          <w:rFonts w:hint="eastAsia"/>
          <w:color w:val="auto"/>
          <w:highlight w:val="none"/>
        </w:rPr>
        <w:t>10.2投标人照搬照抄招标文件技术、商务要求，并未提供技术资料或提供资料不详的，评标委员会有权决定是否通知投标人限时进行书面解释或提供相关证明材料。若已要求，而该投标人在规定期限内未做出解释、做出的解释不合理或不能提供证明材料的，评标委员会有权拒绝该投标。</w:t>
      </w:r>
    </w:p>
    <w:p w14:paraId="350BE702">
      <w:pPr>
        <w:ind w:firstLine="480"/>
        <w:rPr>
          <w:color w:val="auto"/>
          <w:highlight w:val="none"/>
        </w:rPr>
      </w:pPr>
      <w:r>
        <w:rPr>
          <w:rFonts w:hint="eastAsia"/>
          <w:color w:val="auto"/>
          <w:highlight w:val="none"/>
        </w:rPr>
        <w:t>10.3投标人须注意：</w:t>
      </w:r>
      <w:r>
        <w:rPr>
          <w:color w:val="auto"/>
          <w:highlight w:val="none"/>
        </w:rPr>
        <w:t>为合理节约政府采购评审成本，提倡诚实信用，特别要求</w:t>
      </w:r>
      <w:r>
        <w:rPr>
          <w:rFonts w:hint="eastAsia"/>
          <w:color w:val="auto"/>
          <w:highlight w:val="none"/>
        </w:rPr>
        <w:t>投标人</w:t>
      </w:r>
      <w:r>
        <w:rPr>
          <w:color w:val="auto"/>
          <w:highlight w:val="none"/>
        </w:rPr>
        <w:t>应本着诚信精神，在本次投标文件的</w:t>
      </w:r>
      <w:r>
        <w:rPr>
          <w:rFonts w:hint="eastAsia"/>
          <w:color w:val="auto"/>
          <w:highlight w:val="none"/>
        </w:rPr>
        <w:t>商务条款响应表和技术指标响应状况偏离表中</w:t>
      </w:r>
      <w:r>
        <w:rPr>
          <w:color w:val="auto"/>
          <w:highlight w:val="none"/>
        </w:rPr>
        <w:t>以审慎的态度明确、清楚地披露各项偏离。若</w:t>
      </w:r>
      <w:r>
        <w:rPr>
          <w:rFonts w:hint="eastAsia"/>
          <w:color w:val="auto"/>
          <w:highlight w:val="none"/>
        </w:rPr>
        <w:t>投标人</w:t>
      </w:r>
      <w:r>
        <w:rPr>
          <w:color w:val="auto"/>
          <w:highlight w:val="none"/>
        </w:rPr>
        <w:t>对某一事项是否存在或是否属于偏离不能确定，亦必须在偏离表中清楚地表明该偏离事项，并可以注明“不能确定”的字样。</w:t>
      </w:r>
    </w:p>
    <w:p w14:paraId="1229D715">
      <w:pPr>
        <w:ind w:firstLine="480"/>
        <w:rPr>
          <w:color w:val="auto"/>
          <w:highlight w:val="none"/>
        </w:rPr>
      </w:pPr>
      <w:r>
        <w:rPr>
          <w:rFonts w:hint="eastAsia"/>
          <w:color w:val="auto"/>
          <w:highlight w:val="none"/>
        </w:rPr>
        <w:t>10.4投标文件应严格按照招标文件第六章的要求提交，并按规定的统一格式逐项填写，不准有空项；无相应内容可填的项应填写“无”、“未测试”、“没有相应指标”等明确的回答文字。投标文件未按规定提交或留有空项，将被视为不完整响应的投标文件，其投标有可能被拒绝。</w:t>
      </w:r>
    </w:p>
    <w:p w14:paraId="1241CDBC">
      <w:pPr>
        <w:ind w:firstLine="480"/>
        <w:rPr>
          <w:color w:val="auto"/>
          <w:highlight w:val="none"/>
        </w:rPr>
      </w:pPr>
      <w:r>
        <w:rPr>
          <w:rFonts w:hint="eastAsia"/>
          <w:color w:val="auto"/>
          <w:highlight w:val="none"/>
        </w:rPr>
        <w:t>10.5开标一览表为在开标仪式上唱标的内容，要求按格式统一填写，不得自行增减内容。</w:t>
      </w:r>
    </w:p>
    <w:p w14:paraId="6DFBF042">
      <w:pPr>
        <w:ind w:firstLine="480"/>
        <w:rPr>
          <w:color w:val="auto"/>
          <w:highlight w:val="none"/>
        </w:rPr>
      </w:pPr>
      <w:r>
        <w:rPr>
          <w:rFonts w:hint="eastAsia"/>
          <w:color w:val="auto"/>
          <w:highlight w:val="none"/>
        </w:rPr>
        <w:t>10.6投标人必须保证投标文件所提供的全部资料真实可靠，并接受评标委员会对其中任何资料进一步审查的要求。</w:t>
      </w:r>
    </w:p>
    <w:p w14:paraId="5F51CB25">
      <w:pPr>
        <w:ind w:firstLine="480"/>
        <w:rPr>
          <w:color w:val="auto"/>
          <w:highlight w:val="none"/>
        </w:rPr>
      </w:pPr>
      <w:r>
        <w:rPr>
          <w:rFonts w:hint="eastAsia"/>
          <w:color w:val="auto"/>
          <w:highlight w:val="none"/>
        </w:rPr>
        <w:t>10.7因投标文件字迹潦草或表达不清所引起的不利后果由投标人承担。</w:t>
      </w:r>
    </w:p>
    <w:p w14:paraId="66C3A762">
      <w:pPr>
        <w:pStyle w:val="7"/>
        <w:spacing w:before="156" w:after="31"/>
        <w:ind w:firstLine="482"/>
        <w:rPr>
          <w:color w:val="auto"/>
          <w:highlight w:val="none"/>
        </w:rPr>
      </w:pPr>
      <w:r>
        <w:rPr>
          <w:rFonts w:hint="eastAsia"/>
          <w:color w:val="auto"/>
          <w:highlight w:val="none"/>
        </w:rPr>
        <w:t>11.投标文件的有效期</w:t>
      </w:r>
    </w:p>
    <w:p w14:paraId="3A967523">
      <w:pPr>
        <w:ind w:firstLine="480"/>
        <w:rPr>
          <w:color w:val="auto"/>
          <w:highlight w:val="none"/>
        </w:rPr>
      </w:pPr>
      <w:r>
        <w:rPr>
          <w:rFonts w:hint="eastAsia"/>
          <w:color w:val="auto"/>
          <w:highlight w:val="none"/>
        </w:rPr>
        <w:t>11.1本项目投标文件的有效期详见投标人须知前附表。有效期短于该规定期限的投标将被拒绝。</w:t>
      </w:r>
    </w:p>
    <w:p w14:paraId="7F3D0CB0">
      <w:pPr>
        <w:ind w:firstLine="480"/>
        <w:rPr>
          <w:color w:val="auto"/>
          <w:highlight w:val="none"/>
        </w:rPr>
      </w:pPr>
      <w:r>
        <w:rPr>
          <w:rFonts w:hint="eastAsia"/>
          <w:color w:val="auto"/>
          <w:highlight w:val="none"/>
        </w:rPr>
        <w:t>11.2在特殊情况下，采购人在原定投标文件有效期内可以根据需要向投标人提出延长投标文件有效期的要求，投标人应立即以传真等书面形式对此要求向采购人作出答复；投标人可以拒绝采购人的要求而不会因此被没收投标保证金。同意延期的投标人应相应延长投标保证金的有效期，但不得因此而提出修改投标文件的要求。在延长期内，本须知第9.4条关于投标保证金的退还与没收的规定仍然适用。</w:t>
      </w:r>
    </w:p>
    <w:p w14:paraId="22F9C9D5">
      <w:pPr>
        <w:keepNext/>
        <w:keepLines/>
        <w:widowControl/>
        <w:spacing w:before="156" w:beforeLines="50" w:after="31" w:afterLines="10"/>
        <w:ind w:firstLine="482"/>
        <w:jc w:val="left"/>
        <w:outlineLvl w:val="2"/>
        <w:rPr>
          <w:b/>
          <w:color w:val="auto"/>
          <w:szCs w:val="32"/>
          <w:highlight w:val="none"/>
        </w:rPr>
      </w:pPr>
      <w:r>
        <w:rPr>
          <w:rFonts w:hint="eastAsia"/>
          <w:b/>
          <w:color w:val="auto"/>
          <w:szCs w:val="32"/>
          <w:highlight w:val="none"/>
        </w:rPr>
        <w:t>12.投标文件的签署及规定</w:t>
      </w:r>
    </w:p>
    <w:p w14:paraId="2553573E">
      <w:pPr>
        <w:ind w:firstLine="480"/>
        <w:rPr>
          <w:color w:val="auto"/>
          <w:highlight w:val="none"/>
        </w:rPr>
      </w:pPr>
      <w:r>
        <w:rPr>
          <w:rFonts w:hint="eastAsia"/>
          <w:color w:val="auto"/>
          <w:highlight w:val="none"/>
        </w:rPr>
        <w:t>12.1组成投标文件的各项文件均应遵守本条。</w:t>
      </w:r>
    </w:p>
    <w:p w14:paraId="3D53DD93">
      <w:pPr>
        <w:ind w:firstLine="480"/>
        <w:rPr>
          <w:color w:val="auto"/>
          <w:highlight w:val="none"/>
        </w:rPr>
      </w:pPr>
      <w:r>
        <w:rPr>
          <w:rFonts w:hint="eastAsia"/>
          <w:color w:val="auto"/>
          <w:highlight w:val="none"/>
        </w:rPr>
        <w:t>12.2投标人在投标文件及相关文件的签订、履行、通知等事项的书面文件中的“单位盖章”、“印章”、“公章”等处均仅指与当事人名称全称相一致的标准公章，不得使用其它（如带有“专用章”等字样）的印章。</w:t>
      </w:r>
    </w:p>
    <w:p w14:paraId="79786B13">
      <w:pPr>
        <w:ind w:firstLine="480"/>
        <w:rPr>
          <w:color w:val="auto"/>
          <w:highlight w:val="none"/>
        </w:rPr>
      </w:pPr>
      <w:r>
        <w:rPr>
          <w:rFonts w:hint="eastAsia"/>
          <w:color w:val="auto"/>
          <w:highlight w:val="none"/>
        </w:rPr>
        <w:t>12.3投标人应按照招标文件要求，在每一份投标文件的封面下方以及其他招标文件要求的位置填写投标人全称并加盖公章，同时在该处签署法定代表人（或负责人）或投标人代表的全名或加盖本人签名章。</w:t>
      </w:r>
    </w:p>
    <w:p w14:paraId="295BC22F">
      <w:pPr>
        <w:ind w:firstLine="480"/>
        <w:rPr>
          <w:color w:val="auto"/>
          <w:highlight w:val="none"/>
        </w:rPr>
      </w:pPr>
      <w:r>
        <w:rPr>
          <w:rFonts w:hint="eastAsia"/>
          <w:color w:val="auto"/>
          <w:highlight w:val="none"/>
        </w:rPr>
        <w:t>12.4投标人应按本招标文件所要求的投标文件的份数提交投标文件。</w:t>
      </w:r>
    </w:p>
    <w:p w14:paraId="7091ECAC">
      <w:pPr>
        <w:ind w:firstLine="480"/>
        <w:rPr>
          <w:color w:val="auto"/>
          <w:highlight w:val="none"/>
        </w:rPr>
      </w:pPr>
      <w:r>
        <w:rPr>
          <w:rFonts w:hint="eastAsia"/>
          <w:color w:val="auto"/>
          <w:highlight w:val="none"/>
        </w:rPr>
        <w:t>（1）投标人应保证投标文件内容严格一致；</w:t>
      </w:r>
    </w:p>
    <w:p w14:paraId="29DD5632">
      <w:pPr>
        <w:ind w:firstLine="480"/>
        <w:rPr>
          <w:color w:val="auto"/>
          <w:highlight w:val="none"/>
        </w:rPr>
      </w:pPr>
      <w:r>
        <w:rPr>
          <w:rFonts w:hint="eastAsia"/>
          <w:color w:val="auto"/>
          <w:highlight w:val="none"/>
        </w:rPr>
        <w:t>（2）投标人对本招标文件第六章“投标文件格式”中提供格式的资料，必须按照样表格式要求在指定位置加盖与投标人全称相一致的标准公章并经法定代表人（或负责人）或投标人代表签字或盖章，否则按投标无效处理。</w:t>
      </w:r>
    </w:p>
    <w:p w14:paraId="1E1E7D4F">
      <w:pPr>
        <w:ind w:firstLine="480"/>
        <w:rPr>
          <w:color w:val="auto"/>
          <w:highlight w:val="none"/>
        </w:rPr>
      </w:pPr>
      <w:r>
        <w:rPr>
          <w:rFonts w:hint="eastAsia"/>
          <w:color w:val="auto"/>
          <w:highlight w:val="none"/>
        </w:rPr>
        <w:t>12.5投标文件应字迹清楚、内容齐全、不得涂改或增删。如有修改和增删，必须有投标人公章及法定代表人（或负责人）或其授权的投标人代表签字或盖章。</w:t>
      </w:r>
    </w:p>
    <w:p w14:paraId="5204EFF7">
      <w:pPr>
        <w:pStyle w:val="6"/>
        <w:spacing w:before="234" w:after="46"/>
        <w:rPr>
          <w:rFonts w:hint="eastAsia" w:eastAsia="宋体"/>
          <w:color w:val="auto"/>
          <w:highlight w:val="none"/>
          <w:lang w:val="en-US" w:eastAsia="zh-CN"/>
        </w:rPr>
      </w:pPr>
      <w:r>
        <w:rPr>
          <w:rFonts w:hint="eastAsia"/>
          <w:color w:val="auto"/>
          <w:highlight w:val="none"/>
        </w:rPr>
        <w:t>四、投标文件的</w:t>
      </w:r>
      <w:r>
        <w:rPr>
          <w:rFonts w:hint="eastAsia"/>
          <w:color w:val="auto"/>
          <w:highlight w:val="none"/>
          <w:lang w:val="en-US" w:eastAsia="zh-CN"/>
        </w:rPr>
        <w:t>解密</w:t>
      </w:r>
    </w:p>
    <w:p w14:paraId="6556DEC0">
      <w:pPr>
        <w:keepLines/>
        <w:tabs>
          <w:tab w:val="left" w:pos="567"/>
        </w:tabs>
        <w:snapToGrid w:val="0"/>
        <w:spacing w:line="360" w:lineRule="auto"/>
        <w:ind w:firstLine="480" w:firstLineChars="200"/>
        <w:rPr>
          <w:rFonts w:hint="default" w:eastAsia="宋体"/>
          <w:color w:val="auto"/>
          <w:kern w:val="0"/>
          <w:sz w:val="24"/>
          <w:highlight w:val="none"/>
          <w:lang w:val="en-US" w:eastAsia="zh-CN"/>
        </w:rPr>
      </w:pPr>
      <w:r>
        <w:rPr>
          <w:rFonts w:hint="eastAsia"/>
          <w:color w:val="auto"/>
          <w:kern w:val="0"/>
          <w:sz w:val="24"/>
          <w:highlight w:val="none"/>
          <w:lang w:val="en-US" w:eastAsia="zh-CN"/>
        </w:rPr>
        <w:t>13 投标文件的解密</w:t>
      </w:r>
    </w:p>
    <w:p w14:paraId="6DA3F370">
      <w:pPr>
        <w:keepLines/>
        <w:tabs>
          <w:tab w:val="left" w:pos="567"/>
        </w:tabs>
        <w:snapToGrid w:val="0"/>
        <w:spacing w:line="360" w:lineRule="auto"/>
        <w:ind w:firstLine="480" w:firstLineChars="200"/>
        <w:rPr>
          <w:bCs/>
          <w:color w:val="auto"/>
          <w:kern w:val="0"/>
          <w:sz w:val="24"/>
          <w:highlight w:val="none"/>
        </w:rPr>
      </w:pPr>
      <w:r>
        <w:rPr>
          <w:rFonts w:hint="eastAsia"/>
          <w:color w:val="auto"/>
          <w:kern w:val="0"/>
          <w:sz w:val="24"/>
          <w:highlight w:val="none"/>
          <w:lang w:val="en-US" w:eastAsia="zh-CN"/>
        </w:rPr>
        <w:t>13</w:t>
      </w:r>
      <w:r>
        <w:rPr>
          <w:color w:val="auto"/>
          <w:kern w:val="0"/>
          <w:sz w:val="24"/>
          <w:highlight w:val="none"/>
        </w:rPr>
        <w:t>.1采购代理机构在开启时间止发出解密指令，供应商接到解密信息后，在规定的解密时间内使用加密电子文件时的电子CA进行</w:t>
      </w:r>
      <w:r>
        <w:rPr>
          <w:bCs/>
          <w:color w:val="auto"/>
          <w:kern w:val="0"/>
          <w:sz w:val="24"/>
          <w:highlight w:val="none"/>
        </w:rPr>
        <w:t>解密（远程解密）。</w:t>
      </w:r>
    </w:p>
    <w:p w14:paraId="0D78CDEE">
      <w:pPr>
        <w:keepLines/>
        <w:tabs>
          <w:tab w:val="left" w:pos="567"/>
        </w:tabs>
        <w:snapToGrid w:val="0"/>
        <w:spacing w:line="360" w:lineRule="auto"/>
        <w:ind w:firstLine="480" w:firstLineChars="200"/>
        <w:rPr>
          <w:color w:val="auto"/>
          <w:kern w:val="0"/>
          <w:sz w:val="24"/>
          <w:highlight w:val="none"/>
        </w:rPr>
      </w:pPr>
      <w:r>
        <w:rPr>
          <w:rFonts w:hint="eastAsia"/>
          <w:bCs/>
          <w:color w:val="auto"/>
          <w:kern w:val="0"/>
          <w:sz w:val="24"/>
          <w:highlight w:val="none"/>
          <w:lang w:val="en-US" w:eastAsia="zh-CN"/>
        </w:rPr>
        <w:t>13</w:t>
      </w:r>
      <w:r>
        <w:rPr>
          <w:bCs/>
          <w:color w:val="auto"/>
          <w:kern w:val="0"/>
          <w:sz w:val="24"/>
          <w:highlight w:val="none"/>
        </w:rPr>
        <w:t>.2解密截止时间后，供应商将无法对</w:t>
      </w:r>
      <w:r>
        <w:rPr>
          <w:rFonts w:hint="eastAsia"/>
          <w:bCs/>
          <w:color w:val="auto"/>
          <w:kern w:val="0"/>
          <w:sz w:val="24"/>
          <w:highlight w:val="none"/>
          <w:lang w:eastAsia="zh-CN"/>
        </w:rPr>
        <w:t>投标文件</w:t>
      </w:r>
      <w:r>
        <w:rPr>
          <w:bCs/>
          <w:color w:val="auto"/>
          <w:kern w:val="0"/>
          <w:sz w:val="24"/>
          <w:highlight w:val="none"/>
        </w:rPr>
        <w:t>进行解密。除特殊情形需请示财政部门采用其他方式外，代理机构不得以任何理由延期解密。</w:t>
      </w:r>
    </w:p>
    <w:p w14:paraId="39542155">
      <w:pPr>
        <w:keepLines/>
        <w:tabs>
          <w:tab w:val="left" w:pos="567"/>
        </w:tabs>
        <w:snapToGrid w:val="0"/>
        <w:spacing w:line="360" w:lineRule="auto"/>
        <w:ind w:firstLine="480" w:firstLineChars="200"/>
        <w:jc w:val="left"/>
        <w:rPr>
          <w:color w:val="auto"/>
          <w:kern w:val="0"/>
          <w:sz w:val="24"/>
          <w:highlight w:val="none"/>
        </w:rPr>
      </w:pPr>
      <w:r>
        <w:rPr>
          <w:rFonts w:hint="eastAsia"/>
          <w:bCs/>
          <w:color w:val="auto"/>
          <w:kern w:val="0"/>
          <w:sz w:val="24"/>
          <w:highlight w:val="none"/>
          <w:lang w:val="en-US" w:eastAsia="zh-CN"/>
        </w:rPr>
        <w:t>13</w:t>
      </w:r>
      <w:r>
        <w:rPr>
          <w:bCs/>
          <w:color w:val="auto"/>
          <w:kern w:val="0"/>
          <w:sz w:val="24"/>
          <w:highlight w:val="none"/>
        </w:rPr>
        <w:t>.3</w:t>
      </w:r>
      <w:r>
        <w:rPr>
          <w:color w:val="auto"/>
          <w:kern w:val="0"/>
          <w:sz w:val="24"/>
          <w:highlight w:val="none"/>
        </w:rPr>
        <w:t>在</w:t>
      </w:r>
      <w:r>
        <w:rPr>
          <w:rFonts w:hint="eastAsia"/>
          <w:color w:val="auto"/>
          <w:kern w:val="0"/>
          <w:sz w:val="24"/>
          <w:highlight w:val="none"/>
          <w:lang w:eastAsia="zh-CN"/>
        </w:rPr>
        <w:t>投标文件</w:t>
      </w:r>
      <w:r>
        <w:rPr>
          <w:color w:val="auto"/>
          <w:kern w:val="0"/>
          <w:sz w:val="24"/>
          <w:highlight w:val="none"/>
        </w:rPr>
        <w:t>解密截止时间后</w:t>
      </w:r>
      <w:r>
        <w:rPr>
          <w:bCs/>
          <w:color w:val="auto"/>
          <w:kern w:val="0"/>
          <w:sz w:val="24"/>
          <w:highlight w:val="none"/>
        </w:rPr>
        <w:t>完成解密的</w:t>
      </w:r>
      <w:r>
        <w:rPr>
          <w:color w:val="auto"/>
          <w:kern w:val="0"/>
          <w:sz w:val="24"/>
          <w:highlight w:val="none"/>
        </w:rPr>
        <w:t>供应商不足法定</w:t>
      </w:r>
      <w:r>
        <w:rPr>
          <w:rFonts w:hint="eastAsia"/>
          <w:color w:val="auto"/>
          <w:kern w:val="0"/>
          <w:sz w:val="24"/>
          <w:highlight w:val="none"/>
          <w:lang w:val="en-US" w:eastAsia="zh-CN"/>
        </w:rPr>
        <w:t>开标</w:t>
      </w:r>
      <w:r>
        <w:rPr>
          <w:color w:val="auto"/>
          <w:kern w:val="0"/>
          <w:sz w:val="24"/>
          <w:highlight w:val="none"/>
        </w:rPr>
        <w:t>家数时，不得进行下一步评审程序。</w:t>
      </w:r>
    </w:p>
    <w:p w14:paraId="55709DDE">
      <w:pPr>
        <w:keepLines/>
        <w:tabs>
          <w:tab w:val="left" w:pos="567"/>
        </w:tabs>
        <w:snapToGrid w:val="0"/>
        <w:spacing w:line="360" w:lineRule="auto"/>
        <w:ind w:firstLine="480" w:firstLineChars="200"/>
        <w:jc w:val="left"/>
        <w:rPr>
          <w:rFonts w:hint="default" w:eastAsia="宋体"/>
          <w:color w:val="auto"/>
          <w:kern w:val="0"/>
          <w:sz w:val="24"/>
          <w:highlight w:val="none"/>
          <w:lang w:val="en-US" w:eastAsia="zh-CN"/>
        </w:rPr>
      </w:pPr>
      <w:r>
        <w:rPr>
          <w:rFonts w:hint="eastAsia"/>
          <w:color w:val="auto"/>
          <w:kern w:val="0"/>
          <w:sz w:val="24"/>
          <w:highlight w:val="none"/>
          <w:lang w:val="en-US" w:eastAsia="zh-CN"/>
        </w:rPr>
        <w:t>13.4</w:t>
      </w:r>
      <w:r>
        <w:rPr>
          <w:color w:val="auto"/>
          <w:kern w:val="0"/>
          <w:sz w:val="24"/>
          <w:highlight w:val="none"/>
        </w:rPr>
        <w:t>供应商应当在</w:t>
      </w:r>
      <w:r>
        <w:rPr>
          <w:rFonts w:hint="eastAsia"/>
          <w:color w:val="auto"/>
          <w:kern w:val="0"/>
          <w:sz w:val="24"/>
          <w:highlight w:val="none"/>
          <w:lang w:eastAsia="zh-CN"/>
        </w:rPr>
        <w:t>招标</w:t>
      </w:r>
      <w:r>
        <w:rPr>
          <w:color w:val="auto"/>
          <w:kern w:val="0"/>
          <w:sz w:val="24"/>
          <w:highlight w:val="none"/>
        </w:rPr>
        <w:t>文件要求的首次</w:t>
      </w:r>
      <w:r>
        <w:rPr>
          <w:rFonts w:hint="eastAsia"/>
          <w:color w:val="auto"/>
          <w:kern w:val="0"/>
          <w:sz w:val="24"/>
          <w:highlight w:val="none"/>
          <w:lang w:eastAsia="zh-CN"/>
        </w:rPr>
        <w:t>投标文件</w:t>
      </w:r>
      <w:r>
        <w:rPr>
          <w:color w:val="auto"/>
          <w:kern w:val="0"/>
          <w:sz w:val="24"/>
          <w:highlight w:val="none"/>
        </w:rPr>
        <w:t>解密时间内，未完成解密的，视为供应商退回</w:t>
      </w:r>
      <w:r>
        <w:rPr>
          <w:rFonts w:hint="eastAsia"/>
          <w:color w:val="auto"/>
          <w:kern w:val="0"/>
          <w:sz w:val="24"/>
          <w:highlight w:val="none"/>
          <w:lang w:eastAsia="zh-CN"/>
        </w:rPr>
        <w:t>投标文件</w:t>
      </w:r>
      <w:r>
        <w:rPr>
          <w:color w:val="auto"/>
          <w:kern w:val="0"/>
          <w:sz w:val="24"/>
          <w:highlight w:val="none"/>
        </w:rPr>
        <w:t>。</w:t>
      </w:r>
    </w:p>
    <w:p w14:paraId="7E4A6ADF">
      <w:pPr>
        <w:snapToGrid w:val="0"/>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．提交首次</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文件截止时间</w:t>
      </w:r>
    </w:p>
    <w:p w14:paraId="7AC54C47">
      <w:pPr>
        <w:snapToGrid w:val="0"/>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14.1</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应在</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文件前附表规定的提交</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文件截止时间前将</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文件提交至政采云平台。</w:t>
      </w:r>
    </w:p>
    <w:p w14:paraId="489EF2DB">
      <w:pPr>
        <w:snapToGrid w:val="0"/>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14.2 </w:t>
      </w:r>
      <w:r>
        <w:rPr>
          <w:rFonts w:hint="eastAsia" w:ascii="宋体" w:hAnsi="宋体" w:eastAsia="宋体" w:cs="宋体"/>
          <w:color w:val="auto"/>
          <w:sz w:val="24"/>
          <w:szCs w:val="24"/>
          <w:highlight w:val="none"/>
        </w:rPr>
        <w:t>在提交</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截止时间后</w:t>
      </w:r>
      <w:r>
        <w:rPr>
          <w:rFonts w:hint="eastAsia" w:ascii="宋体" w:hAnsi="宋体" w:eastAsia="宋体" w:cs="宋体"/>
          <w:color w:val="auto"/>
          <w:sz w:val="24"/>
          <w:szCs w:val="24"/>
          <w:highlight w:val="none"/>
          <w:lang w:val="en-US" w:eastAsia="zh-CN"/>
        </w:rPr>
        <w:t>上传</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，代理机构将拒绝接受。</w:t>
      </w:r>
    </w:p>
    <w:p w14:paraId="1C4009BA">
      <w:pPr>
        <w:snapToGrid w:val="0"/>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的修改和撤回</w:t>
      </w:r>
    </w:p>
    <w:p w14:paraId="63E48AFB">
      <w:pPr>
        <w:snapToGrid w:val="0"/>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15.1</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在提交</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截止时间前可对其进行撤回。</w:t>
      </w:r>
    </w:p>
    <w:p w14:paraId="2753BF41">
      <w:pPr>
        <w:snapToGrid w:val="0"/>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15.2 </w:t>
      </w:r>
      <w:r>
        <w:rPr>
          <w:rFonts w:hint="eastAsia" w:ascii="宋体" w:hAnsi="宋体" w:eastAsia="宋体" w:cs="宋体"/>
          <w:color w:val="auto"/>
          <w:sz w:val="24"/>
          <w:szCs w:val="24"/>
          <w:highlight w:val="none"/>
        </w:rPr>
        <w:t>无论成交结果如何（因提交</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的供应商不足3家而采购失败的情况除外），收到的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，均不退还。</w:t>
      </w:r>
    </w:p>
    <w:p w14:paraId="2CC4D417">
      <w:pPr>
        <w:keepNext/>
        <w:keepLines/>
        <w:spacing w:before="234" w:beforeLines="75" w:after="46" w:afterLines="15"/>
        <w:ind w:firstLine="0" w:firstLineChars="0"/>
        <w:jc w:val="center"/>
        <w:outlineLvl w:val="1"/>
        <w:rPr>
          <w:b/>
          <w:color w:val="auto"/>
          <w:highlight w:val="none"/>
        </w:rPr>
      </w:pPr>
      <w:r>
        <w:rPr>
          <w:rFonts w:hint="eastAsia"/>
          <w:b/>
          <w:color w:val="auto"/>
          <w:highlight w:val="none"/>
        </w:rPr>
        <w:t>五、开标</w:t>
      </w:r>
    </w:p>
    <w:p w14:paraId="05AD56A4">
      <w:pPr>
        <w:keepNext/>
        <w:keepLines/>
        <w:widowControl/>
        <w:spacing w:before="156" w:beforeLines="50" w:after="31" w:afterLines="10"/>
        <w:ind w:firstLine="482"/>
        <w:jc w:val="left"/>
        <w:outlineLvl w:val="2"/>
        <w:rPr>
          <w:b/>
          <w:color w:val="auto"/>
          <w:szCs w:val="32"/>
          <w:highlight w:val="none"/>
        </w:rPr>
      </w:pPr>
      <w:r>
        <w:rPr>
          <w:rFonts w:hint="eastAsia"/>
          <w:b/>
          <w:color w:val="auto"/>
          <w:szCs w:val="32"/>
          <w:highlight w:val="none"/>
        </w:rPr>
        <w:t>16.开标及其有关事项</w:t>
      </w:r>
    </w:p>
    <w:p w14:paraId="15234FE2">
      <w:pPr>
        <w:ind w:firstLine="480"/>
        <w:rPr>
          <w:color w:val="auto"/>
          <w:highlight w:val="none"/>
        </w:rPr>
      </w:pPr>
      <w:r>
        <w:rPr>
          <w:rFonts w:hint="eastAsia"/>
          <w:color w:val="auto"/>
          <w:highlight w:val="none"/>
        </w:rPr>
        <w:t>16.1采购代理机构（或采购人）按招标文件规定的时间、地点主持公开开标，采购人代表、投标人代表及有关工作人员参加，评标委员会成员不得参加开标活动。</w:t>
      </w:r>
    </w:p>
    <w:p w14:paraId="7B410CCF">
      <w:pPr>
        <w:ind w:firstLine="480"/>
        <w:rPr>
          <w:color w:val="auto"/>
          <w:highlight w:val="none"/>
        </w:rPr>
      </w:pPr>
      <w:r>
        <w:rPr>
          <w:rFonts w:hint="eastAsia"/>
          <w:color w:val="auto"/>
          <w:highlight w:val="none"/>
        </w:rPr>
        <w:t>16.2唱标时，采购代理机构（或采购人）将当众宣读投标人名称、投标价格、价格优惠或折扣（如有）、书面补充、修改和撤回投标的通知以及采购代理机构认为适当的其他内容。</w:t>
      </w:r>
    </w:p>
    <w:p w14:paraId="2D3680FB">
      <w:pPr>
        <w:ind w:firstLine="480"/>
        <w:rPr>
          <w:color w:val="auto"/>
          <w:highlight w:val="none"/>
        </w:rPr>
      </w:pPr>
      <w:r>
        <w:rPr>
          <w:rFonts w:hint="eastAsia"/>
          <w:color w:val="auto"/>
          <w:highlight w:val="none"/>
        </w:rPr>
        <w:t>16.3开标后，所有投标人的投标文件将不予退还。</w:t>
      </w:r>
    </w:p>
    <w:p w14:paraId="4399ACD2">
      <w:pPr>
        <w:keepNext/>
        <w:keepLines/>
        <w:spacing w:before="234" w:beforeLines="75" w:after="46" w:afterLines="15"/>
        <w:ind w:firstLine="0" w:firstLineChars="0"/>
        <w:jc w:val="center"/>
        <w:outlineLvl w:val="1"/>
        <w:rPr>
          <w:b/>
          <w:color w:val="auto"/>
          <w:highlight w:val="none"/>
        </w:rPr>
      </w:pPr>
      <w:r>
        <w:rPr>
          <w:rFonts w:hint="eastAsia"/>
          <w:b/>
          <w:color w:val="auto"/>
          <w:highlight w:val="none"/>
        </w:rPr>
        <w:t>六、评标程序和要求</w:t>
      </w:r>
    </w:p>
    <w:p w14:paraId="04245B99">
      <w:pPr>
        <w:keepNext/>
        <w:keepLines/>
        <w:widowControl/>
        <w:spacing w:before="156" w:beforeLines="50" w:after="31" w:afterLines="10"/>
        <w:ind w:firstLine="482"/>
        <w:jc w:val="left"/>
        <w:outlineLvl w:val="2"/>
        <w:rPr>
          <w:b/>
          <w:color w:val="auto"/>
          <w:szCs w:val="32"/>
          <w:highlight w:val="none"/>
        </w:rPr>
      </w:pPr>
      <w:r>
        <w:rPr>
          <w:rFonts w:hint="eastAsia"/>
          <w:b/>
          <w:color w:val="auto"/>
          <w:szCs w:val="32"/>
          <w:highlight w:val="none"/>
        </w:rPr>
        <w:t>17.评标委员会的组成和职责</w:t>
      </w:r>
    </w:p>
    <w:p w14:paraId="15D5D429">
      <w:pPr>
        <w:ind w:firstLine="480"/>
        <w:rPr>
          <w:color w:val="auto"/>
          <w:highlight w:val="none"/>
        </w:rPr>
      </w:pPr>
      <w:r>
        <w:rPr>
          <w:rFonts w:hint="eastAsia"/>
          <w:color w:val="auto"/>
          <w:highlight w:val="none"/>
        </w:rPr>
        <w:t>17.1</w:t>
      </w:r>
      <w:r>
        <w:rPr>
          <w:color w:val="auto"/>
          <w:highlight w:val="none"/>
        </w:rPr>
        <w:t>代理机构根据有关法律法规和本招标文件的规定，结合本招标项目的特点组建评标委员会，对</w:t>
      </w:r>
      <w:r>
        <w:rPr>
          <w:rFonts w:hint="eastAsia"/>
          <w:color w:val="auto"/>
          <w:highlight w:val="none"/>
        </w:rPr>
        <w:t>3家及以上明确</w:t>
      </w:r>
      <w:r>
        <w:rPr>
          <w:color w:val="auto"/>
          <w:highlight w:val="none"/>
        </w:rPr>
        <w:t>响应招标文件商务技术要求的投标文件进行评估和比较。评标委员会</w:t>
      </w:r>
      <w:r>
        <w:rPr>
          <w:rFonts w:hint="eastAsia"/>
          <w:color w:val="auto"/>
          <w:highlight w:val="none"/>
        </w:rPr>
        <w:t>由采购人代表和评审专家五</w:t>
      </w:r>
      <w:r>
        <w:rPr>
          <w:color w:val="auto"/>
          <w:highlight w:val="none"/>
        </w:rPr>
        <w:t>人以上单数组成，其中</w:t>
      </w:r>
      <w:r>
        <w:rPr>
          <w:rFonts w:hint="eastAsia"/>
          <w:color w:val="auto"/>
          <w:highlight w:val="none"/>
        </w:rPr>
        <w:t>评审专家不得少于成员总数的</w:t>
      </w:r>
      <w:r>
        <w:rPr>
          <w:color w:val="auto"/>
          <w:highlight w:val="none"/>
        </w:rPr>
        <w:t>三分之二。</w:t>
      </w:r>
    </w:p>
    <w:p w14:paraId="20950E62">
      <w:pPr>
        <w:ind w:firstLine="480"/>
        <w:rPr>
          <w:color w:val="auto"/>
          <w:highlight w:val="none"/>
        </w:rPr>
      </w:pPr>
      <w:r>
        <w:rPr>
          <w:rFonts w:hint="eastAsia"/>
          <w:color w:val="auto"/>
          <w:highlight w:val="none"/>
        </w:rPr>
        <w:t>17.2评审专家对本单位的采购项目只能作为采购人代表参与评标，法律规定的情形除外。代理机构工作人员不得参加由本机构代理的政府采购项目的评标。</w:t>
      </w:r>
    </w:p>
    <w:p w14:paraId="5995BF2B">
      <w:pPr>
        <w:ind w:firstLine="480"/>
        <w:rPr>
          <w:color w:val="auto"/>
          <w:highlight w:val="none"/>
        </w:rPr>
      </w:pPr>
      <w:r>
        <w:rPr>
          <w:rFonts w:hint="eastAsia"/>
          <w:color w:val="auto"/>
          <w:highlight w:val="none"/>
        </w:rPr>
        <w:t>17.3评标委员会成员名单在评标结果公告前应当保密。</w:t>
      </w:r>
    </w:p>
    <w:p w14:paraId="397D260E">
      <w:pPr>
        <w:ind w:firstLine="480"/>
        <w:rPr>
          <w:color w:val="auto"/>
          <w:highlight w:val="none"/>
        </w:rPr>
      </w:pPr>
      <w:r>
        <w:rPr>
          <w:rFonts w:hint="eastAsia"/>
          <w:color w:val="auto"/>
          <w:highlight w:val="none"/>
        </w:rPr>
        <w:t>17.4评审专家由代理机构从山西省财政厅政府采购管理处评审专家库中，通过随机方式抽取。对技术复杂、专业性强的采购项目，通过随机方式难以确定合适评审专家的，经主管预算单位同意，采购人可以自行选定相应专业领域的评审专家。</w:t>
      </w:r>
    </w:p>
    <w:p w14:paraId="52A63039">
      <w:pPr>
        <w:ind w:firstLine="480"/>
        <w:rPr>
          <w:color w:val="auto"/>
          <w:highlight w:val="none"/>
        </w:rPr>
      </w:pPr>
      <w:r>
        <w:rPr>
          <w:rFonts w:hint="eastAsia"/>
          <w:color w:val="auto"/>
          <w:highlight w:val="none"/>
        </w:rPr>
        <w:t>17.5评标中因评标委员会成员缺席、回避或者健康等特殊原因导致评标委员会组成不符合相关法律规定的，代理机构应当依法补足后继续评标。被更换的评标委员会成员所作出的评标意见无效。</w:t>
      </w:r>
    </w:p>
    <w:p w14:paraId="2534D198">
      <w:pPr>
        <w:ind w:firstLine="480"/>
        <w:rPr>
          <w:color w:val="auto"/>
          <w:highlight w:val="none"/>
        </w:rPr>
      </w:pPr>
      <w:r>
        <w:rPr>
          <w:rFonts w:hint="eastAsia"/>
          <w:color w:val="auto"/>
          <w:highlight w:val="none"/>
        </w:rPr>
        <w:t>17.6无法及时补足评标委员会成员的，代理机构应当停止评标活动，封存所有投标文件和开标、评标资料，依法重新组建评标委员会进行评标。原评标委员会所作出的评标意见无效。</w:t>
      </w:r>
    </w:p>
    <w:p w14:paraId="242D13ED">
      <w:pPr>
        <w:ind w:firstLine="480"/>
        <w:rPr>
          <w:color w:val="auto"/>
          <w:highlight w:val="none"/>
        </w:rPr>
      </w:pPr>
      <w:r>
        <w:rPr>
          <w:rFonts w:hint="eastAsia"/>
          <w:color w:val="auto"/>
          <w:highlight w:val="none"/>
        </w:rPr>
        <w:t>17.7代理机构应当将变更、重新组建评标委员会的情况予以记录，并随招标文件一并存档。</w:t>
      </w:r>
    </w:p>
    <w:p w14:paraId="0EC2AA44">
      <w:pPr>
        <w:keepNext/>
        <w:keepLines/>
        <w:widowControl/>
        <w:spacing w:before="156" w:beforeLines="50" w:after="31" w:afterLines="10"/>
        <w:ind w:firstLine="482"/>
        <w:jc w:val="left"/>
        <w:outlineLvl w:val="2"/>
        <w:rPr>
          <w:b/>
          <w:color w:val="auto"/>
          <w:szCs w:val="32"/>
          <w:highlight w:val="none"/>
        </w:rPr>
      </w:pPr>
      <w:r>
        <w:rPr>
          <w:rStyle w:val="51"/>
          <w:rFonts w:hint="eastAsia"/>
          <w:color w:val="auto"/>
          <w:highlight w:val="none"/>
        </w:rPr>
        <w:t>18.初步评</w:t>
      </w:r>
      <w:r>
        <w:rPr>
          <w:rFonts w:hint="eastAsia"/>
          <w:b/>
          <w:color w:val="auto"/>
          <w:szCs w:val="32"/>
          <w:highlight w:val="none"/>
        </w:rPr>
        <w:t>审</w:t>
      </w:r>
    </w:p>
    <w:p w14:paraId="090F3357">
      <w:pPr>
        <w:ind w:firstLine="480"/>
        <w:rPr>
          <w:color w:val="auto"/>
          <w:highlight w:val="none"/>
        </w:rPr>
      </w:pPr>
      <w:r>
        <w:rPr>
          <w:rFonts w:hint="eastAsia"/>
          <w:color w:val="auto"/>
          <w:highlight w:val="none"/>
        </w:rPr>
        <w:t>18.1资格性审查</w:t>
      </w:r>
    </w:p>
    <w:p w14:paraId="70620F42">
      <w:pPr>
        <w:ind w:firstLine="480"/>
        <w:rPr>
          <w:color w:val="auto"/>
          <w:highlight w:val="none"/>
        </w:rPr>
      </w:pPr>
      <w:r>
        <w:rPr>
          <w:rFonts w:hint="eastAsia"/>
          <w:color w:val="auto"/>
          <w:highlight w:val="none"/>
        </w:rPr>
        <w:t>依据投标人提交的投标文件，按招标文件第三章评标标准和评标办法中资格性审查的内容及标准进行审查，以确定其是否具备投标资格。如果投标人不具备投标资格，不满足招标文件所规定的资格标准的，其投标将被拒绝。</w:t>
      </w:r>
    </w:p>
    <w:p w14:paraId="5A117C63">
      <w:pPr>
        <w:ind w:firstLine="480"/>
        <w:rPr>
          <w:color w:val="auto"/>
          <w:highlight w:val="none"/>
        </w:rPr>
      </w:pPr>
      <w:r>
        <w:rPr>
          <w:rFonts w:hint="eastAsia"/>
          <w:color w:val="auto"/>
          <w:highlight w:val="none"/>
        </w:rPr>
        <w:t>对资格审查进行记录，并签字确认，与招标文件一并存档。代理机构对资格审查时需征得采购人授权后对投标文件进行资格性审查。</w:t>
      </w:r>
    </w:p>
    <w:p w14:paraId="3B523887">
      <w:pPr>
        <w:ind w:firstLine="480"/>
        <w:rPr>
          <w:color w:val="auto"/>
          <w:highlight w:val="none"/>
        </w:rPr>
      </w:pPr>
      <w:r>
        <w:rPr>
          <w:rFonts w:hint="eastAsia"/>
          <w:color w:val="auto"/>
          <w:highlight w:val="none"/>
        </w:rPr>
        <w:t>对模糊不清的或存在疑问的资格性证明文件，在不影响投标是否有效的前提下，须经投标人进行澄清或说明。</w:t>
      </w:r>
    </w:p>
    <w:p w14:paraId="13088214">
      <w:pPr>
        <w:ind w:firstLine="480"/>
        <w:rPr>
          <w:color w:val="auto"/>
          <w:highlight w:val="none"/>
        </w:rPr>
      </w:pPr>
      <w:r>
        <w:rPr>
          <w:rFonts w:hint="eastAsia"/>
          <w:color w:val="auto"/>
          <w:highlight w:val="none"/>
        </w:rPr>
        <w:t>为保证投标的公开、公正、公平，投标人资格证明文件若有缺失或不符，开标后不允许补正或修正，且投标无效。</w:t>
      </w:r>
    </w:p>
    <w:p w14:paraId="7848E9A5">
      <w:pPr>
        <w:ind w:firstLine="480"/>
        <w:rPr>
          <w:color w:val="auto"/>
          <w:highlight w:val="none"/>
        </w:rPr>
      </w:pPr>
      <w:r>
        <w:rPr>
          <w:rFonts w:hint="eastAsia"/>
          <w:color w:val="auto"/>
          <w:highlight w:val="none"/>
        </w:rPr>
        <w:t>18.2符合性评审</w:t>
      </w:r>
    </w:p>
    <w:p w14:paraId="666AC911">
      <w:pPr>
        <w:ind w:firstLine="480"/>
        <w:rPr>
          <w:color w:val="auto"/>
          <w:highlight w:val="none"/>
        </w:rPr>
      </w:pPr>
      <w:r>
        <w:rPr>
          <w:rFonts w:hint="eastAsia"/>
          <w:color w:val="auto"/>
          <w:highlight w:val="none"/>
        </w:rPr>
        <w:t>评标委员会对通过资格性审查的投标文件进行符合性审查，按照招标文件第三章评标标准和评标办法中符合性评审的内容及标准对投标文件进行符合性评审，以确定投标文件是否对招标文件的商务、技术服务等要求作出实质性响应。</w:t>
      </w:r>
    </w:p>
    <w:p w14:paraId="25AE3022">
      <w:pPr>
        <w:ind w:firstLine="480"/>
        <w:rPr>
          <w:color w:val="auto"/>
          <w:highlight w:val="none"/>
        </w:rPr>
      </w:pPr>
      <w:r>
        <w:rPr>
          <w:rFonts w:hint="eastAsia"/>
          <w:color w:val="auto"/>
          <w:highlight w:val="none"/>
        </w:rPr>
        <w:t>（1）重大偏离不允许在开标后修正。</w:t>
      </w:r>
    </w:p>
    <w:p w14:paraId="61120475">
      <w:pPr>
        <w:ind w:firstLine="480"/>
        <w:rPr>
          <w:color w:val="auto"/>
          <w:highlight w:val="none"/>
        </w:rPr>
      </w:pPr>
      <w:r>
        <w:rPr>
          <w:rFonts w:hint="eastAsia"/>
          <w:color w:val="auto"/>
          <w:highlight w:val="none"/>
        </w:rPr>
        <w:t>（2）如果投标文件实质上没有响应招标文件的要求，评标委员会将予以拒绝，投标人不得再对投标文件进行任何修正从而使其投标成为实质上响应的投标。</w:t>
      </w:r>
    </w:p>
    <w:p w14:paraId="61063EEB">
      <w:pPr>
        <w:ind w:firstLine="480"/>
        <w:rPr>
          <w:color w:val="auto"/>
          <w:highlight w:val="none"/>
        </w:rPr>
      </w:pPr>
      <w:r>
        <w:rPr>
          <w:rFonts w:hint="eastAsia"/>
          <w:color w:val="auto"/>
          <w:highlight w:val="none"/>
        </w:rPr>
        <w:t>（3）投标文件的细微偏差（一般技术、商务要求）是指在实质上响应招标文件要求，但在个别地方存在漏项或者提供了不完整的技术信息和数据等情况，并且补正这些遗漏或者不完整不会对其他投标人造成不公平的结果。细微偏差不影响投标文件的有效性。</w:t>
      </w:r>
    </w:p>
    <w:p w14:paraId="7ABA7438">
      <w:pPr>
        <w:ind w:firstLine="480"/>
        <w:rPr>
          <w:color w:val="auto"/>
          <w:highlight w:val="none"/>
        </w:rPr>
      </w:pPr>
      <w:r>
        <w:rPr>
          <w:rFonts w:hint="eastAsia"/>
          <w:color w:val="auto"/>
          <w:highlight w:val="none"/>
        </w:rPr>
        <w:t>18.3审核中，对明显的文字和计算错误按下述原则处理：</w:t>
      </w:r>
    </w:p>
    <w:p w14:paraId="5FC7FD7C">
      <w:pPr>
        <w:ind w:firstLine="480"/>
        <w:rPr>
          <w:color w:val="auto"/>
          <w:highlight w:val="none"/>
        </w:rPr>
      </w:pPr>
      <w:r>
        <w:rPr>
          <w:color w:val="auto"/>
          <w:highlight w:val="none"/>
        </w:rPr>
        <w:t>（一）投标文件中开标一览表（报价表）内容与投标文件中相应内容不一致的，以开标一览表（报价表）为准；</w:t>
      </w:r>
    </w:p>
    <w:p w14:paraId="51DD745F">
      <w:pPr>
        <w:ind w:firstLine="480"/>
        <w:rPr>
          <w:color w:val="auto"/>
          <w:highlight w:val="none"/>
        </w:rPr>
      </w:pPr>
      <w:r>
        <w:rPr>
          <w:color w:val="auto"/>
          <w:highlight w:val="none"/>
        </w:rPr>
        <w:t>（二）大写金额和小写金额不一致的，以大写金额为准；</w:t>
      </w:r>
    </w:p>
    <w:p w14:paraId="7C34B9C5">
      <w:pPr>
        <w:ind w:firstLine="480"/>
        <w:rPr>
          <w:color w:val="auto"/>
          <w:highlight w:val="none"/>
        </w:rPr>
      </w:pPr>
      <w:r>
        <w:rPr>
          <w:color w:val="auto"/>
          <w:highlight w:val="none"/>
        </w:rPr>
        <w:t>（三）单价金额小数点或者百分比有明显错位的，以开标一览表的总价为准，并修改单价；</w:t>
      </w:r>
    </w:p>
    <w:p w14:paraId="0F1622D1">
      <w:pPr>
        <w:ind w:firstLine="480"/>
        <w:rPr>
          <w:color w:val="auto"/>
          <w:highlight w:val="none"/>
        </w:rPr>
      </w:pPr>
      <w:r>
        <w:rPr>
          <w:color w:val="auto"/>
          <w:highlight w:val="none"/>
        </w:rPr>
        <w:t>（四）总价金额与按单价汇总金额不一致的，以单价金额计算结果为准。</w:t>
      </w:r>
    </w:p>
    <w:p w14:paraId="3A8CF104">
      <w:pPr>
        <w:ind w:firstLine="480"/>
        <w:rPr>
          <w:color w:val="auto"/>
          <w:highlight w:val="none"/>
        </w:rPr>
      </w:pPr>
      <w:r>
        <w:rPr>
          <w:color w:val="auto"/>
          <w:highlight w:val="none"/>
        </w:rPr>
        <w:t>同时出现两种以上不一致的，按照前款规定的顺序修正。修正后的报价经投标人确认后产生约束力，投标人不确认的，其投标无效。</w:t>
      </w:r>
    </w:p>
    <w:p w14:paraId="3EAD68DC">
      <w:pPr>
        <w:ind w:firstLine="480"/>
        <w:rPr>
          <w:color w:val="auto"/>
          <w:highlight w:val="none"/>
        </w:rPr>
      </w:pPr>
      <w:r>
        <w:rPr>
          <w:rFonts w:hint="eastAsia"/>
          <w:color w:val="auto"/>
          <w:highlight w:val="none"/>
          <w:lang w:val="en-US" w:eastAsia="zh-CN"/>
        </w:rPr>
        <w:t>18.4投标人的报价明显低于其他通过符合性审查供应商的报价按《关于推动解决政府采购异常低价问题的通知》财库〔2026〕2号文件要求执行。</w:t>
      </w:r>
    </w:p>
    <w:p w14:paraId="0E13537F">
      <w:pPr>
        <w:ind w:firstLine="480"/>
        <w:rPr>
          <w:rFonts w:ascii="宋体" w:hAnsi="宋体" w:eastAsia="宋体"/>
          <w:b/>
          <w:bCs/>
          <w:color w:val="auto"/>
          <w:highlight w:val="none"/>
        </w:rPr>
      </w:pPr>
      <w:r>
        <w:rPr>
          <w:rFonts w:hint="eastAsia" w:ascii="宋体" w:hAnsi="宋体" w:eastAsia="宋体"/>
          <w:b/>
          <w:bCs/>
          <w:color w:val="auto"/>
          <w:highlight w:val="none"/>
        </w:rPr>
        <w:t>19.投标的澄清</w:t>
      </w:r>
    </w:p>
    <w:p w14:paraId="4747B82B">
      <w:pPr>
        <w:ind w:firstLine="480"/>
        <w:rPr>
          <w:color w:val="auto"/>
          <w:highlight w:val="none"/>
        </w:rPr>
      </w:pPr>
      <w:r>
        <w:rPr>
          <w:rFonts w:hint="eastAsia"/>
          <w:color w:val="auto"/>
          <w:highlight w:val="none"/>
        </w:rPr>
        <w:t>19.1评标委员会有权要求投标人对投标文件中含义不明确、对同类问题表述不一致或者有明显文字和计算错误等内容作必要的澄清、说明或者补正。该要求应当采用书面形式，并由评标委员会专家共同签字。</w:t>
      </w:r>
    </w:p>
    <w:p w14:paraId="2DF5202E">
      <w:pPr>
        <w:ind w:firstLine="480"/>
        <w:rPr>
          <w:color w:val="auto"/>
          <w:highlight w:val="none"/>
        </w:rPr>
      </w:pPr>
      <w:r>
        <w:rPr>
          <w:rFonts w:hint="eastAsia"/>
          <w:color w:val="auto"/>
          <w:highlight w:val="none"/>
        </w:rPr>
        <w:t>19.2投标人必须按照评标委员会通知的内容和时间做出书面答复，该答复经法定代表人（或负责人）或投标人代表的签字认可，将作为投标文件内容的一部分。澄清、说明或者补正不得超出投标文件的范围或者改变投标文件的实质性内容。投标人拒不按照要求对投标文件进行澄清、说明或者补正的，评标委员会可拒绝该投标。评标委员会不接受投标人主动提出的澄清、说明或者补正。</w:t>
      </w:r>
    </w:p>
    <w:p w14:paraId="7878DE2C">
      <w:pPr>
        <w:ind w:firstLine="480"/>
        <w:rPr>
          <w:color w:val="auto"/>
          <w:highlight w:val="none"/>
        </w:rPr>
      </w:pPr>
      <w:r>
        <w:rPr>
          <w:rFonts w:hint="eastAsia"/>
          <w:color w:val="auto"/>
          <w:highlight w:val="none"/>
        </w:rPr>
        <w:t>19.3</w:t>
      </w:r>
      <w:r>
        <w:rPr>
          <w:color w:val="auto"/>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hint="eastAsia"/>
          <w:color w:val="auto"/>
          <w:highlight w:val="none"/>
        </w:rPr>
        <w:t>。</w:t>
      </w:r>
    </w:p>
    <w:p w14:paraId="7722FF7A">
      <w:pPr>
        <w:ind w:firstLine="480"/>
        <w:rPr>
          <w:color w:val="auto"/>
          <w:highlight w:val="none"/>
        </w:rPr>
      </w:pPr>
      <w:r>
        <w:rPr>
          <w:rFonts w:hint="eastAsia"/>
          <w:color w:val="auto"/>
          <w:highlight w:val="none"/>
        </w:rPr>
        <w:t>19.4</w:t>
      </w:r>
      <w:r>
        <w:rPr>
          <w:color w:val="auto"/>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69679F0E">
      <w:pPr>
        <w:keepNext/>
        <w:keepLines/>
        <w:widowControl/>
        <w:spacing w:before="156" w:beforeLines="50" w:after="31" w:afterLines="10"/>
        <w:ind w:firstLine="482"/>
        <w:jc w:val="left"/>
        <w:outlineLvl w:val="2"/>
        <w:rPr>
          <w:b/>
          <w:color w:val="auto"/>
          <w:szCs w:val="32"/>
          <w:highlight w:val="none"/>
        </w:rPr>
      </w:pPr>
      <w:r>
        <w:rPr>
          <w:rFonts w:hint="eastAsia"/>
          <w:b/>
          <w:color w:val="auto"/>
          <w:szCs w:val="32"/>
          <w:highlight w:val="none"/>
        </w:rPr>
        <w:t>20.详细评审</w:t>
      </w:r>
    </w:p>
    <w:p w14:paraId="0A5649FE">
      <w:pPr>
        <w:ind w:firstLine="480"/>
        <w:rPr>
          <w:color w:val="auto"/>
          <w:highlight w:val="none"/>
        </w:rPr>
      </w:pPr>
      <w:r>
        <w:rPr>
          <w:rFonts w:hint="eastAsia"/>
          <w:color w:val="auto"/>
          <w:highlight w:val="none"/>
        </w:rPr>
        <w:t>评标委员会只对实质上响应招标文件的投标文件进行评价和比较；评审应严格按照招标文件的要求和条件进行；具体评审原则、方法和中标条件详见招标文件第三章“评标标准和评标办法”。</w:t>
      </w:r>
    </w:p>
    <w:p w14:paraId="36B4D3EC">
      <w:pPr>
        <w:keepNext/>
        <w:keepLines/>
        <w:widowControl/>
        <w:spacing w:before="156" w:beforeLines="50" w:after="31" w:afterLines="10"/>
        <w:ind w:firstLine="482"/>
        <w:jc w:val="left"/>
        <w:outlineLvl w:val="2"/>
        <w:rPr>
          <w:b/>
          <w:color w:val="auto"/>
          <w:szCs w:val="32"/>
          <w:highlight w:val="none"/>
        </w:rPr>
      </w:pPr>
      <w:r>
        <w:rPr>
          <w:rFonts w:hint="eastAsia"/>
          <w:b/>
          <w:color w:val="auto"/>
          <w:szCs w:val="32"/>
          <w:highlight w:val="none"/>
        </w:rPr>
        <w:t>21.</w:t>
      </w:r>
      <w:r>
        <w:rPr>
          <w:b/>
          <w:snapToGrid w:val="0"/>
          <w:color w:val="auto"/>
          <w:kern w:val="0"/>
          <w:szCs w:val="21"/>
          <w:highlight w:val="none"/>
        </w:rPr>
        <w:t>确定</w:t>
      </w:r>
      <w:r>
        <w:rPr>
          <w:rFonts w:hint="eastAsia"/>
          <w:b/>
          <w:color w:val="auto"/>
          <w:szCs w:val="32"/>
          <w:highlight w:val="none"/>
        </w:rPr>
        <w:t>中标人</w:t>
      </w:r>
    </w:p>
    <w:p w14:paraId="3F5277DA">
      <w:pPr>
        <w:ind w:firstLine="480"/>
        <w:rPr>
          <w:color w:val="auto"/>
          <w:highlight w:val="none"/>
        </w:rPr>
      </w:pPr>
      <w:r>
        <w:rPr>
          <w:color w:val="auto"/>
          <w:kern w:val="0"/>
          <w:szCs w:val="21"/>
          <w:highlight w:val="none"/>
        </w:rPr>
        <w:t>按照</w:t>
      </w:r>
      <w:r>
        <w:rPr>
          <w:rFonts w:hint="eastAsia"/>
          <w:color w:val="auto"/>
          <w:kern w:val="0"/>
          <w:szCs w:val="21"/>
          <w:highlight w:val="none"/>
        </w:rPr>
        <w:t>投标人</w:t>
      </w:r>
      <w:r>
        <w:rPr>
          <w:color w:val="auto"/>
          <w:kern w:val="0"/>
          <w:szCs w:val="21"/>
          <w:highlight w:val="none"/>
        </w:rPr>
        <w:t>须知前附表的规定。</w:t>
      </w:r>
    </w:p>
    <w:p w14:paraId="6284016F">
      <w:pPr>
        <w:pStyle w:val="7"/>
        <w:spacing w:before="156" w:after="31"/>
        <w:ind w:firstLine="482"/>
        <w:rPr>
          <w:color w:val="auto"/>
          <w:highlight w:val="none"/>
        </w:rPr>
      </w:pPr>
      <w:r>
        <w:rPr>
          <w:rFonts w:hint="eastAsia"/>
          <w:color w:val="auto"/>
          <w:highlight w:val="none"/>
        </w:rPr>
        <w:t>22.评标过程保密</w:t>
      </w:r>
    </w:p>
    <w:p w14:paraId="2320B418">
      <w:pPr>
        <w:ind w:firstLine="480"/>
        <w:rPr>
          <w:color w:val="auto"/>
          <w:highlight w:val="none"/>
        </w:rPr>
      </w:pPr>
      <w:r>
        <w:rPr>
          <w:rFonts w:hint="eastAsia"/>
          <w:color w:val="auto"/>
          <w:highlight w:val="none"/>
        </w:rPr>
        <w:t>22.1采购人、采购代理机构应当采取必要措施，保证评标在严格保密的情况下进行。除采购人代表、评标现场组织人员外，采购人的其他工作人员以及与评标工作无关的人员不得进入评标现场。</w:t>
      </w:r>
    </w:p>
    <w:p w14:paraId="2E908A32">
      <w:pPr>
        <w:ind w:firstLine="480"/>
        <w:rPr>
          <w:color w:val="auto"/>
          <w:highlight w:val="none"/>
        </w:rPr>
      </w:pPr>
      <w:r>
        <w:rPr>
          <w:rFonts w:hint="eastAsia"/>
          <w:color w:val="auto"/>
          <w:highlight w:val="none"/>
        </w:rPr>
        <w:t>22.2</w:t>
      </w:r>
      <w:r>
        <w:rPr>
          <w:color w:val="auto"/>
          <w:highlight w:val="none"/>
        </w:rPr>
        <w:t>开标之后，直到授予中标人合同止，凡是属于审查、澄清、评价和比较投标的有关资料以及授标意向等，均不得向投标人或其他与评标无关的人员透露。</w:t>
      </w:r>
      <w:r>
        <w:rPr>
          <w:rFonts w:hint="eastAsia"/>
          <w:color w:val="auto"/>
          <w:highlight w:val="none"/>
        </w:rPr>
        <w:t>有关人员对评标情况以及在评标过程中获悉的国家秘密、商业秘密负有保密责任。</w:t>
      </w:r>
    </w:p>
    <w:p w14:paraId="71D91E14">
      <w:pPr>
        <w:keepNext/>
        <w:keepLines/>
        <w:widowControl/>
        <w:spacing w:before="156" w:beforeLines="50" w:after="31" w:afterLines="10"/>
        <w:ind w:firstLine="482"/>
        <w:jc w:val="left"/>
        <w:outlineLvl w:val="2"/>
        <w:rPr>
          <w:b/>
          <w:color w:val="auto"/>
          <w:szCs w:val="32"/>
          <w:highlight w:val="none"/>
        </w:rPr>
      </w:pPr>
      <w:r>
        <w:rPr>
          <w:rFonts w:hint="eastAsia"/>
          <w:b/>
          <w:color w:val="auto"/>
          <w:szCs w:val="32"/>
          <w:highlight w:val="none"/>
        </w:rPr>
        <w:t>23.重新评审及</w:t>
      </w:r>
      <w:r>
        <w:rPr>
          <w:b/>
          <w:color w:val="auto"/>
          <w:szCs w:val="32"/>
          <w:highlight w:val="none"/>
        </w:rPr>
        <w:t>关于投标人非实质性响应滞后发现的处理规则</w:t>
      </w:r>
    </w:p>
    <w:p w14:paraId="549B7EE0">
      <w:pPr>
        <w:ind w:firstLine="480"/>
        <w:rPr>
          <w:color w:val="auto"/>
          <w:highlight w:val="none"/>
        </w:rPr>
      </w:pPr>
      <w:r>
        <w:rPr>
          <w:color w:val="auto"/>
          <w:highlight w:val="none"/>
        </w:rPr>
        <w:t>评标结果汇总完成后，除下列情形外，任何人不得修改评标结果：</w:t>
      </w:r>
    </w:p>
    <w:p w14:paraId="6A14CCE6">
      <w:pPr>
        <w:ind w:firstLine="480"/>
        <w:rPr>
          <w:color w:val="auto"/>
          <w:highlight w:val="none"/>
        </w:rPr>
      </w:pPr>
      <w:r>
        <w:rPr>
          <w:color w:val="auto"/>
          <w:highlight w:val="none"/>
        </w:rPr>
        <w:t>（一）分值汇总计算错误的；</w:t>
      </w:r>
    </w:p>
    <w:p w14:paraId="335BAC1A">
      <w:pPr>
        <w:ind w:firstLine="480"/>
        <w:rPr>
          <w:color w:val="auto"/>
          <w:highlight w:val="none"/>
        </w:rPr>
      </w:pPr>
      <w:r>
        <w:rPr>
          <w:color w:val="auto"/>
          <w:highlight w:val="none"/>
        </w:rPr>
        <w:t>（二）分项评分超出评分标准范围的；</w:t>
      </w:r>
    </w:p>
    <w:p w14:paraId="4EE1B1CF">
      <w:pPr>
        <w:ind w:firstLine="480"/>
        <w:rPr>
          <w:color w:val="auto"/>
          <w:highlight w:val="none"/>
        </w:rPr>
      </w:pPr>
      <w:r>
        <w:rPr>
          <w:color w:val="auto"/>
          <w:highlight w:val="none"/>
        </w:rPr>
        <w:t>（三）评标委员会成员对客观评审因素评分不一致的；</w:t>
      </w:r>
    </w:p>
    <w:p w14:paraId="3C659084">
      <w:pPr>
        <w:ind w:firstLine="480"/>
        <w:rPr>
          <w:color w:val="auto"/>
          <w:highlight w:val="none"/>
        </w:rPr>
      </w:pPr>
      <w:r>
        <w:rPr>
          <w:color w:val="auto"/>
          <w:highlight w:val="none"/>
        </w:rPr>
        <w:t>（四）经评标委员会认定评分畸高、畸低的。</w:t>
      </w:r>
    </w:p>
    <w:p w14:paraId="7B9F6B7A">
      <w:pPr>
        <w:ind w:firstLine="480"/>
        <w:rPr>
          <w:color w:val="auto"/>
          <w:highlight w:val="none"/>
        </w:rPr>
      </w:pPr>
      <w:r>
        <w:rPr>
          <w:color w:val="auto"/>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08B03B17">
      <w:pPr>
        <w:ind w:firstLine="480"/>
        <w:rPr>
          <w:color w:val="auto"/>
          <w:highlight w:val="none"/>
        </w:rPr>
      </w:pPr>
      <w:r>
        <w:rPr>
          <w:color w:val="auto"/>
          <w:highlight w:val="none"/>
        </w:rPr>
        <w:t>无论基于何种原因，各项本应做拒绝投标处理的情形，即便未被及时发现而使该投标人进入评审或其它后续程序，包括已经签约的情形。一旦被发现存在上述情形，采购人或代理机构均有权依法决定取消该投标人的此前评议结果，或决定对该投标予以拒绝，并有权采取相应的补救及纠正措施。</w:t>
      </w:r>
    </w:p>
    <w:p w14:paraId="416393F4">
      <w:pPr>
        <w:keepNext/>
        <w:keepLines/>
        <w:widowControl/>
        <w:spacing w:before="156" w:beforeLines="50" w:after="31" w:afterLines="10"/>
        <w:ind w:firstLine="482"/>
        <w:jc w:val="left"/>
        <w:outlineLvl w:val="2"/>
        <w:rPr>
          <w:b/>
          <w:color w:val="auto"/>
          <w:szCs w:val="32"/>
          <w:highlight w:val="none"/>
        </w:rPr>
      </w:pPr>
      <w:r>
        <w:rPr>
          <w:rFonts w:hint="eastAsia"/>
          <w:b/>
          <w:color w:val="auto"/>
          <w:szCs w:val="32"/>
          <w:highlight w:val="none"/>
        </w:rPr>
        <w:t>24.采购项目废标、终止与处理</w:t>
      </w:r>
    </w:p>
    <w:p w14:paraId="54A2C55F">
      <w:pPr>
        <w:ind w:firstLine="480"/>
        <w:rPr>
          <w:color w:val="auto"/>
          <w:highlight w:val="none"/>
        </w:rPr>
      </w:pPr>
      <w:r>
        <w:rPr>
          <w:rFonts w:hint="eastAsia"/>
          <w:color w:val="auto"/>
          <w:highlight w:val="none"/>
        </w:rPr>
        <w:t>24.1在评标过程中，评标委员会发现有下列情形之一的，应对采购项目予以废标：</w:t>
      </w:r>
    </w:p>
    <w:p w14:paraId="5B733E93">
      <w:pPr>
        <w:ind w:firstLine="480"/>
        <w:rPr>
          <w:color w:val="auto"/>
          <w:highlight w:val="none"/>
        </w:rPr>
      </w:pPr>
      <w:r>
        <w:rPr>
          <w:rFonts w:hint="eastAsia"/>
          <w:color w:val="auto"/>
          <w:highlight w:val="none"/>
        </w:rPr>
        <w:t>（1）符合专业条件的投标人或者对招标文件作实质响应的投标人不足3家的；</w:t>
      </w:r>
    </w:p>
    <w:p w14:paraId="3C83BC9B">
      <w:pPr>
        <w:ind w:firstLine="480"/>
        <w:rPr>
          <w:color w:val="auto"/>
          <w:highlight w:val="none"/>
        </w:rPr>
      </w:pPr>
      <w:r>
        <w:rPr>
          <w:rFonts w:hint="eastAsia"/>
          <w:color w:val="auto"/>
          <w:highlight w:val="none"/>
        </w:rPr>
        <w:t>（2）出现影响采购公正的违法、违规行为的；</w:t>
      </w:r>
    </w:p>
    <w:p w14:paraId="00F5068A">
      <w:pPr>
        <w:ind w:firstLine="480"/>
        <w:rPr>
          <w:color w:val="auto"/>
          <w:highlight w:val="none"/>
        </w:rPr>
      </w:pPr>
      <w:r>
        <w:rPr>
          <w:rFonts w:hint="eastAsia"/>
          <w:color w:val="auto"/>
          <w:highlight w:val="none"/>
        </w:rPr>
        <w:t xml:space="preserve">（3）投标人的报价均超过了项目采购预算，采购人不能支付的； </w:t>
      </w:r>
    </w:p>
    <w:p w14:paraId="2EA68D8D">
      <w:pPr>
        <w:ind w:firstLine="480"/>
        <w:rPr>
          <w:color w:val="auto"/>
          <w:highlight w:val="none"/>
        </w:rPr>
      </w:pPr>
      <w:r>
        <w:rPr>
          <w:rFonts w:hint="eastAsia"/>
          <w:color w:val="auto"/>
          <w:highlight w:val="none"/>
        </w:rPr>
        <w:t>（4）因重大变故，采购任务取消的。</w:t>
      </w:r>
    </w:p>
    <w:p w14:paraId="5A77DB9A">
      <w:pPr>
        <w:ind w:firstLine="480"/>
        <w:rPr>
          <w:color w:val="auto"/>
          <w:highlight w:val="none"/>
        </w:rPr>
      </w:pPr>
      <w:r>
        <w:rPr>
          <w:rFonts w:hint="eastAsia"/>
          <w:color w:val="auto"/>
          <w:highlight w:val="none"/>
        </w:rPr>
        <w:t>采购项目废标后，评标委员会应做出书面报告。</w:t>
      </w:r>
    </w:p>
    <w:p w14:paraId="44CB1B5F">
      <w:pPr>
        <w:ind w:firstLine="480"/>
        <w:rPr>
          <w:color w:val="auto"/>
          <w:highlight w:val="none"/>
        </w:rPr>
      </w:pPr>
      <w:r>
        <w:rPr>
          <w:rFonts w:hint="eastAsia"/>
          <w:color w:val="auto"/>
          <w:highlight w:val="none"/>
        </w:rPr>
        <w:t>24.2废标后，采购机构应当将废标原因通知所有投标人，并依法重新组织采购活动。</w:t>
      </w:r>
    </w:p>
    <w:p w14:paraId="37608E8A">
      <w:pPr>
        <w:ind w:firstLine="480"/>
        <w:rPr>
          <w:color w:val="auto"/>
          <w:highlight w:val="none"/>
        </w:rPr>
      </w:pPr>
      <w:r>
        <w:rPr>
          <w:rFonts w:hint="eastAsia"/>
          <w:color w:val="auto"/>
          <w:highlight w:val="none"/>
        </w:rPr>
        <w:t>24.3采购人、采购代理机构在发布招标公告、资格预审公告或者发出投标邀请书后，除因重大变故采购任务取消情况外，不得擅自终止招标活动。</w:t>
      </w:r>
    </w:p>
    <w:p w14:paraId="1DC5F32C">
      <w:pPr>
        <w:ind w:firstLine="480"/>
        <w:rPr>
          <w:color w:val="auto"/>
          <w:highlight w:val="none"/>
        </w:rPr>
      </w:pPr>
      <w:r>
        <w:rPr>
          <w:rFonts w:hint="eastAsia"/>
          <w:color w:val="auto"/>
          <w:highlight w:val="none"/>
        </w:rPr>
        <w:t>终止招标的，代理机构应当及时在原公告发布媒体上发布终止公告，以书面形式通知已经获取招标文件、资格预审文件或者被邀请的潜在投标人，并将项目实施情况和采购任务取消原因报告本级财政部门。已经收取招标文件费用或者投标保证金的，采购人或者采购代理机构应当在终止采购活动后</w:t>
      </w:r>
      <w:r>
        <w:rPr>
          <w:color w:val="auto"/>
          <w:highlight w:val="none"/>
        </w:rPr>
        <w:t>5</w:t>
      </w:r>
      <w:r>
        <w:rPr>
          <w:rFonts w:hint="eastAsia"/>
          <w:color w:val="auto"/>
          <w:highlight w:val="none"/>
        </w:rPr>
        <w:t>个工作日内，退还所收取的招标文件费用和所收取的投标保证金及其在银行产生的孳息。</w:t>
      </w:r>
    </w:p>
    <w:p w14:paraId="19270258">
      <w:pPr>
        <w:ind w:firstLine="480"/>
        <w:rPr>
          <w:color w:val="auto"/>
          <w:highlight w:val="none"/>
        </w:rPr>
      </w:pPr>
      <w:r>
        <w:rPr>
          <w:rFonts w:hint="eastAsia"/>
          <w:color w:val="auto"/>
          <w:highlight w:val="none"/>
        </w:rPr>
        <w:t>24.4公开招标数额标准以上的采购项目（如分包按包计），投标截止后投标人不足</w:t>
      </w:r>
      <w:r>
        <w:rPr>
          <w:color w:val="auto"/>
          <w:highlight w:val="none"/>
        </w:rPr>
        <w:t>3</w:t>
      </w:r>
      <w:r>
        <w:rPr>
          <w:rFonts w:hint="eastAsia"/>
          <w:color w:val="auto"/>
          <w:highlight w:val="none"/>
        </w:rPr>
        <w:t>家或者通过资格审查或符合性审查的投标人不足</w:t>
      </w:r>
      <w:r>
        <w:rPr>
          <w:color w:val="auto"/>
          <w:highlight w:val="none"/>
        </w:rPr>
        <w:t>3</w:t>
      </w:r>
      <w:r>
        <w:rPr>
          <w:rFonts w:hint="eastAsia"/>
          <w:color w:val="auto"/>
          <w:highlight w:val="none"/>
        </w:rPr>
        <w:t>家的，除采购任务取消情形外，按照以下方式处理：</w:t>
      </w:r>
    </w:p>
    <w:p w14:paraId="5484E2A5">
      <w:pPr>
        <w:ind w:firstLine="480"/>
        <w:rPr>
          <w:color w:val="auto"/>
          <w:highlight w:val="none"/>
        </w:rPr>
      </w:pPr>
      <w:r>
        <w:rPr>
          <w:rFonts w:hint="eastAsia"/>
          <w:color w:val="auto"/>
          <w:highlight w:val="none"/>
        </w:rPr>
        <w:t>（一）招标文件存在不合理条款或者招标程序不符合规定的，采购人、采购代理机构改正后依法重新招标；</w:t>
      </w:r>
    </w:p>
    <w:p w14:paraId="633B3C46">
      <w:pPr>
        <w:ind w:firstLine="480"/>
        <w:rPr>
          <w:color w:val="auto"/>
          <w:highlight w:val="none"/>
        </w:rPr>
      </w:pPr>
      <w:r>
        <w:rPr>
          <w:rFonts w:hint="eastAsia"/>
          <w:color w:val="auto"/>
          <w:highlight w:val="none"/>
        </w:rPr>
        <w:t>（二）招标文件没有不合理条款、招标程序符合规定，需要采用其他采购方式采购的，采购人应当依法报财政部门批准。</w:t>
      </w:r>
    </w:p>
    <w:p w14:paraId="5FA99E55">
      <w:pPr>
        <w:ind w:firstLine="480"/>
        <w:rPr>
          <w:color w:val="auto"/>
          <w:highlight w:val="none"/>
        </w:rPr>
      </w:pPr>
      <w:r>
        <w:rPr>
          <w:color w:val="auto"/>
          <w:highlight w:val="none"/>
        </w:rPr>
        <w:t>采购项目</w:t>
      </w:r>
      <w:r>
        <w:rPr>
          <w:rFonts w:hint="eastAsia"/>
          <w:color w:val="auto"/>
          <w:highlight w:val="none"/>
        </w:rPr>
        <w:t>（按包计）终止</w:t>
      </w:r>
      <w:r>
        <w:rPr>
          <w:color w:val="auto"/>
          <w:highlight w:val="none"/>
        </w:rPr>
        <w:t>后，评标委员会应做出书面报告。</w:t>
      </w:r>
      <w:r>
        <w:rPr>
          <w:rFonts w:hint="eastAsia"/>
          <w:color w:val="auto"/>
          <w:highlight w:val="none"/>
        </w:rPr>
        <w:t>采购项目终止后</w:t>
      </w:r>
      <w:r>
        <w:rPr>
          <w:color w:val="auto"/>
          <w:highlight w:val="none"/>
        </w:rPr>
        <w:t>，代理机构应当将废标原因通知所有投标人，并依法重新组织采购活动。</w:t>
      </w:r>
    </w:p>
    <w:p w14:paraId="43DB8708">
      <w:pPr>
        <w:ind w:firstLine="480"/>
        <w:rPr>
          <w:color w:val="auto"/>
          <w:highlight w:val="none"/>
        </w:rPr>
      </w:pPr>
      <w:r>
        <w:rPr>
          <w:rFonts w:hint="eastAsia"/>
          <w:color w:val="auto"/>
          <w:highlight w:val="none"/>
        </w:rPr>
        <w:t>24.5评标委员会发现招标文件存在歧义、重大缺陷导致评标工作无法进行，或者招标文件内容违反国家有关强制性规定的，应当停止评标工作，与采购代理机构沟通并作书面记录。采购代理机构确认后，应当修改招标文件，重新组织采购活动。</w:t>
      </w:r>
    </w:p>
    <w:p w14:paraId="64A94C66">
      <w:pPr>
        <w:keepNext/>
        <w:keepLines/>
        <w:spacing w:before="234" w:beforeLines="75" w:after="46" w:afterLines="15"/>
        <w:ind w:firstLine="0" w:firstLineChars="0"/>
        <w:jc w:val="center"/>
        <w:outlineLvl w:val="1"/>
        <w:rPr>
          <w:b/>
          <w:color w:val="auto"/>
          <w:highlight w:val="none"/>
        </w:rPr>
      </w:pPr>
      <w:r>
        <w:rPr>
          <w:rFonts w:hint="eastAsia"/>
          <w:b/>
          <w:color w:val="auto"/>
          <w:highlight w:val="none"/>
        </w:rPr>
        <w:t>七、签订合同</w:t>
      </w:r>
    </w:p>
    <w:p w14:paraId="53F9159F">
      <w:pPr>
        <w:keepNext/>
        <w:keepLines/>
        <w:widowControl/>
        <w:spacing w:before="156" w:beforeLines="50" w:after="31" w:afterLines="10"/>
        <w:ind w:firstLine="482"/>
        <w:jc w:val="left"/>
        <w:outlineLvl w:val="2"/>
        <w:rPr>
          <w:b/>
          <w:color w:val="auto"/>
          <w:szCs w:val="32"/>
          <w:highlight w:val="none"/>
        </w:rPr>
      </w:pPr>
      <w:r>
        <w:rPr>
          <w:rFonts w:hint="eastAsia"/>
          <w:b/>
          <w:color w:val="auto"/>
          <w:szCs w:val="32"/>
          <w:highlight w:val="none"/>
        </w:rPr>
        <w:t>25.中标通知</w:t>
      </w:r>
    </w:p>
    <w:p w14:paraId="32056E64">
      <w:pPr>
        <w:ind w:firstLine="480"/>
        <w:rPr>
          <w:color w:val="auto"/>
          <w:highlight w:val="none"/>
        </w:rPr>
      </w:pPr>
      <w:r>
        <w:rPr>
          <w:rFonts w:hint="eastAsia"/>
          <w:color w:val="auto"/>
          <w:highlight w:val="none"/>
        </w:rPr>
        <w:t>25.1代理机构在收到采购人的中标确认函起</w:t>
      </w:r>
      <w:r>
        <w:rPr>
          <w:color w:val="auto"/>
          <w:highlight w:val="none"/>
        </w:rPr>
        <w:t>2</w:t>
      </w:r>
      <w:r>
        <w:rPr>
          <w:rFonts w:hint="eastAsia"/>
          <w:color w:val="auto"/>
          <w:highlight w:val="none"/>
        </w:rPr>
        <w:t>个工作日内，在省级以上财政部门指定的媒体上公告中标结果，中标公告期限为1个工作日，同时向中标人发出中标通知书。中标通知书对采购人和中标人具有同等法律效力。</w:t>
      </w:r>
    </w:p>
    <w:p w14:paraId="5ABF96CE">
      <w:pPr>
        <w:ind w:firstLine="480"/>
        <w:rPr>
          <w:color w:val="auto"/>
          <w:highlight w:val="none"/>
        </w:rPr>
      </w:pPr>
      <w:r>
        <w:rPr>
          <w:rFonts w:hint="eastAsia"/>
          <w:color w:val="auto"/>
          <w:highlight w:val="none"/>
        </w:rPr>
        <w:t>25.2中标通知书发出后，采购人不得违法改变中标结果，中标人无正当理由不得放弃中标。</w:t>
      </w:r>
    </w:p>
    <w:p w14:paraId="1C5800A1">
      <w:pPr>
        <w:ind w:firstLine="480"/>
        <w:rPr>
          <w:color w:val="auto"/>
          <w:highlight w:val="none"/>
        </w:rPr>
      </w:pPr>
      <w:r>
        <w:rPr>
          <w:rFonts w:hint="eastAsia"/>
          <w:color w:val="auto"/>
          <w:highlight w:val="none"/>
        </w:rPr>
        <w:t>25.3</w:t>
      </w:r>
      <w:r>
        <w:rPr>
          <w:color w:val="auto"/>
          <w:highlight w:val="none"/>
        </w:rPr>
        <w:t>对未通过资格审查的投标人，应当告知其未通过的原因；采用综合评分法评审的，还应当告知未中标人本人的评审得分与排序。</w:t>
      </w:r>
      <w:r>
        <w:rPr>
          <w:rFonts w:hint="eastAsia"/>
          <w:color w:val="auto"/>
          <w:highlight w:val="none"/>
        </w:rPr>
        <w:t>采购代理机构（或采购人）对未中标的投标人不做未中标原因的解释。</w:t>
      </w:r>
    </w:p>
    <w:p w14:paraId="69251D14">
      <w:pPr>
        <w:keepNext/>
        <w:keepLines/>
        <w:widowControl/>
        <w:spacing w:before="156" w:beforeLines="50" w:after="31" w:afterLines="10"/>
        <w:ind w:firstLine="482"/>
        <w:jc w:val="left"/>
        <w:outlineLvl w:val="2"/>
        <w:rPr>
          <w:b/>
          <w:color w:val="auto"/>
          <w:szCs w:val="32"/>
          <w:highlight w:val="none"/>
        </w:rPr>
      </w:pPr>
      <w:r>
        <w:rPr>
          <w:rFonts w:hint="eastAsia"/>
          <w:b/>
          <w:color w:val="auto"/>
          <w:szCs w:val="32"/>
          <w:highlight w:val="none"/>
        </w:rPr>
        <w:t>26.签订合同</w:t>
      </w:r>
    </w:p>
    <w:p w14:paraId="135913DC">
      <w:pPr>
        <w:ind w:firstLine="480"/>
        <w:rPr>
          <w:color w:val="auto"/>
          <w:highlight w:val="none"/>
        </w:rPr>
      </w:pPr>
      <w:r>
        <w:rPr>
          <w:rFonts w:hint="eastAsia"/>
          <w:color w:val="auto"/>
          <w:highlight w:val="none"/>
        </w:rPr>
        <w:t>26.1 中标人应在接到中标通知书30日内与采购人签订政府采购合同。</w:t>
      </w:r>
    </w:p>
    <w:p w14:paraId="62C11D62">
      <w:pPr>
        <w:ind w:firstLine="480"/>
        <w:rPr>
          <w:color w:val="auto"/>
          <w:highlight w:val="none"/>
        </w:rPr>
      </w:pPr>
      <w:r>
        <w:rPr>
          <w:rFonts w:hint="eastAsia"/>
          <w:color w:val="auto"/>
          <w:highlight w:val="none"/>
        </w:rPr>
        <w:t>26.2 中标人应按照招标文件、投标文件及评标过程中的有关澄清、说明或者补正文件的内容与采购人签订合同。中标人不得再与采购人签订背离合同实质性内容的其它协议或声明。</w:t>
      </w:r>
    </w:p>
    <w:p w14:paraId="01D41F6E">
      <w:pPr>
        <w:ind w:firstLine="480"/>
        <w:rPr>
          <w:color w:val="auto"/>
          <w:highlight w:val="none"/>
        </w:rPr>
      </w:pPr>
      <w:r>
        <w:rPr>
          <w:rFonts w:hint="eastAsia"/>
          <w:color w:val="auto"/>
          <w:highlight w:val="none"/>
        </w:rPr>
        <w:t>26.3在合同履行中，采购人如需追加与合同标的相同的项目，在不改变合同其他条款的前提下，中标人可与采购人协商签订补充合同，但所有补充合同的采购金额不得超过原合同金额的10%。</w:t>
      </w:r>
    </w:p>
    <w:p w14:paraId="5B454537">
      <w:pPr>
        <w:keepNext/>
        <w:keepLines/>
        <w:widowControl/>
        <w:spacing w:before="156" w:beforeLines="50" w:after="31" w:afterLines="10"/>
        <w:ind w:firstLine="482"/>
        <w:jc w:val="left"/>
        <w:outlineLvl w:val="2"/>
        <w:rPr>
          <w:b/>
          <w:color w:val="auto"/>
          <w:szCs w:val="32"/>
          <w:highlight w:val="none"/>
        </w:rPr>
      </w:pPr>
      <w:r>
        <w:rPr>
          <w:rFonts w:hint="eastAsia"/>
          <w:b/>
          <w:color w:val="auto"/>
          <w:szCs w:val="32"/>
          <w:highlight w:val="none"/>
        </w:rPr>
        <w:t>27.中标服务费</w:t>
      </w:r>
    </w:p>
    <w:p w14:paraId="3E860BE1">
      <w:pPr>
        <w:keepNext/>
        <w:keepLines/>
        <w:spacing w:before="234" w:beforeLines="75" w:after="46" w:afterLines="15"/>
        <w:ind w:firstLine="480"/>
        <w:jc w:val="left"/>
        <w:outlineLvl w:val="1"/>
        <w:rPr>
          <w:color w:val="auto"/>
          <w:highlight w:val="none"/>
        </w:rPr>
      </w:pPr>
      <w:r>
        <w:rPr>
          <w:color w:val="auto"/>
          <w:highlight w:val="none"/>
        </w:rPr>
        <w:t>由中标</w:t>
      </w:r>
      <w:r>
        <w:rPr>
          <w:rFonts w:hint="eastAsia"/>
          <w:color w:val="auto"/>
          <w:highlight w:val="none"/>
        </w:rPr>
        <w:t>人</w:t>
      </w:r>
      <w:r>
        <w:rPr>
          <w:color w:val="auto"/>
          <w:highlight w:val="none"/>
        </w:rPr>
        <w:t>在领取中标通知书时向采购代理机构一次性支付，</w:t>
      </w:r>
      <w:r>
        <w:rPr>
          <w:rFonts w:hint="eastAsia"/>
          <w:color w:val="auto"/>
          <w:highlight w:val="none"/>
        </w:rPr>
        <w:t>采购代理服务费金额参照原国家发展计划委员会发布的《采购代理服务收费管理暂行办法》（计价格[2002]1980号）、《国家发展改革委办公厅关于采购代理服务收费有关问题的通知》（发改办价格[2003]857号）和《国家发展改革委关于降低部分建设项目收费标准规范收费行为等有关问题的通知》（发改价格[2011]534号）规定的收费基准价格向成交投标人计取代理服务费，取费基数为成交金额。</w:t>
      </w:r>
    </w:p>
    <w:p w14:paraId="21709BA7">
      <w:pPr>
        <w:keepNext/>
        <w:keepLines/>
        <w:spacing w:before="234" w:beforeLines="75" w:after="46" w:afterLines="15"/>
        <w:ind w:firstLine="0" w:firstLineChars="0"/>
        <w:jc w:val="center"/>
        <w:outlineLvl w:val="1"/>
        <w:rPr>
          <w:b/>
          <w:color w:val="auto"/>
          <w:highlight w:val="none"/>
        </w:rPr>
      </w:pPr>
      <w:r>
        <w:rPr>
          <w:rFonts w:hint="eastAsia"/>
          <w:b/>
          <w:color w:val="auto"/>
          <w:highlight w:val="none"/>
        </w:rPr>
        <w:t>八、保密和披露</w:t>
      </w:r>
    </w:p>
    <w:p w14:paraId="391F49CD">
      <w:pPr>
        <w:keepNext/>
        <w:keepLines/>
        <w:widowControl/>
        <w:spacing w:before="156" w:beforeLines="50" w:after="31" w:afterLines="10"/>
        <w:ind w:firstLine="482"/>
        <w:jc w:val="left"/>
        <w:outlineLvl w:val="2"/>
        <w:rPr>
          <w:b/>
          <w:color w:val="auto"/>
          <w:szCs w:val="32"/>
          <w:highlight w:val="none"/>
        </w:rPr>
      </w:pPr>
      <w:r>
        <w:rPr>
          <w:rFonts w:hint="eastAsia"/>
          <w:b/>
          <w:color w:val="auto"/>
          <w:szCs w:val="32"/>
          <w:highlight w:val="none"/>
        </w:rPr>
        <w:t>28.保密</w:t>
      </w:r>
    </w:p>
    <w:p w14:paraId="6C67355E">
      <w:pPr>
        <w:ind w:firstLine="480"/>
        <w:rPr>
          <w:color w:val="auto"/>
          <w:highlight w:val="none"/>
        </w:rPr>
      </w:pPr>
      <w:r>
        <w:rPr>
          <w:rFonts w:hint="eastAsia"/>
          <w:color w:val="auto"/>
          <w:highlight w:val="none"/>
        </w:rPr>
        <w:t>28.1投标人自领取招标文件之日起，须承诺承担本招标项目下保密义务，不得将因本次招标获得的信息向第三人外传。</w:t>
      </w:r>
    </w:p>
    <w:p w14:paraId="059EEE81">
      <w:pPr>
        <w:ind w:firstLine="480"/>
        <w:rPr>
          <w:color w:val="auto"/>
          <w:highlight w:val="none"/>
        </w:rPr>
      </w:pPr>
      <w:r>
        <w:rPr>
          <w:rFonts w:hint="eastAsia"/>
          <w:color w:val="auto"/>
          <w:highlight w:val="none"/>
        </w:rPr>
        <w:t>28.2有关人员对评标情况以及在评标过程中获悉的国家秘密、商业秘密负有保密责任。</w:t>
      </w:r>
    </w:p>
    <w:p w14:paraId="2C472E95">
      <w:pPr>
        <w:keepNext/>
        <w:keepLines/>
        <w:widowControl/>
        <w:spacing w:before="156" w:beforeLines="50" w:after="31" w:afterLines="10"/>
        <w:ind w:firstLine="482"/>
        <w:jc w:val="left"/>
        <w:outlineLvl w:val="2"/>
        <w:rPr>
          <w:b/>
          <w:color w:val="auto"/>
          <w:szCs w:val="32"/>
          <w:highlight w:val="none"/>
        </w:rPr>
      </w:pPr>
      <w:r>
        <w:rPr>
          <w:rFonts w:hint="eastAsia"/>
          <w:b/>
          <w:color w:val="auto"/>
          <w:szCs w:val="32"/>
          <w:highlight w:val="none"/>
        </w:rPr>
        <w:t>29.披露</w:t>
      </w:r>
    </w:p>
    <w:p w14:paraId="467925BC">
      <w:pPr>
        <w:ind w:firstLine="480"/>
        <w:rPr>
          <w:color w:val="auto"/>
          <w:highlight w:val="none"/>
        </w:rPr>
      </w:pPr>
      <w:r>
        <w:rPr>
          <w:rFonts w:hint="eastAsia"/>
          <w:color w:val="auto"/>
          <w:highlight w:val="none"/>
        </w:rPr>
        <w:t>29.1采购代理机构（或采购人）有权将投标人提供的所有资料向有关政府部门或评审标书的有关人员披露。</w:t>
      </w:r>
    </w:p>
    <w:p w14:paraId="140DED5B">
      <w:pPr>
        <w:ind w:firstLine="480"/>
        <w:rPr>
          <w:color w:val="auto"/>
          <w:highlight w:val="none"/>
        </w:rPr>
      </w:pPr>
      <w:r>
        <w:rPr>
          <w:rFonts w:hint="eastAsia"/>
          <w:color w:val="auto"/>
          <w:highlight w:val="none"/>
        </w:rPr>
        <w:t>29.2在采购代理机构（或采购人）认为适当时、国家机关调查、审查、审计时以及其他符合法律规定的情形下，采购代理机构（或采购人）无须事先征求投标人/中标人同意而可以披露关于采购过程、合同文本、签署情况的资料、投标人/中标人的名称及地址、投标文件的有关信息以及补充条款等，但应当在合理的必要范围内。对任何已经公布过的内容或与之内容相同的资料，以及投标人/中标人已经泄露或公开的，无须再承担保密责任。</w:t>
      </w:r>
    </w:p>
    <w:p w14:paraId="15113CE3">
      <w:pPr>
        <w:pStyle w:val="6"/>
        <w:spacing w:before="234" w:after="46"/>
        <w:rPr>
          <w:color w:val="auto"/>
          <w:highlight w:val="none"/>
        </w:rPr>
      </w:pPr>
      <w:r>
        <w:rPr>
          <w:rFonts w:hint="eastAsia"/>
          <w:color w:val="auto"/>
          <w:highlight w:val="none"/>
        </w:rPr>
        <w:t>九、询问和质疑</w:t>
      </w:r>
    </w:p>
    <w:p w14:paraId="33D2D65B">
      <w:pPr>
        <w:spacing w:line="360" w:lineRule="auto"/>
        <w:ind w:firstLine="482" w:firstLineChars="200"/>
        <w:rPr>
          <w:rFonts w:ascii="华文中宋" w:hAnsi="华文中宋" w:eastAsia="华文中宋"/>
          <w:b/>
          <w:color w:val="auto"/>
          <w:highlight w:val="none"/>
        </w:rPr>
      </w:pPr>
      <w:r>
        <w:rPr>
          <w:rFonts w:ascii="华文中宋" w:hAnsi="华文中宋" w:eastAsia="华文中宋"/>
          <w:b/>
          <w:color w:val="auto"/>
          <w:highlight w:val="none"/>
        </w:rPr>
        <w:t>3</w:t>
      </w:r>
      <w:r>
        <w:rPr>
          <w:rFonts w:hint="eastAsia" w:ascii="华文中宋" w:hAnsi="华文中宋" w:eastAsia="华文中宋"/>
          <w:b/>
          <w:color w:val="auto"/>
          <w:highlight w:val="none"/>
          <w:lang w:val="en-US" w:eastAsia="zh-CN"/>
        </w:rPr>
        <w:t>0</w:t>
      </w:r>
      <w:r>
        <w:rPr>
          <w:rFonts w:hint="eastAsia" w:ascii="华文中宋" w:hAnsi="华文中宋" w:eastAsia="华文中宋"/>
          <w:b/>
          <w:color w:val="auto"/>
          <w:szCs w:val="21"/>
          <w:highlight w:val="none"/>
        </w:rPr>
        <w:t>．</w:t>
      </w:r>
      <w:r>
        <w:rPr>
          <w:rFonts w:hint="eastAsia" w:ascii="华文中宋" w:hAnsi="华文中宋" w:eastAsia="华文中宋"/>
          <w:b/>
          <w:color w:val="auto"/>
          <w:highlight w:val="none"/>
        </w:rPr>
        <w:t>询问和质疑的线上提交</w:t>
      </w:r>
    </w:p>
    <w:p w14:paraId="4E7F7EC8">
      <w:pPr>
        <w:ind w:firstLine="480"/>
        <w:rPr>
          <w:rFonts w:hint="eastAsia" w:ascii="宋体" w:hAnsi="宋体" w:eastAsia="宋体" w:cs="Times New Roman"/>
          <w:color w:val="auto"/>
          <w:highlight w:val="none"/>
        </w:rPr>
      </w:pPr>
      <w:r>
        <w:rPr>
          <w:rFonts w:hint="eastAsia" w:ascii="宋体" w:hAnsi="宋体" w:eastAsia="宋体" w:cs="Times New Roman"/>
          <w:color w:val="auto"/>
          <w:highlight w:val="none"/>
        </w:rPr>
        <w:t>3</w:t>
      </w:r>
      <w:r>
        <w:rPr>
          <w:rFonts w:hint="eastAsia" w:ascii="宋体" w:hAnsi="宋体" w:eastAsia="宋体" w:cs="Times New Roman"/>
          <w:color w:val="auto"/>
          <w:highlight w:val="none"/>
          <w:lang w:val="en-US" w:eastAsia="zh-CN"/>
        </w:rPr>
        <w:t>0</w:t>
      </w:r>
      <w:r>
        <w:rPr>
          <w:rFonts w:hint="eastAsia" w:ascii="宋体" w:hAnsi="宋体" w:eastAsia="宋体" w:cs="Times New Roman"/>
          <w:color w:val="auto"/>
          <w:highlight w:val="none"/>
        </w:rPr>
        <w:t>.1供应商对</w:t>
      </w:r>
      <w:r>
        <w:rPr>
          <w:rFonts w:hint="eastAsia" w:ascii="宋体" w:hAnsi="宋体" w:eastAsia="宋体" w:cs="Times New Roman"/>
          <w:color w:val="auto"/>
          <w:highlight w:val="none"/>
          <w:lang w:eastAsia="zh-CN"/>
        </w:rPr>
        <w:t>采购</w:t>
      </w:r>
      <w:r>
        <w:rPr>
          <w:rFonts w:hint="eastAsia" w:ascii="宋体" w:hAnsi="宋体" w:eastAsia="宋体" w:cs="Times New Roman"/>
          <w:color w:val="auto"/>
          <w:highlight w:val="none"/>
        </w:rPr>
        <w:t>文件（除采购需求、综合评分细则）、</w:t>
      </w:r>
      <w:r>
        <w:rPr>
          <w:rFonts w:hint="eastAsia" w:ascii="宋体" w:hAnsi="宋体" w:eastAsia="宋体" w:cs="Times New Roman"/>
          <w:color w:val="auto"/>
          <w:highlight w:val="none"/>
          <w:lang w:eastAsia="zh-CN"/>
        </w:rPr>
        <w:t>采购</w:t>
      </w:r>
      <w:r>
        <w:rPr>
          <w:rFonts w:hint="eastAsia" w:ascii="宋体" w:hAnsi="宋体" w:eastAsia="宋体" w:cs="Times New Roman"/>
          <w:color w:val="auto"/>
          <w:highlight w:val="none"/>
        </w:rPr>
        <w:t>过程、采购结果进行口头询问的，可按第一部分</w:t>
      </w:r>
      <w:r>
        <w:rPr>
          <w:rFonts w:hint="eastAsia" w:ascii="宋体" w:hAnsi="宋体" w:eastAsia="宋体" w:cs="Times New Roman"/>
          <w:color w:val="auto"/>
          <w:highlight w:val="none"/>
          <w:lang w:eastAsia="zh-CN"/>
        </w:rPr>
        <w:t>采购公告</w:t>
      </w:r>
      <w:r>
        <w:rPr>
          <w:rFonts w:hint="eastAsia" w:ascii="宋体" w:hAnsi="宋体" w:eastAsia="宋体" w:cs="Times New Roman"/>
          <w:color w:val="auto"/>
          <w:highlight w:val="none"/>
        </w:rPr>
        <w:t>中载明的联系方式、地址向</w:t>
      </w:r>
      <w:r>
        <w:rPr>
          <w:rFonts w:hint="eastAsia" w:ascii="宋体" w:hAnsi="宋体" w:eastAsia="宋体" w:cs="Times New Roman"/>
          <w:color w:val="auto"/>
          <w:highlight w:val="none"/>
          <w:lang w:eastAsia="zh-CN"/>
        </w:rPr>
        <w:t>代理</w:t>
      </w:r>
      <w:r>
        <w:rPr>
          <w:rFonts w:hint="eastAsia" w:ascii="宋体" w:hAnsi="宋体" w:eastAsia="宋体" w:cs="Times New Roman"/>
          <w:color w:val="auto"/>
          <w:highlight w:val="none"/>
        </w:rPr>
        <w:t>机口头提出询问。</w:t>
      </w:r>
    </w:p>
    <w:p w14:paraId="6AF2D5B5">
      <w:pPr>
        <w:ind w:firstLine="480"/>
        <w:rPr>
          <w:rFonts w:hint="eastAsia" w:ascii="宋体" w:hAnsi="宋体" w:eastAsia="宋体" w:cs="Times New Roman"/>
          <w:color w:val="auto"/>
          <w:highlight w:val="none"/>
        </w:rPr>
      </w:pPr>
      <w:r>
        <w:rPr>
          <w:rFonts w:hint="eastAsia" w:ascii="宋体" w:hAnsi="宋体" w:eastAsia="宋体" w:cs="Times New Roman"/>
          <w:color w:val="auto"/>
          <w:highlight w:val="none"/>
        </w:rPr>
        <w:t>33.2供应商对</w:t>
      </w:r>
      <w:r>
        <w:rPr>
          <w:rFonts w:hint="eastAsia" w:ascii="宋体" w:hAnsi="宋体" w:eastAsia="宋体" w:cs="Times New Roman"/>
          <w:color w:val="auto"/>
          <w:highlight w:val="none"/>
          <w:lang w:eastAsia="zh-CN"/>
        </w:rPr>
        <w:t>采购</w:t>
      </w:r>
      <w:r>
        <w:rPr>
          <w:rFonts w:hint="eastAsia" w:ascii="宋体" w:hAnsi="宋体" w:eastAsia="宋体" w:cs="Times New Roman"/>
          <w:color w:val="auto"/>
          <w:highlight w:val="none"/>
        </w:rPr>
        <w:t>文件的采购需求、综合评分细则进行口头询问的，可按第一部分</w:t>
      </w:r>
      <w:r>
        <w:rPr>
          <w:rFonts w:hint="eastAsia" w:ascii="宋体" w:hAnsi="宋体" w:eastAsia="宋体" w:cs="Times New Roman"/>
          <w:color w:val="auto"/>
          <w:highlight w:val="none"/>
          <w:lang w:eastAsia="zh-CN"/>
        </w:rPr>
        <w:t>采购公告</w:t>
      </w:r>
      <w:r>
        <w:rPr>
          <w:rFonts w:hint="eastAsia" w:ascii="宋体" w:hAnsi="宋体" w:eastAsia="宋体" w:cs="Times New Roman"/>
          <w:color w:val="auto"/>
          <w:highlight w:val="none"/>
        </w:rPr>
        <w:t>中载明的联系方式、地址向采购人口头提出询问。</w:t>
      </w:r>
    </w:p>
    <w:p w14:paraId="3C4D6CFF">
      <w:pPr>
        <w:ind w:firstLine="480"/>
        <w:rPr>
          <w:rFonts w:hint="eastAsia" w:ascii="宋体" w:hAnsi="宋体" w:eastAsia="宋体" w:cs="Times New Roman"/>
          <w:color w:val="auto"/>
          <w:highlight w:val="none"/>
        </w:rPr>
      </w:pPr>
      <w:r>
        <w:rPr>
          <w:rFonts w:hint="eastAsia" w:ascii="宋体" w:hAnsi="宋体" w:eastAsia="宋体" w:cs="Times New Roman"/>
          <w:color w:val="auto"/>
          <w:highlight w:val="none"/>
        </w:rPr>
        <w:t>33.3供应商对</w:t>
      </w:r>
      <w:r>
        <w:rPr>
          <w:rFonts w:hint="eastAsia" w:ascii="宋体" w:hAnsi="宋体" w:eastAsia="宋体" w:cs="Times New Roman"/>
          <w:color w:val="auto"/>
          <w:highlight w:val="none"/>
          <w:lang w:eastAsia="zh-CN"/>
        </w:rPr>
        <w:t>采购</w:t>
      </w:r>
      <w:r>
        <w:rPr>
          <w:rFonts w:hint="eastAsia" w:ascii="宋体" w:hAnsi="宋体" w:eastAsia="宋体" w:cs="Times New Roman"/>
          <w:color w:val="auto"/>
          <w:highlight w:val="none"/>
        </w:rPr>
        <w:t>文件的采购需求、综合评分细则、采购过程、采购结果进行询问或质疑的，须通过政府采购平台进入“项目质疑管理”，按照系统中询问列表、质疑列表填写相关内容，填写完成后在“被询问/质疑对象机构类型”中选择“采购单位”，向采购人提交询问函或质疑函。</w:t>
      </w:r>
    </w:p>
    <w:p w14:paraId="33A3B71A">
      <w:pPr>
        <w:ind w:firstLine="480"/>
        <w:rPr>
          <w:rFonts w:hint="eastAsia" w:ascii="宋体" w:hAnsi="宋体" w:eastAsia="宋体" w:cs="Times New Roman"/>
          <w:color w:val="auto"/>
          <w:highlight w:val="none"/>
        </w:rPr>
      </w:pPr>
      <w:r>
        <w:rPr>
          <w:rFonts w:hint="eastAsia" w:ascii="宋体" w:hAnsi="宋体" w:eastAsia="宋体" w:cs="Times New Roman"/>
          <w:color w:val="auto"/>
          <w:highlight w:val="none"/>
        </w:rPr>
        <w:t>33.4供应商对</w:t>
      </w:r>
      <w:r>
        <w:rPr>
          <w:rFonts w:hint="eastAsia" w:ascii="宋体" w:hAnsi="宋体" w:eastAsia="宋体" w:cs="Times New Roman"/>
          <w:color w:val="auto"/>
          <w:highlight w:val="none"/>
          <w:lang w:eastAsia="zh-CN"/>
        </w:rPr>
        <w:t>采购</w:t>
      </w:r>
      <w:r>
        <w:rPr>
          <w:rFonts w:hint="eastAsia" w:ascii="宋体" w:hAnsi="宋体" w:eastAsia="宋体" w:cs="Times New Roman"/>
          <w:color w:val="auto"/>
          <w:highlight w:val="none"/>
        </w:rPr>
        <w:t>程序进行询问或质疑的，须通过政府采购平台进入“项目质疑管理”，按照系统中询问列表、质疑列表填写相关内容，填写完成后在“被询问/质疑对象机构类型”中选择“代理机构”，向代理机构提交询问函或质疑函。</w:t>
      </w:r>
    </w:p>
    <w:p w14:paraId="34D8AFCF">
      <w:pPr>
        <w:pStyle w:val="48"/>
        <w:pBdr>
          <w:top w:val="none" w:color="auto" w:sz="0" w:space="1"/>
          <w:left w:val="none" w:color="auto" w:sz="0" w:space="4"/>
          <w:bottom w:val="none" w:color="auto" w:sz="0" w:space="1"/>
          <w:right w:val="none" w:color="auto" w:sz="0" w:space="4"/>
          <w:between w:val="none" w:color="auto" w:sz="0" w:space="0"/>
        </w:pBdr>
        <w:tabs>
          <w:tab w:val="left" w:pos="3058"/>
        </w:tabs>
        <w:snapToGrid w:val="0"/>
        <w:spacing w:line="360" w:lineRule="auto"/>
        <w:ind w:firstLine="482" w:firstLineChars="200"/>
        <w:textAlignment w:val="auto"/>
        <w:rPr>
          <w:rFonts w:hint="eastAsia" w:ascii="华文中宋" w:hAnsi="华文中宋" w:eastAsia="华文中宋" w:cs="Times New Roman"/>
          <w:b/>
          <w:color w:val="auto"/>
          <w:kern w:val="2"/>
          <w:sz w:val="24"/>
          <w:szCs w:val="24"/>
          <w:highlight w:val="none"/>
          <w:lang w:val="en-US" w:eastAsia="zh-CN" w:bidi="ar-SA"/>
        </w:rPr>
      </w:pPr>
      <w:r>
        <w:rPr>
          <w:rFonts w:hint="eastAsia" w:ascii="华文中宋" w:hAnsi="华文中宋" w:eastAsia="华文中宋" w:cs="Times New Roman"/>
          <w:b/>
          <w:color w:val="auto"/>
          <w:kern w:val="2"/>
          <w:sz w:val="24"/>
          <w:szCs w:val="24"/>
          <w:highlight w:val="none"/>
          <w:lang w:val="en-US" w:eastAsia="zh-CN" w:bidi="ar-SA"/>
        </w:rPr>
        <w:t>31．询问和质疑的线上答复</w:t>
      </w:r>
      <w:r>
        <w:rPr>
          <w:rFonts w:hint="eastAsia" w:ascii="华文中宋" w:hAnsi="华文中宋" w:eastAsia="华文中宋" w:cs="Times New Roman"/>
          <w:b/>
          <w:color w:val="auto"/>
          <w:kern w:val="2"/>
          <w:sz w:val="24"/>
          <w:szCs w:val="24"/>
          <w:highlight w:val="none"/>
          <w:lang w:val="en-US" w:eastAsia="zh-CN" w:bidi="ar-SA"/>
        </w:rPr>
        <w:tab/>
      </w:r>
    </w:p>
    <w:p w14:paraId="56A03543">
      <w:pPr>
        <w:ind w:firstLine="480"/>
        <w:rPr>
          <w:rFonts w:hint="eastAsia" w:ascii="宋体" w:hAnsi="宋体" w:eastAsia="宋体" w:cs="Times New Roman"/>
          <w:color w:val="auto"/>
          <w:highlight w:val="none"/>
        </w:rPr>
      </w:pPr>
      <w:r>
        <w:rPr>
          <w:rFonts w:hint="eastAsia" w:ascii="宋体" w:hAnsi="宋体" w:eastAsia="宋体" w:cs="Times New Roman"/>
          <w:color w:val="auto"/>
          <w:highlight w:val="none"/>
        </w:rPr>
        <w:t>3</w:t>
      </w:r>
      <w:r>
        <w:rPr>
          <w:rFonts w:hint="eastAsia" w:ascii="宋体" w:hAnsi="宋体" w:eastAsia="宋体" w:cs="Times New Roman"/>
          <w:color w:val="auto"/>
          <w:highlight w:val="none"/>
          <w:lang w:val="en-US" w:eastAsia="zh-CN"/>
        </w:rPr>
        <w:t>1</w:t>
      </w:r>
      <w:r>
        <w:rPr>
          <w:rFonts w:hint="eastAsia" w:ascii="宋体" w:hAnsi="宋体" w:eastAsia="宋体" w:cs="Times New Roman"/>
          <w:color w:val="auto"/>
          <w:highlight w:val="none"/>
        </w:rPr>
        <w:t>.1 向“采购单位”提交询问函或质疑函的，由采购人按照法律法规规定在系统中进行答复；向“代理机构”提交询问函或质疑函的，由代理机构按照法律法规规定在系统中进行答复。</w:t>
      </w:r>
    </w:p>
    <w:p w14:paraId="5FC3BCE0">
      <w:pPr>
        <w:ind w:firstLine="480"/>
        <w:rPr>
          <w:rFonts w:hint="eastAsia" w:ascii="宋体" w:hAnsi="宋体" w:eastAsia="宋体" w:cs="Times New Roman"/>
          <w:color w:val="auto"/>
          <w:highlight w:val="none"/>
        </w:rPr>
      </w:pPr>
      <w:r>
        <w:rPr>
          <w:rFonts w:hint="eastAsia" w:ascii="宋体" w:hAnsi="宋体" w:eastAsia="宋体" w:cs="Times New Roman"/>
          <w:color w:val="auto"/>
          <w:highlight w:val="none"/>
        </w:rPr>
        <w:t>3</w:t>
      </w:r>
      <w:r>
        <w:rPr>
          <w:rFonts w:hint="eastAsia" w:ascii="宋体" w:hAnsi="宋体" w:eastAsia="宋体" w:cs="Times New Roman"/>
          <w:color w:val="auto"/>
          <w:highlight w:val="none"/>
          <w:lang w:val="en-US" w:eastAsia="zh-CN"/>
        </w:rPr>
        <w:t>1</w:t>
      </w:r>
      <w:r>
        <w:rPr>
          <w:rFonts w:hint="eastAsia" w:ascii="宋体" w:hAnsi="宋体" w:eastAsia="宋体" w:cs="Times New Roman"/>
          <w:color w:val="auto"/>
          <w:highlight w:val="none"/>
        </w:rPr>
        <w:t>.2质疑答复内容不得涉及商业秘密。</w:t>
      </w:r>
    </w:p>
    <w:p w14:paraId="67A329D6">
      <w:pPr>
        <w:ind w:firstLine="480"/>
        <w:rPr>
          <w:rFonts w:hint="eastAsia" w:ascii="宋体" w:hAnsi="宋体" w:eastAsia="宋体" w:cs="Times New Roman"/>
          <w:color w:val="auto"/>
          <w:highlight w:val="none"/>
        </w:rPr>
      </w:pPr>
      <w:r>
        <w:rPr>
          <w:rFonts w:hint="eastAsia" w:ascii="宋体" w:hAnsi="宋体" w:eastAsia="宋体" w:cs="Times New Roman"/>
          <w:color w:val="auto"/>
          <w:highlight w:val="none"/>
        </w:rPr>
        <w:t>3</w:t>
      </w:r>
      <w:r>
        <w:rPr>
          <w:rFonts w:hint="eastAsia" w:ascii="宋体" w:hAnsi="宋体" w:eastAsia="宋体" w:cs="Times New Roman"/>
          <w:color w:val="auto"/>
          <w:highlight w:val="none"/>
          <w:lang w:val="en-US" w:eastAsia="zh-CN"/>
        </w:rPr>
        <w:t>1</w:t>
      </w:r>
      <w:r>
        <w:rPr>
          <w:rFonts w:hint="eastAsia" w:ascii="宋体" w:hAnsi="宋体" w:eastAsia="宋体" w:cs="Times New Roman"/>
          <w:color w:val="auto"/>
          <w:highlight w:val="none"/>
        </w:rPr>
        <w:t>.3质疑供应商撤回质疑的，采购人或</w:t>
      </w:r>
      <w:r>
        <w:rPr>
          <w:rFonts w:hint="eastAsia" w:ascii="宋体" w:hAnsi="宋体" w:eastAsia="宋体" w:cs="Times New Roman"/>
          <w:color w:val="auto"/>
          <w:highlight w:val="none"/>
          <w:lang w:eastAsia="zh-CN"/>
        </w:rPr>
        <w:t>代理</w:t>
      </w:r>
      <w:r>
        <w:rPr>
          <w:rFonts w:hint="eastAsia" w:ascii="宋体" w:hAnsi="宋体" w:eastAsia="宋体" w:cs="Times New Roman"/>
          <w:color w:val="auto"/>
          <w:highlight w:val="none"/>
        </w:rPr>
        <w:t>机构终止质疑处理。</w:t>
      </w:r>
    </w:p>
    <w:p w14:paraId="7F0B43EF">
      <w:pPr>
        <w:ind w:firstLine="480"/>
        <w:rPr>
          <w:rFonts w:hint="eastAsia" w:ascii="宋体" w:hAnsi="宋体" w:eastAsia="宋体" w:cs="Times New Roman"/>
          <w:color w:val="auto"/>
          <w:highlight w:val="none"/>
        </w:rPr>
      </w:pPr>
      <w:r>
        <w:rPr>
          <w:rFonts w:hint="eastAsia" w:ascii="宋体" w:hAnsi="宋体" w:eastAsia="宋体" w:cs="Times New Roman"/>
          <w:color w:val="auto"/>
          <w:highlight w:val="none"/>
        </w:rPr>
        <w:t>3</w:t>
      </w:r>
      <w:r>
        <w:rPr>
          <w:rFonts w:hint="eastAsia" w:ascii="宋体" w:hAnsi="宋体" w:eastAsia="宋体" w:cs="Times New Roman"/>
          <w:color w:val="auto"/>
          <w:highlight w:val="none"/>
          <w:lang w:val="en-US" w:eastAsia="zh-CN"/>
        </w:rPr>
        <w:t>1</w:t>
      </w:r>
      <w:r>
        <w:rPr>
          <w:rFonts w:hint="eastAsia" w:ascii="宋体" w:hAnsi="宋体" w:eastAsia="宋体" w:cs="Times New Roman"/>
          <w:color w:val="auto"/>
          <w:highlight w:val="none"/>
        </w:rPr>
        <w:t>.4供应商质疑不成立，或者成立但未对成交结果构成影响的，继续开展采购活动；认为供应商质疑成立且影响或者可能影响成交结果的，按照下列情况处理：</w:t>
      </w:r>
    </w:p>
    <w:p w14:paraId="27B273D2">
      <w:pPr>
        <w:ind w:firstLine="480"/>
        <w:rPr>
          <w:rFonts w:hint="eastAsia" w:ascii="宋体" w:hAnsi="宋体" w:eastAsia="宋体" w:cs="Times New Roman"/>
          <w:color w:val="auto"/>
          <w:highlight w:val="none"/>
        </w:rPr>
      </w:pPr>
      <w:r>
        <w:rPr>
          <w:rFonts w:hint="eastAsia" w:ascii="宋体" w:hAnsi="宋体" w:eastAsia="宋体" w:cs="Times New Roman"/>
          <w:color w:val="auto"/>
          <w:highlight w:val="none"/>
        </w:rPr>
        <w:t>（1）对</w:t>
      </w:r>
      <w:r>
        <w:rPr>
          <w:rFonts w:hint="eastAsia" w:cs="Times New Roman"/>
          <w:color w:val="auto"/>
          <w:highlight w:val="none"/>
          <w:lang w:eastAsia="zh-CN"/>
        </w:rPr>
        <w:t>采购文件</w:t>
      </w:r>
      <w:r>
        <w:rPr>
          <w:rFonts w:hint="eastAsia" w:ascii="宋体" w:hAnsi="宋体" w:eastAsia="宋体" w:cs="Times New Roman"/>
          <w:color w:val="auto"/>
          <w:highlight w:val="none"/>
        </w:rPr>
        <w:t>提出的质疑，依法通过澄清或者修改可以继续开展采购活动的，澄清或者修改</w:t>
      </w:r>
      <w:r>
        <w:rPr>
          <w:rFonts w:hint="eastAsia" w:ascii="宋体" w:hAnsi="宋体" w:eastAsia="宋体" w:cs="Times New Roman"/>
          <w:color w:val="auto"/>
          <w:highlight w:val="none"/>
          <w:lang w:eastAsia="zh-CN"/>
        </w:rPr>
        <w:t>采购</w:t>
      </w:r>
      <w:r>
        <w:rPr>
          <w:rFonts w:hint="eastAsia" w:ascii="宋体" w:hAnsi="宋体" w:eastAsia="宋体" w:cs="Times New Roman"/>
          <w:color w:val="auto"/>
          <w:highlight w:val="none"/>
        </w:rPr>
        <w:t>文件后继续开展采购活动；否则应修改</w:t>
      </w:r>
      <w:r>
        <w:rPr>
          <w:rFonts w:hint="eastAsia" w:ascii="宋体" w:hAnsi="宋体" w:eastAsia="宋体" w:cs="Times New Roman"/>
          <w:color w:val="auto"/>
          <w:highlight w:val="none"/>
          <w:lang w:eastAsia="zh-CN"/>
        </w:rPr>
        <w:t>采购</w:t>
      </w:r>
      <w:r>
        <w:rPr>
          <w:rFonts w:hint="eastAsia" w:ascii="宋体" w:hAnsi="宋体" w:eastAsia="宋体" w:cs="Times New Roman"/>
          <w:color w:val="auto"/>
          <w:highlight w:val="none"/>
        </w:rPr>
        <w:t>文件后重新开展采购活动。</w:t>
      </w:r>
    </w:p>
    <w:p w14:paraId="75351D2C">
      <w:pPr>
        <w:ind w:firstLine="480"/>
        <w:rPr>
          <w:rFonts w:hint="eastAsia" w:ascii="宋体" w:hAnsi="宋体" w:eastAsia="宋体" w:cs="Times New Roman"/>
          <w:color w:val="auto"/>
          <w:highlight w:val="none"/>
        </w:rPr>
      </w:pPr>
      <w:r>
        <w:rPr>
          <w:rFonts w:hint="eastAsia" w:ascii="宋体" w:hAnsi="宋体" w:eastAsia="宋体" w:cs="Times New Roman"/>
          <w:color w:val="auto"/>
          <w:highlight w:val="none"/>
        </w:rPr>
        <w:t>（2）对</w:t>
      </w:r>
      <w:r>
        <w:rPr>
          <w:rFonts w:hint="eastAsia" w:ascii="宋体" w:hAnsi="宋体" w:eastAsia="宋体" w:cs="Times New Roman"/>
          <w:color w:val="auto"/>
          <w:highlight w:val="none"/>
          <w:lang w:eastAsia="zh-CN"/>
        </w:rPr>
        <w:t>采购</w:t>
      </w:r>
      <w:r>
        <w:rPr>
          <w:rFonts w:hint="eastAsia" w:ascii="宋体" w:hAnsi="宋体" w:eastAsia="宋体" w:cs="Times New Roman"/>
          <w:color w:val="auto"/>
          <w:highlight w:val="none"/>
        </w:rPr>
        <w:t>过程、成交结果提出的质疑，合格供应商符合法定数量时，可以从合格的成交候选人中另行确定成交供应商的，应当依法另行确定成交供应商；否则应重新开展采购活动。</w:t>
      </w:r>
    </w:p>
    <w:p w14:paraId="361AE79E">
      <w:pPr>
        <w:ind w:firstLine="480"/>
        <w:rPr>
          <w:rFonts w:hint="eastAsia" w:ascii="宋体" w:hAnsi="宋体" w:eastAsia="宋体" w:cs="Times New Roman"/>
          <w:color w:val="auto"/>
          <w:highlight w:val="none"/>
        </w:rPr>
      </w:pPr>
      <w:r>
        <w:rPr>
          <w:rFonts w:hint="eastAsia" w:ascii="宋体" w:hAnsi="宋体" w:eastAsia="宋体" w:cs="Times New Roman"/>
          <w:color w:val="auto"/>
          <w:highlight w:val="none"/>
        </w:rPr>
        <w:t>（3）质疑答复导致成交结果改变的，属于采购人答复的，采购人应当将质疑答复结果告知被质疑供应商，将质疑答复内容和重新确定的采购结果函告</w:t>
      </w:r>
      <w:r>
        <w:rPr>
          <w:rFonts w:hint="eastAsia" w:ascii="宋体" w:hAnsi="宋体" w:eastAsia="宋体" w:cs="Times New Roman"/>
          <w:color w:val="auto"/>
          <w:highlight w:val="none"/>
          <w:lang w:eastAsia="zh-CN"/>
        </w:rPr>
        <w:t>代理</w:t>
      </w:r>
      <w:r>
        <w:rPr>
          <w:rFonts w:hint="eastAsia" w:ascii="宋体" w:hAnsi="宋体" w:eastAsia="宋体" w:cs="Times New Roman"/>
          <w:color w:val="auto"/>
          <w:highlight w:val="none"/>
        </w:rPr>
        <w:t>机构，</w:t>
      </w:r>
      <w:r>
        <w:rPr>
          <w:rFonts w:hint="eastAsia" w:ascii="宋体" w:hAnsi="宋体" w:eastAsia="宋体" w:cs="Times New Roman"/>
          <w:color w:val="auto"/>
          <w:highlight w:val="none"/>
          <w:lang w:eastAsia="zh-CN"/>
        </w:rPr>
        <w:t>代理</w:t>
      </w:r>
      <w:r>
        <w:rPr>
          <w:rFonts w:hint="eastAsia" w:ascii="宋体" w:hAnsi="宋体" w:eastAsia="宋体" w:cs="Times New Roman"/>
          <w:color w:val="auto"/>
          <w:highlight w:val="none"/>
        </w:rPr>
        <w:t>机构按照采购人的意见发布结果变更公告，并将有关情况书面报告本级财政部门。属于</w:t>
      </w:r>
      <w:r>
        <w:rPr>
          <w:rFonts w:hint="eastAsia" w:ascii="宋体" w:hAnsi="宋体" w:eastAsia="宋体" w:cs="Times New Roman"/>
          <w:color w:val="auto"/>
          <w:highlight w:val="none"/>
          <w:lang w:eastAsia="zh-CN"/>
        </w:rPr>
        <w:t>代理</w:t>
      </w:r>
      <w:r>
        <w:rPr>
          <w:rFonts w:hint="eastAsia" w:ascii="宋体" w:hAnsi="宋体" w:eastAsia="宋体" w:cs="Times New Roman"/>
          <w:color w:val="auto"/>
          <w:highlight w:val="none"/>
        </w:rPr>
        <w:t>机构答复的，</w:t>
      </w:r>
      <w:r>
        <w:rPr>
          <w:rFonts w:hint="eastAsia" w:ascii="宋体" w:hAnsi="宋体" w:eastAsia="宋体" w:cs="Times New Roman"/>
          <w:color w:val="auto"/>
          <w:highlight w:val="none"/>
          <w:lang w:eastAsia="zh-CN"/>
        </w:rPr>
        <w:t>代理</w:t>
      </w:r>
      <w:r>
        <w:rPr>
          <w:rFonts w:hint="eastAsia" w:ascii="宋体" w:hAnsi="宋体" w:eastAsia="宋体" w:cs="Times New Roman"/>
          <w:color w:val="auto"/>
          <w:highlight w:val="none"/>
        </w:rPr>
        <w:t>机构编制变更公告，经采购人确认后发布结果变更公告，并将有关情况书面报告本级财政部门。</w:t>
      </w:r>
    </w:p>
    <w:p w14:paraId="0D746175">
      <w:pPr>
        <w:pStyle w:val="6"/>
        <w:spacing w:before="234" w:after="46"/>
        <w:rPr>
          <w:color w:val="auto"/>
          <w:highlight w:val="none"/>
        </w:rPr>
      </w:pPr>
      <w:r>
        <w:rPr>
          <w:rFonts w:hint="eastAsia"/>
          <w:color w:val="auto"/>
          <w:highlight w:val="none"/>
        </w:rPr>
        <w:t>十、违约处罚</w:t>
      </w:r>
    </w:p>
    <w:p w14:paraId="61819DDB">
      <w:pPr>
        <w:keepNext/>
        <w:keepLines/>
        <w:widowControl/>
        <w:spacing w:before="156" w:beforeLines="50" w:after="31" w:afterLines="10"/>
        <w:ind w:firstLine="482"/>
        <w:jc w:val="left"/>
        <w:outlineLvl w:val="2"/>
        <w:rPr>
          <w:b/>
          <w:color w:val="auto"/>
          <w:szCs w:val="32"/>
          <w:highlight w:val="none"/>
        </w:rPr>
      </w:pPr>
      <w:r>
        <w:rPr>
          <w:rFonts w:hint="eastAsia"/>
          <w:b/>
          <w:color w:val="auto"/>
          <w:szCs w:val="32"/>
          <w:highlight w:val="none"/>
        </w:rPr>
        <w:t>32.违约处罚</w:t>
      </w:r>
    </w:p>
    <w:p w14:paraId="4A8B04DC">
      <w:pPr>
        <w:ind w:firstLine="480"/>
        <w:rPr>
          <w:color w:val="auto"/>
          <w:highlight w:val="none"/>
        </w:rPr>
      </w:pPr>
      <w:r>
        <w:rPr>
          <w:rFonts w:hint="eastAsia"/>
          <w:color w:val="auto"/>
          <w:highlight w:val="none"/>
        </w:rPr>
        <w:t>32.1发生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61D5F2D2">
      <w:pPr>
        <w:ind w:firstLine="480"/>
        <w:rPr>
          <w:color w:val="auto"/>
          <w:highlight w:val="none"/>
        </w:rPr>
      </w:pPr>
      <w:r>
        <w:rPr>
          <w:rFonts w:hint="eastAsia"/>
          <w:color w:val="auto"/>
          <w:highlight w:val="none"/>
        </w:rPr>
        <w:t>（1）提供虚假材料谋取中标的；</w:t>
      </w:r>
    </w:p>
    <w:p w14:paraId="402FD239">
      <w:pPr>
        <w:ind w:firstLine="480"/>
        <w:rPr>
          <w:color w:val="auto"/>
          <w:highlight w:val="none"/>
        </w:rPr>
      </w:pPr>
      <w:r>
        <w:rPr>
          <w:rFonts w:hint="eastAsia"/>
          <w:color w:val="auto"/>
          <w:highlight w:val="none"/>
        </w:rPr>
        <w:t>（2）采取不正当手段诋毁、排挤其他投标人的；</w:t>
      </w:r>
    </w:p>
    <w:p w14:paraId="2D26D42A">
      <w:pPr>
        <w:ind w:firstLine="480"/>
        <w:rPr>
          <w:color w:val="auto"/>
          <w:highlight w:val="none"/>
        </w:rPr>
      </w:pPr>
      <w:r>
        <w:rPr>
          <w:rFonts w:hint="eastAsia"/>
          <w:color w:val="auto"/>
          <w:highlight w:val="none"/>
        </w:rPr>
        <w:t>（3）与采购人、其它投标人或者采购代理机构工作人员恶意串通的；</w:t>
      </w:r>
    </w:p>
    <w:p w14:paraId="2F1429BD">
      <w:pPr>
        <w:ind w:firstLine="480"/>
        <w:rPr>
          <w:color w:val="auto"/>
          <w:highlight w:val="none"/>
        </w:rPr>
      </w:pPr>
      <w:r>
        <w:rPr>
          <w:rFonts w:hint="eastAsia"/>
          <w:color w:val="auto"/>
          <w:highlight w:val="none"/>
        </w:rPr>
        <w:t>（4）向采购人、采购代理机构工作人员行贿或者提供其他不正益的；</w:t>
      </w:r>
    </w:p>
    <w:p w14:paraId="05CA5F11">
      <w:pPr>
        <w:ind w:firstLine="480"/>
        <w:rPr>
          <w:color w:val="auto"/>
          <w:highlight w:val="none"/>
        </w:rPr>
      </w:pPr>
      <w:r>
        <w:rPr>
          <w:rFonts w:hint="eastAsia"/>
          <w:color w:val="auto"/>
          <w:highlight w:val="none"/>
        </w:rPr>
        <w:t>（5）在采购过程中与采购人进行协商谈判的；</w:t>
      </w:r>
    </w:p>
    <w:p w14:paraId="0FC9FBF3">
      <w:pPr>
        <w:ind w:firstLine="480"/>
        <w:rPr>
          <w:color w:val="auto"/>
          <w:highlight w:val="none"/>
        </w:rPr>
      </w:pPr>
      <w:r>
        <w:rPr>
          <w:rFonts w:hint="eastAsia"/>
          <w:color w:val="auto"/>
          <w:highlight w:val="none"/>
        </w:rPr>
        <w:t>（6）向评标委员会成员行贿或者提供其他不正当利益；</w:t>
      </w:r>
    </w:p>
    <w:p w14:paraId="42AB9D30">
      <w:pPr>
        <w:ind w:firstLine="480"/>
        <w:rPr>
          <w:color w:val="auto"/>
          <w:highlight w:val="none"/>
        </w:rPr>
      </w:pPr>
      <w:r>
        <w:rPr>
          <w:rFonts w:hint="eastAsia"/>
          <w:color w:val="auto"/>
          <w:highlight w:val="none"/>
        </w:rPr>
        <w:t>（7）拒绝有关部门监督检查或提供虚假情况的；</w:t>
      </w:r>
    </w:p>
    <w:p w14:paraId="2C46BB38">
      <w:pPr>
        <w:ind w:firstLine="480"/>
        <w:rPr>
          <w:color w:val="auto"/>
          <w:highlight w:val="none"/>
        </w:rPr>
      </w:pPr>
      <w:r>
        <w:rPr>
          <w:rFonts w:hint="eastAsia"/>
          <w:color w:val="auto"/>
          <w:highlight w:val="none"/>
        </w:rPr>
        <w:t>（8）中标后无正当理由拒不与采购人签订政府采购合同；</w:t>
      </w:r>
    </w:p>
    <w:p w14:paraId="3FE80448">
      <w:pPr>
        <w:ind w:firstLine="480"/>
        <w:rPr>
          <w:color w:val="auto"/>
          <w:highlight w:val="none"/>
        </w:rPr>
      </w:pPr>
      <w:r>
        <w:rPr>
          <w:rFonts w:hint="eastAsia"/>
          <w:color w:val="auto"/>
          <w:highlight w:val="none"/>
        </w:rPr>
        <w:t>（9）未按照招标文件确定的事项签订政府采购合同；</w:t>
      </w:r>
    </w:p>
    <w:p w14:paraId="79F27932">
      <w:pPr>
        <w:ind w:firstLine="480"/>
        <w:rPr>
          <w:color w:val="auto"/>
          <w:highlight w:val="none"/>
        </w:rPr>
      </w:pPr>
      <w:r>
        <w:rPr>
          <w:rFonts w:hint="eastAsia"/>
          <w:color w:val="auto"/>
          <w:highlight w:val="none"/>
        </w:rPr>
        <w:t>（10）将政府采购合同转包；</w:t>
      </w:r>
    </w:p>
    <w:p w14:paraId="1A7DA508">
      <w:pPr>
        <w:ind w:firstLine="480"/>
        <w:rPr>
          <w:color w:val="auto"/>
          <w:highlight w:val="none"/>
        </w:rPr>
      </w:pPr>
      <w:r>
        <w:rPr>
          <w:rFonts w:hint="eastAsia"/>
          <w:color w:val="auto"/>
          <w:highlight w:val="none"/>
        </w:rPr>
        <w:t>（11）提供假冒伪劣产品；</w:t>
      </w:r>
    </w:p>
    <w:p w14:paraId="5A9D6998">
      <w:pPr>
        <w:ind w:firstLine="480"/>
        <w:rPr>
          <w:color w:val="auto"/>
          <w:highlight w:val="none"/>
        </w:rPr>
      </w:pPr>
      <w:r>
        <w:rPr>
          <w:rFonts w:hint="eastAsia"/>
          <w:color w:val="auto"/>
          <w:highlight w:val="none"/>
        </w:rPr>
        <w:t>（12）擅自变更、中止或者终止政府采购合同。</w:t>
      </w:r>
    </w:p>
    <w:p w14:paraId="7AF6C34E">
      <w:pPr>
        <w:ind w:firstLine="480"/>
        <w:rPr>
          <w:color w:val="auto"/>
          <w:highlight w:val="none"/>
        </w:rPr>
      </w:pPr>
      <w:r>
        <w:rPr>
          <w:rFonts w:hint="eastAsia"/>
          <w:color w:val="auto"/>
          <w:highlight w:val="none"/>
        </w:rPr>
        <w:t>有第（1）-（6）项规定情形的，中标无效。投标人的保证金将不予退还。</w:t>
      </w:r>
    </w:p>
    <w:p w14:paraId="2B630D40">
      <w:pPr>
        <w:ind w:firstLine="480"/>
        <w:rPr>
          <w:color w:val="auto"/>
          <w:highlight w:val="none"/>
        </w:rPr>
      </w:pPr>
      <w:r>
        <w:rPr>
          <w:rFonts w:hint="eastAsia"/>
          <w:color w:val="auto"/>
          <w:highlight w:val="none"/>
        </w:rPr>
        <w:t>32.2</w:t>
      </w:r>
      <w:r>
        <w:rPr>
          <w:color w:val="auto"/>
          <w:highlight w:val="none"/>
        </w:rPr>
        <w:t>有下列情形之一的，视为投标人串通投标，其投标无效：</w:t>
      </w:r>
    </w:p>
    <w:p w14:paraId="383B3381">
      <w:pPr>
        <w:ind w:firstLine="480"/>
        <w:rPr>
          <w:color w:val="auto"/>
          <w:highlight w:val="none"/>
        </w:rPr>
      </w:pPr>
      <w:r>
        <w:rPr>
          <w:color w:val="auto"/>
          <w:highlight w:val="none"/>
        </w:rPr>
        <w:t>（一）不同投标人的投标文件由同一单位或者个人编制；</w:t>
      </w:r>
    </w:p>
    <w:p w14:paraId="5133B992">
      <w:pPr>
        <w:ind w:firstLine="480"/>
        <w:rPr>
          <w:color w:val="auto"/>
          <w:highlight w:val="none"/>
        </w:rPr>
      </w:pPr>
      <w:r>
        <w:rPr>
          <w:color w:val="auto"/>
          <w:highlight w:val="none"/>
        </w:rPr>
        <w:t>（二）不同投标人委托同一单位或者个人办理投标事宜；</w:t>
      </w:r>
    </w:p>
    <w:p w14:paraId="03BAC868">
      <w:pPr>
        <w:ind w:firstLine="480"/>
        <w:rPr>
          <w:color w:val="auto"/>
          <w:highlight w:val="none"/>
        </w:rPr>
      </w:pPr>
      <w:r>
        <w:rPr>
          <w:color w:val="auto"/>
          <w:highlight w:val="none"/>
        </w:rPr>
        <w:t>（三）不同投标人的投标文件载明的项目管理成员或者联系人员为同一人；</w:t>
      </w:r>
    </w:p>
    <w:p w14:paraId="10E529E4">
      <w:pPr>
        <w:ind w:firstLine="480"/>
        <w:rPr>
          <w:color w:val="auto"/>
          <w:highlight w:val="none"/>
        </w:rPr>
      </w:pPr>
      <w:r>
        <w:rPr>
          <w:color w:val="auto"/>
          <w:highlight w:val="none"/>
        </w:rPr>
        <w:t>（四）不同投标人的投标文件异常一致或者投标报价呈规律性差异；</w:t>
      </w:r>
    </w:p>
    <w:p w14:paraId="155A0EA3">
      <w:pPr>
        <w:ind w:firstLine="480"/>
        <w:rPr>
          <w:color w:val="auto"/>
          <w:highlight w:val="none"/>
        </w:rPr>
      </w:pPr>
      <w:r>
        <w:rPr>
          <w:color w:val="auto"/>
          <w:highlight w:val="none"/>
        </w:rPr>
        <w:t>（五）不同投标人的投标文件相互混装；</w:t>
      </w:r>
    </w:p>
    <w:p w14:paraId="5352FD11">
      <w:pPr>
        <w:ind w:firstLine="480"/>
        <w:rPr>
          <w:color w:val="auto"/>
          <w:highlight w:val="none"/>
        </w:rPr>
      </w:pPr>
      <w:r>
        <w:rPr>
          <w:color w:val="auto"/>
          <w:highlight w:val="none"/>
        </w:rPr>
        <w:t>（六）不同投标人的投标保证金从同一单位或者个人的账户转出。</w:t>
      </w:r>
    </w:p>
    <w:p w14:paraId="1B01DB33">
      <w:pPr>
        <w:ind w:firstLine="480"/>
        <w:rPr>
          <w:color w:val="auto"/>
          <w:highlight w:val="none"/>
        </w:rPr>
      </w:pPr>
      <w:r>
        <w:rPr>
          <w:rFonts w:hint="eastAsia"/>
          <w:color w:val="auto"/>
          <w:highlight w:val="none"/>
        </w:rPr>
        <w:t>32.3评标委员会及其成员不得有下列行为：</w:t>
      </w:r>
    </w:p>
    <w:p w14:paraId="007526D7">
      <w:pPr>
        <w:ind w:firstLine="480"/>
        <w:rPr>
          <w:color w:val="auto"/>
          <w:highlight w:val="none"/>
        </w:rPr>
      </w:pPr>
      <w:r>
        <w:rPr>
          <w:rFonts w:hint="eastAsia"/>
          <w:color w:val="auto"/>
          <w:highlight w:val="none"/>
        </w:rPr>
        <w:t>（一）确定参与评标至评标结束前私自接触投标人；</w:t>
      </w:r>
    </w:p>
    <w:p w14:paraId="6C7BFABA">
      <w:pPr>
        <w:ind w:firstLine="480"/>
        <w:rPr>
          <w:color w:val="auto"/>
          <w:highlight w:val="none"/>
        </w:rPr>
      </w:pPr>
      <w:r>
        <w:rPr>
          <w:rFonts w:hint="eastAsia"/>
          <w:color w:val="auto"/>
          <w:highlight w:val="none"/>
        </w:rPr>
        <w:t>（二）接受投标人提出的与投标文件不一致的澄清或者说明，对于投标文件中含义不明确、同类问题表述不一致或者有明显文字和计算错误的内容的情形除外；</w:t>
      </w:r>
    </w:p>
    <w:p w14:paraId="649156B5">
      <w:pPr>
        <w:ind w:firstLine="480"/>
        <w:rPr>
          <w:color w:val="auto"/>
          <w:highlight w:val="none"/>
        </w:rPr>
      </w:pPr>
      <w:r>
        <w:rPr>
          <w:rFonts w:hint="eastAsia"/>
          <w:color w:val="auto"/>
          <w:highlight w:val="none"/>
        </w:rPr>
        <w:t>（三）违反评标纪律发表倾向性意见或者征询采购人的倾向性意见；</w:t>
      </w:r>
    </w:p>
    <w:p w14:paraId="479D5273">
      <w:pPr>
        <w:ind w:firstLine="480"/>
        <w:rPr>
          <w:color w:val="auto"/>
          <w:highlight w:val="none"/>
        </w:rPr>
      </w:pPr>
      <w:r>
        <w:rPr>
          <w:rFonts w:hint="eastAsia"/>
          <w:color w:val="auto"/>
          <w:highlight w:val="none"/>
        </w:rPr>
        <w:t>（四）对需要专业判断的主观评审因素协商评分；</w:t>
      </w:r>
    </w:p>
    <w:p w14:paraId="74B9FBCD">
      <w:pPr>
        <w:ind w:firstLine="480"/>
        <w:rPr>
          <w:color w:val="auto"/>
          <w:highlight w:val="none"/>
        </w:rPr>
      </w:pPr>
      <w:r>
        <w:rPr>
          <w:rFonts w:hint="eastAsia"/>
          <w:color w:val="auto"/>
          <w:highlight w:val="none"/>
        </w:rPr>
        <w:t>（五）在评标过程中擅离职守，影响评标程序正常进行的；</w:t>
      </w:r>
    </w:p>
    <w:p w14:paraId="17FE72EF">
      <w:pPr>
        <w:ind w:firstLine="480"/>
        <w:rPr>
          <w:color w:val="auto"/>
          <w:highlight w:val="none"/>
        </w:rPr>
      </w:pPr>
      <w:r>
        <w:rPr>
          <w:rFonts w:hint="eastAsia"/>
          <w:color w:val="auto"/>
          <w:highlight w:val="none"/>
        </w:rPr>
        <w:t>（六）记录、复制或者带走任何评标资料；</w:t>
      </w:r>
    </w:p>
    <w:p w14:paraId="46355772">
      <w:pPr>
        <w:ind w:firstLine="480"/>
        <w:rPr>
          <w:color w:val="auto"/>
          <w:highlight w:val="none"/>
        </w:rPr>
      </w:pPr>
      <w:r>
        <w:rPr>
          <w:rFonts w:hint="eastAsia"/>
          <w:color w:val="auto"/>
          <w:highlight w:val="none"/>
        </w:rPr>
        <w:t>（七）其他不遵守评标纪律的行为。</w:t>
      </w:r>
    </w:p>
    <w:p w14:paraId="09EA2BDB">
      <w:pPr>
        <w:ind w:firstLine="480"/>
        <w:rPr>
          <w:color w:val="auto"/>
          <w:highlight w:val="none"/>
        </w:rPr>
      </w:pPr>
      <w:r>
        <w:rPr>
          <w:rFonts w:hint="eastAsia"/>
          <w:color w:val="auto"/>
          <w:highlight w:val="none"/>
        </w:rPr>
        <w:t xml:space="preserve"> 评标委员会成员有前款第一至五项行为之一的，其评审意见无效，并不得获取评审劳务报酬和报销异地评审差旅费。</w:t>
      </w:r>
    </w:p>
    <w:p w14:paraId="59B29104">
      <w:pPr>
        <w:ind w:firstLine="0" w:firstLineChars="0"/>
        <w:jc w:val="center"/>
        <w:outlineLvl w:val="0"/>
        <w:rPr>
          <w:color w:val="auto"/>
          <w:highlight w:val="none"/>
        </w:rPr>
      </w:pPr>
      <w:r>
        <w:rPr>
          <w:rFonts w:hint="eastAsia"/>
          <w:color w:val="auto"/>
          <w:highlight w:val="none"/>
        </w:rPr>
        <w:br w:type="page"/>
      </w:r>
      <w:bookmarkStart w:id="30" w:name="_Toc30907"/>
      <w:r>
        <w:rPr>
          <w:rStyle w:val="49"/>
          <w:rFonts w:hint="eastAsia"/>
          <w:color w:val="auto"/>
          <w:highlight w:val="none"/>
        </w:rPr>
        <w:t>第三章 评标标准和评标方法</w:t>
      </w:r>
      <w:bookmarkEnd w:id="30"/>
    </w:p>
    <w:p w14:paraId="2E067D80">
      <w:pPr>
        <w:pStyle w:val="7"/>
        <w:spacing w:before="156" w:after="31"/>
        <w:ind w:firstLine="482"/>
        <w:rPr>
          <w:color w:val="auto"/>
          <w:highlight w:val="none"/>
        </w:rPr>
      </w:pPr>
      <w:r>
        <w:rPr>
          <w:rFonts w:hint="eastAsia"/>
          <w:color w:val="auto"/>
          <w:highlight w:val="none"/>
        </w:rPr>
        <w:t>一、投标文件初审</w:t>
      </w:r>
    </w:p>
    <w:p w14:paraId="1AC938D2">
      <w:pPr>
        <w:keepNext/>
        <w:keepLines/>
        <w:widowControl/>
        <w:spacing w:before="156" w:beforeLines="50" w:after="156" w:afterLines="50"/>
        <w:ind w:firstLine="482"/>
        <w:jc w:val="left"/>
        <w:outlineLvl w:val="2"/>
        <w:rPr>
          <w:rFonts w:hint="eastAsia"/>
          <w:b/>
          <w:color w:val="auto"/>
          <w:szCs w:val="32"/>
          <w:highlight w:val="none"/>
        </w:rPr>
      </w:pPr>
      <w:r>
        <w:rPr>
          <w:rFonts w:hint="eastAsia"/>
          <w:b/>
          <w:color w:val="auto"/>
          <w:szCs w:val="32"/>
          <w:highlight w:val="none"/>
        </w:rPr>
        <w:t>1. 资格性审查的内容及标准</w:t>
      </w:r>
    </w:p>
    <w:p w14:paraId="6A73DAC1">
      <w:pPr>
        <w:keepNext/>
        <w:keepLines/>
        <w:widowControl/>
        <w:spacing w:before="156" w:beforeLines="50" w:after="156" w:afterLines="50"/>
        <w:ind w:firstLine="482"/>
        <w:jc w:val="left"/>
        <w:outlineLvl w:val="2"/>
        <w:rPr>
          <w:rFonts w:hint="default" w:eastAsia="宋体"/>
          <w:b/>
          <w:color w:val="auto"/>
          <w:szCs w:val="32"/>
          <w:highlight w:val="none"/>
          <w:lang w:val="en-US" w:eastAsia="zh-CN"/>
        </w:rPr>
      </w:pPr>
      <w:r>
        <w:rPr>
          <w:rFonts w:hint="eastAsia"/>
          <w:b/>
          <w:color w:val="auto"/>
          <w:szCs w:val="32"/>
          <w:highlight w:val="none"/>
          <w:lang w:val="en-US" w:eastAsia="zh-CN"/>
        </w:rPr>
        <w:t>包1：</w:t>
      </w:r>
    </w:p>
    <w:tbl>
      <w:tblPr>
        <w:tblStyle w:val="40"/>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2891"/>
        <w:gridCol w:w="5584"/>
      </w:tblGrid>
      <w:tr w14:paraId="167B9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32" w:type="dxa"/>
            <w:vAlign w:val="center"/>
          </w:tcPr>
          <w:p w14:paraId="3C641443">
            <w:pPr>
              <w:ind w:firstLine="0" w:firstLineChars="0"/>
              <w:rPr>
                <w:color w:val="auto"/>
                <w:highlight w:val="none"/>
              </w:rPr>
            </w:pPr>
            <w:r>
              <w:rPr>
                <w:rFonts w:hint="eastAsia"/>
                <w:color w:val="auto"/>
                <w:highlight w:val="none"/>
              </w:rPr>
              <w:t>序号</w:t>
            </w:r>
          </w:p>
        </w:tc>
        <w:tc>
          <w:tcPr>
            <w:tcW w:w="2891" w:type="dxa"/>
            <w:vAlign w:val="center"/>
          </w:tcPr>
          <w:p w14:paraId="37CFEE08">
            <w:pPr>
              <w:ind w:firstLine="480"/>
              <w:rPr>
                <w:color w:val="auto"/>
                <w:highlight w:val="none"/>
              </w:rPr>
            </w:pPr>
            <w:r>
              <w:rPr>
                <w:rFonts w:hint="eastAsia"/>
                <w:color w:val="auto"/>
                <w:highlight w:val="none"/>
              </w:rPr>
              <w:t>内容</w:t>
            </w:r>
          </w:p>
        </w:tc>
        <w:tc>
          <w:tcPr>
            <w:tcW w:w="5584" w:type="dxa"/>
            <w:vAlign w:val="center"/>
          </w:tcPr>
          <w:p w14:paraId="53A57A3B">
            <w:pPr>
              <w:ind w:firstLine="0" w:firstLineChars="0"/>
              <w:jc w:val="center"/>
              <w:rPr>
                <w:color w:val="auto"/>
                <w:highlight w:val="none"/>
              </w:rPr>
            </w:pPr>
            <w:r>
              <w:rPr>
                <w:rFonts w:hint="eastAsia"/>
                <w:color w:val="auto"/>
                <w:highlight w:val="none"/>
              </w:rPr>
              <w:t>标准</w:t>
            </w:r>
          </w:p>
        </w:tc>
      </w:tr>
      <w:tr w14:paraId="377D0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732" w:type="dxa"/>
            <w:vAlign w:val="center"/>
          </w:tcPr>
          <w:p w14:paraId="48D46421">
            <w:pPr>
              <w:ind w:firstLine="0" w:firstLineChars="0"/>
              <w:jc w:val="center"/>
              <w:rPr>
                <w:color w:val="auto"/>
                <w:highlight w:val="none"/>
              </w:rPr>
            </w:pPr>
            <w:r>
              <w:rPr>
                <w:rFonts w:hint="eastAsia"/>
                <w:color w:val="auto"/>
                <w:highlight w:val="none"/>
              </w:rPr>
              <w:t>1</w:t>
            </w:r>
          </w:p>
        </w:tc>
        <w:tc>
          <w:tcPr>
            <w:tcW w:w="2891" w:type="dxa"/>
            <w:vAlign w:val="center"/>
          </w:tcPr>
          <w:p w14:paraId="5B129648">
            <w:pPr>
              <w:ind w:firstLine="0" w:firstLineChars="0"/>
              <w:rPr>
                <w:rFonts w:cs="宋体"/>
                <w:color w:val="auto"/>
                <w:szCs w:val="21"/>
                <w:highlight w:val="none"/>
              </w:rPr>
            </w:pPr>
            <w:r>
              <w:rPr>
                <w:rFonts w:hint="eastAsia" w:cs="宋体"/>
                <w:color w:val="auto"/>
                <w:szCs w:val="21"/>
                <w:highlight w:val="none"/>
              </w:rPr>
              <w:t>具有独立承担民事责任的能力</w:t>
            </w:r>
          </w:p>
        </w:tc>
        <w:tc>
          <w:tcPr>
            <w:tcW w:w="5584" w:type="dxa"/>
            <w:vAlign w:val="center"/>
          </w:tcPr>
          <w:p w14:paraId="13E09877">
            <w:pPr>
              <w:ind w:firstLine="0" w:firstLineChars="0"/>
              <w:rPr>
                <w:rFonts w:cs="宋体"/>
                <w:color w:val="auto"/>
                <w:szCs w:val="21"/>
                <w:highlight w:val="none"/>
              </w:rPr>
            </w:pPr>
            <w:r>
              <w:rPr>
                <w:rFonts w:hint="eastAsia" w:cs="宋体"/>
                <w:color w:val="auto"/>
                <w:szCs w:val="21"/>
                <w:highlight w:val="none"/>
              </w:rPr>
              <w:t>提供供应商信用承诺函。</w:t>
            </w:r>
          </w:p>
          <w:p w14:paraId="048B9AC0">
            <w:pPr>
              <w:ind w:firstLine="0" w:firstLineChars="0"/>
              <w:rPr>
                <w:rFonts w:cs="宋体"/>
                <w:color w:val="auto"/>
                <w:szCs w:val="21"/>
                <w:highlight w:val="none"/>
              </w:rPr>
            </w:pPr>
            <w:r>
              <w:rPr>
                <w:rFonts w:hint="eastAsia" w:cs="宋体"/>
                <w:color w:val="auto"/>
                <w:szCs w:val="21"/>
                <w:highlight w:val="none"/>
              </w:rPr>
              <w:t>以上证明材料须符合要求、有效、完整。否则，响应无效。</w:t>
            </w:r>
          </w:p>
        </w:tc>
      </w:tr>
      <w:tr w14:paraId="2AE54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732" w:type="dxa"/>
            <w:vAlign w:val="center"/>
          </w:tcPr>
          <w:p w14:paraId="718A1AFC">
            <w:pPr>
              <w:ind w:firstLine="0" w:firstLineChars="0"/>
              <w:jc w:val="center"/>
              <w:rPr>
                <w:color w:val="auto"/>
                <w:highlight w:val="none"/>
              </w:rPr>
            </w:pPr>
            <w:r>
              <w:rPr>
                <w:rFonts w:hint="eastAsia"/>
                <w:color w:val="auto"/>
                <w:highlight w:val="none"/>
              </w:rPr>
              <w:t>2</w:t>
            </w:r>
          </w:p>
        </w:tc>
        <w:tc>
          <w:tcPr>
            <w:tcW w:w="2891" w:type="dxa"/>
            <w:vAlign w:val="center"/>
          </w:tcPr>
          <w:p w14:paraId="589723F1">
            <w:pPr>
              <w:ind w:firstLine="0" w:firstLineChars="0"/>
              <w:rPr>
                <w:rFonts w:cs="宋体"/>
                <w:color w:val="auto"/>
                <w:szCs w:val="21"/>
                <w:highlight w:val="none"/>
              </w:rPr>
            </w:pPr>
            <w:r>
              <w:rPr>
                <w:rFonts w:hint="eastAsia" w:cs="宋体"/>
                <w:color w:val="auto"/>
                <w:szCs w:val="21"/>
                <w:highlight w:val="none"/>
              </w:rPr>
              <w:t>具有良好的商业信誉和健全的财务会计制度</w:t>
            </w:r>
          </w:p>
        </w:tc>
        <w:tc>
          <w:tcPr>
            <w:tcW w:w="5584" w:type="dxa"/>
            <w:vAlign w:val="center"/>
          </w:tcPr>
          <w:p w14:paraId="3A389F21">
            <w:pPr>
              <w:ind w:firstLine="0" w:firstLineChars="0"/>
              <w:rPr>
                <w:rFonts w:cs="宋体"/>
                <w:color w:val="auto"/>
                <w:szCs w:val="21"/>
                <w:highlight w:val="none"/>
              </w:rPr>
            </w:pPr>
            <w:r>
              <w:rPr>
                <w:rFonts w:hint="eastAsia" w:cs="宋体"/>
                <w:color w:val="auto"/>
                <w:szCs w:val="21"/>
                <w:highlight w:val="none"/>
              </w:rPr>
              <w:t>提供供应商信用承诺函。</w:t>
            </w:r>
          </w:p>
          <w:p w14:paraId="196FD091">
            <w:pPr>
              <w:ind w:firstLine="0" w:firstLineChars="0"/>
              <w:rPr>
                <w:rFonts w:cs="宋体"/>
                <w:color w:val="auto"/>
                <w:szCs w:val="21"/>
                <w:highlight w:val="none"/>
              </w:rPr>
            </w:pPr>
            <w:r>
              <w:rPr>
                <w:rFonts w:hint="eastAsia" w:cs="宋体"/>
                <w:color w:val="auto"/>
                <w:szCs w:val="21"/>
                <w:highlight w:val="none"/>
              </w:rPr>
              <w:t>以上证明材料须符合要求、有效、完整。否则，响应无效。</w:t>
            </w:r>
          </w:p>
        </w:tc>
      </w:tr>
      <w:tr w14:paraId="30819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732" w:type="dxa"/>
            <w:vAlign w:val="center"/>
          </w:tcPr>
          <w:p w14:paraId="4DA80B7A">
            <w:pPr>
              <w:ind w:firstLine="0" w:firstLineChars="0"/>
              <w:jc w:val="center"/>
              <w:rPr>
                <w:color w:val="auto"/>
                <w:highlight w:val="none"/>
              </w:rPr>
            </w:pPr>
            <w:r>
              <w:rPr>
                <w:rFonts w:hint="eastAsia"/>
                <w:color w:val="auto"/>
                <w:highlight w:val="none"/>
              </w:rPr>
              <w:t>3</w:t>
            </w:r>
          </w:p>
        </w:tc>
        <w:tc>
          <w:tcPr>
            <w:tcW w:w="2891" w:type="dxa"/>
            <w:vAlign w:val="center"/>
          </w:tcPr>
          <w:p w14:paraId="73FC0001">
            <w:pPr>
              <w:ind w:firstLine="0" w:firstLineChars="0"/>
              <w:rPr>
                <w:rFonts w:cs="宋体"/>
                <w:color w:val="auto"/>
                <w:szCs w:val="21"/>
                <w:highlight w:val="none"/>
              </w:rPr>
            </w:pPr>
            <w:r>
              <w:rPr>
                <w:rFonts w:hint="eastAsia" w:cs="宋体"/>
                <w:color w:val="auto"/>
                <w:szCs w:val="21"/>
                <w:highlight w:val="none"/>
              </w:rPr>
              <w:t>具有履行合同所必需的设备和专业技术能力</w:t>
            </w:r>
          </w:p>
        </w:tc>
        <w:tc>
          <w:tcPr>
            <w:tcW w:w="5584" w:type="dxa"/>
            <w:vAlign w:val="center"/>
          </w:tcPr>
          <w:p w14:paraId="68163B41">
            <w:pPr>
              <w:ind w:firstLine="0" w:firstLineChars="0"/>
              <w:rPr>
                <w:rFonts w:hint="eastAsia" w:cs="宋体"/>
                <w:color w:val="auto"/>
                <w:szCs w:val="21"/>
                <w:highlight w:val="none"/>
              </w:rPr>
            </w:pPr>
            <w:r>
              <w:rPr>
                <w:rFonts w:hint="eastAsia" w:cs="宋体"/>
                <w:color w:val="auto"/>
                <w:szCs w:val="21"/>
                <w:highlight w:val="none"/>
              </w:rPr>
              <w:t>提供供应商信用承诺函。</w:t>
            </w:r>
          </w:p>
          <w:p w14:paraId="6845AA1B">
            <w:pPr>
              <w:ind w:firstLine="0" w:firstLineChars="0"/>
              <w:rPr>
                <w:rFonts w:cs="宋体"/>
                <w:color w:val="auto"/>
                <w:szCs w:val="21"/>
                <w:highlight w:val="none"/>
              </w:rPr>
            </w:pPr>
            <w:r>
              <w:rPr>
                <w:rFonts w:hint="eastAsia" w:cs="宋体"/>
                <w:color w:val="auto"/>
                <w:szCs w:val="21"/>
                <w:highlight w:val="none"/>
              </w:rPr>
              <w:t>以上证明材料须符合要求、有效、完整。否则，响应无效。</w:t>
            </w:r>
          </w:p>
        </w:tc>
      </w:tr>
      <w:tr w14:paraId="473CD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jc w:val="center"/>
        </w:trPr>
        <w:tc>
          <w:tcPr>
            <w:tcW w:w="732" w:type="dxa"/>
            <w:vAlign w:val="center"/>
          </w:tcPr>
          <w:p w14:paraId="39E94955">
            <w:pPr>
              <w:ind w:firstLine="0" w:firstLineChars="0"/>
              <w:jc w:val="center"/>
              <w:rPr>
                <w:color w:val="auto"/>
                <w:highlight w:val="none"/>
              </w:rPr>
            </w:pPr>
            <w:r>
              <w:rPr>
                <w:rFonts w:hint="eastAsia"/>
                <w:color w:val="auto"/>
                <w:highlight w:val="none"/>
              </w:rPr>
              <w:t>4</w:t>
            </w:r>
          </w:p>
        </w:tc>
        <w:tc>
          <w:tcPr>
            <w:tcW w:w="2891" w:type="dxa"/>
            <w:vAlign w:val="center"/>
          </w:tcPr>
          <w:p w14:paraId="0C9C9FE9">
            <w:pPr>
              <w:ind w:firstLine="0" w:firstLineChars="0"/>
              <w:rPr>
                <w:rFonts w:cs="宋体"/>
                <w:color w:val="auto"/>
                <w:szCs w:val="21"/>
                <w:highlight w:val="none"/>
              </w:rPr>
            </w:pPr>
            <w:r>
              <w:rPr>
                <w:rFonts w:hint="eastAsia" w:cs="宋体"/>
                <w:color w:val="auto"/>
                <w:szCs w:val="21"/>
                <w:highlight w:val="none"/>
              </w:rPr>
              <w:t>有依法缴纳税收和社会保障资金的良好记录</w:t>
            </w:r>
          </w:p>
        </w:tc>
        <w:tc>
          <w:tcPr>
            <w:tcW w:w="5584" w:type="dxa"/>
            <w:vAlign w:val="center"/>
          </w:tcPr>
          <w:p w14:paraId="294722DF">
            <w:pPr>
              <w:ind w:firstLine="0" w:firstLineChars="0"/>
              <w:rPr>
                <w:rFonts w:hint="eastAsia" w:cs="宋体"/>
                <w:color w:val="auto"/>
                <w:szCs w:val="21"/>
                <w:highlight w:val="none"/>
              </w:rPr>
            </w:pPr>
            <w:r>
              <w:rPr>
                <w:rFonts w:hint="eastAsia" w:cs="宋体"/>
                <w:color w:val="auto"/>
                <w:szCs w:val="21"/>
                <w:highlight w:val="none"/>
              </w:rPr>
              <w:t>提供供应商信用承诺函。</w:t>
            </w:r>
          </w:p>
          <w:p w14:paraId="4393C273">
            <w:pPr>
              <w:ind w:firstLine="0" w:firstLineChars="0"/>
              <w:rPr>
                <w:rFonts w:cs="宋体"/>
                <w:color w:val="auto"/>
                <w:szCs w:val="21"/>
                <w:highlight w:val="none"/>
              </w:rPr>
            </w:pPr>
            <w:r>
              <w:rPr>
                <w:rFonts w:hint="eastAsia" w:cs="宋体"/>
                <w:color w:val="auto"/>
                <w:szCs w:val="21"/>
                <w:highlight w:val="none"/>
              </w:rPr>
              <w:t>以上证明材料须符合要求、有效、完整。否则，响应无效。</w:t>
            </w:r>
          </w:p>
        </w:tc>
      </w:tr>
      <w:tr w14:paraId="61149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732" w:type="dxa"/>
            <w:vAlign w:val="center"/>
          </w:tcPr>
          <w:p w14:paraId="41042DCF">
            <w:pPr>
              <w:ind w:firstLine="0" w:firstLineChars="0"/>
              <w:jc w:val="center"/>
              <w:rPr>
                <w:color w:val="auto"/>
                <w:highlight w:val="none"/>
              </w:rPr>
            </w:pPr>
            <w:r>
              <w:rPr>
                <w:rFonts w:hint="eastAsia"/>
                <w:color w:val="auto"/>
                <w:highlight w:val="none"/>
              </w:rPr>
              <w:t>5</w:t>
            </w:r>
          </w:p>
        </w:tc>
        <w:tc>
          <w:tcPr>
            <w:tcW w:w="2891" w:type="dxa"/>
            <w:vAlign w:val="center"/>
          </w:tcPr>
          <w:p w14:paraId="0FB8A238">
            <w:pPr>
              <w:ind w:firstLine="0" w:firstLineChars="0"/>
              <w:rPr>
                <w:rFonts w:cs="宋体"/>
                <w:color w:val="auto"/>
                <w:szCs w:val="21"/>
                <w:highlight w:val="none"/>
              </w:rPr>
            </w:pPr>
            <w:r>
              <w:rPr>
                <w:rFonts w:hint="eastAsia" w:cs="宋体"/>
                <w:color w:val="auto"/>
                <w:szCs w:val="21"/>
                <w:highlight w:val="none"/>
              </w:rPr>
              <w:t>参加政府采购活动前三年内，在经营活动中没有重大违法记录</w:t>
            </w:r>
          </w:p>
        </w:tc>
        <w:tc>
          <w:tcPr>
            <w:tcW w:w="5584" w:type="dxa"/>
            <w:vAlign w:val="center"/>
          </w:tcPr>
          <w:p w14:paraId="190DD436">
            <w:pPr>
              <w:ind w:firstLine="0" w:firstLineChars="0"/>
              <w:rPr>
                <w:rFonts w:cs="宋体"/>
                <w:color w:val="auto"/>
                <w:szCs w:val="21"/>
                <w:highlight w:val="none"/>
              </w:rPr>
            </w:pPr>
            <w:r>
              <w:rPr>
                <w:rFonts w:hint="eastAsia" w:cs="宋体"/>
                <w:color w:val="auto"/>
                <w:szCs w:val="21"/>
                <w:highlight w:val="none"/>
              </w:rPr>
              <w:t>提供供应商信用承诺函。</w:t>
            </w:r>
          </w:p>
          <w:p w14:paraId="31539B83">
            <w:pPr>
              <w:ind w:firstLine="0" w:firstLineChars="0"/>
              <w:rPr>
                <w:rFonts w:cs="宋体"/>
                <w:color w:val="auto"/>
                <w:szCs w:val="21"/>
                <w:highlight w:val="none"/>
              </w:rPr>
            </w:pPr>
            <w:r>
              <w:rPr>
                <w:rFonts w:hint="eastAsia" w:cs="宋体"/>
                <w:color w:val="auto"/>
                <w:szCs w:val="21"/>
                <w:highlight w:val="none"/>
              </w:rPr>
              <w:t>以上证明材料须符合要求、有效、完整。否则，响应无效。</w:t>
            </w:r>
          </w:p>
        </w:tc>
      </w:tr>
      <w:tr w14:paraId="27772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732" w:type="dxa"/>
            <w:vAlign w:val="center"/>
          </w:tcPr>
          <w:p w14:paraId="4F6105AF">
            <w:pPr>
              <w:ind w:firstLine="0" w:firstLineChars="0"/>
              <w:jc w:val="center"/>
              <w:rPr>
                <w:color w:val="auto"/>
                <w:highlight w:val="none"/>
              </w:rPr>
            </w:pPr>
            <w:r>
              <w:rPr>
                <w:rFonts w:hint="eastAsia"/>
                <w:color w:val="auto"/>
                <w:highlight w:val="none"/>
              </w:rPr>
              <w:t>6</w:t>
            </w:r>
          </w:p>
        </w:tc>
        <w:tc>
          <w:tcPr>
            <w:tcW w:w="2891" w:type="dxa"/>
            <w:vAlign w:val="center"/>
          </w:tcPr>
          <w:p w14:paraId="3D8616AB">
            <w:pPr>
              <w:ind w:firstLine="0" w:firstLineChars="0"/>
              <w:rPr>
                <w:rFonts w:hint="eastAsia" w:eastAsia="宋体" w:cs="宋体"/>
                <w:color w:val="auto"/>
                <w:szCs w:val="21"/>
                <w:highlight w:val="none"/>
                <w:lang w:eastAsia="zh-CN"/>
              </w:rPr>
            </w:pPr>
            <w:r>
              <w:rPr>
                <w:rFonts w:hint="eastAsia" w:ascii="宋体" w:hAnsi="宋体" w:eastAsia="宋体" w:cs="宋体"/>
                <w:color w:val="auto"/>
                <w:szCs w:val="21"/>
                <w:highlight w:val="none"/>
                <w:lang w:eastAsia="zh-CN"/>
              </w:rPr>
              <w:t>具有有效的出版物经营许可证</w:t>
            </w:r>
          </w:p>
        </w:tc>
        <w:tc>
          <w:tcPr>
            <w:tcW w:w="5584" w:type="dxa"/>
            <w:vAlign w:val="center"/>
          </w:tcPr>
          <w:p w14:paraId="1E1B089D">
            <w:pPr>
              <w:ind w:firstLine="0" w:firstLineChars="0"/>
              <w:rPr>
                <w:rFonts w:cs="宋体"/>
                <w:color w:val="auto"/>
                <w:szCs w:val="21"/>
                <w:highlight w:val="none"/>
              </w:rPr>
            </w:pPr>
            <w:r>
              <w:rPr>
                <w:rFonts w:hint="eastAsia" w:ascii="宋体" w:hAnsi="宋体" w:eastAsia="宋体" w:cs="宋体"/>
                <w:color w:val="auto"/>
                <w:szCs w:val="21"/>
                <w:highlight w:val="none"/>
                <w:lang w:eastAsia="zh-CN"/>
              </w:rPr>
              <w:t>有效且符合招标文件要求</w:t>
            </w:r>
          </w:p>
        </w:tc>
      </w:tr>
      <w:tr w14:paraId="77944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732" w:type="dxa"/>
            <w:vAlign w:val="center"/>
          </w:tcPr>
          <w:p w14:paraId="47A8B836">
            <w:pPr>
              <w:ind w:firstLine="0" w:firstLineChars="0"/>
              <w:jc w:val="center"/>
              <w:rPr>
                <w:color w:val="auto"/>
                <w:highlight w:val="none"/>
              </w:rPr>
            </w:pPr>
            <w:r>
              <w:rPr>
                <w:rFonts w:hint="eastAsia"/>
                <w:color w:val="auto"/>
                <w:highlight w:val="none"/>
              </w:rPr>
              <w:t>7</w:t>
            </w:r>
          </w:p>
        </w:tc>
        <w:tc>
          <w:tcPr>
            <w:tcW w:w="2891" w:type="dxa"/>
            <w:vAlign w:val="center"/>
          </w:tcPr>
          <w:p w14:paraId="3589FA75">
            <w:pPr>
              <w:ind w:firstLine="0" w:firstLineChars="0"/>
              <w:jc w:val="left"/>
              <w:rPr>
                <w:rFonts w:cs="宋体"/>
                <w:color w:val="auto"/>
                <w:szCs w:val="21"/>
                <w:highlight w:val="none"/>
              </w:rPr>
            </w:pPr>
            <w:r>
              <w:rPr>
                <w:rFonts w:hint="eastAsia" w:cs="宋体"/>
                <w:color w:val="auto"/>
                <w:szCs w:val="21"/>
                <w:highlight w:val="none"/>
              </w:rPr>
              <w:t>投标保证金</w:t>
            </w:r>
          </w:p>
        </w:tc>
        <w:tc>
          <w:tcPr>
            <w:tcW w:w="5584" w:type="dxa"/>
            <w:vAlign w:val="center"/>
          </w:tcPr>
          <w:p w14:paraId="6CA4115E">
            <w:pPr>
              <w:ind w:firstLine="0" w:firstLineChars="0"/>
              <w:rPr>
                <w:rFonts w:cs="宋体"/>
                <w:color w:val="auto"/>
                <w:szCs w:val="21"/>
                <w:highlight w:val="none"/>
              </w:rPr>
            </w:pPr>
            <w:r>
              <w:rPr>
                <w:rFonts w:hint="eastAsia" w:cs="宋体"/>
                <w:color w:val="auto"/>
                <w:szCs w:val="21"/>
                <w:highlight w:val="none"/>
              </w:rPr>
              <w:t>符合招标文件要求</w:t>
            </w:r>
          </w:p>
        </w:tc>
      </w:tr>
    </w:tbl>
    <w:p w14:paraId="2ED71900">
      <w:pPr>
        <w:tabs>
          <w:tab w:val="left" w:pos="429"/>
        </w:tabs>
        <w:spacing w:after="156" w:afterLines="50"/>
        <w:ind w:firstLine="482"/>
        <w:rPr>
          <w:rFonts w:hint="eastAsia"/>
          <w:b/>
          <w:color w:val="auto"/>
          <w:szCs w:val="32"/>
          <w:highlight w:val="none"/>
          <w:lang w:eastAsia="zh-CN"/>
        </w:rPr>
      </w:pPr>
    </w:p>
    <w:p w14:paraId="2F51582E">
      <w:pPr>
        <w:tabs>
          <w:tab w:val="left" w:pos="429"/>
        </w:tabs>
        <w:spacing w:after="156" w:afterLines="50"/>
        <w:ind w:firstLine="482"/>
        <w:rPr>
          <w:rFonts w:hint="eastAsia"/>
          <w:b/>
          <w:color w:val="auto"/>
          <w:szCs w:val="32"/>
          <w:highlight w:val="none"/>
          <w:lang w:eastAsia="zh-CN"/>
        </w:rPr>
      </w:pPr>
      <w:r>
        <w:rPr>
          <w:rFonts w:hint="eastAsia"/>
          <w:b/>
          <w:color w:val="auto"/>
          <w:szCs w:val="32"/>
          <w:highlight w:val="none"/>
          <w:lang w:eastAsia="zh-CN"/>
        </w:rPr>
        <w:tab/>
      </w:r>
    </w:p>
    <w:p w14:paraId="40CF695E">
      <w:pPr>
        <w:tabs>
          <w:tab w:val="left" w:pos="429"/>
        </w:tabs>
        <w:spacing w:after="156" w:afterLines="50"/>
        <w:ind w:firstLine="482"/>
        <w:rPr>
          <w:rFonts w:hint="default" w:eastAsia="宋体"/>
          <w:b/>
          <w:color w:val="auto"/>
          <w:szCs w:val="32"/>
          <w:highlight w:val="none"/>
          <w:lang w:val="en-US" w:eastAsia="zh-CN"/>
        </w:rPr>
      </w:pPr>
      <w:r>
        <w:rPr>
          <w:rFonts w:hint="eastAsia"/>
          <w:b/>
          <w:color w:val="auto"/>
          <w:szCs w:val="32"/>
          <w:highlight w:val="none"/>
          <w:lang w:val="en-US" w:eastAsia="zh-CN"/>
        </w:rPr>
        <w:t>包2：</w:t>
      </w:r>
    </w:p>
    <w:tbl>
      <w:tblPr>
        <w:tblStyle w:val="40"/>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2891"/>
        <w:gridCol w:w="5584"/>
      </w:tblGrid>
      <w:tr w14:paraId="6FB8E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32" w:type="dxa"/>
            <w:vAlign w:val="center"/>
          </w:tcPr>
          <w:p w14:paraId="59D464E6">
            <w:pPr>
              <w:ind w:firstLine="0" w:firstLineChars="0"/>
              <w:rPr>
                <w:color w:val="auto"/>
                <w:highlight w:val="none"/>
              </w:rPr>
            </w:pPr>
            <w:r>
              <w:rPr>
                <w:rFonts w:hint="eastAsia"/>
                <w:color w:val="auto"/>
                <w:highlight w:val="none"/>
              </w:rPr>
              <w:t>序号</w:t>
            </w:r>
          </w:p>
        </w:tc>
        <w:tc>
          <w:tcPr>
            <w:tcW w:w="2891" w:type="dxa"/>
            <w:vAlign w:val="center"/>
          </w:tcPr>
          <w:p w14:paraId="0439D39C">
            <w:pPr>
              <w:ind w:firstLine="480"/>
              <w:rPr>
                <w:color w:val="auto"/>
                <w:highlight w:val="none"/>
              </w:rPr>
            </w:pPr>
            <w:r>
              <w:rPr>
                <w:rFonts w:hint="eastAsia"/>
                <w:color w:val="auto"/>
                <w:highlight w:val="none"/>
              </w:rPr>
              <w:t>内容</w:t>
            </w:r>
          </w:p>
        </w:tc>
        <w:tc>
          <w:tcPr>
            <w:tcW w:w="5584" w:type="dxa"/>
            <w:vAlign w:val="center"/>
          </w:tcPr>
          <w:p w14:paraId="79DB6065">
            <w:pPr>
              <w:ind w:firstLine="0" w:firstLineChars="0"/>
              <w:jc w:val="center"/>
              <w:rPr>
                <w:color w:val="auto"/>
                <w:highlight w:val="none"/>
              </w:rPr>
            </w:pPr>
            <w:r>
              <w:rPr>
                <w:rFonts w:hint="eastAsia"/>
                <w:color w:val="auto"/>
                <w:highlight w:val="none"/>
              </w:rPr>
              <w:t>标准</w:t>
            </w:r>
          </w:p>
        </w:tc>
      </w:tr>
      <w:tr w14:paraId="79E79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732" w:type="dxa"/>
            <w:vAlign w:val="center"/>
          </w:tcPr>
          <w:p w14:paraId="3365EF74">
            <w:pPr>
              <w:ind w:firstLine="0" w:firstLineChars="0"/>
              <w:jc w:val="center"/>
              <w:rPr>
                <w:color w:val="auto"/>
                <w:highlight w:val="none"/>
              </w:rPr>
            </w:pPr>
            <w:r>
              <w:rPr>
                <w:rFonts w:hint="eastAsia"/>
                <w:color w:val="auto"/>
                <w:highlight w:val="none"/>
              </w:rPr>
              <w:t>1</w:t>
            </w:r>
          </w:p>
        </w:tc>
        <w:tc>
          <w:tcPr>
            <w:tcW w:w="2891" w:type="dxa"/>
            <w:vAlign w:val="center"/>
          </w:tcPr>
          <w:p w14:paraId="5B1A5CB7">
            <w:pPr>
              <w:ind w:firstLine="0" w:firstLineChars="0"/>
              <w:rPr>
                <w:rFonts w:cs="宋体"/>
                <w:color w:val="auto"/>
                <w:szCs w:val="21"/>
                <w:highlight w:val="none"/>
              </w:rPr>
            </w:pPr>
            <w:r>
              <w:rPr>
                <w:rFonts w:hint="eastAsia" w:cs="宋体"/>
                <w:color w:val="auto"/>
                <w:szCs w:val="21"/>
                <w:highlight w:val="none"/>
              </w:rPr>
              <w:t>具有独立承担民事责任的能力</w:t>
            </w:r>
          </w:p>
        </w:tc>
        <w:tc>
          <w:tcPr>
            <w:tcW w:w="5584" w:type="dxa"/>
            <w:vAlign w:val="center"/>
          </w:tcPr>
          <w:p w14:paraId="20D5BC2A">
            <w:pPr>
              <w:ind w:firstLine="0" w:firstLineChars="0"/>
              <w:rPr>
                <w:rFonts w:cs="宋体"/>
                <w:color w:val="auto"/>
                <w:szCs w:val="21"/>
                <w:highlight w:val="none"/>
              </w:rPr>
            </w:pPr>
            <w:r>
              <w:rPr>
                <w:rFonts w:hint="eastAsia" w:cs="宋体"/>
                <w:color w:val="auto"/>
                <w:szCs w:val="21"/>
                <w:highlight w:val="none"/>
                <w:lang w:eastAsia="zh-CN"/>
              </w:rPr>
              <w:t>提供供应商信用承诺函</w:t>
            </w:r>
            <w:r>
              <w:rPr>
                <w:rFonts w:hint="eastAsia" w:cs="宋体"/>
                <w:color w:val="auto"/>
                <w:szCs w:val="21"/>
                <w:highlight w:val="none"/>
              </w:rPr>
              <w:t>。</w:t>
            </w:r>
          </w:p>
          <w:p w14:paraId="64DEA81A">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cs="宋体"/>
                <w:color w:val="auto"/>
                <w:szCs w:val="21"/>
                <w:highlight w:val="none"/>
              </w:rPr>
            </w:pPr>
            <w:r>
              <w:rPr>
                <w:rFonts w:hint="eastAsia" w:cs="宋体"/>
                <w:color w:val="auto"/>
                <w:szCs w:val="21"/>
                <w:highlight w:val="none"/>
              </w:rPr>
              <w:t>以上证明材料须符合要求、有效、完整。否则，响应无效。</w:t>
            </w:r>
          </w:p>
        </w:tc>
      </w:tr>
      <w:tr w14:paraId="5C60F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732" w:type="dxa"/>
            <w:vAlign w:val="center"/>
          </w:tcPr>
          <w:p w14:paraId="1AAC80A4">
            <w:pPr>
              <w:ind w:firstLine="0" w:firstLineChars="0"/>
              <w:jc w:val="center"/>
              <w:rPr>
                <w:color w:val="auto"/>
                <w:highlight w:val="none"/>
              </w:rPr>
            </w:pPr>
            <w:r>
              <w:rPr>
                <w:rFonts w:hint="eastAsia"/>
                <w:color w:val="auto"/>
                <w:highlight w:val="none"/>
              </w:rPr>
              <w:t>2</w:t>
            </w:r>
          </w:p>
        </w:tc>
        <w:tc>
          <w:tcPr>
            <w:tcW w:w="2891" w:type="dxa"/>
            <w:vAlign w:val="center"/>
          </w:tcPr>
          <w:p w14:paraId="6CD4C556">
            <w:pPr>
              <w:ind w:firstLine="0" w:firstLineChars="0"/>
              <w:rPr>
                <w:rFonts w:cs="宋体"/>
                <w:color w:val="auto"/>
                <w:szCs w:val="21"/>
                <w:highlight w:val="none"/>
              </w:rPr>
            </w:pPr>
            <w:r>
              <w:rPr>
                <w:rFonts w:hint="eastAsia" w:cs="宋体"/>
                <w:color w:val="auto"/>
                <w:szCs w:val="21"/>
                <w:highlight w:val="none"/>
              </w:rPr>
              <w:t>具有良好的商业信誉和健全的财务会计制度</w:t>
            </w:r>
          </w:p>
        </w:tc>
        <w:tc>
          <w:tcPr>
            <w:tcW w:w="5584" w:type="dxa"/>
            <w:vAlign w:val="center"/>
          </w:tcPr>
          <w:p w14:paraId="107590D8">
            <w:pPr>
              <w:ind w:firstLine="0" w:firstLineChars="0"/>
              <w:rPr>
                <w:rFonts w:cs="宋体"/>
                <w:color w:val="auto"/>
                <w:szCs w:val="21"/>
                <w:highlight w:val="none"/>
              </w:rPr>
            </w:pPr>
            <w:r>
              <w:rPr>
                <w:rFonts w:hint="eastAsia" w:cs="宋体"/>
                <w:color w:val="auto"/>
                <w:szCs w:val="21"/>
                <w:highlight w:val="none"/>
                <w:lang w:eastAsia="zh-CN"/>
              </w:rPr>
              <w:t>提供供应商信用承诺函</w:t>
            </w:r>
            <w:r>
              <w:rPr>
                <w:rFonts w:hint="eastAsia" w:cs="宋体"/>
                <w:color w:val="auto"/>
                <w:szCs w:val="21"/>
                <w:highlight w:val="none"/>
              </w:rPr>
              <w:t>。</w:t>
            </w:r>
          </w:p>
          <w:p w14:paraId="29AD1648">
            <w:pPr>
              <w:ind w:firstLine="0" w:firstLineChars="0"/>
              <w:rPr>
                <w:rFonts w:cs="宋体"/>
                <w:color w:val="auto"/>
                <w:szCs w:val="21"/>
                <w:highlight w:val="none"/>
              </w:rPr>
            </w:pPr>
            <w:r>
              <w:rPr>
                <w:rFonts w:hint="eastAsia" w:cs="宋体"/>
                <w:color w:val="auto"/>
                <w:szCs w:val="21"/>
                <w:highlight w:val="none"/>
              </w:rPr>
              <w:t>以上证明材料须符合要求、有效、完整。否则，响应无效。</w:t>
            </w:r>
          </w:p>
        </w:tc>
      </w:tr>
      <w:tr w14:paraId="1CB81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732" w:type="dxa"/>
            <w:vAlign w:val="center"/>
          </w:tcPr>
          <w:p w14:paraId="0E010C94">
            <w:pPr>
              <w:ind w:firstLine="0" w:firstLineChars="0"/>
              <w:jc w:val="center"/>
              <w:rPr>
                <w:color w:val="auto"/>
                <w:highlight w:val="none"/>
              </w:rPr>
            </w:pPr>
            <w:r>
              <w:rPr>
                <w:rFonts w:hint="eastAsia"/>
                <w:color w:val="auto"/>
                <w:highlight w:val="none"/>
              </w:rPr>
              <w:t>3</w:t>
            </w:r>
          </w:p>
        </w:tc>
        <w:tc>
          <w:tcPr>
            <w:tcW w:w="2891" w:type="dxa"/>
            <w:vAlign w:val="center"/>
          </w:tcPr>
          <w:p w14:paraId="727A70A5">
            <w:pPr>
              <w:ind w:firstLine="0" w:firstLineChars="0"/>
              <w:rPr>
                <w:rFonts w:cs="宋体"/>
                <w:color w:val="auto"/>
                <w:szCs w:val="21"/>
                <w:highlight w:val="none"/>
              </w:rPr>
            </w:pPr>
            <w:r>
              <w:rPr>
                <w:rFonts w:hint="eastAsia" w:cs="宋体"/>
                <w:color w:val="auto"/>
                <w:szCs w:val="21"/>
                <w:highlight w:val="none"/>
              </w:rPr>
              <w:t>具有履行合同所必需的设备和专业技术能力</w:t>
            </w:r>
          </w:p>
        </w:tc>
        <w:tc>
          <w:tcPr>
            <w:tcW w:w="5584" w:type="dxa"/>
            <w:vAlign w:val="center"/>
          </w:tcPr>
          <w:p w14:paraId="2F9816AF">
            <w:pPr>
              <w:ind w:firstLine="0" w:firstLineChars="0"/>
              <w:rPr>
                <w:rFonts w:hint="eastAsia" w:cs="宋体"/>
                <w:color w:val="auto"/>
                <w:szCs w:val="21"/>
                <w:highlight w:val="none"/>
              </w:rPr>
            </w:pPr>
            <w:r>
              <w:rPr>
                <w:rFonts w:hint="eastAsia" w:cs="宋体"/>
                <w:color w:val="auto"/>
                <w:szCs w:val="21"/>
                <w:highlight w:val="none"/>
                <w:lang w:eastAsia="zh-CN"/>
              </w:rPr>
              <w:t>提供供应商信用承诺函</w:t>
            </w:r>
            <w:r>
              <w:rPr>
                <w:rFonts w:hint="eastAsia" w:cs="宋体"/>
                <w:color w:val="auto"/>
                <w:szCs w:val="21"/>
                <w:highlight w:val="none"/>
              </w:rPr>
              <w:t>。</w:t>
            </w:r>
          </w:p>
          <w:p w14:paraId="09E26114">
            <w:pPr>
              <w:ind w:firstLine="0" w:firstLineChars="0"/>
              <w:rPr>
                <w:rFonts w:cs="宋体"/>
                <w:color w:val="auto"/>
                <w:szCs w:val="21"/>
                <w:highlight w:val="none"/>
              </w:rPr>
            </w:pPr>
            <w:r>
              <w:rPr>
                <w:rFonts w:hint="eastAsia" w:cs="宋体"/>
                <w:color w:val="auto"/>
                <w:szCs w:val="21"/>
                <w:highlight w:val="none"/>
              </w:rPr>
              <w:t>以上证明材料须符合要求、有效、完整。否则，响应无效。</w:t>
            </w:r>
          </w:p>
        </w:tc>
      </w:tr>
      <w:tr w14:paraId="5C577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jc w:val="center"/>
        </w:trPr>
        <w:tc>
          <w:tcPr>
            <w:tcW w:w="732" w:type="dxa"/>
            <w:vAlign w:val="center"/>
          </w:tcPr>
          <w:p w14:paraId="060A64C0">
            <w:pPr>
              <w:ind w:firstLine="0" w:firstLineChars="0"/>
              <w:jc w:val="center"/>
              <w:rPr>
                <w:color w:val="auto"/>
                <w:highlight w:val="none"/>
              </w:rPr>
            </w:pPr>
            <w:r>
              <w:rPr>
                <w:rFonts w:hint="eastAsia"/>
                <w:color w:val="auto"/>
                <w:highlight w:val="none"/>
              </w:rPr>
              <w:t>4</w:t>
            </w:r>
          </w:p>
        </w:tc>
        <w:tc>
          <w:tcPr>
            <w:tcW w:w="2891" w:type="dxa"/>
            <w:vAlign w:val="center"/>
          </w:tcPr>
          <w:p w14:paraId="437E1AE2">
            <w:pPr>
              <w:ind w:firstLine="0" w:firstLineChars="0"/>
              <w:rPr>
                <w:rFonts w:cs="宋体"/>
                <w:color w:val="auto"/>
                <w:szCs w:val="21"/>
                <w:highlight w:val="none"/>
              </w:rPr>
            </w:pPr>
            <w:r>
              <w:rPr>
                <w:rFonts w:hint="eastAsia" w:cs="宋体"/>
                <w:color w:val="auto"/>
                <w:szCs w:val="21"/>
                <w:highlight w:val="none"/>
              </w:rPr>
              <w:t>有依法缴纳税收和社会保障资金的良好记录</w:t>
            </w:r>
          </w:p>
        </w:tc>
        <w:tc>
          <w:tcPr>
            <w:tcW w:w="5584" w:type="dxa"/>
            <w:vAlign w:val="center"/>
          </w:tcPr>
          <w:p w14:paraId="194DB2FF">
            <w:pPr>
              <w:ind w:firstLine="0" w:firstLineChars="0"/>
              <w:rPr>
                <w:rFonts w:hint="eastAsia" w:cs="宋体"/>
                <w:color w:val="auto"/>
                <w:szCs w:val="21"/>
                <w:highlight w:val="none"/>
              </w:rPr>
            </w:pPr>
            <w:r>
              <w:rPr>
                <w:rFonts w:hint="eastAsia" w:cs="宋体"/>
                <w:color w:val="auto"/>
                <w:szCs w:val="21"/>
                <w:highlight w:val="none"/>
                <w:lang w:eastAsia="zh-CN"/>
              </w:rPr>
              <w:t>提供供应商信用承诺函</w:t>
            </w:r>
            <w:r>
              <w:rPr>
                <w:rFonts w:hint="eastAsia" w:cs="宋体"/>
                <w:color w:val="auto"/>
                <w:szCs w:val="21"/>
                <w:highlight w:val="none"/>
              </w:rPr>
              <w:t>。</w:t>
            </w:r>
          </w:p>
          <w:p w14:paraId="02CFB791">
            <w:pPr>
              <w:ind w:firstLine="0" w:firstLineChars="0"/>
              <w:rPr>
                <w:rFonts w:cs="宋体"/>
                <w:color w:val="auto"/>
                <w:szCs w:val="21"/>
                <w:highlight w:val="none"/>
              </w:rPr>
            </w:pPr>
            <w:r>
              <w:rPr>
                <w:rFonts w:hint="eastAsia" w:cs="宋体"/>
                <w:color w:val="auto"/>
                <w:szCs w:val="21"/>
                <w:highlight w:val="none"/>
              </w:rPr>
              <w:t>以上证明材料须符合要求、有效、完整。否则，响应无效。</w:t>
            </w:r>
          </w:p>
        </w:tc>
      </w:tr>
      <w:tr w14:paraId="3BC72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732" w:type="dxa"/>
            <w:vAlign w:val="center"/>
          </w:tcPr>
          <w:p w14:paraId="7E112842">
            <w:pPr>
              <w:ind w:firstLine="0" w:firstLineChars="0"/>
              <w:jc w:val="center"/>
              <w:rPr>
                <w:color w:val="auto"/>
                <w:highlight w:val="none"/>
              </w:rPr>
            </w:pPr>
            <w:r>
              <w:rPr>
                <w:rFonts w:hint="eastAsia"/>
                <w:color w:val="auto"/>
                <w:highlight w:val="none"/>
              </w:rPr>
              <w:t>5</w:t>
            </w:r>
          </w:p>
        </w:tc>
        <w:tc>
          <w:tcPr>
            <w:tcW w:w="2891" w:type="dxa"/>
            <w:vAlign w:val="center"/>
          </w:tcPr>
          <w:p w14:paraId="0F6F31B4">
            <w:pPr>
              <w:ind w:firstLine="0" w:firstLineChars="0"/>
              <w:rPr>
                <w:rFonts w:cs="宋体"/>
                <w:color w:val="auto"/>
                <w:szCs w:val="21"/>
                <w:highlight w:val="none"/>
              </w:rPr>
            </w:pPr>
            <w:r>
              <w:rPr>
                <w:rFonts w:hint="eastAsia" w:cs="宋体"/>
                <w:color w:val="auto"/>
                <w:szCs w:val="21"/>
                <w:highlight w:val="none"/>
              </w:rPr>
              <w:t>参加政府采购活动前三年内，在经营活动中没有重大违法记录</w:t>
            </w:r>
          </w:p>
        </w:tc>
        <w:tc>
          <w:tcPr>
            <w:tcW w:w="5584" w:type="dxa"/>
            <w:vAlign w:val="center"/>
          </w:tcPr>
          <w:p w14:paraId="14D9A355">
            <w:pPr>
              <w:ind w:firstLine="0" w:firstLineChars="0"/>
              <w:rPr>
                <w:rFonts w:cs="宋体"/>
                <w:color w:val="auto"/>
                <w:szCs w:val="21"/>
                <w:highlight w:val="none"/>
              </w:rPr>
            </w:pPr>
            <w:r>
              <w:rPr>
                <w:rFonts w:hint="eastAsia" w:cs="宋体"/>
                <w:color w:val="auto"/>
                <w:szCs w:val="21"/>
                <w:highlight w:val="none"/>
                <w:lang w:eastAsia="zh-CN"/>
              </w:rPr>
              <w:t>提供供应商信用承诺函</w:t>
            </w:r>
            <w:r>
              <w:rPr>
                <w:rFonts w:hint="eastAsia" w:cs="宋体"/>
                <w:color w:val="auto"/>
                <w:szCs w:val="21"/>
                <w:highlight w:val="none"/>
              </w:rPr>
              <w:t>。</w:t>
            </w:r>
          </w:p>
          <w:p w14:paraId="6E1AE546">
            <w:pPr>
              <w:ind w:firstLine="0" w:firstLineChars="0"/>
              <w:rPr>
                <w:rFonts w:cs="宋体"/>
                <w:color w:val="auto"/>
                <w:szCs w:val="21"/>
                <w:highlight w:val="none"/>
              </w:rPr>
            </w:pPr>
            <w:r>
              <w:rPr>
                <w:rFonts w:hint="eastAsia" w:cs="宋体"/>
                <w:color w:val="auto"/>
                <w:szCs w:val="21"/>
                <w:highlight w:val="none"/>
              </w:rPr>
              <w:t>以上证明材料须符合要求、有效、完整。否则，响应无效。</w:t>
            </w:r>
          </w:p>
        </w:tc>
      </w:tr>
      <w:tr w14:paraId="635CD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732" w:type="dxa"/>
            <w:vAlign w:val="center"/>
          </w:tcPr>
          <w:p w14:paraId="559B53C3">
            <w:pPr>
              <w:ind w:firstLine="0" w:firstLineChars="0"/>
              <w:jc w:val="center"/>
              <w:rPr>
                <w:rFonts w:hint="eastAsia" w:eastAsia="宋体"/>
                <w:color w:val="auto"/>
                <w:highlight w:val="none"/>
                <w:lang w:eastAsia="zh-CN"/>
              </w:rPr>
            </w:pPr>
            <w:r>
              <w:rPr>
                <w:rFonts w:hint="eastAsia"/>
                <w:color w:val="auto"/>
                <w:highlight w:val="none"/>
                <w:lang w:val="en-US" w:eastAsia="zh-CN"/>
              </w:rPr>
              <w:t>6</w:t>
            </w:r>
          </w:p>
        </w:tc>
        <w:tc>
          <w:tcPr>
            <w:tcW w:w="2891" w:type="dxa"/>
            <w:vAlign w:val="center"/>
          </w:tcPr>
          <w:p w14:paraId="03B7D6FB">
            <w:pPr>
              <w:ind w:firstLine="0" w:firstLineChars="0"/>
              <w:jc w:val="left"/>
              <w:rPr>
                <w:rFonts w:cs="宋体"/>
                <w:color w:val="auto"/>
                <w:szCs w:val="21"/>
                <w:highlight w:val="none"/>
              </w:rPr>
            </w:pPr>
            <w:r>
              <w:rPr>
                <w:rFonts w:hint="eastAsia" w:cs="宋体"/>
                <w:color w:val="auto"/>
                <w:szCs w:val="21"/>
                <w:highlight w:val="none"/>
              </w:rPr>
              <w:t>投标保证金</w:t>
            </w:r>
          </w:p>
        </w:tc>
        <w:tc>
          <w:tcPr>
            <w:tcW w:w="5584" w:type="dxa"/>
            <w:vAlign w:val="center"/>
          </w:tcPr>
          <w:p w14:paraId="478EE811">
            <w:pPr>
              <w:ind w:firstLine="0" w:firstLineChars="0"/>
              <w:rPr>
                <w:rFonts w:cs="宋体"/>
                <w:color w:val="auto"/>
                <w:szCs w:val="21"/>
                <w:highlight w:val="none"/>
              </w:rPr>
            </w:pPr>
            <w:r>
              <w:rPr>
                <w:rFonts w:hint="eastAsia" w:cs="宋体"/>
                <w:color w:val="auto"/>
                <w:szCs w:val="21"/>
                <w:highlight w:val="none"/>
              </w:rPr>
              <w:t>符合招标文件要求</w:t>
            </w:r>
          </w:p>
        </w:tc>
      </w:tr>
    </w:tbl>
    <w:p w14:paraId="7BCAD5C3">
      <w:pPr>
        <w:spacing w:after="156" w:afterLines="50"/>
        <w:ind w:firstLine="482"/>
        <w:rPr>
          <w:rFonts w:hint="eastAsia"/>
          <w:b/>
          <w:color w:val="auto"/>
          <w:szCs w:val="32"/>
          <w:highlight w:val="none"/>
        </w:rPr>
      </w:pPr>
    </w:p>
    <w:p w14:paraId="0E161F1C">
      <w:pPr>
        <w:spacing w:after="156" w:afterLines="50"/>
        <w:ind w:firstLine="482"/>
        <w:rPr>
          <w:rFonts w:hint="eastAsia"/>
          <w:b/>
          <w:color w:val="auto"/>
          <w:szCs w:val="32"/>
          <w:highlight w:val="none"/>
        </w:rPr>
      </w:pPr>
    </w:p>
    <w:p w14:paraId="6C63CE6E">
      <w:pPr>
        <w:spacing w:after="156" w:afterLines="50"/>
        <w:ind w:firstLine="482"/>
        <w:rPr>
          <w:rFonts w:hint="eastAsia"/>
          <w:b/>
          <w:color w:val="auto"/>
          <w:szCs w:val="32"/>
          <w:highlight w:val="none"/>
        </w:rPr>
      </w:pPr>
    </w:p>
    <w:p w14:paraId="1D43920E">
      <w:pPr>
        <w:spacing w:after="156" w:afterLines="50"/>
        <w:ind w:firstLine="482"/>
        <w:rPr>
          <w:rFonts w:hint="eastAsia"/>
          <w:b/>
          <w:color w:val="auto"/>
          <w:szCs w:val="32"/>
          <w:highlight w:val="none"/>
        </w:rPr>
      </w:pPr>
    </w:p>
    <w:p w14:paraId="430D9863">
      <w:pPr>
        <w:spacing w:after="156" w:afterLines="50"/>
        <w:ind w:firstLine="482"/>
        <w:rPr>
          <w:rFonts w:hint="eastAsia"/>
          <w:b/>
          <w:color w:val="auto"/>
          <w:szCs w:val="32"/>
          <w:highlight w:val="none"/>
        </w:rPr>
      </w:pPr>
    </w:p>
    <w:p w14:paraId="7672A268">
      <w:pPr>
        <w:spacing w:after="156" w:afterLines="50"/>
        <w:ind w:firstLine="482"/>
        <w:rPr>
          <w:rFonts w:hint="eastAsia"/>
          <w:b/>
          <w:color w:val="auto"/>
          <w:szCs w:val="32"/>
          <w:highlight w:val="none"/>
        </w:rPr>
      </w:pPr>
    </w:p>
    <w:p w14:paraId="5369819C">
      <w:pPr>
        <w:numPr>
          <w:ilvl w:val="0"/>
          <w:numId w:val="0"/>
        </w:numPr>
        <w:spacing w:after="156" w:afterLines="50"/>
        <w:ind w:leftChars="0"/>
        <w:rPr>
          <w:rFonts w:hint="eastAsia"/>
          <w:b/>
          <w:color w:val="auto"/>
          <w:szCs w:val="32"/>
          <w:highlight w:val="none"/>
          <w:lang w:val="en-US" w:eastAsia="zh-CN"/>
        </w:rPr>
      </w:pPr>
    </w:p>
    <w:p w14:paraId="74E32D3E">
      <w:pPr>
        <w:numPr>
          <w:ilvl w:val="0"/>
          <w:numId w:val="0"/>
        </w:numPr>
        <w:spacing w:after="156" w:afterLines="50"/>
        <w:ind w:leftChars="0"/>
        <w:rPr>
          <w:rFonts w:hint="eastAsia"/>
          <w:b/>
          <w:color w:val="auto"/>
          <w:szCs w:val="32"/>
          <w:highlight w:val="none"/>
        </w:rPr>
      </w:pPr>
      <w:r>
        <w:rPr>
          <w:rFonts w:hint="eastAsia"/>
          <w:b/>
          <w:color w:val="auto"/>
          <w:szCs w:val="32"/>
          <w:highlight w:val="none"/>
          <w:lang w:val="en-US" w:eastAsia="zh-CN"/>
        </w:rPr>
        <w:t>2.</w:t>
      </w:r>
      <w:r>
        <w:rPr>
          <w:rFonts w:hint="eastAsia"/>
          <w:b/>
          <w:color w:val="auto"/>
          <w:szCs w:val="32"/>
          <w:highlight w:val="none"/>
        </w:rPr>
        <w:t>符合性评审的内容及标准</w:t>
      </w:r>
    </w:p>
    <w:p w14:paraId="797447E1">
      <w:pPr>
        <w:numPr>
          <w:ilvl w:val="0"/>
          <w:numId w:val="0"/>
        </w:numPr>
        <w:spacing w:after="156" w:afterLines="50"/>
        <w:ind w:leftChars="0"/>
        <w:rPr>
          <w:rFonts w:hint="default" w:eastAsia="宋体"/>
          <w:b/>
          <w:color w:val="auto"/>
          <w:szCs w:val="32"/>
          <w:highlight w:val="none"/>
          <w:lang w:val="en-US" w:eastAsia="zh-CN"/>
        </w:rPr>
      </w:pPr>
      <w:r>
        <w:rPr>
          <w:rFonts w:hint="eastAsia"/>
          <w:b/>
          <w:color w:val="auto"/>
          <w:szCs w:val="32"/>
          <w:highlight w:val="none"/>
          <w:lang w:val="en-US" w:eastAsia="zh-CN"/>
        </w:rPr>
        <w:t>包1：</w:t>
      </w:r>
    </w:p>
    <w:tbl>
      <w:tblPr>
        <w:tblStyle w:val="40"/>
        <w:tblW w:w="9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3229"/>
        <w:gridCol w:w="5265"/>
      </w:tblGrid>
      <w:tr w14:paraId="084C8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52" w:type="dxa"/>
            <w:vAlign w:val="center"/>
          </w:tcPr>
          <w:p w14:paraId="7CBDFB90">
            <w:pPr>
              <w:adjustRightInd w:val="0"/>
              <w:snapToGrid w:val="0"/>
              <w:spacing w:line="420" w:lineRule="exact"/>
              <w:ind w:firstLine="0" w:firstLineChars="0"/>
              <w:rPr>
                <w:rFonts w:cs="宋体"/>
                <w:color w:val="auto"/>
                <w:kern w:val="0"/>
                <w:szCs w:val="21"/>
                <w:highlight w:val="none"/>
              </w:rPr>
            </w:pPr>
            <w:r>
              <w:rPr>
                <w:rFonts w:cs="宋体"/>
                <w:color w:val="auto"/>
                <w:kern w:val="0"/>
                <w:szCs w:val="21"/>
                <w:highlight w:val="none"/>
              </w:rPr>
              <w:t>序号</w:t>
            </w:r>
          </w:p>
        </w:tc>
        <w:tc>
          <w:tcPr>
            <w:tcW w:w="3229" w:type="dxa"/>
            <w:vAlign w:val="center"/>
          </w:tcPr>
          <w:p w14:paraId="30094E63">
            <w:pPr>
              <w:adjustRightInd w:val="0"/>
              <w:snapToGrid w:val="0"/>
              <w:spacing w:line="420" w:lineRule="exact"/>
              <w:ind w:firstLine="480"/>
              <w:jc w:val="center"/>
              <w:rPr>
                <w:rFonts w:cs="宋体"/>
                <w:color w:val="auto"/>
                <w:kern w:val="0"/>
                <w:szCs w:val="21"/>
                <w:highlight w:val="none"/>
              </w:rPr>
            </w:pPr>
            <w:r>
              <w:rPr>
                <w:rFonts w:cs="宋体"/>
                <w:color w:val="auto"/>
                <w:kern w:val="0"/>
                <w:szCs w:val="21"/>
                <w:highlight w:val="none"/>
              </w:rPr>
              <w:t>内容</w:t>
            </w:r>
          </w:p>
        </w:tc>
        <w:tc>
          <w:tcPr>
            <w:tcW w:w="5265" w:type="dxa"/>
            <w:vAlign w:val="center"/>
          </w:tcPr>
          <w:p w14:paraId="016CB292">
            <w:pPr>
              <w:adjustRightInd w:val="0"/>
              <w:snapToGrid w:val="0"/>
              <w:spacing w:line="420" w:lineRule="exact"/>
              <w:ind w:firstLine="480"/>
              <w:jc w:val="center"/>
              <w:rPr>
                <w:rFonts w:cs="宋体"/>
                <w:color w:val="auto"/>
                <w:kern w:val="0"/>
                <w:szCs w:val="21"/>
                <w:highlight w:val="none"/>
              </w:rPr>
            </w:pPr>
            <w:r>
              <w:rPr>
                <w:rFonts w:cs="宋体"/>
                <w:color w:val="auto"/>
                <w:kern w:val="0"/>
                <w:szCs w:val="21"/>
                <w:highlight w:val="none"/>
              </w:rPr>
              <w:t>标准</w:t>
            </w:r>
          </w:p>
        </w:tc>
      </w:tr>
      <w:tr w14:paraId="1F531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752" w:type="dxa"/>
            <w:vAlign w:val="center"/>
          </w:tcPr>
          <w:p w14:paraId="5E794723">
            <w:pPr>
              <w:spacing w:line="420" w:lineRule="exact"/>
              <w:ind w:firstLine="0" w:firstLineChars="0"/>
              <w:jc w:val="center"/>
              <w:rPr>
                <w:rFonts w:cs="宋体"/>
                <w:color w:val="auto"/>
                <w:szCs w:val="21"/>
                <w:highlight w:val="none"/>
              </w:rPr>
            </w:pPr>
            <w:r>
              <w:rPr>
                <w:rFonts w:cs="宋体"/>
                <w:color w:val="auto"/>
                <w:szCs w:val="21"/>
                <w:highlight w:val="none"/>
              </w:rPr>
              <w:t>1</w:t>
            </w:r>
          </w:p>
        </w:tc>
        <w:tc>
          <w:tcPr>
            <w:tcW w:w="3229" w:type="dxa"/>
            <w:vAlign w:val="center"/>
          </w:tcPr>
          <w:p w14:paraId="61B2EF61">
            <w:pPr>
              <w:spacing w:line="240" w:lineRule="auto"/>
              <w:ind w:left="0" w:leftChars="0" w:firstLine="0" w:firstLineChars="0"/>
              <w:jc w:val="center"/>
              <w:rPr>
                <w:rFonts w:cs="宋体"/>
                <w:color w:val="auto"/>
                <w:szCs w:val="21"/>
                <w:highlight w:val="none"/>
              </w:rPr>
            </w:pPr>
            <w:r>
              <w:rPr>
                <w:rFonts w:hint="eastAsia"/>
                <w:color w:val="auto"/>
                <w:highlight w:val="none"/>
              </w:rPr>
              <w:t>对</w:t>
            </w:r>
            <w:r>
              <w:rPr>
                <w:rFonts w:hint="eastAsia"/>
                <w:color w:val="auto"/>
                <w:highlight w:val="none"/>
                <w:lang w:val="en-US" w:eastAsia="zh-CN"/>
              </w:rPr>
              <w:t>投标人</w:t>
            </w:r>
            <w:r>
              <w:rPr>
                <w:rFonts w:hint="eastAsia"/>
                <w:color w:val="auto"/>
                <w:highlight w:val="none"/>
              </w:rPr>
              <w:t>提供的法定代表人身份证明文件的符合性、完整性进行审查</w:t>
            </w:r>
          </w:p>
        </w:tc>
        <w:tc>
          <w:tcPr>
            <w:tcW w:w="5265" w:type="dxa"/>
            <w:vAlign w:val="center"/>
          </w:tcPr>
          <w:p w14:paraId="7483F88A">
            <w:pPr>
              <w:numPr>
                <w:ilvl w:val="0"/>
                <w:numId w:val="0"/>
              </w:numPr>
              <w:spacing w:line="240" w:lineRule="auto"/>
              <w:ind w:leftChars="0"/>
              <w:jc w:val="left"/>
              <w:rPr>
                <w:rFonts w:hint="eastAsia" w:ascii="宋体" w:hAnsi="宋体" w:eastAsia="宋体" w:cs="宋体"/>
                <w:b w:val="0"/>
                <w:bCs w:val="0"/>
                <w:color w:val="auto"/>
                <w:sz w:val="24"/>
                <w:szCs w:val="24"/>
                <w:highlight w:val="none"/>
              </w:rPr>
            </w:pPr>
            <w:r>
              <w:rPr>
                <w:rFonts w:hint="eastAsia"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 xml:space="preserve">法定代表人参加投标的提供法定代表人身份证明文件； </w:t>
            </w:r>
          </w:p>
          <w:p w14:paraId="0CCD1205">
            <w:pPr>
              <w:numPr>
                <w:ilvl w:val="0"/>
                <w:numId w:val="0"/>
              </w:numPr>
              <w:spacing w:line="240" w:lineRule="auto"/>
              <w:ind w:leftChars="0"/>
              <w:jc w:val="left"/>
              <w:rPr>
                <w:rFonts w:cs="宋体"/>
                <w:color w:val="auto"/>
                <w:szCs w:val="21"/>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证明文件须内容完整、签署符合要求、 加盖电子章。否则，投标无效。</w:t>
            </w:r>
          </w:p>
        </w:tc>
      </w:tr>
      <w:tr w14:paraId="13CBA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752" w:type="dxa"/>
            <w:vAlign w:val="center"/>
          </w:tcPr>
          <w:p w14:paraId="000DD5D2">
            <w:pPr>
              <w:spacing w:line="420" w:lineRule="exact"/>
              <w:ind w:firstLine="0" w:firstLineChars="0"/>
              <w:jc w:val="center"/>
              <w:rPr>
                <w:rFonts w:hint="default" w:eastAsia="宋体" w:cs="宋体"/>
                <w:color w:val="auto"/>
                <w:szCs w:val="21"/>
                <w:highlight w:val="none"/>
                <w:lang w:val="en-US" w:eastAsia="zh-CN"/>
              </w:rPr>
            </w:pPr>
            <w:r>
              <w:rPr>
                <w:rFonts w:hint="eastAsia" w:cs="宋体"/>
                <w:color w:val="auto"/>
                <w:szCs w:val="21"/>
                <w:highlight w:val="none"/>
                <w:lang w:val="en-US" w:eastAsia="zh-CN"/>
              </w:rPr>
              <w:t>2</w:t>
            </w:r>
          </w:p>
        </w:tc>
        <w:tc>
          <w:tcPr>
            <w:tcW w:w="3229" w:type="dxa"/>
            <w:vAlign w:val="center"/>
          </w:tcPr>
          <w:p w14:paraId="2C63F6AE">
            <w:pPr>
              <w:spacing w:line="240" w:lineRule="auto"/>
              <w:ind w:left="0" w:leftChars="0" w:firstLine="0" w:firstLineChars="0"/>
              <w:jc w:val="center"/>
              <w:rPr>
                <w:rFonts w:hint="eastAsia" w:ascii="宋体" w:hAnsi="宋体" w:eastAsia="宋体" w:cs="宋体"/>
                <w:color w:val="auto"/>
                <w:sz w:val="24"/>
                <w:szCs w:val="24"/>
                <w:highlight w:val="none"/>
                <w:lang w:val="en-US" w:eastAsia="zh-CN"/>
              </w:rPr>
            </w:pPr>
            <w:r>
              <w:rPr>
                <w:rFonts w:hint="eastAsia"/>
                <w:color w:val="auto"/>
                <w:highlight w:val="none"/>
              </w:rPr>
              <w:t>对</w:t>
            </w:r>
            <w:r>
              <w:rPr>
                <w:rFonts w:hint="eastAsia"/>
                <w:color w:val="auto"/>
                <w:highlight w:val="none"/>
                <w:lang w:val="en-US" w:eastAsia="zh-CN"/>
              </w:rPr>
              <w:t>投标人</w:t>
            </w:r>
            <w:r>
              <w:rPr>
                <w:rFonts w:hint="eastAsia"/>
                <w:color w:val="auto"/>
                <w:highlight w:val="none"/>
              </w:rPr>
              <w:t>提供的法定代表人授权委托书证明文件的符合性、完整性进行审查</w:t>
            </w:r>
          </w:p>
        </w:tc>
        <w:tc>
          <w:tcPr>
            <w:tcW w:w="5265" w:type="dxa"/>
            <w:vAlign w:val="center"/>
          </w:tcPr>
          <w:p w14:paraId="6163DC0B">
            <w:pPr>
              <w:numPr>
                <w:ilvl w:val="0"/>
                <w:numId w:val="0"/>
              </w:numPr>
              <w:spacing w:line="240" w:lineRule="auto"/>
              <w:ind w:leftChars="0"/>
              <w:jc w:val="left"/>
              <w:rPr>
                <w:rFonts w:hint="eastAsia" w:ascii="宋体" w:hAnsi="宋体" w:eastAsia="宋体" w:cs="宋体"/>
                <w:b w:val="0"/>
                <w:bCs w:val="0"/>
                <w:color w:val="auto"/>
                <w:sz w:val="24"/>
                <w:szCs w:val="24"/>
                <w:highlight w:val="none"/>
              </w:rPr>
            </w:pPr>
            <w:r>
              <w:rPr>
                <w:rFonts w:hint="eastAsia"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委托代理人参加投标的提供法定代表人授权委托书证明材料</w:t>
            </w:r>
            <w:r>
              <w:rPr>
                <w:rFonts w:hint="eastAsia" w:ascii="宋体" w:hAnsi="宋体" w:eastAsia="宋体" w:cs="宋体"/>
                <w:b w:val="0"/>
                <w:bCs w:val="0"/>
                <w:color w:val="auto"/>
                <w:sz w:val="24"/>
                <w:szCs w:val="24"/>
                <w:highlight w:val="none"/>
                <w:lang w:eastAsia="zh-CN"/>
              </w:rPr>
              <w:t>；</w:t>
            </w:r>
          </w:p>
          <w:p w14:paraId="3394DDFA">
            <w:pPr>
              <w:numPr>
                <w:ilvl w:val="0"/>
                <w:numId w:val="0"/>
              </w:numPr>
              <w:spacing w:line="240" w:lineRule="auto"/>
              <w:ind w:leftChars="0"/>
              <w:jc w:val="left"/>
              <w:rPr>
                <w:rFonts w:hint="eastAsia" w:ascii="宋体" w:hAnsi="宋体" w:eastAsia="宋体" w:cs="宋体"/>
                <w:color w:val="auto"/>
                <w:sz w:val="24"/>
                <w:szCs w:val="24"/>
                <w:highlight w:val="none"/>
                <w:lang w:val="en-US" w:eastAsia="zh-CN"/>
              </w:rPr>
            </w:pPr>
            <w:r>
              <w:rPr>
                <w:rFonts w:hint="eastAsia"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证明文件须内容完整、签署符合要求、加盖电子章。否则，投标无效。</w:t>
            </w:r>
          </w:p>
        </w:tc>
      </w:tr>
      <w:tr w14:paraId="3CA98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52" w:type="dxa"/>
            <w:vAlign w:val="center"/>
          </w:tcPr>
          <w:p w14:paraId="1763776F">
            <w:pPr>
              <w:spacing w:line="420" w:lineRule="exact"/>
              <w:ind w:firstLine="0" w:firstLineChars="0"/>
              <w:jc w:val="center"/>
              <w:rPr>
                <w:rFonts w:hint="eastAsia" w:eastAsia="宋体" w:cs="宋体"/>
                <w:color w:val="auto"/>
                <w:szCs w:val="21"/>
                <w:highlight w:val="none"/>
                <w:lang w:val="en-US" w:eastAsia="zh-CN"/>
              </w:rPr>
            </w:pPr>
            <w:r>
              <w:rPr>
                <w:rFonts w:hint="eastAsia" w:cs="宋体"/>
                <w:color w:val="auto"/>
                <w:szCs w:val="21"/>
                <w:highlight w:val="none"/>
                <w:lang w:val="en-US" w:eastAsia="zh-CN"/>
              </w:rPr>
              <w:t>3</w:t>
            </w:r>
          </w:p>
        </w:tc>
        <w:tc>
          <w:tcPr>
            <w:tcW w:w="3229" w:type="dxa"/>
            <w:vAlign w:val="center"/>
          </w:tcPr>
          <w:p w14:paraId="707EF21E">
            <w:pPr>
              <w:ind w:firstLine="0" w:firstLineChars="0"/>
              <w:jc w:val="center"/>
              <w:rPr>
                <w:rFonts w:hint="eastAsia" w:eastAsia="宋体" w:cs="宋体"/>
                <w:color w:val="auto"/>
                <w:szCs w:val="21"/>
                <w:highlight w:val="none"/>
                <w:lang w:eastAsia="zh-CN"/>
              </w:rPr>
            </w:pPr>
            <w:r>
              <w:rPr>
                <w:rFonts w:hint="eastAsia" w:cs="宋体"/>
                <w:color w:val="auto"/>
                <w:szCs w:val="21"/>
                <w:highlight w:val="none"/>
                <w:lang w:val="en-US" w:eastAsia="zh-CN"/>
              </w:rPr>
              <w:t>投标报价</w:t>
            </w:r>
          </w:p>
        </w:tc>
        <w:tc>
          <w:tcPr>
            <w:tcW w:w="5265" w:type="dxa"/>
            <w:vAlign w:val="center"/>
          </w:tcPr>
          <w:p w14:paraId="0EE0B358">
            <w:pPr>
              <w:spacing w:line="24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对投标人提供报价的符合性、完整性进行审查：</w:t>
            </w:r>
          </w:p>
          <w:p w14:paraId="528F0C8F">
            <w:pPr>
              <w:spacing w:line="24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1．提供报价未超出本项目预算金额或最高限价的情形；</w:t>
            </w:r>
          </w:p>
          <w:p w14:paraId="30ECFF1F">
            <w:pPr>
              <w:spacing w:line="24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2．报价内容须符合要求、有效、完整。否则，响应无效；</w:t>
            </w:r>
          </w:p>
          <w:p w14:paraId="079F798D">
            <w:pPr>
              <w:spacing w:line="24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3．报价内容存在漏项、缺项、错项；存在有超出预算金额等情形的，响应无效；</w:t>
            </w:r>
          </w:p>
          <w:p w14:paraId="7D4C54AB">
            <w:pPr>
              <w:spacing w:line="240" w:lineRule="auto"/>
              <w:ind w:left="0" w:leftChars="0" w:firstLine="0" w:firstLineChars="0"/>
              <w:jc w:val="left"/>
              <w:rPr>
                <w:rFonts w:hint="eastAsia" w:cs="宋体"/>
                <w:color w:val="auto"/>
                <w:szCs w:val="21"/>
                <w:highlight w:val="none"/>
              </w:rPr>
            </w:pPr>
            <w:r>
              <w:rPr>
                <w:rFonts w:hint="eastAsia" w:ascii="宋体" w:hAnsi="宋体" w:eastAsia="宋体" w:cs="宋体"/>
                <w:color w:val="auto"/>
                <w:sz w:val="24"/>
                <w:szCs w:val="24"/>
                <w:highlight w:val="none"/>
                <w:lang w:val="en-US" w:eastAsia="zh-CN"/>
              </w:rPr>
              <w:t>4．报价有可选择或可调整的报价的，响应无效。</w:t>
            </w:r>
          </w:p>
        </w:tc>
      </w:tr>
      <w:tr w14:paraId="37BBA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52" w:type="dxa"/>
            <w:vAlign w:val="center"/>
          </w:tcPr>
          <w:p w14:paraId="3859DB2A">
            <w:pPr>
              <w:spacing w:line="420" w:lineRule="exact"/>
              <w:ind w:firstLine="0" w:firstLineChars="0"/>
              <w:jc w:val="center"/>
              <w:rPr>
                <w:rFonts w:hint="eastAsia" w:eastAsia="宋体" w:cs="宋体"/>
                <w:color w:val="auto"/>
                <w:szCs w:val="21"/>
                <w:highlight w:val="none"/>
                <w:lang w:val="en-US" w:eastAsia="zh-CN"/>
              </w:rPr>
            </w:pPr>
            <w:r>
              <w:rPr>
                <w:rFonts w:hint="eastAsia" w:cs="宋体"/>
                <w:color w:val="auto"/>
                <w:szCs w:val="21"/>
                <w:highlight w:val="none"/>
                <w:lang w:val="en-US" w:eastAsia="zh-CN"/>
              </w:rPr>
              <w:t>4</w:t>
            </w:r>
          </w:p>
        </w:tc>
        <w:tc>
          <w:tcPr>
            <w:tcW w:w="3229" w:type="dxa"/>
            <w:vAlign w:val="center"/>
          </w:tcPr>
          <w:p w14:paraId="1D924F91">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合同履约期限</w:t>
            </w:r>
          </w:p>
        </w:tc>
        <w:tc>
          <w:tcPr>
            <w:tcW w:w="5265" w:type="dxa"/>
            <w:vAlign w:val="center"/>
          </w:tcPr>
          <w:p w14:paraId="0826193D">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文件要求</w:t>
            </w:r>
          </w:p>
        </w:tc>
      </w:tr>
      <w:tr w14:paraId="6834E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52" w:type="dxa"/>
            <w:vAlign w:val="center"/>
          </w:tcPr>
          <w:p w14:paraId="536DDE4F">
            <w:pPr>
              <w:spacing w:line="420" w:lineRule="exact"/>
              <w:ind w:firstLine="0" w:firstLineChars="0"/>
              <w:jc w:val="center"/>
              <w:rPr>
                <w:rFonts w:hint="eastAsia" w:eastAsia="宋体" w:cs="宋体"/>
                <w:color w:val="auto"/>
                <w:szCs w:val="21"/>
                <w:highlight w:val="none"/>
                <w:lang w:val="en-US" w:eastAsia="zh-CN"/>
              </w:rPr>
            </w:pPr>
            <w:r>
              <w:rPr>
                <w:rFonts w:hint="eastAsia" w:cs="宋体"/>
                <w:color w:val="auto"/>
                <w:szCs w:val="21"/>
                <w:highlight w:val="none"/>
                <w:lang w:val="en-US" w:eastAsia="zh-CN"/>
              </w:rPr>
              <w:t>5</w:t>
            </w:r>
          </w:p>
        </w:tc>
        <w:tc>
          <w:tcPr>
            <w:tcW w:w="3229" w:type="dxa"/>
            <w:vAlign w:val="center"/>
          </w:tcPr>
          <w:p w14:paraId="5E444C59">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供货地点</w:t>
            </w:r>
          </w:p>
        </w:tc>
        <w:tc>
          <w:tcPr>
            <w:tcW w:w="5265" w:type="dxa"/>
            <w:vAlign w:val="center"/>
          </w:tcPr>
          <w:p w14:paraId="797D974E">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文件要求</w:t>
            </w:r>
          </w:p>
        </w:tc>
      </w:tr>
      <w:tr w14:paraId="1DD4B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52" w:type="dxa"/>
            <w:vAlign w:val="center"/>
          </w:tcPr>
          <w:p w14:paraId="7F2EFC4D">
            <w:pPr>
              <w:spacing w:line="420" w:lineRule="exact"/>
              <w:ind w:firstLine="0" w:firstLineChars="0"/>
              <w:jc w:val="center"/>
              <w:rPr>
                <w:rFonts w:hint="eastAsia" w:eastAsia="宋体" w:cs="宋体"/>
                <w:color w:val="auto"/>
                <w:szCs w:val="21"/>
                <w:highlight w:val="none"/>
                <w:lang w:val="en-US" w:eastAsia="zh-CN"/>
              </w:rPr>
            </w:pPr>
            <w:r>
              <w:rPr>
                <w:rFonts w:hint="eastAsia" w:cs="宋体"/>
                <w:color w:val="auto"/>
                <w:szCs w:val="21"/>
                <w:highlight w:val="none"/>
                <w:lang w:val="en-US" w:eastAsia="zh-CN"/>
              </w:rPr>
              <w:t>6</w:t>
            </w:r>
          </w:p>
        </w:tc>
        <w:tc>
          <w:tcPr>
            <w:tcW w:w="3229" w:type="dxa"/>
            <w:vAlign w:val="center"/>
          </w:tcPr>
          <w:p w14:paraId="74B20519">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w:t>
            </w:r>
            <w:r>
              <w:rPr>
                <w:rFonts w:hint="eastAsia" w:ascii="宋体" w:hAnsi="宋体" w:eastAsia="宋体" w:cs="宋体"/>
                <w:color w:val="auto"/>
                <w:szCs w:val="21"/>
                <w:highlight w:val="none"/>
                <w:lang w:val="en-US" w:eastAsia="zh-CN"/>
              </w:rPr>
              <w:t>文件</w:t>
            </w:r>
            <w:r>
              <w:rPr>
                <w:rFonts w:hint="eastAsia" w:ascii="宋体" w:hAnsi="宋体" w:eastAsia="宋体" w:cs="宋体"/>
                <w:color w:val="auto"/>
                <w:szCs w:val="21"/>
                <w:highlight w:val="none"/>
              </w:rPr>
              <w:t>有效期</w:t>
            </w:r>
          </w:p>
        </w:tc>
        <w:tc>
          <w:tcPr>
            <w:tcW w:w="5265" w:type="dxa"/>
            <w:vAlign w:val="center"/>
          </w:tcPr>
          <w:p w14:paraId="6B538EC5">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文件要求</w:t>
            </w:r>
          </w:p>
        </w:tc>
      </w:tr>
      <w:tr w14:paraId="6B0CB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52" w:type="dxa"/>
            <w:vAlign w:val="center"/>
          </w:tcPr>
          <w:p w14:paraId="76016ADC">
            <w:pPr>
              <w:adjustRightInd w:val="0"/>
              <w:snapToGrid w:val="0"/>
              <w:spacing w:line="420" w:lineRule="exact"/>
              <w:ind w:firstLine="0" w:firstLineChars="0"/>
              <w:jc w:val="center"/>
              <w:rPr>
                <w:rFonts w:hint="eastAsia" w:eastAsia="宋体" w:cs="宋体"/>
                <w:color w:val="auto"/>
                <w:kern w:val="0"/>
                <w:szCs w:val="21"/>
                <w:highlight w:val="none"/>
                <w:lang w:eastAsia="zh-CN"/>
              </w:rPr>
            </w:pPr>
            <w:r>
              <w:rPr>
                <w:rFonts w:hint="eastAsia" w:cs="宋体"/>
                <w:color w:val="auto"/>
                <w:kern w:val="0"/>
                <w:szCs w:val="21"/>
                <w:highlight w:val="none"/>
                <w:lang w:val="en-US" w:eastAsia="zh-CN"/>
              </w:rPr>
              <w:t>7</w:t>
            </w:r>
          </w:p>
        </w:tc>
        <w:tc>
          <w:tcPr>
            <w:tcW w:w="3229" w:type="dxa"/>
            <w:vAlign w:val="center"/>
          </w:tcPr>
          <w:p w14:paraId="20C68F2C">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其它</w:t>
            </w:r>
            <w:r>
              <w:rPr>
                <w:rFonts w:hint="eastAsia" w:ascii="宋体" w:hAnsi="宋体" w:eastAsia="宋体" w:cs="宋体"/>
                <w:color w:val="auto"/>
                <w:sz w:val="24"/>
                <w:szCs w:val="24"/>
                <w:highlight w:val="none"/>
                <w:lang w:val="en-US" w:eastAsia="zh-CN"/>
              </w:rPr>
              <w:t>（如实质性响应等）</w:t>
            </w:r>
          </w:p>
        </w:tc>
        <w:tc>
          <w:tcPr>
            <w:tcW w:w="5265" w:type="dxa"/>
            <w:vAlign w:val="center"/>
          </w:tcPr>
          <w:p w14:paraId="08815975">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 w:val="24"/>
                <w:szCs w:val="24"/>
                <w:highlight w:val="none"/>
                <w:lang w:val="en-US" w:eastAsia="zh-CN"/>
              </w:rPr>
              <w:t>投标文件</w:t>
            </w:r>
            <w:r>
              <w:rPr>
                <w:rFonts w:hint="eastAsia" w:ascii="宋体" w:hAnsi="宋体" w:eastAsia="宋体" w:cs="宋体"/>
                <w:color w:val="auto"/>
                <w:sz w:val="24"/>
                <w:szCs w:val="24"/>
                <w:highlight w:val="none"/>
                <w:lang w:val="en-US" w:eastAsia="zh-Hans"/>
              </w:rPr>
              <w:t>未附有</w:t>
            </w:r>
            <w:r>
              <w:rPr>
                <w:rFonts w:hint="eastAsia" w:ascii="宋体" w:hAnsi="宋体" w:eastAsia="宋体" w:cs="宋体"/>
                <w:color w:val="auto"/>
                <w:sz w:val="24"/>
                <w:szCs w:val="24"/>
                <w:highlight w:val="none"/>
                <w:lang w:val="en-US" w:eastAsia="zh-CN"/>
              </w:rPr>
              <w:t>招标文件</w:t>
            </w:r>
            <w:r>
              <w:rPr>
                <w:rFonts w:hint="eastAsia" w:ascii="宋体" w:hAnsi="宋体" w:eastAsia="宋体" w:cs="宋体"/>
                <w:color w:val="auto"/>
                <w:sz w:val="24"/>
                <w:szCs w:val="24"/>
                <w:highlight w:val="none"/>
                <w:lang w:val="en-US" w:eastAsia="zh-Hans"/>
              </w:rPr>
              <w:t>不能接受的</w:t>
            </w:r>
            <w:r>
              <w:rPr>
                <w:rFonts w:hint="eastAsia" w:ascii="宋体" w:hAnsi="宋体" w:eastAsia="宋体" w:cs="宋体"/>
                <w:color w:val="auto"/>
                <w:sz w:val="24"/>
                <w:szCs w:val="24"/>
                <w:highlight w:val="none"/>
                <w:lang w:val="en-US" w:eastAsia="zh-CN"/>
              </w:rPr>
              <w:t>其他</w:t>
            </w:r>
            <w:r>
              <w:rPr>
                <w:rFonts w:hint="eastAsia" w:ascii="宋体" w:hAnsi="宋体" w:eastAsia="宋体" w:cs="宋体"/>
                <w:color w:val="auto"/>
                <w:sz w:val="24"/>
                <w:szCs w:val="24"/>
                <w:highlight w:val="none"/>
                <w:lang w:val="en-US" w:eastAsia="zh-Hans"/>
              </w:rPr>
              <w:t>条件</w:t>
            </w:r>
          </w:p>
        </w:tc>
      </w:tr>
    </w:tbl>
    <w:p w14:paraId="1889F5F8">
      <w:pPr>
        <w:pBdr>
          <w:top w:val="none" w:color="auto" w:sz="0" w:space="1"/>
          <w:left w:val="none" w:color="auto" w:sz="0" w:space="4"/>
          <w:bottom w:val="none" w:color="auto" w:sz="0" w:space="1"/>
          <w:right w:val="none" w:color="auto" w:sz="0" w:space="4"/>
        </w:pBdr>
        <w:spacing w:line="56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说明：符合性审查的内容，经评审小组共同认定没有做出实质性、符合性响应的，将导致响应无效。</w:t>
      </w:r>
    </w:p>
    <w:p w14:paraId="22F71CA7">
      <w:pPr>
        <w:pStyle w:val="7"/>
        <w:spacing w:before="156" w:after="31"/>
        <w:ind w:firstLine="482"/>
        <w:rPr>
          <w:rFonts w:hint="eastAsia"/>
          <w:color w:val="auto"/>
          <w:highlight w:val="none"/>
        </w:rPr>
      </w:pPr>
      <w:r>
        <w:rPr>
          <w:rFonts w:hint="eastAsia"/>
          <w:b/>
          <w:color w:val="auto"/>
          <w:szCs w:val="32"/>
          <w:highlight w:val="none"/>
          <w:lang w:val="en-US" w:eastAsia="zh-CN"/>
        </w:rPr>
        <w:t>包2：</w:t>
      </w:r>
    </w:p>
    <w:tbl>
      <w:tblPr>
        <w:tblStyle w:val="40"/>
        <w:tblW w:w="9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3229"/>
        <w:gridCol w:w="5265"/>
      </w:tblGrid>
      <w:tr w14:paraId="74DD7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52" w:type="dxa"/>
            <w:vAlign w:val="center"/>
          </w:tcPr>
          <w:p w14:paraId="57068FE4">
            <w:pPr>
              <w:adjustRightInd w:val="0"/>
              <w:snapToGrid w:val="0"/>
              <w:spacing w:line="420" w:lineRule="exact"/>
              <w:ind w:firstLine="0" w:firstLineChars="0"/>
              <w:rPr>
                <w:rFonts w:cs="宋体"/>
                <w:color w:val="auto"/>
                <w:kern w:val="0"/>
                <w:szCs w:val="21"/>
                <w:highlight w:val="none"/>
              </w:rPr>
            </w:pPr>
            <w:r>
              <w:rPr>
                <w:rFonts w:cs="宋体"/>
                <w:color w:val="auto"/>
                <w:kern w:val="0"/>
                <w:szCs w:val="21"/>
                <w:highlight w:val="none"/>
              </w:rPr>
              <w:t>序号</w:t>
            </w:r>
          </w:p>
        </w:tc>
        <w:tc>
          <w:tcPr>
            <w:tcW w:w="3229" w:type="dxa"/>
            <w:vAlign w:val="center"/>
          </w:tcPr>
          <w:p w14:paraId="74DECB54">
            <w:pPr>
              <w:adjustRightInd w:val="0"/>
              <w:snapToGrid w:val="0"/>
              <w:spacing w:line="420" w:lineRule="exact"/>
              <w:ind w:firstLine="480"/>
              <w:jc w:val="center"/>
              <w:rPr>
                <w:rFonts w:cs="宋体"/>
                <w:color w:val="auto"/>
                <w:kern w:val="0"/>
                <w:szCs w:val="21"/>
                <w:highlight w:val="none"/>
              </w:rPr>
            </w:pPr>
            <w:r>
              <w:rPr>
                <w:rFonts w:cs="宋体"/>
                <w:color w:val="auto"/>
                <w:kern w:val="0"/>
                <w:szCs w:val="21"/>
                <w:highlight w:val="none"/>
              </w:rPr>
              <w:t>内容</w:t>
            </w:r>
          </w:p>
        </w:tc>
        <w:tc>
          <w:tcPr>
            <w:tcW w:w="5265" w:type="dxa"/>
            <w:vAlign w:val="center"/>
          </w:tcPr>
          <w:p w14:paraId="6250BAC5">
            <w:pPr>
              <w:adjustRightInd w:val="0"/>
              <w:snapToGrid w:val="0"/>
              <w:spacing w:line="420" w:lineRule="exact"/>
              <w:ind w:firstLine="480"/>
              <w:jc w:val="center"/>
              <w:rPr>
                <w:rFonts w:cs="宋体"/>
                <w:color w:val="auto"/>
                <w:kern w:val="0"/>
                <w:szCs w:val="21"/>
                <w:highlight w:val="none"/>
              </w:rPr>
            </w:pPr>
            <w:r>
              <w:rPr>
                <w:rFonts w:cs="宋体"/>
                <w:color w:val="auto"/>
                <w:kern w:val="0"/>
                <w:szCs w:val="21"/>
                <w:highlight w:val="none"/>
              </w:rPr>
              <w:t>标准</w:t>
            </w:r>
          </w:p>
        </w:tc>
      </w:tr>
      <w:tr w14:paraId="6B705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752" w:type="dxa"/>
            <w:vAlign w:val="center"/>
          </w:tcPr>
          <w:p w14:paraId="44359C16">
            <w:pPr>
              <w:spacing w:line="420" w:lineRule="exact"/>
              <w:ind w:firstLine="0" w:firstLineChars="0"/>
              <w:jc w:val="center"/>
              <w:rPr>
                <w:rFonts w:cs="宋体"/>
                <w:color w:val="auto"/>
                <w:szCs w:val="21"/>
                <w:highlight w:val="none"/>
              </w:rPr>
            </w:pPr>
            <w:r>
              <w:rPr>
                <w:rFonts w:cs="宋体"/>
                <w:color w:val="auto"/>
                <w:szCs w:val="21"/>
                <w:highlight w:val="none"/>
              </w:rPr>
              <w:t>1</w:t>
            </w:r>
          </w:p>
        </w:tc>
        <w:tc>
          <w:tcPr>
            <w:tcW w:w="3229" w:type="dxa"/>
            <w:vAlign w:val="center"/>
          </w:tcPr>
          <w:p w14:paraId="1F885BDB">
            <w:pPr>
              <w:spacing w:line="240" w:lineRule="auto"/>
              <w:ind w:left="0" w:leftChars="0" w:firstLine="0" w:firstLineChars="0"/>
              <w:jc w:val="center"/>
              <w:rPr>
                <w:rFonts w:cs="宋体"/>
                <w:color w:val="auto"/>
                <w:szCs w:val="21"/>
                <w:highlight w:val="none"/>
              </w:rPr>
            </w:pPr>
            <w:r>
              <w:rPr>
                <w:rFonts w:hint="eastAsia"/>
                <w:color w:val="auto"/>
                <w:highlight w:val="none"/>
              </w:rPr>
              <w:t>对</w:t>
            </w:r>
            <w:r>
              <w:rPr>
                <w:rFonts w:hint="eastAsia"/>
                <w:color w:val="auto"/>
                <w:highlight w:val="none"/>
                <w:lang w:val="en-US" w:eastAsia="zh-CN"/>
              </w:rPr>
              <w:t>投标人</w:t>
            </w:r>
            <w:r>
              <w:rPr>
                <w:rFonts w:hint="eastAsia"/>
                <w:color w:val="auto"/>
                <w:highlight w:val="none"/>
              </w:rPr>
              <w:t>提供的法定代表人身份证明文件的符合性、完整性进行审查</w:t>
            </w:r>
          </w:p>
        </w:tc>
        <w:tc>
          <w:tcPr>
            <w:tcW w:w="5265" w:type="dxa"/>
            <w:vAlign w:val="center"/>
          </w:tcPr>
          <w:p w14:paraId="0A93FD68">
            <w:pPr>
              <w:numPr>
                <w:ilvl w:val="0"/>
                <w:numId w:val="0"/>
              </w:numPr>
              <w:spacing w:line="240" w:lineRule="auto"/>
              <w:ind w:leftChars="0"/>
              <w:jc w:val="left"/>
              <w:rPr>
                <w:rFonts w:hint="eastAsia" w:ascii="宋体" w:hAnsi="宋体" w:eastAsia="宋体" w:cs="宋体"/>
                <w:b w:val="0"/>
                <w:bCs w:val="0"/>
                <w:color w:val="auto"/>
                <w:sz w:val="24"/>
                <w:szCs w:val="24"/>
                <w:highlight w:val="none"/>
              </w:rPr>
            </w:pPr>
            <w:r>
              <w:rPr>
                <w:rFonts w:hint="eastAsia"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 xml:space="preserve">法定代表人参加投标的提供法定代表人身份证明文件； </w:t>
            </w:r>
          </w:p>
          <w:p w14:paraId="431385C1">
            <w:pPr>
              <w:numPr>
                <w:ilvl w:val="0"/>
                <w:numId w:val="0"/>
              </w:numPr>
              <w:spacing w:line="240" w:lineRule="auto"/>
              <w:ind w:leftChars="0"/>
              <w:jc w:val="left"/>
              <w:rPr>
                <w:rFonts w:cs="宋体"/>
                <w:color w:val="auto"/>
                <w:szCs w:val="21"/>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证明文件须内容完整、签署符合要求、 加盖电子章。否则，投标无效。</w:t>
            </w:r>
          </w:p>
        </w:tc>
      </w:tr>
      <w:tr w14:paraId="7F8CC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752" w:type="dxa"/>
            <w:vAlign w:val="center"/>
          </w:tcPr>
          <w:p w14:paraId="33A28D72">
            <w:pPr>
              <w:spacing w:line="420" w:lineRule="exact"/>
              <w:ind w:firstLine="0" w:firstLineChars="0"/>
              <w:jc w:val="center"/>
              <w:rPr>
                <w:rFonts w:hint="default" w:eastAsia="宋体" w:cs="宋体"/>
                <w:color w:val="auto"/>
                <w:szCs w:val="21"/>
                <w:highlight w:val="none"/>
                <w:lang w:val="en-US" w:eastAsia="zh-CN"/>
              </w:rPr>
            </w:pPr>
            <w:r>
              <w:rPr>
                <w:rFonts w:hint="eastAsia" w:cs="宋体"/>
                <w:color w:val="auto"/>
                <w:szCs w:val="21"/>
                <w:highlight w:val="none"/>
                <w:lang w:val="en-US" w:eastAsia="zh-CN"/>
              </w:rPr>
              <w:t>2</w:t>
            </w:r>
          </w:p>
        </w:tc>
        <w:tc>
          <w:tcPr>
            <w:tcW w:w="3229" w:type="dxa"/>
            <w:vAlign w:val="center"/>
          </w:tcPr>
          <w:p w14:paraId="581C9889">
            <w:pPr>
              <w:spacing w:line="240" w:lineRule="auto"/>
              <w:ind w:left="0" w:leftChars="0" w:firstLine="0" w:firstLineChars="0"/>
              <w:jc w:val="center"/>
              <w:rPr>
                <w:rFonts w:hint="eastAsia" w:ascii="宋体" w:hAnsi="宋体" w:eastAsia="宋体" w:cs="宋体"/>
                <w:color w:val="auto"/>
                <w:sz w:val="24"/>
                <w:szCs w:val="24"/>
                <w:highlight w:val="none"/>
                <w:lang w:val="en-US" w:eastAsia="zh-CN"/>
              </w:rPr>
            </w:pPr>
            <w:r>
              <w:rPr>
                <w:rFonts w:hint="eastAsia"/>
                <w:color w:val="auto"/>
                <w:highlight w:val="none"/>
              </w:rPr>
              <w:t>对</w:t>
            </w:r>
            <w:r>
              <w:rPr>
                <w:rFonts w:hint="eastAsia"/>
                <w:color w:val="auto"/>
                <w:highlight w:val="none"/>
                <w:lang w:val="en-US" w:eastAsia="zh-CN"/>
              </w:rPr>
              <w:t>投标人</w:t>
            </w:r>
            <w:r>
              <w:rPr>
                <w:rFonts w:hint="eastAsia"/>
                <w:color w:val="auto"/>
                <w:highlight w:val="none"/>
              </w:rPr>
              <w:t>提供的法定代表人授权委托书证明文件的符合性、完整性进行审查</w:t>
            </w:r>
          </w:p>
        </w:tc>
        <w:tc>
          <w:tcPr>
            <w:tcW w:w="5265" w:type="dxa"/>
            <w:vAlign w:val="center"/>
          </w:tcPr>
          <w:p w14:paraId="2A848A2F">
            <w:pPr>
              <w:numPr>
                <w:ilvl w:val="0"/>
                <w:numId w:val="0"/>
              </w:numPr>
              <w:spacing w:line="240" w:lineRule="auto"/>
              <w:ind w:leftChars="0"/>
              <w:jc w:val="left"/>
              <w:rPr>
                <w:rFonts w:hint="eastAsia" w:ascii="宋体" w:hAnsi="宋体" w:eastAsia="宋体" w:cs="宋体"/>
                <w:b w:val="0"/>
                <w:bCs w:val="0"/>
                <w:color w:val="auto"/>
                <w:sz w:val="24"/>
                <w:szCs w:val="24"/>
                <w:highlight w:val="none"/>
              </w:rPr>
            </w:pPr>
            <w:r>
              <w:rPr>
                <w:rFonts w:hint="eastAsia"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委托代理人参加投标的提供法定代表人授权委托书证明材料</w:t>
            </w:r>
            <w:r>
              <w:rPr>
                <w:rFonts w:hint="eastAsia" w:ascii="宋体" w:hAnsi="宋体" w:eastAsia="宋体" w:cs="宋体"/>
                <w:b w:val="0"/>
                <w:bCs w:val="0"/>
                <w:color w:val="auto"/>
                <w:sz w:val="24"/>
                <w:szCs w:val="24"/>
                <w:highlight w:val="none"/>
                <w:lang w:eastAsia="zh-CN"/>
              </w:rPr>
              <w:t>；</w:t>
            </w:r>
          </w:p>
          <w:p w14:paraId="53308DDE">
            <w:pPr>
              <w:numPr>
                <w:ilvl w:val="0"/>
                <w:numId w:val="0"/>
              </w:numPr>
              <w:spacing w:line="240" w:lineRule="auto"/>
              <w:ind w:leftChars="0"/>
              <w:jc w:val="left"/>
              <w:rPr>
                <w:rFonts w:hint="eastAsia" w:ascii="宋体" w:hAnsi="宋体" w:eastAsia="宋体" w:cs="宋体"/>
                <w:color w:val="auto"/>
                <w:sz w:val="24"/>
                <w:szCs w:val="24"/>
                <w:highlight w:val="none"/>
                <w:lang w:val="en-US" w:eastAsia="zh-CN"/>
              </w:rPr>
            </w:pPr>
            <w:r>
              <w:rPr>
                <w:rFonts w:hint="eastAsia"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证明文件须内容完整、签署符合要求、加盖电子章。否则，投标无效。</w:t>
            </w:r>
          </w:p>
        </w:tc>
      </w:tr>
      <w:tr w14:paraId="3BB21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52" w:type="dxa"/>
            <w:vAlign w:val="center"/>
          </w:tcPr>
          <w:p w14:paraId="33926267">
            <w:pPr>
              <w:spacing w:line="420" w:lineRule="exact"/>
              <w:ind w:firstLine="0" w:firstLineChars="0"/>
              <w:jc w:val="center"/>
              <w:rPr>
                <w:rFonts w:hint="eastAsia" w:eastAsia="宋体" w:cs="宋体"/>
                <w:color w:val="auto"/>
                <w:szCs w:val="21"/>
                <w:highlight w:val="none"/>
                <w:lang w:val="en-US" w:eastAsia="zh-CN"/>
              </w:rPr>
            </w:pPr>
            <w:r>
              <w:rPr>
                <w:rFonts w:hint="eastAsia" w:cs="宋体"/>
                <w:color w:val="auto"/>
                <w:szCs w:val="21"/>
                <w:highlight w:val="none"/>
                <w:lang w:val="en-US" w:eastAsia="zh-CN"/>
              </w:rPr>
              <w:t>3</w:t>
            </w:r>
          </w:p>
        </w:tc>
        <w:tc>
          <w:tcPr>
            <w:tcW w:w="3229" w:type="dxa"/>
            <w:vAlign w:val="center"/>
          </w:tcPr>
          <w:p w14:paraId="15074974">
            <w:pPr>
              <w:ind w:firstLine="0" w:firstLineChars="0"/>
              <w:jc w:val="center"/>
              <w:rPr>
                <w:rFonts w:hint="eastAsia" w:eastAsia="宋体" w:cs="宋体"/>
                <w:color w:val="auto"/>
                <w:szCs w:val="21"/>
                <w:highlight w:val="none"/>
                <w:lang w:eastAsia="zh-CN"/>
              </w:rPr>
            </w:pPr>
            <w:r>
              <w:rPr>
                <w:rFonts w:hint="eastAsia" w:cs="宋体"/>
                <w:color w:val="auto"/>
                <w:szCs w:val="21"/>
                <w:highlight w:val="none"/>
                <w:lang w:val="en-US" w:eastAsia="zh-CN"/>
              </w:rPr>
              <w:t>投标报价</w:t>
            </w:r>
          </w:p>
        </w:tc>
        <w:tc>
          <w:tcPr>
            <w:tcW w:w="5265" w:type="dxa"/>
            <w:vAlign w:val="center"/>
          </w:tcPr>
          <w:p w14:paraId="5836773A">
            <w:pPr>
              <w:spacing w:line="24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对投标人提供报价的符合性、完整性进行审查：</w:t>
            </w:r>
          </w:p>
          <w:p w14:paraId="7B6D3264">
            <w:pPr>
              <w:spacing w:line="24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1．提供报价未超出本项目预算金额或最高限价的情形；</w:t>
            </w:r>
          </w:p>
          <w:p w14:paraId="17FF3FA3">
            <w:pPr>
              <w:spacing w:line="24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2．报价内容须符合要求、有效、完整。否则，响应无效；</w:t>
            </w:r>
          </w:p>
          <w:p w14:paraId="115A24E0">
            <w:pPr>
              <w:spacing w:line="24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3．报价内容存在漏项、缺项、错项；存在有超出预算金额等情形的，响应无效；</w:t>
            </w:r>
          </w:p>
          <w:p w14:paraId="20124C44">
            <w:pPr>
              <w:spacing w:line="240" w:lineRule="auto"/>
              <w:ind w:left="0" w:leftChars="0" w:firstLine="0" w:firstLineChars="0"/>
              <w:jc w:val="left"/>
              <w:rPr>
                <w:rFonts w:hint="eastAsia" w:cs="宋体"/>
                <w:color w:val="auto"/>
                <w:szCs w:val="21"/>
                <w:highlight w:val="none"/>
              </w:rPr>
            </w:pPr>
            <w:r>
              <w:rPr>
                <w:rFonts w:hint="eastAsia" w:ascii="宋体" w:hAnsi="宋体" w:eastAsia="宋体" w:cs="宋体"/>
                <w:color w:val="auto"/>
                <w:sz w:val="24"/>
                <w:szCs w:val="24"/>
                <w:highlight w:val="none"/>
                <w:lang w:val="en-US" w:eastAsia="zh-CN"/>
              </w:rPr>
              <w:t>4．报价有可选择或可调整的报价的，响应无效。</w:t>
            </w:r>
          </w:p>
        </w:tc>
      </w:tr>
      <w:tr w14:paraId="414FC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52" w:type="dxa"/>
            <w:vAlign w:val="center"/>
          </w:tcPr>
          <w:p w14:paraId="1EC3A69A">
            <w:pPr>
              <w:spacing w:line="420" w:lineRule="exact"/>
              <w:ind w:firstLine="0" w:firstLineChars="0"/>
              <w:jc w:val="center"/>
              <w:rPr>
                <w:rFonts w:hint="eastAsia" w:eastAsia="宋体" w:cs="宋体"/>
                <w:color w:val="auto"/>
                <w:szCs w:val="21"/>
                <w:highlight w:val="none"/>
                <w:lang w:val="en-US" w:eastAsia="zh-CN"/>
              </w:rPr>
            </w:pPr>
            <w:r>
              <w:rPr>
                <w:rFonts w:hint="eastAsia" w:cs="宋体"/>
                <w:color w:val="auto"/>
                <w:szCs w:val="21"/>
                <w:highlight w:val="none"/>
                <w:lang w:val="en-US" w:eastAsia="zh-CN"/>
              </w:rPr>
              <w:t>4</w:t>
            </w:r>
          </w:p>
        </w:tc>
        <w:tc>
          <w:tcPr>
            <w:tcW w:w="3229" w:type="dxa"/>
            <w:vAlign w:val="center"/>
          </w:tcPr>
          <w:p w14:paraId="13A4A577">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合同履约期限</w:t>
            </w:r>
          </w:p>
        </w:tc>
        <w:tc>
          <w:tcPr>
            <w:tcW w:w="5265" w:type="dxa"/>
            <w:vAlign w:val="center"/>
          </w:tcPr>
          <w:p w14:paraId="18E3B81D">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文件要求</w:t>
            </w:r>
          </w:p>
        </w:tc>
      </w:tr>
      <w:tr w14:paraId="00040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52" w:type="dxa"/>
            <w:vAlign w:val="center"/>
          </w:tcPr>
          <w:p w14:paraId="1272F330">
            <w:pPr>
              <w:spacing w:line="420" w:lineRule="exact"/>
              <w:ind w:firstLine="0" w:firstLineChars="0"/>
              <w:jc w:val="center"/>
              <w:rPr>
                <w:rFonts w:hint="eastAsia" w:eastAsia="宋体" w:cs="宋体"/>
                <w:color w:val="auto"/>
                <w:szCs w:val="21"/>
                <w:highlight w:val="none"/>
                <w:lang w:val="en-US" w:eastAsia="zh-CN"/>
              </w:rPr>
            </w:pPr>
            <w:r>
              <w:rPr>
                <w:rFonts w:hint="eastAsia" w:cs="宋体"/>
                <w:color w:val="auto"/>
                <w:szCs w:val="21"/>
                <w:highlight w:val="none"/>
                <w:lang w:val="en-US" w:eastAsia="zh-CN"/>
              </w:rPr>
              <w:t>5</w:t>
            </w:r>
          </w:p>
        </w:tc>
        <w:tc>
          <w:tcPr>
            <w:tcW w:w="3229" w:type="dxa"/>
            <w:vAlign w:val="center"/>
          </w:tcPr>
          <w:p w14:paraId="457B51C1">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供货地点</w:t>
            </w:r>
          </w:p>
        </w:tc>
        <w:tc>
          <w:tcPr>
            <w:tcW w:w="5265" w:type="dxa"/>
            <w:vAlign w:val="center"/>
          </w:tcPr>
          <w:p w14:paraId="2F63E483">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文件要求</w:t>
            </w:r>
          </w:p>
        </w:tc>
      </w:tr>
      <w:tr w14:paraId="67D65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52" w:type="dxa"/>
            <w:vAlign w:val="center"/>
          </w:tcPr>
          <w:p w14:paraId="1C3CD8DC">
            <w:pPr>
              <w:spacing w:line="420" w:lineRule="exact"/>
              <w:ind w:firstLine="0" w:firstLineChars="0"/>
              <w:jc w:val="center"/>
              <w:rPr>
                <w:rFonts w:hint="default" w:cs="宋体"/>
                <w:color w:val="auto"/>
                <w:szCs w:val="21"/>
                <w:highlight w:val="none"/>
                <w:lang w:val="en-US" w:eastAsia="zh-CN"/>
              </w:rPr>
            </w:pPr>
            <w:r>
              <w:rPr>
                <w:rFonts w:hint="eastAsia" w:cs="宋体"/>
                <w:color w:val="auto"/>
                <w:szCs w:val="21"/>
                <w:highlight w:val="none"/>
                <w:lang w:val="en-US" w:eastAsia="zh-CN"/>
              </w:rPr>
              <w:t>6</w:t>
            </w:r>
          </w:p>
        </w:tc>
        <w:tc>
          <w:tcPr>
            <w:tcW w:w="3229" w:type="dxa"/>
            <w:vAlign w:val="center"/>
          </w:tcPr>
          <w:p w14:paraId="18E3E6E8">
            <w:pPr>
              <w:ind w:firstLine="0" w:firstLineChars="0"/>
              <w:jc w:val="center"/>
              <w:rPr>
                <w:rFonts w:hint="eastAsia" w:ascii="宋体" w:hAnsi="宋体" w:eastAsia="宋体" w:cs="宋体"/>
                <w:color w:val="auto"/>
                <w:szCs w:val="21"/>
                <w:highlight w:val="none"/>
                <w:lang w:val="en-US" w:eastAsia="zh-CN"/>
              </w:rPr>
            </w:pPr>
            <w:r>
              <w:rPr>
                <w:rFonts w:hint="eastAsia" w:cs="宋体"/>
                <w:color w:val="auto"/>
                <w:szCs w:val="21"/>
                <w:highlight w:val="none"/>
                <w:lang w:val="en-US" w:eastAsia="zh-CN"/>
              </w:rPr>
              <w:t>质量标准</w:t>
            </w:r>
          </w:p>
        </w:tc>
        <w:tc>
          <w:tcPr>
            <w:tcW w:w="5265" w:type="dxa"/>
            <w:vAlign w:val="center"/>
          </w:tcPr>
          <w:p w14:paraId="074E28FC">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文件要求</w:t>
            </w:r>
          </w:p>
        </w:tc>
      </w:tr>
      <w:tr w14:paraId="2E8F2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52" w:type="dxa"/>
            <w:vAlign w:val="center"/>
          </w:tcPr>
          <w:p w14:paraId="6DC3622E">
            <w:pPr>
              <w:spacing w:line="420" w:lineRule="exact"/>
              <w:ind w:firstLine="0" w:firstLineChars="0"/>
              <w:jc w:val="center"/>
              <w:rPr>
                <w:rFonts w:hint="eastAsia" w:eastAsia="宋体" w:cs="宋体"/>
                <w:color w:val="auto"/>
                <w:szCs w:val="21"/>
                <w:highlight w:val="none"/>
                <w:lang w:val="en-US" w:eastAsia="zh-CN"/>
              </w:rPr>
            </w:pPr>
            <w:r>
              <w:rPr>
                <w:rFonts w:hint="eastAsia" w:cs="宋体"/>
                <w:color w:val="auto"/>
                <w:szCs w:val="21"/>
                <w:highlight w:val="none"/>
                <w:lang w:val="en-US" w:eastAsia="zh-CN"/>
              </w:rPr>
              <w:t>7</w:t>
            </w:r>
          </w:p>
        </w:tc>
        <w:tc>
          <w:tcPr>
            <w:tcW w:w="3229" w:type="dxa"/>
            <w:vAlign w:val="center"/>
          </w:tcPr>
          <w:p w14:paraId="62E4BE65">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w:t>
            </w:r>
            <w:r>
              <w:rPr>
                <w:rFonts w:hint="eastAsia" w:ascii="宋体" w:hAnsi="宋体" w:eastAsia="宋体" w:cs="宋体"/>
                <w:color w:val="auto"/>
                <w:szCs w:val="21"/>
                <w:highlight w:val="none"/>
                <w:lang w:val="en-US" w:eastAsia="zh-CN"/>
              </w:rPr>
              <w:t>文件</w:t>
            </w:r>
            <w:r>
              <w:rPr>
                <w:rFonts w:hint="eastAsia" w:ascii="宋体" w:hAnsi="宋体" w:eastAsia="宋体" w:cs="宋体"/>
                <w:color w:val="auto"/>
                <w:szCs w:val="21"/>
                <w:highlight w:val="none"/>
              </w:rPr>
              <w:t>有效期</w:t>
            </w:r>
          </w:p>
        </w:tc>
        <w:tc>
          <w:tcPr>
            <w:tcW w:w="5265" w:type="dxa"/>
            <w:vAlign w:val="center"/>
          </w:tcPr>
          <w:p w14:paraId="370D76CA">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文件要求</w:t>
            </w:r>
          </w:p>
        </w:tc>
      </w:tr>
      <w:tr w14:paraId="44545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52" w:type="dxa"/>
            <w:vAlign w:val="center"/>
          </w:tcPr>
          <w:p w14:paraId="5E7BDDF9">
            <w:pPr>
              <w:adjustRightInd w:val="0"/>
              <w:snapToGrid w:val="0"/>
              <w:spacing w:line="420" w:lineRule="exact"/>
              <w:ind w:firstLine="0" w:firstLineChars="0"/>
              <w:jc w:val="center"/>
              <w:rPr>
                <w:rFonts w:hint="eastAsia" w:eastAsia="宋体" w:cs="宋体"/>
                <w:color w:val="auto"/>
                <w:kern w:val="0"/>
                <w:szCs w:val="21"/>
                <w:highlight w:val="none"/>
                <w:lang w:eastAsia="zh-CN"/>
              </w:rPr>
            </w:pPr>
            <w:r>
              <w:rPr>
                <w:rFonts w:hint="eastAsia" w:cs="宋体"/>
                <w:color w:val="auto"/>
                <w:kern w:val="0"/>
                <w:szCs w:val="21"/>
                <w:highlight w:val="none"/>
                <w:lang w:val="en-US" w:eastAsia="zh-CN"/>
              </w:rPr>
              <w:t>8</w:t>
            </w:r>
          </w:p>
        </w:tc>
        <w:tc>
          <w:tcPr>
            <w:tcW w:w="3229" w:type="dxa"/>
            <w:vAlign w:val="center"/>
          </w:tcPr>
          <w:p w14:paraId="09FD6BF9">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其它</w:t>
            </w:r>
            <w:r>
              <w:rPr>
                <w:rFonts w:hint="eastAsia" w:ascii="宋体" w:hAnsi="宋体" w:eastAsia="宋体" w:cs="宋体"/>
                <w:color w:val="auto"/>
                <w:sz w:val="24"/>
                <w:szCs w:val="24"/>
                <w:highlight w:val="none"/>
                <w:lang w:val="en-US" w:eastAsia="zh-CN"/>
              </w:rPr>
              <w:t>（如实质性响应等）</w:t>
            </w:r>
          </w:p>
        </w:tc>
        <w:tc>
          <w:tcPr>
            <w:tcW w:w="5265" w:type="dxa"/>
            <w:vAlign w:val="center"/>
          </w:tcPr>
          <w:p w14:paraId="6EAE5D0A">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 w:val="24"/>
                <w:szCs w:val="24"/>
                <w:highlight w:val="none"/>
                <w:lang w:val="en-US" w:eastAsia="zh-CN"/>
              </w:rPr>
              <w:t>投标文件</w:t>
            </w:r>
            <w:r>
              <w:rPr>
                <w:rFonts w:hint="eastAsia" w:ascii="宋体" w:hAnsi="宋体" w:eastAsia="宋体" w:cs="宋体"/>
                <w:color w:val="auto"/>
                <w:sz w:val="24"/>
                <w:szCs w:val="24"/>
                <w:highlight w:val="none"/>
                <w:lang w:val="en-US" w:eastAsia="zh-Hans"/>
              </w:rPr>
              <w:t>未附有</w:t>
            </w:r>
            <w:r>
              <w:rPr>
                <w:rFonts w:hint="eastAsia" w:ascii="宋体" w:hAnsi="宋体" w:eastAsia="宋体" w:cs="宋体"/>
                <w:color w:val="auto"/>
                <w:sz w:val="24"/>
                <w:szCs w:val="24"/>
                <w:highlight w:val="none"/>
                <w:lang w:val="en-US" w:eastAsia="zh-CN"/>
              </w:rPr>
              <w:t>招标文件</w:t>
            </w:r>
            <w:r>
              <w:rPr>
                <w:rFonts w:hint="eastAsia" w:ascii="宋体" w:hAnsi="宋体" w:eastAsia="宋体" w:cs="宋体"/>
                <w:color w:val="auto"/>
                <w:sz w:val="24"/>
                <w:szCs w:val="24"/>
                <w:highlight w:val="none"/>
                <w:lang w:val="en-US" w:eastAsia="zh-Hans"/>
              </w:rPr>
              <w:t>不能接受的</w:t>
            </w:r>
            <w:r>
              <w:rPr>
                <w:rFonts w:hint="eastAsia" w:ascii="宋体" w:hAnsi="宋体" w:eastAsia="宋体" w:cs="宋体"/>
                <w:color w:val="auto"/>
                <w:sz w:val="24"/>
                <w:szCs w:val="24"/>
                <w:highlight w:val="none"/>
                <w:lang w:val="en-US" w:eastAsia="zh-CN"/>
              </w:rPr>
              <w:t>其他</w:t>
            </w:r>
            <w:r>
              <w:rPr>
                <w:rFonts w:hint="eastAsia" w:ascii="宋体" w:hAnsi="宋体" w:eastAsia="宋体" w:cs="宋体"/>
                <w:color w:val="auto"/>
                <w:sz w:val="24"/>
                <w:szCs w:val="24"/>
                <w:highlight w:val="none"/>
                <w:lang w:val="en-US" w:eastAsia="zh-Hans"/>
              </w:rPr>
              <w:t>条件</w:t>
            </w:r>
          </w:p>
        </w:tc>
      </w:tr>
    </w:tbl>
    <w:p w14:paraId="1C43F86B">
      <w:pPr>
        <w:pBdr>
          <w:top w:val="none" w:color="auto" w:sz="0" w:space="1"/>
          <w:left w:val="none" w:color="auto" w:sz="0" w:space="4"/>
          <w:bottom w:val="none" w:color="auto" w:sz="0" w:space="1"/>
          <w:right w:val="none" w:color="auto" w:sz="0" w:space="4"/>
        </w:pBdr>
        <w:spacing w:line="56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说明：符合性审查的内容，经评审小组共同认定没有做出实质性、符合性响应的，将导致响应无效。</w:t>
      </w:r>
    </w:p>
    <w:p w14:paraId="77306D5A">
      <w:pPr>
        <w:pStyle w:val="7"/>
        <w:spacing w:before="156" w:after="31"/>
        <w:ind w:firstLine="482"/>
        <w:rPr>
          <w:color w:val="auto"/>
          <w:highlight w:val="none"/>
        </w:rPr>
      </w:pPr>
      <w:r>
        <w:rPr>
          <w:rFonts w:hint="eastAsia"/>
          <w:color w:val="auto"/>
          <w:highlight w:val="none"/>
        </w:rPr>
        <w:t>3.特别说明</w:t>
      </w:r>
    </w:p>
    <w:p w14:paraId="6ABD87D7">
      <w:pPr>
        <w:ind w:firstLine="480"/>
        <w:rPr>
          <w:color w:val="auto"/>
          <w:highlight w:val="none"/>
        </w:rPr>
      </w:pPr>
      <w:r>
        <w:rPr>
          <w:rFonts w:hint="eastAsia"/>
          <w:color w:val="auto"/>
          <w:highlight w:val="none"/>
        </w:rPr>
        <w:t>招标文件要求投标人提供的其他材料，不作为资格和符合性检查的内容。</w:t>
      </w:r>
    </w:p>
    <w:p w14:paraId="580F287C">
      <w:pPr>
        <w:pStyle w:val="7"/>
        <w:spacing w:before="156" w:after="31"/>
        <w:ind w:firstLine="482"/>
        <w:rPr>
          <w:color w:val="auto"/>
          <w:highlight w:val="none"/>
        </w:rPr>
      </w:pPr>
      <w:r>
        <w:rPr>
          <w:rFonts w:hint="eastAsia"/>
          <w:color w:val="auto"/>
          <w:highlight w:val="none"/>
        </w:rPr>
        <w:t>二、政策性要求评审内容及标准</w:t>
      </w:r>
    </w:p>
    <w:p w14:paraId="568C5942">
      <w:pPr>
        <w:pBdr>
          <w:top w:val="none" w:color="auto" w:sz="0" w:space="1"/>
          <w:left w:val="none" w:color="auto" w:sz="0" w:space="4"/>
          <w:bottom w:val="none" w:color="auto" w:sz="0" w:space="1"/>
          <w:right w:val="none" w:color="auto" w:sz="0" w:space="4"/>
        </w:pBdr>
        <w:spacing w:line="560" w:lineRule="exact"/>
        <w:ind w:firstLine="480"/>
        <w:rPr>
          <w:rFonts w:cs="宋体"/>
          <w:color w:val="auto"/>
          <w:highlight w:val="none"/>
        </w:rPr>
      </w:pPr>
      <w:r>
        <w:rPr>
          <w:rFonts w:hint="eastAsia" w:cs="宋体"/>
          <w:color w:val="auto"/>
          <w:highlight w:val="none"/>
        </w:rPr>
        <w:t>2.1.1小型、微型企业参加本项目的评审标准</w:t>
      </w:r>
    </w:p>
    <w:p w14:paraId="2BA2690D">
      <w:pPr>
        <w:pBdr>
          <w:top w:val="none" w:color="auto" w:sz="0" w:space="1"/>
          <w:left w:val="none" w:color="auto" w:sz="0" w:space="4"/>
          <w:bottom w:val="none" w:color="auto" w:sz="0" w:space="1"/>
          <w:right w:val="none" w:color="auto" w:sz="0" w:space="4"/>
        </w:pBdr>
        <w:spacing w:line="560" w:lineRule="exact"/>
        <w:ind w:firstLine="480"/>
        <w:rPr>
          <w:rFonts w:cs="宋体"/>
          <w:color w:val="auto"/>
          <w:highlight w:val="none"/>
        </w:rPr>
      </w:pPr>
      <w:r>
        <w:rPr>
          <w:rFonts w:hint="eastAsia" w:cs="宋体"/>
          <w:color w:val="auto"/>
          <w:highlight w:val="none"/>
        </w:rPr>
        <w:t>2.1.1.1小型、微型企业指在中华人民共和国境内依法设立，依据《中小企业划型标准规定》确定的小型企业、微型企业，但与大型企业的负责人为同一人，或者与大型企业存在直接控股、管理关系的除外。属于小型、微型企业的，需如实填写《小、微企业声明函》。</w:t>
      </w:r>
    </w:p>
    <w:p w14:paraId="32386A4D">
      <w:pPr>
        <w:pBdr>
          <w:top w:val="none" w:color="auto" w:sz="0" w:space="1"/>
          <w:left w:val="none" w:color="auto" w:sz="0" w:space="4"/>
          <w:bottom w:val="none" w:color="auto" w:sz="0" w:space="1"/>
          <w:right w:val="none" w:color="auto" w:sz="0" w:space="4"/>
        </w:pBdr>
        <w:spacing w:line="560" w:lineRule="exact"/>
        <w:ind w:firstLine="480"/>
        <w:rPr>
          <w:rFonts w:cs="宋体"/>
          <w:color w:val="auto"/>
          <w:highlight w:val="none"/>
        </w:rPr>
      </w:pPr>
      <w:r>
        <w:rPr>
          <w:rFonts w:hint="eastAsia" w:cs="宋体"/>
          <w:color w:val="auto"/>
          <w:highlight w:val="none"/>
        </w:rPr>
        <w:t>2.1.1.2由小微企业提供服务的，对其报价享受15%的价格折扣，用扣除后价格参加评审。</w:t>
      </w:r>
    </w:p>
    <w:p w14:paraId="32545295">
      <w:pPr>
        <w:pBdr>
          <w:top w:val="none" w:color="auto" w:sz="0" w:space="1"/>
          <w:left w:val="none" w:color="auto" w:sz="0" w:space="4"/>
          <w:bottom w:val="none" w:color="auto" w:sz="0" w:space="1"/>
          <w:right w:val="none" w:color="auto" w:sz="0" w:space="4"/>
        </w:pBdr>
        <w:spacing w:line="560" w:lineRule="exact"/>
        <w:ind w:firstLine="480"/>
        <w:rPr>
          <w:rFonts w:cs="宋体"/>
          <w:color w:val="auto"/>
          <w:highlight w:val="none"/>
        </w:rPr>
      </w:pPr>
      <w:r>
        <w:rPr>
          <w:rFonts w:hint="eastAsia" w:cs="宋体"/>
          <w:color w:val="auto"/>
          <w:highlight w:val="none"/>
        </w:rPr>
        <w:t>2.1.1.3联合体价格折扣：本项目若允许联合体参加，大中型企业与小型、微型企业组成联合体的，联合协议约定小型、微型企业的合同份额占到合同总金额30%以上的，对联合体的报价给予3%的扣除，用扣除后价格参加评审。</w:t>
      </w:r>
    </w:p>
    <w:p w14:paraId="6F179166">
      <w:pPr>
        <w:pBdr>
          <w:top w:val="none" w:color="auto" w:sz="0" w:space="1"/>
          <w:left w:val="none" w:color="auto" w:sz="0" w:space="4"/>
          <w:bottom w:val="none" w:color="auto" w:sz="0" w:space="1"/>
          <w:right w:val="none" w:color="auto" w:sz="0" w:space="4"/>
        </w:pBdr>
        <w:spacing w:line="560" w:lineRule="exact"/>
        <w:ind w:firstLine="480"/>
        <w:rPr>
          <w:rFonts w:cs="宋体"/>
          <w:color w:val="auto"/>
          <w:highlight w:val="none"/>
        </w:rPr>
      </w:pPr>
      <w:r>
        <w:rPr>
          <w:rFonts w:hint="eastAsia" w:cs="宋体"/>
          <w:color w:val="auto"/>
          <w:highlight w:val="none"/>
        </w:rPr>
        <w:t>2.1.1.4大中型企业向小型、微型企业分包的价格折扣：大中型企业向一家或者多家小型、微型企业分包的，分包意向协议约定小型、微型企业的合同份额占到合同总金额30%以上的，对大中型企业的报价给予3%的扣除，用扣除后价格参加评审。</w:t>
      </w:r>
    </w:p>
    <w:p w14:paraId="29AAB66D">
      <w:pPr>
        <w:pBdr>
          <w:top w:val="none" w:color="auto" w:sz="0" w:space="1"/>
          <w:left w:val="none" w:color="auto" w:sz="0" w:space="4"/>
          <w:bottom w:val="none" w:color="auto" w:sz="0" w:space="1"/>
          <w:right w:val="none" w:color="auto" w:sz="0" w:space="4"/>
        </w:pBdr>
        <w:spacing w:line="560" w:lineRule="exact"/>
        <w:ind w:firstLine="480"/>
        <w:rPr>
          <w:rFonts w:cs="宋体"/>
          <w:color w:val="auto"/>
          <w:highlight w:val="none"/>
        </w:rPr>
      </w:pPr>
      <w:r>
        <w:rPr>
          <w:rFonts w:hint="eastAsia" w:cs="宋体"/>
          <w:color w:val="auto"/>
          <w:highlight w:val="none"/>
        </w:rPr>
        <w:t>2.1.2残疾人福利性单位参加本项目的评审标准：</w:t>
      </w:r>
    </w:p>
    <w:p w14:paraId="25B9BA88">
      <w:pPr>
        <w:pBdr>
          <w:top w:val="none" w:color="auto" w:sz="0" w:space="1"/>
          <w:left w:val="none" w:color="auto" w:sz="0" w:space="4"/>
          <w:bottom w:val="none" w:color="auto" w:sz="0" w:space="1"/>
          <w:right w:val="none" w:color="auto" w:sz="0" w:space="4"/>
        </w:pBdr>
        <w:spacing w:line="560" w:lineRule="exact"/>
        <w:ind w:firstLine="480"/>
        <w:rPr>
          <w:rFonts w:cs="宋体"/>
          <w:color w:val="auto"/>
          <w:highlight w:val="none"/>
        </w:rPr>
      </w:pPr>
      <w:r>
        <w:rPr>
          <w:rFonts w:hint="eastAsia" w:cs="宋体"/>
          <w:color w:val="auto"/>
          <w:highlight w:val="none"/>
        </w:rPr>
        <w:t>2.1.2.1须根据财库【2017】141号《关于促进残疾人就业政府采购政策的通知》的要求，如实填写残疾人福利性单位声明函，残疾人福利性单位参加本项目</w:t>
      </w:r>
      <w:r>
        <w:rPr>
          <w:rFonts w:hint="eastAsia" w:cs="宋体"/>
          <w:color w:val="auto"/>
          <w:highlight w:val="none"/>
          <w:lang w:eastAsia="zh-CN"/>
        </w:rPr>
        <w:t>采购</w:t>
      </w:r>
      <w:r>
        <w:rPr>
          <w:rFonts w:hint="eastAsia" w:cs="宋体"/>
          <w:color w:val="auto"/>
          <w:highlight w:val="none"/>
        </w:rPr>
        <w:t>时，享受10%的价格折扣，用扣除后的价格参与评审。</w:t>
      </w:r>
    </w:p>
    <w:p w14:paraId="139F6928">
      <w:pPr>
        <w:pBdr>
          <w:top w:val="none" w:color="auto" w:sz="0" w:space="1"/>
          <w:left w:val="none" w:color="auto" w:sz="0" w:space="4"/>
          <w:bottom w:val="none" w:color="auto" w:sz="0" w:space="1"/>
          <w:right w:val="none" w:color="auto" w:sz="0" w:space="4"/>
        </w:pBdr>
        <w:spacing w:line="560" w:lineRule="exact"/>
        <w:ind w:firstLine="480"/>
        <w:rPr>
          <w:rFonts w:cs="宋体"/>
          <w:color w:val="auto"/>
          <w:highlight w:val="none"/>
        </w:rPr>
      </w:pPr>
      <w:r>
        <w:rPr>
          <w:rFonts w:hint="eastAsia" w:cs="宋体"/>
          <w:color w:val="auto"/>
          <w:highlight w:val="none"/>
        </w:rPr>
        <w:t>2.1.2.2享受政府采购支持政策的残疾人福利性单位应当同时满足以下条件：</w:t>
      </w:r>
    </w:p>
    <w:p w14:paraId="729BAB14">
      <w:pPr>
        <w:pBdr>
          <w:top w:val="none" w:color="auto" w:sz="0" w:space="1"/>
          <w:left w:val="none" w:color="auto" w:sz="0" w:space="4"/>
          <w:bottom w:val="none" w:color="auto" w:sz="0" w:space="1"/>
          <w:right w:val="none" w:color="auto" w:sz="0" w:space="4"/>
        </w:pBdr>
        <w:spacing w:line="560" w:lineRule="exact"/>
        <w:ind w:firstLine="480"/>
        <w:rPr>
          <w:rFonts w:cs="宋体"/>
          <w:color w:val="auto"/>
          <w:highlight w:val="none"/>
        </w:rPr>
      </w:pPr>
      <w:r>
        <w:rPr>
          <w:rFonts w:hint="eastAsia" w:cs="宋体"/>
          <w:color w:val="auto"/>
          <w:highlight w:val="none"/>
        </w:rPr>
        <w:t>A.安置的残疾人占本单位在职职工人数的比例不低于25%（含25%），并且安置的残疾人人数不少于10人（含10人）；</w:t>
      </w:r>
    </w:p>
    <w:p w14:paraId="2BE58473">
      <w:pPr>
        <w:pBdr>
          <w:top w:val="none" w:color="auto" w:sz="0" w:space="1"/>
          <w:left w:val="none" w:color="auto" w:sz="0" w:space="4"/>
          <w:bottom w:val="none" w:color="auto" w:sz="0" w:space="1"/>
          <w:right w:val="none" w:color="auto" w:sz="0" w:space="4"/>
        </w:pBdr>
        <w:spacing w:line="560" w:lineRule="exact"/>
        <w:ind w:firstLine="480"/>
        <w:rPr>
          <w:rFonts w:cs="宋体"/>
          <w:color w:val="auto"/>
          <w:highlight w:val="none"/>
        </w:rPr>
      </w:pPr>
      <w:r>
        <w:rPr>
          <w:rFonts w:hint="eastAsia" w:cs="宋体"/>
          <w:color w:val="auto"/>
          <w:highlight w:val="none"/>
        </w:rPr>
        <w:t>B.依法与安置的每位残疾人签订了一年以上（含一年）的劳动合同或服务协议；</w:t>
      </w:r>
    </w:p>
    <w:p w14:paraId="5574731B">
      <w:pPr>
        <w:pBdr>
          <w:top w:val="none" w:color="auto" w:sz="0" w:space="1"/>
          <w:left w:val="none" w:color="auto" w:sz="0" w:space="4"/>
          <w:bottom w:val="none" w:color="auto" w:sz="0" w:space="1"/>
          <w:right w:val="none" w:color="auto" w:sz="0" w:space="4"/>
        </w:pBdr>
        <w:spacing w:line="560" w:lineRule="exact"/>
        <w:ind w:firstLine="480"/>
        <w:rPr>
          <w:rFonts w:cs="宋体"/>
          <w:color w:val="auto"/>
          <w:highlight w:val="none"/>
        </w:rPr>
      </w:pPr>
      <w:r>
        <w:rPr>
          <w:rFonts w:hint="eastAsia" w:cs="宋体"/>
          <w:color w:val="auto"/>
          <w:highlight w:val="none"/>
        </w:rPr>
        <w:t>C.为安置的每位残疾人按月足额缴纳了基本养老保险、基本医疗保险、失业保险、工伤保险和生育保险等社会保险费；</w:t>
      </w:r>
    </w:p>
    <w:p w14:paraId="0B27FE25">
      <w:pPr>
        <w:pBdr>
          <w:top w:val="none" w:color="auto" w:sz="0" w:space="1"/>
          <w:left w:val="none" w:color="auto" w:sz="0" w:space="4"/>
          <w:bottom w:val="none" w:color="auto" w:sz="0" w:space="1"/>
          <w:right w:val="none" w:color="auto" w:sz="0" w:space="4"/>
        </w:pBdr>
        <w:spacing w:line="560" w:lineRule="exact"/>
        <w:ind w:firstLine="480"/>
        <w:rPr>
          <w:rFonts w:cs="宋体"/>
          <w:color w:val="auto"/>
          <w:highlight w:val="none"/>
        </w:rPr>
      </w:pPr>
      <w:r>
        <w:rPr>
          <w:rFonts w:hint="eastAsia" w:cs="宋体"/>
          <w:color w:val="auto"/>
          <w:highlight w:val="none"/>
        </w:rPr>
        <w:t>D.通过银行等金融机构向安置的每位残疾人，按月支付了不低于单位所在区县适用的经省级人民政府批准的月最低工资标准的工资；</w:t>
      </w:r>
    </w:p>
    <w:p w14:paraId="4B94DDB2">
      <w:pPr>
        <w:pBdr>
          <w:top w:val="none" w:color="auto" w:sz="0" w:space="1"/>
          <w:left w:val="none" w:color="auto" w:sz="0" w:space="4"/>
          <w:bottom w:val="none" w:color="auto" w:sz="0" w:space="1"/>
          <w:right w:val="none" w:color="auto" w:sz="0" w:space="4"/>
        </w:pBdr>
        <w:spacing w:line="560" w:lineRule="exact"/>
        <w:ind w:firstLine="480"/>
        <w:rPr>
          <w:rFonts w:cs="宋体"/>
          <w:color w:val="auto"/>
          <w:highlight w:val="none"/>
        </w:rPr>
      </w:pPr>
      <w:r>
        <w:rPr>
          <w:rFonts w:hint="eastAsia" w:cs="宋体"/>
          <w:color w:val="auto"/>
          <w:highlight w:val="none"/>
        </w:rPr>
        <w:t>E．提供本单位制造的货物、承担的工程或者服务（以下简称产品），或者提供其他残疾人福利性单位制造的货物（不包括使用非残疾人福利性单位注册商标的货物）。</w:t>
      </w:r>
    </w:p>
    <w:p w14:paraId="7628197E">
      <w:pPr>
        <w:pBdr>
          <w:top w:val="none" w:color="auto" w:sz="0" w:space="1"/>
          <w:left w:val="none" w:color="auto" w:sz="0" w:space="4"/>
          <w:bottom w:val="none" w:color="auto" w:sz="0" w:space="1"/>
          <w:right w:val="none" w:color="auto" w:sz="0" w:space="4"/>
        </w:pBdr>
        <w:spacing w:line="560" w:lineRule="exact"/>
        <w:ind w:firstLine="480"/>
        <w:rPr>
          <w:rFonts w:cs="宋体"/>
          <w:color w:val="auto"/>
          <w:highlight w:val="none"/>
        </w:rPr>
      </w:pPr>
      <w:r>
        <w:rPr>
          <w:rFonts w:hint="eastAsia" w:cs="宋体"/>
          <w:color w:val="auto"/>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A9D94E2">
      <w:pPr>
        <w:pBdr>
          <w:top w:val="none" w:color="auto" w:sz="0" w:space="1"/>
          <w:left w:val="none" w:color="auto" w:sz="0" w:space="4"/>
          <w:bottom w:val="none" w:color="auto" w:sz="0" w:space="1"/>
          <w:right w:val="none" w:color="auto" w:sz="0" w:space="4"/>
        </w:pBdr>
        <w:spacing w:line="560" w:lineRule="exact"/>
        <w:ind w:firstLine="480"/>
        <w:rPr>
          <w:rFonts w:cs="宋体"/>
          <w:color w:val="auto"/>
          <w:highlight w:val="none"/>
        </w:rPr>
      </w:pPr>
      <w:r>
        <w:rPr>
          <w:rFonts w:hint="eastAsia" w:cs="宋体"/>
          <w:color w:val="auto"/>
          <w:highlight w:val="none"/>
        </w:rPr>
        <w:t>2.1.2.3投标人提供的《残疾人福利性单位声明函》与事实不符的，依照《政府采购法》第七十七条第一款的规定追究法律责任。</w:t>
      </w:r>
    </w:p>
    <w:p w14:paraId="19A69B74">
      <w:pPr>
        <w:pBdr>
          <w:top w:val="none" w:color="auto" w:sz="0" w:space="1"/>
          <w:left w:val="none" w:color="auto" w:sz="0" w:space="4"/>
          <w:bottom w:val="none" w:color="auto" w:sz="0" w:space="1"/>
          <w:right w:val="none" w:color="auto" w:sz="0" w:space="4"/>
        </w:pBdr>
        <w:spacing w:line="560" w:lineRule="exact"/>
        <w:ind w:firstLine="480"/>
        <w:rPr>
          <w:rFonts w:cs="宋体"/>
          <w:color w:val="auto"/>
          <w:highlight w:val="none"/>
        </w:rPr>
      </w:pPr>
      <w:r>
        <w:rPr>
          <w:rFonts w:hint="eastAsia" w:cs="宋体"/>
          <w:color w:val="auto"/>
          <w:highlight w:val="none"/>
        </w:rPr>
        <w:t>2.1.2.4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01FC623E">
      <w:pPr>
        <w:pBdr>
          <w:top w:val="none" w:color="auto" w:sz="0" w:space="1"/>
          <w:left w:val="none" w:color="auto" w:sz="0" w:space="4"/>
          <w:bottom w:val="none" w:color="auto" w:sz="0" w:space="1"/>
          <w:right w:val="none" w:color="auto" w:sz="0" w:space="4"/>
        </w:pBdr>
        <w:spacing w:line="560" w:lineRule="exact"/>
        <w:ind w:firstLine="480"/>
        <w:rPr>
          <w:rFonts w:cs="宋体"/>
          <w:color w:val="auto"/>
          <w:highlight w:val="none"/>
        </w:rPr>
      </w:pPr>
      <w:r>
        <w:rPr>
          <w:rFonts w:hint="eastAsia" w:cs="宋体"/>
          <w:color w:val="auto"/>
          <w:highlight w:val="none"/>
        </w:rPr>
        <w:t>2.1.3监狱企业参加本项目</w:t>
      </w:r>
      <w:r>
        <w:rPr>
          <w:rFonts w:hint="eastAsia" w:cs="宋体"/>
          <w:color w:val="auto"/>
          <w:highlight w:val="none"/>
          <w:lang w:eastAsia="zh-CN"/>
        </w:rPr>
        <w:t>采购</w:t>
      </w:r>
      <w:r>
        <w:rPr>
          <w:rFonts w:hint="eastAsia" w:cs="宋体"/>
          <w:color w:val="auto"/>
          <w:highlight w:val="none"/>
        </w:rPr>
        <w:t>的要求：</w:t>
      </w:r>
    </w:p>
    <w:p w14:paraId="0B26A42A">
      <w:pPr>
        <w:pBdr>
          <w:top w:val="none" w:color="auto" w:sz="0" w:space="1"/>
          <w:left w:val="none" w:color="auto" w:sz="0" w:space="4"/>
          <w:bottom w:val="none" w:color="auto" w:sz="0" w:space="1"/>
          <w:right w:val="none" w:color="auto" w:sz="0" w:space="4"/>
        </w:pBdr>
        <w:spacing w:line="560" w:lineRule="exact"/>
        <w:ind w:firstLine="480"/>
        <w:rPr>
          <w:rFonts w:cs="宋体"/>
          <w:color w:val="auto"/>
          <w:highlight w:val="none"/>
        </w:rPr>
      </w:pPr>
      <w:r>
        <w:rPr>
          <w:rFonts w:hint="eastAsia" w:cs="宋体"/>
          <w:color w:val="auto"/>
          <w:highlight w:val="none"/>
        </w:rPr>
        <w:t>监狱企业参加</w:t>
      </w:r>
      <w:r>
        <w:rPr>
          <w:rFonts w:hint="eastAsia" w:cs="宋体"/>
          <w:color w:val="auto"/>
          <w:highlight w:val="none"/>
          <w:lang w:eastAsia="zh-CN"/>
        </w:rPr>
        <w:t>采购</w:t>
      </w:r>
      <w:r>
        <w:rPr>
          <w:rFonts w:hint="eastAsia" w:cs="宋体"/>
          <w:color w:val="auto"/>
          <w:highlight w:val="none"/>
        </w:rPr>
        <w:t>视同小微企业，需提供由省级以上监狱管理局或戒毒管理局出具的属于监狱企业的证明文件。</w:t>
      </w:r>
    </w:p>
    <w:p w14:paraId="61CF9AC9">
      <w:pPr>
        <w:pBdr>
          <w:top w:val="none" w:color="auto" w:sz="0" w:space="1"/>
          <w:left w:val="none" w:color="auto" w:sz="0" w:space="4"/>
          <w:bottom w:val="none" w:color="auto" w:sz="0" w:space="1"/>
          <w:right w:val="none" w:color="auto" w:sz="0" w:space="4"/>
        </w:pBdr>
        <w:spacing w:line="560" w:lineRule="exact"/>
        <w:ind w:firstLine="480"/>
        <w:rPr>
          <w:rFonts w:cs="宋体"/>
          <w:color w:val="auto"/>
          <w:highlight w:val="none"/>
        </w:rPr>
      </w:pPr>
      <w:r>
        <w:rPr>
          <w:rFonts w:hint="eastAsia" w:cs="宋体"/>
          <w:color w:val="auto"/>
          <w:highlight w:val="none"/>
        </w:rPr>
        <w:t>2.1.4本项目涉及创新产品、创新服务的评审标准：</w:t>
      </w:r>
    </w:p>
    <w:p w14:paraId="53FBC2F9">
      <w:pPr>
        <w:pBdr>
          <w:top w:val="none" w:color="auto" w:sz="0" w:space="1"/>
          <w:left w:val="none" w:color="auto" w:sz="0" w:space="4"/>
          <w:bottom w:val="none" w:color="auto" w:sz="0" w:space="1"/>
          <w:right w:val="none" w:color="auto" w:sz="0" w:space="4"/>
        </w:pBdr>
        <w:spacing w:line="560" w:lineRule="exact"/>
        <w:ind w:firstLine="480"/>
        <w:rPr>
          <w:rFonts w:cs="宋体"/>
          <w:color w:val="auto"/>
          <w:highlight w:val="none"/>
        </w:rPr>
      </w:pPr>
      <w:r>
        <w:rPr>
          <w:rFonts w:hint="eastAsia" w:cs="宋体"/>
          <w:color w:val="auto"/>
          <w:highlight w:val="none"/>
        </w:rPr>
        <w:t>2.1.4.1投标人投提供服务属于《山西省创新产品和服务推荐清单》中创新产品或创新服务的，在评审时，其报价享受10%的价格折扣，以折扣后的价格参与评审。</w:t>
      </w:r>
    </w:p>
    <w:p w14:paraId="0419C807">
      <w:pPr>
        <w:pBdr>
          <w:top w:val="none" w:color="auto" w:sz="0" w:space="1"/>
          <w:left w:val="none" w:color="auto" w:sz="0" w:space="4"/>
          <w:bottom w:val="none" w:color="auto" w:sz="0" w:space="1"/>
          <w:right w:val="none" w:color="auto" w:sz="0" w:space="4"/>
        </w:pBdr>
        <w:spacing w:line="560" w:lineRule="exact"/>
        <w:ind w:firstLine="480"/>
        <w:rPr>
          <w:rFonts w:cs="宋体"/>
          <w:color w:val="auto"/>
          <w:highlight w:val="none"/>
        </w:rPr>
      </w:pPr>
      <w:r>
        <w:rPr>
          <w:rFonts w:hint="eastAsia" w:cs="宋体"/>
          <w:color w:val="auto"/>
          <w:highlight w:val="none"/>
        </w:rPr>
        <w:t>2.1.4.2投标人提供创新服务的，应在</w:t>
      </w:r>
      <w:r>
        <w:rPr>
          <w:rFonts w:hint="eastAsia" w:cs="宋体"/>
          <w:color w:val="auto"/>
          <w:highlight w:val="none"/>
          <w:lang w:eastAsia="zh-CN"/>
        </w:rPr>
        <w:t>投标文件</w:t>
      </w:r>
      <w:r>
        <w:rPr>
          <w:rFonts w:hint="eastAsia" w:cs="宋体"/>
          <w:color w:val="auto"/>
          <w:highlight w:val="none"/>
        </w:rPr>
        <w:t>中填写《创新服务明细表》，并提供《山西省创新产品和服务推荐清单》。</w:t>
      </w:r>
    </w:p>
    <w:p w14:paraId="296141F6">
      <w:pPr>
        <w:pBdr>
          <w:top w:val="none" w:color="auto" w:sz="0" w:space="1"/>
          <w:left w:val="none" w:color="auto" w:sz="0" w:space="4"/>
          <w:bottom w:val="none" w:color="auto" w:sz="0" w:space="1"/>
          <w:right w:val="none" w:color="auto" w:sz="0" w:space="4"/>
        </w:pBdr>
        <w:spacing w:line="560" w:lineRule="exact"/>
        <w:ind w:firstLine="480"/>
        <w:rPr>
          <w:rFonts w:hint="eastAsia" w:cs="宋体"/>
          <w:color w:val="auto"/>
          <w:highlight w:val="none"/>
        </w:rPr>
      </w:pPr>
      <w:r>
        <w:rPr>
          <w:rFonts w:hint="eastAsia" w:cs="宋体"/>
          <w:color w:val="auto"/>
          <w:highlight w:val="none"/>
        </w:rPr>
        <w:t>2.1.4.3创新服务的价格折扣政策可与其他政府采购政策叠加。</w:t>
      </w:r>
    </w:p>
    <w:p w14:paraId="12A7DC71">
      <w:pPr>
        <w:pBdr>
          <w:top w:val="none" w:color="auto" w:sz="0" w:space="1"/>
          <w:left w:val="none" w:color="auto" w:sz="0" w:space="4"/>
          <w:bottom w:val="none" w:color="auto" w:sz="0" w:space="1"/>
          <w:right w:val="none" w:color="auto" w:sz="0" w:space="4"/>
        </w:pBdr>
        <w:spacing w:line="560" w:lineRule="exact"/>
        <w:ind w:firstLine="480"/>
        <w:rPr>
          <w:rFonts w:hint="eastAsia" w:cs="宋体"/>
          <w:color w:val="auto"/>
          <w:highlight w:val="none"/>
        </w:rPr>
      </w:pPr>
      <w:r>
        <w:rPr>
          <w:rFonts w:hint="eastAsia" w:cs="宋体"/>
          <w:color w:val="auto"/>
          <w:highlight w:val="none"/>
        </w:rPr>
        <w:t>2.1.4.</w:t>
      </w:r>
      <w:r>
        <w:rPr>
          <w:rFonts w:hint="eastAsia" w:cs="宋体"/>
          <w:color w:val="auto"/>
          <w:highlight w:val="none"/>
          <w:lang w:val="en-US" w:eastAsia="zh-CN"/>
        </w:rPr>
        <w:t>4</w:t>
      </w:r>
      <w:r>
        <w:rPr>
          <w:rFonts w:hint="eastAsia" w:cs="宋体"/>
          <w:color w:val="auto"/>
          <w:highlight w:val="none"/>
        </w:rPr>
        <w:t>《山西省财政厅关于进一步加强政府绿色采购有关事项的通知》对实施强制采购或执行强制性绿色采购标准的品目，不接受非强制采购产品。对于优先采购的绿色产品，给予4%的价格扣除，用扣除后的价格参与评审。对中小微企业，严格落实政府采购优惠政策，同时享受绿色采购政策的价格扣除等评审优惠措施，分别计算，叠加执行。</w:t>
      </w:r>
    </w:p>
    <w:p w14:paraId="12C2D2C2">
      <w:pPr>
        <w:pStyle w:val="7"/>
        <w:spacing w:before="156" w:after="31"/>
        <w:ind w:firstLine="482"/>
        <w:rPr>
          <w:color w:val="auto"/>
          <w:highlight w:val="none"/>
        </w:rPr>
      </w:pPr>
      <w:r>
        <w:rPr>
          <w:rFonts w:hint="eastAsia"/>
          <w:color w:val="auto"/>
          <w:highlight w:val="none"/>
        </w:rPr>
        <w:t>三、评标办法及细则</w:t>
      </w:r>
    </w:p>
    <w:p w14:paraId="58E41E6A">
      <w:pPr>
        <w:pStyle w:val="7"/>
        <w:spacing w:before="156" w:after="31"/>
        <w:ind w:firstLine="482"/>
        <w:rPr>
          <w:color w:val="auto"/>
          <w:highlight w:val="none"/>
        </w:rPr>
      </w:pPr>
      <w:r>
        <w:rPr>
          <w:rFonts w:hint="eastAsia"/>
          <w:color w:val="auto"/>
          <w:highlight w:val="none"/>
        </w:rPr>
        <w:t>1.评标办法</w:t>
      </w:r>
    </w:p>
    <w:p w14:paraId="596CA668">
      <w:pPr>
        <w:ind w:firstLine="480"/>
        <w:rPr>
          <w:color w:val="auto"/>
          <w:highlight w:val="none"/>
        </w:rPr>
      </w:pPr>
      <w:r>
        <w:rPr>
          <w:rFonts w:hint="eastAsia"/>
          <w:color w:val="auto"/>
          <w:highlight w:val="none"/>
        </w:rPr>
        <w:t>本项目采用综合评分法进行评标，综合评分法是将投标报价、商务部分、技术服务部分具体量化，并赋予相对权重分值，每一投标人的最终得分为每个评审因素的得分汇总。按照总得分由高到低择优选择最佳投标人的方法。综合评分法不保证投标报价最低的投标人中标。</w:t>
      </w:r>
    </w:p>
    <w:p w14:paraId="76B206E9">
      <w:pPr>
        <w:ind w:firstLine="480"/>
        <w:rPr>
          <w:color w:val="auto"/>
          <w:highlight w:val="none"/>
        </w:rPr>
      </w:pPr>
      <w:r>
        <w:rPr>
          <w:rFonts w:hint="eastAsia"/>
          <w:color w:val="auto"/>
          <w:highlight w:val="none"/>
        </w:rPr>
        <w:t>评标委员会按照本办法，对投标单位的投标文件进行独立评标。</w:t>
      </w:r>
    </w:p>
    <w:p w14:paraId="037CC399">
      <w:pPr>
        <w:keepNext/>
        <w:keepLines/>
        <w:widowControl/>
        <w:numPr>
          <w:ilvl w:val="0"/>
          <w:numId w:val="4"/>
        </w:numPr>
        <w:spacing w:before="156" w:beforeLines="50" w:after="156" w:afterLines="50"/>
        <w:ind w:firstLine="482"/>
        <w:jc w:val="left"/>
        <w:outlineLvl w:val="2"/>
        <w:rPr>
          <w:b/>
          <w:color w:val="auto"/>
          <w:szCs w:val="32"/>
          <w:highlight w:val="none"/>
        </w:rPr>
      </w:pPr>
      <w:r>
        <w:rPr>
          <w:rFonts w:hint="eastAsia"/>
          <w:b/>
          <w:color w:val="auto"/>
          <w:szCs w:val="32"/>
          <w:highlight w:val="none"/>
        </w:rPr>
        <w:t>评分标准及细则</w:t>
      </w:r>
    </w:p>
    <w:p w14:paraId="3601B78F">
      <w:pPr>
        <w:tabs>
          <w:tab w:val="left" w:pos="394"/>
        </w:tabs>
        <w:snapToGrid w:val="0"/>
        <w:spacing w:line="360" w:lineRule="auto"/>
        <w:ind w:firstLine="480" w:firstLineChars="200"/>
        <w:rPr>
          <w:rFonts w:hint="default" w:ascii="Times New Roman" w:hAnsi="Times New Roman" w:eastAsia="宋体"/>
          <w:b/>
          <w:bCs/>
          <w:color w:val="auto"/>
          <w:kern w:val="0"/>
          <w:sz w:val="24"/>
          <w:highlight w:val="none"/>
          <w:lang w:val="en-US" w:eastAsia="zh-CN"/>
        </w:rPr>
      </w:pPr>
      <w:bookmarkStart w:id="31" w:name="_Toc12584"/>
      <w:r>
        <w:rPr>
          <w:rFonts w:hint="eastAsia"/>
          <w:color w:val="auto"/>
          <w:highlight w:val="none"/>
        </w:rPr>
        <w:br w:type="page"/>
      </w:r>
      <w:r>
        <w:rPr>
          <w:rFonts w:hint="eastAsia" w:ascii="Times New Roman" w:hAnsi="Times New Roman"/>
          <w:b/>
          <w:bCs/>
          <w:color w:val="auto"/>
          <w:kern w:val="0"/>
          <w:sz w:val="24"/>
          <w:highlight w:val="none"/>
          <w:lang w:val="en-US" w:eastAsia="zh-CN"/>
        </w:rPr>
        <w:t>包1：</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7"/>
        <w:gridCol w:w="1399"/>
        <w:gridCol w:w="6776"/>
      </w:tblGrid>
      <w:tr w14:paraId="2F8B7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6" w:type="dxa"/>
            <w:gridSpan w:val="2"/>
          </w:tcPr>
          <w:p w14:paraId="2B422B61">
            <w:pPr>
              <w:spacing w:line="480" w:lineRule="exact"/>
              <w:ind w:left="0" w:leftChars="0" w:firstLine="0" w:firstLineChars="0"/>
              <w:jc w:val="center"/>
              <w:rPr>
                <w:rFonts w:hint="default" w:ascii="宋体" w:hAnsi="宋体" w:eastAsia="宋体" w:cs="宋体"/>
                <w:b/>
                <w:bCs/>
                <w:color w:val="auto"/>
                <w:sz w:val="28"/>
                <w:szCs w:val="28"/>
                <w:highlight w:val="none"/>
                <w:shd w:val="clear" w:color="auto" w:fill="FFFFFF"/>
                <w:lang w:val="en-US" w:eastAsia="zh-CN"/>
              </w:rPr>
            </w:pPr>
            <w:r>
              <w:rPr>
                <w:rFonts w:hint="eastAsia" w:ascii="宋体" w:hAnsi="宋体" w:eastAsia="宋体" w:cs="宋体"/>
                <w:b/>
                <w:bCs/>
                <w:color w:val="auto"/>
                <w:sz w:val="28"/>
                <w:szCs w:val="28"/>
                <w:highlight w:val="none"/>
                <w:shd w:val="clear" w:color="auto" w:fill="FFFFFF"/>
                <w:lang w:val="en-US" w:eastAsia="zh-CN"/>
              </w:rPr>
              <w:t>评分项目</w:t>
            </w:r>
          </w:p>
        </w:tc>
        <w:tc>
          <w:tcPr>
            <w:tcW w:w="6776" w:type="dxa"/>
          </w:tcPr>
          <w:p w14:paraId="18C9C8FF">
            <w:pPr>
              <w:spacing w:line="480" w:lineRule="exact"/>
              <w:ind w:left="0" w:leftChars="0" w:firstLine="0" w:firstLineChars="0"/>
              <w:jc w:val="center"/>
              <w:rPr>
                <w:rFonts w:hint="default" w:ascii="宋体" w:hAnsi="宋体" w:eastAsia="宋体" w:cs="宋体"/>
                <w:b/>
                <w:bCs/>
                <w:color w:val="auto"/>
                <w:sz w:val="28"/>
                <w:szCs w:val="28"/>
                <w:highlight w:val="none"/>
                <w:shd w:val="clear" w:color="auto" w:fill="FFFFFF"/>
                <w:lang w:val="en-US" w:eastAsia="zh-CN"/>
              </w:rPr>
            </w:pPr>
            <w:r>
              <w:rPr>
                <w:rFonts w:hint="eastAsia" w:ascii="宋体" w:hAnsi="宋体" w:eastAsia="宋体" w:cs="宋体"/>
                <w:b/>
                <w:bCs/>
                <w:color w:val="auto"/>
                <w:sz w:val="28"/>
                <w:szCs w:val="28"/>
                <w:highlight w:val="none"/>
                <w:shd w:val="clear" w:color="auto" w:fill="FFFFFF"/>
                <w:lang w:val="en-US" w:eastAsia="zh-CN"/>
              </w:rPr>
              <w:t>评分标准</w:t>
            </w:r>
          </w:p>
        </w:tc>
      </w:tr>
      <w:tr w14:paraId="6CBC0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 w:type="dxa"/>
            <w:vAlign w:val="center"/>
          </w:tcPr>
          <w:p w14:paraId="39C6B8A7">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报价</w:t>
            </w:r>
          </w:p>
          <w:p w14:paraId="7CD89376">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部分</w:t>
            </w:r>
          </w:p>
        </w:tc>
        <w:tc>
          <w:tcPr>
            <w:tcW w:w="1399" w:type="dxa"/>
            <w:vAlign w:val="center"/>
          </w:tcPr>
          <w:p w14:paraId="27E2D6FB">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投标报价</w:t>
            </w:r>
          </w:p>
          <w:p w14:paraId="7FF0B956">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（30分）</w:t>
            </w:r>
          </w:p>
        </w:tc>
        <w:tc>
          <w:tcPr>
            <w:tcW w:w="6776" w:type="dxa"/>
          </w:tcPr>
          <w:p w14:paraId="3C9E2783">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360" w:lineRule="exact"/>
              <w:jc w:val="left"/>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满足招标文件要求且投标价格最低的报价为评标基准价，其价格分为满分30分。其他投标人的价格分统一按照下列公式计算：</w:t>
            </w:r>
          </w:p>
          <w:p w14:paraId="16B527E0">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360" w:lineRule="exact"/>
              <w:ind w:firstLine="0" w:firstLineChars="0"/>
              <w:jc w:val="left"/>
              <w:textAlignment w:val="auto"/>
              <w:rPr>
                <w:rFonts w:hint="eastAsia"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投标报价得分=(评标基准价／投标报价)×30×100%</w:t>
            </w:r>
            <w:r>
              <w:rPr>
                <w:rFonts w:hint="eastAsia" w:cs="宋体"/>
                <w:b w:val="0"/>
                <w:color w:val="auto"/>
                <w:kern w:val="2"/>
                <w:sz w:val="24"/>
                <w:szCs w:val="24"/>
                <w:highlight w:val="none"/>
                <w:lang w:val="en-US" w:eastAsia="zh-CN" w:bidi="ar-SA"/>
              </w:rPr>
              <w:t>。</w:t>
            </w:r>
          </w:p>
          <w:p w14:paraId="7C025967">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360" w:lineRule="exact"/>
              <w:ind w:firstLine="0" w:firstLineChars="0"/>
              <w:jc w:val="left"/>
              <w:textAlignment w:val="auto"/>
              <w:rPr>
                <w:rFonts w:hint="eastAsia" w:cs="宋体"/>
                <w:b w:val="0"/>
                <w:color w:val="auto"/>
                <w:kern w:val="2"/>
                <w:sz w:val="24"/>
                <w:szCs w:val="24"/>
                <w:highlight w:val="none"/>
                <w:lang w:val="en-US" w:eastAsia="zh-CN" w:bidi="ar-SA"/>
              </w:rPr>
            </w:pPr>
            <w:r>
              <w:rPr>
                <w:rFonts w:hint="eastAsia" w:ascii="Times New Roman" w:hAnsi="Times New Roman" w:eastAsia="宋体" w:cs="Times New Roman"/>
                <w:b w:val="0"/>
                <w:bCs/>
                <w:color w:val="auto"/>
                <w:kern w:val="0"/>
                <w:sz w:val="24"/>
                <w:highlight w:val="none"/>
                <w:lang w:val="en-US" w:eastAsia="zh-CN"/>
              </w:rPr>
              <w:t>注：</w:t>
            </w:r>
            <w:r>
              <w:rPr>
                <w:rFonts w:hint="eastAsia" w:ascii="Times New Roman" w:hAnsi="Times New Roman" w:eastAsia="宋体" w:cs="Times New Roman"/>
                <w:b w:val="0"/>
                <w:bCs/>
                <w:color w:val="auto"/>
                <w:kern w:val="0"/>
                <w:sz w:val="24"/>
                <w:highlight w:val="none"/>
                <w:lang w:eastAsia="zh-CN"/>
              </w:rPr>
              <w:t>小型或微型企业给予15％的扣除，用扣除后的价格参与投标报价计算。</w:t>
            </w:r>
          </w:p>
        </w:tc>
      </w:tr>
      <w:tr w14:paraId="3E717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 w:type="dxa"/>
            <w:vAlign w:val="center"/>
          </w:tcPr>
          <w:p w14:paraId="5B0B61BE">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商务</w:t>
            </w:r>
          </w:p>
          <w:p w14:paraId="0A46BB1A">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部分</w:t>
            </w:r>
          </w:p>
        </w:tc>
        <w:tc>
          <w:tcPr>
            <w:tcW w:w="1399" w:type="dxa"/>
            <w:vAlign w:val="center"/>
          </w:tcPr>
          <w:p w14:paraId="1E662694">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业绩</w:t>
            </w:r>
          </w:p>
          <w:p w14:paraId="622A43FE">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default"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（9分）</w:t>
            </w:r>
          </w:p>
        </w:tc>
        <w:tc>
          <w:tcPr>
            <w:tcW w:w="6776" w:type="dxa"/>
          </w:tcPr>
          <w:p w14:paraId="0FD8842F">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360" w:lineRule="exact"/>
              <w:jc w:val="left"/>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投标人近三年内（2023年05月至递交</w:t>
            </w:r>
            <w:r>
              <w:rPr>
                <w:rFonts w:hint="eastAsia" w:cs="宋体"/>
                <w:b w:val="0"/>
                <w:color w:val="auto"/>
                <w:kern w:val="2"/>
                <w:sz w:val="24"/>
                <w:szCs w:val="24"/>
                <w:highlight w:val="none"/>
                <w:lang w:val="en-US" w:eastAsia="zh-CN" w:bidi="ar-SA"/>
              </w:rPr>
              <w:t>投标文件</w:t>
            </w:r>
            <w:r>
              <w:rPr>
                <w:rFonts w:hint="eastAsia" w:ascii="宋体" w:hAnsi="宋体" w:eastAsia="宋体" w:cs="宋体"/>
                <w:b w:val="0"/>
                <w:color w:val="auto"/>
                <w:kern w:val="2"/>
                <w:sz w:val="24"/>
                <w:szCs w:val="24"/>
                <w:highlight w:val="none"/>
                <w:lang w:val="en-US" w:eastAsia="zh-CN" w:bidi="ar-SA"/>
              </w:rPr>
              <w:t>截止时间止）签署的同类型案例，必须提供与用户签订的合同关键页复印件（含首页、金额页、清单页、盖章页）作为证明，每提供一个有效案例得3分，最高得9分。</w:t>
            </w:r>
          </w:p>
          <w:p w14:paraId="5DAAFAE1">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360" w:lineRule="exact"/>
              <w:ind w:firstLine="480" w:firstLineChars="200"/>
              <w:jc w:val="left"/>
              <w:textAlignment w:val="auto"/>
              <w:rPr>
                <w:rFonts w:hint="default" w:ascii="Times New Roman" w:hAnsi="Times New Roman"/>
                <w:b/>
                <w:bCs/>
                <w:color w:val="auto"/>
                <w:kern w:val="0"/>
                <w:sz w:val="24"/>
                <w:highlight w:val="none"/>
                <w:vertAlign w:val="baseline"/>
                <w:lang w:val="en-US" w:eastAsia="zh-CN"/>
              </w:rPr>
            </w:pPr>
            <w:r>
              <w:rPr>
                <w:rFonts w:hint="eastAsia" w:ascii="宋体" w:hAnsi="宋体" w:eastAsia="宋体" w:cs="宋体"/>
                <w:b w:val="0"/>
                <w:color w:val="auto"/>
                <w:kern w:val="2"/>
                <w:sz w:val="24"/>
                <w:szCs w:val="24"/>
                <w:highlight w:val="none"/>
                <w:lang w:val="en-US" w:eastAsia="zh-CN" w:bidi="ar-SA"/>
              </w:rPr>
              <w:t>注：本款可作为加分的合同案例仅指投标人自身的合同案例，即合同案例合同的乙方必须与投标人的名称完全一致，如公司名称发生变更，须提供工商部门证明文件。</w:t>
            </w:r>
          </w:p>
        </w:tc>
      </w:tr>
      <w:tr w14:paraId="3C201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8" w:hRule="atLeast"/>
        </w:trPr>
        <w:tc>
          <w:tcPr>
            <w:tcW w:w="1027" w:type="dxa"/>
            <w:vMerge w:val="restart"/>
            <w:vAlign w:val="center"/>
          </w:tcPr>
          <w:p w14:paraId="3C8D95F1">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技术</w:t>
            </w:r>
          </w:p>
          <w:p w14:paraId="7E4910A0">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default"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部分</w:t>
            </w:r>
          </w:p>
        </w:tc>
        <w:tc>
          <w:tcPr>
            <w:tcW w:w="1399" w:type="dxa"/>
            <w:vAlign w:val="center"/>
          </w:tcPr>
          <w:p w14:paraId="5C3FEFF6">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项目实施方案</w:t>
            </w:r>
          </w:p>
          <w:p w14:paraId="7ED6D2EE">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（30分）</w:t>
            </w:r>
          </w:p>
        </w:tc>
        <w:tc>
          <w:tcPr>
            <w:tcW w:w="6776" w:type="dxa"/>
          </w:tcPr>
          <w:p w14:paraId="55AF0C53">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360" w:lineRule="exact"/>
              <w:jc w:val="left"/>
              <w:textAlignment w:val="auto"/>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根据投标人针对本项目提供的项目实施方案进行综合评审，内容包括但不限于①前期图书采选；②项目实施各阶段时间安排；③人员配置及分工；④车辆及工具安排；⑤货物搬运及交货计划等进行。每提供一项且内容全面得6分，每项每有一处缺陷或内容不全面扣1分，不提供的不得分。最高得30分。</w:t>
            </w:r>
          </w:p>
          <w:p w14:paraId="4A4C774C">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360" w:lineRule="exact"/>
              <w:jc w:val="left"/>
              <w:textAlignment w:val="auto"/>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注:缺陷是指内容与实际情况不符、内容与项目无关、内容表述错误、内容前后表述矛盾、内容与项目不匹配、项目信息错误、不符合本项目涉及的相关规范或标准要求的任意一种情形。</w:t>
            </w:r>
          </w:p>
        </w:tc>
      </w:tr>
      <w:tr w14:paraId="65C8D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1027" w:type="dxa"/>
            <w:vMerge w:val="continue"/>
            <w:vAlign w:val="center"/>
          </w:tcPr>
          <w:p w14:paraId="5AC431AB">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default" w:ascii="宋体" w:hAnsi="宋体" w:eastAsia="宋体" w:cs="宋体"/>
                <w:b w:val="0"/>
                <w:color w:val="auto"/>
                <w:kern w:val="2"/>
                <w:sz w:val="24"/>
                <w:szCs w:val="24"/>
                <w:highlight w:val="none"/>
                <w:lang w:val="en-US" w:eastAsia="zh-CN" w:bidi="ar-SA"/>
              </w:rPr>
            </w:pPr>
          </w:p>
        </w:tc>
        <w:tc>
          <w:tcPr>
            <w:tcW w:w="1399" w:type="dxa"/>
            <w:vAlign w:val="center"/>
          </w:tcPr>
          <w:p w14:paraId="37F4C350">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产品质量及保障措施</w:t>
            </w:r>
          </w:p>
          <w:p w14:paraId="47216679">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（8分）</w:t>
            </w:r>
          </w:p>
        </w:tc>
        <w:tc>
          <w:tcPr>
            <w:tcW w:w="6776" w:type="dxa"/>
          </w:tcPr>
          <w:p w14:paraId="1AF45695">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360" w:lineRule="exact"/>
              <w:jc w:val="left"/>
              <w:textAlignment w:val="auto"/>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根据投标人针对本项目提供的产品质量及保障措施进行综合评审，内容包括但不限于①图书产品质量保障措施；②运输过程质量安全保障措施等。每提供一项且内容全面得4分，每项每有一处缺陷或内容不全面扣1分，不提供的不得分。最高得8分。</w:t>
            </w:r>
          </w:p>
          <w:p w14:paraId="60F200E7">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360" w:lineRule="exact"/>
              <w:jc w:val="left"/>
              <w:textAlignment w:val="auto"/>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注:缺陷是指内容与实际情况不符、内容与项目无关、内容表述错误、内容前后表述矛盾、内容与项目不匹配、项目信息错误、不符合本项目涉及的相关规范或标准要求的任意一种情形。</w:t>
            </w:r>
          </w:p>
        </w:tc>
      </w:tr>
      <w:tr w14:paraId="20C41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3" w:hRule="atLeast"/>
        </w:trPr>
        <w:tc>
          <w:tcPr>
            <w:tcW w:w="1027" w:type="dxa"/>
            <w:vMerge w:val="continue"/>
            <w:vAlign w:val="center"/>
          </w:tcPr>
          <w:p w14:paraId="0E4A2F1E">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default" w:ascii="宋体" w:hAnsi="宋体" w:eastAsia="宋体" w:cs="宋体"/>
                <w:b w:val="0"/>
                <w:color w:val="auto"/>
                <w:kern w:val="2"/>
                <w:sz w:val="24"/>
                <w:szCs w:val="24"/>
                <w:highlight w:val="none"/>
                <w:lang w:val="en-US" w:eastAsia="zh-CN" w:bidi="ar-SA"/>
              </w:rPr>
            </w:pPr>
          </w:p>
        </w:tc>
        <w:tc>
          <w:tcPr>
            <w:tcW w:w="1399" w:type="dxa"/>
            <w:vAlign w:val="center"/>
          </w:tcPr>
          <w:p w14:paraId="6B7521C6">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退换货实施方案</w:t>
            </w:r>
          </w:p>
          <w:p w14:paraId="055662E4">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default"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（15分）</w:t>
            </w:r>
          </w:p>
        </w:tc>
        <w:tc>
          <w:tcPr>
            <w:tcW w:w="6776" w:type="dxa"/>
          </w:tcPr>
          <w:p w14:paraId="35A236F2">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360" w:lineRule="exact"/>
              <w:jc w:val="left"/>
              <w:textAlignment w:val="auto"/>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根据投标人针对本项目提供的退换货实施方案进行综合评审，内容包括但不限于①存在质量问题的图书退换；②存在缺货、错发及少发图书调换及补货；③退换货及补货响应时间等。每提供一项且内容全面得5分，每项每有一处缺陷或内容不全面扣1分，不提供的不得分。最高得15分。</w:t>
            </w:r>
          </w:p>
          <w:p w14:paraId="13364C05">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360" w:lineRule="exact"/>
              <w:jc w:val="left"/>
              <w:textAlignment w:val="auto"/>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注:缺陷是指内容与实际情况不符、内容与项目无关、内容表述错误、内容前后表述矛盾、内容与项目不匹配、项目信息错误、不符合本项目涉及的相关规范或标准要求的任意一种情形。</w:t>
            </w:r>
          </w:p>
        </w:tc>
      </w:tr>
      <w:tr w14:paraId="63348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 w:type="dxa"/>
            <w:vMerge w:val="continue"/>
            <w:vAlign w:val="center"/>
          </w:tcPr>
          <w:p w14:paraId="0386A128">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default" w:ascii="宋体" w:hAnsi="宋体" w:eastAsia="宋体" w:cs="宋体"/>
                <w:b w:val="0"/>
                <w:color w:val="auto"/>
                <w:kern w:val="2"/>
                <w:sz w:val="24"/>
                <w:szCs w:val="24"/>
                <w:highlight w:val="none"/>
                <w:lang w:val="en-US" w:eastAsia="zh-CN" w:bidi="ar-SA"/>
              </w:rPr>
            </w:pPr>
          </w:p>
        </w:tc>
        <w:tc>
          <w:tcPr>
            <w:tcW w:w="1399" w:type="dxa"/>
            <w:vAlign w:val="center"/>
          </w:tcPr>
          <w:p w14:paraId="2E391F13">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售后服务方案</w:t>
            </w:r>
          </w:p>
          <w:p w14:paraId="079E9F12">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（8分）</w:t>
            </w:r>
          </w:p>
        </w:tc>
        <w:tc>
          <w:tcPr>
            <w:tcW w:w="6776" w:type="dxa"/>
          </w:tcPr>
          <w:p w14:paraId="742F692C">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360" w:lineRule="exact"/>
              <w:jc w:val="left"/>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根据投标人针对本项目提供详细的售后服务方案进行综合评审，内容包括但不限于①全流程跟踪服务；②售后服务响应时间等。每提供一项且内容全面得4分，每项每有一处缺陷或内容不全面扣1分，不提供的不得分。最高得8分。</w:t>
            </w:r>
          </w:p>
          <w:p w14:paraId="64AE1BF4">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360" w:lineRule="exact"/>
              <w:jc w:val="left"/>
              <w:textAlignment w:val="auto"/>
              <w:rPr>
                <w:rFonts w:hint="default"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注:缺陷是指内容与实际情况不符、内容与项目无关、内容表述错误、内容前后表述矛盾、内容与项目不匹配、项目信息错误、不符合本项目涉及的相关规范或标准要求的任意一种情形。</w:t>
            </w:r>
          </w:p>
        </w:tc>
      </w:tr>
    </w:tbl>
    <w:p w14:paraId="0BE79D3B">
      <w:pPr>
        <w:tabs>
          <w:tab w:val="left" w:pos="394"/>
        </w:tabs>
        <w:snapToGrid w:val="0"/>
        <w:spacing w:line="360" w:lineRule="auto"/>
        <w:ind w:firstLine="482" w:firstLineChars="200"/>
        <w:rPr>
          <w:rFonts w:hint="default" w:ascii="Times New Roman" w:hAnsi="Times New Roman" w:eastAsia="宋体"/>
          <w:b/>
          <w:bCs/>
          <w:color w:val="auto"/>
          <w:kern w:val="0"/>
          <w:sz w:val="24"/>
          <w:highlight w:val="none"/>
          <w:lang w:val="en-US" w:eastAsia="zh-CN"/>
        </w:rPr>
      </w:pPr>
    </w:p>
    <w:p w14:paraId="30E7AE2F">
      <w:pPr>
        <w:tabs>
          <w:tab w:val="left" w:pos="394"/>
        </w:tabs>
        <w:snapToGrid w:val="0"/>
        <w:spacing w:line="360" w:lineRule="auto"/>
        <w:ind w:firstLine="482" w:firstLineChars="200"/>
        <w:rPr>
          <w:rFonts w:hint="default" w:ascii="Times New Roman" w:hAnsi="Times New Roman" w:eastAsia="宋体"/>
          <w:b/>
          <w:bCs/>
          <w:color w:val="auto"/>
          <w:kern w:val="0"/>
          <w:sz w:val="24"/>
          <w:highlight w:val="none"/>
          <w:lang w:val="en-US" w:eastAsia="zh-CN"/>
        </w:rPr>
      </w:pPr>
    </w:p>
    <w:p w14:paraId="1C974AA6">
      <w:pPr>
        <w:tabs>
          <w:tab w:val="left" w:pos="394"/>
        </w:tabs>
        <w:snapToGrid w:val="0"/>
        <w:spacing w:line="360" w:lineRule="auto"/>
        <w:ind w:firstLine="482" w:firstLineChars="200"/>
        <w:rPr>
          <w:rFonts w:hint="default" w:ascii="Times New Roman" w:hAnsi="Times New Roman" w:eastAsia="宋体"/>
          <w:b/>
          <w:bCs/>
          <w:color w:val="auto"/>
          <w:kern w:val="0"/>
          <w:sz w:val="24"/>
          <w:highlight w:val="none"/>
          <w:lang w:val="en-US" w:eastAsia="zh-CN"/>
        </w:rPr>
      </w:pPr>
    </w:p>
    <w:p w14:paraId="02065940">
      <w:pPr>
        <w:tabs>
          <w:tab w:val="left" w:pos="394"/>
        </w:tabs>
        <w:snapToGrid w:val="0"/>
        <w:spacing w:line="360" w:lineRule="auto"/>
        <w:ind w:firstLine="482" w:firstLineChars="200"/>
        <w:rPr>
          <w:rFonts w:hint="default" w:ascii="Times New Roman" w:hAnsi="Times New Roman" w:eastAsia="宋体"/>
          <w:b/>
          <w:bCs/>
          <w:color w:val="auto"/>
          <w:kern w:val="0"/>
          <w:sz w:val="24"/>
          <w:highlight w:val="none"/>
          <w:lang w:val="en-US" w:eastAsia="zh-CN"/>
        </w:rPr>
      </w:pPr>
    </w:p>
    <w:p w14:paraId="6302DD56">
      <w:pPr>
        <w:tabs>
          <w:tab w:val="left" w:pos="394"/>
        </w:tabs>
        <w:snapToGrid w:val="0"/>
        <w:spacing w:line="360" w:lineRule="auto"/>
        <w:ind w:firstLine="482" w:firstLineChars="200"/>
        <w:rPr>
          <w:rFonts w:hint="default" w:ascii="Times New Roman" w:hAnsi="Times New Roman" w:eastAsia="宋体"/>
          <w:b/>
          <w:bCs/>
          <w:color w:val="auto"/>
          <w:kern w:val="0"/>
          <w:sz w:val="24"/>
          <w:highlight w:val="none"/>
          <w:lang w:val="en-US" w:eastAsia="zh-CN"/>
        </w:rPr>
      </w:pPr>
    </w:p>
    <w:p w14:paraId="26A5C24F">
      <w:pPr>
        <w:tabs>
          <w:tab w:val="left" w:pos="394"/>
        </w:tabs>
        <w:snapToGrid w:val="0"/>
        <w:spacing w:line="360" w:lineRule="auto"/>
        <w:ind w:firstLine="482" w:firstLineChars="200"/>
        <w:rPr>
          <w:rFonts w:hint="default" w:ascii="Times New Roman" w:hAnsi="Times New Roman" w:eastAsia="宋体"/>
          <w:b/>
          <w:bCs/>
          <w:color w:val="auto"/>
          <w:kern w:val="0"/>
          <w:sz w:val="24"/>
          <w:highlight w:val="none"/>
          <w:lang w:val="en-US" w:eastAsia="zh-CN"/>
        </w:rPr>
      </w:pPr>
    </w:p>
    <w:p w14:paraId="6DEF55DF">
      <w:pPr>
        <w:tabs>
          <w:tab w:val="left" w:pos="394"/>
        </w:tabs>
        <w:snapToGrid w:val="0"/>
        <w:spacing w:line="360" w:lineRule="auto"/>
        <w:ind w:firstLine="482" w:firstLineChars="200"/>
        <w:rPr>
          <w:rFonts w:hint="default" w:ascii="Times New Roman" w:hAnsi="Times New Roman" w:eastAsia="宋体"/>
          <w:b/>
          <w:bCs/>
          <w:color w:val="auto"/>
          <w:kern w:val="0"/>
          <w:sz w:val="24"/>
          <w:highlight w:val="none"/>
          <w:lang w:val="en-US" w:eastAsia="zh-CN"/>
        </w:rPr>
      </w:pPr>
    </w:p>
    <w:p w14:paraId="7F8B6A07">
      <w:pPr>
        <w:tabs>
          <w:tab w:val="left" w:pos="394"/>
        </w:tabs>
        <w:snapToGrid w:val="0"/>
        <w:spacing w:line="360" w:lineRule="auto"/>
        <w:ind w:firstLine="482" w:firstLineChars="200"/>
        <w:rPr>
          <w:rFonts w:hint="default" w:ascii="Times New Roman" w:hAnsi="Times New Roman" w:eastAsia="宋体"/>
          <w:b/>
          <w:bCs/>
          <w:color w:val="auto"/>
          <w:kern w:val="0"/>
          <w:sz w:val="24"/>
          <w:highlight w:val="none"/>
          <w:lang w:val="en-US" w:eastAsia="zh-CN"/>
        </w:rPr>
      </w:pPr>
    </w:p>
    <w:p w14:paraId="3B273228">
      <w:pPr>
        <w:tabs>
          <w:tab w:val="left" w:pos="394"/>
        </w:tabs>
        <w:snapToGrid w:val="0"/>
        <w:spacing w:line="360" w:lineRule="auto"/>
        <w:ind w:firstLine="482" w:firstLineChars="200"/>
        <w:rPr>
          <w:rFonts w:hint="default" w:ascii="Times New Roman" w:hAnsi="Times New Roman" w:eastAsia="宋体"/>
          <w:b/>
          <w:bCs/>
          <w:color w:val="auto"/>
          <w:kern w:val="0"/>
          <w:sz w:val="24"/>
          <w:highlight w:val="none"/>
          <w:lang w:val="en-US" w:eastAsia="zh-CN"/>
        </w:rPr>
      </w:pPr>
    </w:p>
    <w:p w14:paraId="12BFFDAA">
      <w:pPr>
        <w:tabs>
          <w:tab w:val="left" w:pos="394"/>
        </w:tabs>
        <w:snapToGrid w:val="0"/>
        <w:spacing w:line="360" w:lineRule="auto"/>
        <w:ind w:firstLine="482" w:firstLineChars="200"/>
        <w:rPr>
          <w:rFonts w:hint="default" w:ascii="Times New Roman" w:hAnsi="Times New Roman" w:eastAsia="宋体"/>
          <w:b/>
          <w:bCs/>
          <w:color w:val="auto"/>
          <w:kern w:val="0"/>
          <w:sz w:val="24"/>
          <w:highlight w:val="none"/>
          <w:lang w:val="en-US" w:eastAsia="zh-CN"/>
        </w:rPr>
      </w:pPr>
    </w:p>
    <w:p w14:paraId="7C2DED90">
      <w:pPr>
        <w:tabs>
          <w:tab w:val="left" w:pos="394"/>
        </w:tabs>
        <w:snapToGrid w:val="0"/>
        <w:spacing w:line="360" w:lineRule="auto"/>
        <w:ind w:firstLine="482" w:firstLineChars="200"/>
        <w:rPr>
          <w:rFonts w:hint="default" w:ascii="Times New Roman" w:hAnsi="Times New Roman" w:eastAsia="宋体"/>
          <w:b/>
          <w:bCs/>
          <w:color w:val="auto"/>
          <w:kern w:val="0"/>
          <w:sz w:val="24"/>
          <w:highlight w:val="none"/>
          <w:lang w:val="en-US" w:eastAsia="zh-CN"/>
        </w:rPr>
      </w:pPr>
    </w:p>
    <w:p w14:paraId="6C9AAB33">
      <w:pPr>
        <w:tabs>
          <w:tab w:val="left" w:pos="394"/>
        </w:tabs>
        <w:snapToGrid w:val="0"/>
        <w:spacing w:line="360" w:lineRule="auto"/>
        <w:ind w:firstLine="482" w:firstLineChars="200"/>
        <w:rPr>
          <w:rFonts w:hint="default" w:ascii="Times New Roman" w:hAnsi="Times New Roman" w:eastAsia="宋体"/>
          <w:b/>
          <w:bCs/>
          <w:color w:val="auto"/>
          <w:kern w:val="0"/>
          <w:sz w:val="24"/>
          <w:highlight w:val="none"/>
          <w:lang w:val="en-US" w:eastAsia="zh-CN"/>
        </w:rPr>
      </w:pPr>
    </w:p>
    <w:p w14:paraId="558A6D1C">
      <w:pPr>
        <w:tabs>
          <w:tab w:val="left" w:pos="394"/>
        </w:tabs>
        <w:snapToGrid w:val="0"/>
        <w:spacing w:line="360" w:lineRule="auto"/>
        <w:ind w:firstLine="482" w:firstLineChars="200"/>
        <w:rPr>
          <w:rFonts w:hint="default" w:ascii="Times New Roman" w:hAnsi="Times New Roman" w:eastAsia="宋体"/>
          <w:b/>
          <w:bCs/>
          <w:color w:val="auto"/>
          <w:kern w:val="0"/>
          <w:sz w:val="24"/>
          <w:highlight w:val="none"/>
          <w:lang w:val="en-US" w:eastAsia="zh-CN"/>
        </w:rPr>
      </w:pPr>
    </w:p>
    <w:p w14:paraId="244056FD">
      <w:pPr>
        <w:tabs>
          <w:tab w:val="left" w:pos="394"/>
        </w:tabs>
        <w:snapToGrid w:val="0"/>
        <w:spacing w:line="360" w:lineRule="auto"/>
        <w:ind w:firstLine="482" w:firstLineChars="200"/>
        <w:rPr>
          <w:rFonts w:hint="default" w:ascii="Times New Roman" w:hAnsi="Times New Roman" w:eastAsia="宋体"/>
          <w:b/>
          <w:bCs/>
          <w:color w:val="auto"/>
          <w:kern w:val="0"/>
          <w:sz w:val="24"/>
          <w:highlight w:val="none"/>
          <w:lang w:val="en-US" w:eastAsia="zh-CN"/>
        </w:rPr>
      </w:pPr>
    </w:p>
    <w:p w14:paraId="35090E92">
      <w:pPr>
        <w:tabs>
          <w:tab w:val="left" w:pos="394"/>
        </w:tabs>
        <w:snapToGrid w:val="0"/>
        <w:spacing w:line="360" w:lineRule="auto"/>
        <w:ind w:firstLine="482" w:firstLineChars="200"/>
        <w:rPr>
          <w:rFonts w:hint="default" w:ascii="Times New Roman" w:hAnsi="Times New Roman" w:eastAsia="宋体"/>
          <w:b/>
          <w:bCs/>
          <w:color w:val="auto"/>
          <w:kern w:val="0"/>
          <w:sz w:val="24"/>
          <w:highlight w:val="none"/>
          <w:lang w:val="en-US" w:eastAsia="zh-CN"/>
        </w:rPr>
      </w:pPr>
    </w:p>
    <w:p w14:paraId="559424CC">
      <w:pPr>
        <w:tabs>
          <w:tab w:val="left" w:pos="394"/>
        </w:tabs>
        <w:snapToGrid w:val="0"/>
        <w:spacing w:line="360" w:lineRule="auto"/>
        <w:ind w:firstLine="482" w:firstLineChars="200"/>
        <w:rPr>
          <w:rFonts w:hint="default" w:ascii="Times New Roman" w:hAnsi="Times New Roman" w:eastAsia="宋体"/>
          <w:b/>
          <w:bCs/>
          <w:color w:val="auto"/>
          <w:kern w:val="0"/>
          <w:sz w:val="24"/>
          <w:highlight w:val="none"/>
          <w:lang w:val="en-US" w:eastAsia="zh-CN"/>
        </w:rPr>
      </w:pPr>
    </w:p>
    <w:p w14:paraId="4A4D7881">
      <w:pPr>
        <w:pStyle w:val="25"/>
        <w:rPr>
          <w:rFonts w:hint="default" w:ascii="Times New Roman" w:hAnsi="Times New Roman" w:eastAsia="宋体"/>
          <w:b/>
          <w:bCs/>
          <w:color w:val="auto"/>
          <w:kern w:val="0"/>
          <w:sz w:val="24"/>
          <w:highlight w:val="none"/>
          <w:lang w:val="en-US" w:eastAsia="zh-CN"/>
        </w:rPr>
      </w:pPr>
    </w:p>
    <w:p w14:paraId="2423EFBF">
      <w:pPr>
        <w:rPr>
          <w:rFonts w:hint="default" w:ascii="Times New Roman" w:hAnsi="Times New Roman" w:eastAsia="宋体"/>
          <w:b/>
          <w:bCs/>
          <w:color w:val="auto"/>
          <w:kern w:val="0"/>
          <w:sz w:val="24"/>
          <w:highlight w:val="none"/>
          <w:lang w:val="en-US" w:eastAsia="zh-CN"/>
        </w:rPr>
      </w:pPr>
    </w:p>
    <w:p w14:paraId="7DE4469C">
      <w:pPr>
        <w:pStyle w:val="25"/>
        <w:rPr>
          <w:rFonts w:hint="default" w:ascii="Times New Roman" w:hAnsi="Times New Roman" w:eastAsia="宋体"/>
          <w:b/>
          <w:bCs/>
          <w:color w:val="auto"/>
          <w:kern w:val="0"/>
          <w:sz w:val="24"/>
          <w:highlight w:val="none"/>
          <w:lang w:val="en-US" w:eastAsia="zh-CN"/>
        </w:rPr>
      </w:pPr>
    </w:p>
    <w:p w14:paraId="4C75C404">
      <w:pPr>
        <w:tabs>
          <w:tab w:val="left" w:pos="394"/>
        </w:tabs>
        <w:snapToGrid w:val="0"/>
        <w:spacing w:line="360" w:lineRule="auto"/>
        <w:ind w:left="0" w:leftChars="0" w:firstLine="241" w:firstLineChars="100"/>
        <w:rPr>
          <w:rFonts w:hint="eastAsia" w:ascii="Times New Roman" w:hAnsi="Times New Roman"/>
          <w:b/>
          <w:bCs/>
          <w:color w:val="auto"/>
          <w:kern w:val="0"/>
          <w:sz w:val="24"/>
          <w:highlight w:val="none"/>
          <w:lang w:val="en-US" w:eastAsia="zh-CN"/>
        </w:rPr>
      </w:pPr>
      <w:r>
        <w:rPr>
          <w:rFonts w:hint="eastAsia" w:ascii="Times New Roman" w:hAnsi="Times New Roman"/>
          <w:b/>
          <w:bCs/>
          <w:color w:val="auto"/>
          <w:kern w:val="0"/>
          <w:sz w:val="24"/>
          <w:highlight w:val="none"/>
          <w:lang w:val="en-US" w:eastAsia="zh-CN"/>
        </w:rPr>
        <w:t>包2：</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7"/>
        <w:gridCol w:w="1399"/>
        <w:gridCol w:w="6776"/>
      </w:tblGrid>
      <w:tr w14:paraId="1B628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6" w:type="dxa"/>
            <w:gridSpan w:val="2"/>
          </w:tcPr>
          <w:p w14:paraId="32F5C30A">
            <w:pPr>
              <w:spacing w:line="480" w:lineRule="exact"/>
              <w:ind w:left="0" w:leftChars="0" w:firstLine="0" w:firstLineChars="0"/>
              <w:jc w:val="center"/>
              <w:rPr>
                <w:rFonts w:hint="default" w:ascii="宋体" w:hAnsi="宋体" w:eastAsia="宋体" w:cs="宋体"/>
                <w:b/>
                <w:bCs/>
                <w:color w:val="auto"/>
                <w:sz w:val="28"/>
                <w:szCs w:val="28"/>
                <w:highlight w:val="none"/>
                <w:shd w:val="clear" w:color="auto" w:fill="FFFFFF"/>
                <w:lang w:val="en-US" w:eastAsia="zh-CN"/>
              </w:rPr>
            </w:pPr>
            <w:r>
              <w:rPr>
                <w:rFonts w:hint="eastAsia" w:ascii="宋体" w:hAnsi="宋体" w:eastAsia="宋体" w:cs="宋体"/>
                <w:b/>
                <w:bCs/>
                <w:color w:val="auto"/>
                <w:sz w:val="28"/>
                <w:szCs w:val="28"/>
                <w:highlight w:val="none"/>
                <w:shd w:val="clear" w:color="auto" w:fill="FFFFFF"/>
                <w:lang w:val="en-US" w:eastAsia="zh-CN"/>
              </w:rPr>
              <w:t>评分项目</w:t>
            </w:r>
          </w:p>
        </w:tc>
        <w:tc>
          <w:tcPr>
            <w:tcW w:w="6776" w:type="dxa"/>
          </w:tcPr>
          <w:p w14:paraId="3E82D4BF">
            <w:pPr>
              <w:spacing w:line="480" w:lineRule="exact"/>
              <w:ind w:left="0" w:leftChars="0" w:firstLine="0" w:firstLineChars="0"/>
              <w:jc w:val="center"/>
              <w:rPr>
                <w:rFonts w:hint="default" w:ascii="宋体" w:hAnsi="宋体" w:eastAsia="宋体" w:cs="宋体"/>
                <w:b/>
                <w:bCs/>
                <w:color w:val="auto"/>
                <w:sz w:val="28"/>
                <w:szCs w:val="28"/>
                <w:highlight w:val="none"/>
                <w:shd w:val="clear" w:color="auto" w:fill="FFFFFF"/>
                <w:lang w:val="en-US" w:eastAsia="zh-CN"/>
              </w:rPr>
            </w:pPr>
            <w:r>
              <w:rPr>
                <w:rFonts w:hint="eastAsia" w:ascii="宋体" w:hAnsi="宋体" w:eastAsia="宋体" w:cs="宋体"/>
                <w:b/>
                <w:bCs/>
                <w:color w:val="auto"/>
                <w:sz w:val="28"/>
                <w:szCs w:val="28"/>
                <w:highlight w:val="none"/>
                <w:shd w:val="clear" w:color="auto" w:fill="FFFFFF"/>
                <w:lang w:val="en-US" w:eastAsia="zh-CN"/>
              </w:rPr>
              <w:t>评分标准</w:t>
            </w:r>
          </w:p>
        </w:tc>
      </w:tr>
      <w:tr w14:paraId="35806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 w:type="dxa"/>
            <w:vAlign w:val="center"/>
          </w:tcPr>
          <w:p w14:paraId="51A1C1DA">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both"/>
              <w:textAlignment w:val="auto"/>
              <w:rPr>
                <w:rFonts w:hint="eastAsia" w:ascii="宋体" w:hAnsi="宋体" w:eastAsia="宋体" w:cs="宋体"/>
                <w:b w:val="0"/>
                <w:color w:val="auto"/>
                <w:kern w:val="2"/>
                <w:sz w:val="24"/>
                <w:szCs w:val="24"/>
                <w:highlight w:val="none"/>
                <w:lang w:val="en-US" w:eastAsia="zh-CN" w:bidi="ar-SA"/>
              </w:rPr>
            </w:pPr>
          </w:p>
          <w:p w14:paraId="6E2466D4">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报价</w:t>
            </w:r>
          </w:p>
          <w:p w14:paraId="12C605B7">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部分</w:t>
            </w:r>
          </w:p>
        </w:tc>
        <w:tc>
          <w:tcPr>
            <w:tcW w:w="1399" w:type="dxa"/>
            <w:vAlign w:val="center"/>
          </w:tcPr>
          <w:p w14:paraId="294A25C3">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both"/>
              <w:textAlignment w:val="auto"/>
              <w:rPr>
                <w:rFonts w:hint="eastAsia" w:ascii="宋体" w:hAnsi="宋体" w:eastAsia="宋体" w:cs="宋体"/>
                <w:b w:val="0"/>
                <w:color w:val="auto"/>
                <w:kern w:val="2"/>
                <w:sz w:val="24"/>
                <w:szCs w:val="24"/>
                <w:highlight w:val="none"/>
                <w:lang w:val="en-US" w:eastAsia="zh-CN" w:bidi="ar-SA"/>
              </w:rPr>
            </w:pPr>
          </w:p>
          <w:p w14:paraId="7084011D">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投标报价</w:t>
            </w:r>
          </w:p>
          <w:p w14:paraId="4EDBD608">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（30分）</w:t>
            </w:r>
          </w:p>
        </w:tc>
        <w:tc>
          <w:tcPr>
            <w:tcW w:w="6776" w:type="dxa"/>
          </w:tcPr>
          <w:p w14:paraId="7B90378D">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360" w:lineRule="exact"/>
              <w:jc w:val="left"/>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满足招标文件要求且投标价格最低的报价为评标基准价，其价格分为满分30分。其他投标人的价格分统一按照下列公式计算：</w:t>
            </w:r>
          </w:p>
          <w:p w14:paraId="5DDF1B46">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360" w:lineRule="exact"/>
              <w:ind w:firstLine="0" w:firstLineChars="0"/>
              <w:jc w:val="left"/>
              <w:textAlignment w:val="auto"/>
              <w:rPr>
                <w:rFonts w:hint="eastAsia"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投标报价得分=(评标基准价／投标报价)×30×100%</w:t>
            </w:r>
            <w:r>
              <w:rPr>
                <w:rFonts w:hint="eastAsia" w:cs="宋体"/>
                <w:b w:val="0"/>
                <w:color w:val="auto"/>
                <w:kern w:val="2"/>
                <w:sz w:val="24"/>
                <w:szCs w:val="24"/>
                <w:highlight w:val="none"/>
                <w:lang w:val="en-US" w:eastAsia="zh-CN" w:bidi="ar-SA"/>
              </w:rPr>
              <w:t>。</w:t>
            </w:r>
          </w:p>
          <w:p w14:paraId="1DEA086F">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360" w:lineRule="exact"/>
              <w:ind w:firstLine="0" w:firstLineChars="0"/>
              <w:jc w:val="left"/>
              <w:textAlignment w:val="auto"/>
              <w:rPr>
                <w:rFonts w:hint="eastAsia" w:cs="宋体"/>
                <w:b w:val="0"/>
                <w:color w:val="auto"/>
                <w:kern w:val="2"/>
                <w:sz w:val="24"/>
                <w:szCs w:val="24"/>
                <w:highlight w:val="none"/>
                <w:lang w:val="en-US" w:eastAsia="zh-CN" w:bidi="ar-SA"/>
              </w:rPr>
            </w:pPr>
            <w:r>
              <w:rPr>
                <w:rFonts w:hint="eastAsia" w:ascii="Times New Roman" w:hAnsi="Times New Roman" w:eastAsia="宋体" w:cs="Times New Roman"/>
                <w:b w:val="0"/>
                <w:bCs/>
                <w:color w:val="auto"/>
                <w:kern w:val="0"/>
                <w:sz w:val="24"/>
                <w:highlight w:val="none"/>
                <w:lang w:val="en-US" w:eastAsia="zh-CN"/>
              </w:rPr>
              <w:t>注：</w:t>
            </w:r>
            <w:r>
              <w:rPr>
                <w:rFonts w:hint="eastAsia" w:ascii="Times New Roman" w:hAnsi="Times New Roman" w:eastAsia="宋体" w:cs="Times New Roman"/>
                <w:b w:val="0"/>
                <w:bCs/>
                <w:color w:val="auto"/>
                <w:kern w:val="0"/>
                <w:sz w:val="24"/>
                <w:highlight w:val="none"/>
                <w:lang w:eastAsia="zh-CN"/>
              </w:rPr>
              <w:t>小型或微型企业给予15％的扣除，用扣除后的价格参与投标报价计算。</w:t>
            </w:r>
          </w:p>
        </w:tc>
      </w:tr>
      <w:tr w14:paraId="747AD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 w:type="dxa"/>
            <w:vAlign w:val="center"/>
          </w:tcPr>
          <w:p w14:paraId="21C864A6">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商务</w:t>
            </w:r>
          </w:p>
          <w:p w14:paraId="19C4666E">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部分</w:t>
            </w:r>
          </w:p>
        </w:tc>
        <w:tc>
          <w:tcPr>
            <w:tcW w:w="1399" w:type="dxa"/>
            <w:vAlign w:val="center"/>
          </w:tcPr>
          <w:p w14:paraId="41BD94D1">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业绩</w:t>
            </w:r>
          </w:p>
          <w:p w14:paraId="6394EDDA">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default"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w:t>
            </w:r>
            <w:r>
              <w:rPr>
                <w:rFonts w:hint="eastAsia" w:cs="宋体"/>
                <w:b w:val="0"/>
                <w:color w:val="auto"/>
                <w:kern w:val="2"/>
                <w:sz w:val="24"/>
                <w:szCs w:val="24"/>
                <w:highlight w:val="none"/>
                <w:lang w:val="en-US" w:eastAsia="zh-CN" w:bidi="ar-SA"/>
              </w:rPr>
              <w:t>9</w:t>
            </w:r>
            <w:r>
              <w:rPr>
                <w:rFonts w:hint="eastAsia" w:ascii="宋体" w:hAnsi="宋体" w:eastAsia="宋体" w:cs="宋体"/>
                <w:b w:val="0"/>
                <w:color w:val="auto"/>
                <w:kern w:val="2"/>
                <w:sz w:val="24"/>
                <w:szCs w:val="24"/>
                <w:highlight w:val="none"/>
                <w:lang w:val="en-US" w:eastAsia="zh-CN" w:bidi="ar-SA"/>
              </w:rPr>
              <w:t>分）</w:t>
            </w:r>
          </w:p>
        </w:tc>
        <w:tc>
          <w:tcPr>
            <w:tcW w:w="6776" w:type="dxa"/>
          </w:tcPr>
          <w:p w14:paraId="40AA2B27">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360" w:lineRule="exact"/>
              <w:jc w:val="left"/>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投标人近</w:t>
            </w:r>
            <w:r>
              <w:rPr>
                <w:rFonts w:hint="eastAsia" w:cs="宋体"/>
                <w:b w:val="0"/>
                <w:color w:val="auto"/>
                <w:kern w:val="2"/>
                <w:sz w:val="24"/>
                <w:szCs w:val="24"/>
                <w:highlight w:val="none"/>
                <w:lang w:val="en-US" w:eastAsia="zh-CN" w:bidi="ar-SA"/>
              </w:rPr>
              <w:t>三</w:t>
            </w:r>
            <w:r>
              <w:rPr>
                <w:rFonts w:hint="eastAsia" w:ascii="宋体" w:hAnsi="宋体" w:eastAsia="宋体" w:cs="宋体"/>
                <w:b w:val="0"/>
                <w:color w:val="auto"/>
                <w:kern w:val="2"/>
                <w:sz w:val="24"/>
                <w:szCs w:val="24"/>
                <w:highlight w:val="none"/>
                <w:lang w:val="en-US" w:eastAsia="zh-CN" w:bidi="ar-SA"/>
              </w:rPr>
              <w:t>年内（202</w:t>
            </w:r>
            <w:r>
              <w:rPr>
                <w:rFonts w:hint="eastAsia" w:cs="宋体"/>
                <w:b w:val="0"/>
                <w:color w:val="auto"/>
                <w:kern w:val="2"/>
                <w:sz w:val="24"/>
                <w:szCs w:val="24"/>
                <w:highlight w:val="none"/>
                <w:lang w:val="en-US" w:eastAsia="zh-CN" w:bidi="ar-SA"/>
              </w:rPr>
              <w:t>3</w:t>
            </w:r>
            <w:r>
              <w:rPr>
                <w:rFonts w:hint="eastAsia" w:ascii="宋体" w:hAnsi="宋体" w:eastAsia="宋体" w:cs="宋体"/>
                <w:b w:val="0"/>
                <w:color w:val="auto"/>
                <w:kern w:val="2"/>
                <w:sz w:val="24"/>
                <w:szCs w:val="24"/>
                <w:highlight w:val="none"/>
                <w:lang w:val="en-US" w:eastAsia="zh-CN" w:bidi="ar-SA"/>
              </w:rPr>
              <w:t>年05月至递交</w:t>
            </w:r>
            <w:r>
              <w:rPr>
                <w:rFonts w:hint="eastAsia" w:cs="宋体"/>
                <w:b w:val="0"/>
                <w:color w:val="auto"/>
                <w:kern w:val="2"/>
                <w:sz w:val="24"/>
                <w:szCs w:val="24"/>
                <w:highlight w:val="none"/>
                <w:lang w:val="en-US" w:eastAsia="zh-CN" w:bidi="ar-SA"/>
              </w:rPr>
              <w:t>投标文件</w:t>
            </w:r>
            <w:r>
              <w:rPr>
                <w:rFonts w:hint="eastAsia" w:ascii="宋体" w:hAnsi="宋体" w:eastAsia="宋体" w:cs="宋体"/>
                <w:b w:val="0"/>
                <w:color w:val="auto"/>
                <w:kern w:val="2"/>
                <w:sz w:val="24"/>
                <w:szCs w:val="24"/>
                <w:highlight w:val="none"/>
                <w:lang w:val="en-US" w:eastAsia="zh-CN" w:bidi="ar-SA"/>
              </w:rPr>
              <w:t>截止时间止）签署的同类型案例，必须提供与用户签订的合同关键页复印件（含首页、金额页、清单页、盖章页）作为证明，每提供一个有效案例得</w:t>
            </w:r>
            <w:r>
              <w:rPr>
                <w:rFonts w:hint="eastAsia" w:cs="宋体"/>
                <w:b w:val="0"/>
                <w:color w:val="auto"/>
                <w:kern w:val="2"/>
                <w:sz w:val="24"/>
                <w:szCs w:val="24"/>
                <w:highlight w:val="none"/>
                <w:lang w:val="en-US" w:eastAsia="zh-CN" w:bidi="ar-SA"/>
              </w:rPr>
              <w:t>3</w:t>
            </w:r>
            <w:r>
              <w:rPr>
                <w:rFonts w:hint="eastAsia" w:ascii="宋体" w:hAnsi="宋体" w:eastAsia="宋体" w:cs="宋体"/>
                <w:b w:val="0"/>
                <w:color w:val="auto"/>
                <w:kern w:val="2"/>
                <w:sz w:val="24"/>
                <w:szCs w:val="24"/>
                <w:highlight w:val="none"/>
                <w:lang w:val="en-US" w:eastAsia="zh-CN" w:bidi="ar-SA"/>
              </w:rPr>
              <w:t>分，最高得</w:t>
            </w:r>
            <w:r>
              <w:rPr>
                <w:rFonts w:hint="eastAsia" w:cs="宋体"/>
                <w:b w:val="0"/>
                <w:color w:val="auto"/>
                <w:kern w:val="2"/>
                <w:sz w:val="24"/>
                <w:szCs w:val="24"/>
                <w:highlight w:val="none"/>
                <w:lang w:val="en-US" w:eastAsia="zh-CN" w:bidi="ar-SA"/>
              </w:rPr>
              <w:t>9</w:t>
            </w:r>
            <w:r>
              <w:rPr>
                <w:rFonts w:hint="eastAsia" w:ascii="宋体" w:hAnsi="宋体" w:eastAsia="宋体" w:cs="宋体"/>
                <w:b w:val="0"/>
                <w:color w:val="auto"/>
                <w:kern w:val="2"/>
                <w:sz w:val="24"/>
                <w:szCs w:val="24"/>
                <w:highlight w:val="none"/>
                <w:lang w:val="en-US" w:eastAsia="zh-CN" w:bidi="ar-SA"/>
              </w:rPr>
              <w:t>分。</w:t>
            </w:r>
          </w:p>
          <w:p w14:paraId="4D40C641">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360" w:lineRule="exact"/>
              <w:ind w:firstLine="480" w:firstLineChars="200"/>
              <w:jc w:val="left"/>
              <w:textAlignment w:val="auto"/>
              <w:rPr>
                <w:rFonts w:hint="default" w:ascii="Times New Roman" w:hAnsi="Times New Roman"/>
                <w:b/>
                <w:bCs/>
                <w:color w:val="auto"/>
                <w:kern w:val="0"/>
                <w:sz w:val="24"/>
                <w:highlight w:val="none"/>
                <w:vertAlign w:val="baseline"/>
                <w:lang w:val="en-US" w:eastAsia="zh-CN"/>
              </w:rPr>
            </w:pPr>
            <w:r>
              <w:rPr>
                <w:rFonts w:hint="eastAsia" w:ascii="宋体" w:hAnsi="宋体" w:eastAsia="宋体" w:cs="宋体"/>
                <w:b w:val="0"/>
                <w:color w:val="auto"/>
                <w:kern w:val="2"/>
                <w:sz w:val="24"/>
                <w:szCs w:val="24"/>
                <w:highlight w:val="none"/>
                <w:lang w:val="en-US" w:eastAsia="zh-CN" w:bidi="ar-SA"/>
              </w:rPr>
              <w:t>注：本款可作为加分的合同案例仅指投标人自身的合同案例，即合同案例合同的乙方必须与投标人的名称完全一致，如公司名称发生变更，须提供工商部门证明文件。</w:t>
            </w:r>
          </w:p>
        </w:tc>
      </w:tr>
      <w:tr w14:paraId="10B1B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 w:type="dxa"/>
            <w:vMerge w:val="restart"/>
            <w:vAlign w:val="center"/>
          </w:tcPr>
          <w:p w14:paraId="29290719">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技术</w:t>
            </w:r>
          </w:p>
          <w:p w14:paraId="5AAE513D">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default"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部分</w:t>
            </w:r>
          </w:p>
        </w:tc>
        <w:tc>
          <w:tcPr>
            <w:tcW w:w="1399" w:type="dxa"/>
            <w:vAlign w:val="center"/>
          </w:tcPr>
          <w:p w14:paraId="692D7188">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产品技术性能指标</w:t>
            </w:r>
          </w:p>
          <w:p w14:paraId="3DD089BF">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w:t>
            </w:r>
            <w:r>
              <w:rPr>
                <w:rFonts w:hint="eastAsia" w:cs="宋体"/>
                <w:b w:val="0"/>
                <w:color w:val="auto"/>
                <w:kern w:val="2"/>
                <w:sz w:val="24"/>
                <w:szCs w:val="24"/>
                <w:highlight w:val="none"/>
                <w:lang w:val="en-US" w:eastAsia="zh-CN" w:bidi="ar-SA"/>
              </w:rPr>
              <w:t>15</w:t>
            </w:r>
            <w:r>
              <w:rPr>
                <w:rFonts w:hint="default" w:ascii="宋体" w:hAnsi="宋体" w:eastAsia="宋体" w:cs="宋体"/>
                <w:b w:val="0"/>
                <w:color w:val="auto"/>
                <w:kern w:val="2"/>
                <w:sz w:val="24"/>
                <w:szCs w:val="24"/>
                <w:highlight w:val="none"/>
                <w:lang w:val="en-US" w:eastAsia="zh-CN" w:bidi="ar-SA"/>
              </w:rPr>
              <w:t>分）</w:t>
            </w:r>
          </w:p>
        </w:tc>
        <w:tc>
          <w:tcPr>
            <w:tcW w:w="6776" w:type="dxa"/>
          </w:tcPr>
          <w:p w14:paraId="400EAEEB">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360" w:lineRule="exact"/>
              <w:jc w:val="left"/>
              <w:textAlignment w:val="auto"/>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满足招标文件要求的全部技术指标得</w:t>
            </w:r>
            <w:r>
              <w:rPr>
                <w:rFonts w:hint="eastAsia" w:cs="宋体"/>
                <w:b w:val="0"/>
                <w:color w:val="auto"/>
                <w:kern w:val="2"/>
                <w:sz w:val="24"/>
                <w:szCs w:val="24"/>
                <w:highlight w:val="none"/>
                <w:lang w:val="en-US" w:eastAsia="zh-CN" w:bidi="ar-SA"/>
              </w:rPr>
              <w:t>15</w:t>
            </w:r>
            <w:r>
              <w:rPr>
                <w:rFonts w:hint="default" w:ascii="宋体" w:hAnsi="宋体" w:eastAsia="宋体" w:cs="宋体"/>
                <w:b w:val="0"/>
                <w:color w:val="auto"/>
                <w:kern w:val="2"/>
                <w:sz w:val="24"/>
                <w:szCs w:val="24"/>
                <w:highlight w:val="none"/>
                <w:lang w:val="en-US" w:eastAsia="zh-CN" w:bidi="ar-SA"/>
              </w:rPr>
              <w:t>分。非标注“★”项技术指标有负偏离的，</w:t>
            </w:r>
            <w:r>
              <w:rPr>
                <w:rFonts w:hint="eastAsia" w:cs="宋体"/>
                <w:b w:val="0"/>
                <w:color w:val="auto"/>
                <w:kern w:val="2"/>
                <w:sz w:val="24"/>
                <w:szCs w:val="24"/>
                <w:highlight w:val="none"/>
                <w:lang w:val="en-US" w:eastAsia="zh-CN" w:bidi="ar-SA"/>
              </w:rPr>
              <w:t>每</w:t>
            </w:r>
            <w:r>
              <w:rPr>
                <w:rFonts w:hint="default" w:ascii="宋体" w:hAnsi="宋体" w:eastAsia="宋体" w:cs="宋体"/>
                <w:b w:val="0"/>
                <w:color w:val="auto"/>
                <w:kern w:val="2"/>
                <w:sz w:val="24"/>
                <w:szCs w:val="24"/>
                <w:highlight w:val="none"/>
                <w:lang w:val="en-US" w:eastAsia="zh-CN" w:bidi="ar-SA"/>
              </w:rPr>
              <w:t>存在一项负偏离项减0.5分，扣完为止。</w:t>
            </w:r>
          </w:p>
          <w:p w14:paraId="7EC6598A">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360" w:lineRule="exact"/>
              <w:jc w:val="left"/>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注:1.投标人</w:t>
            </w:r>
            <w:r>
              <w:rPr>
                <w:rFonts w:hint="eastAsia" w:cs="宋体"/>
                <w:b w:val="0"/>
                <w:color w:val="auto"/>
                <w:kern w:val="2"/>
                <w:sz w:val="24"/>
                <w:szCs w:val="24"/>
                <w:highlight w:val="none"/>
                <w:lang w:val="en-US" w:eastAsia="zh-CN" w:bidi="ar-SA"/>
              </w:rPr>
              <w:t>需</w:t>
            </w:r>
            <w:r>
              <w:rPr>
                <w:rFonts w:hint="eastAsia" w:ascii="宋体" w:hAnsi="宋体" w:eastAsia="宋体" w:cs="宋体"/>
                <w:b w:val="0"/>
                <w:color w:val="auto"/>
                <w:kern w:val="2"/>
                <w:sz w:val="24"/>
                <w:szCs w:val="24"/>
                <w:highlight w:val="none"/>
                <w:lang w:val="en-US" w:eastAsia="zh-CN" w:bidi="ar-SA"/>
              </w:rPr>
              <w:t>提供所投产品技术指标相关证明材料</w:t>
            </w:r>
            <w:r>
              <w:rPr>
                <w:rFonts w:hint="eastAsia" w:cs="宋体"/>
                <w:b w:val="0"/>
                <w:color w:val="auto"/>
                <w:kern w:val="2"/>
                <w:sz w:val="24"/>
                <w:szCs w:val="24"/>
                <w:highlight w:val="none"/>
                <w:lang w:val="en-US" w:eastAsia="zh-CN" w:bidi="ar-SA"/>
              </w:rPr>
              <w:t>；</w:t>
            </w:r>
          </w:p>
          <w:p w14:paraId="02CDAC32">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360" w:lineRule="exact"/>
              <w:jc w:val="left"/>
              <w:textAlignment w:val="auto"/>
              <w:rPr>
                <w:rFonts w:hint="default"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2.投标人不得弄虚作假，如中标后提供相关货物参数信息不符合招标文件相关要求或提供不合格产品，投标人需承担本项目因此事件造成的一切损失。</w:t>
            </w:r>
          </w:p>
        </w:tc>
      </w:tr>
      <w:tr w14:paraId="14CF8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 w:type="dxa"/>
            <w:vMerge w:val="continue"/>
            <w:vAlign w:val="center"/>
          </w:tcPr>
          <w:p w14:paraId="376A9913">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default" w:ascii="宋体" w:hAnsi="宋体" w:eastAsia="宋体" w:cs="宋体"/>
                <w:b w:val="0"/>
                <w:color w:val="auto"/>
                <w:kern w:val="2"/>
                <w:sz w:val="24"/>
                <w:szCs w:val="24"/>
                <w:highlight w:val="none"/>
                <w:lang w:val="en-US" w:eastAsia="zh-CN" w:bidi="ar-SA"/>
              </w:rPr>
            </w:pPr>
          </w:p>
        </w:tc>
        <w:tc>
          <w:tcPr>
            <w:tcW w:w="1399" w:type="dxa"/>
            <w:vAlign w:val="center"/>
          </w:tcPr>
          <w:p w14:paraId="2D779861">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360" w:lineRule="exact"/>
              <w:ind w:left="240" w:hanging="240" w:hangingChars="100"/>
              <w:jc w:val="left"/>
              <w:textAlignment w:val="auto"/>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项目实施</w:t>
            </w:r>
            <w:bookmarkStart w:id="57" w:name="_GoBack"/>
            <w:bookmarkEnd w:id="57"/>
            <w:r>
              <w:rPr>
                <w:rFonts w:hint="default" w:ascii="宋体" w:hAnsi="宋体" w:eastAsia="宋体" w:cs="宋体"/>
                <w:b w:val="0"/>
                <w:color w:val="auto"/>
                <w:kern w:val="2"/>
                <w:sz w:val="24"/>
                <w:szCs w:val="24"/>
                <w:highlight w:val="none"/>
                <w:lang w:val="en-US" w:eastAsia="zh-CN" w:bidi="ar-SA"/>
              </w:rPr>
              <w:t>方案</w:t>
            </w:r>
          </w:p>
          <w:p w14:paraId="5A7B9C98">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360" w:lineRule="exact"/>
              <w:jc w:val="left"/>
              <w:textAlignment w:val="auto"/>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（12分）</w:t>
            </w:r>
          </w:p>
        </w:tc>
        <w:tc>
          <w:tcPr>
            <w:tcW w:w="6776" w:type="dxa"/>
          </w:tcPr>
          <w:p w14:paraId="1BF739B3">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360" w:lineRule="exact"/>
              <w:jc w:val="left"/>
              <w:textAlignment w:val="auto"/>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根据投标人提供项目实施方案进行综合评审，内容包括但不限于：①总体供货方案（至少包含供货前期准备、进度安排及运输方案等）；②易损部位在运输过程中不受损坏的措施；③到货验收方案等。每提供一项且内容全面得4分，每项每有一处缺陷或内容不全面扣1分，不提供的不得分。最高得12分。</w:t>
            </w:r>
          </w:p>
          <w:p w14:paraId="46C91D06">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360" w:lineRule="exact"/>
              <w:jc w:val="left"/>
              <w:textAlignment w:val="auto"/>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注:缺陷是指内容与实际情况不符、内容与项目无关、内容表述错误、内容前后表述矛盾、内容与项目不匹配、项目信息错误、不符合本项目涉及的相关规范或标准要求的任意一种情形。</w:t>
            </w:r>
          </w:p>
        </w:tc>
      </w:tr>
      <w:tr w14:paraId="746C1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 w:type="dxa"/>
            <w:vMerge w:val="continue"/>
            <w:vAlign w:val="center"/>
          </w:tcPr>
          <w:p w14:paraId="248637E2">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default" w:ascii="宋体" w:hAnsi="宋体" w:eastAsia="宋体" w:cs="宋体"/>
                <w:b w:val="0"/>
                <w:color w:val="auto"/>
                <w:kern w:val="2"/>
                <w:sz w:val="24"/>
                <w:szCs w:val="24"/>
                <w:highlight w:val="none"/>
                <w:lang w:val="en-US" w:eastAsia="zh-CN" w:bidi="ar-SA"/>
              </w:rPr>
            </w:pPr>
          </w:p>
        </w:tc>
        <w:tc>
          <w:tcPr>
            <w:tcW w:w="1399" w:type="dxa"/>
            <w:vAlign w:val="center"/>
          </w:tcPr>
          <w:p w14:paraId="1BDD3AEA">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安装调试方案</w:t>
            </w:r>
          </w:p>
          <w:p w14:paraId="7EFC0822">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（12分）</w:t>
            </w:r>
          </w:p>
          <w:p w14:paraId="032306AB">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default" w:ascii="宋体" w:hAnsi="宋体" w:eastAsia="宋体" w:cs="宋体"/>
                <w:b w:val="0"/>
                <w:color w:val="auto"/>
                <w:kern w:val="2"/>
                <w:sz w:val="24"/>
                <w:szCs w:val="24"/>
                <w:highlight w:val="none"/>
                <w:lang w:val="en-US" w:eastAsia="zh-CN" w:bidi="ar-SA"/>
              </w:rPr>
            </w:pPr>
          </w:p>
        </w:tc>
        <w:tc>
          <w:tcPr>
            <w:tcW w:w="6776" w:type="dxa"/>
          </w:tcPr>
          <w:p w14:paraId="5A61315C">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360" w:lineRule="exact"/>
              <w:jc w:val="left"/>
              <w:textAlignment w:val="auto"/>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根据投标人提供的安装调试方案进行综合评审，内容包括但不限于：①安装措施；②调试措施；③安装调试的应急预案及安全防范措施等。每提供一项且内容全面得</w:t>
            </w:r>
            <w:r>
              <w:rPr>
                <w:rFonts w:hint="eastAsia" w:cs="宋体"/>
                <w:b w:val="0"/>
                <w:color w:val="auto"/>
                <w:kern w:val="2"/>
                <w:sz w:val="24"/>
                <w:szCs w:val="24"/>
                <w:highlight w:val="none"/>
                <w:lang w:val="en-US" w:eastAsia="zh-CN" w:bidi="ar-SA"/>
              </w:rPr>
              <w:t>4</w:t>
            </w:r>
            <w:r>
              <w:rPr>
                <w:rFonts w:hint="default" w:ascii="宋体" w:hAnsi="宋体" w:eastAsia="宋体" w:cs="宋体"/>
                <w:b w:val="0"/>
                <w:color w:val="auto"/>
                <w:kern w:val="2"/>
                <w:sz w:val="24"/>
                <w:szCs w:val="24"/>
                <w:highlight w:val="none"/>
                <w:lang w:val="en-US" w:eastAsia="zh-CN" w:bidi="ar-SA"/>
              </w:rPr>
              <w:t>分，每项每有一处缺陷或内容不全面扣1分，不提供的不得分。最高得12分。</w:t>
            </w:r>
          </w:p>
          <w:p w14:paraId="13C862DC">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360" w:lineRule="exact"/>
              <w:jc w:val="left"/>
              <w:textAlignment w:val="auto"/>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注:缺陷是指内容与实际情况不符、内容与项目无关、内容表述错误、内容前后表述矛盾、内容与项目不匹配、项目信息错误、不符合本项目涉及的相关规范或标准要求的任意一种情形。</w:t>
            </w:r>
          </w:p>
        </w:tc>
      </w:tr>
      <w:tr w14:paraId="187EB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 w:type="dxa"/>
            <w:vMerge w:val="continue"/>
            <w:vAlign w:val="center"/>
          </w:tcPr>
          <w:p w14:paraId="1F10563C">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default" w:ascii="宋体" w:hAnsi="宋体" w:eastAsia="宋体" w:cs="宋体"/>
                <w:b w:val="0"/>
                <w:color w:val="auto"/>
                <w:kern w:val="2"/>
                <w:sz w:val="24"/>
                <w:szCs w:val="24"/>
                <w:highlight w:val="none"/>
                <w:lang w:val="en-US" w:eastAsia="zh-CN" w:bidi="ar-SA"/>
              </w:rPr>
            </w:pPr>
          </w:p>
        </w:tc>
        <w:tc>
          <w:tcPr>
            <w:tcW w:w="1399" w:type="dxa"/>
            <w:vAlign w:val="center"/>
          </w:tcPr>
          <w:p w14:paraId="7D2AC350">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质量保证措施</w:t>
            </w:r>
          </w:p>
          <w:p w14:paraId="37D627CB">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（9分）</w:t>
            </w:r>
          </w:p>
        </w:tc>
        <w:tc>
          <w:tcPr>
            <w:tcW w:w="6776" w:type="dxa"/>
          </w:tcPr>
          <w:p w14:paraId="10ED90B4">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360" w:lineRule="exact"/>
              <w:jc w:val="left"/>
              <w:textAlignment w:val="auto"/>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根据投标人提供的质量保证措施进行综合评审，内容包括但不限于：①质量管理目标；②质量管理措施；③质量管理制度等。每提供一项且内容全面得3分，每项每有一处缺陷或内容不全面扣1分，不提供的不得分。最高得9分。</w:t>
            </w:r>
          </w:p>
          <w:p w14:paraId="5B625930">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360" w:lineRule="exact"/>
              <w:jc w:val="left"/>
              <w:textAlignment w:val="auto"/>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注:缺陷是指内容与实际情况不符、内容与项目无关、内容表述错误、内容前后表述矛盾、内容与项目不匹配、项目信息错误、不符合本项目涉及的相关规范或标准要求的任意一种情形。</w:t>
            </w:r>
          </w:p>
        </w:tc>
      </w:tr>
      <w:tr w14:paraId="4794F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 w:type="dxa"/>
            <w:vMerge w:val="continue"/>
            <w:vAlign w:val="center"/>
          </w:tcPr>
          <w:p w14:paraId="17CABAEC">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default" w:ascii="宋体" w:hAnsi="宋体" w:eastAsia="宋体" w:cs="宋体"/>
                <w:b w:val="0"/>
                <w:color w:val="auto"/>
                <w:kern w:val="2"/>
                <w:sz w:val="24"/>
                <w:szCs w:val="24"/>
                <w:highlight w:val="none"/>
                <w:lang w:val="en-US" w:eastAsia="zh-CN" w:bidi="ar-SA"/>
              </w:rPr>
            </w:pPr>
          </w:p>
        </w:tc>
        <w:tc>
          <w:tcPr>
            <w:tcW w:w="1399" w:type="dxa"/>
            <w:vAlign w:val="center"/>
          </w:tcPr>
          <w:p w14:paraId="19F41D63">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进度保证措施</w:t>
            </w:r>
          </w:p>
          <w:p w14:paraId="59E42F1F">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（6分）</w:t>
            </w:r>
          </w:p>
        </w:tc>
        <w:tc>
          <w:tcPr>
            <w:tcW w:w="6776" w:type="dxa"/>
          </w:tcPr>
          <w:p w14:paraId="3C6076EF">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360" w:lineRule="exact"/>
              <w:jc w:val="left"/>
              <w:textAlignment w:val="auto"/>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根据投标人提供的进度保证措施进行综合评审，内容包括但不限于：①运输进度保障措施；②突发情况应急措施等，每提供一项且内容全面得3分，每项每有一处缺陷或内容不全面扣1分，不提供的不得分。最高得6分。</w:t>
            </w:r>
          </w:p>
          <w:p w14:paraId="406E2B1B">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360" w:lineRule="exact"/>
              <w:jc w:val="left"/>
              <w:textAlignment w:val="auto"/>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注:缺陷是指内容与实际情况不符、内容与项目无关、内容表述错误、内容前后表述矛盾、内容与项目不匹配、项目信息错误、不符合本项目涉及的相关规范或标准要求的任意一种情形。</w:t>
            </w:r>
          </w:p>
        </w:tc>
      </w:tr>
      <w:tr w14:paraId="49467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 w:type="dxa"/>
            <w:vMerge w:val="continue"/>
            <w:vAlign w:val="center"/>
          </w:tcPr>
          <w:p w14:paraId="1340E899">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default" w:ascii="宋体" w:hAnsi="宋体" w:eastAsia="宋体" w:cs="宋体"/>
                <w:b w:val="0"/>
                <w:color w:val="auto"/>
                <w:kern w:val="2"/>
                <w:sz w:val="24"/>
                <w:szCs w:val="24"/>
                <w:highlight w:val="none"/>
                <w:lang w:val="en-US" w:eastAsia="zh-CN" w:bidi="ar-SA"/>
              </w:rPr>
            </w:pPr>
          </w:p>
        </w:tc>
        <w:tc>
          <w:tcPr>
            <w:tcW w:w="1399" w:type="dxa"/>
            <w:vAlign w:val="center"/>
          </w:tcPr>
          <w:p w14:paraId="390080E7">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售后服务方案</w:t>
            </w:r>
          </w:p>
          <w:p w14:paraId="5158FE41">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（4分）</w:t>
            </w:r>
          </w:p>
        </w:tc>
        <w:tc>
          <w:tcPr>
            <w:tcW w:w="6776" w:type="dxa"/>
          </w:tcPr>
          <w:p w14:paraId="4270DA2E">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360" w:lineRule="exact"/>
              <w:jc w:val="left"/>
              <w:textAlignment w:val="auto"/>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根据投标人提供的售后服务方案进行综合评审，内容包括但不限于①服务目标；②服务内容；③服务流程；④服务团队</w:t>
            </w:r>
            <w:r>
              <w:rPr>
                <w:rFonts w:hint="eastAsia" w:cs="宋体"/>
                <w:b w:val="0"/>
                <w:color w:val="auto"/>
                <w:kern w:val="2"/>
                <w:sz w:val="24"/>
                <w:szCs w:val="24"/>
                <w:highlight w:val="none"/>
                <w:lang w:val="en-US" w:eastAsia="zh-CN" w:bidi="ar-SA"/>
              </w:rPr>
              <w:t>等。</w:t>
            </w:r>
          </w:p>
          <w:p w14:paraId="6E27BD99">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360" w:lineRule="exact"/>
              <w:jc w:val="left"/>
              <w:textAlignment w:val="auto"/>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每提供一项且内容全面得</w:t>
            </w:r>
            <w:r>
              <w:rPr>
                <w:rFonts w:hint="eastAsia" w:ascii="宋体" w:hAnsi="宋体" w:eastAsia="宋体" w:cs="宋体"/>
                <w:b w:val="0"/>
                <w:color w:val="auto"/>
                <w:kern w:val="2"/>
                <w:sz w:val="24"/>
                <w:szCs w:val="24"/>
                <w:highlight w:val="none"/>
                <w:lang w:val="en-US" w:eastAsia="zh-CN" w:bidi="ar-SA"/>
              </w:rPr>
              <w:t>1</w:t>
            </w:r>
            <w:r>
              <w:rPr>
                <w:rFonts w:hint="default" w:ascii="宋体" w:hAnsi="宋体" w:eastAsia="宋体" w:cs="宋体"/>
                <w:b w:val="0"/>
                <w:color w:val="auto"/>
                <w:kern w:val="2"/>
                <w:sz w:val="24"/>
                <w:szCs w:val="24"/>
                <w:highlight w:val="none"/>
                <w:lang w:val="en-US" w:eastAsia="zh-CN" w:bidi="ar-SA"/>
              </w:rPr>
              <w:t>分，每项每有一处缺陷或内容不全面扣</w:t>
            </w:r>
            <w:r>
              <w:rPr>
                <w:rFonts w:hint="eastAsia" w:ascii="宋体" w:hAnsi="宋体" w:eastAsia="宋体" w:cs="宋体"/>
                <w:b w:val="0"/>
                <w:color w:val="auto"/>
                <w:kern w:val="2"/>
                <w:sz w:val="24"/>
                <w:szCs w:val="24"/>
                <w:highlight w:val="none"/>
                <w:lang w:val="en-US" w:eastAsia="zh-CN" w:bidi="ar-SA"/>
              </w:rPr>
              <w:t>0.5</w:t>
            </w:r>
            <w:r>
              <w:rPr>
                <w:rFonts w:hint="default" w:ascii="宋体" w:hAnsi="宋体" w:eastAsia="宋体" w:cs="宋体"/>
                <w:b w:val="0"/>
                <w:color w:val="auto"/>
                <w:kern w:val="2"/>
                <w:sz w:val="24"/>
                <w:szCs w:val="24"/>
                <w:highlight w:val="none"/>
                <w:lang w:val="en-US" w:eastAsia="zh-CN" w:bidi="ar-SA"/>
              </w:rPr>
              <w:t>分，不提供的不得分。最高得</w:t>
            </w:r>
            <w:r>
              <w:rPr>
                <w:rFonts w:hint="eastAsia" w:ascii="宋体" w:hAnsi="宋体" w:eastAsia="宋体" w:cs="宋体"/>
                <w:b w:val="0"/>
                <w:color w:val="auto"/>
                <w:kern w:val="2"/>
                <w:sz w:val="24"/>
                <w:szCs w:val="24"/>
                <w:highlight w:val="none"/>
                <w:lang w:val="en-US" w:eastAsia="zh-CN" w:bidi="ar-SA"/>
              </w:rPr>
              <w:t>4</w:t>
            </w:r>
            <w:r>
              <w:rPr>
                <w:rFonts w:hint="default" w:ascii="宋体" w:hAnsi="宋体" w:eastAsia="宋体" w:cs="宋体"/>
                <w:b w:val="0"/>
                <w:color w:val="auto"/>
                <w:kern w:val="2"/>
                <w:sz w:val="24"/>
                <w:szCs w:val="24"/>
                <w:highlight w:val="none"/>
                <w:lang w:val="en-US" w:eastAsia="zh-CN" w:bidi="ar-SA"/>
              </w:rPr>
              <w:t>分。</w:t>
            </w:r>
          </w:p>
          <w:p w14:paraId="6B4FADD7">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360" w:lineRule="exact"/>
              <w:jc w:val="left"/>
              <w:textAlignment w:val="auto"/>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注:缺陷是指内容与实际情况不符、内容与项目无关、内容表述错误、内容前后表述矛盾、内容与项目不匹配、项目信息错误、不符合本项目涉及的相关规范或标准要求的任意一种情形。</w:t>
            </w:r>
          </w:p>
        </w:tc>
      </w:tr>
      <w:tr w14:paraId="1FFA3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 w:type="dxa"/>
            <w:vMerge w:val="continue"/>
            <w:vAlign w:val="center"/>
          </w:tcPr>
          <w:p w14:paraId="4A282816">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default" w:ascii="宋体" w:hAnsi="宋体" w:eastAsia="宋体" w:cs="宋体"/>
                <w:b w:val="0"/>
                <w:color w:val="auto"/>
                <w:kern w:val="2"/>
                <w:sz w:val="24"/>
                <w:szCs w:val="24"/>
                <w:highlight w:val="none"/>
                <w:lang w:val="en-US" w:eastAsia="zh-CN" w:bidi="ar-SA"/>
              </w:rPr>
            </w:pPr>
          </w:p>
        </w:tc>
        <w:tc>
          <w:tcPr>
            <w:tcW w:w="1399" w:type="dxa"/>
            <w:vAlign w:val="center"/>
          </w:tcPr>
          <w:p w14:paraId="3CB5759B">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培训方案</w:t>
            </w:r>
          </w:p>
          <w:p w14:paraId="3898D41C">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（3分）</w:t>
            </w:r>
          </w:p>
        </w:tc>
        <w:tc>
          <w:tcPr>
            <w:tcW w:w="6776" w:type="dxa"/>
          </w:tcPr>
          <w:p w14:paraId="642B1DDF">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360" w:lineRule="exact"/>
              <w:jc w:val="left"/>
              <w:textAlignment w:val="auto"/>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根据</w:t>
            </w:r>
            <w:r>
              <w:rPr>
                <w:rFonts w:hint="eastAsia" w:ascii="宋体" w:hAnsi="宋体" w:eastAsia="宋体" w:cs="宋体"/>
                <w:b w:val="0"/>
                <w:color w:val="auto"/>
                <w:kern w:val="2"/>
                <w:sz w:val="24"/>
                <w:szCs w:val="24"/>
                <w:highlight w:val="none"/>
                <w:lang w:val="en-US" w:eastAsia="zh-CN" w:bidi="ar-SA"/>
              </w:rPr>
              <w:t>投标人</w:t>
            </w:r>
            <w:r>
              <w:rPr>
                <w:rFonts w:hint="default" w:ascii="宋体" w:hAnsi="宋体" w:eastAsia="宋体" w:cs="宋体"/>
                <w:b w:val="0"/>
                <w:color w:val="auto"/>
                <w:kern w:val="2"/>
                <w:sz w:val="24"/>
                <w:szCs w:val="24"/>
                <w:highlight w:val="none"/>
                <w:lang w:val="en-US" w:eastAsia="zh-CN" w:bidi="ar-SA"/>
              </w:rPr>
              <w:t>提供的培训方案进行综合评审，内容包括但不限于①培训目标、②培训计划、③培训内容等。每提供一项且内容全面</w:t>
            </w:r>
            <w:r>
              <w:rPr>
                <w:rFonts w:hint="eastAsia" w:ascii="宋体" w:hAnsi="宋体" w:eastAsia="宋体" w:cs="宋体"/>
                <w:b w:val="0"/>
                <w:color w:val="auto"/>
                <w:kern w:val="2"/>
                <w:sz w:val="24"/>
                <w:szCs w:val="24"/>
                <w:highlight w:val="none"/>
                <w:lang w:val="en-US" w:eastAsia="zh-CN" w:bidi="ar-SA"/>
              </w:rPr>
              <w:t>得1</w:t>
            </w:r>
            <w:r>
              <w:rPr>
                <w:rFonts w:hint="default" w:ascii="宋体" w:hAnsi="宋体" w:eastAsia="宋体" w:cs="宋体"/>
                <w:b w:val="0"/>
                <w:color w:val="auto"/>
                <w:kern w:val="2"/>
                <w:sz w:val="24"/>
                <w:szCs w:val="24"/>
                <w:highlight w:val="none"/>
                <w:lang w:val="en-US" w:eastAsia="zh-CN" w:bidi="ar-SA"/>
              </w:rPr>
              <w:t>分，每项每有一处缺陷或内容不全面扣</w:t>
            </w:r>
            <w:r>
              <w:rPr>
                <w:rFonts w:hint="eastAsia" w:ascii="宋体" w:hAnsi="宋体" w:eastAsia="宋体" w:cs="宋体"/>
                <w:b w:val="0"/>
                <w:color w:val="auto"/>
                <w:kern w:val="2"/>
                <w:sz w:val="24"/>
                <w:szCs w:val="24"/>
                <w:highlight w:val="none"/>
                <w:lang w:val="en-US" w:eastAsia="zh-CN" w:bidi="ar-SA"/>
              </w:rPr>
              <w:t>0.5</w:t>
            </w:r>
            <w:r>
              <w:rPr>
                <w:rFonts w:hint="default" w:ascii="宋体" w:hAnsi="宋体" w:eastAsia="宋体" w:cs="宋体"/>
                <w:b w:val="0"/>
                <w:color w:val="auto"/>
                <w:kern w:val="2"/>
                <w:sz w:val="24"/>
                <w:szCs w:val="24"/>
                <w:highlight w:val="none"/>
                <w:lang w:val="en-US" w:eastAsia="zh-CN" w:bidi="ar-SA"/>
              </w:rPr>
              <w:t>分，不提供的不得分。最高得</w:t>
            </w:r>
            <w:r>
              <w:rPr>
                <w:rFonts w:hint="eastAsia" w:ascii="宋体" w:hAnsi="宋体" w:eastAsia="宋体" w:cs="宋体"/>
                <w:b w:val="0"/>
                <w:color w:val="auto"/>
                <w:kern w:val="2"/>
                <w:sz w:val="24"/>
                <w:szCs w:val="24"/>
                <w:highlight w:val="none"/>
                <w:lang w:val="en-US" w:eastAsia="zh-CN" w:bidi="ar-SA"/>
              </w:rPr>
              <w:t>3</w:t>
            </w:r>
            <w:r>
              <w:rPr>
                <w:rFonts w:hint="default" w:ascii="宋体" w:hAnsi="宋体" w:eastAsia="宋体" w:cs="宋体"/>
                <w:b w:val="0"/>
                <w:color w:val="auto"/>
                <w:kern w:val="2"/>
                <w:sz w:val="24"/>
                <w:szCs w:val="24"/>
                <w:highlight w:val="none"/>
                <w:lang w:val="en-US" w:eastAsia="zh-CN" w:bidi="ar-SA"/>
              </w:rPr>
              <w:t>分。</w:t>
            </w:r>
          </w:p>
          <w:p w14:paraId="6B42073F">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360" w:lineRule="exact"/>
              <w:jc w:val="left"/>
              <w:textAlignment w:val="auto"/>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注:缺陷是指内容与实际情况不符、内容与项目无关、内容表述错误、内容前后表述矛盾、内容与项目不匹配、项目信息错误、不符合本项目涉及的相关规范或标准要求的任意一种情形。</w:t>
            </w:r>
          </w:p>
        </w:tc>
      </w:tr>
    </w:tbl>
    <w:p w14:paraId="400C7577">
      <w:pPr>
        <w:tabs>
          <w:tab w:val="left" w:pos="394"/>
        </w:tabs>
        <w:snapToGrid w:val="0"/>
        <w:spacing w:line="360" w:lineRule="auto"/>
        <w:ind w:firstLine="482" w:firstLineChars="200"/>
        <w:rPr>
          <w:rFonts w:hint="default" w:ascii="Times New Roman" w:hAnsi="Times New Roman"/>
          <w:b/>
          <w:bCs/>
          <w:color w:val="auto"/>
          <w:kern w:val="0"/>
          <w:sz w:val="24"/>
          <w:highlight w:val="none"/>
          <w:lang w:val="en-US" w:eastAsia="zh-CN"/>
        </w:rPr>
      </w:pPr>
    </w:p>
    <w:p w14:paraId="426D9527">
      <w:pPr>
        <w:ind w:firstLine="480"/>
        <w:rPr>
          <w:color w:val="auto"/>
          <w:highlight w:val="none"/>
        </w:rPr>
      </w:pPr>
      <w:r>
        <w:rPr>
          <w:rFonts w:hint="eastAsia"/>
          <w:color w:val="auto"/>
          <w:highlight w:val="none"/>
        </w:rPr>
        <w:br w:type="page"/>
      </w:r>
      <w:bookmarkEnd w:id="31"/>
      <w:bookmarkStart w:id="32" w:name="_Toc29860"/>
    </w:p>
    <w:p w14:paraId="2C937B7F">
      <w:pPr>
        <w:pStyle w:val="4"/>
        <w:numPr>
          <w:ilvl w:val="0"/>
          <w:numId w:val="5"/>
        </w:numPr>
        <w:spacing w:after="312"/>
        <w:rPr>
          <w:color w:val="auto"/>
          <w:highlight w:val="none"/>
        </w:rPr>
      </w:pPr>
      <w:r>
        <w:rPr>
          <w:rFonts w:hint="eastAsia"/>
          <w:color w:val="auto"/>
          <w:highlight w:val="none"/>
        </w:rPr>
        <w:t>商务、技术要求</w:t>
      </w:r>
    </w:p>
    <w:p w14:paraId="1C715372">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1"/>
        <w:rPr>
          <w:rFonts w:hint="eastAsia"/>
          <w:b/>
          <w:bCs/>
          <w:color w:val="auto"/>
          <w:highlight w:val="none"/>
          <w:lang w:val="en-US" w:eastAsia="zh-CN"/>
        </w:rPr>
      </w:pPr>
      <w:r>
        <w:rPr>
          <w:rFonts w:hint="eastAsia"/>
          <w:b/>
          <w:bCs/>
          <w:color w:val="auto"/>
          <w:highlight w:val="none"/>
          <w:lang w:val="en-US" w:eastAsia="zh-CN"/>
        </w:rPr>
        <w:t>包1：</w:t>
      </w:r>
      <w:bookmarkStart w:id="33" w:name="_Toc7199"/>
    </w:p>
    <w:bookmarkEnd w:id="33"/>
    <w:p w14:paraId="2D608D65">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82" w:firstLineChars="200"/>
        <w:jc w:val="both"/>
        <w:textAlignment w:val="auto"/>
        <w:outlineLvl w:val="1"/>
        <w:rPr>
          <w:rFonts w:hint="eastAsia" w:ascii="宋体" w:hAnsi="宋体" w:eastAsia="宋体" w:cs="宋体"/>
          <w:b/>
          <w:bCs/>
          <w:color w:val="auto"/>
          <w:sz w:val="24"/>
          <w:szCs w:val="24"/>
          <w:highlight w:val="none"/>
          <w:lang w:val="en-US" w:eastAsia="zh-CN"/>
        </w:rPr>
      </w:pPr>
      <w:bookmarkStart w:id="34" w:name="_Toc25744"/>
      <w:r>
        <w:rPr>
          <w:rFonts w:hint="eastAsia" w:ascii="宋体" w:hAnsi="宋体" w:eastAsia="宋体" w:cs="宋体"/>
          <w:b/>
          <w:bCs/>
          <w:color w:val="auto"/>
          <w:sz w:val="24"/>
          <w:szCs w:val="24"/>
          <w:highlight w:val="none"/>
          <w:lang w:val="en-US" w:eastAsia="zh-CN"/>
        </w:rPr>
        <w:t>商务要求：</w:t>
      </w:r>
      <w:bookmarkEnd w:id="34"/>
    </w:p>
    <w:p w14:paraId="072E73C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合同履约期限</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自签订合同之日起 20天内完成供货</w:t>
      </w:r>
    </w:p>
    <w:p w14:paraId="6F7F99C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cs="宋体"/>
          <w:color w:val="auto"/>
          <w:sz w:val="24"/>
          <w:szCs w:val="24"/>
          <w:highlight w:val="none"/>
          <w:lang w:eastAsia="zh-CN"/>
        </w:rPr>
        <w:t>供货地点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屯留区云</w:t>
      </w:r>
      <w:r>
        <w:rPr>
          <w:rFonts w:hint="eastAsia" w:ascii="宋体" w:hAnsi="宋体" w:eastAsia="宋体" w:cs="宋体"/>
          <w:color w:val="auto"/>
          <w:sz w:val="24"/>
          <w:szCs w:val="24"/>
          <w:highlight w:val="none"/>
          <w:lang w:val="en-US" w:eastAsia="zh-CN"/>
        </w:rPr>
        <w:t>书苑新</w:t>
      </w:r>
      <w:r>
        <w:rPr>
          <w:rFonts w:hint="eastAsia" w:ascii="宋体" w:hAnsi="宋体" w:eastAsia="宋体" w:cs="宋体"/>
          <w:color w:val="auto"/>
          <w:sz w:val="24"/>
          <w:szCs w:val="24"/>
          <w:highlight w:val="none"/>
          <w:lang w:eastAsia="zh-CN"/>
        </w:rPr>
        <w:t>型文化空间</w:t>
      </w:r>
    </w:p>
    <w:p w14:paraId="189300D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、质保期：</w:t>
      </w:r>
      <w:r>
        <w:rPr>
          <w:rFonts w:hint="eastAsia" w:cs="宋体"/>
          <w:color w:val="auto"/>
          <w:sz w:val="24"/>
          <w:szCs w:val="24"/>
          <w:highlight w:val="none"/>
          <w:lang w:val="en-US" w:eastAsia="zh-CN"/>
        </w:rPr>
        <w:t>1</w:t>
      </w:r>
      <w:r>
        <w:rPr>
          <w:rFonts w:hint="eastAsia"/>
          <w:color w:val="auto"/>
          <w:highlight w:val="none"/>
        </w:rPr>
        <w:t>年免费</w:t>
      </w:r>
      <w:r>
        <w:rPr>
          <w:rFonts w:hint="eastAsia"/>
          <w:color w:val="auto"/>
          <w:highlight w:val="none"/>
          <w:lang w:val="en-US" w:eastAsia="zh-CN"/>
        </w:rPr>
        <w:t>质保</w:t>
      </w:r>
    </w:p>
    <w:p w14:paraId="7932604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付款方式：</w:t>
      </w:r>
      <w:r>
        <w:rPr>
          <w:rFonts w:hint="eastAsia" w:ascii="宋体" w:hAnsi="宋体" w:eastAsia="宋体" w:cs="宋体"/>
          <w:color w:val="auto"/>
          <w:sz w:val="24"/>
          <w:szCs w:val="24"/>
          <w:highlight w:val="none"/>
          <w:lang w:val="en-US" w:eastAsia="zh-CN"/>
        </w:rPr>
        <w:t>验收合格后</w:t>
      </w:r>
      <w:r>
        <w:rPr>
          <w:rFonts w:hint="eastAsia" w:cs="宋体"/>
          <w:color w:val="auto"/>
          <w:sz w:val="24"/>
          <w:szCs w:val="24"/>
          <w:highlight w:val="none"/>
          <w:lang w:val="en-US" w:eastAsia="zh-CN"/>
        </w:rPr>
        <w:t>15</w:t>
      </w:r>
      <w:r>
        <w:rPr>
          <w:rFonts w:hint="eastAsia" w:ascii="宋体" w:hAnsi="宋体" w:eastAsia="宋体" w:cs="宋体"/>
          <w:color w:val="auto"/>
          <w:sz w:val="24"/>
          <w:szCs w:val="24"/>
          <w:highlight w:val="none"/>
          <w:lang w:val="en-US" w:eastAsia="zh-CN"/>
        </w:rPr>
        <w:t>天内一次性支付。</w:t>
      </w:r>
    </w:p>
    <w:p w14:paraId="194530B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履约保证金：无</w:t>
      </w:r>
    </w:p>
    <w:p w14:paraId="0D5BE80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、验收方式：甲方自行组织验收。</w:t>
      </w:r>
    </w:p>
    <w:p w14:paraId="0306F57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7、图书类别：</w:t>
      </w:r>
    </w:p>
    <w:tbl>
      <w:tblPr>
        <w:tblStyle w:val="41"/>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1"/>
        <w:gridCol w:w="3319"/>
      </w:tblGrid>
      <w:tr w14:paraId="15FBB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81" w:type="dxa"/>
          </w:tcPr>
          <w:p w14:paraId="291CEB64">
            <w:pPr>
              <w:pStyle w:val="2"/>
              <w:jc w:val="center"/>
              <w:rPr>
                <w:rFonts w:hint="default"/>
                <w:color w:val="auto"/>
                <w:highlight w:val="none"/>
                <w:vertAlign w:val="baseline"/>
                <w:lang w:val="en-US" w:eastAsia="zh-CN"/>
              </w:rPr>
            </w:pPr>
            <w:r>
              <w:rPr>
                <w:rFonts w:hint="eastAsia"/>
                <w:color w:val="auto"/>
                <w:highlight w:val="none"/>
                <w:vertAlign w:val="baseline"/>
                <w:lang w:val="en-US" w:eastAsia="zh-CN"/>
              </w:rPr>
              <w:t>类别</w:t>
            </w:r>
          </w:p>
        </w:tc>
        <w:tc>
          <w:tcPr>
            <w:tcW w:w="3319" w:type="dxa"/>
          </w:tcPr>
          <w:p w14:paraId="22DFD000">
            <w:pPr>
              <w:pStyle w:val="2"/>
              <w:jc w:val="center"/>
              <w:rPr>
                <w:rFonts w:hint="default"/>
                <w:color w:val="auto"/>
                <w:highlight w:val="none"/>
                <w:vertAlign w:val="baseline"/>
                <w:lang w:val="en-US" w:eastAsia="zh-CN"/>
              </w:rPr>
            </w:pPr>
            <w:r>
              <w:rPr>
                <w:rFonts w:hint="eastAsia"/>
                <w:color w:val="auto"/>
                <w:highlight w:val="none"/>
                <w:vertAlign w:val="baseline"/>
                <w:lang w:val="en-US" w:eastAsia="zh-CN"/>
              </w:rPr>
              <w:t>数量（本）</w:t>
            </w:r>
          </w:p>
        </w:tc>
      </w:tr>
      <w:tr w14:paraId="58694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1" w:type="dxa"/>
          </w:tcPr>
          <w:p w14:paraId="41CB62F5">
            <w:pPr>
              <w:pStyle w:val="2"/>
              <w:jc w:val="center"/>
              <w:rPr>
                <w:rFonts w:hint="default"/>
                <w:color w:val="auto"/>
                <w:highlight w:val="none"/>
                <w:vertAlign w:val="baseline"/>
                <w:lang w:val="en-US" w:eastAsia="zh-CN"/>
              </w:rPr>
            </w:pPr>
            <w:r>
              <w:rPr>
                <w:rFonts w:hint="eastAsia"/>
                <w:color w:val="auto"/>
                <w:highlight w:val="none"/>
                <w:vertAlign w:val="baseline"/>
                <w:lang w:val="en-US" w:eastAsia="zh-CN"/>
              </w:rPr>
              <w:t>文学类</w:t>
            </w:r>
          </w:p>
        </w:tc>
        <w:tc>
          <w:tcPr>
            <w:tcW w:w="3319" w:type="dxa"/>
          </w:tcPr>
          <w:p w14:paraId="44330E71">
            <w:pPr>
              <w:pStyle w:val="2"/>
              <w:jc w:val="center"/>
              <w:rPr>
                <w:rFonts w:hint="default"/>
                <w:color w:val="auto"/>
                <w:highlight w:val="none"/>
                <w:vertAlign w:val="baseline"/>
                <w:lang w:val="en-US" w:eastAsia="zh-CN"/>
              </w:rPr>
            </w:pPr>
            <w:r>
              <w:rPr>
                <w:rFonts w:hint="eastAsia"/>
                <w:color w:val="auto"/>
                <w:highlight w:val="none"/>
                <w:vertAlign w:val="baseline"/>
                <w:lang w:val="en-US" w:eastAsia="zh-CN"/>
              </w:rPr>
              <w:t>1500</w:t>
            </w:r>
          </w:p>
        </w:tc>
      </w:tr>
      <w:tr w14:paraId="24170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1" w:type="dxa"/>
          </w:tcPr>
          <w:p w14:paraId="59505602">
            <w:pPr>
              <w:pStyle w:val="2"/>
              <w:jc w:val="center"/>
              <w:rPr>
                <w:rFonts w:hint="default"/>
                <w:color w:val="auto"/>
                <w:highlight w:val="none"/>
                <w:vertAlign w:val="baseline"/>
                <w:lang w:val="en-US" w:eastAsia="zh-CN"/>
              </w:rPr>
            </w:pPr>
            <w:r>
              <w:rPr>
                <w:rFonts w:hint="eastAsia"/>
                <w:color w:val="auto"/>
                <w:highlight w:val="none"/>
                <w:vertAlign w:val="baseline"/>
                <w:lang w:val="en-US" w:eastAsia="zh-CN"/>
              </w:rPr>
              <w:t>综合类</w:t>
            </w:r>
          </w:p>
        </w:tc>
        <w:tc>
          <w:tcPr>
            <w:tcW w:w="3319" w:type="dxa"/>
          </w:tcPr>
          <w:p w14:paraId="263D957E">
            <w:pPr>
              <w:pStyle w:val="2"/>
              <w:jc w:val="center"/>
              <w:rPr>
                <w:rFonts w:hint="default"/>
                <w:color w:val="auto"/>
                <w:highlight w:val="none"/>
                <w:vertAlign w:val="baseline"/>
                <w:lang w:val="en-US" w:eastAsia="zh-CN"/>
              </w:rPr>
            </w:pPr>
            <w:r>
              <w:rPr>
                <w:rFonts w:hint="eastAsia"/>
                <w:color w:val="auto"/>
                <w:highlight w:val="none"/>
                <w:vertAlign w:val="baseline"/>
                <w:lang w:val="en-US" w:eastAsia="zh-CN"/>
              </w:rPr>
              <w:t>500</w:t>
            </w:r>
          </w:p>
        </w:tc>
      </w:tr>
    </w:tbl>
    <w:p w14:paraId="3B0DA30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8、数量：2000本</w:t>
      </w:r>
    </w:p>
    <w:p w14:paraId="574A973B">
      <w:pPr>
        <w:keepNext w:val="0"/>
        <w:keepLines w:val="0"/>
        <w:pageBreakBefore w:val="0"/>
        <w:widowControl w:val="0"/>
        <w:numPr>
          <w:ilvl w:val="0"/>
          <w:numId w:val="6"/>
        </w:numPr>
        <w:kinsoku/>
        <w:wordWrap/>
        <w:overflowPunct/>
        <w:topLinePunct w:val="0"/>
        <w:autoSpaceDE/>
        <w:autoSpaceDN/>
        <w:bidi w:val="0"/>
        <w:adjustRightInd/>
        <w:snapToGrid/>
        <w:spacing w:line="460" w:lineRule="exact"/>
        <w:ind w:firstLine="482" w:firstLineChars="200"/>
        <w:jc w:val="both"/>
        <w:textAlignment w:val="auto"/>
        <w:outlineLvl w:val="1"/>
        <w:rPr>
          <w:rFonts w:hint="eastAsia" w:ascii="宋体" w:hAnsi="宋体" w:eastAsia="宋体" w:cs="宋体"/>
          <w:b/>
          <w:bCs/>
          <w:color w:val="auto"/>
          <w:sz w:val="24"/>
          <w:szCs w:val="24"/>
          <w:highlight w:val="none"/>
          <w:lang w:val="en-US" w:eastAsia="zh-CN"/>
        </w:rPr>
      </w:pPr>
      <w:r>
        <w:rPr>
          <w:rFonts w:hint="eastAsia" w:cs="宋体"/>
          <w:b/>
          <w:bCs/>
          <w:color w:val="auto"/>
          <w:sz w:val="24"/>
          <w:szCs w:val="24"/>
          <w:highlight w:val="none"/>
          <w:lang w:val="en-US" w:eastAsia="zh-CN"/>
        </w:rPr>
        <w:t>图书质量及服务要求</w:t>
      </w:r>
    </w:p>
    <w:p w14:paraId="6A8AC7D9">
      <w:pPr>
        <w:keepNext w:val="0"/>
        <w:keepLines w:val="0"/>
        <w:pageBreakBefore w:val="0"/>
        <w:widowControl w:val="0"/>
        <w:numPr>
          <w:ilvl w:val="0"/>
          <w:numId w:val="7"/>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图书质量要求</w:t>
      </w:r>
      <w:r>
        <w:rPr>
          <w:rFonts w:hint="eastAsia" w:cs="宋体"/>
          <w:color w:val="auto"/>
          <w:sz w:val="24"/>
          <w:szCs w:val="24"/>
          <w:highlight w:val="none"/>
          <w:lang w:eastAsia="zh-CN"/>
        </w:rPr>
        <w:t>：</w:t>
      </w:r>
    </w:p>
    <w:p w14:paraId="73A52D68">
      <w:pPr>
        <w:keepNext w:val="0"/>
        <w:keepLines w:val="0"/>
        <w:pageBreakBefore w:val="0"/>
        <w:widowControl w:val="0"/>
        <w:numPr>
          <w:ilvl w:val="0"/>
          <w:numId w:val="0"/>
        </w:numPr>
        <w:kinsoku/>
        <w:wordWrap w:val="0"/>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（1）投标人所供图书必须符合《中华人民共和国图书质量管理规定》及国家相关标准。图书质量包括内容、编校、设计、印制四个方面，必须全部合格，其中一个方面不合格，则图书质量不合格</w:t>
      </w:r>
      <w:r>
        <w:rPr>
          <w:rFonts w:hint="eastAsia" w:cs="宋体"/>
          <w:color w:val="auto"/>
          <w:sz w:val="24"/>
          <w:szCs w:val="24"/>
          <w:highlight w:val="none"/>
          <w:lang w:val="en-US" w:eastAsia="zh-CN"/>
        </w:rPr>
        <w:t>；</w:t>
      </w:r>
    </w:p>
    <w:p w14:paraId="64F7ABD8">
      <w:pPr>
        <w:keepNext w:val="0"/>
        <w:keepLines w:val="0"/>
        <w:pageBreakBefore w:val="0"/>
        <w:widowControl w:val="0"/>
        <w:numPr>
          <w:ilvl w:val="0"/>
          <w:numId w:val="0"/>
        </w:numPr>
        <w:kinsoku/>
        <w:wordWrap w:val="0"/>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所供图书必须是正规出版社出版，且必须保证全部为全新、未经使用过的正版出版物。所供图书如发生用无合法版权或使用过的二手书充数，则投标人必须承担因侵犯专利权、版权或其他知识产权而被提起的诉讼和索赔并承担相应的法律责任</w:t>
      </w:r>
      <w:r>
        <w:rPr>
          <w:rFonts w:hint="eastAsia" w:cs="宋体"/>
          <w:color w:val="auto"/>
          <w:sz w:val="24"/>
          <w:szCs w:val="24"/>
          <w:highlight w:val="none"/>
          <w:lang w:val="en-US" w:eastAsia="zh-CN"/>
        </w:rPr>
        <w:t>；</w:t>
      </w:r>
    </w:p>
    <w:p w14:paraId="659EA128">
      <w:pPr>
        <w:keepNext w:val="0"/>
        <w:keepLines w:val="0"/>
        <w:pageBreakBefore w:val="0"/>
        <w:widowControl w:val="0"/>
        <w:numPr>
          <w:ilvl w:val="0"/>
          <w:numId w:val="0"/>
        </w:numPr>
        <w:kinsoku/>
        <w:wordWrap w:val="0"/>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（3）所有图书均需符合教育部门规定之读物，保证意识形态领域的安全（无不当言论、不当内容、不当图片等）</w:t>
      </w:r>
      <w:r>
        <w:rPr>
          <w:rFonts w:hint="eastAsia" w:cs="宋体"/>
          <w:color w:val="auto"/>
          <w:sz w:val="24"/>
          <w:szCs w:val="24"/>
          <w:highlight w:val="none"/>
          <w:lang w:val="en-US" w:eastAsia="zh-CN"/>
        </w:rPr>
        <w:t>；</w:t>
      </w:r>
    </w:p>
    <w:p w14:paraId="1BA67C7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）封面印刷套印准确，字、图、点、线印迹清楚，不花、不毛、不糊，实地版墨包均匀，无回胶印，背面不脏。</w:t>
      </w:r>
    </w:p>
    <w:p w14:paraId="4AA743FA">
      <w:pPr>
        <w:keepNext w:val="0"/>
        <w:keepLines w:val="0"/>
        <w:pageBreakBefore w:val="0"/>
        <w:widowControl w:val="0"/>
        <w:numPr>
          <w:ilvl w:val="0"/>
          <w:numId w:val="0"/>
        </w:numPr>
        <w:kinsoku/>
        <w:wordWrap w:val="0"/>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投标人应对以下配货内容做出承诺</w:t>
      </w:r>
      <w:r>
        <w:rPr>
          <w:rFonts w:hint="eastAsia" w:cs="宋体"/>
          <w:color w:val="auto"/>
          <w:sz w:val="24"/>
          <w:szCs w:val="24"/>
          <w:highlight w:val="none"/>
          <w:lang w:val="en-US" w:eastAsia="zh-CN"/>
        </w:rPr>
        <w:t>：</w:t>
      </w:r>
    </w:p>
    <w:p w14:paraId="48509FEA">
      <w:pPr>
        <w:keepNext w:val="0"/>
        <w:keepLines w:val="0"/>
        <w:pageBreakBefore w:val="0"/>
        <w:widowControl w:val="0"/>
        <w:numPr>
          <w:ilvl w:val="0"/>
          <w:numId w:val="0"/>
        </w:numPr>
        <w:kinsoku/>
        <w:wordWrap w:val="0"/>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cs="宋体"/>
          <w:color w:val="auto"/>
          <w:sz w:val="24"/>
          <w:szCs w:val="24"/>
          <w:highlight w:val="none"/>
          <w:lang w:val="en-US" w:eastAsia="zh-CN"/>
        </w:rPr>
        <w:t>投标人拟供货图书须为</w:t>
      </w:r>
      <w:r>
        <w:rPr>
          <w:rFonts w:hint="eastAsia" w:ascii="宋体" w:hAnsi="宋体" w:eastAsia="宋体" w:cs="宋体"/>
          <w:color w:val="auto"/>
          <w:sz w:val="24"/>
          <w:szCs w:val="24"/>
          <w:highlight w:val="none"/>
          <w:lang w:val="en-US" w:eastAsia="zh-CN"/>
        </w:rPr>
        <w:t>2020年之后印刷</w:t>
      </w:r>
      <w:r>
        <w:rPr>
          <w:rFonts w:hint="eastAsia" w:cs="宋体"/>
          <w:color w:val="auto"/>
          <w:sz w:val="24"/>
          <w:szCs w:val="24"/>
          <w:highlight w:val="none"/>
          <w:lang w:val="en-US" w:eastAsia="zh-CN"/>
        </w:rPr>
        <w:t>；</w:t>
      </w:r>
    </w:p>
    <w:p w14:paraId="499A3DE3">
      <w:pPr>
        <w:keepNext w:val="0"/>
        <w:keepLines w:val="0"/>
        <w:pageBreakBefore w:val="0"/>
        <w:widowControl w:val="0"/>
        <w:numPr>
          <w:ilvl w:val="0"/>
          <w:numId w:val="0"/>
        </w:numPr>
        <w:kinsoku/>
        <w:wordWrap w:val="0"/>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（2）验收如发现残损书籍，投标人负责免费更换。如需调换，图书需满足采购人要求并征得采购人同意，并负责免费送到指定地点</w:t>
      </w:r>
      <w:r>
        <w:rPr>
          <w:rFonts w:hint="eastAsia" w:cs="宋体"/>
          <w:color w:val="auto"/>
          <w:sz w:val="24"/>
          <w:szCs w:val="24"/>
          <w:highlight w:val="none"/>
          <w:lang w:val="en-US" w:eastAsia="zh-CN"/>
        </w:rPr>
        <w:t>；</w:t>
      </w:r>
    </w:p>
    <w:p w14:paraId="75EFADB6">
      <w:pPr>
        <w:keepNext w:val="0"/>
        <w:keepLines w:val="0"/>
        <w:pageBreakBefore w:val="0"/>
        <w:widowControl w:val="0"/>
        <w:numPr>
          <w:ilvl w:val="0"/>
          <w:numId w:val="0"/>
        </w:numPr>
        <w:kinsoku/>
        <w:wordWrap w:val="0"/>
        <w:overflowPunct/>
        <w:topLinePunct w:val="0"/>
        <w:autoSpaceDE/>
        <w:autoSpaceDN/>
        <w:bidi w:val="0"/>
        <w:adjustRightInd/>
        <w:snapToGrid/>
        <w:spacing w:line="460" w:lineRule="exact"/>
        <w:ind w:firstLine="480" w:firstLineChars="200"/>
        <w:textAlignment w:val="auto"/>
        <w:rPr>
          <w:rFonts w:hint="eastAsia"/>
          <w:color w:val="auto"/>
          <w:highlight w:val="none"/>
          <w:lang w:val="en-US" w:eastAsia="zh-CN"/>
        </w:rPr>
      </w:pP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）选择出版社的要求：选择信誉好、图书装帧质量好、出版发行量较大，经国家核准的正规出版社。</w:t>
      </w:r>
    </w:p>
    <w:p w14:paraId="7F0E2A89">
      <w:pPr>
        <w:keepNext w:val="0"/>
        <w:keepLines w:val="0"/>
        <w:pageBreakBefore w:val="0"/>
        <w:widowControl w:val="0"/>
        <w:numPr>
          <w:ilvl w:val="0"/>
          <w:numId w:val="0"/>
        </w:numPr>
        <w:kinsoku/>
        <w:wordWrap w:val="0"/>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3、图书数据加工技术要求</w:t>
      </w:r>
      <w:r>
        <w:rPr>
          <w:rFonts w:hint="eastAsia" w:cs="宋体"/>
          <w:color w:val="auto"/>
          <w:sz w:val="24"/>
          <w:szCs w:val="24"/>
          <w:highlight w:val="none"/>
          <w:lang w:val="en-US" w:eastAsia="zh-CN"/>
        </w:rPr>
        <w:t>：</w:t>
      </w:r>
    </w:p>
    <w:p w14:paraId="27C85D05">
      <w:pPr>
        <w:keepNext w:val="0"/>
        <w:keepLines w:val="0"/>
        <w:pageBreakBefore w:val="0"/>
        <w:widowControl w:val="0"/>
        <w:numPr>
          <w:ilvl w:val="0"/>
          <w:numId w:val="0"/>
        </w:numPr>
        <w:kinsoku/>
        <w:wordWrap w:val="0"/>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r>
        <w:rPr>
          <w:rFonts w:hint="eastAsia"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）投标人在图书编目数据中分类要求以《中图法》进行编目。并能导入图书管理系统中，同时保证编目数据的质量，凡是图书中所体现的内容，数据字段中都必须完整体现</w:t>
      </w:r>
      <w:r>
        <w:rPr>
          <w:rFonts w:hint="eastAsia" w:cs="宋体"/>
          <w:b w:val="0"/>
          <w:bCs w:val="0"/>
          <w:color w:val="auto"/>
          <w:sz w:val="24"/>
          <w:szCs w:val="24"/>
          <w:highlight w:val="none"/>
          <w:lang w:val="en-US" w:eastAsia="zh-CN"/>
        </w:rPr>
        <w:t>；</w:t>
      </w:r>
    </w:p>
    <w:p w14:paraId="23B49132">
      <w:pPr>
        <w:keepNext w:val="0"/>
        <w:keepLines w:val="0"/>
        <w:pageBreakBefore w:val="0"/>
        <w:widowControl w:val="0"/>
        <w:numPr>
          <w:ilvl w:val="0"/>
          <w:numId w:val="0"/>
        </w:numPr>
        <w:kinsoku/>
        <w:wordWrap w:val="0"/>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（2）投标人承担图书到达甲方指定地点后的卸包、拆包、上架工作，采购人收到货并对全部纸质书籍和编目数据检查整改后，投标人需到馆进行图书精排上架。因上架所产生的各项费用均由投标人自行承担；</w:t>
      </w:r>
    </w:p>
    <w:p w14:paraId="25700216">
      <w:pPr>
        <w:keepNext w:val="0"/>
        <w:keepLines w:val="0"/>
        <w:pageBreakBefore w:val="0"/>
        <w:widowControl w:val="0"/>
        <w:numPr>
          <w:ilvl w:val="0"/>
          <w:numId w:val="0"/>
        </w:numPr>
        <w:kinsoku/>
        <w:wordWrap w:val="0"/>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（3）投标人如遇问题书籍（包括其他文种，非中文图书）时，应先与采购人进行沟通，确认是否进行数据加工。</w:t>
      </w:r>
    </w:p>
    <w:p w14:paraId="4414CE4E">
      <w:pPr>
        <w:keepNext w:val="0"/>
        <w:keepLines w:val="0"/>
        <w:pageBreakBefore w:val="0"/>
        <w:widowControl w:val="0"/>
        <w:numPr>
          <w:ilvl w:val="0"/>
          <w:numId w:val="0"/>
        </w:numPr>
        <w:kinsoku/>
        <w:wordWrap w:val="0"/>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4、投标人应对配送的图书进行防潮湿和防破损的包装与装卸，在配送前，应预先电话</w:t>
      </w:r>
      <w:r>
        <w:rPr>
          <w:rFonts w:hint="eastAsia" w:cs="宋体"/>
          <w:b w:val="0"/>
          <w:bCs w:val="0"/>
          <w:color w:val="auto"/>
          <w:sz w:val="24"/>
          <w:szCs w:val="24"/>
          <w:highlight w:val="none"/>
          <w:lang w:val="en-US" w:eastAsia="zh-CN"/>
        </w:rPr>
        <w:t>联系</w:t>
      </w:r>
      <w:r>
        <w:rPr>
          <w:rFonts w:hint="eastAsia" w:ascii="宋体" w:hAnsi="宋体" w:eastAsia="宋体" w:cs="宋体"/>
          <w:b w:val="0"/>
          <w:bCs w:val="0"/>
          <w:color w:val="auto"/>
          <w:sz w:val="24"/>
          <w:szCs w:val="24"/>
          <w:highlight w:val="none"/>
          <w:lang w:val="en-US" w:eastAsia="zh-CN"/>
        </w:rPr>
        <w:t>采购人，得到确认</w:t>
      </w:r>
      <w:r>
        <w:rPr>
          <w:rFonts w:hint="eastAsia" w:cs="宋体"/>
          <w:b w:val="0"/>
          <w:bCs w:val="0"/>
          <w:color w:val="auto"/>
          <w:sz w:val="24"/>
          <w:szCs w:val="24"/>
          <w:highlight w:val="none"/>
          <w:lang w:val="en-US" w:eastAsia="zh-CN"/>
        </w:rPr>
        <w:t>后方可安排送货。</w:t>
      </w:r>
      <w:r>
        <w:rPr>
          <w:rFonts w:hint="eastAsia" w:ascii="宋体" w:hAnsi="宋体" w:eastAsia="宋体" w:cs="宋体"/>
          <w:b w:val="0"/>
          <w:bCs w:val="0"/>
          <w:color w:val="auto"/>
          <w:sz w:val="24"/>
          <w:szCs w:val="24"/>
          <w:highlight w:val="none"/>
          <w:lang w:val="en-US" w:eastAsia="zh-CN"/>
        </w:rPr>
        <w:t>需提供发货清单（电子清单和纸质清单各一份），不允许涂改；清单内容包括：订购单位、批次、序号、ISBN、书名、实际册数、码洋、本包总册数、总种数和总码洋，并加盖投标人专用章</w:t>
      </w:r>
      <w:r>
        <w:rPr>
          <w:rFonts w:hint="eastAsia" w:cs="宋体"/>
          <w:b w:val="0"/>
          <w:bCs w:val="0"/>
          <w:color w:val="auto"/>
          <w:sz w:val="24"/>
          <w:szCs w:val="24"/>
          <w:highlight w:val="none"/>
          <w:lang w:val="en-US" w:eastAsia="zh-CN"/>
        </w:rPr>
        <w:t>。</w:t>
      </w:r>
    </w:p>
    <w:p w14:paraId="4D441728">
      <w:pPr>
        <w:keepNext w:val="0"/>
        <w:keepLines w:val="0"/>
        <w:pageBreakBefore w:val="0"/>
        <w:widowControl w:val="0"/>
        <w:numPr>
          <w:ilvl w:val="0"/>
          <w:numId w:val="0"/>
        </w:numPr>
        <w:kinsoku/>
        <w:wordWrap w:val="0"/>
        <w:overflowPunct/>
        <w:topLinePunct w:val="0"/>
        <w:autoSpaceDE/>
        <w:autoSpaceDN/>
        <w:bidi w:val="0"/>
        <w:adjustRightInd/>
        <w:snapToGrid/>
        <w:spacing w:line="460" w:lineRule="exact"/>
        <w:ind w:firstLine="480" w:firstLineChars="200"/>
        <w:textAlignment w:val="auto"/>
        <w:rPr>
          <w:rFonts w:hint="eastAsia"/>
          <w:b w:val="0"/>
          <w:bCs w:val="0"/>
          <w:color w:val="auto"/>
          <w:highlight w:val="none"/>
          <w:lang w:val="en-US" w:eastAsia="zh-CN"/>
        </w:rPr>
      </w:pPr>
      <w:r>
        <w:rPr>
          <w:rFonts w:hint="eastAsia"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、投标人必须承担图书途中运输费、装卸车费、途中损耗费、税费等一切费用。</w:t>
      </w:r>
    </w:p>
    <w:p w14:paraId="4EDF3FF6">
      <w:pPr>
        <w:keepNext w:val="0"/>
        <w:keepLines w:val="0"/>
        <w:pageBreakBefore w:val="0"/>
        <w:widowControl w:val="0"/>
        <w:numPr>
          <w:ilvl w:val="0"/>
          <w:numId w:val="0"/>
        </w:numPr>
        <w:kinsoku/>
        <w:wordWrap w:val="0"/>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6、售后服务：要求具有良好的售后保障，中标人应指定项目经理与采购人对接，提供7×24小时响应，紧急问题4小时内反馈解决方案。</w:t>
      </w:r>
    </w:p>
    <w:p w14:paraId="0E7BEF35">
      <w:pPr>
        <w:pStyle w:val="81"/>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highlight w:val="none"/>
        </w:rPr>
        <w:t xml:space="preserve">                  </w:t>
      </w:r>
    </w:p>
    <w:p w14:paraId="4E3D6E34">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p>
    <w:p w14:paraId="0FEF24D1">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en-US" w:eastAsia="zh-CN"/>
        </w:rPr>
      </w:pPr>
    </w:p>
    <w:p w14:paraId="7B16DC05">
      <w:pPr>
        <w:keepNext w:val="0"/>
        <w:keepLines w:val="0"/>
        <w:pageBreakBefore w:val="0"/>
        <w:widowControl w:val="0"/>
        <w:numPr>
          <w:ilvl w:val="0"/>
          <w:numId w:val="0"/>
        </w:numPr>
        <w:kinsoku/>
        <w:wordWrap w:val="0"/>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p>
    <w:p w14:paraId="3A6F2101">
      <w:pPr>
        <w:keepNext w:val="0"/>
        <w:keepLines w:val="0"/>
        <w:pageBreakBefore w:val="0"/>
        <w:widowControl w:val="0"/>
        <w:numPr>
          <w:ilvl w:val="0"/>
          <w:numId w:val="0"/>
        </w:numPr>
        <w:kinsoku/>
        <w:wordWrap w:val="0"/>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lang w:val="en-US" w:eastAsia="zh-CN"/>
        </w:rPr>
      </w:pPr>
    </w:p>
    <w:p w14:paraId="0F6FDC24">
      <w:pPr>
        <w:keepNext w:val="0"/>
        <w:keepLines w:val="0"/>
        <w:pageBreakBefore w:val="0"/>
        <w:widowControl w:val="0"/>
        <w:numPr>
          <w:ilvl w:val="0"/>
          <w:numId w:val="0"/>
        </w:numPr>
        <w:kinsoku/>
        <w:wordWrap w:val="0"/>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p>
    <w:p w14:paraId="30D05EA2">
      <w:pPr>
        <w:keepNext w:val="0"/>
        <w:keepLines w:val="0"/>
        <w:pageBreakBefore w:val="0"/>
        <w:widowControl w:val="0"/>
        <w:numPr>
          <w:ilvl w:val="0"/>
          <w:numId w:val="0"/>
        </w:numPr>
        <w:kinsoku/>
        <w:wordWrap w:val="0"/>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p>
    <w:p w14:paraId="427E6391">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p>
    <w:p w14:paraId="279C5D04">
      <w:pPr>
        <w:pStyle w:val="2"/>
        <w:rPr>
          <w:rFonts w:hint="eastAsia" w:ascii="宋体" w:hAnsi="宋体" w:eastAsia="宋体" w:cs="宋体"/>
          <w:color w:val="auto"/>
          <w:sz w:val="24"/>
          <w:szCs w:val="24"/>
          <w:highlight w:val="none"/>
          <w:lang w:val="en-US" w:eastAsia="zh-CN"/>
        </w:rPr>
      </w:pPr>
    </w:p>
    <w:p w14:paraId="01BEF78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cs="宋体"/>
          <w:b/>
          <w:bCs/>
          <w:color w:val="auto"/>
          <w:sz w:val="24"/>
          <w:szCs w:val="24"/>
          <w:highlight w:val="none"/>
          <w:lang w:val="en-US" w:eastAsia="zh-CN"/>
        </w:rPr>
      </w:pPr>
    </w:p>
    <w:p w14:paraId="7B737E9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b/>
          <w:bCs/>
          <w:color w:val="auto"/>
          <w:sz w:val="24"/>
          <w:szCs w:val="24"/>
          <w:highlight w:val="none"/>
          <w:lang w:val="en-US" w:eastAsia="zh-CN"/>
        </w:rPr>
      </w:pPr>
    </w:p>
    <w:p w14:paraId="4ADFA89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lang w:val="en-US" w:eastAsia="zh-CN"/>
        </w:rPr>
      </w:pPr>
      <w:r>
        <w:rPr>
          <w:rFonts w:hint="eastAsia" w:cs="宋体"/>
          <w:b/>
          <w:bCs/>
          <w:color w:val="auto"/>
          <w:sz w:val="24"/>
          <w:szCs w:val="24"/>
          <w:highlight w:val="none"/>
          <w:lang w:val="en-US" w:eastAsia="zh-CN"/>
        </w:rPr>
        <w:t>包2</w:t>
      </w:r>
      <w:r>
        <w:rPr>
          <w:rFonts w:hint="eastAsia" w:ascii="宋体" w:hAnsi="宋体" w:eastAsia="宋体" w:cs="宋体"/>
          <w:b/>
          <w:bCs/>
          <w:color w:val="auto"/>
          <w:sz w:val="24"/>
          <w:szCs w:val="24"/>
          <w:highlight w:val="none"/>
          <w:lang w:val="en-US" w:eastAsia="zh-CN"/>
        </w:rPr>
        <w:t>：</w:t>
      </w:r>
    </w:p>
    <w:p w14:paraId="0D014429">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一、商务要求</w:t>
      </w:r>
    </w:p>
    <w:p w14:paraId="57BD265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合同履约期限：自签订合同之日起 20天内完成供货及安装调试</w:t>
      </w:r>
    </w:p>
    <w:p w14:paraId="71A5C3E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cs="宋体"/>
          <w:color w:val="auto"/>
          <w:sz w:val="24"/>
          <w:szCs w:val="24"/>
          <w:highlight w:val="none"/>
          <w:lang w:eastAsia="zh-CN"/>
        </w:rPr>
        <w:t>供货地点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屯留区云</w:t>
      </w:r>
      <w:r>
        <w:rPr>
          <w:rFonts w:hint="eastAsia" w:ascii="宋体" w:hAnsi="宋体" w:eastAsia="宋体" w:cs="宋体"/>
          <w:color w:val="auto"/>
          <w:sz w:val="24"/>
          <w:szCs w:val="24"/>
          <w:highlight w:val="none"/>
          <w:lang w:val="en-US" w:eastAsia="zh-CN"/>
        </w:rPr>
        <w:t>书苑新</w:t>
      </w:r>
      <w:r>
        <w:rPr>
          <w:rFonts w:hint="eastAsia" w:ascii="宋体" w:hAnsi="宋体" w:eastAsia="宋体" w:cs="宋体"/>
          <w:color w:val="auto"/>
          <w:sz w:val="24"/>
          <w:szCs w:val="24"/>
          <w:highlight w:val="none"/>
          <w:lang w:eastAsia="zh-CN"/>
        </w:rPr>
        <w:t>型文化空间</w:t>
      </w:r>
    </w:p>
    <w:p w14:paraId="3AAE6DE9">
      <w:pPr>
        <w:keepNext w:val="0"/>
        <w:keepLines w:val="0"/>
        <w:pageBreakBefore w:val="0"/>
        <w:widowControl w:val="0"/>
        <w:numPr>
          <w:ilvl w:val="0"/>
          <w:numId w:val="0"/>
        </w:numPr>
        <w:kinsoku/>
        <w:wordWrap w:val="0"/>
        <w:overflowPunct/>
        <w:topLinePunct w:val="0"/>
        <w:autoSpaceDE/>
        <w:autoSpaceDN/>
        <w:bidi w:val="0"/>
        <w:adjustRightInd/>
        <w:snapToGrid/>
        <w:spacing w:line="46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3、质量</w:t>
      </w:r>
      <w:r>
        <w:rPr>
          <w:rFonts w:hint="eastAsia" w:cs="宋体"/>
          <w:color w:val="auto"/>
          <w:sz w:val="24"/>
          <w:szCs w:val="24"/>
          <w:highlight w:val="none"/>
          <w:lang w:val="en-US" w:eastAsia="zh-CN"/>
        </w:rPr>
        <w:t>标准</w:t>
      </w:r>
      <w:r>
        <w:rPr>
          <w:rFonts w:hint="eastAsia" w:ascii="宋体" w:hAnsi="宋体" w:eastAsia="宋体" w:cs="宋体"/>
          <w:color w:val="auto"/>
          <w:sz w:val="24"/>
          <w:szCs w:val="24"/>
          <w:highlight w:val="none"/>
          <w:lang w:val="en-US" w:eastAsia="zh-CN"/>
        </w:rPr>
        <w:t>：合格且符合采购人要求</w:t>
      </w:r>
    </w:p>
    <w:p w14:paraId="575DAA42">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4、付款方式：验收合格后15天内一次性支付</w:t>
      </w:r>
    </w:p>
    <w:p w14:paraId="30D86E0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5、质保期：5年免费质保</w:t>
      </w:r>
    </w:p>
    <w:p w14:paraId="2AFB4D77">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6、验收方式：甲方组织自行验收</w:t>
      </w:r>
    </w:p>
    <w:p w14:paraId="38F3ACB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7、履约保证金：无</w:t>
      </w:r>
    </w:p>
    <w:p w14:paraId="7A9B266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二、服务要求</w:t>
      </w:r>
    </w:p>
    <w:p w14:paraId="35D83826">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w:t>
      </w:r>
      <w:r>
        <w:rPr>
          <w:rFonts w:hint="eastAsia" w:cs="宋体"/>
          <w:color w:val="auto"/>
          <w:sz w:val="24"/>
          <w:szCs w:val="24"/>
          <w:highlight w:val="none"/>
          <w:lang w:val="en-US" w:eastAsia="zh-CN"/>
        </w:rPr>
        <w:t>、投标人</w:t>
      </w:r>
      <w:r>
        <w:rPr>
          <w:rFonts w:hint="default" w:ascii="宋体" w:hAnsi="宋体" w:eastAsia="宋体" w:cs="宋体"/>
          <w:color w:val="auto"/>
          <w:sz w:val="24"/>
          <w:szCs w:val="24"/>
          <w:highlight w:val="none"/>
          <w:lang w:val="en-US" w:eastAsia="zh-CN"/>
        </w:rPr>
        <w:t>须提供全新、未使用、</w:t>
      </w:r>
      <w:r>
        <w:rPr>
          <w:rFonts w:hint="eastAsia" w:cs="宋体"/>
          <w:color w:val="auto"/>
          <w:sz w:val="24"/>
          <w:szCs w:val="24"/>
          <w:highlight w:val="none"/>
          <w:lang w:val="en-US" w:eastAsia="zh-CN"/>
        </w:rPr>
        <w:t>符合</w:t>
      </w:r>
      <w:r>
        <w:rPr>
          <w:rFonts w:hint="default" w:ascii="宋体" w:hAnsi="宋体" w:eastAsia="宋体" w:cs="宋体"/>
          <w:color w:val="auto"/>
          <w:sz w:val="24"/>
          <w:szCs w:val="24"/>
          <w:highlight w:val="none"/>
          <w:lang w:val="en-US" w:eastAsia="zh-CN"/>
        </w:rPr>
        <w:t>招标文件要求的原厂正品货物，所有货物配件、资料齐全，满足货物正常安装、使用需求。</w:t>
      </w:r>
    </w:p>
    <w:p w14:paraId="1AAC08E3">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w:t>
      </w:r>
      <w:r>
        <w:rPr>
          <w:rFonts w:hint="default" w:ascii="宋体" w:hAnsi="宋体" w:eastAsia="宋体" w:cs="宋体"/>
          <w:color w:val="auto"/>
          <w:sz w:val="24"/>
          <w:szCs w:val="24"/>
          <w:highlight w:val="none"/>
          <w:lang w:val="en-US" w:eastAsia="zh-CN"/>
        </w:rPr>
        <w:t>投标人负责货物的运输、装卸、搬运至指定位置，运输、装卸、保险等所有费用</w:t>
      </w:r>
      <w:r>
        <w:rPr>
          <w:rFonts w:hint="eastAsia" w:cs="宋体"/>
          <w:color w:val="auto"/>
          <w:sz w:val="24"/>
          <w:szCs w:val="24"/>
          <w:highlight w:val="none"/>
          <w:lang w:val="en-US" w:eastAsia="zh-CN"/>
        </w:rPr>
        <w:t>投标人承担</w:t>
      </w:r>
      <w:r>
        <w:rPr>
          <w:rFonts w:hint="default" w:ascii="宋体" w:hAnsi="宋体" w:eastAsia="宋体" w:cs="宋体"/>
          <w:color w:val="auto"/>
          <w:sz w:val="24"/>
          <w:szCs w:val="24"/>
          <w:highlight w:val="none"/>
          <w:lang w:val="en-US" w:eastAsia="zh-CN"/>
        </w:rPr>
        <w:t>。投标人须承诺严格遵守交货期限，逾期交货承担相应违约责任。具体交货时间以</w:t>
      </w:r>
      <w:r>
        <w:rPr>
          <w:rFonts w:hint="eastAsia" w:ascii="宋体" w:hAnsi="宋体" w:eastAsia="宋体" w:cs="宋体"/>
          <w:color w:val="auto"/>
          <w:sz w:val="24"/>
          <w:szCs w:val="24"/>
          <w:highlight w:val="none"/>
          <w:lang w:val="en-US" w:eastAsia="zh-CN"/>
        </w:rPr>
        <w:t>采购人</w:t>
      </w:r>
      <w:r>
        <w:rPr>
          <w:rFonts w:hint="default" w:ascii="宋体" w:hAnsi="宋体" w:eastAsia="宋体" w:cs="宋体"/>
          <w:color w:val="auto"/>
          <w:sz w:val="24"/>
          <w:szCs w:val="24"/>
          <w:highlight w:val="none"/>
          <w:lang w:val="en-US" w:eastAsia="zh-CN"/>
        </w:rPr>
        <w:t>通知为准</w:t>
      </w:r>
      <w:r>
        <w:rPr>
          <w:rFonts w:hint="eastAsia" w:ascii="宋体" w:hAnsi="宋体" w:eastAsia="宋体" w:cs="宋体"/>
          <w:color w:val="auto"/>
          <w:sz w:val="24"/>
          <w:szCs w:val="24"/>
          <w:highlight w:val="none"/>
          <w:lang w:val="en-US" w:eastAsia="zh-CN"/>
        </w:rPr>
        <w:t>。</w:t>
      </w:r>
    </w:p>
    <w:p w14:paraId="11EE01FF">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伴随服务：提供完整的货物的合格证、使用说明书、保修卡等文件。</w:t>
      </w:r>
    </w:p>
    <w:p w14:paraId="583A3444">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b/>
          <w:bCs/>
          <w:color w:val="auto"/>
          <w:sz w:val="24"/>
          <w:szCs w:val="24"/>
          <w:highlight w:val="none"/>
          <w:lang w:val="en-US" w:eastAsia="zh-CN"/>
        </w:rPr>
      </w:pPr>
      <w:r>
        <w:rPr>
          <w:rFonts w:hint="eastAsia" w:cs="宋体"/>
          <w:b/>
          <w:bCs/>
          <w:color w:val="auto"/>
          <w:sz w:val="24"/>
          <w:szCs w:val="24"/>
          <w:highlight w:val="none"/>
          <w:lang w:val="en-US" w:eastAsia="zh-CN"/>
        </w:rPr>
        <w:t>三、</w:t>
      </w:r>
      <w:r>
        <w:rPr>
          <w:rFonts w:hint="default" w:ascii="宋体" w:hAnsi="宋体" w:eastAsia="宋体" w:cs="宋体"/>
          <w:b/>
          <w:bCs/>
          <w:color w:val="auto"/>
          <w:sz w:val="24"/>
          <w:szCs w:val="24"/>
          <w:highlight w:val="none"/>
          <w:lang w:val="en-US" w:eastAsia="zh-CN"/>
        </w:rPr>
        <w:t>验收与质保要求</w:t>
      </w:r>
    </w:p>
    <w:p w14:paraId="4B05EDBB">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w:t>
      </w:r>
      <w:r>
        <w:rPr>
          <w:rFonts w:hint="default" w:ascii="宋体" w:hAnsi="宋体" w:eastAsia="宋体" w:cs="宋体"/>
          <w:color w:val="auto"/>
          <w:sz w:val="24"/>
          <w:szCs w:val="24"/>
          <w:highlight w:val="none"/>
          <w:lang w:val="en-US" w:eastAsia="zh-CN"/>
        </w:rPr>
        <w:t>货物到货后，</w:t>
      </w:r>
      <w:r>
        <w:rPr>
          <w:rFonts w:hint="eastAsia" w:cs="宋体"/>
          <w:color w:val="auto"/>
          <w:sz w:val="24"/>
          <w:szCs w:val="24"/>
          <w:highlight w:val="none"/>
          <w:lang w:val="en-US" w:eastAsia="zh-CN"/>
        </w:rPr>
        <w:t>采购人</w:t>
      </w:r>
      <w:r>
        <w:rPr>
          <w:rFonts w:hint="default" w:ascii="宋体" w:hAnsi="宋体" w:eastAsia="宋体" w:cs="宋体"/>
          <w:color w:val="auto"/>
          <w:sz w:val="24"/>
          <w:szCs w:val="24"/>
          <w:highlight w:val="none"/>
          <w:lang w:val="en-US" w:eastAsia="zh-CN"/>
        </w:rPr>
        <w:t>按国家相关标准、招标文件要求及投标文件承诺进行到货验收，核对货物品牌、型号、规格、数量、外观及技术参数，不合格货物投标人须无条件更换，产生费用自行承担。</w:t>
      </w:r>
    </w:p>
    <w:p w14:paraId="486B2C63">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w:t>
      </w:r>
      <w:r>
        <w:rPr>
          <w:rFonts w:hint="default" w:ascii="宋体" w:hAnsi="宋体" w:eastAsia="宋体" w:cs="宋体"/>
          <w:color w:val="auto"/>
          <w:sz w:val="24"/>
          <w:szCs w:val="24"/>
          <w:highlight w:val="none"/>
          <w:lang w:val="en-US" w:eastAsia="zh-CN"/>
        </w:rPr>
        <w:t>货物安装调试完成后，进行最终验收，确保货物各项性能指标达到招标文件及合同约定标准，验收合格后双方签署验收报告；验收不合格，投标人须在规定期限内整改、更换，直至验收合格，承担全部费用及</w:t>
      </w:r>
      <w:r>
        <w:rPr>
          <w:rFonts w:hint="eastAsia" w:cs="宋体"/>
          <w:color w:val="auto"/>
          <w:sz w:val="24"/>
          <w:szCs w:val="24"/>
          <w:highlight w:val="none"/>
          <w:lang w:val="en-US" w:eastAsia="zh-CN"/>
        </w:rPr>
        <w:t>采购人</w:t>
      </w:r>
      <w:r>
        <w:rPr>
          <w:rFonts w:hint="default" w:ascii="宋体" w:hAnsi="宋体" w:eastAsia="宋体" w:cs="宋体"/>
          <w:color w:val="auto"/>
          <w:sz w:val="24"/>
          <w:szCs w:val="24"/>
          <w:highlight w:val="none"/>
          <w:lang w:val="en-US" w:eastAsia="zh-CN"/>
        </w:rPr>
        <w:t>损失。</w:t>
      </w:r>
    </w:p>
    <w:p w14:paraId="3282F1B1">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color w:val="auto"/>
          <w:sz w:val="24"/>
          <w:szCs w:val="24"/>
          <w:highlight w:val="none"/>
          <w:lang w:val="en-US" w:eastAsia="zh-CN"/>
        </w:rPr>
        <w:sectPr>
          <w:headerReference r:id="rId13" w:type="default"/>
          <w:footerReference r:id="rId14" w:type="default"/>
          <w:pgSz w:w="11905" w:h="16838"/>
          <w:pgMar w:top="1587" w:right="1417" w:bottom="1417" w:left="1417" w:header="850" w:footer="992" w:gutter="85"/>
          <w:cols w:space="0" w:num="1"/>
          <w:docGrid w:type="lines" w:linePitch="330" w:charSpace="0"/>
        </w:sectPr>
      </w:pPr>
      <w:r>
        <w:rPr>
          <w:rFonts w:hint="eastAsia" w:ascii="宋体" w:hAnsi="宋体" w:eastAsia="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质保期内出现质量问题，投标人须在接到通知后</w:t>
      </w:r>
      <w:r>
        <w:rPr>
          <w:rFonts w:hint="eastAsia" w:ascii="宋体" w:hAnsi="宋体" w:eastAsia="宋体" w:cs="宋体"/>
          <w:color w:val="auto"/>
          <w:sz w:val="24"/>
          <w:szCs w:val="24"/>
          <w:highlight w:val="none"/>
          <w:lang w:val="en-US" w:eastAsia="zh-CN"/>
        </w:rPr>
        <w:t>4</w:t>
      </w:r>
      <w:r>
        <w:rPr>
          <w:rFonts w:hint="default" w:ascii="宋体" w:hAnsi="宋体" w:eastAsia="宋体" w:cs="宋体"/>
          <w:color w:val="auto"/>
          <w:sz w:val="24"/>
          <w:szCs w:val="24"/>
          <w:highlight w:val="none"/>
          <w:lang w:val="en-US" w:eastAsia="zh-CN"/>
        </w:rPr>
        <w:t>小时内响应，</w:t>
      </w:r>
      <w:r>
        <w:rPr>
          <w:rFonts w:hint="eastAsia" w:ascii="宋体" w:hAnsi="宋体" w:eastAsia="宋体" w:cs="宋体"/>
          <w:color w:val="auto"/>
          <w:sz w:val="24"/>
          <w:szCs w:val="24"/>
          <w:highlight w:val="none"/>
          <w:lang w:val="en-US" w:eastAsia="zh-CN"/>
        </w:rPr>
        <w:t>24</w:t>
      </w:r>
      <w:r>
        <w:rPr>
          <w:rFonts w:hint="default" w:ascii="宋体" w:hAnsi="宋体" w:eastAsia="宋体" w:cs="宋体"/>
          <w:color w:val="auto"/>
          <w:sz w:val="24"/>
          <w:szCs w:val="24"/>
          <w:highlight w:val="none"/>
          <w:lang w:val="en-US" w:eastAsia="zh-CN"/>
        </w:rPr>
        <w:t>小时内派员到场，免费提供维修、更换零配件服务，确保货物正常使用。</w:t>
      </w:r>
    </w:p>
    <w:p w14:paraId="4181D27C">
      <w:pPr>
        <w:pStyle w:val="88"/>
        <w:rPr>
          <w:rFonts w:hint="default"/>
          <w:b/>
          <w:bCs/>
          <w:color w:val="auto"/>
          <w:highlight w:val="none"/>
          <w:lang w:val="en-US" w:eastAsia="zh-CN"/>
        </w:rPr>
      </w:pPr>
      <w:r>
        <w:rPr>
          <w:rFonts w:hint="eastAsia"/>
          <w:b/>
          <w:bCs/>
          <w:color w:val="auto"/>
          <w:highlight w:val="none"/>
          <w:lang w:val="en-US" w:eastAsia="zh-CN"/>
        </w:rPr>
        <w:t>四、采购清单：</w:t>
      </w:r>
    </w:p>
    <w:tbl>
      <w:tblPr>
        <w:tblStyle w:val="41"/>
        <w:tblW w:w="14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461"/>
        <w:gridCol w:w="9351"/>
        <w:gridCol w:w="510"/>
        <w:gridCol w:w="563"/>
        <w:gridCol w:w="1125"/>
        <w:gridCol w:w="569"/>
      </w:tblGrid>
      <w:tr w14:paraId="6A306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blHeader/>
          <w:jc w:val="center"/>
        </w:trPr>
        <w:tc>
          <w:tcPr>
            <w:tcW w:w="14035" w:type="dxa"/>
            <w:gridSpan w:val="7"/>
            <w:vAlign w:val="center"/>
          </w:tcPr>
          <w:p w14:paraId="702CB143">
            <w:pPr>
              <w:snapToGrid w:val="0"/>
              <w:ind w:left="0" w:leftChars="0" w:right="0" w:rightChars="0" w:firstLine="0" w:firstLineChars="0"/>
              <w:jc w:val="center"/>
              <w:rPr>
                <w:rFonts w:hint="default" w:eastAsiaTheme="minorEastAsia"/>
                <w:color w:val="auto"/>
                <w:highlight w:val="none"/>
                <w:vertAlign w:val="baseline"/>
                <w:lang w:val="en-US" w:eastAsia="zh-CN"/>
              </w:rPr>
            </w:pPr>
            <w:r>
              <w:rPr>
                <w:rFonts w:hint="eastAsia"/>
                <w:b/>
                <w:bCs/>
                <w:color w:val="auto"/>
                <w:sz w:val="36"/>
                <w:szCs w:val="44"/>
                <w:highlight w:val="none"/>
                <w:vertAlign w:val="baseline"/>
                <w:lang w:val="en-US" w:eastAsia="zh-CN"/>
              </w:rPr>
              <w:t>设备参数表</w:t>
            </w:r>
          </w:p>
        </w:tc>
      </w:tr>
      <w:tr w14:paraId="5C81A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Align w:val="center"/>
          </w:tcPr>
          <w:p w14:paraId="123A75CD">
            <w:pPr>
              <w:snapToGrid w:val="0"/>
              <w:ind w:left="0" w:leftChars="0" w:right="0" w:rightChars="0" w:firstLine="0" w:firstLineChars="0"/>
              <w:jc w:val="center"/>
              <w:rPr>
                <w:rFonts w:hint="eastAsia" w:eastAsiaTheme="minorEastAsia"/>
                <w:b/>
                <w:bCs/>
                <w:color w:val="auto"/>
                <w:sz w:val="22"/>
                <w:szCs w:val="28"/>
                <w:highlight w:val="none"/>
                <w:vertAlign w:val="baseline"/>
                <w:lang w:val="en-US" w:eastAsia="zh-CN"/>
              </w:rPr>
            </w:pPr>
            <w:r>
              <w:rPr>
                <w:rFonts w:hint="eastAsia"/>
                <w:b/>
                <w:bCs/>
                <w:color w:val="auto"/>
                <w:sz w:val="22"/>
                <w:szCs w:val="28"/>
                <w:highlight w:val="none"/>
                <w:vertAlign w:val="baseline"/>
                <w:lang w:val="en-US" w:eastAsia="zh-CN"/>
              </w:rPr>
              <w:t>序号</w:t>
            </w:r>
          </w:p>
        </w:tc>
        <w:tc>
          <w:tcPr>
            <w:tcW w:w="1461" w:type="dxa"/>
            <w:vAlign w:val="center"/>
          </w:tcPr>
          <w:p w14:paraId="41DB5517">
            <w:pPr>
              <w:snapToGrid w:val="0"/>
              <w:ind w:left="0" w:leftChars="0" w:right="0" w:rightChars="0" w:firstLine="0" w:firstLineChars="0"/>
              <w:jc w:val="center"/>
              <w:rPr>
                <w:rFonts w:hint="default" w:eastAsiaTheme="minorEastAsia"/>
                <w:b/>
                <w:bCs/>
                <w:color w:val="auto"/>
                <w:sz w:val="22"/>
                <w:szCs w:val="28"/>
                <w:highlight w:val="none"/>
                <w:vertAlign w:val="baseline"/>
                <w:lang w:val="en-US" w:eastAsia="zh-CN"/>
              </w:rPr>
            </w:pPr>
            <w:r>
              <w:rPr>
                <w:rFonts w:hint="eastAsia"/>
                <w:b/>
                <w:bCs/>
                <w:color w:val="auto"/>
                <w:sz w:val="22"/>
                <w:szCs w:val="28"/>
                <w:highlight w:val="none"/>
                <w:vertAlign w:val="baseline"/>
                <w:lang w:val="en-US" w:eastAsia="zh-CN"/>
              </w:rPr>
              <w:t>货物名称</w:t>
            </w:r>
          </w:p>
        </w:tc>
        <w:tc>
          <w:tcPr>
            <w:tcW w:w="9351" w:type="dxa"/>
            <w:vAlign w:val="center"/>
          </w:tcPr>
          <w:p w14:paraId="308CA308">
            <w:pPr>
              <w:snapToGrid w:val="0"/>
              <w:ind w:left="0" w:leftChars="0" w:right="0" w:rightChars="0" w:firstLine="0" w:firstLineChars="0"/>
              <w:jc w:val="center"/>
              <w:rPr>
                <w:rFonts w:hint="default" w:eastAsiaTheme="minorEastAsia"/>
                <w:b/>
                <w:bCs/>
                <w:color w:val="auto"/>
                <w:sz w:val="22"/>
                <w:szCs w:val="28"/>
                <w:highlight w:val="none"/>
                <w:vertAlign w:val="baseline"/>
                <w:lang w:val="en-US" w:eastAsia="zh-CN"/>
              </w:rPr>
            </w:pPr>
            <w:r>
              <w:rPr>
                <w:rFonts w:hint="eastAsia"/>
                <w:b/>
                <w:bCs/>
                <w:color w:val="auto"/>
                <w:sz w:val="22"/>
                <w:szCs w:val="28"/>
                <w:highlight w:val="none"/>
                <w:vertAlign w:val="baseline"/>
                <w:lang w:val="en-US" w:eastAsia="zh-CN"/>
              </w:rPr>
              <w:t>技术参数</w:t>
            </w:r>
          </w:p>
        </w:tc>
        <w:tc>
          <w:tcPr>
            <w:tcW w:w="510" w:type="dxa"/>
            <w:vAlign w:val="center"/>
          </w:tcPr>
          <w:p w14:paraId="592C1709">
            <w:pPr>
              <w:snapToGrid w:val="0"/>
              <w:ind w:left="0" w:leftChars="0" w:right="0" w:rightChars="0" w:firstLine="0" w:firstLineChars="0"/>
              <w:jc w:val="center"/>
              <w:rPr>
                <w:rFonts w:hint="eastAsia" w:eastAsiaTheme="minorEastAsia"/>
                <w:b/>
                <w:bCs/>
                <w:color w:val="auto"/>
                <w:sz w:val="22"/>
                <w:szCs w:val="28"/>
                <w:highlight w:val="none"/>
                <w:vertAlign w:val="baseline"/>
                <w:lang w:val="en-US" w:eastAsia="zh-CN"/>
              </w:rPr>
            </w:pPr>
            <w:r>
              <w:rPr>
                <w:rFonts w:hint="eastAsia"/>
                <w:b/>
                <w:bCs/>
                <w:color w:val="auto"/>
                <w:sz w:val="22"/>
                <w:szCs w:val="28"/>
                <w:highlight w:val="none"/>
                <w:vertAlign w:val="baseline"/>
                <w:lang w:val="en-US" w:eastAsia="zh-CN"/>
              </w:rPr>
              <w:t>单位</w:t>
            </w:r>
          </w:p>
        </w:tc>
        <w:tc>
          <w:tcPr>
            <w:tcW w:w="563" w:type="dxa"/>
            <w:vAlign w:val="center"/>
          </w:tcPr>
          <w:p w14:paraId="7E22A8AB">
            <w:pPr>
              <w:snapToGrid w:val="0"/>
              <w:ind w:left="0" w:leftChars="0" w:right="0" w:rightChars="0" w:firstLine="0" w:firstLineChars="0"/>
              <w:jc w:val="center"/>
              <w:rPr>
                <w:rFonts w:hint="eastAsia"/>
                <w:b/>
                <w:bCs/>
                <w:color w:val="auto"/>
                <w:sz w:val="22"/>
                <w:szCs w:val="28"/>
                <w:highlight w:val="none"/>
                <w:vertAlign w:val="baseline"/>
                <w:lang w:val="en-US" w:eastAsia="zh-CN"/>
              </w:rPr>
            </w:pPr>
            <w:r>
              <w:rPr>
                <w:rFonts w:hint="eastAsia"/>
                <w:b/>
                <w:bCs/>
                <w:color w:val="auto"/>
                <w:sz w:val="22"/>
                <w:szCs w:val="28"/>
                <w:highlight w:val="none"/>
                <w:vertAlign w:val="baseline"/>
                <w:lang w:val="en-US" w:eastAsia="zh-CN"/>
              </w:rPr>
              <w:t>数</w:t>
            </w:r>
          </w:p>
          <w:p w14:paraId="375BE906">
            <w:pPr>
              <w:snapToGrid w:val="0"/>
              <w:ind w:left="0" w:leftChars="0" w:right="0" w:rightChars="0" w:firstLine="0" w:firstLineChars="0"/>
              <w:jc w:val="center"/>
              <w:rPr>
                <w:rFonts w:hint="eastAsia" w:eastAsiaTheme="minorEastAsia"/>
                <w:b/>
                <w:bCs/>
                <w:color w:val="auto"/>
                <w:sz w:val="22"/>
                <w:szCs w:val="28"/>
                <w:highlight w:val="none"/>
                <w:vertAlign w:val="baseline"/>
                <w:lang w:val="en-US" w:eastAsia="zh-CN"/>
              </w:rPr>
            </w:pPr>
            <w:r>
              <w:rPr>
                <w:rFonts w:hint="eastAsia"/>
                <w:b/>
                <w:bCs/>
                <w:color w:val="auto"/>
                <w:sz w:val="22"/>
                <w:szCs w:val="28"/>
                <w:highlight w:val="none"/>
                <w:vertAlign w:val="baseline"/>
                <w:lang w:val="en-US" w:eastAsia="zh-CN"/>
              </w:rPr>
              <w:t>量</w:t>
            </w:r>
          </w:p>
        </w:tc>
        <w:tc>
          <w:tcPr>
            <w:tcW w:w="1125" w:type="dxa"/>
            <w:vAlign w:val="center"/>
          </w:tcPr>
          <w:p w14:paraId="1768A607">
            <w:pPr>
              <w:snapToGrid w:val="0"/>
              <w:ind w:left="0" w:leftChars="0" w:right="0" w:rightChars="0" w:firstLine="0" w:firstLineChars="0"/>
              <w:jc w:val="center"/>
              <w:rPr>
                <w:rFonts w:hint="default" w:eastAsiaTheme="minorEastAsia"/>
                <w:b/>
                <w:bCs/>
                <w:color w:val="auto"/>
                <w:sz w:val="22"/>
                <w:szCs w:val="28"/>
                <w:highlight w:val="none"/>
                <w:vertAlign w:val="baseline"/>
                <w:lang w:val="en-US" w:eastAsia="zh-CN"/>
              </w:rPr>
            </w:pPr>
            <w:r>
              <w:rPr>
                <w:rFonts w:hint="eastAsia" w:eastAsiaTheme="minorEastAsia"/>
                <w:b/>
                <w:bCs/>
                <w:color w:val="auto"/>
                <w:sz w:val="22"/>
                <w:szCs w:val="28"/>
                <w:highlight w:val="none"/>
                <w:vertAlign w:val="baseline"/>
                <w:lang w:val="en-US" w:eastAsia="zh-CN"/>
              </w:rPr>
              <w:t>单价最高限价（元）</w:t>
            </w:r>
          </w:p>
        </w:tc>
        <w:tc>
          <w:tcPr>
            <w:tcW w:w="569" w:type="dxa"/>
            <w:vAlign w:val="center"/>
          </w:tcPr>
          <w:p w14:paraId="33636B51">
            <w:pPr>
              <w:snapToGrid w:val="0"/>
              <w:ind w:left="0" w:leftChars="0" w:right="0" w:rightChars="0" w:firstLine="0" w:firstLineChars="0"/>
              <w:jc w:val="center"/>
              <w:rPr>
                <w:rFonts w:hint="eastAsia"/>
                <w:b/>
                <w:bCs/>
                <w:color w:val="auto"/>
                <w:sz w:val="22"/>
                <w:szCs w:val="28"/>
                <w:highlight w:val="none"/>
                <w:vertAlign w:val="baseline"/>
                <w:lang w:val="en-US" w:eastAsia="zh-CN"/>
              </w:rPr>
            </w:pPr>
            <w:r>
              <w:rPr>
                <w:rFonts w:hint="eastAsia"/>
                <w:b/>
                <w:bCs/>
                <w:color w:val="auto"/>
                <w:sz w:val="22"/>
                <w:szCs w:val="28"/>
                <w:highlight w:val="none"/>
                <w:vertAlign w:val="baseline"/>
                <w:lang w:val="en-US" w:eastAsia="zh-CN"/>
              </w:rPr>
              <w:t>备注</w:t>
            </w:r>
          </w:p>
        </w:tc>
      </w:tr>
      <w:tr w14:paraId="531DE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6" w:type="dxa"/>
            <w:vAlign w:val="center"/>
          </w:tcPr>
          <w:p w14:paraId="3D3CDA46">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72DEF066">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p w14:paraId="12CBA93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vertAlign w:val="baseline"/>
                <w:lang w:val="en-US" w:eastAsia="zh-CN"/>
              </w:rPr>
            </w:pPr>
          </w:p>
        </w:tc>
        <w:tc>
          <w:tcPr>
            <w:tcW w:w="1461" w:type="dxa"/>
            <w:vAlign w:val="center"/>
          </w:tcPr>
          <w:p w14:paraId="61DF76BE">
            <w:pPr>
              <w:snapToGrid w:val="0"/>
              <w:ind w:left="0" w:leftChars="0" w:right="0" w:rightChars="0" w:firstLine="0" w:firstLineChars="0"/>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i w:val="0"/>
                <w:color w:val="auto"/>
                <w:kern w:val="0"/>
                <w:sz w:val="21"/>
                <w:szCs w:val="21"/>
                <w:highlight w:val="none"/>
                <w:u w:val="none"/>
                <w:lang w:val="en-US" w:eastAsia="zh-CN" w:bidi="ar"/>
              </w:rPr>
              <w:t>※</w:t>
            </w:r>
            <w:r>
              <w:rPr>
                <w:rFonts w:hint="eastAsia" w:ascii="宋体" w:hAnsi="宋体" w:eastAsia="宋体" w:cs="宋体"/>
                <w:color w:val="auto"/>
                <w:kern w:val="0"/>
                <w:sz w:val="24"/>
                <w:szCs w:val="24"/>
                <w:highlight w:val="none"/>
                <w:lang w:val="en-US" w:eastAsia="zh-CN"/>
              </w:rPr>
              <w:t>智慧文化互动视觉效果设备</w:t>
            </w:r>
          </w:p>
        </w:tc>
        <w:tc>
          <w:tcPr>
            <w:tcW w:w="9351" w:type="dxa"/>
            <w:vAlign w:val="center"/>
          </w:tcPr>
          <w:p w14:paraId="5B3EC0D3">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1.55寸直播电视屏+双立柱支架</w:t>
            </w:r>
          </w:p>
          <w:p w14:paraId="6679165D">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★屏幕尺寸55寸，塑胶超轻外观，4K高清显示，支持竖屏安装； </w:t>
            </w:r>
          </w:p>
          <w:p w14:paraId="7B631AED">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用于主播观看自身状态，看背景图文，看弹幕和提词器；</w:t>
            </w:r>
          </w:p>
          <w:p w14:paraId="1C7B67D4">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★刷新率≥144Hz；</w:t>
            </w:r>
          </w:p>
          <w:p w14:paraId="08CEB6B6">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音效：需支持杜比全景声；</w:t>
            </w:r>
          </w:p>
          <w:p w14:paraId="34F7E087">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可视角度：</w:t>
            </w:r>
            <w:r>
              <w:rPr>
                <w:rFonts w:hint="eastAsia" w:ascii="微软雅黑" w:hAnsi="微软雅黑" w:eastAsia="微软雅黑" w:cs="微软雅黑"/>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175°(H)/175°(V)；</w:t>
            </w:r>
          </w:p>
          <w:p w14:paraId="764D1A10">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需支持NFC一键投屏；</w:t>
            </w:r>
          </w:p>
          <w:p w14:paraId="370D2B1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2.直播摄像头专用4K高清美颜摄影头（2个）</w:t>
            </w:r>
          </w:p>
          <w:p w14:paraId="72D0F00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面向直播、会议、网课与内容创作的4K</w:t>
            </w:r>
            <w:r>
              <w:rPr>
                <w:rFonts w:hint="eastAsia" w:ascii="宋体" w:hAnsi="宋体" w:eastAsia="宋体" w:cs="宋体"/>
                <w:color w:val="auto"/>
                <w:kern w:val="0"/>
                <w:sz w:val="24"/>
                <w:szCs w:val="24"/>
                <w:highlight w:val="none"/>
                <w:lang w:val="en-US" w:eastAsia="zh-CN"/>
              </w:rPr>
              <w:t xml:space="preserve"> </w:t>
            </w:r>
            <w:r>
              <w:rPr>
                <w:rFonts w:hint="default" w:ascii="宋体" w:hAnsi="宋体" w:eastAsia="宋体" w:cs="宋体"/>
                <w:color w:val="auto"/>
                <w:kern w:val="0"/>
                <w:sz w:val="24"/>
                <w:szCs w:val="24"/>
                <w:highlight w:val="none"/>
                <w:lang w:val="en-US" w:eastAsia="zh-CN"/>
              </w:rPr>
              <w:t>AI智能云台摄像头，支持AI自动跟踪、多模态智能交互与低延迟高清传输</w:t>
            </w:r>
            <w:r>
              <w:rPr>
                <w:rFonts w:hint="eastAsia" w:ascii="宋体" w:hAnsi="宋体" w:eastAsia="宋体" w:cs="宋体"/>
                <w:color w:val="auto"/>
                <w:kern w:val="0"/>
                <w:sz w:val="24"/>
                <w:szCs w:val="24"/>
                <w:highlight w:val="none"/>
                <w:lang w:val="en-US" w:eastAsia="zh-CN"/>
              </w:rPr>
              <w:t>；</w:t>
            </w:r>
          </w:p>
          <w:p w14:paraId="3592AFF3">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★需</w:t>
            </w:r>
            <w:r>
              <w:rPr>
                <w:rFonts w:hint="default" w:ascii="宋体" w:hAnsi="宋体" w:eastAsia="宋体" w:cs="宋体"/>
                <w:color w:val="auto"/>
                <w:kern w:val="0"/>
                <w:sz w:val="24"/>
                <w:szCs w:val="24"/>
                <w:highlight w:val="none"/>
                <w:lang w:val="en-US" w:eastAsia="zh-CN"/>
              </w:rPr>
              <w:t>支持AI 跟踪：人体</w:t>
            </w:r>
            <w:r>
              <w:rPr>
                <w:rFonts w:hint="eastAsia" w:ascii="宋体" w:hAnsi="宋体" w:eastAsia="宋体" w:cs="宋体"/>
                <w:color w:val="auto"/>
                <w:kern w:val="0"/>
                <w:sz w:val="24"/>
                <w:szCs w:val="24"/>
                <w:highlight w:val="none"/>
                <w:lang w:val="en-US" w:eastAsia="zh-CN"/>
              </w:rPr>
              <w:t>/</w:t>
            </w:r>
            <w:r>
              <w:rPr>
                <w:rFonts w:hint="default" w:ascii="宋体" w:hAnsi="宋体" w:eastAsia="宋体" w:cs="宋体"/>
                <w:color w:val="auto"/>
                <w:kern w:val="0"/>
                <w:sz w:val="24"/>
                <w:szCs w:val="24"/>
                <w:highlight w:val="none"/>
                <w:lang w:val="en-US" w:eastAsia="zh-CN"/>
              </w:rPr>
              <w:t>人脸自动跟踪、自动构图</w:t>
            </w:r>
            <w:r>
              <w:rPr>
                <w:rFonts w:hint="eastAsia" w:ascii="宋体" w:hAnsi="宋体" w:eastAsia="宋体" w:cs="宋体"/>
                <w:color w:val="auto"/>
                <w:kern w:val="0"/>
                <w:sz w:val="24"/>
                <w:szCs w:val="24"/>
                <w:highlight w:val="none"/>
                <w:lang w:val="en-US" w:eastAsia="zh-CN"/>
              </w:rPr>
              <w:t>；</w:t>
            </w:r>
          </w:p>
          <w:p w14:paraId="0403C715">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★需</w:t>
            </w:r>
            <w:r>
              <w:rPr>
                <w:rFonts w:hint="default" w:ascii="宋体" w:hAnsi="宋体" w:eastAsia="宋体" w:cs="宋体"/>
                <w:color w:val="auto"/>
                <w:kern w:val="0"/>
                <w:sz w:val="24"/>
                <w:szCs w:val="24"/>
                <w:highlight w:val="none"/>
                <w:lang w:val="en-US" w:eastAsia="zh-CN"/>
              </w:rPr>
              <w:t>支持手势控制（放大 / 缩小 / 开始 / 停止）语音控制</w:t>
            </w:r>
            <w:r>
              <w:rPr>
                <w:rFonts w:hint="eastAsia" w:ascii="宋体" w:hAnsi="宋体" w:eastAsia="宋体" w:cs="宋体"/>
                <w:color w:val="auto"/>
                <w:kern w:val="0"/>
                <w:sz w:val="24"/>
                <w:szCs w:val="24"/>
                <w:highlight w:val="none"/>
                <w:lang w:val="en-US" w:eastAsia="zh-CN"/>
              </w:rPr>
              <w:t>；</w:t>
            </w:r>
          </w:p>
          <w:p w14:paraId="41D3CE75">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需</w:t>
            </w:r>
            <w:r>
              <w:rPr>
                <w:rFonts w:hint="default" w:ascii="宋体" w:hAnsi="宋体" w:eastAsia="宋体" w:cs="宋体"/>
                <w:color w:val="auto"/>
                <w:kern w:val="0"/>
                <w:sz w:val="24"/>
                <w:szCs w:val="24"/>
                <w:highlight w:val="none"/>
                <w:lang w:val="en-US" w:eastAsia="zh-CN"/>
              </w:rPr>
              <w:t>支持全像素自动对焦，支持 1–4 倍数码变焦</w:t>
            </w:r>
            <w:r>
              <w:rPr>
                <w:rFonts w:hint="eastAsia" w:ascii="宋体" w:hAnsi="宋体" w:eastAsia="宋体" w:cs="宋体"/>
                <w:color w:val="auto"/>
                <w:kern w:val="0"/>
                <w:sz w:val="24"/>
                <w:szCs w:val="24"/>
                <w:highlight w:val="none"/>
                <w:lang w:val="en-US" w:eastAsia="zh-CN"/>
              </w:rPr>
              <w:t>；</w:t>
            </w:r>
          </w:p>
          <w:p w14:paraId="21169AA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3.摄像头支架</w:t>
            </w:r>
          </w:p>
          <w:p w14:paraId="7DB6FB2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材质铝合金+ABS；</w:t>
            </w:r>
          </w:p>
          <w:p w14:paraId="5CF8E6D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节数3；</w:t>
            </w:r>
          </w:p>
          <w:p w14:paraId="6CC03B1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锁紧方式扳扣式；</w:t>
            </w:r>
          </w:p>
          <w:p w14:paraId="1114FF6D">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管径类型方型管；</w:t>
            </w:r>
          </w:p>
          <w:p w14:paraId="64A0DB1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最大高度1700mm；</w:t>
            </w:r>
          </w:p>
          <w:p w14:paraId="333A89E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最低高度620mm；</w:t>
            </w:r>
          </w:p>
          <w:p w14:paraId="6367644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承重不小于5kg</w:t>
            </w:r>
            <w:r>
              <w:rPr>
                <w:rFonts w:hint="eastAsia" w:ascii="宋体" w:hAnsi="宋体" w:eastAsia="宋体" w:cs="宋体"/>
                <w:color w:val="auto"/>
                <w:kern w:val="0"/>
                <w:sz w:val="24"/>
                <w:szCs w:val="24"/>
                <w:highlight w:val="none"/>
                <w:lang w:val="en-US" w:eastAsia="zh-CN"/>
              </w:rPr>
              <w:t>；</w:t>
            </w:r>
            <w:r>
              <w:rPr>
                <w:rFonts w:hint="default" w:ascii="宋体" w:hAnsi="宋体" w:eastAsia="宋体" w:cs="宋体"/>
                <w:color w:val="auto"/>
                <w:kern w:val="0"/>
                <w:sz w:val="24"/>
                <w:szCs w:val="24"/>
                <w:highlight w:val="none"/>
                <w:lang w:val="en-US" w:eastAsia="zh-CN"/>
              </w:rPr>
              <w:t>云台类型三维云台</w:t>
            </w:r>
          </w:p>
          <w:p w14:paraId="2928FE7D">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4.双色温90深抛灯</w:t>
            </w:r>
          </w:p>
          <w:p w14:paraId="2DBB5ED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功率：</w:t>
            </w:r>
            <w:r>
              <w:rPr>
                <w:rFonts w:hint="eastAsia" w:ascii="微软雅黑" w:hAnsi="微软雅黑" w:eastAsia="微软雅黑" w:cs="微软雅黑"/>
                <w:color w:val="auto"/>
                <w:kern w:val="0"/>
                <w:sz w:val="24"/>
                <w:szCs w:val="24"/>
                <w:highlight w:val="none"/>
                <w:lang w:val="en-US" w:eastAsia="zh-CN"/>
              </w:rPr>
              <w:t>≥</w:t>
            </w:r>
            <w:r>
              <w:rPr>
                <w:rFonts w:hint="default" w:ascii="宋体" w:hAnsi="宋体" w:eastAsia="宋体" w:cs="宋体"/>
                <w:color w:val="auto"/>
                <w:kern w:val="0"/>
                <w:sz w:val="24"/>
                <w:szCs w:val="24"/>
                <w:highlight w:val="none"/>
                <w:lang w:val="en-US" w:eastAsia="zh-CN"/>
              </w:rPr>
              <w:t>300W</w:t>
            </w:r>
          </w:p>
          <w:p w14:paraId="6573F48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w:t>
            </w:r>
            <w:r>
              <w:rPr>
                <w:rFonts w:hint="default" w:ascii="宋体" w:hAnsi="宋体" w:eastAsia="宋体" w:cs="宋体"/>
                <w:color w:val="auto"/>
                <w:kern w:val="0"/>
                <w:sz w:val="24"/>
                <w:szCs w:val="24"/>
                <w:highlight w:val="none"/>
                <w:lang w:val="en-US" w:eastAsia="zh-CN"/>
              </w:rPr>
              <w:t>光源要求：COB 集成灯珠</w:t>
            </w:r>
            <w:r>
              <w:rPr>
                <w:rFonts w:hint="eastAsia" w:ascii="宋体" w:hAnsi="宋体" w:eastAsia="宋体" w:cs="宋体"/>
                <w:color w:val="auto"/>
                <w:kern w:val="0"/>
                <w:sz w:val="24"/>
                <w:szCs w:val="24"/>
                <w:highlight w:val="none"/>
                <w:lang w:val="en-US" w:eastAsia="zh-CN"/>
              </w:rPr>
              <w:t>；</w:t>
            </w:r>
          </w:p>
          <w:p w14:paraId="785980F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色温：2700K (暖黄) ~ 6500K (冷白)，无级可调</w:t>
            </w:r>
            <w:r>
              <w:rPr>
                <w:rFonts w:hint="eastAsia" w:ascii="宋体" w:hAnsi="宋体" w:eastAsia="宋体" w:cs="宋体"/>
                <w:color w:val="auto"/>
                <w:kern w:val="0"/>
                <w:sz w:val="24"/>
                <w:szCs w:val="24"/>
                <w:highlight w:val="none"/>
                <w:lang w:val="en-US" w:eastAsia="zh-CN"/>
              </w:rPr>
              <w:t>；</w:t>
            </w:r>
          </w:p>
          <w:p w14:paraId="3F2B3B8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显色指数：CRI ≥ 97 / TLCI ≥ 95</w:t>
            </w:r>
            <w:r>
              <w:rPr>
                <w:rFonts w:hint="eastAsia" w:ascii="宋体" w:hAnsi="宋体" w:eastAsia="宋体" w:cs="宋体"/>
                <w:color w:val="auto"/>
                <w:kern w:val="0"/>
                <w:sz w:val="24"/>
                <w:szCs w:val="24"/>
                <w:highlight w:val="none"/>
                <w:lang w:val="en-US" w:eastAsia="zh-CN"/>
              </w:rPr>
              <w:t>；</w:t>
            </w:r>
          </w:p>
          <w:p w14:paraId="15A581E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支持 CCT 常亮、频闪、渐变等光效</w:t>
            </w:r>
            <w:r>
              <w:rPr>
                <w:rFonts w:hint="eastAsia" w:ascii="宋体" w:hAnsi="宋体" w:eastAsia="宋体" w:cs="宋体"/>
                <w:color w:val="auto"/>
                <w:kern w:val="0"/>
                <w:sz w:val="24"/>
                <w:szCs w:val="24"/>
                <w:highlight w:val="none"/>
                <w:lang w:val="en-US" w:eastAsia="zh-CN"/>
              </w:rPr>
              <w:t>；</w:t>
            </w:r>
          </w:p>
          <w:p w14:paraId="2FDCB72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支持DMX 512 控台接口</w:t>
            </w:r>
            <w:r>
              <w:rPr>
                <w:rFonts w:hint="eastAsia" w:ascii="宋体" w:hAnsi="宋体" w:eastAsia="宋体" w:cs="宋体"/>
                <w:color w:val="auto"/>
                <w:kern w:val="0"/>
                <w:sz w:val="24"/>
                <w:szCs w:val="24"/>
                <w:highlight w:val="none"/>
                <w:lang w:val="en-US" w:eastAsia="zh-CN"/>
              </w:rPr>
              <w:t>。</w:t>
            </w:r>
          </w:p>
          <w:p w14:paraId="7E86A03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5.双色温65球形灯</w:t>
            </w:r>
          </w:p>
          <w:p w14:paraId="263C7C7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功率：</w:t>
            </w:r>
            <w:r>
              <w:rPr>
                <w:rFonts w:hint="eastAsia" w:ascii="微软雅黑" w:hAnsi="微软雅黑" w:eastAsia="微软雅黑" w:cs="微软雅黑"/>
                <w:color w:val="auto"/>
                <w:kern w:val="0"/>
                <w:sz w:val="24"/>
                <w:szCs w:val="24"/>
                <w:highlight w:val="none"/>
                <w:lang w:val="en-US" w:eastAsia="zh-CN"/>
              </w:rPr>
              <w:t>≥</w:t>
            </w:r>
            <w:r>
              <w:rPr>
                <w:rFonts w:hint="default" w:ascii="宋体" w:hAnsi="宋体" w:eastAsia="宋体" w:cs="宋体"/>
                <w:color w:val="auto"/>
                <w:kern w:val="0"/>
                <w:sz w:val="24"/>
                <w:szCs w:val="24"/>
                <w:highlight w:val="none"/>
                <w:lang w:val="en-US" w:eastAsia="zh-CN"/>
              </w:rPr>
              <w:t>300W</w:t>
            </w:r>
            <w:r>
              <w:rPr>
                <w:rFonts w:hint="eastAsia" w:ascii="宋体" w:hAnsi="宋体" w:eastAsia="宋体" w:cs="宋体"/>
                <w:color w:val="auto"/>
                <w:kern w:val="0"/>
                <w:sz w:val="24"/>
                <w:szCs w:val="24"/>
                <w:highlight w:val="none"/>
                <w:lang w:val="en-US" w:eastAsia="zh-CN"/>
              </w:rPr>
              <w:t>；</w:t>
            </w:r>
          </w:p>
          <w:p w14:paraId="0F884F2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w:t>
            </w:r>
            <w:r>
              <w:rPr>
                <w:rFonts w:hint="default" w:ascii="宋体" w:hAnsi="宋体" w:eastAsia="宋体" w:cs="宋体"/>
                <w:color w:val="auto"/>
                <w:kern w:val="0"/>
                <w:sz w:val="24"/>
                <w:szCs w:val="24"/>
                <w:highlight w:val="none"/>
                <w:lang w:val="en-US" w:eastAsia="zh-CN"/>
              </w:rPr>
              <w:t>光源：COB 集成灯珠</w:t>
            </w:r>
            <w:r>
              <w:rPr>
                <w:rFonts w:hint="eastAsia" w:ascii="宋体" w:hAnsi="宋体" w:eastAsia="宋体" w:cs="宋体"/>
                <w:color w:val="auto"/>
                <w:kern w:val="0"/>
                <w:sz w:val="24"/>
                <w:szCs w:val="24"/>
                <w:highlight w:val="none"/>
                <w:lang w:val="en-US" w:eastAsia="zh-CN"/>
              </w:rPr>
              <w:t>；</w:t>
            </w:r>
          </w:p>
          <w:p w14:paraId="263589F2">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色温：2700K (暖黄) ~ 6500K (冷白)，无级可调</w:t>
            </w:r>
            <w:r>
              <w:rPr>
                <w:rFonts w:hint="eastAsia" w:ascii="宋体" w:hAnsi="宋体" w:eastAsia="宋体" w:cs="宋体"/>
                <w:color w:val="auto"/>
                <w:kern w:val="0"/>
                <w:sz w:val="24"/>
                <w:szCs w:val="24"/>
                <w:highlight w:val="none"/>
                <w:lang w:val="en-US" w:eastAsia="zh-CN"/>
              </w:rPr>
              <w:t>；</w:t>
            </w:r>
          </w:p>
          <w:p w14:paraId="2C08C52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显色指数：CRI ≥ 97 / TLCI ≥ 95</w:t>
            </w:r>
            <w:r>
              <w:rPr>
                <w:rFonts w:hint="eastAsia" w:ascii="宋体" w:hAnsi="宋体" w:eastAsia="宋体" w:cs="宋体"/>
                <w:color w:val="auto"/>
                <w:kern w:val="0"/>
                <w:sz w:val="24"/>
                <w:szCs w:val="24"/>
                <w:highlight w:val="none"/>
                <w:lang w:val="en-US" w:eastAsia="zh-CN"/>
              </w:rPr>
              <w:t>；</w:t>
            </w:r>
          </w:p>
          <w:p w14:paraId="7D1B41B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支持 CCT 常亮、频闪、渐变等光效</w:t>
            </w:r>
            <w:r>
              <w:rPr>
                <w:rFonts w:hint="eastAsia" w:ascii="宋体" w:hAnsi="宋体" w:eastAsia="宋体" w:cs="宋体"/>
                <w:color w:val="auto"/>
                <w:kern w:val="0"/>
                <w:sz w:val="24"/>
                <w:szCs w:val="24"/>
                <w:highlight w:val="none"/>
                <w:lang w:val="en-US" w:eastAsia="zh-CN"/>
              </w:rPr>
              <w:t>；</w:t>
            </w:r>
          </w:p>
          <w:p w14:paraId="148C0C0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支持DMX 512 控台接口</w:t>
            </w:r>
            <w:r>
              <w:rPr>
                <w:rFonts w:hint="eastAsia" w:ascii="宋体" w:hAnsi="宋体" w:eastAsia="宋体" w:cs="宋体"/>
                <w:color w:val="auto"/>
                <w:kern w:val="0"/>
                <w:sz w:val="24"/>
                <w:szCs w:val="24"/>
                <w:highlight w:val="none"/>
                <w:lang w:val="en-US" w:eastAsia="zh-CN"/>
              </w:rPr>
              <w:t>；</w:t>
            </w:r>
          </w:p>
          <w:p w14:paraId="0FAEC34D">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6.多色温卷布顶灯</w:t>
            </w:r>
          </w:p>
          <w:p w14:paraId="49A73ED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功率：≥150W</w:t>
            </w:r>
            <w:r>
              <w:rPr>
                <w:rFonts w:hint="eastAsia" w:ascii="宋体" w:hAnsi="宋体" w:eastAsia="宋体" w:cs="宋体"/>
                <w:color w:val="auto"/>
                <w:kern w:val="0"/>
                <w:sz w:val="24"/>
                <w:szCs w:val="24"/>
                <w:highlight w:val="none"/>
                <w:lang w:val="en-US" w:eastAsia="zh-CN"/>
              </w:rPr>
              <w:t>；</w:t>
            </w:r>
          </w:p>
          <w:p w14:paraId="1128CBE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色温：2700K (暖) ~ 6500K (冷)，双色温无级可调</w:t>
            </w:r>
            <w:r>
              <w:rPr>
                <w:rFonts w:hint="eastAsia" w:ascii="宋体" w:hAnsi="宋体" w:eastAsia="宋体" w:cs="宋体"/>
                <w:color w:val="auto"/>
                <w:kern w:val="0"/>
                <w:sz w:val="24"/>
                <w:szCs w:val="24"/>
                <w:highlight w:val="none"/>
                <w:lang w:val="en-US" w:eastAsia="zh-CN"/>
              </w:rPr>
              <w:t>；</w:t>
            </w:r>
          </w:p>
          <w:p w14:paraId="29F6F79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显色指数范围：CRI ≥ 95 / TLCI ≥ 95</w:t>
            </w:r>
            <w:r>
              <w:rPr>
                <w:rFonts w:hint="eastAsia" w:ascii="宋体" w:hAnsi="宋体" w:eastAsia="宋体" w:cs="宋体"/>
                <w:color w:val="auto"/>
                <w:kern w:val="0"/>
                <w:sz w:val="24"/>
                <w:szCs w:val="24"/>
                <w:highlight w:val="none"/>
                <w:lang w:val="en-US" w:eastAsia="zh-CN"/>
              </w:rPr>
              <w:t>；</w:t>
            </w:r>
          </w:p>
          <w:p w14:paraId="1795628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7.</w:t>
            </w:r>
            <w:r>
              <w:rPr>
                <w:rFonts w:hint="default" w:ascii="宋体" w:hAnsi="宋体" w:eastAsia="宋体" w:cs="宋体"/>
                <w:b/>
                <w:bCs/>
                <w:color w:val="auto"/>
                <w:kern w:val="0"/>
                <w:sz w:val="24"/>
                <w:szCs w:val="24"/>
                <w:highlight w:val="none"/>
                <w:lang w:val="en-US" w:eastAsia="zh-CN"/>
              </w:rPr>
              <w:t>声卡</w:t>
            </w:r>
          </w:p>
          <w:p w14:paraId="31A1D1C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频响范围：20Hz-20KHz</w:t>
            </w:r>
            <w:r>
              <w:rPr>
                <w:rFonts w:hint="eastAsia" w:ascii="宋体" w:hAnsi="宋体" w:eastAsia="宋体" w:cs="宋体"/>
                <w:color w:val="auto"/>
                <w:kern w:val="0"/>
                <w:sz w:val="24"/>
                <w:szCs w:val="24"/>
                <w:highlight w:val="none"/>
                <w:lang w:val="en-US" w:eastAsia="zh-CN"/>
              </w:rPr>
              <w:t>；</w:t>
            </w:r>
          </w:p>
          <w:p w14:paraId="621EF9E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降噪等级可调范围≥16</w:t>
            </w:r>
            <w:r>
              <w:rPr>
                <w:rFonts w:hint="eastAsia" w:ascii="宋体" w:hAnsi="宋体" w:eastAsia="宋体" w:cs="宋体"/>
                <w:color w:val="auto"/>
                <w:kern w:val="0"/>
                <w:sz w:val="24"/>
                <w:szCs w:val="24"/>
                <w:highlight w:val="none"/>
                <w:lang w:val="en-US" w:eastAsia="zh-CN"/>
              </w:rPr>
              <w:t>；</w:t>
            </w:r>
          </w:p>
          <w:p w14:paraId="3668F91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信噪比：≥96dB</w:t>
            </w:r>
            <w:r>
              <w:rPr>
                <w:rFonts w:hint="eastAsia" w:ascii="宋体" w:hAnsi="宋体" w:eastAsia="宋体" w:cs="宋体"/>
                <w:color w:val="auto"/>
                <w:kern w:val="0"/>
                <w:sz w:val="24"/>
                <w:szCs w:val="24"/>
                <w:highlight w:val="none"/>
                <w:lang w:val="en-US" w:eastAsia="zh-CN"/>
              </w:rPr>
              <w:t>；</w:t>
            </w:r>
          </w:p>
          <w:p w14:paraId="1416B96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兼容安卓及IOS、电脑</w:t>
            </w:r>
            <w:r>
              <w:rPr>
                <w:rFonts w:hint="eastAsia" w:ascii="宋体" w:hAnsi="宋体" w:eastAsia="宋体" w:cs="宋体"/>
                <w:color w:val="auto"/>
                <w:kern w:val="0"/>
                <w:sz w:val="24"/>
                <w:szCs w:val="24"/>
                <w:highlight w:val="none"/>
                <w:lang w:val="en-US" w:eastAsia="zh-CN"/>
              </w:rPr>
              <w:t>；</w:t>
            </w:r>
          </w:p>
          <w:p w14:paraId="66FF0D9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支持变声、混响大小可调</w:t>
            </w:r>
            <w:r>
              <w:rPr>
                <w:rFonts w:hint="eastAsia" w:ascii="宋体" w:hAnsi="宋体" w:eastAsia="宋体" w:cs="宋体"/>
                <w:color w:val="auto"/>
                <w:kern w:val="0"/>
                <w:sz w:val="24"/>
                <w:szCs w:val="24"/>
                <w:highlight w:val="none"/>
                <w:lang w:val="en-US" w:eastAsia="zh-CN"/>
              </w:rPr>
              <w:t>；</w:t>
            </w:r>
          </w:p>
          <w:p w14:paraId="2FD0766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预置特效≥7个</w:t>
            </w:r>
            <w:r>
              <w:rPr>
                <w:rFonts w:hint="eastAsia" w:ascii="宋体" w:hAnsi="宋体" w:eastAsia="宋体" w:cs="宋体"/>
                <w:color w:val="auto"/>
                <w:kern w:val="0"/>
                <w:sz w:val="24"/>
                <w:szCs w:val="24"/>
                <w:highlight w:val="none"/>
                <w:lang w:val="en-US" w:eastAsia="zh-CN"/>
              </w:rPr>
              <w:t>；</w:t>
            </w:r>
          </w:p>
          <w:p w14:paraId="5D85E89D">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8.电容麦</w:t>
            </w:r>
          </w:p>
          <w:p w14:paraId="55532A8D">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电容麦类型：大振膜；</w:t>
            </w:r>
          </w:p>
          <w:p w14:paraId="4C62E8F2">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频响范围：20Hz - 20kHz；</w:t>
            </w:r>
          </w:p>
          <w:p w14:paraId="272D84F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灵敏度：-36dB±2dB（0dB=1V/Pa，1000Hz）；</w:t>
            </w:r>
          </w:p>
          <w:p w14:paraId="509BC85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信噪比：≥75dB；</w:t>
            </w:r>
          </w:p>
          <w:p w14:paraId="496208F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最大声压：≥130dB（THD≤0.5%）；</w:t>
            </w:r>
          </w:p>
          <w:p w14:paraId="783E95C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9.无线麦克风（一拖二）</w:t>
            </w:r>
          </w:p>
          <w:p w14:paraId="0311CE1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最低配置：2个发射器 + 1个接收器 + 充电盒</w:t>
            </w:r>
            <w:r>
              <w:rPr>
                <w:rFonts w:hint="eastAsia" w:ascii="宋体" w:hAnsi="宋体" w:eastAsia="宋体" w:cs="宋体"/>
                <w:color w:val="auto"/>
                <w:kern w:val="0"/>
                <w:sz w:val="24"/>
                <w:szCs w:val="24"/>
                <w:highlight w:val="none"/>
                <w:lang w:val="en-US" w:eastAsia="zh-CN"/>
              </w:rPr>
              <w:t>；</w:t>
            </w:r>
          </w:p>
          <w:p w14:paraId="6C7026BD">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 xml:space="preserve">传输：双频段，传输距离≥ </w:t>
            </w:r>
            <w:r>
              <w:rPr>
                <w:rFonts w:hint="eastAsia" w:ascii="宋体" w:hAnsi="宋体" w:eastAsia="宋体" w:cs="宋体"/>
                <w:color w:val="auto"/>
                <w:kern w:val="0"/>
                <w:sz w:val="24"/>
                <w:szCs w:val="24"/>
                <w:highlight w:val="none"/>
                <w:lang w:val="en-US" w:eastAsia="zh-CN"/>
              </w:rPr>
              <w:t>200</w:t>
            </w:r>
            <w:r>
              <w:rPr>
                <w:rFonts w:hint="default" w:ascii="宋体" w:hAnsi="宋体" w:eastAsia="宋体" w:cs="宋体"/>
                <w:color w:val="auto"/>
                <w:kern w:val="0"/>
                <w:sz w:val="24"/>
                <w:szCs w:val="24"/>
                <w:highlight w:val="none"/>
                <w:lang w:val="en-US" w:eastAsia="zh-CN"/>
              </w:rPr>
              <w:t>米，支持无损音频</w:t>
            </w:r>
            <w:r>
              <w:rPr>
                <w:rFonts w:hint="eastAsia" w:ascii="宋体" w:hAnsi="宋体" w:eastAsia="宋体" w:cs="宋体"/>
                <w:color w:val="auto"/>
                <w:kern w:val="0"/>
                <w:sz w:val="24"/>
                <w:szCs w:val="24"/>
                <w:highlight w:val="none"/>
                <w:lang w:val="en-US" w:eastAsia="zh-CN"/>
              </w:rPr>
              <w:t>；</w:t>
            </w:r>
          </w:p>
          <w:p w14:paraId="1FE98EB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收音：全指向麦，32-bit 浮点录音，支持降噪、音色调节</w:t>
            </w:r>
            <w:r>
              <w:rPr>
                <w:rFonts w:hint="eastAsia" w:ascii="宋体" w:hAnsi="宋体" w:eastAsia="宋体" w:cs="宋体"/>
                <w:color w:val="auto"/>
                <w:kern w:val="0"/>
                <w:sz w:val="24"/>
                <w:szCs w:val="24"/>
                <w:highlight w:val="none"/>
                <w:lang w:val="en-US" w:eastAsia="zh-CN"/>
              </w:rPr>
              <w:t>；</w:t>
            </w:r>
          </w:p>
          <w:p w14:paraId="1F62B95D">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续航：不小于8小时，充电盒</w:t>
            </w:r>
            <w:r>
              <w:rPr>
                <w:rFonts w:hint="eastAsia" w:ascii="宋体" w:hAnsi="宋体" w:eastAsia="宋体" w:cs="宋体"/>
                <w:color w:val="auto"/>
                <w:kern w:val="0"/>
                <w:sz w:val="24"/>
                <w:szCs w:val="24"/>
                <w:highlight w:val="none"/>
                <w:lang w:val="en-US" w:eastAsia="zh-CN"/>
              </w:rPr>
              <w:t>需支持</w:t>
            </w:r>
            <w:r>
              <w:rPr>
                <w:rFonts w:hint="default" w:ascii="宋体" w:hAnsi="宋体" w:eastAsia="宋体" w:cs="宋体"/>
                <w:color w:val="auto"/>
                <w:kern w:val="0"/>
                <w:sz w:val="24"/>
                <w:szCs w:val="24"/>
                <w:highlight w:val="none"/>
                <w:lang w:val="en-US" w:eastAsia="zh-CN"/>
              </w:rPr>
              <w:t>补能</w:t>
            </w:r>
            <w:r>
              <w:rPr>
                <w:rFonts w:hint="eastAsia" w:ascii="宋体" w:hAnsi="宋体" w:eastAsia="宋体" w:cs="宋体"/>
                <w:color w:val="auto"/>
                <w:kern w:val="0"/>
                <w:sz w:val="24"/>
                <w:szCs w:val="24"/>
                <w:highlight w:val="none"/>
                <w:lang w:val="en-US" w:eastAsia="zh-CN"/>
              </w:rPr>
              <w:t>；</w:t>
            </w:r>
          </w:p>
          <w:p w14:paraId="3ED1D2E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接口：适配手机、相机等主流设备</w:t>
            </w:r>
            <w:r>
              <w:rPr>
                <w:rFonts w:hint="eastAsia" w:ascii="宋体" w:hAnsi="宋体" w:eastAsia="宋体" w:cs="宋体"/>
                <w:color w:val="auto"/>
                <w:kern w:val="0"/>
                <w:sz w:val="24"/>
                <w:szCs w:val="24"/>
                <w:highlight w:val="none"/>
                <w:lang w:val="en-US" w:eastAsia="zh-CN"/>
              </w:rPr>
              <w:t>；</w:t>
            </w:r>
          </w:p>
          <w:p w14:paraId="0AEB7572">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10.提拉式绿幕</w:t>
            </w:r>
          </w:p>
          <w:p w14:paraId="2E24848D">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绿幕实际面积区域宽2.5米*高2.5米,</w:t>
            </w:r>
            <w:r>
              <w:rPr>
                <w:rFonts w:hint="eastAsia" w:ascii="宋体" w:hAnsi="宋体" w:eastAsia="宋体" w:cs="宋体"/>
                <w:color w:val="auto"/>
                <w:kern w:val="0"/>
                <w:sz w:val="24"/>
                <w:szCs w:val="24"/>
                <w:highlight w:val="none"/>
                <w:lang w:val="en-US" w:eastAsia="zh-CN"/>
              </w:rPr>
              <w:t>需</w:t>
            </w:r>
            <w:r>
              <w:rPr>
                <w:rFonts w:hint="default" w:ascii="宋体" w:hAnsi="宋体" w:eastAsia="宋体" w:cs="宋体"/>
                <w:color w:val="auto"/>
                <w:kern w:val="0"/>
                <w:sz w:val="24"/>
                <w:szCs w:val="24"/>
                <w:highlight w:val="none"/>
                <w:lang w:val="en-US" w:eastAsia="zh-CN"/>
              </w:rPr>
              <w:t>满足双人坐播，站播。平整度高，</w:t>
            </w:r>
            <w:r>
              <w:rPr>
                <w:rFonts w:hint="eastAsia" w:ascii="宋体" w:hAnsi="宋体" w:eastAsia="宋体" w:cs="宋体"/>
                <w:color w:val="auto"/>
                <w:kern w:val="0"/>
                <w:sz w:val="24"/>
                <w:szCs w:val="24"/>
                <w:highlight w:val="none"/>
                <w:lang w:val="en-US" w:eastAsia="zh-CN"/>
              </w:rPr>
              <w:t>需支持</w:t>
            </w:r>
            <w:r>
              <w:rPr>
                <w:rFonts w:hint="default" w:ascii="宋体" w:hAnsi="宋体" w:eastAsia="宋体" w:cs="宋体"/>
                <w:color w:val="auto"/>
                <w:kern w:val="0"/>
                <w:sz w:val="24"/>
                <w:szCs w:val="24"/>
                <w:highlight w:val="none"/>
                <w:lang w:val="en-US" w:eastAsia="zh-CN"/>
              </w:rPr>
              <w:t>电动式收缩</w:t>
            </w:r>
            <w:r>
              <w:rPr>
                <w:rFonts w:hint="eastAsia" w:ascii="宋体" w:hAnsi="宋体" w:eastAsia="宋体" w:cs="宋体"/>
                <w:color w:val="auto"/>
                <w:kern w:val="0"/>
                <w:sz w:val="24"/>
                <w:szCs w:val="24"/>
                <w:highlight w:val="none"/>
                <w:lang w:val="en-US" w:eastAsia="zh-CN"/>
              </w:rPr>
              <w:t>，</w:t>
            </w:r>
            <w:r>
              <w:rPr>
                <w:rFonts w:hint="default" w:ascii="宋体" w:hAnsi="宋体" w:eastAsia="宋体" w:cs="宋体"/>
                <w:color w:val="auto"/>
                <w:kern w:val="0"/>
                <w:sz w:val="24"/>
                <w:szCs w:val="24"/>
                <w:highlight w:val="none"/>
                <w:lang w:val="en-US" w:eastAsia="zh-CN"/>
              </w:rPr>
              <w:t>方便切换虚拟背景和实景。无需上墙，收纳移动方便；用于虚拟背景扣绿</w:t>
            </w:r>
            <w:r>
              <w:rPr>
                <w:rFonts w:hint="eastAsia" w:ascii="宋体" w:hAnsi="宋体" w:eastAsia="宋体" w:cs="宋体"/>
                <w:color w:val="auto"/>
                <w:kern w:val="0"/>
                <w:sz w:val="24"/>
                <w:szCs w:val="24"/>
                <w:highlight w:val="none"/>
                <w:lang w:val="en-US" w:eastAsia="zh-CN"/>
              </w:rPr>
              <w:t>；</w:t>
            </w:r>
          </w:p>
          <w:p w14:paraId="6FAF61F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11.导播切换台</w:t>
            </w:r>
          </w:p>
          <w:p w14:paraId="7BFDE4F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需</w:t>
            </w:r>
            <w:r>
              <w:rPr>
                <w:rFonts w:hint="default" w:ascii="宋体" w:hAnsi="宋体" w:eastAsia="宋体" w:cs="宋体"/>
                <w:color w:val="auto"/>
                <w:kern w:val="0"/>
                <w:sz w:val="24"/>
                <w:szCs w:val="24"/>
                <w:highlight w:val="none"/>
                <w:lang w:val="en-US" w:eastAsia="zh-CN"/>
              </w:rPr>
              <w:t>支持4路便携式 4K直播导播切换台，带屏幕一体机</w:t>
            </w:r>
            <w:r>
              <w:rPr>
                <w:rFonts w:hint="eastAsia" w:ascii="宋体" w:hAnsi="宋体" w:eastAsia="宋体" w:cs="宋体"/>
                <w:color w:val="auto"/>
                <w:kern w:val="0"/>
                <w:sz w:val="24"/>
                <w:szCs w:val="24"/>
                <w:highlight w:val="none"/>
                <w:lang w:val="en-US" w:eastAsia="zh-CN"/>
              </w:rPr>
              <w:t>；</w:t>
            </w:r>
          </w:p>
          <w:p w14:paraId="1356743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输入：4×SDI + 4×HDMI</w:t>
            </w:r>
            <w:r>
              <w:rPr>
                <w:rFonts w:hint="eastAsia" w:ascii="宋体" w:hAnsi="宋体" w:eastAsia="宋体" w:cs="宋体"/>
                <w:color w:val="auto"/>
                <w:kern w:val="0"/>
                <w:sz w:val="24"/>
                <w:szCs w:val="24"/>
                <w:highlight w:val="none"/>
                <w:lang w:val="en-US" w:eastAsia="zh-CN"/>
              </w:rPr>
              <w:t>；</w:t>
            </w:r>
          </w:p>
          <w:p w14:paraId="5AB04612">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输出：1×SDI + 1×HDMI</w:t>
            </w:r>
            <w:r>
              <w:rPr>
                <w:rFonts w:hint="eastAsia" w:ascii="宋体" w:hAnsi="宋体" w:eastAsia="宋体" w:cs="宋体"/>
                <w:color w:val="auto"/>
                <w:kern w:val="0"/>
                <w:sz w:val="24"/>
                <w:szCs w:val="24"/>
                <w:highlight w:val="none"/>
                <w:lang w:val="en-US" w:eastAsia="zh-CN"/>
              </w:rPr>
              <w:t>；</w:t>
            </w:r>
          </w:p>
          <w:p w14:paraId="16B3688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最大支持：4K@30fps</w:t>
            </w:r>
            <w:r>
              <w:rPr>
                <w:rFonts w:hint="eastAsia" w:ascii="宋体" w:hAnsi="宋体" w:eastAsia="宋体" w:cs="宋体"/>
                <w:color w:val="auto"/>
                <w:kern w:val="0"/>
                <w:sz w:val="24"/>
                <w:szCs w:val="24"/>
                <w:highlight w:val="none"/>
                <w:lang w:val="en-US" w:eastAsia="zh-CN"/>
              </w:rPr>
              <w:t>；</w:t>
            </w:r>
          </w:p>
          <w:p w14:paraId="746681E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向下兼容：1080p/1080i/720p</w:t>
            </w:r>
            <w:r>
              <w:rPr>
                <w:rFonts w:hint="eastAsia" w:ascii="宋体" w:hAnsi="宋体" w:eastAsia="宋体" w:cs="宋体"/>
                <w:color w:val="auto"/>
                <w:kern w:val="0"/>
                <w:sz w:val="24"/>
                <w:szCs w:val="24"/>
                <w:highlight w:val="none"/>
                <w:lang w:val="en-US" w:eastAsia="zh-CN"/>
              </w:rPr>
              <w:t>；</w:t>
            </w:r>
          </w:p>
          <w:p w14:paraId="6E861D1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须内置音频混音、延时调整、音频跟随功能</w:t>
            </w:r>
            <w:r>
              <w:rPr>
                <w:rFonts w:hint="eastAsia" w:ascii="宋体" w:hAnsi="宋体" w:eastAsia="宋体" w:cs="宋体"/>
                <w:color w:val="auto"/>
                <w:kern w:val="0"/>
                <w:sz w:val="24"/>
                <w:szCs w:val="24"/>
                <w:highlight w:val="none"/>
                <w:lang w:val="en-US" w:eastAsia="zh-CN"/>
              </w:rPr>
              <w:t>。</w:t>
            </w:r>
          </w:p>
        </w:tc>
        <w:tc>
          <w:tcPr>
            <w:tcW w:w="510" w:type="dxa"/>
            <w:vAlign w:val="center"/>
          </w:tcPr>
          <w:p w14:paraId="785BB8C9">
            <w:pPr>
              <w:snapToGrid w:val="0"/>
              <w:ind w:left="0" w:leftChars="0" w:right="0" w:rightChars="0" w:firstLine="0" w:firstLineChars="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563" w:type="dxa"/>
            <w:vAlign w:val="center"/>
          </w:tcPr>
          <w:p w14:paraId="2FD5183B">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1125" w:type="dxa"/>
            <w:vAlign w:val="center"/>
          </w:tcPr>
          <w:p w14:paraId="145A63BF">
            <w:pPr>
              <w:snapToGrid w:val="0"/>
              <w:ind w:left="0" w:leftChars="0" w:right="0" w:rightChars="0" w:firstLine="0" w:firstLineChars="0"/>
              <w:jc w:val="center"/>
              <w:rPr>
                <w:rFonts w:hint="default"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30000</w:t>
            </w:r>
          </w:p>
        </w:tc>
        <w:tc>
          <w:tcPr>
            <w:tcW w:w="569" w:type="dxa"/>
            <w:vAlign w:val="center"/>
          </w:tcPr>
          <w:p w14:paraId="36718CB4">
            <w:pPr>
              <w:snapToGrid w:val="0"/>
              <w:ind w:left="0" w:leftChars="0" w:right="0" w:rightChars="0" w:firstLine="0" w:firstLineChars="0"/>
              <w:jc w:val="center"/>
              <w:rPr>
                <w:rFonts w:hint="eastAsia" w:ascii="宋体" w:hAnsi="宋体" w:eastAsia="宋体" w:cs="宋体"/>
                <w:color w:val="auto"/>
                <w:sz w:val="24"/>
                <w:szCs w:val="24"/>
                <w:highlight w:val="none"/>
                <w:vertAlign w:val="baseline"/>
              </w:rPr>
            </w:pPr>
          </w:p>
        </w:tc>
      </w:tr>
      <w:tr w14:paraId="3C299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Align w:val="center"/>
          </w:tcPr>
          <w:p w14:paraId="66AEFF14">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1461" w:type="dxa"/>
            <w:vAlign w:val="center"/>
          </w:tcPr>
          <w:p w14:paraId="3D052ED4">
            <w:pPr>
              <w:snapToGrid w:val="0"/>
              <w:ind w:left="0" w:leftChars="0" w:right="0" w:rightChars="0" w:firstLine="0" w:firstLineChars="0"/>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lang w:val="en-US" w:eastAsia="zh-CN"/>
              </w:rPr>
              <w:t>AI智慧</w:t>
            </w:r>
            <w:r>
              <w:rPr>
                <w:rFonts w:hint="eastAsia" w:ascii="宋体" w:hAnsi="宋体" w:eastAsia="宋体" w:cs="宋体"/>
                <w:color w:val="auto"/>
                <w:kern w:val="0"/>
                <w:sz w:val="24"/>
                <w:szCs w:val="24"/>
                <w:highlight w:val="none"/>
              </w:rPr>
              <w:t>朗读亭</w:t>
            </w:r>
          </w:p>
        </w:tc>
        <w:tc>
          <w:tcPr>
            <w:tcW w:w="9351" w:type="dxa"/>
            <w:vAlign w:val="center"/>
          </w:tcPr>
          <w:p w14:paraId="3AC697C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一、朗读亭硬件</w:t>
            </w:r>
          </w:p>
          <w:p w14:paraId="1D01FA9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lang w:eastAsia="zh-CN"/>
              </w:rPr>
              <w:t>亭子：</w:t>
            </w:r>
          </w:p>
          <w:p w14:paraId="0BD6FB3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1.</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标准朗读亭框体1个；</w:t>
            </w:r>
          </w:p>
          <w:p w14:paraId="6791440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lang w:eastAsia="zh-CN"/>
              </w:rPr>
              <w:t>尺寸：不小于W1560*D1560*H2660；</w:t>
            </w:r>
          </w:p>
          <w:p w14:paraId="4503CB2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lang w:eastAsia="zh-CN"/>
              </w:rPr>
              <w:t>五金板材不小于1.5 mm钢板、设备玻璃厚度不小于8 mm(钢化）；</w:t>
            </w:r>
          </w:p>
          <w:p w14:paraId="2EDE8D4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zh-CN"/>
              </w:rPr>
              <w:t>主机：</w:t>
            </w:r>
          </w:p>
          <w:p w14:paraId="0689C3F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 xml:space="preserve">★2.1 </w:t>
            </w:r>
            <w:r>
              <w:rPr>
                <w:rFonts w:hint="eastAsia" w:ascii="宋体" w:hAnsi="宋体" w:eastAsia="宋体" w:cs="宋体"/>
                <w:color w:val="auto"/>
                <w:kern w:val="0"/>
                <w:sz w:val="24"/>
                <w:szCs w:val="24"/>
                <w:highlight w:val="none"/>
                <w:lang w:eastAsia="zh-CN"/>
              </w:rPr>
              <w:t>CPU：≥四核处理器；</w:t>
            </w:r>
          </w:p>
          <w:p w14:paraId="36B151C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 xml:space="preserve">★2.2 </w:t>
            </w:r>
            <w:r>
              <w:rPr>
                <w:rFonts w:hint="eastAsia" w:ascii="宋体" w:hAnsi="宋体" w:eastAsia="宋体" w:cs="宋体"/>
                <w:color w:val="auto"/>
                <w:kern w:val="0"/>
                <w:sz w:val="24"/>
                <w:szCs w:val="24"/>
                <w:highlight w:val="none"/>
                <w:lang w:eastAsia="zh-CN"/>
              </w:rPr>
              <w:t>内存：≥4G/DDR3；</w:t>
            </w:r>
          </w:p>
          <w:p w14:paraId="0329086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 xml:space="preserve">★2.3 </w:t>
            </w:r>
            <w:r>
              <w:rPr>
                <w:rFonts w:hint="eastAsia" w:ascii="宋体" w:hAnsi="宋体" w:eastAsia="宋体" w:cs="宋体"/>
                <w:color w:val="auto"/>
                <w:kern w:val="0"/>
                <w:sz w:val="24"/>
                <w:szCs w:val="24"/>
                <w:highlight w:val="none"/>
                <w:lang w:eastAsia="zh-CN"/>
              </w:rPr>
              <w:t>存储：≥32G；</w:t>
            </w:r>
          </w:p>
          <w:p w14:paraId="58172E0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 xml:space="preserve">2.4 </w:t>
            </w:r>
            <w:r>
              <w:rPr>
                <w:rFonts w:hint="eastAsia" w:ascii="宋体" w:hAnsi="宋体" w:eastAsia="宋体" w:cs="宋体"/>
                <w:color w:val="auto"/>
                <w:kern w:val="0"/>
                <w:sz w:val="24"/>
                <w:szCs w:val="24"/>
                <w:highlight w:val="none"/>
                <w:lang w:eastAsia="zh-CN"/>
              </w:rPr>
              <w:t>操作系统：≥android7.0；</w:t>
            </w:r>
          </w:p>
          <w:p w14:paraId="7A05A8D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lang w:eastAsia="zh-CN"/>
              </w:rPr>
              <w:t>显示器：</w:t>
            </w:r>
          </w:p>
          <w:p w14:paraId="4790B12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21.5 寸触摸屏1个、 32 寸字幕屏1台；</w:t>
            </w:r>
          </w:p>
          <w:p w14:paraId="538D463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二、朗读亭终端功能：</w:t>
            </w:r>
          </w:p>
          <w:p w14:paraId="047EE63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需</w:t>
            </w:r>
            <w:r>
              <w:rPr>
                <w:rFonts w:hint="eastAsia" w:ascii="宋体" w:hAnsi="宋体" w:eastAsia="宋体" w:cs="宋体"/>
                <w:color w:val="auto"/>
                <w:kern w:val="0"/>
                <w:sz w:val="24"/>
                <w:szCs w:val="24"/>
                <w:highlight w:val="none"/>
              </w:rPr>
              <w:t>支持</w:t>
            </w:r>
            <w:r>
              <w:rPr>
                <w:rFonts w:hint="eastAsia" w:ascii="宋体" w:hAnsi="宋体" w:eastAsia="宋体" w:cs="宋体"/>
                <w:color w:val="auto"/>
                <w:kern w:val="0"/>
                <w:sz w:val="24"/>
                <w:szCs w:val="24"/>
                <w:highlight w:val="none"/>
                <w:lang w:val="en-US" w:eastAsia="zh-CN"/>
              </w:rPr>
              <w:t>的</w:t>
            </w:r>
            <w:r>
              <w:rPr>
                <w:rFonts w:hint="eastAsia" w:ascii="宋体" w:hAnsi="宋体" w:eastAsia="宋体" w:cs="宋体"/>
                <w:color w:val="auto"/>
                <w:kern w:val="0"/>
                <w:sz w:val="24"/>
                <w:szCs w:val="24"/>
                <w:highlight w:val="none"/>
              </w:rPr>
              <w:t xml:space="preserve">登录方式：微信登陆 </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游客</w:t>
            </w:r>
            <w:r>
              <w:rPr>
                <w:rFonts w:hint="eastAsia" w:ascii="宋体" w:hAnsi="宋体" w:eastAsia="宋体" w:cs="宋体"/>
                <w:color w:val="auto"/>
                <w:kern w:val="0"/>
                <w:sz w:val="24"/>
                <w:szCs w:val="24"/>
                <w:highlight w:val="none"/>
              </w:rPr>
              <w:t>登陆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账号密码登录等</w:t>
            </w:r>
            <w:r>
              <w:rPr>
                <w:rFonts w:hint="eastAsia" w:ascii="宋体" w:hAnsi="宋体" w:eastAsia="宋体" w:cs="宋体"/>
                <w:color w:val="auto"/>
                <w:kern w:val="0"/>
                <w:sz w:val="24"/>
                <w:szCs w:val="24"/>
                <w:highlight w:val="none"/>
                <w:lang w:eastAsia="zh-CN"/>
              </w:rPr>
              <w:t>；</w:t>
            </w:r>
          </w:p>
          <w:p w14:paraId="7404059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 xml:space="preserve"> </w:t>
            </w:r>
            <w:r>
              <w:rPr>
                <w:rFonts w:hint="eastAsia" w:ascii="宋体" w:hAnsi="宋体" w:eastAsia="宋体" w:cs="宋体"/>
                <w:b/>
                <w:bCs/>
                <w:color w:val="auto"/>
                <w:kern w:val="0"/>
                <w:sz w:val="24"/>
                <w:szCs w:val="24"/>
                <w:highlight w:val="none"/>
              </w:rPr>
              <w:t>机构管理后台</w:t>
            </w:r>
          </w:p>
          <w:p w14:paraId="5885D5D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系统</w:t>
            </w:r>
            <w:r>
              <w:rPr>
                <w:rFonts w:hint="eastAsia" w:ascii="宋体" w:hAnsi="宋体" w:eastAsia="宋体" w:cs="宋体"/>
                <w:color w:val="auto"/>
                <w:kern w:val="0"/>
                <w:sz w:val="24"/>
                <w:szCs w:val="24"/>
                <w:highlight w:val="none"/>
                <w:lang w:val="en-US" w:eastAsia="zh-CN"/>
              </w:rPr>
              <w:t>需</w:t>
            </w:r>
            <w:r>
              <w:rPr>
                <w:rFonts w:hint="eastAsia" w:ascii="宋体" w:hAnsi="宋体" w:eastAsia="宋体" w:cs="宋体"/>
                <w:color w:val="auto"/>
                <w:kern w:val="0"/>
                <w:sz w:val="24"/>
                <w:szCs w:val="24"/>
                <w:highlight w:val="none"/>
              </w:rPr>
              <w:t>支持素材管理，含素材分类和素材资源管理；</w:t>
            </w:r>
          </w:p>
          <w:p w14:paraId="3DC6823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可对素材进行热门置顶操作； </w:t>
            </w:r>
          </w:p>
          <w:p w14:paraId="6D16E3F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系统</w:t>
            </w:r>
            <w:r>
              <w:rPr>
                <w:rFonts w:hint="eastAsia" w:ascii="宋体" w:hAnsi="宋体" w:eastAsia="宋体" w:cs="宋体"/>
                <w:color w:val="auto"/>
                <w:kern w:val="0"/>
                <w:sz w:val="24"/>
                <w:szCs w:val="24"/>
                <w:highlight w:val="none"/>
                <w:lang w:val="en-US" w:eastAsia="zh-CN"/>
              </w:rPr>
              <w:t>需</w:t>
            </w:r>
            <w:r>
              <w:rPr>
                <w:rFonts w:hint="eastAsia" w:ascii="宋体" w:hAnsi="宋体" w:eastAsia="宋体" w:cs="宋体"/>
                <w:color w:val="auto"/>
                <w:kern w:val="0"/>
                <w:sz w:val="24"/>
                <w:szCs w:val="24"/>
                <w:highlight w:val="none"/>
              </w:rPr>
              <w:t>支持素材背景音乐管理，含音乐分类和音乐文件管理；</w:t>
            </w:r>
          </w:p>
          <w:p w14:paraId="6C16AB4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系统可新增新的文本资源等不同分类的素材；</w:t>
            </w:r>
          </w:p>
          <w:p w14:paraId="6CC51C4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.5</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用户界面可对素材资源进行阅读浏览、朗读朗诵、分享和传播；</w:t>
            </w:r>
          </w:p>
          <w:p w14:paraId="207DD52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.6</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用户可以在后台自定义资源模块和资源分类，可以从后台自主添加用户需要推广和传播的文本资源、音频资源等素材</w:t>
            </w:r>
            <w:r>
              <w:rPr>
                <w:rFonts w:hint="eastAsia" w:ascii="宋体" w:hAnsi="宋体" w:eastAsia="宋体" w:cs="宋体"/>
                <w:color w:val="auto"/>
                <w:kern w:val="0"/>
                <w:sz w:val="24"/>
                <w:szCs w:val="24"/>
                <w:highlight w:val="none"/>
                <w:lang w:eastAsia="zh-CN"/>
              </w:rPr>
              <w:t>；</w:t>
            </w:r>
          </w:p>
          <w:p w14:paraId="31FB540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 xml:space="preserve"> </w:t>
            </w:r>
            <w:r>
              <w:rPr>
                <w:rFonts w:hint="eastAsia" w:ascii="宋体" w:hAnsi="宋体" w:eastAsia="宋体" w:cs="宋体"/>
                <w:b/>
                <w:bCs/>
                <w:color w:val="auto"/>
                <w:kern w:val="0"/>
                <w:sz w:val="24"/>
                <w:szCs w:val="24"/>
                <w:highlight w:val="none"/>
              </w:rPr>
              <w:t>朗读终端平台管理系统</w:t>
            </w:r>
            <w:r>
              <w:rPr>
                <w:rFonts w:hint="eastAsia" w:ascii="宋体" w:hAnsi="宋体" w:eastAsia="宋体" w:cs="宋体"/>
                <w:color w:val="auto"/>
                <w:kern w:val="0"/>
                <w:sz w:val="24"/>
                <w:szCs w:val="24"/>
                <w:highlight w:val="none"/>
              </w:rPr>
              <w:t>：</w:t>
            </w:r>
          </w:p>
          <w:p w14:paraId="3707EF4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.1可通过后台注册，生成管理员的账号密码，供用户方管理朗读亭</w:t>
            </w:r>
            <w:r>
              <w:rPr>
                <w:rFonts w:hint="eastAsia" w:ascii="宋体" w:hAnsi="宋体" w:eastAsia="宋体" w:cs="宋体"/>
                <w:color w:val="auto"/>
                <w:kern w:val="0"/>
                <w:sz w:val="24"/>
                <w:szCs w:val="24"/>
                <w:highlight w:val="none"/>
                <w:lang w:eastAsia="zh-CN"/>
              </w:rPr>
              <w:t>；</w:t>
            </w:r>
          </w:p>
          <w:p w14:paraId="570F072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数据统计维度包括：</w:t>
            </w:r>
          </w:p>
          <w:p w14:paraId="3204CC2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（1）设备总数、今日在线设备数；</w:t>
            </w:r>
          </w:p>
          <w:p w14:paraId="39129F2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（2）总用户数、日增用户数、周增用户数、月增用户数；</w:t>
            </w:r>
          </w:p>
          <w:p w14:paraId="2C977F9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（3）最近7天用户点击次数、朗读次数、分享次数</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待审核作品数、作品举报数</w:t>
            </w:r>
            <w:r>
              <w:rPr>
                <w:rFonts w:hint="eastAsia" w:ascii="宋体" w:hAnsi="宋体" w:eastAsia="宋体" w:cs="宋体"/>
                <w:color w:val="auto"/>
                <w:kern w:val="0"/>
                <w:sz w:val="24"/>
                <w:szCs w:val="24"/>
                <w:highlight w:val="none"/>
                <w:lang w:val="en-US" w:eastAsia="zh-CN"/>
              </w:rPr>
              <w:t>等</w:t>
            </w:r>
            <w:r>
              <w:rPr>
                <w:rFonts w:hint="eastAsia" w:ascii="宋体" w:hAnsi="宋体" w:eastAsia="宋体" w:cs="宋体"/>
                <w:color w:val="auto"/>
                <w:kern w:val="0"/>
                <w:sz w:val="24"/>
                <w:szCs w:val="24"/>
                <w:highlight w:val="none"/>
              </w:rPr>
              <w:t>；</w:t>
            </w:r>
          </w:p>
          <w:p w14:paraId="56273B5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（4）热门文章 top10 的统计排行，作品分享 top10 的统计排行，作品播放top10 的统计排行，作品点赞 top10 的排行</w:t>
            </w:r>
            <w:r>
              <w:rPr>
                <w:rFonts w:hint="eastAsia" w:ascii="宋体" w:hAnsi="宋体" w:eastAsia="宋体" w:cs="宋体"/>
                <w:color w:val="auto"/>
                <w:kern w:val="0"/>
                <w:sz w:val="24"/>
                <w:szCs w:val="24"/>
                <w:highlight w:val="none"/>
                <w:lang w:eastAsia="zh-CN"/>
              </w:rPr>
              <w:t>；</w:t>
            </w:r>
          </w:p>
          <w:p w14:paraId="212E14C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设备管理：</w:t>
            </w:r>
            <w:r>
              <w:rPr>
                <w:rFonts w:hint="eastAsia" w:ascii="宋体" w:hAnsi="宋体" w:eastAsia="宋体" w:cs="宋体"/>
                <w:color w:val="auto"/>
                <w:kern w:val="0"/>
                <w:sz w:val="24"/>
                <w:szCs w:val="24"/>
                <w:highlight w:val="none"/>
                <w:lang w:val="en-US" w:eastAsia="zh-CN"/>
              </w:rPr>
              <w:t>需</w:t>
            </w:r>
            <w:r>
              <w:rPr>
                <w:rFonts w:hint="eastAsia" w:ascii="宋体" w:hAnsi="宋体" w:eastAsia="宋体" w:cs="宋体"/>
                <w:color w:val="auto"/>
                <w:kern w:val="0"/>
                <w:sz w:val="24"/>
                <w:szCs w:val="24"/>
                <w:highlight w:val="none"/>
              </w:rPr>
              <w:t>包括设备基本信息、在线状态、备注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自动开关机设置</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故障上报、授权时间范围</w:t>
            </w:r>
            <w:r>
              <w:rPr>
                <w:rFonts w:hint="eastAsia" w:ascii="宋体" w:hAnsi="宋体" w:eastAsia="宋体" w:cs="宋体"/>
                <w:color w:val="auto"/>
                <w:kern w:val="0"/>
                <w:sz w:val="24"/>
                <w:szCs w:val="24"/>
                <w:highlight w:val="none"/>
                <w:lang w:val="en-US" w:eastAsia="zh-CN"/>
              </w:rPr>
              <w:t>等</w:t>
            </w:r>
            <w:r>
              <w:rPr>
                <w:rFonts w:hint="eastAsia" w:ascii="宋体" w:hAnsi="宋体" w:eastAsia="宋体" w:cs="宋体"/>
                <w:color w:val="auto"/>
                <w:kern w:val="0"/>
                <w:sz w:val="24"/>
                <w:szCs w:val="24"/>
                <w:highlight w:val="none"/>
                <w:lang w:eastAsia="zh-CN"/>
              </w:rPr>
              <w:t>；</w:t>
            </w:r>
          </w:p>
          <w:p w14:paraId="3E4CF57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三、朗读资源库：</w:t>
            </w:r>
          </w:p>
          <w:p w14:paraId="5D5B5A3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 xml:space="preserve">1. </w:t>
            </w:r>
            <w:r>
              <w:rPr>
                <w:rFonts w:hint="eastAsia" w:ascii="宋体" w:hAnsi="宋体" w:eastAsia="宋体" w:cs="宋体"/>
                <w:b/>
                <w:bCs/>
                <w:color w:val="auto"/>
                <w:kern w:val="0"/>
                <w:sz w:val="24"/>
                <w:szCs w:val="24"/>
                <w:highlight w:val="none"/>
              </w:rPr>
              <w:t>资源模块：</w:t>
            </w:r>
          </w:p>
          <w:p w14:paraId="2A91DED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3.1 </w:t>
            </w:r>
            <w:r>
              <w:rPr>
                <w:rFonts w:hint="eastAsia" w:ascii="宋体" w:hAnsi="宋体" w:eastAsia="宋体" w:cs="宋体"/>
                <w:color w:val="auto"/>
                <w:kern w:val="0"/>
                <w:sz w:val="24"/>
                <w:szCs w:val="24"/>
                <w:highlight w:val="none"/>
              </w:rPr>
              <w:t>内嵌朗读素材不少于</w:t>
            </w:r>
            <w:r>
              <w:rPr>
                <w:rFonts w:hint="eastAsia" w:ascii="宋体" w:hAnsi="宋体" w:eastAsia="宋体" w:cs="宋体"/>
                <w:color w:val="auto"/>
                <w:kern w:val="0"/>
                <w:sz w:val="24"/>
                <w:szCs w:val="24"/>
                <w:highlight w:val="none"/>
                <w:lang w:eastAsia="zh-CN"/>
              </w:rPr>
              <w:t>3</w:t>
            </w:r>
            <w:r>
              <w:rPr>
                <w:rFonts w:hint="eastAsia" w:ascii="宋体" w:hAnsi="宋体" w:eastAsia="宋体" w:cs="宋体"/>
                <w:color w:val="auto"/>
                <w:kern w:val="0"/>
                <w:sz w:val="24"/>
                <w:szCs w:val="24"/>
                <w:highlight w:val="none"/>
              </w:rPr>
              <w:t>0万篇，需包含以下分类：</w:t>
            </w:r>
          </w:p>
          <w:p w14:paraId="30C03BC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诗歌美文：不少于1000篇，含现代诗歌、名家散文等</w:t>
            </w:r>
            <w:r>
              <w:rPr>
                <w:rFonts w:hint="eastAsia" w:ascii="宋体" w:hAnsi="宋体" w:eastAsia="宋体" w:cs="宋体"/>
                <w:color w:val="auto"/>
                <w:kern w:val="0"/>
                <w:sz w:val="24"/>
                <w:szCs w:val="24"/>
                <w:highlight w:val="none"/>
                <w:lang w:eastAsia="zh-CN"/>
              </w:rPr>
              <w:t>；</w:t>
            </w:r>
          </w:p>
          <w:p w14:paraId="046E00A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国学经典：不少于500篇，含唐诗、宋词、四书五经等经典</w:t>
            </w:r>
            <w:r>
              <w:rPr>
                <w:rFonts w:hint="eastAsia" w:ascii="宋体" w:hAnsi="宋体" w:eastAsia="宋体" w:cs="宋体"/>
                <w:color w:val="auto"/>
                <w:kern w:val="0"/>
                <w:sz w:val="24"/>
                <w:szCs w:val="24"/>
                <w:highlight w:val="none"/>
                <w:lang w:eastAsia="zh-CN"/>
              </w:rPr>
              <w:t>；</w:t>
            </w:r>
          </w:p>
          <w:p w14:paraId="69875D1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家国情怀：不少于600篇，包含共和国勋章获得者等</w:t>
            </w:r>
            <w:r>
              <w:rPr>
                <w:rFonts w:hint="eastAsia" w:ascii="宋体" w:hAnsi="宋体" w:eastAsia="宋体" w:cs="宋体"/>
                <w:color w:val="auto"/>
                <w:kern w:val="0"/>
                <w:sz w:val="24"/>
                <w:szCs w:val="24"/>
                <w:highlight w:val="none"/>
                <w:lang w:eastAsia="zh-CN"/>
              </w:rPr>
              <w:t>。</w:t>
            </w:r>
          </w:p>
          <w:p w14:paraId="366BC28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3.2 </w:t>
            </w:r>
            <w:r>
              <w:rPr>
                <w:rFonts w:hint="eastAsia" w:ascii="宋体" w:hAnsi="宋体" w:eastAsia="宋体" w:cs="宋体"/>
                <w:color w:val="auto"/>
                <w:kern w:val="0"/>
                <w:sz w:val="24"/>
                <w:szCs w:val="24"/>
                <w:highlight w:val="none"/>
              </w:rPr>
              <w:t>心理：</w:t>
            </w:r>
          </w:p>
          <w:p w14:paraId="3CB0BB3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提供心理测评题不少于100道、心理课堂、冥想放松、心语心愿。</w:t>
            </w:r>
          </w:p>
          <w:p w14:paraId="245D9A4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★3.3 </w:t>
            </w:r>
            <w:r>
              <w:rPr>
                <w:rFonts w:hint="eastAsia" w:ascii="宋体" w:hAnsi="宋体" w:eastAsia="宋体" w:cs="宋体"/>
                <w:color w:val="auto"/>
                <w:kern w:val="0"/>
                <w:sz w:val="24"/>
                <w:szCs w:val="24"/>
                <w:highlight w:val="none"/>
              </w:rPr>
              <w:t>聆听经典：</w:t>
            </w:r>
          </w:p>
          <w:p w14:paraId="374EF8A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trike w:val="0"/>
                <w:dstrike w:val="0"/>
                <w:color w:val="auto"/>
                <w:kern w:val="0"/>
                <w:sz w:val="24"/>
                <w:szCs w:val="24"/>
                <w:highlight w:val="none"/>
                <w:lang w:eastAsia="zh-CN"/>
              </w:rPr>
            </w:pPr>
            <w:r>
              <w:rPr>
                <w:rFonts w:hint="eastAsia" w:ascii="宋体" w:hAnsi="宋体" w:eastAsia="宋体" w:cs="宋体"/>
                <w:color w:val="auto"/>
                <w:kern w:val="0"/>
                <w:sz w:val="24"/>
                <w:szCs w:val="24"/>
                <w:highlight w:val="none"/>
              </w:rPr>
              <w:t>包含唐诗、中外名著、散文等经典资源的名家朗诵赏析，</w:t>
            </w:r>
            <w:r>
              <w:rPr>
                <w:rFonts w:hint="eastAsia" w:ascii="宋体" w:hAnsi="宋体" w:eastAsia="宋体" w:cs="宋体"/>
                <w:strike w:val="0"/>
                <w:dstrike w:val="0"/>
                <w:color w:val="auto"/>
                <w:kern w:val="0"/>
                <w:sz w:val="24"/>
                <w:szCs w:val="24"/>
                <w:highlight w:val="none"/>
              </w:rPr>
              <w:t>支持聆听预览内容资源</w:t>
            </w:r>
            <w:r>
              <w:rPr>
                <w:rFonts w:hint="eastAsia" w:ascii="宋体" w:hAnsi="宋体" w:eastAsia="宋体" w:cs="宋体"/>
                <w:strike w:val="0"/>
                <w:dstrike w:val="0"/>
                <w:color w:val="auto"/>
                <w:kern w:val="0"/>
                <w:sz w:val="24"/>
                <w:szCs w:val="24"/>
                <w:highlight w:val="none"/>
                <w:lang w:eastAsia="zh-CN"/>
              </w:rPr>
              <w:t>；</w:t>
            </w:r>
          </w:p>
          <w:p w14:paraId="46EF266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3.4 </w:t>
            </w:r>
            <w:r>
              <w:rPr>
                <w:rFonts w:hint="eastAsia" w:ascii="宋体" w:hAnsi="宋体" w:eastAsia="宋体" w:cs="宋体"/>
                <w:color w:val="auto"/>
                <w:kern w:val="0"/>
                <w:sz w:val="24"/>
                <w:szCs w:val="24"/>
                <w:highlight w:val="none"/>
              </w:rPr>
              <w:t>歌曲</w:t>
            </w:r>
          </w:p>
          <w:p w14:paraId="7C1F9A0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云端歌曲不少于70万首</w:t>
            </w:r>
            <w:r>
              <w:rPr>
                <w:rFonts w:hint="eastAsia" w:ascii="宋体" w:hAnsi="宋体" w:eastAsia="宋体" w:cs="宋体"/>
                <w:color w:val="auto"/>
                <w:kern w:val="0"/>
                <w:sz w:val="24"/>
                <w:szCs w:val="24"/>
                <w:highlight w:val="none"/>
                <w:lang w:eastAsia="zh-CN"/>
              </w:rPr>
              <w:t>。</w:t>
            </w:r>
          </w:p>
          <w:p w14:paraId="7F0E802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四、机构专属小程序：</w:t>
            </w:r>
          </w:p>
          <w:p w14:paraId="5751E19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4.1 </w:t>
            </w:r>
            <w:r>
              <w:rPr>
                <w:rFonts w:hint="eastAsia" w:ascii="宋体" w:hAnsi="宋体" w:eastAsia="宋体" w:cs="宋体"/>
                <w:color w:val="auto"/>
                <w:kern w:val="0"/>
                <w:sz w:val="24"/>
                <w:szCs w:val="24"/>
                <w:highlight w:val="none"/>
              </w:rPr>
              <w:t>作品试听，可试听设备朗读作品；</w:t>
            </w:r>
          </w:p>
          <w:p w14:paraId="69F7269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4.2 </w:t>
            </w:r>
            <w:r>
              <w:rPr>
                <w:rFonts w:hint="eastAsia" w:ascii="宋体" w:hAnsi="宋体" w:eastAsia="宋体" w:cs="宋体"/>
                <w:color w:val="auto"/>
                <w:kern w:val="0"/>
                <w:sz w:val="24"/>
                <w:szCs w:val="24"/>
                <w:highlight w:val="none"/>
              </w:rPr>
              <w:t>草稿箱：草稿箱展示未审核作品；</w:t>
            </w:r>
          </w:p>
          <w:p w14:paraId="2CAE897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4.3 </w:t>
            </w:r>
            <w:r>
              <w:rPr>
                <w:rFonts w:hint="eastAsia" w:ascii="宋体" w:hAnsi="宋体" w:eastAsia="宋体" w:cs="宋体"/>
                <w:color w:val="auto"/>
                <w:kern w:val="0"/>
                <w:sz w:val="24"/>
                <w:szCs w:val="24"/>
                <w:highlight w:val="none"/>
              </w:rPr>
              <w:t>背诵作品区：背诵作品区展示背诵相关作品；</w:t>
            </w:r>
          </w:p>
          <w:p w14:paraId="090D8C2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4.4 </w:t>
            </w:r>
            <w:r>
              <w:rPr>
                <w:rFonts w:hint="eastAsia" w:ascii="宋体" w:hAnsi="宋体" w:eastAsia="宋体" w:cs="宋体"/>
                <w:color w:val="auto"/>
                <w:kern w:val="0"/>
                <w:sz w:val="24"/>
                <w:szCs w:val="24"/>
                <w:highlight w:val="none"/>
              </w:rPr>
              <w:t>朗读亭可配套小程序、公众号使用，实现作品的互动；</w:t>
            </w:r>
          </w:p>
          <w:p w14:paraId="7334EA5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4.5 </w:t>
            </w:r>
            <w:r>
              <w:rPr>
                <w:rFonts w:hint="eastAsia" w:ascii="宋体" w:hAnsi="宋体" w:eastAsia="宋体" w:cs="宋体"/>
                <w:color w:val="auto"/>
                <w:kern w:val="0"/>
                <w:sz w:val="24"/>
                <w:szCs w:val="24"/>
                <w:highlight w:val="none"/>
              </w:rPr>
              <w:t>用户关联，朗读亭设备微信登录、小程序可自动关联；</w:t>
            </w:r>
          </w:p>
          <w:p w14:paraId="2EEF005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4.6 </w:t>
            </w:r>
            <w:r>
              <w:rPr>
                <w:rFonts w:hint="eastAsia" w:ascii="宋体" w:hAnsi="宋体" w:eastAsia="宋体" w:cs="宋体"/>
                <w:color w:val="auto"/>
                <w:kern w:val="0"/>
                <w:sz w:val="24"/>
                <w:szCs w:val="24"/>
                <w:highlight w:val="none"/>
              </w:rPr>
              <w:t>作品管理，小程序可管理移动端和设备朗读作品；</w:t>
            </w:r>
          </w:p>
          <w:p w14:paraId="3728FED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4.7 </w:t>
            </w:r>
            <w:r>
              <w:rPr>
                <w:rFonts w:hint="eastAsia" w:ascii="宋体" w:hAnsi="宋体" w:eastAsia="宋体" w:cs="宋体"/>
                <w:color w:val="auto"/>
                <w:kern w:val="0"/>
                <w:sz w:val="24"/>
                <w:szCs w:val="24"/>
                <w:highlight w:val="none"/>
              </w:rPr>
              <w:t>作品分享，朗读作品可通过小程序或扫码模式分享；</w:t>
            </w:r>
          </w:p>
          <w:p w14:paraId="1056E97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4.8 </w:t>
            </w:r>
            <w:r>
              <w:rPr>
                <w:rFonts w:hint="eastAsia" w:ascii="宋体" w:hAnsi="宋体" w:eastAsia="宋体" w:cs="宋体"/>
                <w:color w:val="auto"/>
                <w:kern w:val="0"/>
                <w:sz w:val="24"/>
                <w:szCs w:val="24"/>
                <w:highlight w:val="none"/>
              </w:rPr>
              <w:t>参赛作品投票，参赛作品可投票分享；</w:t>
            </w:r>
          </w:p>
          <w:p w14:paraId="4B121C49">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4.9 </w:t>
            </w:r>
            <w:r>
              <w:rPr>
                <w:rFonts w:hint="eastAsia" w:ascii="宋体" w:hAnsi="宋体" w:eastAsia="宋体" w:cs="宋体"/>
                <w:color w:val="auto"/>
                <w:kern w:val="0"/>
                <w:sz w:val="24"/>
                <w:szCs w:val="24"/>
                <w:highlight w:val="none"/>
              </w:rPr>
              <w:t>背诵文章报告：包含背诵得分、错字数、漏字数</w:t>
            </w:r>
            <w:r>
              <w:rPr>
                <w:rFonts w:hint="eastAsia" w:ascii="宋体" w:hAnsi="宋体" w:eastAsia="宋体" w:cs="宋体"/>
                <w:color w:val="auto"/>
                <w:kern w:val="0"/>
                <w:sz w:val="24"/>
                <w:szCs w:val="24"/>
                <w:highlight w:val="none"/>
                <w:lang w:eastAsia="zh-CN"/>
              </w:rPr>
              <w:t>。</w:t>
            </w:r>
          </w:p>
        </w:tc>
        <w:tc>
          <w:tcPr>
            <w:tcW w:w="510" w:type="dxa"/>
            <w:vAlign w:val="center"/>
          </w:tcPr>
          <w:p w14:paraId="075D1654">
            <w:pPr>
              <w:snapToGrid w:val="0"/>
              <w:ind w:left="0" w:leftChars="0" w:right="0" w:rightChars="0" w:firstLine="0" w:firstLineChars="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563" w:type="dxa"/>
            <w:vAlign w:val="center"/>
          </w:tcPr>
          <w:p w14:paraId="77C1A5D4">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1125" w:type="dxa"/>
            <w:vAlign w:val="center"/>
          </w:tcPr>
          <w:p w14:paraId="7F432901">
            <w:pPr>
              <w:snapToGrid w:val="0"/>
              <w:ind w:left="0" w:leftChars="0" w:right="0" w:rightChars="0" w:firstLine="0" w:firstLineChars="0"/>
              <w:jc w:val="center"/>
              <w:rPr>
                <w:rFonts w:hint="default"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99000</w:t>
            </w:r>
          </w:p>
        </w:tc>
        <w:tc>
          <w:tcPr>
            <w:tcW w:w="569" w:type="dxa"/>
            <w:vAlign w:val="center"/>
          </w:tcPr>
          <w:p w14:paraId="4ED12790">
            <w:pPr>
              <w:snapToGrid w:val="0"/>
              <w:ind w:left="0" w:leftChars="0" w:right="0" w:rightChars="0" w:firstLine="0" w:firstLineChars="0"/>
              <w:jc w:val="center"/>
              <w:rPr>
                <w:rFonts w:hint="eastAsia" w:ascii="宋体" w:hAnsi="宋体" w:eastAsia="宋体" w:cs="宋体"/>
                <w:color w:val="auto"/>
                <w:sz w:val="24"/>
                <w:szCs w:val="24"/>
                <w:highlight w:val="none"/>
                <w:vertAlign w:val="baseline"/>
              </w:rPr>
            </w:pPr>
          </w:p>
        </w:tc>
      </w:tr>
      <w:tr w14:paraId="4C4A4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jc w:val="center"/>
        </w:trPr>
        <w:tc>
          <w:tcPr>
            <w:tcW w:w="456" w:type="dxa"/>
            <w:vAlign w:val="center"/>
          </w:tcPr>
          <w:p w14:paraId="5EA9A569">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w:t>
            </w:r>
          </w:p>
        </w:tc>
        <w:tc>
          <w:tcPr>
            <w:tcW w:w="1461" w:type="dxa"/>
            <w:vAlign w:val="center"/>
          </w:tcPr>
          <w:p w14:paraId="3D8D8BF0">
            <w:pPr>
              <w:snapToGrid w:val="0"/>
              <w:ind w:left="0" w:leftChars="0" w:right="0" w:rightChars="0" w:firstLine="0" w:firstLineChars="0"/>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儿童正姿阅读椅</w:t>
            </w:r>
          </w:p>
        </w:tc>
        <w:tc>
          <w:tcPr>
            <w:tcW w:w="9351" w:type="dxa"/>
            <w:shd w:val="clear" w:color="auto" w:fill="auto"/>
            <w:vAlign w:val="bottom"/>
          </w:tcPr>
          <w:p w14:paraId="0568AF9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cs="宋体"/>
                <w:color w:val="auto"/>
                <w:kern w:val="0"/>
                <w:sz w:val="24"/>
                <w:szCs w:val="24"/>
                <w:highlight w:val="none"/>
                <w:lang w:val="en-US" w:eastAsia="zh-CN"/>
              </w:rPr>
            </w:pPr>
            <w:r>
              <w:rPr>
                <w:rFonts w:hint="eastAsia" w:cs="宋体"/>
                <w:color w:val="auto"/>
                <w:kern w:val="0"/>
                <w:sz w:val="24"/>
                <w:szCs w:val="24"/>
                <w:highlight w:val="none"/>
                <w:lang w:val="en-US" w:eastAsia="zh-CN"/>
              </w:rPr>
              <w:t>1.1适用年龄3-12岁，框架材质：钢材，承重≥150kg；</w:t>
            </w:r>
          </w:p>
          <w:p w14:paraId="19A8D08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cs="宋体"/>
                <w:color w:val="auto"/>
                <w:kern w:val="0"/>
                <w:sz w:val="24"/>
                <w:szCs w:val="24"/>
                <w:highlight w:val="none"/>
                <w:lang w:val="en-US" w:eastAsia="zh-CN"/>
              </w:rPr>
            </w:pPr>
            <w:r>
              <w:rPr>
                <w:rFonts w:hint="eastAsia" w:cs="宋体"/>
                <w:color w:val="auto"/>
                <w:kern w:val="0"/>
                <w:sz w:val="24"/>
                <w:szCs w:val="24"/>
                <w:highlight w:val="none"/>
                <w:lang w:val="en-US" w:eastAsia="zh-CN"/>
              </w:rPr>
              <w:t>1.2座高可调节，高度调节范围150-280mm；</w:t>
            </w:r>
          </w:p>
          <w:p w14:paraId="3088696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cs="宋体"/>
                <w:color w:val="auto"/>
                <w:kern w:val="0"/>
                <w:sz w:val="24"/>
                <w:szCs w:val="24"/>
                <w:highlight w:val="none"/>
                <w:lang w:val="en-US" w:eastAsia="zh-CN"/>
              </w:rPr>
            </w:pPr>
            <w:r>
              <w:rPr>
                <w:rFonts w:hint="eastAsia" w:cs="宋体"/>
                <w:color w:val="auto"/>
                <w:kern w:val="0"/>
                <w:sz w:val="24"/>
                <w:szCs w:val="24"/>
                <w:highlight w:val="none"/>
                <w:lang w:val="en-US" w:eastAsia="zh-CN"/>
              </w:rPr>
              <w:t>1.3靠背高度可调节，调节范围≥150mm；</w:t>
            </w:r>
          </w:p>
          <w:p w14:paraId="6DDA2A2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cs="宋体"/>
                <w:color w:val="auto"/>
                <w:kern w:val="0"/>
                <w:sz w:val="24"/>
                <w:szCs w:val="24"/>
                <w:highlight w:val="none"/>
                <w:lang w:val="en-US" w:eastAsia="zh-CN"/>
              </w:rPr>
            </w:pPr>
            <w:r>
              <w:rPr>
                <w:rFonts w:hint="eastAsia" w:cs="宋体"/>
                <w:color w:val="auto"/>
                <w:kern w:val="0"/>
                <w:sz w:val="24"/>
                <w:szCs w:val="24"/>
                <w:highlight w:val="none"/>
                <w:lang w:val="en-US" w:eastAsia="zh-CN"/>
              </w:rPr>
              <w:t>1.4座深可调，前后调节≥100mm；</w:t>
            </w:r>
          </w:p>
          <w:p w14:paraId="1F88B18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cs="宋体"/>
                <w:color w:val="auto"/>
                <w:kern w:val="0"/>
                <w:sz w:val="24"/>
                <w:szCs w:val="24"/>
                <w:highlight w:val="none"/>
                <w:lang w:val="en-US" w:eastAsia="zh-CN"/>
              </w:rPr>
              <w:t>1.5配置一体式可调节脚踏，脚踏高度可调。</w:t>
            </w:r>
          </w:p>
        </w:tc>
        <w:tc>
          <w:tcPr>
            <w:tcW w:w="510" w:type="dxa"/>
            <w:vAlign w:val="center"/>
          </w:tcPr>
          <w:p w14:paraId="1F9C8864">
            <w:pPr>
              <w:snapToGrid w:val="0"/>
              <w:ind w:left="0" w:leftChars="0" w:right="0" w:rightChars="0" w:firstLine="0" w:firstLineChars="0"/>
              <w:jc w:val="center"/>
              <w:rPr>
                <w:rFonts w:hint="default"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把</w:t>
            </w:r>
          </w:p>
        </w:tc>
        <w:tc>
          <w:tcPr>
            <w:tcW w:w="563" w:type="dxa"/>
            <w:vAlign w:val="center"/>
          </w:tcPr>
          <w:p w14:paraId="16A483C9">
            <w:pPr>
              <w:snapToGrid w:val="0"/>
              <w:ind w:left="0" w:leftChars="0" w:right="0" w:rightChars="0" w:firstLine="0" w:firstLineChars="0"/>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30</w:t>
            </w:r>
          </w:p>
        </w:tc>
        <w:tc>
          <w:tcPr>
            <w:tcW w:w="1125" w:type="dxa"/>
            <w:vAlign w:val="center"/>
          </w:tcPr>
          <w:p w14:paraId="3C428D3A">
            <w:pPr>
              <w:snapToGrid w:val="0"/>
              <w:ind w:left="0" w:leftChars="0" w:right="0" w:rightChars="0" w:firstLine="0" w:firstLineChars="0"/>
              <w:jc w:val="center"/>
              <w:rPr>
                <w:rFonts w:hint="default"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1000</w:t>
            </w:r>
          </w:p>
        </w:tc>
        <w:tc>
          <w:tcPr>
            <w:tcW w:w="569" w:type="dxa"/>
            <w:vAlign w:val="center"/>
          </w:tcPr>
          <w:p w14:paraId="6C57E438">
            <w:pPr>
              <w:snapToGrid w:val="0"/>
              <w:ind w:left="0" w:leftChars="0" w:right="0" w:rightChars="0" w:firstLine="0" w:firstLineChars="0"/>
              <w:jc w:val="center"/>
              <w:rPr>
                <w:rFonts w:hint="eastAsia" w:ascii="宋体" w:hAnsi="宋体" w:eastAsia="宋体" w:cs="宋体"/>
                <w:color w:val="auto"/>
                <w:sz w:val="24"/>
                <w:szCs w:val="24"/>
                <w:highlight w:val="none"/>
                <w:vertAlign w:val="baseline"/>
              </w:rPr>
            </w:pPr>
          </w:p>
        </w:tc>
      </w:tr>
      <w:tr w14:paraId="14A9A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5" w:hRule="atLeast"/>
          <w:jc w:val="center"/>
        </w:trPr>
        <w:tc>
          <w:tcPr>
            <w:tcW w:w="456" w:type="dxa"/>
            <w:vAlign w:val="center"/>
          </w:tcPr>
          <w:p w14:paraId="24A79239">
            <w:pPr>
              <w:snapToGrid w:val="0"/>
              <w:ind w:left="0" w:leftChars="0" w:right="0" w:rightChars="0" w:firstLine="0" w:firstLineChars="0"/>
              <w:jc w:val="both"/>
              <w:rPr>
                <w:rFonts w:hint="eastAsia" w:ascii="宋体" w:hAnsi="宋体" w:eastAsia="宋体" w:cs="宋体"/>
                <w:color w:val="auto"/>
                <w:sz w:val="24"/>
                <w:szCs w:val="24"/>
                <w:highlight w:val="none"/>
                <w:vertAlign w:val="baseline"/>
                <w:lang w:val="en-US" w:eastAsia="zh-CN"/>
              </w:rPr>
            </w:pPr>
          </w:p>
          <w:p w14:paraId="0A50CAF8">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w:t>
            </w:r>
          </w:p>
        </w:tc>
        <w:tc>
          <w:tcPr>
            <w:tcW w:w="1461" w:type="dxa"/>
            <w:vAlign w:val="center"/>
          </w:tcPr>
          <w:p w14:paraId="767EFDF2">
            <w:pPr>
              <w:snapToGrid w:val="0"/>
              <w:ind w:left="0" w:leftChars="0" w:right="0" w:rightChars="0" w:firstLine="0" w:firstLineChars="0"/>
              <w:jc w:val="both"/>
              <w:rPr>
                <w:rFonts w:hint="eastAsia" w:ascii="宋体" w:hAnsi="宋体" w:eastAsia="宋体" w:cs="宋体"/>
                <w:color w:val="auto"/>
                <w:sz w:val="24"/>
                <w:szCs w:val="24"/>
                <w:highlight w:val="none"/>
                <w:vertAlign w:val="baseline"/>
                <w:lang w:val="en-US" w:eastAsia="zh-CN"/>
              </w:rPr>
            </w:pPr>
          </w:p>
          <w:p w14:paraId="69CD25F2">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智慧听书机</w:t>
            </w:r>
          </w:p>
          <w:p w14:paraId="2B01A2C5">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（桌面款）</w:t>
            </w:r>
          </w:p>
        </w:tc>
        <w:tc>
          <w:tcPr>
            <w:tcW w:w="9351" w:type="dxa"/>
            <w:shd w:val="clear" w:color="auto" w:fill="auto"/>
            <w:vAlign w:val="bottom"/>
          </w:tcPr>
          <w:p w14:paraId="79CE045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1.系统</w:t>
            </w:r>
            <w:r>
              <w:rPr>
                <w:rFonts w:hint="eastAsia" w:ascii="宋体" w:hAnsi="宋体" w:eastAsia="宋体" w:cs="宋体"/>
                <w:color w:val="auto"/>
                <w:kern w:val="0"/>
                <w:sz w:val="24"/>
                <w:szCs w:val="24"/>
                <w:highlight w:val="none"/>
                <w:lang w:eastAsia="zh-CN"/>
              </w:rPr>
              <w:t xml:space="preserve"> </w:t>
            </w:r>
          </w:p>
          <w:p w14:paraId="10DB1C2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eastAsia="zh-CN"/>
              </w:rPr>
              <w:t>1.1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strike w:val="0"/>
                <w:dstrike w:val="0"/>
                <w:color w:val="auto"/>
                <w:kern w:val="0"/>
                <w:sz w:val="24"/>
                <w:szCs w:val="24"/>
                <w:highlight w:val="none"/>
                <w:lang w:eastAsia="zh-CN"/>
              </w:rPr>
              <w:t>听书机基于听书机（</w:t>
            </w:r>
            <w:r>
              <w:rPr>
                <w:rFonts w:hint="eastAsia" w:ascii="宋体" w:hAnsi="宋体" w:eastAsia="宋体" w:cs="宋体"/>
                <w:strike w:val="0"/>
                <w:dstrike w:val="0"/>
                <w:color w:val="auto"/>
                <w:kern w:val="0"/>
                <w:sz w:val="24"/>
                <w:szCs w:val="24"/>
                <w:highlight w:val="none"/>
                <w:lang w:val="en-US" w:eastAsia="zh-CN"/>
              </w:rPr>
              <w:t>视听</w:t>
            </w:r>
            <w:r>
              <w:rPr>
                <w:rFonts w:hint="eastAsia" w:ascii="宋体" w:hAnsi="宋体" w:eastAsia="宋体" w:cs="宋体"/>
                <w:strike w:val="0"/>
                <w:dstrike w:val="0"/>
                <w:color w:val="auto"/>
                <w:kern w:val="0"/>
                <w:sz w:val="24"/>
                <w:szCs w:val="24"/>
                <w:highlight w:val="none"/>
                <w:lang w:eastAsia="zh-CN"/>
              </w:rPr>
              <w:t>款）研发，</w:t>
            </w:r>
            <w:r>
              <w:rPr>
                <w:rFonts w:hint="eastAsia" w:ascii="宋体" w:hAnsi="宋体" w:eastAsia="宋体" w:cs="宋体"/>
                <w:strike w:val="0"/>
                <w:color w:val="auto"/>
                <w:kern w:val="0"/>
                <w:sz w:val="24"/>
                <w:szCs w:val="24"/>
                <w:highlight w:val="none"/>
                <w:lang w:eastAsia="zh-CN"/>
              </w:rPr>
              <w:t>软件</w:t>
            </w:r>
            <w:r>
              <w:rPr>
                <w:rFonts w:hint="eastAsia" w:ascii="宋体" w:hAnsi="宋体" w:eastAsia="宋体" w:cs="宋体"/>
                <w:color w:val="auto"/>
                <w:kern w:val="0"/>
                <w:sz w:val="24"/>
                <w:szCs w:val="24"/>
                <w:highlight w:val="none"/>
                <w:lang w:eastAsia="zh-CN"/>
              </w:rPr>
              <w:t>运行环境为Android系统；</w:t>
            </w:r>
          </w:p>
          <w:p w14:paraId="7317C0F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eastAsia="zh-CN"/>
              </w:rPr>
              <w:t>1.</w:t>
            </w:r>
            <w:r>
              <w:rPr>
                <w:rFonts w:hint="eastAsia" w:ascii="宋体" w:hAnsi="宋体" w:eastAsia="宋体" w:cs="宋体"/>
                <w:color w:val="auto"/>
                <w:kern w:val="0"/>
                <w:sz w:val="24"/>
                <w:szCs w:val="24"/>
                <w:highlight w:val="none"/>
                <w:lang w:val="en-US" w:eastAsia="zh-CN"/>
              </w:rPr>
              <w:t xml:space="preserve">2 </w:t>
            </w:r>
            <w:r>
              <w:rPr>
                <w:rFonts w:hint="eastAsia" w:ascii="宋体" w:hAnsi="宋体" w:eastAsia="宋体" w:cs="宋体"/>
                <w:color w:val="auto"/>
                <w:kern w:val="0"/>
                <w:sz w:val="24"/>
                <w:szCs w:val="24"/>
                <w:highlight w:val="none"/>
                <w:lang w:val="en-US" w:eastAsia="zh-Hans"/>
              </w:rPr>
              <w:t>资源</w:t>
            </w:r>
            <w:r>
              <w:rPr>
                <w:rFonts w:hint="eastAsia" w:ascii="宋体" w:hAnsi="宋体" w:eastAsia="宋体" w:cs="宋体"/>
                <w:color w:val="auto"/>
                <w:kern w:val="0"/>
                <w:sz w:val="24"/>
                <w:szCs w:val="24"/>
                <w:highlight w:val="none"/>
                <w:lang w:eastAsia="zh-CN"/>
              </w:rPr>
              <w:t>支持远程定时更新，支持</w:t>
            </w:r>
            <w:r>
              <w:rPr>
                <w:rFonts w:hint="eastAsia" w:ascii="宋体" w:hAnsi="宋体" w:eastAsia="宋体" w:cs="宋体"/>
                <w:color w:val="auto"/>
                <w:kern w:val="0"/>
                <w:sz w:val="24"/>
                <w:szCs w:val="24"/>
                <w:highlight w:val="none"/>
                <w:lang w:val="en-US" w:eastAsia="zh-Hans"/>
              </w:rPr>
              <w:t>自动</w:t>
            </w:r>
            <w:r>
              <w:rPr>
                <w:rFonts w:hint="eastAsia" w:ascii="宋体" w:hAnsi="宋体" w:eastAsia="宋体" w:cs="宋体"/>
                <w:color w:val="auto"/>
                <w:kern w:val="0"/>
                <w:sz w:val="24"/>
                <w:szCs w:val="24"/>
                <w:highlight w:val="none"/>
                <w:lang w:eastAsia="zh-CN"/>
              </w:rPr>
              <w:t>更新，减少管理成本；</w:t>
            </w:r>
          </w:p>
          <w:p w14:paraId="18225CA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eastAsia="zh-CN"/>
              </w:rPr>
              <w:t>2.听书机资源</w:t>
            </w:r>
          </w:p>
          <w:p w14:paraId="200261D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eastAsia="zh-CN"/>
              </w:rPr>
              <w:t>2.1听书机</w:t>
            </w:r>
            <w:r>
              <w:rPr>
                <w:rFonts w:hint="eastAsia" w:ascii="宋体" w:hAnsi="宋体" w:eastAsia="宋体" w:cs="宋体"/>
                <w:color w:val="auto"/>
                <w:kern w:val="0"/>
                <w:sz w:val="24"/>
                <w:szCs w:val="24"/>
                <w:highlight w:val="none"/>
                <w:lang w:val="en-US" w:eastAsia="zh-CN"/>
              </w:rPr>
              <w:t>需</w:t>
            </w:r>
            <w:r>
              <w:rPr>
                <w:rFonts w:hint="eastAsia" w:ascii="宋体" w:hAnsi="宋体" w:eastAsia="宋体" w:cs="宋体"/>
                <w:color w:val="auto"/>
                <w:kern w:val="0"/>
                <w:sz w:val="24"/>
                <w:szCs w:val="24"/>
                <w:highlight w:val="none"/>
                <w:lang w:val="en-US" w:eastAsia="zh-Hans"/>
              </w:rPr>
              <w:t>提供不少于</w:t>
            </w:r>
            <w:r>
              <w:rPr>
                <w:rFonts w:hint="eastAsia" w:ascii="宋体" w:hAnsi="宋体" w:eastAsia="宋体" w:cs="宋体"/>
                <w:color w:val="auto"/>
                <w:kern w:val="0"/>
                <w:sz w:val="24"/>
                <w:szCs w:val="24"/>
                <w:highlight w:val="none"/>
                <w:lang w:val="en-US" w:eastAsia="zh-CN"/>
              </w:rPr>
              <w:t>50</w:t>
            </w:r>
            <w:r>
              <w:rPr>
                <w:rFonts w:hint="eastAsia" w:ascii="宋体" w:hAnsi="宋体" w:eastAsia="宋体" w:cs="宋体"/>
                <w:color w:val="auto"/>
                <w:kern w:val="0"/>
                <w:sz w:val="24"/>
                <w:szCs w:val="24"/>
                <w:highlight w:val="none"/>
                <w:lang w:eastAsia="zh-CN"/>
              </w:rPr>
              <w:t>000种正版授权的电子图书</w:t>
            </w:r>
            <w:r>
              <w:rPr>
                <w:rFonts w:hint="eastAsia" w:ascii="宋体" w:hAnsi="宋体" w:eastAsia="宋体" w:cs="宋体"/>
                <w:color w:val="auto"/>
                <w:kern w:val="0"/>
                <w:sz w:val="24"/>
                <w:szCs w:val="24"/>
                <w:highlight w:val="none"/>
                <w:lang w:eastAsia="zh-Hans"/>
              </w:rPr>
              <w:t>，</w:t>
            </w:r>
            <w:r>
              <w:rPr>
                <w:rFonts w:hint="eastAsia" w:ascii="宋体" w:hAnsi="宋体" w:eastAsia="宋体" w:cs="宋体"/>
                <w:color w:val="auto"/>
                <w:kern w:val="0"/>
                <w:sz w:val="24"/>
                <w:szCs w:val="24"/>
                <w:highlight w:val="none"/>
                <w:lang w:eastAsia="zh-CN"/>
              </w:rPr>
              <w:t>每月更新不少于</w:t>
            </w:r>
            <w:r>
              <w:rPr>
                <w:rFonts w:hint="eastAsia" w:ascii="宋体" w:hAnsi="宋体" w:eastAsia="宋体" w:cs="宋体"/>
                <w:color w:val="auto"/>
                <w:kern w:val="0"/>
                <w:sz w:val="24"/>
                <w:szCs w:val="24"/>
                <w:highlight w:val="none"/>
                <w:lang w:val="en-US" w:eastAsia="zh-CN"/>
              </w:rPr>
              <w:t>150</w:t>
            </w:r>
            <w:r>
              <w:rPr>
                <w:rFonts w:hint="eastAsia" w:ascii="宋体" w:hAnsi="宋体" w:eastAsia="宋体" w:cs="宋体"/>
                <w:color w:val="auto"/>
                <w:kern w:val="0"/>
                <w:sz w:val="24"/>
                <w:szCs w:val="24"/>
                <w:highlight w:val="none"/>
                <w:lang w:val="en-US" w:eastAsia="zh-Hans"/>
              </w:rPr>
              <w:t>册</w:t>
            </w:r>
            <w:r>
              <w:rPr>
                <w:rFonts w:hint="eastAsia" w:ascii="宋体" w:hAnsi="宋体" w:eastAsia="宋体" w:cs="宋体"/>
                <w:color w:val="auto"/>
                <w:kern w:val="0"/>
                <w:sz w:val="24"/>
                <w:szCs w:val="24"/>
                <w:highlight w:val="none"/>
                <w:lang w:eastAsia="zh-CN"/>
              </w:rPr>
              <w:t>电子图书。</w:t>
            </w:r>
            <w:r>
              <w:rPr>
                <w:rFonts w:hint="eastAsia" w:ascii="宋体" w:hAnsi="宋体" w:eastAsia="宋体" w:cs="宋体"/>
                <w:color w:val="auto"/>
                <w:kern w:val="0"/>
                <w:sz w:val="24"/>
                <w:szCs w:val="24"/>
                <w:highlight w:val="none"/>
                <w:lang w:val="en-US" w:eastAsia="zh-CN"/>
              </w:rPr>
              <w:t>图书资源涵盖文学传记、历史文化、心理社科、成功励志、艺术摄影、法律法规、教育教学、育儿家教、财经管理、政治类型等多个类别，方便用户检索阅读；</w:t>
            </w:r>
          </w:p>
          <w:p w14:paraId="00521F5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Hans"/>
              </w:rPr>
            </w:pPr>
            <w:r>
              <w:rPr>
                <w:rFonts w:hint="eastAsia" w:ascii="宋体" w:hAnsi="宋体" w:eastAsia="宋体" w:cs="宋体"/>
                <w:color w:val="auto"/>
                <w:kern w:val="0"/>
                <w:sz w:val="24"/>
                <w:szCs w:val="24"/>
                <w:highlight w:val="none"/>
                <w:lang w:eastAsia="zh-CN"/>
              </w:rPr>
              <w:t>2.2听</w:t>
            </w:r>
            <w:r>
              <w:rPr>
                <w:rFonts w:hint="eastAsia" w:ascii="宋体" w:hAnsi="宋体" w:eastAsia="宋体" w:cs="宋体"/>
                <w:color w:val="auto"/>
                <w:kern w:val="0"/>
                <w:sz w:val="24"/>
                <w:szCs w:val="24"/>
                <w:highlight w:val="none"/>
                <w:lang w:val="en-US" w:eastAsia="zh-CN"/>
              </w:rPr>
              <w:t>书机需</w:t>
            </w:r>
            <w:r>
              <w:rPr>
                <w:rFonts w:hint="eastAsia" w:ascii="宋体" w:hAnsi="宋体" w:eastAsia="宋体" w:cs="宋体"/>
                <w:color w:val="auto"/>
                <w:kern w:val="0"/>
                <w:sz w:val="24"/>
                <w:szCs w:val="24"/>
                <w:highlight w:val="none"/>
                <w:lang w:val="en-US" w:eastAsia="zh-Hans"/>
              </w:rPr>
              <w:t>提供不少于</w:t>
            </w:r>
            <w:r>
              <w:rPr>
                <w:rFonts w:hint="eastAsia" w:ascii="宋体" w:hAnsi="宋体" w:eastAsia="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lang w:eastAsia="zh-CN"/>
              </w:rPr>
              <w:t>000</w:t>
            </w:r>
            <w:r>
              <w:rPr>
                <w:rFonts w:hint="eastAsia" w:ascii="宋体" w:hAnsi="宋体" w:eastAsia="宋体" w:cs="宋体"/>
                <w:color w:val="auto"/>
                <w:kern w:val="0"/>
                <w:sz w:val="24"/>
                <w:szCs w:val="24"/>
                <w:highlight w:val="none"/>
                <w:lang w:val="en-US" w:eastAsia="zh-Hans"/>
              </w:rPr>
              <w:t>集的有声资源，MP3格式，均为真人原声演播，非</w:t>
            </w:r>
            <w:r>
              <w:rPr>
                <w:rFonts w:hint="eastAsia" w:ascii="宋体" w:hAnsi="宋体" w:eastAsia="宋体" w:cs="宋体"/>
                <w:color w:val="auto"/>
                <w:kern w:val="0"/>
                <w:sz w:val="24"/>
                <w:szCs w:val="24"/>
                <w:highlight w:val="none"/>
                <w:lang w:eastAsia="zh-Hans"/>
              </w:rPr>
              <w:t>AI</w:t>
            </w:r>
            <w:r>
              <w:rPr>
                <w:rFonts w:hint="eastAsia" w:ascii="宋体" w:hAnsi="宋体" w:eastAsia="宋体" w:cs="宋体"/>
                <w:color w:val="auto"/>
                <w:kern w:val="0"/>
                <w:sz w:val="24"/>
                <w:szCs w:val="24"/>
                <w:highlight w:val="none"/>
                <w:lang w:val="en-US" w:eastAsia="zh-Hans"/>
              </w:rPr>
              <w:t>合成语音，播放流畅，现场感足。</w:t>
            </w:r>
            <w:r>
              <w:rPr>
                <w:rFonts w:hint="eastAsia" w:ascii="宋体" w:hAnsi="宋体" w:eastAsia="宋体" w:cs="宋体"/>
                <w:color w:val="auto"/>
                <w:kern w:val="0"/>
                <w:sz w:val="24"/>
                <w:szCs w:val="24"/>
                <w:highlight w:val="none"/>
                <w:lang w:val="en-US" w:eastAsia="zh-CN"/>
              </w:rPr>
              <w:t>有声资源涵盖文学之声、人文科技、少儿有声等多个类别，方便用户检索收听；</w:t>
            </w:r>
          </w:p>
          <w:p w14:paraId="126AB5C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Hans"/>
              </w:rPr>
            </w:pPr>
            <w:r>
              <w:rPr>
                <w:rFonts w:hint="eastAsia" w:ascii="宋体" w:hAnsi="宋体" w:eastAsia="宋体" w:cs="宋体"/>
                <w:color w:val="auto"/>
                <w:kern w:val="0"/>
                <w:sz w:val="24"/>
                <w:szCs w:val="24"/>
                <w:highlight w:val="none"/>
                <w:lang w:eastAsia="zh-CN"/>
              </w:rPr>
              <w:t>2.</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听书机</w:t>
            </w:r>
            <w:r>
              <w:rPr>
                <w:rFonts w:hint="eastAsia" w:ascii="宋体" w:hAnsi="宋体" w:eastAsia="宋体" w:cs="宋体"/>
                <w:color w:val="auto"/>
                <w:kern w:val="0"/>
                <w:sz w:val="24"/>
                <w:szCs w:val="24"/>
                <w:highlight w:val="none"/>
                <w:lang w:val="en-US" w:eastAsia="zh-CN"/>
              </w:rPr>
              <w:t>需</w:t>
            </w:r>
            <w:r>
              <w:rPr>
                <w:rFonts w:hint="eastAsia" w:ascii="宋体" w:hAnsi="宋体" w:eastAsia="宋体" w:cs="宋体"/>
                <w:color w:val="auto"/>
                <w:kern w:val="0"/>
                <w:sz w:val="24"/>
                <w:szCs w:val="24"/>
                <w:highlight w:val="none"/>
                <w:lang w:val="en-US" w:eastAsia="zh-Hans"/>
              </w:rPr>
              <w:t>提供不少于</w:t>
            </w:r>
            <w:r>
              <w:rPr>
                <w:rFonts w:hint="eastAsia" w:ascii="宋体" w:hAnsi="宋体" w:eastAsia="宋体" w:cs="宋体"/>
                <w:color w:val="auto"/>
                <w:kern w:val="0"/>
                <w:sz w:val="24"/>
                <w:szCs w:val="24"/>
                <w:highlight w:val="none"/>
                <w:lang w:val="en-US" w:eastAsia="zh-CN"/>
              </w:rPr>
              <w:t>2000集视频资源</w:t>
            </w:r>
            <w:r>
              <w:rPr>
                <w:rFonts w:hint="eastAsia" w:ascii="宋体" w:hAnsi="宋体" w:eastAsia="宋体" w:cs="宋体"/>
                <w:color w:val="auto"/>
                <w:kern w:val="0"/>
                <w:sz w:val="24"/>
                <w:szCs w:val="24"/>
                <w:highlight w:val="none"/>
                <w:lang w:val="en-US" w:eastAsia="zh-Hans"/>
              </w:rPr>
              <w:t>。</w:t>
            </w:r>
            <w:r>
              <w:rPr>
                <w:rFonts w:hint="eastAsia" w:ascii="宋体" w:hAnsi="宋体" w:eastAsia="宋体" w:cs="宋体"/>
                <w:color w:val="auto"/>
                <w:kern w:val="0"/>
                <w:sz w:val="24"/>
                <w:szCs w:val="24"/>
                <w:highlight w:val="none"/>
                <w:lang w:val="en-US" w:eastAsia="zh-CN"/>
              </w:rPr>
              <w:t>视频资源涵盖好书荐读、手工制作、文化艺术等多个类别，方便用户检索观看；</w:t>
            </w:r>
          </w:p>
          <w:p w14:paraId="10629B8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eastAsia="zh-CN"/>
              </w:rPr>
              <w:t>2.</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eastAsia="zh-CN"/>
              </w:rPr>
              <w:t>听书</w:t>
            </w:r>
            <w:r>
              <w:rPr>
                <w:rFonts w:hint="eastAsia" w:ascii="宋体" w:hAnsi="宋体" w:eastAsia="宋体" w:cs="宋体"/>
                <w:color w:val="auto"/>
                <w:kern w:val="0"/>
                <w:sz w:val="24"/>
                <w:szCs w:val="24"/>
                <w:highlight w:val="none"/>
                <w:lang w:val="en-US" w:eastAsia="zh-CN"/>
              </w:rPr>
              <w:t>机需</w:t>
            </w:r>
            <w:r>
              <w:rPr>
                <w:rFonts w:hint="eastAsia" w:ascii="宋体" w:hAnsi="宋体" w:eastAsia="宋体" w:cs="宋体"/>
                <w:color w:val="auto"/>
                <w:kern w:val="0"/>
                <w:sz w:val="24"/>
                <w:szCs w:val="24"/>
                <w:highlight w:val="none"/>
                <w:lang w:val="en-US" w:eastAsia="zh-Hans"/>
              </w:rPr>
              <w:t>提供不少于</w:t>
            </w:r>
            <w:r>
              <w:rPr>
                <w:rFonts w:hint="eastAsia" w:ascii="宋体" w:hAnsi="宋体" w:eastAsia="宋体" w:cs="宋体"/>
                <w:color w:val="auto"/>
                <w:kern w:val="0"/>
                <w:sz w:val="24"/>
                <w:szCs w:val="24"/>
                <w:highlight w:val="none"/>
                <w:lang w:val="en-US" w:eastAsia="zh-CN"/>
              </w:rPr>
              <w:t>600种期刊资源</w:t>
            </w:r>
            <w:r>
              <w:rPr>
                <w:rFonts w:hint="eastAsia" w:ascii="宋体" w:hAnsi="宋体" w:eastAsia="宋体" w:cs="宋体"/>
                <w:color w:val="auto"/>
                <w:kern w:val="0"/>
                <w:sz w:val="24"/>
                <w:szCs w:val="24"/>
                <w:highlight w:val="none"/>
                <w:lang w:val="en-US" w:eastAsia="zh-Hans"/>
              </w:rPr>
              <w:t>。</w:t>
            </w:r>
            <w:r>
              <w:rPr>
                <w:rFonts w:hint="eastAsia" w:ascii="宋体" w:hAnsi="宋体" w:eastAsia="宋体" w:cs="宋体"/>
                <w:color w:val="auto"/>
                <w:kern w:val="0"/>
                <w:sz w:val="24"/>
                <w:szCs w:val="24"/>
                <w:highlight w:val="none"/>
                <w:lang w:val="en-US" w:eastAsia="zh-CN"/>
              </w:rPr>
              <w:t>期刊资源涵盖文学艺术、文化教育、社会科学、政治法律、自然科学、财经管理、医药卫生、工业技术、农业科学等多个类别，方便用户检索阅读；</w:t>
            </w:r>
          </w:p>
          <w:p w14:paraId="04386AE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2.5</w:t>
            </w:r>
            <w:r>
              <w:rPr>
                <w:rFonts w:hint="eastAsia" w:ascii="宋体" w:hAnsi="宋体" w:eastAsia="宋体" w:cs="宋体"/>
                <w:color w:val="auto"/>
                <w:kern w:val="0"/>
                <w:sz w:val="24"/>
                <w:szCs w:val="24"/>
                <w:highlight w:val="none"/>
                <w:lang w:eastAsia="zh-CN"/>
              </w:rPr>
              <w:t>听</w:t>
            </w:r>
            <w:r>
              <w:rPr>
                <w:rFonts w:hint="eastAsia" w:ascii="宋体" w:hAnsi="宋体" w:eastAsia="宋体" w:cs="宋体"/>
                <w:color w:val="auto"/>
                <w:kern w:val="0"/>
                <w:sz w:val="24"/>
                <w:szCs w:val="24"/>
                <w:highlight w:val="none"/>
                <w:lang w:val="en-US" w:eastAsia="zh-CN"/>
              </w:rPr>
              <w:t>书机需提供书架功能，可将未读完的图书、音频、视频收藏至书架中，保留阅读进度，方便下次阅读；</w:t>
            </w:r>
          </w:p>
          <w:p w14:paraId="27D75DC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lang w:eastAsia="zh-CN"/>
              </w:rPr>
              <w:t>听书机</w:t>
            </w:r>
            <w:r>
              <w:rPr>
                <w:rFonts w:hint="eastAsia" w:ascii="宋体" w:hAnsi="宋体" w:eastAsia="宋体" w:cs="宋体"/>
                <w:color w:val="auto"/>
                <w:kern w:val="0"/>
                <w:sz w:val="24"/>
                <w:szCs w:val="24"/>
                <w:highlight w:val="none"/>
                <w:lang w:val="en-US" w:eastAsia="zh-CN"/>
              </w:rPr>
              <w:t>需提供点赞功能，可在</w:t>
            </w:r>
            <w:r>
              <w:rPr>
                <w:rFonts w:hint="eastAsia" w:ascii="宋体" w:hAnsi="宋体" w:eastAsia="宋体" w:cs="宋体"/>
                <w:color w:val="auto"/>
                <w:kern w:val="0"/>
                <w:sz w:val="24"/>
                <w:szCs w:val="24"/>
                <w:highlight w:val="none"/>
                <w:lang w:eastAsia="zh-CN"/>
              </w:rPr>
              <w:t>图书、音频、视频</w:t>
            </w:r>
            <w:r>
              <w:rPr>
                <w:rFonts w:hint="eastAsia" w:ascii="宋体" w:hAnsi="宋体" w:eastAsia="宋体" w:cs="宋体"/>
                <w:color w:val="auto"/>
                <w:kern w:val="0"/>
                <w:sz w:val="24"/>
                <w:szCs w:val="24"/>
                <w:highlight w:val="none"/>
                <w:lang w:val="en-US" w:eastAsia="zh-CN"/>
              </w:rPr>
              <w:t>期刊等资源详情页点击点赞图标，完成对当前资源的点赞操作。支持点赞数实时更新</w:t>
            </w:r>
            <w:r>
              <w:rPr>
                <w:rFonts w:hint="eastAsia"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方便了解其他用户对该资源的评价热度；</w:t>
            </w:r>
          </w:p>
          <w:p w14:paraId="2A9C699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2.7听书机需提供“每日一字”模块，内含不少于180个生僻字，内容持续更新，为用户提供更多学习内容；</w:t>
            </w:r>
          </w:p>
          <w:p w14:paraId="4F684EF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2.8听书机需提供“阅读测评”模块，</w:t>
            </w:r>
            <w:r>
              <w:rPr>
                <w:rFonts w:ascii="Segoe UI" w:hAnsi="Segoe UI" w:eastAsia="Segoe UI" w:cs="Segoe UI"/>
                <w:i w:val="0"/>
                <w:iCs w:val="0"/>
                <w:caps w:val="0"/>
                <w:color w:val="auto"/>
                <w:spacing w:val="0"/>
                <w:sz w:val="24"/>
                <w:szCs w:val="24"/>
                <w:highlight w:val="none"/>
                <w:shd w:val="clear" w:fill="FFFFFF"/>
              </w:rPr>
              <w:t>支持对不低于50本中小学必读中外名著（其中应涵盖中国古代四大名著及安徒生童话、格林童话等世界儿童文学经典）进行阅读理解测评</w:t>
            </w:r>
            <w:r>
              <w:rPr>
                <w:rFonts w:hint="eastAsia" w:ascii="宋体" w:hAnsi="宋体" w:eastAsia="宋体" w:cs="宋体"/>
                <w:color w:val="auto"/>
                <w:kern w:val="0"/>
                <w:sz w:val="24"/>
                <w:szCs w:val="24"/>
                <w:highlight w:val="none"/>
                <w:lang w:val="en-US" w:eastAsia="zh-CN"/>
              </w:rPr>
              <w:t>，测评资源均支持原文阅读与测评答题。提供不少于1000道题目的题库资源，读者可选择“5题、10题、15题、全部”进行阅读测评，测评完成后随即生成答题测评结果，支持用户单位自建题库；</w:t>
            </w:r>
          </w:p>
          <w:p w14:paraId="4760F14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2.9听书机需提供“文化知识答题”模块，让读者通过答题来学习和复习各种文化知识，包括文学知识答题、文化知识答题、历史知识答题，提供不少于280道题目的题库资源，</w:t>
            </w:r>
            <w:r>
              <w:rPr>
                <w:rFonts w:hint="eastAsia" w:ascii="宋体" w:hAnsi="宋体" w:eastAsia="宋体" w:cs="宋体"/>
                <w:strike w:val="0"/>
                <w:dstrike w:val="0"/>
                <w:color w:val="auto"/>
                <w:kern w:val="0"/>
                <w:sz w:val="24"/>
                <w:szCs w:val="24"/>
                <w:highlight w:val="none"/>
                <w:u w:val="none"/>
                <w:lang w:val="en-US" w:eastAsia="zh-CN"/>
              </w:rPr>
              <w:t>读者可选择“5题、10题、15题、全部”进行答题，答题完成后随即生成答题测评结果</w:t>
            </w:r>
            <w:r>
              <w:rPr>
                <w:rFonts w:hint="eastAsia" w:ascii="宋体" w:hAnsi="宋体" w:eastAsia="宋体" w:cs="宋体"/>
                <w:strike w:val="0"/>
                <w:color w:val="auto"/>
                <w:kern w:val="0"/>
                <w:sz w:val="24"/>
                <w:szCs w:val="24"/>
                <w:highlight w:val="none"/>
                <w:lang w:val="en-US" w:eastAsia="zh-CN"/>
              </w:rPr>
              <w:t>。界</w:t>
            </w:r>
            <w:r>
              <w:rPr>
                <w:rFonts w:hint="eastAsia" w:ascii="宋体" w:hAnsi="宋体" w:eastAsia="宋体" w:cs="宋体"/>
                <w:color w:val="auto"/>
                <w:kern w:val="0"/>
                <w:sz w:val="24"/>
                <w:szCs w:val="24"/>
                <w:highlight w:val="none"/>
                <w:lang w:val="en-US" w:eastAsia="zh-CN"/>
              </w:rPr>
              <w:t>面UI、内置题库支持高度自定义，用户单位可根据需求进行个性化配置，提升读者体验；</w:t>
            </w:r>
          </w:p>
          <w:p w14:paraId="14B32F4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2.10听书机需提供“科普知识答题”模块，让读者通过答题来学习和复习各种科学知识，提供不少于110道题目的题库资源，</w:t>
            </w:r>
            <w:r>
              <w:rPr>
                <w:rFonts w:hint="eastAsia" w:ascii="宋体" w:hAnsi="宋体" w:eastAsia="宋体" w:cs="宋体"/>
                <w:strike w:val="0"/>
                <w:dstrike w:val="0"/>
                <w:color w:val="auto"/>
                <w:kern w:val="0"/>
                <w:sz w:val="24"/>
                <w:szCs w:val="24"/>
                <w:highlight w:val="none"/>
                <w:lang w:val="en-US" w:eastAsia="zh-CN"/>
              </w:rPr>
              <w:t>读者可选择“5题、10题、15题、全部”进行答题，答题完成后随即生成答题测评结果</w:t>
            </w:r>
            <w:r>
              <w:rPr>
                <w:rFonts w:hint="eastAsia" w:ascii="宋体" w:hAnsi="宋体" w:eastAsia="宋体" w:cs="宋体"/>
                <w:strike w:val="0"/>
                <w:color w:val="auto"/>
                <w:kern w:val="0"/>
                <w:sz w:val="24"/>
                <w:szCs w:val="24"/>
                <w:highlight w:val="none"/>
                <w:lang w:val="en-US" w:eastAsia="zh-CN"/>
              </w:rPr>
              <w:t>。界面UI</w:t>
            </w:r>
            <w:r>
              <w:rPr>
                <w:rFonts w:hint="eastAsia" w:ascii="宋体" w:hAnsi="宋体" w:eastAsia="宋体" w:cs="宋体"/>
                <w:color w:val="auto"/>
                <w:kern w:val="0"/>
                <w:sz w:val="24"/>
                <w:szCs w:val="24"/>
                <w:highlight w:val="none"/>
                <w:lang w:val="en-US" w:eastAsia="zh-CN"/>
              </w:rPr>
              <w:t>、内置题库支持高度自定义，用户单位可根据需求进行个性化配置，提升读者体验；</w:t>
            </w:r>
          </w:p>
          <w:p w14:paraId="0C0D008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2.11 听书机需提供“党建知识答题”模块，让读者通过答题来学习和复习各种党建知识，提供不少于300道题目的题库资源，</w:t>
            </w:r>
            <w:r>
              <w:rPr>
                <w:rFonts w:hint="eastAsia" w:ascii="宋体" w:hAnsi="宋体" w:eastAsia="宋体" w:cs="宋体"/>
                <w:strike w:val="0"/>
                <w:dstrike w:val="0"/>
                <w:color w:val="auto"/>
                <w:kern w:val="0"/>
                <w:sz w:val="24"/>
                <w:szCs w:val="24"/>
                <w:highlight w:val="none"/>
                <w:lang w:val="en-US" w:eastAsia="zh-CN"/>
              </w:rPr>
              <w:t>读者可选择“5题、10题、15题、全部”进行答题，答题完成后随即生成答题测评结果</w:t>
            </w:r>
            <w:r>
              <w:rPr>
                <w:rFonts w:hint="eastAsia" w:ascii="宋体" w:hAnsi="宋体" w:eastAsia="宋体" w:cs="宋体"/>
                <w:strike w:val="0"/>
                <w:color w:val="auto"/>
                <w:kern w:val="0"/>
                <w:sz w:val="24"/>
                <w:szCs w:val="24"/>
                <w:highlight w:val="none"/>
                <w:lang w:val="en-US" w:eastAsia="zh-CN"/>
              </w:rPr>
              <w:t>。界面</w:t>
            </w:r>
            <w:r>
              <w:rPr>
                <w:rFonts w:hint="eastAsia" w:ascii="宋体" w:hAnsi="宋体" w:eastAsia="宋体" w:cs="宋体"/>
                <w:color w:val="auto"/>
                <w:kern w:val="0"/>
                <w:sz w:val="24"/>
                <w:szCs w:val="24"/>
                <w:highlight w:val="none"/>
                <w:lang w:val="en-US" w:eastAsia="zh-CN"/>
              </w:rPr>
              <w:t>UI、内置题库支持高度自定义，用户单位可根据需求进行个性化配置，提升读者体验；</w:t>
            </w:r>
          </w:p>
          <w:p w14:paraId="1A405DD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2.12 听书机需针对各类节日推出丰富多样的主题答题活动，如春节答题、元宵节猜灯谜、世界读书日答题以及国庆节主题问答等答题活动。界面UI、内置题库支持高度自定义，用户单位可依托此功能模块进行个性化配置，满足对各种节日、活动的不同需求，为读者提供丰富多样的互动体验；</w:t>
            </w:r>
          </w:p>
          <w:p w14:paraId="63A4C6F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Hans"/>
              </w:rPr>
            </w:pP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eastAsia="zh-CN"/>
              </w:rPr>
              <w:t>2.</w:t>
            </w:r>
            <w:r>
              <w:rPr>
                <w:rFonts w:hint="eastAsia" w:ascii="宋体" w:hAnsi="宋体" w:eastAsia="宋体" w:cs="宋体"/>
                <w:color w:val="auto"/>
                <w:kern w:val="0"/>
                <w:sz w:val="24"/>
                <w:szCs w:val="24"/>
                <w:highlight w:val="none"/>
                <w:lang w:val="en-US" w:eastAsia="zh-CN"/>
              </w:rPr>
              <w:t>13 需</w:t>
            </w:r>
            <w:r>
              <w:rPr>
                <w:rFonts w:hint="eastAsia" w:ascii="宋体" w:hAnsi="宋体" w:eastAsia="宋体" w:cs="宋体"/>
                <w:color w:val="auto"/>
                <w:kern w:val="0"/>
                <w:sz w:val="24"/>
                <w:szCs w:val="24"/>
                <w:highlight w:val="none"/>
                <w:lang w:eastAsia="zh-CN"/>
              </w:rPr>
              <w:t>支持用户自有</w:t>
            </w:r>
            <w:r>
              <w:rPr>
                <w:rFonts w:hint="eastAsia" w:ascii="宋体" w:hAnsi="宋体" w:eastAsia="宋体" w:cs="宋体"/>
                <w:color w:val="auto"/>
                <w:kern w:val="0"/>
                <w:sz w:val="24"/>
                <w:szCs w:val="24"/>
                <w:highlight w:val="none"/>
                <w:lang w:val="en-US" w:eastAsia="zh-Hans"/>
              </w:rPr>
              <w:t>版权的</w:t>
            </w:r>
            <w:r>
              <w:rPr>
                <w:rFonts w:hint="eastAsia" w:ascii="宋体" w:hAnsi="宋体" w:eastAsia="宋体" w:cs="宋体"/>
                <w:color w:val="auto"/>
                <w:kern w:val="0"/>
                <w:sz w:val="24"/>
                <w:szCs w:val="24"/>
                <w:highlight w:val="none"/>
                <w:lang w:eastAsia="zh-CN"/>
              </w:rPr>
              <w:t>资源录入和展示，支持电子图书、期刊、绘本、有声、视频、图片、H5页面等全面丰富的类型</w:t>
            </w:r>
            <w:r>
              <w:rPr>
                <w:rFonts w:hint="eastAsia" w:ascii="宋体" w:hAnsi="宋体" w:eastAsia="宋体" w:cs="宋体"/>
                <w:color w:val="auto"/>
                <w:kern w:val="0"/>
                <w:sz w:val="24"/>
                <w:szCs w:val="24"/>
                <w:highlight w:val="none"/>
                <w:lang w:eastAsia="zh-Hans"/>
              </w:rPr>
              <w:t>，</w:t>
            </w:r>
            <w:r>
              <w:rPr>
                <w:rFonts w:hint="eastAsia" w:ascii="宋体" w:hAnsi="宋体" w:eastAsia="宋体" w:cs="宋体"/>
                <w:color w:val="auto"/>
                <w:kern w:val="0"/>
                <w:sz w:val="24"/>
                <w:szCs w:val="24"/>
                <w:highlight w:val="none"/>
                <w:lang w:val="en-US" w:eastAsia="zh-Hans"/>
              </w:rPr>
              <w:t>可通过客户后台管理系统导入并在前端大屏展示，供使用者浏览</w:t>
            </w:r>
            <w:r>
              <w:rPr>
                <w:rFonts w:hint="eastAsia" w:ascii="宋体" w:hAnsi="宋体" w:eastAsia="宋体" w:cs="宋体"/>
                <w:color w:val="auto"/>
                <w:kern w:val="0"/>
                <w:sz w:val="24"/>
                <w:szCs w:val="24"/>
                <w:highlight w:val="none"/>
                <w:lang w:val="en-US" w:eastAsia="zh-CN"/>
              </w:rPr>
              <w:t>；</w:t>
            </w:r>
          </w:p>
          <w:p w14:paraId="53AC65D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bCs/>
                <w:color w:val="auto"/>
                <w:kern w:val="0"/>
                <w:sz w:val="24"/>
                <w:szCs w:val="24"/>
                <w:highlight w:val="none"/>
                <w:lang w:val="en-US" w:eastAsia="zh-Hans"/>
              </w:rPr>
            </w:pP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 xml:space="preserve"> </w:t>
            </w:r>
            <w:r>
              <w:rPr>
                <w:rFonts w:hint="eastAsia" w:ascii="宋体" w:hAnsi="宋体" w:eastAsia="宋体" w:cs="宋体"/>
                <w:b/>
                <w:bCs/>
                <w:color w:val="auto"/>
                <w:kern w:val="0"/>
                <w:sz w:val="24"/>
                <w:szCs w:val="24"/>
                <w:highlight w:val="none"/>
                <w:lang w:eastAsia="zh-CN"/>
              </w:rPr>
              <w:t>个性化</w:t>
            </w:r>
            <w:r>
              <w:rPr>
                <w:rFonts w:hint="eastAsia" w:ascii="宋体" w:hAnsi="宋体" w:eastAsia="宋体" w:cs="宋体"/>
                <w:b/>
                <w:bCs/>
                <w:color w:val="auto"/>
                <w:kern w:val="0"/>
                <w:sz w:val="24"/>
                <w:szCs w:val="24"/>
                <w:highlight w:val="none"/>
                <w:lang w:val="en-US" w:eastAsia="zh-Hans"/>
              </w:rPr>
              <w:t>定制</w:t>
            </w:r>
          </w:p>
          <w:p w14:paraId="415229F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lang w:val="en-US" w:eastAsia="zh-Hans"/>
              </w:rPr>
              <w:t>单位后台管理系统</w:t>
            </w:r>
            <w:r>
              <w:rPr>
                <w:rFonts w:hint="eastAsia" w:ascii="宋体" w:hAnsi="宋体" w:eastAsia="宋体" w:cs="宋体"/>
                <w:color w:val="auto"/>
                <w:kern w:val="0"/>
                <w:sz w:val="24"/>
                <w:szCs w:val="24"/>
                <w:highlight w:val="none"/>
                <w:lang w:val="en-US" w:eastAsia="zh-CN"/>
              </w:rPr>
              <w:t>需</w:t>
            </w:r>
            <w:r>
              <w:rPr>
                <w:rFonts w:hint="eastAsia" w:ascii="宋体" w:hAnsi="宋体" w:eastAsia="宋体" w:cs="宋体"/>
                <w:color w:val="auto"/>
                <w:kern w:val="0"/>
                <w:sz w:val="24"/>
                <w:szCs w:val="24"/>
                <w:highlight w:val="none"/>
                <w:lang w:val="en-US" w:eastAsia="zh-Hans"/>
              </w:rPr>
              <w:t>支持修改大屏上的</w:t>
            </w:r>
            <w:r>
              <w:rPr>
                <w:rFonts w:hint="eastAsia" w:ascii="宋体" w:hAnsi="宋体" w:eastAsia="宋体" w:cs="宋体"/>
                <w:color w:val="auto"/>
                <w:kern w:val="0"/>
                <w:sz w:val="24"/>
                <w:szCs w:val="24"/>
                <w:highlight w:val="none"/>
                <w:lang w:eastAsia="zh-CN"/>
              </w:rPr>
              <w:t>单位名称、logo</w:t>
            </w:r>
            <w:r>
              <w:rPr>
                <w:rFonts w:hint="eastAsia" w:ascii="宋体" w:hAnsi="宋体" w:eastAsia="宋体" w:cs="宋体"/>
                <w:color w:val="auto"/>
                <w:kern w:val="0"/>
                <w:sz w:val="24"/>
                <w:szCs w:val="24"/>
                <w:highlight w:val="none"/>
                <w:lang w:val="en-US" w:eastAsia="zh-Hans"/>
              </w:rPr>
              <w:t>图片</w:t>
            </w:r>
            <w:r>
              <w:rPr>
                <w:rFonts w:hint="eastAsia" w:ascii="宋体" w:hAnsi="宋体" w:eastAsia="宋体" w:cs="宋体"/>
                <w:color w:val="auto"/>
                <w:kern w:val="0"/>
                <w:sz w:val="24"/>
                <w:szCs w:val="24"/>
                <w:highlight w:val="none"/>
                <w:lang w:val="en-US" w:eastAsia="zh-CN"/>
              </w:rPr>
              <w:t>；</w:t>
            </w:r>
          </w:p>
          <w:p w14:paraId="62144A0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lang w:val="en-US" w:eastAsia="zh-Hans"/>
              </w:rPr>
              <w:t>单位后台管理系统</w:t>
            </w:r>
            <w:r>
              <w:rPr>
                <w:rFonts w:hint="eastAsia" w:ascii="宋体" w:hAnsi="宋体" w:eastAsia="宋体" w:cs="宋体"/>
                <w:color w:val="auto"/>
                <w:kern w:val="0"/>
                <w:sz w:val="24"/>
                <w:szCs w:val="24"/>
                <w:highlight w:val="none"/>
                <w:lang w:val="en-US" w:eastAsia="zh-CN"/>
              </w:rPr>
              <w:t>需</w:t>
            </w:r>
            <w:r>
              <w:rPr>
                <w:rFonts w:hint="eastAsia" w:ascii="宋体" w:hAnsi="宋体" w:eastAsia="宋体" w:cs="宋体"/>
                <w:color w:val="auto"/>
                <w:kern w:val="0"/>
                <w:sz w:val="24"/>
                <w:szCs w:val="24"/>
                <w:highlight w:val="none"/>
                <w:lang w:val="en-US" w:eastAsia="zh-Hans"/>
              </w:rPr>
              <w:t>支持修改首页的banner轮播图</w:t>
            </w:r>
            <w:r>
              <w:rPr>
                <w:rFonts w:hint="eastAsia" w:ascii="宋体" w:hAnsi="宋体" w:eastAsia="宋体" w:cs="宋体"/>
                <w:color w:val="auto"/>
                <w:kern w:val="0"/>
                <w:sz w:val="24"/>
                <w:szCs w:val="24"/>
                <w:highlight w:val="none"/>
                <w:lang w:val="en-US" w:eastAsia="zh-CN"/>
              </w:rPr>
              <w:t>和待机图</w:t>
            </w:r>
            <w:r>
              <w:rPr>
                <w:rFonts w:hint="eastAsia" w:ascii="宋体" w:hAnsi="宋体" w:eastAsia="宋体" w:cs="宋体"/>
                <w:color w:val="auto"/>
                <w:kern w:val="0"/>
                <w:sz w:val="24"/>
                <w:szCs w:val="24"/>
                <w:highlight w:val="none"/>
                <w:lang w:val="en-US" w:eastAsia="zh-Hans"/>
              </w:rPr>
              <w:t>，每张轮播图</w:t>
            </w:r>
            <w:r>
              <w:rPr>
                <w:rFonts w:hint="eastAsia" w:ascii="宋体" w:hAnsi="宋体" w:eastAsia="宋体" w:cs="宋体"/>
                <w:color w:val="auto"/>
                <w:kern w:val="0"/>
                <w:sz w:val="24"/>
                <w:szCs w:val="24"/>
                <w:highlight w:val="none"/>
                <w:lang w:val="en-US" w:eastAsia="zh-CN"/>
              </w:rPr>
              <w:t>/待机图</w:t>
            </w:r>
            <w:r>
              <w:rPr>
                <w:rFonts w:hint="eastAsia" w:ascii="宋体" w:hAnsi="宋体" w:eastAsia="宋体" w:cs="宋体"/>
                <w:color w:val="auto"/>
                <w:kern w:val="0"/>
                <w:sz w:val="24"/>
                <w:szCs w:val="24"/>
                <w:highlight w:val="none"/>
                <w:lang w:val="en-US" w:eastAsia="zh-Hans"/>
              </w:rPr>
              <w:t>均可自定义跳转至指定栏目，可利用本功能辅助用户发布重要通知或者活动的推广</w:t>
            </w:r>
            <w:r>
              <w:rPr>
                <w:rFonts w:hint="eastAsia" w:ascii="宋体" w:hAnsi="宋体" w:eastAsia="宋体" w:cs="宋体"/>
                <w:color w:val="auto"/>
                <w:kern w:val="0"/>
                <w:sz w:val="24"/>
                <w:szCs w:val="24"/>
                <w:highlight w:val="none"/>
                <w:lang w:val="en-US" w:eastAsia="zh-CN"/>
              </w:rPr>
              <w:t>；</w:t>
            </w:r>
          </w:p>
          <w:p w14:paraId="022D206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Hans"/>
              </w:rPr>
            </w:pPr>
            <w:r>
              <w:rPr>
                <w:rFonts w:hint="eastAsia" w:ascii="宋体" w:hAnsi="宋体" w:eastAsia="宋体" w:cs="宋体"/>
                <w:color w:val="auto"/>
                <w:kern w:val="0"/>
                <w:sz w:val="24"/>
                <w:szCs w:val="24"/>
                <w:highlight w:val="none"/>
                <w:lang w:val="en-US" w:eastAsia="zh-CN"/>
              </w:rPr>
              <w:t xml:space="preserve">3.3 </w:t>
            </w:r>
            <w:r>
              <w:rPr>
                <w:rFonts w:hint="eastAsia" w:ascii="宋体" w:hAnsi="宋体" w:eastAsia="宋体" w:cs="宋体"/>
                <w:color w:val="auto"/>
                <w:kern w:val="0"/>
                <w:sz w:val="24"/>
                <w:szCs w:val="24"/>
                <w:highlight w:val="none"/>
                <w:lang w:val="en-US" w:eastAsia="zh-Hans"/>
              </w:rPr>
              <w:t>单位后台管理系统</w:t>
            </w:r>
            <w:r>
              <w:rPr>
                <w:rFonts w:hint="eastAsia" w:ascii="宋体" w:hAnsi="宋体" w:eastAsia="宋体" w:cs="宋体"/>
                <w:color w:val="auto"/>
                <w:kern w:val="0"/>
                <w:sz w:val="24"/>
                <w:szCs w:val="24"/>
                <w:highlight w:val="none"/>
                <w:lang w:val="en-US" w:eastAsia="zh-CN"/>
              </w:rPr>
              <w:t>需</w:t>
            </w:r>
            <w:r>
              <w:rPr>
                <w:rFonts w:hint="eastAsia" w:ascii="宋体" w:hAnsi="宋体" w:eastAsia="宋体" w:cs="宋体"/>
                <w:color w:val="auto"/>
                <w:kern w:val="0"/>
                <w:sz w:val="24"/>
                <w:szCs w:val="24"/>
                <w:highlight w:val="none"/>
                <w:lang w:val="en-US" w:eastAsia="zh-Hans"/>
              </w:rPr>
              <w:t>支持栏目配置功能，可自定义栏目类型，栏目类型需支持图书、音频、视频、图片、资讯信息、实现个性化配置需求，可增加删除栏目，栏目可自由排序</w:t>
            </w:r>
            <w:r>
              <w:rPr>
                <w:rFonts w:hint="eastAsia" w:ascii="宋体" w:hAnsi="宋体" w:eastAsia="宋体" w:cs="宋体"/>
                <w:color w:val="auto"/>
                <w:kern w:val="0"/>
                <w:sz w:val="24"/>
                <w:szCs w:val="24"/>
                <w:highlight w:val="none"/>
                <w:lang w:val="en-US" w:eastAsia="zh-CN"/>
              </w:rPr>
              <w:t>；</w:t>
            </w:r>
          </w:p>
          <w:p w14:paraId="273B071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附：</w:t>
            </w:r>
            <w:r>
              <w:rPr>
                <w:rFonts w:hint="eastAsia" w:ascii="宋体" w:hAnsi="宋体" w:eastAsia="宋体" w:cs="宋体"/>
                <w:b/>
                <w:bCs/>
                <w:color w:val="auto"/>
                <w:kern w:val="0"/>
                <w:sz w:val="24"/>
                <w:szCs w:val="24"/>
                <w:highlight w:val="none"/>
                <w:lang w:val="en-US" w:eastAsia="zh-CN"/>
              </w:rPr>
              <w:t>听书机（桌面款）</w:t>
            </w:r>
            <w:r>
              <w:rPr>
                <w:rFonts w:hint="eastAsia" w:ascii="宋体" w:hAnsi="宋体" w:eastAsia="宋体" w:cs="宋体"/>
                <w:b/>
                <w:bCs/>
                <w:color w:val="auto"/>
                <w:kern w:val="0"/>
                <w:sz w:val="24"/>
                <w:szCs w:val="24"/>
                <w:highlight w:val="none"/>
              </w:rPr>
              <w:t>硬件参数：</w:t>
            </w:r>
          </w:p>
          <w:p w14:paraId="48A5C73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b/>
                <w:bCs/>
                <w:color w:val="auto"/>
                <w:kern w:val="0"/>
                <w:sz w:val="24"/>
                <w:szCs w:val="24"/>
                <w:highlight w:val="none"/>
                <w:lang w:val="en-US" w:eastAsia="zh-CN"/>
              </w:rPr>
              <w:t>显示屏规格参数：</w:t>
            </w:r>
            <w:r>
              <w:rPr>
                <w:rFonts w:hint="eastAsia" w:ascii="宋体" w:hAnsi="宋体" w:eastAsia="宋体" w:cs="宋体"/>
                <w:color w:val="auto"/>
                <w:kern w:val="0"/>
                <w:sz w:val="24"/>
                <w:szCs w:val="24"/>
                <w:highlight w:val="none"/>
              </w:rPr>
              <w:t>屏幕尺寸</w:t>
            </w:r>
            <w:r>
              <w:rPr>
                <w:rFonts w:hint="eastAsia" w:ascii="宋体" w:hAnsi="宋体" w:eastAsia="宋体" w:cs="宋体"/>
                <w:color w:val="auto"/>
                <w:kern w:val="0"/>
                <w:sz w:val="24"/>
                <w:szCs w:val="24"/>
                <w:highlight w:val="none"/>
                <w:lang w:val="en-US" w:eastAsia="zh-CN"/>
              </w:rPr>
              <w:t>≥10.1</w:t>
            </w:r>
            <w:r>
              <w:rPr>
                <w:rFonts w:hint="eastAsia" w:ascii="宋体" w:hAnsi="宋体" w:eastAsia="宋体" w:cs="宋体"/>
                <w:color w:val="auto"/>
                <w:kern w:val="0"/>
                <w:sz w:val="24"/>
                <w:szCs w:val="24"/>
                <w:highlight w:val="none"/>
              </w:rPr>
              <w:t>寸</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屏体分辨率</w:t>
            </w:r>
            <w:r>
              <w:rPr>
                <w:rFonts w:hint="eastAsia" w:ascii="宋体" w:hAnsi="宋体" w:eastAsia="宋体" w:cs="宋体"/>
                <w:color w:val="auto"/>
                <w:kern w:val="0"/>
                <w:sz w:val="24"/>
                <w:szCs w:val="24"/>
                <w:highlight w:val="none"/>
                <w:lang w:val="en-US" w:eastAsia="zh-CN"/>
              </w:rPr>
              <w:t>≥1280</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800</w:t>
            </w:r>
          </w:p>
          <w:p w14:paraId="12BD03E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b/>
                <w:bCs/>
                <w:color w:val="auto"/>
                <w:kern w:val="0"/>
                <w:sz w:val="24"/>
                <w:szCs w:val="24"/>
                <w:highlight w:val="none"/>
                <w:lang w:val="en-US" w:eastAsia="zh-CN"/>
              </w:rPr>
              <w:t>触摸屏参数：</w:t>
            </w:r>
            <w:r>
              <w:rPr>
                <w:rFonts w:hint="eastAsia" w:ascii="宋体" w:hAnsi="宋体" w:eastAsia="宋体" w:cs="宋体"/>
                <w:color w:val="auto"/>
                <w:kern w:val="0"/>
                <w:sz w:val="24"/>
                <w:szCs w:val="24"/>
                <w:highlight w:val="none"/>
                <w:lang w:val="en-US" w:eastAsia="zh-CN"/>
              </w:rPr>
              <w:t>触摸屏尺寸≥10.1寸；</w:t>
            </w:r>
          </w:p>
          <w:p w14:paraId="6640C84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1440" w:firstLineChars="6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识别原理：电容触摸；</w:t>
            </w:r>
          </w:p>
          <w:p w14:paraId="3DAEDC1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硬件配置参数</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color w:val="auto"/>
                <w:kern w:val="0"/>
                <w:sz w:val="24"/>
                <w:szCs w:val="24"/>
                <w:highlight w:val="none"/>
              </w:rPr>
              <w:t>CPU</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四核</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运行内存</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 xml:space="preserve">2G </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内置存储</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16G</w:t>
            </w:r>
            <w:r>
              <w:rPr>
                <w:rFonts w:hint="eastAsia" w:ascii="宋体" w:hAnsi="宋体" w:eastAsia="宋体" w:cs="宋体"/>
                <w:color w:val="auto"/>
                <w:kern w:val="0"/>
                <w:sz w:val="24"/>
                <w:szCs w:val="24"/>
                <w:highlight w:val="none"/>
                <w:lang w:eastAsia="zh-CN"/>
              </w:rPr>
              <w:t>；</w:t>
            </w:r>
          </w:p>
          <w:p w14:paraId="556A7F5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操作系统：Android 7.1</w:t>
            </w:r>
            <w:r>
              <w:rPr>
                <w:rFonts w:hint="eastAsia" w:ascii="宋体" w:hAnsi="宋体" w:eastAsia="宋体" w:cs="宋体"/>
                <w:color w:val="auto"/>
                <w:kern w:val="0"/>
                <w:sz w:val="24"/>
                <w:szCs w:val="24"/>
                <w:highlight w:val="none"/>
                <w:lang w:val="en-US" w:eastAsia="zh-Hans"/>
              </w:rPr>
              <w:t>或以上</w:t>
            </w:r>
            <w:r>
              <w:rPr>
                <w:rFonts w:hint="eastAsia" w:ascii="宋体" w:hAnsi="宋体" w:eastAsia="宋体" w:cs="宋体"/>
                <w:color w:val="auto"/>
                <w:kern w:val="0"/>
                <w:sz w:val="24"/>
                <w:szCs w:val="24"/>
                <w:highlight w:val="none"/>
                <w:lang w:val="en-US" w:eastAsia="zh-CN"/>
              </w:rPr>
              <w:t>；</w:t>
            </w:r>
          </w:p>
          <w:p w14:paraId="309D340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xml:space="preserve">网络：支持以太网和WiFi </w:t>
            </w:r>
            <w:r>
              <w:rPr>
                <w:rFonts w:hint="eastAsia" w:ascii="宋体" w:hAnsi="宋体" w:eastAsia="宋体" w:cs="宋体"/>
                <w:color w:val="auto"/>
                <w:kern w:val="0"/>
                <w:sz w:val="24"/>
                <w:szCs w:val="24"/>
                <w:highlight w:val="none"/>
                <w:lang w:eastAsia="zh-CN"/>
              </w:rPr>
              <w:t>；</w:t>
            </w:r>
          </w:p>
          <w:p w14:paraId="2131A3D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耳机：头戴式耳机*1；</w:t>
            </w:r>
          </w:p>
          <w:p w14:paraId="520D4D6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Hans"/>
              </w:rPr>
              <w:t>规格</w:t>
            </w:r>
            <w:r>
              <w:rPr>
                <w:rFonts w:hint="eastAsia" w:ascii="宋体" w:hAnsi="宋体" w:eastAsia="宋体" w:cs="宋体"/>
                <w:color w:val="auto"/>
                <w:kern w:val="0"/>
                <w:sz w:val="24"/>
                <w:szCs w:val="24"/>
                <w:highlight w:val="none"/>
                <w:lang w:val="en-US" w:eastAsia="zh-CN"/>
              </w:rPr>
              <w:t>：白色，桌面款，钣金材质；</w:t>
            </w:r>
          </w:p>
        </w:tc>
        <w:tc>
          <w:tcPr>
            <w:tcW w:w="510" w:type="dxa"/>
            <w:vAlign w:val="center"/>
          </w:tcPr>
          <w:p w14:paraId="55C67535">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563" w:type="dxa"/>
            <w:vAlign w:val="center"/>
          </w:tcPr>
          <w:p w14:paraId="379C4DCA">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6</w:t>
            </w:r>
          </w:p>
        </w:tc>
        <w:tc>
          <w:tcPr>
            <w:tcW w:w="1125" w:type="dxa"/>
            <w:vAlign w:val="center"/>
          </w:tcPr>
          <w:p w14:paraId="0C2920C2">
            <w:pPr>
              <w:snapToGrid w:val="0"/>
              <w:ind w:left="0" w:leftChars="0" w:right="0" w:rightChars="0" w:firstLine="0" w:firstLineChars="0"/>
              <w:jc w:val="center"/>
              <w:rPr>
                <w:rFonts w:hint="default"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6000</w:t>
            </w:r>
          </w:p>
        </w:tc>
        <w:tc>
          <w:tcPr>
            <w:tcW w:w="569" w:type="dxa"/>
            <w:vAlign w:val="center"/>
          </w:tcPr>
          <w:p w14:paraId="6AE0FD5D">
            <w:pPr>
              <w:snapToGrid w:val="0"/>
              <w:ind w:left="0" w:leftChars="0" w:right="0" w:rightChars="0" w:firstLine="0" w:firstLineChars="0"/>
              <w:jc w:val="center"/>
              <w:rPr>
                <w:rFonts w:hint="eastAsia" w:ascii="宋体" w:hAnsi="宋体" w:eastAsia="宋体" w:cs="宋体"/>
                <w:color w:val="auto"/>
                <w:sz w:val="24"/>
                <w:szCs w:val="24"/>
                <w:highlight w:val="none"/>
                <w:vertAlign w:val="baseline"/>
              </w:rPr>
            </w:pPr>
          </w:p>
        </w:tc>
      </w:tr>
      <w:tr w14:paraId="2279A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8" w:hRule="atLeast"/>
          <w:jc w:val="center"/>
        </w:trPr>
        <w:tc>
          <w:tcPr>
            <w:tcW w:w="456" w:type="dxa"/>
          </w:tcPr>
          <w:p w14:paraId="11AE94E0">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bookmarkStart w:id="35" w:name="OLE_LINK2"/>
          </w:p>
          <w:p w14:paraId="3F2D5FEF">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57DA8DA1">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44520E5E">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0EACADF5">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7E36EDF5">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179CEB94">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295D50E6">
            <w:pPr>
              <w:snapToGrid w:val="0"/>
              <w:ind w:left="0" w:leftChars="0" w:right="0" w:rightChars="0" w:firstLine="0" w:firstLineChars="0"/>
              <w:jc w:val="both"/>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w:t>
            </w:r>
          </w:p>
        </w:tc>
        <w:tc>
          <w:tcPr>
            <w:tcW w:w="1461" w:type="dxa"/>
          </w:tcPr>
          <w:p w14:paraId="62105DC7">
            <w:pPr>
              <w:pStyle w:val="35"/>
              <w:keepNext w:val="0"/>
              <w:keepLines w:val="0"/>
              <w:widowControl/>
              <w:suppressLineNumbers w:val="0"/>
              <w:spacing w:before="0" w:beforeAutospacing="0" w:after="0" w:afterAutospacing="0"/>
              <w:ind w:left="0" w:right="0" w:firstLine="0"/>
              <w:rPr>
                <w:rFonts w:hint="eastAsia" w:ascii="宋体" w:hAnsi="宋体" w:eastAsia="宋体" w:cs="宋体"/>
                <w:color w:val="auto"/>
                <w:sz w:val="24"/>
                <w:szCs w:val="24"/>
                <w:highlight w:val="none"/>
              </w:rPr>
            </w:pPr>
          </w:p>
          <w:p w14:paraId="34E4EE4B">
            <w:pPr>
              <w:pStyle w:val="35"/>
              <w:keepNext w:val="0"/>
              <w:keepLines w:val="0"/>
              <w:widowControl/>
              <w:suppressLineNumbers w:val="0"/>
              <w:spacing w:before="0" w:beforeAutospacing="0" w:after="0" w:afterAutospacing="0"/>
              <w:ind w:left="0" w:right="0" w:firstLine="0"/>
              <w:rPr>
                <w:rFonts w:hint="eastAsia" w:ascii="宋体" w:hAnsi="宋体" w:eastAsia="宋体" w:cs="宋体"/>
                <w:color w:val="auto"/>
                <w:sz w:val="24"/>
                <w:szCs w:val="24"/>
                <w:highlight w:val="none"/>
              </w:rPr>
            </w:pPr>
          </w:p>
          <w:p w14:paraId="0D3CFDFC">
            <w:pPr>
              <w:pStyle w:val="35"/>
              <w:keepNext w:val="0"/>
              <w:keepLines w:val="0"/>
              <w:widowControl/>
              <w:suppressLineNumbers w:val="0"/>
              <w:spacing w:before="0" w:beforeAutospacing="0" w:after="0" w:afterAutospacing="0"/>
              <w:ind w:left="0" w:right="0" w:firstLine="0"/>
              <w:rPr>
                <w:rFonts w:hint="eastAsia" w:ascii="宋体" w:hAnsi="宋体" w:eastAsia="宋体" w:cs="宋体"/>
                <w:color w:val="auto"/>
                <w:sz w:val="24"/>
                <w:szCs w:val="24"/>
                <w:highlight w:val="none"/>
              </w:rPr>
            </w:pPr>
          </w:p>
          <w:p w14:paraId="6BFEB47C">
            <w:pPr>
              <w:pStyle w:val="35"/>
              <w:keepNext w:val="0"/>
              <w:keepLines w:val="0"/>
              <w:widowControl/>
              <w:suppressLineNumbers w:val="0"/>
              <w:spacing w:before="0" w:beforeAutospacing="0" w:after="0" w:afterAutospacing="0"/>
              <w:ind w:left="0" w:right="0" w:firstLine="0"/>
              <w:rPr>
                <w:rFonts w:hint="eastAsia" w:ascii="宋体" w:hAnsi="宋体" w:eastAsia="宋体" w:cs="宋体"/>
                <w:color w:val="auto"/>
                <w:sz w:val="24"/>
                <w:szCs w:val="24"/>
                <w:highlight w:val="none"/>
              </w:rPr>
            </w:pPr>
          </w:p>
          <w:p w14:paraId="4C84D39C">
            <w:pPr>
              <w:pStyle w:val="35"/>
              <w:keepNext w:val="0"/>
              <w:keepLines w:val="0"/>
              <w:widowControl/>
              <w:suppressLineNumbers w:val="0"/>
              <w:spacing w:before="0" w:beforeAutospacing="0" w:after="0" w:afterAutospacing="0"/>
              <w:ind w:left="0" w:right="0" w:firstLine="0"/>
              <w:rPr>
                <w:rFonts w:hint="eastAsia" w:ascii="宋体" w:hAnsi="宋体" w:eastAsia="宋体" w:cs="宋体"/>
                <w:color w:val="auto"/>
                <w:sz w:val="24"/>
                <w:szCs w:val="24"/>
                <w:highlight w:val="none"/>
              </w:rPr>
            </w:pPr>
          </w:p>
          <w:p w14:paraId="4F12FF7C">
            <w:pPr>
              <w:pStyle w:val="35"/>
              <w:keepNext w:val="0"/>
              <w:keepLines w:val="0"/>
              <w:widowControl/>
              <w:suppressLineNumbers w:val="0"/>
              <w:spacing w:before="0" w:beforeAutospacing="0" w:after="0" w:afterAutospacing="0"/>
              <w:ind w:left="0" w:right="0" w:firstLine="0"/>
              <w:rPr>
                <w:rFonts w:hint="eastAsia" w:ascii="宋体" w:hAnsi="宋体" w:eastAsia="宋体" w:cs="宋体"/>
                <w:color w:val="auto"/>
                <w:sz w:val="24"/>
                <w:szCs w:val="24"/>
                <w:highlight w:val="none"/>
              </w:rPr>
            </w:pPr>
          </w:p>
          <w:p w14:paraId="21E05B20">
            <w:pPr>
              <w:shd w:val="clear"/>
              <w:snapToGrid w:val="0"/>
              <w:ind w:left="0" w:leftChars="0" w:right="0" w:rightChars="0" w:firstLine="0" w:firstLineChars="0"/>
              <w:jc w:val="center"/>
              <w:rPr>
                <w:rFonts w:hint="eastAsia" w:ascii="宋体" w:hAnsi="宋体" w:eastAsia="宋体" w:cs="宋体"/>
                <w:color w:val="auto"/>
                <w:kern w:val="0"/>
                <w:sz w:val="24"/>
                <w:szCs w:val="24"/>
                <w:highlight w:val="none"/>
                <w:lang w:val="en-US" w:eastAsia="zh-Hans"/>
              </w:rPr>
            </w:pPr>
            <w:r>
              <w:rPr>
                <w:rFonts w:hint="eastAsia" w:ascii="宋体" w:hAnsi="宋体" w:cs="宋体"/>
                <w:color w:val="auto"/>
                <w:sz w:val="24"/>
                <w:szCs w:val="32"/>
                <w:highlight w:val="none"/>
                <w:lang w:val="en-US" w:eastAsia="zh-CN"/>
              </w:rPr>
              <w:t>※</w:t>
            </w:r>
            <w:r>
              <w:rPr>
                <w:rFonts w:hint="eastAsia" w:ascii="宋体" w:hAnsi="宋体" w:eastAsia="宋体" w:cs="宋体"/>
                <w:color w:val="auto"/>
                <w:kern w:val="0"/>
                <w:sz w:val="24"/>
                <w:szCs w:val="24"/>
                <w:highlight w:val="none"/>
                <w:lang w:val="en-US" w:eastAsia="zh-Hans"/>
              </w:rPr>
              <w:t>AI</w:t>
            </w:r>
            <w:r>
              <w:rPr>
                <w:rFonts w:hint="eastAsia" w:ascii="宋体" w:hAnsi="宋体" w:eastAsia="宋体" w:cs="宋体"/>
                <w:color w:val="auto"/>
                <w:kern w:val="0"/>
                <w:sz w:val="24"/>
                <w:szCs w:val="24"/>
                <w:highlight w:val="none"/>
                <w:lang w:val="en-US" w:eastAsia="zh-CN"/>
              </w:rPr>
              <w:t>随心阅</w:t>
            </w:r>
            <w:r>
              <w:rPr>
                <w:rFonts w:hint="eastAsia" w:ascii="宋体" w:hAnsi="宋体" w:eastAsia="宋体" w:cs="宋体"/>
                <w:color w:val="auto"/>
                <w:kern w:val="0"/>
                <w:sz w:val="24"/>
                <w:szCs w:val="24"/>
                <w:highlight w:val="none"/>
                <w:lang w:val="en-US" w:eastAsia="zh-Hans"/>
              </w:rPr>
              <w:t>智慧</w:t>
            </w:r>
            <w:r>
              <w:rPr>
                <w:rFonts w:hint="eastAsia" w:ascii="宋体" w:hAnsi="宋体" w:eastAsia="宋体" w:cs="宋体"/>
                <w:color w:val="auto"/>
                <w:kern w:val="0"/>
                <w:sz w:val="24"/>
                <w:szCs w:val="24"/>
                <w:highlight w:val="none"/>
                <w:lang w:val="en-US" w:eastAsia="zh-CN"/>
              </w:rPr>
              <w:t>阅读</w:t>
            </w:r>
            <w:r>
              <w:rPr>
                <w:rFonts w:hint="eastAsia" w:ascii="宋体" w:hAnsi="宋体" w:eastAsia="宋体" w:cs="宋体"/>
                <w:color w:val="auto"/>
                <w:kern w:val="0"/>
                <w:sz w:val="24"/>
                <w:szCs w:val="24"/>
                <w:highlight w:val="none"/>
                <w:lang w:val="en-US" w:eastAsia="zh-Hans"/>
              </w:rPr>
              <w:t>终端</w:t>
            </w:r>
          </w:p>
          <w:p w14:paraId="3451B829">
            <w:pPr>
              <w:snapToGrid w:val="0"/>
              <w:ind w:left="0" w:leftChars="0" w:right="0" w:rightChars="0" w:firstLine="0" w:firstLineChars="0"/>
              <w:jc w:val="center"/>
              <w:rPr>
                <w:rFonts w:hint="eastAsia" w:ascii="宋体" w:hAnsi="宋体" w:eastAsia="宋体" w:cs="宋体"/>
                <w:color w:val="auto"/>
                <w:sz w:val="24"/>
                <w:szCs w:val="24"/>
                <w:highlight w:val="none"/>
                <w:vertAlign w:val="baseline"/>
              </w:rPr>
            </w:pPr>
          </w:p>
        </w:tc>
        <w:tc>
          <w:tcPr>
            <w:tcW w:w="9351" w:type="dxa"/>
            <w:shd w:val="clear" w:color="auto" w:fill="auto"/>
            <w:vAlign w:val="bottom"/>
          </w:tcPr>
          <w:p w14:paraId="0F245387">
            <w:pPr>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auto"/>
              <w:ind w:right="0" w:rightChars="0"/>
              <w:jc w:val="left"/>
              <w:textAlignment w:val="auto"/>
              <w:rPr>
                <w:rFonts w:hint="eastAsia" w:ascii="宋体" w:hAnsi="宋体" w:eastAsia="宋体" w:cs="宋体"/>
                <w:b/>
                <w:bCs/>
                <w:color w:val="auto"/>
                <w:kern w:val="0"/>
                <w:sz w:val="24"/>
                <w:szCs w:val="24"/>
                <w:highlight w:val="none"/>
                <w:lang w:val="en-US" w:eastAsia="zh-CN"/>
              </w:rPr>
            </w:pPr>
            <w:r>
              <w:rPr>
                <w:rFonts w:hint="eastAsia" w:cs="宋体"/>
                <w:color w:val="auto"/>
                <w:sz w:val="24"/>
                <w:szCs w:val="32"/>
                <w:highlight w:val="none"/>
                <w:lang w:val="en-US" w:eastAsia="zh-CN"/>
              </w:rPr>
              <w:t xml:space="preserve">1. </w:t>
            </w:r>
            <w:r>
              <w:rPr>
                <w:rFonts w:hint="eastAsia" w:ascii="宋体" w:hAnsi="宋体" w:eastAsia="宋体" w:cs="宋体"/>
                <w:b/>
                <w:bCs/>
                <w:color w:val="auto"/>
                <w:kern w:val="0"/>
                <w:sz w:val="24"/>
                <w:szCs w:val="24"/>
                <w:highlight w:val="none"/>
                <w:lang w:val="en-US" w:eastAsia="zh-Hans"/>
              </w:rPr>
              <w:t>硬件要求：</w:t>
            </w:r>
          </w:p>
          <w:p w14:paraId="251B790B">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★1.1 </w:t>
            </w:r>
            <w:r>
              <w:rPr>
                <w:rFonts w:hint="eastAsia" w:ascii="宋体" w:hAnsi="宋体" w:eastAsia="宋体" w:cs="宋体"/>
                <w:color w:val="auto"/>
                <w:kern w:val="0"/>
                <w:sz w:val="24"/>
                <w:szCs w:val="24"/>
                <w:highlight w:val="none"/>
                <w:lang w:val="en-US" w:eastAsia="zh-Hans"/>
              </w:rPr>
              <w:t>屏幕尺寸≥13.3寸</w:t>
            </w:r>
            <w:r>
              <w:rPr>
                <w:rFonts w:hint="eastAsia" w:ascii="宋体" w:hAnsi="宋体" w:eastAsia="宋体" w:cs="宋体"/>
                <w:color w:val="auto"/>
                <w:kern w:val="0"/>
                <w:sz w:val="24"/>
                <w:szCs w:val="24"/>
                <w:highlight w:val="none"/>
                <w:lang w:val="en-US" w:eastAsia="zh-CN"/>
              </w:rPr>
              <w:t>；</w:t>
            </w:r>
          </w:p>
          <w:p w14:paraId="1FE5A6D9">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★1.2 </w:t>
            </w:r>
            <w:r>
              <w:rPr>
                <w:rFonts w:hint="eastAsia" w:ascii="宋体" w:hAnsi="宋体" w:eastAsia="宋体" w:cs="宋体"/>
                <w:color w:val="auto"/>
                <w:kern w:val="0"/>
                <w:sz w:val="24"/>
                <w:szCs w:val="24"/>
                <w:highlight w:val="none"/>
                <w:lang w:val="en-US" w:eastAsia="zh-Hans"/>
              </w:rPr>
              <w:t>触摸：电容多点触摸屏</w:t>
            </w:r>
            <w:r>
              <w:rPr>
                <w:rFonts w:hint="eastAsia" w:ascii="宋体" w:hAnsi="宋体" w:eastAsia="宋体" w:cs="宋体"/>
                <w:color w:val="auto"/>
                <w:kern w:val="0"/>
                <w:sz w:val="24"/>
                <w:szCs w:val="24"/>
                <w:highlight w:val="none"/>
                <w:lang w:val="en-US" w:eastAsia="zh-CN"/>
              </w:rPr>
              <w:t>；</w:t>
            </w:r>
          </w:p>
          <w:p w14:paraId="5D3B8C24">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★1.3 </w:t>
            </w:r>
            <w:r>
              <w:rPr>
                <w:rFonts w:hint="eastAsia" w:ascii="宋体" w:hAnsi="宋体" w:eastAsia="宋体" w:cs="宋体"/>
                <w:color w:val="auto"/>
                <w:kern w:val="0"/>
                <w:sz w:val="24"/>
                <w:szCs w:val="24"/>
                <w:highlight w:val="none"/>
                <w:lang w:val="en-US" w:eastAsia="zh-Hans"/>
              </w:rPr>
              <w:t>单屏分辨率≥1080*1920</w:t>
            </w:r>
            <w:r>
              <w:rPr>
                <w:rFonts w:hint="eastAsia" w:ascii="宋体" w:hAnsi="宋体" w:eastAsia="宋体" w:cs="宋体"/>
                <w:color w:val="auto"/>
                <w:kern w:val="0"/>
                <w:sz w:val="24"/>
                <w:szCs w:val="24"/>
                <w:highlight w:val="none"/>
                <w:lang w:val="en-US" w:eastAsia="zh-CN"/>
              </w:rPr>
              <w:t>；</w:t>
            </w:r>
          </w:p>
          <w:p w14:paraId="64598A32">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★1.4 </w:t>
            </w:r>
            <w:r>
              <w:rPr>
                <w:rFonts w:hint="eastAsia" w:ascii="宋体" w:hAnsi="宋体" w:eastAsia="宋体" w:cs="宋体"/>
                <w:color w:val="auto"/>
                <w:kern w:val="0"/>
                <w:sz w:val="24"/>
                <w:szCs w:val="24"/>
                <w:highlight w:val="none"/>
                <w:lang w:val="en-US" w:eastAsia="zh-Hans"/>
              </w:rPr>
              <w:t>CPU≥</w:t>
            </w:r>
            <w:r>
              <w:rPr>
                <w:rFonts w:hint="eastAsia" w:ascii="宋体" w:hAnsi="宋体" w:eastAsia="宋体" w:cs="宋体"/>
                <w:color w:val="auto"/>
                <w:kern w:val="0"/>
                <w:sz w:val="24"/>
                <w:szCs w:val="24"/>
                <w:highlight w:val="none"/>
                <w:lang w:val="en-US" w:eastAsia="zh-CN"/>
              </w:rPr>
              <w:t>四核；</w:t>
            </w:r>
          </w:p>
          <w:p w14:paraId="3E14E2C1">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1.5 </w:t>
            </w:r>
            <w:r>
              <w:rPr>
                <w:rFonts w:hint="eastAsia" w:ascii="宋体" w:hAnsi="宋体" w:eastAsia="宋体" w:cs="宋体"/>
                <w:color w:val="auto"/>
                <w:kern w:val="0"/>
                <w:sz w:val="24"/>
                <w:szCs w:val="24"/>
                <w:highlight w:val="none"/>
                <w:lang w:val="en-US" w:eastAsia="zh-Hans"/>
              </w:rPr>
              <w:t xml:space="preserve">运行内存≥2G </w:t>
            </w:r>
            <w:r>
              <w:rPr>
                <w:rFonts w:hint="eastAsia" w:ascii="宋体" w:hAnsi="宋体" w:eastAsia="宋体" w:cs="宋体"/>
                <w:color w:val="auto"/>
                <w:kern w:val="0"/>
                <w:sz w:val="24"/>
                <w:szCs w:val="24"/>
                <w:highlight w:val="none"/>
                <w:lang w:val="en-US" w:eastAsia="zh-CN"/>
              </w:rPr>
              <w:t>；</w:t>
            </w:r>
          </w:p>
          <w:p w14:paraId="36BE6CC3">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1.6 </w:t>
            </w:r>
            <w:r>
              <w:rPr>
                <w:rFonts w:hint="eastAsia" w:ascii="宋体" w:hAnsi="宋体" w:eastAsia="宋体" w:cs="宋体"/>
                <w:color w:val="auto"/>
                <w:kern w:val="0"/>
                <w:sz w:val="24"/>
                <w:szCs w:val="24"/>
                <w:highlight w:val="none"/>
                <w:lang w:val="en-US" w:eastAsia="zh-Hans"/>
              </w:rPr>
              <w:t>内置存储≥</w:t>
            </w:r>
            <w:r>
              <w:rPr>
                <w:rFonts w:hint="eastAsia" w:ascii="宋体" w:hAnsi="宋体" w:eastAsia="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lang w:val="en-US" w:eastAsia="zh-Hans"/>
              </w:rPr>
              <w:t>G</w:t>
            </w:r>
            <w:r>
              <w:rPr>
                <w:rFonts w:hint="eastAsia" w:ascii="宋体" w:hAnsi="宋体" w:eastAsia="宋体" w:cs="宋体"/>
                <w:color w:val="auto"/>
                <w:kern w:val="0"/>
                <w:sz w:val="24"/>
                <w:szCs w:val="24"/>
                <w:highlight w:val="none"/>
                <w:lang w:val="en-US" w:eastAsia="zh-CN"/>
              </w:rPr>
              <w:t>；</w:t>
            </w:r>
          </w:p>
          <w:p w14:paraId="087F4648">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1.7 </w:t>
            </w:r>
            <w:r>
              <w:rPr>
                <w:rFonts w:hint="eastAsia" w:ascii="宋体" w:hAnsi="宋体" w:eastAsia="宋体" w:cs="宋体"/>
                <w:color w:val="auto"/>
                <w:kern w:val="0"/>
                <w:sz w:val="24"/>
                <w:szCs w:val="24"/>
                <w:highlight w:val="none"/>
                <w:lang w:val="en-US" w:eastAsia="zh-Hans"/>
              </w:rPr>
              <w:t>操作系统：Android</w:t>
            </w:r>
            <w:r>
              <w:rPr>
                <w:rFonts w:hint="eastAsia" w:ascii="宋体" w:hAnsi="宋体" w:eastAsia="宋体" w:cs="宋体"/>
                <w:color w:val="auto"/>
                <w:kern w:val="0"/>
                <w:sz w:val="24"/>
                <w:szCs w:val="24"/>
                <w:highlight w:val="none"/>
                <w:lang w:val="en-US" w:eastAsia="zh-CN"/>
              </w:rPr>
              <w:t>；</w:t>
            </w:r>
          </w:p>
          <w:p w14:paraId="034CB614">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1.9 </w:t>
            </w:r>
            <w:r>
              <w:rPr>
                <w:rFonts w:hint="eastAsia" w:ascii="宋体" w:hAnsi="宋体" w:eastAsia="宋体" w:cs="宋体"/>
                <w:color w:val="auto"/>
                <w:kern w:val="0"/>
                <w:sz w:val="24"/>
                <w:szCs w:val="24"/>
                <w:highlight w:val="none"/>
                <w:lang w:val="en-US" w:eastAsia="zh-Hans"/>
              </w:rPr>
              <w:t>网络</w:t>
            </w:r>
            <w:r>
              <w:rPr>
                <w:rFonts w:hint="eastAsia"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Hans"/>
              </w:rPr>
              <w:t>支持WiFi和以太网</w:t>
            </w:r>
            <w:r>
              <w:rPr>
                <w:rFonts w:hint="eastAsia" w:ascii="宋体" w:hAnsi="宋体" w:eastAsia="宋体" w:cs="宋体"/>
                <w:color w:val="auto"/>
                <w:kern w:val="0"/>
                <w:sz w:val="24"/>
                <w:szCs w:val="24"/>
                <w:highlight w:val="none"/>
                <w:lang w:val="en-US" w:eastAsia="zh-CN"/>
              </w:rPr>
              <w:t>；</w:t>
            </w:r>
          </w:p>
          <w:p w14:paraId="0DB80CA9">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Hans"/>
              </w:rPr>
              <w:t>2.</w:t>
            </w:r>
            <w:r>
              <w:rPr>
                <w:rFonts w:hint="eastAsia" w:cs="宋体"/>
                <w:b/>
                <w:bCs/>
                <w:color w:val="auto"/>
                <w:kern w:val="0"/>
                <w:sz w:val="24"/>
                <w:szCs w:val="24"/>
                <w:highlight w:val="none"/>
                <w:lang w:val="en-US" w:eastAsia="zh-CN"/>
              </w:rPr>
              <w:t xml:space="preserve"> </w:t>
            </w:r>
            <w:r>
              <w:rPr>
                <w:rFonts w:hint="eastAsia" w:ascii="宋体" w:hAnsi="宋体" w:eastAsia="宋体" w:cs="宋体"/>
                <w:b/>
                <w:bCs/>
                <w:color w:val="auto"/>
                <w:kern w:val="0"/>
                <w:sz w:val="24"/>
                <w:szCs w:val="24"/>
                <w:highlight w:val="none"/>
                <w:lang w:val="en-US" w:eastAsia="zh-CN"/>
              </w:rPr>
              <w:t>系统</w:t>
            </w:r>
          </w:p>
          <w:p w14:paraId="14A1D468">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★2.1 AI随心阅智慧阅读终端</w:t>
            </w:r>
            <w:r>
              <w:rPr>
                <w:rFonts w:hint="eastAsia" w:ascii="宋体" w:hAnsi="宋体" w:eastAsia="宋体" w:cs="宋体"/>
                <w:color w:val="auto"/>
                <w:kern w:val="0"/>
                <w:sz w:val="24"/>
                <w:szCs w:val="24"/>
                <w:highlight w:val="none"/>
                <w:lang w:val="en-US" w:eastAsia="zh-Hans"/>
              </w:rPr>
              <w:t>软件运行环境为Android系统</w:t>
            </w:r>
            <w:r>
              <w:rPr>
                <w:rFonts w:hint="eastAsia" w:ascii="宋体" w:hAnsi="宋体" w:eastAsia="宋体" w:cs="宋体"/>
                <w:color w:val="auto"/>
                <w:kern w:val="0"/>
                <w:sz w:val="24"/>
                <w:szCs w:val="24"/>
                <w:highlight w:val="none"/>
                <w:lang w:val="en-US" w:eastAsia="zh-CN"/>
              </w:rPr>
              <w:t>；</w:t>
            </w:r>
          </w:p>
          <w:p w14:paraId="0C9FFCE7">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2.2 AI随心阅智慧阅读终端需</w:t>
            </w:r>
            <w:r>
              <w:rPr>
                <w:rFonts w:hint="eastAsia" w:ascii="宋体" w:hAnsi="宋体" w:eastAsia="宋体" w:cs="宋体"/>
                <w:color w:val="auto"/>
                <w:kern w:val="0"/>
                <w:sz w:val="24"/>
                <w:szCs w:val="24"/>
                <w:highlight w:val="none"/>
                <w:lang w:val="en-US" w:eastAsia="zh-Hans"/>
              </w:rPr>
              <w:t>实现</w:t>
            </w:r>
            <w:r>
              <w:rPr>
                <w:rFonts w:hint="eastAsia" w:ascii="宋体" w:hAnsi="宋体" w:eastAsia="宋体" w:cs="宋体"/>
                <w:color w:val="auto"/>
                <w:kern w:val="0"/>
                <w:sz w:val="24"/>
                <w:szCs w:val="24"/>
                <w:highlight w:val="none"/>
                <w:lang w:val="en-US" w:eastAsia="zh-CN"/>
              </w:rPr>
              <w:t>AI数字馆员交互能力、功能和</w:t>
            </w:r>
            <w:r>
              <w:rPr>
                <w:rFonts w:hint="eastAsia" w:ascii="宋体" w:hAnsi="宋体" w:eastAsia="宋体" w:cs="宋体"/>
                <w:color w:val="auto"/>
                <w:kern w:val="0"/>
                <w:sz w:val="24"/>
                <w:szCs w:val="24"/>
                <w:highlight w:val="none"/>
                <w:lang w:val="en-US" w:eastAsia="zh-Hans"/>
              </w:rPr>
              <w:t>资源的</w:t>
            </w:r>
            <w:r>
              <w:rPr>
                <w:rFonts w:hint="eastAsia" w:ascii="宋体" w:hAnsi="宋体" w:eastAsia="宋体" w:cs="宋体"/>
                <w:color w:val="auto"/>
                <w:kern w:val="0"/>
                <w:sz w:val="24"/>
                <w:szCs w:val="24"/>
                <w:highlight w:val="none"/>
                <w:lang w:val="en-US" w:eastAsia="zh-CN"/>
              </w:rPr>
              <w:t>前端展示及</w:t>
            </w:r>
            <w:r>
              <w:rPr>
                <w:rFonts w:hint="eastAsia" w:ascii="宋体" w:hAnsi="宋体" w:eastAsia="宋体" w:cs="宋体"/>
                <w:color w:val="auto"/>
                <w:kern w:val="0"/>
                <w:sz w:val="24"/>
                <w:szCs w:val="24"/>
                <w:highlight w:val="none"/>
                <w:lang w:val="en-US" w:eastAsia="zh-Hans"/>
              </w:rPr>
              <w:t>后台管理</w:t>
            </w:r>
            <w:r>
              <w:rPr>
                <w:rFonts w:hint="eastAsia" w:ascii="宋体" w:hAnsi="宋体" w:eastAsia="宋体" w:cs="宋体"/>
                <w:color w:val="auto"/>
                <w:kern w:val="0"/>
                <w:sz w:val="24"/>
                <w:szCs w:val="24"/>
                <w:highlight w:val="none"/>
                <w:lang w:val="en-US" w:eastAsia="zh-CN"/>
              </w:rPr>
              <w:t>、打印</w:t>
            </w:r>
            <w:r>
              <w:rPr>
                <w:rFonts w:hint="eastAsia" w:ascii="宋体" w:hAnsi="宋体" w:eastAsia="宋体" w:cs="宋体"/>
                <w:color w:val="auto"/>
                <w:kern w:val="0"/>
                <w:sz w:val="24"/>
                <w:szCs w:val="24"/>
                <w:highlight w:val="none"/>
                <w:lang w:val="en-US" w:eastAsia="zh-Hans"/>
              </w:rPr>
              <w:t>等功能</w:t>
            </w:r>
            <w:r>
              <w:rPr>
                <w:rFonts w:hint="eastAsia" w:ascii="宋体" w:hAnsi="宋体" w:eastAsia="宋体" w:cs="宋体"/>
                <w:color w:val="auto"/>
                <w:kern w:val="0"/>
                <w:sz w:val="24"/>
                <w:szCs w:val="24"/>
                <w:highlight w:val="none"/>
                <w:lang w:val="en-US" w:eastAsia="zh-CN"/>
              </w:rPr>
              <w:t>；</w:t>
            </w:r>
          </w:p>
          <w:p w14:paraId="561EE6FA">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★2.3 可输出以实体纸张为载体的阅读片段、知识片段或具体的服务内容，弱化传统大屏的同质化设计，可通过物理按钮触发打印，增强操作互动性与趣味性体验；</w:t>
            </w:r>
          </w:p>
          <w:p w14:paraId="182DA23F">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2.4 两侧屏幕均需支持触摸，支持左右屏互动，点击左侧屏幕，内容在右屏展开，增加交互的效果；</w:t>
            </w:r>
          </w:p>
          <w:p w14:paraId="0E18F678">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2.5 为增强系统安全性，需提供进程保护程序，当程序被异常退出时可自动重启程序，保护设备不被恶意篡改；</w:t>
            </w:r>
          </w:p>
          <w:p w14:paraId="675B9EF2">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Hans"/>
              </w:rPr>
              <w:t xml:space="preserve">3. </w:t>
            </w:r>
            <w:r>
              <w:rPr>
                <w:rFonts w:hint="eastAsia" w:ascii="宋体" w:hAnsi="宋体" w:eastAsia="宋体" w:cs="宋体"/>
                <w:b/>
                <w:bCs/>
                <w:color w:val="auto"/>
                <w:kern w:val="0"/>
                <w:sz w:val="24"/>
                <w:szCs w:val="24"/>
                <w:highlight w:val="none"/>
                <w:lang w:val="en-US" w:eastAsia="zh-CN"/>
              </w:rPr>
              <w:t>标准功能</w:t>
            </w:r>
          </w:p>
          <w:p w14:paraId="1760A51F">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trike w:val="0"/>
                <w:dstrike w:val="0"/>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★3.1 AI随心阅智慧阅读终端提供打印功能，将书籍、知识等内容巧妙拆解为章节、片段、知识点，并打印成可随身携带的实体纸张；</w:t>
            </w:r>
          </w:p>
          <w:p w14:paraId="2BCC8279">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3.2 打印内容可设置为盲盒式随机匹配，用户按下按钮即开启 “期待 - 获取 - 探索” 的体验闭环，相比纯屏幕浏览更易激发分享欲，赋予阅读趣味性、互动性、仪式感与惊喜感；</w:t>
            </w:r>
          </w:p>
          <w:p w14:paraId="576DBB2D">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trike/>
                <w:dstrike w:val="0"/>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3.3 需提供好书荐读：可将图书馆好书目录批量导入系统，用户按下“好书荐读”，系统随机推荐一本好书，可呈现该书的作者、出版社、图书简介、推荐语等信息。用户可选择生成海报扫码保存至手机，</w:t>
            </w:r>
            <w:r>
              <w:rPr>
                <w:rFonts w:hint="eastAsia" w:ascii="宋体" w:hAnsi="宋体" w:eastAsia="宋体" w:cs="宋体"/>
                <w:strike w:val="0"/>
                <w:dstrike w:val="0"/>
                <w:color w:val="auto"/>
                <w:kern w:val="0"/>
                <w:sz w:val="24"/>
                <w:szCs w:val="24"/>
                <w:highlight w:val="none"/>
                <w:lang w:val="en-US" w:eastAsia="zh-CN"/>
              </w:rPr>
              <w:t>也可选择打印，将内容打印到纸张上带走；</w:t>
            </w:r>
          </w:p>
          <w:p w14:paraId="3B30F589">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trike/>
                <w:dstrike w:val="0"/>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3.4 新书荐读：可将图书馆新书目录批量导入系统，用户按下“新书荐读”，系统随机推荐一本新书，可呈现该书的作者、出版社、图书简介、推荐语等信息，用户可选择生成海报扫码保存至手机，</w:t>
            </w:r>
            <w:r>
              <w:rPr>
                <w:rFonts w:hint="eastAsia" w:ascii="宋体" w:hAnsi="宋体" w:eastAsia="宋体" w:cs="宋体"/>
                <w:strike w:val="0"/>
                <w:dstrike w:val="0"/>
                <w:color w:val="auto"/>
                <w:kern w:val="0"/>
                <w:sz w:val="24"/>
                <w:szCs w:val="24"/>
                <w:highlight w:val="none"/>
                <w:lang w:val="en-US" w:eastAsia="zh-CN"/>
              </w:rPr>
              <w:t>也可选择打印，将内容打印到纸张上带走；</w:t>
            </w:r>
          </w:p>
          <w:p w14:paraId="449F7F9C">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trike w:val="0"/>
                <w:dstrike w:val="0"/>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3.5 </w:t>
            </w:r>
            <w:r>
              <w:rPr>
                <w:rFonts w:hint="eastAsia" w:ascii="宋体" w:hAnsi="宋体" w:eastAsia="宋体" w:cs="宋体"/>
                <w:strike w:val="0"/>
                <w:dstrike w:val="0"/>
                <w:color w:val="auto"/>
                <w:kern w:val="0"/>
                <w:sz w:val="24"/>
                <w:szCs w:val="24"/>
                <w:highlight w:val="none"/>
                <w:lang w:val="en-US" w:eastAsia="zh-CN"/>
              </w:rPr>
              <w:t>文摘盲盒：从海量资源库随机抽取一本好书的某个精彩篇章，用户可选择生成海报扫码保存至手机，也可选择打印，将内容打印到纸张上带走；</w:t>
            </w:r>
          </w:p>
          <w:p w14:paraId="1CC39CDF">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3.6 需提供不少于10万篇中文打印素材，内容涵盖经典阅读片段、名人名言、名言警句、科普知识、诗词、台词、国学、文案金句等；</w:t>
            </w:r>
          </w:p>
          <w:p w14:paraId="50D868DA">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3.7 需提供不少于5万篇英文打印素材，内容涵盖英文名著经典片段、影视台词等；</w:t>
            </w:r>
          </w:p>
          <w:p w14:paraId="48ADA00D">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3.8 AI生成故事：用户可自主输入多个关键词，AI即时通过用户输入的关键词生成一篇故事。使用单位可在后台训练故事的固定风格，比如训练AI输出正能量故事、生成适合少儿阅读的故事、生成适合中学生阅读的故事等等。用户可选择生成海报扫码保存至手机，</w:t>
            </w:r>
            <w:r>
              <w:rPr>
                <w:rFonts w:hint="eastAsia" w:ascii="宋体" w:hAnsi="宋体" w:eastAsia="宋体" w:cs="宋体"/>
                <w:strike w:val="0"/>
                <w:dstrike w:val="0"/>
                <w:color w:val="auto"/>
                <w:kern w:val="0"/>
                <w:sz w:val="24"/>
                <w:szCs w:val="24"/>
                <w:highlight w:val="none"/>
                <w:lang w:val="en-US" w:eastAsia="zh-CN"/>
              </w:rPr>
              <w:t>也可选择打印，将内容打印到纸张上带走；</w:t>
            </w:r>
          </w:p>
          <w:p w14:paraId="0DA7C556">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trike w:val="0"/>
                <w:dstrike w:val="0"/>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3.9 </w:t>
            </w:r>
            <w:r>
              <w:rPr>
                <w:rFonts w:hint="eastAsia" w:ascii="宋体" w:hAnsi="宋体" w:eastAsia="宋体" w:cs="宋体"/>
                <w:strike w:val="0"/>
                <w:dstrike w:val="0"/>
                <w:color w:val="auto"/>
                <w:kern w:val="0"/>
                <w:sz w:val="24"/>
                <w:szCs w:val="24"/>
                <w:highlight w:val="none"/>
                <w:lang w:val="en-US" w:eastAsia="zh-CN"/>
              </w:rPr>
              <w:t>心情问候：用户可选择“心情很好”、“一般”、“不好”，AI自动根据用户选择的心情生成一段文字，给用户提供正面的情绪价值。用户可选择生成海报扫码保存至手机，也可选择打印，将内容打印到纸张上带走；</w:t>
            </w:r>
          </w:p>
          <w:p w14:paraId="0EDF2C49">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3.10 每个实体按钮可选择1个标准功能模块作为对应的固定内容，用户无需在屏幕上选择该功能模块，按下实体按钮的时候就自动随机打印该模块指定内容；</w:t>
            </w:r>
          </w:p>
          <w:p w14:paraId="385FD17F">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3.11 AI随心阅智慧阅读终端需提供自定义签名功能，当用户在设备上进行内容打印操作时，自定义的签名内容会自动添加至每张打印纸张的固定位置（如底部），与用户获取的知识内容一同输出，旨在为使用方提供灵活的信息传播途径。例如在图书馆可用于推荐新书或活动，发布讲座或竞赛通知等。使用方可根据自身需求，随时修改签名内容，实现信息的动态更新与精准投放，有效提升信息触达效率；</w:t>
            </w:r>
          </w:p>
          <w:p w14:paraId="4B6DA3FF">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trike w:val="0"/>
                <w:dstrike w:val="0"/>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3.12 </w:t>
            </w:r>
            <w:r>
              <w:rPr>
                <w:rFonts w:hint="eastAsia" w:ascii="宋体" w:hAnsi="宋体" w:eastAsia="宋体" w:cs="宋体"/>
                <w:strike w:val="0"/>
                <w:dstrike w:val="0"/>
                <w:color w:val="auto"/>
                <w:kern w:val="0"/>
                <w:sz w:val="24"/>
                <w:szCs w:val="24"/>
                <w:highlight w:val="none"/>
                <w:lang w:val="en-US" w:eastAsia="zh-CN"/>
              </w:rPr>
              <w:t>管理员可通过设备后台管理系统，自由编辑签名内容，内容可涵盖活动预告、资讯推荐、宣传标语等各类信息；</w:t>
            </w:r>
          </w:p>
          <w:p w14:paraId="463CE089">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3.13 AI随心阅智慧阅读终端需提供耗材余量监测功能，提供耗材用尽短信提醒功能，当设备检测到打印纸即将用尽时，自动给设备管理员发送短信提醒；短信发送频次1天/次，直到打印机检测到纸张剩余状态正常为止。</w:t>
            </w:r>
          </w:p>
          <w:p w14:paraId="28D745BB">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4．AI数字馆员功能</w:t>
            </w:r>
          </w:p>
          <w:p w14:paraId="7E62A4ED">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4.1  AI数字馆员需支持通过图书馆知识库训练，形成用户专有的智能内容引擎。能够快速理解本馆读者的问题意图，无论是询问图书馆的开闭馆时间、借阅规则、续借政策等基础问题，还是关于特定书籍、期刊、研究资料的查询，都能迅速给出精准、高效的解答；</w:t>
            </w:r>
          </w:p>
          <w:p w14:paraId="0C90E6E8">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trike/>
                <w:dstrike w:val="0"/>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strike w:val="0"/>
                <w:dstrike w:val="0"/>
                <w:color w:val="auto"/>
                <w:kern w:val="0"/>
                <w:sz w:val="24"/>
                <w:szCs w:val="24"/>
                <w:highlight w:val="none"/>
                <w:lang w:val="en-US" w:eastAsia="zh-CN"/>
              </w:rPr>
              <w:t>.2  随心阅AI智慧终端一体机需支持将AI对话中所需内容按需打印出来，让问答不只是虚拟的数据，而变成有实体的纸张，方便读者存档记忆，让服务效果更持久；</w:t>
            </w:r>
          </w:p>
          <w:p w14:paraId="495FE106">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trike/>
                <w:dstrike w:val="0"/>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4.3</w:t>
            </w:r>
            <w:r>
              <w:rPr>
                <w:rFonts w:hint="eastAsia" w:ascii="宋体" w:hAnsi="宋体" w:eastAsia="宋体" w:cs="宋体"/>
                <w:strike w:val="0"/>
                <w:dstrike w:val="0"/>
                <w:color w:val="auto"/>
                <w:kern w:val="0"/>
                <w:sz w:val="24"/>
                <w:szCs w:val="24"/>
                <w:highlight w:val="none"/>
                <w:lang w:val="en-US" w:eastAsia="zh-CN"/>
              </w:rPr>
              <w:t xml:space="preserve">  AI随心阅智慧阅读终端需支持通过语音交互打开首页的功能模块；</w:t>
            </w:r>
          </w:p>
          <w:p w14:paraId="75536AB7">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4.4  AI数字馆员需支持语音唤醒与触摸按钮等多种交互方式开启问答，激活后可实现语音人机对话，回答内容支持语音朗读；</w:t>
            </w:r>
          </w:p>
          <w:p w14:paraId="1939B5C7">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4.5  AI数字馆员界面需支持设有常见问题列表，便于用户快速查询；</w:t>
            </w:r>
          </w:p>
          <w:p w14:paraId="478C0A7F">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trike w:val="0"/>
                <w:dstrike w:val="0"/>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4.6  </w:t>
            </w:r>
            <w:r>
              <w:rPr>
                <w:rFonts w:hint="eastAsia" w:ascii="宋体" w:hAnsi="宋体" w:eastAsia="宋体" w:cs="宋体"/>
                <w:strike w:val="0"/>
                <w:dstrike w:val="0"/>
                <w:color w:val="auto"/>
                <w:kern w:val="0"/>
                <w:sz w:val="24"/>
                <w:szCs w:val="24"/>
                <w:highlight w:val="none"/>
                <w:lang w:val="en-US" w:eastAsia="zh-CN"/>
              </w:rPr>
              <w:t>AI数字馆员需支持问题模糊问答，当数字人无法精准匹配答案时，会推荐相关问题供用户参考，提升交互体验的流畅性与实用性；</w:t>
            </w:r>
          </w:p>
          <w:p w14:paraId="34EA0ADE">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4.7  AI数字馆员回答内容需支持文本、图片、应用任务等多种类型，用户可根据应用任务选项进行二次人机问答交互；</w:t>
            </w:r>
          </w:p>
          <w:p w14:paraId="64C34A1F">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4.8  AI数字馆员需具备大模型问答能力，支持对接通用大模型与行业专属知识库，实现多场景内容问答；</w:t>
            </w:r>
          </w:p>
          <w:p w14:paraId="2B7A0E9D">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4.9  AI数字馆员需配备“一键清屏”快捷操作，可即时删除历史对话记录，有效防止用户隐私信息泄露，避免被后续用户看到之前询问记录；</w:t>
            </w:r>
          </w:p>
          <w:p w14:paraId="202121EE">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5．个性化定制</w:t>
            </w:r>
          </w:p>
          <w:p w14:paraId="024F7E2C">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★5.1 单位后台管理系统需支持修改屏幕上的单位名称、logo图片；</w:t>
            </w:r>
          </w:p>
          <w:p w14:paraId="352B97B6">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5.2 单位后台管理系统需支持打印文章设置，可自定义配置打印文章的分类，可选定一个分类或者多个分类随机打印；</w:t>
            </w:r>
          </w:p>
          <w:p w14:paraId="30D5AFE7">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5.3 单位后台管理系统需支持文章上传功能，支持批量上传，用户可自定义上传短文章数据，实现资源个性化需求。</w:t>
            </w:r>
          </w:p>
        </w:tc>
        <w:tc>
          <w:tcPr>
            <w:tcW w:w="510" w:type="dxa"/>
          </w:tcPr>
          <w:p w14:paraId="59A5D1D3">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033E3ADE">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273402AF">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00A73A73">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0012E6CE">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27F2696D">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346E6F69">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515FAC3B">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5CE0BC7A">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70FA95AB">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563" w:type="dxa"/>
          </w:tcPr>
          <w:p w14:paraId="489C790F">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325E1400">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5C221240">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092C4566">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2C3C7775">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25072AC1">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180096D3">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3B1DBBFB">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759CA542">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60A3F030">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1125" w:type="dxa"/>
          </w:tcPr>
          <w:p w14:paraId="6006BA70">
            <w:pPr>
              <w:snapToGrid w:val="0"/>
              <w:ind w:left="0" w:leftChars="0" w:right="0" w:rightChars="0" w:firstLine="0" w:firstLineChars="0"/>
              <w:jc w:val="center"/>
              <w:rPr>
                <w:rFonts w:hint="eastAsia" w:cs="宋体"/>
                <w:color w:val="auto"/>
                <w:sz w:val="24"/>
                <w:szCs w:val="24"/>
                <w:highlight w:val="none"/>
                <w:vertAlign w:val="baseline"/>
                <w:lang w:val="en-US" w:eastAsia="zh-CN"/>
              </w:rPr>
            </w:pPr>
          </w:p>
          <w:p w14:paraId="3C9CDE3D">
            <w:pPr>
              <w:snapToGrid w:val="0"/>
              <w:ind w:left="0" w:leftChars="0" w:right="0" w:rightChars="0" w:firstLine="0" w:firstLineChars="0"/>
              <w:jc w:val="center"/>
              <w:rPr>
                <w:rFonts w:hint="eastAsia" w:cs="宋体"/>
                <w:color w:val="auto"/>
                <w:sz w:val="24"/>
                <w:szCs w:val="24"/>
                <w:highlight w:val="none"/>
                <w:vertAlign w:val="baseline"/>
                <w:lang w:val="en-US" w:eastAsia="zh-CN"/>
              </w:rPr>
            </w:pPr>
          </w:p>
          <w:p w14:paraId="6E9D2453">
            <w:pPr>
              <w:snapToGrid w:val="0"/>
              <w:ind w:left="0" w:leftChars="0" w:right="0" w:rightChars="0" w:firstLine="0" w:firstLineChars="0"/>
              <w:jc w:val="center"/>
              <w:rPr>
                <w:rFonts w:hint="eastAsia" w:cs="宋体"/>
                <w:color w:val="auto"/>
                <w:sz w:val="24"/>
                <w:szCs w:val="24"/>
                <w:highlight w:val="none"/>
                <w:vertAlign w:val="baseline"/>
                <w:lang w:val="en-US" w:eastAsia="zh-CN"/>
              </w:rPr>
            </w:pPr>
          </w:p>
          <w:p w14:paraId="297D5AD7">
            <w:pPr>
              <w:snapToGrid w:val="0"/>
              <w:ind w:left="0" w:leftChars="0" w:right="0" w:rightChars="0" w:firstLine="0" w:firstLineChars="0"/>
              <w:jc w:val="center"/>
              <w:rPr>
                <w:rFonts w:hint="eastAsia" w:cs="宋体"/>
                <w:color w:val="auto"/>
                <w:sz w:val="24"/>
                <w:szCs w:val="24"/>
                <w:highlight w:val="none"/>
                <w:vertAlign w:val="baseline"/>
                <w:lang w:val="en-US" w:eastAsia="zh-CN"/>
              </w:rPr>
            </w:pPr>
          </w:p>
          <w:p w14:paraId="415FEE72">
            <w:pPr>
              <w:snapToGrid w:val="0"/>
              <w:ind w:left="0" w:leftChars="0" w:right="0" w:rightChars="0" w:firstLine="0" w:firstLineChars="0"/>
              <w:jc w:val="center"/>
              <w:rPr>
                <w:rFonts w:hint="eastAsia" w:cs="宋体"/>
                <w:color w:val="auto"/>
                <w:sz w:val="24"/>
                <w:szCs w:val="24"/>
                <w:highlight w:val="none"/>
                <w:vertAlign w:val="baseline"/>
                <w:lang w:val="en-US" w:eastAsia="zh-CN"/>
              </w:rPr>
            </w:pPr>
          </w:p>
          <w:p w14:paraId="3A98D3B5">
            <w:pPr>
              <w:snapToGrid w:val="0"/>
              <w:ind w:left="0" w:leftChars="0" w:right="0" w:rightChars="0" w:firstLine="0" w:firstLineChars="0"/>
              <w:jc w:val="center"/>
              <w:rPr>
                <w:rFonts w:hint="eastAsia" w:cs="宋体"/>
                <w:color w:val="auto"/>
                <w:sz w:val="24"/>
                <w:szCs w:val="24"/>
                <w:highlight w:val="none"/>
                <w:vertAlign w:val="baseline"/>
                <w:lang w:val="en-US" w:eastAsia="zh-CN"/>
              </w:rPr>
            </w:pPr>
          </w:p>
          <w:p w14:paraId="3C7A8C71">
            <w:pPr>
              <w:snapToGrid w:val="0"/>
              <w:ind w:left="0" w:leftChars="0" w:right="0" w:rightChars="0" w:firstLine="0" w:firstLineChars="0"/>
              <w:jc w:val="center"/>
              <w:rPr>
                <w:rFonts w:hint="eastAsia" w:cs="宋体"/>
                <w:color w:val="auto"/>
                <w:sz w:val="24"/>
                <w:szCs w:val="24"/>
                <w:highlight w:val="none"/>
                <w:vertAlign w:val="baseline"/>
                <w:lang w:val="en-US" w:eastAsia="zh-CN"/>
              </w:rPr>
            </w:pPr>
          </w:p>
          <w:p w14:paraId="3F724603">
            <w:pPr>
              <w:snapToGrid w:val="0"/>
              <w:ind w:left="0" w:leftChars="0" w:right="0" w:rightChars="0" w:firstLine="0" w:firstLineChars="0"/>
              <w:jc w:val="center"/>
              <w:rPr>
                <w:rFonts w:hint="eastAsia" w:cs="宋体"/>
                <w:color w:val="auto"/>
                <w:sz w:val="24"/>
                <w:szCs w:val="24"/>
                <w:highlight w:val="none"/>
                <w:vertAlign w:val="baseline"/>
                <w:lang w:val="en-US" w:eastAsia="zh-CN"/>
              </w:rPr>
            </w:pPr>
          </w:p>
          <w:p w14:paraId="5245D3A9">
            <w:pPr>
              <w:snapToGrid w:val="0"/>
              <w:ind w:left="0" w:leftChars="0" w:right="0" w:rightChars="0" w:firstLine="0" w:firstLineChars="0"/>
              <w:jc w:val="center"/>
              <w:rPr>
                <w:rFonts w:hint="eastAsia" w:cs="宋体"/>
                <w:color w:val="auto"/>
                <w:sz w:val="24"/>
                <w:szCs w:val="24"/>
                <w:highlight w:val="none"/>
                <w:vertAlign w:val="baseline"/>
                <w:lang w:val="en-US" w:eastAsia="zh-CN"/>
              </w:rPr>
            </w:pPr>
          </w:p>
          <w:p w14:paraId="40AAB5D7">
            <w:pPr>
              <w:snapToGrid w:val="0"/>
              <w:ind w:left="0" w:leftChars="0" w:right="0" w:rightChars="0" w:firstLine="0" w:firstLineChars="0"/>
              <w:jc w:val="center"/>
              <w:rPr>
                <w:rFonts w:hint="default"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48000</w:t>
            </w:r>
          </w:p>
        </w:tc>
        <w:tc>
          <w:tcPr>
            <w:tcW w:w="569" w:type="dxa"/>
          </w:tcPr>
          <w:p w14:paraId="40B2F9B9">
            <w:pPr>
              <w:snapToGrid w:val="0"/>
              <w:ind w:left="0" w:leftChars="0" w:right="0" w:rightChars="0" w:firstLine="0" w:firstLineChars="0"/>
              <w:jc w:val="center"/>
              <w:rPr>
                <w:rFonts w:hint="eastAsia" w:ascii="宋体" w:hAnsi="宋体" w:eastAsia="宋体" w:cs="宋体"/>
                <w:color w:val="auto"/>
                <w:sz w:val="24"/>
                <w:szCs w:val="24"/>
                <w:highlight w:val="none"/>
                <w:vertAlign w:val="baseline"/>
              </w:rPr>
            </w:pPr>
          </w:p>
        </w:tc>
      </w:tr>
      <w:bookmarkEnd w:id="35"/>
      <w:tr w14:paraId="5B2CE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Pr>
          <w:p w14:paraId="323F00B5">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11E088A5">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76355522">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73CE6714">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626C2FD3">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2EB45064">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18640D41">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07DA5F3C">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0D533FAC">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48A92BF4">
            <w:pPr>
              <w:snapToGrid w:val="0"/>
              <w:ind w:left="0" w:leftChars="0" w:right="0" w:rightChars="0" w:firstLine="0" w:firstLineChars="0"/>
              <w:jc w:val="both"/>
              <w:rPr>
                <w:rFonts w:hint="eastAsia" w:ascii="宋体" w:hAnsi="宋体" w:eastAsia="宋体" w:cs="宋体"/>
                <w:color w:val="auto"/>
                <w:sz w:val="24"/>
                <w:szCs w:val="24"/>
                <w:highlight w:val="none"/>
                <w:vertAlign w:val="baseline"/>
                <w:lang w:val="en-US" w:eastAsia="zh-CN"/>
              </w:rPr>
            </w:pPr>
          </w:p>
          <w:p w14:paraId="68619493">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6</w:t>
            </w:r>
          </w:p>
        </w:tc>
        <w:tc>
          <w:tcPr>
            <w:tcW w:w="1461" w:type="dxa"/>
          </w:tcPr>
          <w:p w14:paraId="24EB6BD8">
            <w:pPr>
              <w:pStyle w:val="35"/>
              <w:keepNext w:val="0"/>
              <w:keepLines w:val="0"/>
              <w:widowControl/>
              <w:suppressLineNumbers w:val="0"/>
              <w:spacing w:before="0" w:beforeAutospacing="0" w:after="0" w:afterAutospacing="0"/>
              <w:ind w:left="0" w:right="0" w:firstLine="0"/>
              <w:jc w:val="center"/>
              <w:rPr>
                <w:rFonts w:hint="eastAsia" w:ascii="宋体" w:hAnsi="宋体" w:eastAsia="宋体" w:cs="宋体"/>
                <w:color w:val="auto"/>
                <w:sz w:val="24"/>
                <w:szCs w:val="24"/>
                <w:highlight w:val="none"/>
              </w:rPr>
            </w:pPr>
          </w:p>
          <w:p w14:paraId="766CF23F">
            <w:pPr>
              <w:pStyle w:val="35"/>
              <w:keepNext w:val="0"/>
              <w:keepLines w:val="0"/>
              <w:widowControl/>
              <w:suppressLineNumbers w:val="0"/>
              <w:spacing w:before="0" w:beforeAutospacing="0" w:after="0" w:afterAutospacing="0"/>
              <w:ind w:left="0" w:right="0" w:firstLine="0"/>
              <w:jc w:val="center"/>
              <w:rPr>
                <w:rFonts w:hint="eastAsia" w:ascii="宋体" w:hAnsi="宋体" w:eastAsia="宋体" w:cs="宋体"/>
                <w:color w:val="auto"/>
                <w:sz w:val="24"/>
                <w:szCs w:val="24"/>
                <w:highlight w:val="none"/>
              </w:rPr>
            </w:pPr>
          </w:p>
          <w:p w14:paraId="601EABE9">
            <w:pPr>
              <w:pStyle w:val="35"/>
              <w:keepNext w:val="0"/>
              <w:keepLines w:val="0"/>
              <w:widowControl/>
              <w:suppressLineNumbers w:val="0"/>
              <w:spacing w:before="0" w:beforeAutospacing="0" w:after="0" w:afterAutospacing="0"/>
              <w:ind w:left="0" w:right="0" w:firstLine="0"/>
              <w:jc w:val="center"/>
              <w:rPr>
                <w:rFonts w:hint="eastAsia" w:ascii="宋体" w:hAnsi="宋体" w:eastAsia="宋体" w:cs="宋体"/>
                <w:color w:val="auto"/>
                <w:sz w:val="24"/>
                <w:szCs w:val="24"/>
                <w:highlight w:val="none"/>
              </w:rPr>
            </w:pPr>
          </w:p>
          <w:p w14:paraId="272CD306">
            <w:pPr>
              <w:pStyle w:val="35"/>
              <w:keepNext w:val="0"/>
              <w:keepLines w:val="0"/>
              <w:widowControl/>
              <w:suppressLineNumbers w:val="0"/>
              <w:spacing w:before="0" w:beforeAutospacing="0" w:after="0" w:afterAutospacing="0"/>
              <w:ind w:left="0" w:right="0" w:firstLine="0"/>
              <w:jc w:val="center"/>
              <w:rPr>
                <w:rFonts w:hint="eastAsia" w:ascii="宋体" w:hAnsi="宋体" w:eastAsia="宋体" w:cs="宋体"/>
                <w:color w:val="auto"/>
                <w:sz w:val="24"/>
                <w:szCs w:val="24"/>
                <w:highlight w:val="none"/>
              </w:rPr>
            </w:pPr>
          </w:p>
          <w:p w14:paraId="1E03F4DF">
            <w:pPr>
              <w:pStyle w:val="35"/>
              <w:keepNext w:val="0"/>
              <w:keepLines w:val="0"/>
              <w:widowControl/>
              <w:suppressLineNumbers w:val="0"/>
              <w:spacing w:before="0" w:beforeAutospacing="0" w:after="0" w:afterAutospacing="0"/>
              <w:ind w:left="0" w:right="0" w:firstLine="0"/>
              <w:jc w:val="center"/>
              <w:rPr>
                <w:rFonts w:hint="eastAsia" w:ascii="宋体" w:hAnsi="宋体" w:eastAsia="宋体" w:cs="宋体"/>
                <w:color w:val="auto"/>
                <w:sz w:val="24"/>
                <w:szCs w:val="24"/>
                <w:highlight w:val="none"/>
              </w:rPr>
            </w:pPr>
          </w:p>
          <w:p w14:paraId="3BDC176F">
            <w:pPr>
              <w:pStyle w:val="35"/>
              <w:keepNext w:val="0"/>
              <w:keepLines w:val="0"/>
              <w:widowControl/>
              <w:suppressLineNumbers w:val="0"/>
              <w:spacing w:before="0" w:beforeAutospacing="0" w:after="0" w:afterAutospacing="0"/>
              <w:ind w:left="0" w:right="0" w:firstLine="0"/>
              <w:jc w:val="center"/>
              <w:rPr>
                <w:rFonts w:hint="eastAsia" w:ascii="宋体" w:hAnsi="宋体" w:eastAsia="宋体" w:cs="宋体"/>
                <w:color w:val="auto"/>
                <w:sz w:val="24"/>
                <w:szCs w:val="24"/>
                <w:highlight w:val="none"/>
              </w:rPr>
            </w:pPr>
          </w:p>
          <w:p w14:paraId="64761CA4">
            <w:pPr>
              <w:pStyle w:val="35"/>
              <w:keepNext w:val="0"/>
              <w:keepLines w:val="0"/>
              <w:widowControl/>
              <w:suppressLineNumbers w:val="0"/>
              <w:spacing w:before="0" w:beforeAutospacing="0" w:after="0" w:afterAutospacing="0"/>
              <w:ind w:left="0" w:right="0" w:firstLine="0"/>
              <w:jc w:val="center"/>
              <w:rPr>
                <w:rFonts w:hint="eastAsia" w:ascii="宋体" w:hAnsi="宋体" w:eastAsia="宋体" w:cs="宋体"/>
                <w:color w:val="auto"/>
                <w:sz w:val="24"/>
                <w:szCs w:val="24"/>
                <w:highlight w:val="none"/>
              </w:rPr>
            </w:pPr>
          </w:p>
          <w:p w14:paraId="1A3BA940">
            <w:pPr>
              <w:pStyle w:val="35"/>
              <w:keepNext w:val="0"/>
              <w:keepLines w:val="0"/>
              <w:widowControl/>
              <w:suppressLineNumbers w:val="0"/>
              <w:spacing w:before="0" w:beforeAutospacing="0" w:after="0" w:afterAutospacing="0"/>
              <w:ind w:left="0" w:right="0" w:firstLine="0"/>
              <w:jc w:val="center"/>
              <w:rPr>
                <w:rFonts w:hint="eastAsia" w:ascii="宋体" w:hAnsi="宋体" w:eastAsia="宋体" w:cs="宋体"/>
                <w:color w:val="auto"/>
                <w:sz w:val="24"/>
                <w:szCs w:val="24"/>
                <w:highlight w:val="none"/>
              </w:rPr>
            </w:pPr>
          </w:p>
          <w:p w14:paraId="59C339BC">
            <w:pPr>
              <w:pStyle w:val="35"/>
              <w:keepNext w:val="0"/>
              <w:keepLines w:val="0"/>
              <w:widowControl/>
              <w:suppressLineNumbers w:val="0"/>
              <w:spacing w:before="0" w:beforeAutospacing="0" w:after="0" w:afterAutospacing="0"/>
              <w:ind w:left="0" w:right="0" w:firstLine="0"/>
              <w:jc w:val="center"/>
              <w:rPr>
                <w:rFonts w:hint="eastAsia" w:ascii="宋体" w:hAnsi="宋体" w:eastAsia="宋体" w:cs="宋体"/>
                <w:color w:val="auto"/>
                <w:sz w:val="24"/>
                <w:szCs w:val="24"/>
                <w:highlight w:val="none"/>
              </w:rPr>
            </w:pPr>
          </w:p>
          <w:p w14:paraId="0DD43E33">
            <w:pPr>
              <w:pStyle w:val="35"/>
              <w:keepNext w:val="0"/>
              <w:keepLines w:val="0"/>
              <w:widowControl/>
              <w:suppressLineNumbers w:val="0"/>
              <w:spacing w:before="0" w:beforeAutospacing="0" w:after="0" w:afterAutospacing="0"/>
              <w:ind w:left="0" w:right="0" w:firstLine="0"/>
              <w:jc w:val="center"/>
              <w:rPr>
                <w:rFonts w:hint="eastAsia" w:ascii="宋体" w:hAnsi="宋体" w:eastAsia="宋体" w:cs="宋体"/>
                <w:color w:val="auto"/>
                <w:sz w:val="24"/>
                <w:szCs w:val="24"/>
                <w:highlight w:val="none"/>
              </w:rPr>
            </w:pPr>
          </w:p>
          <w:p w14:paraId="4966A17F">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VR智慧阅读眼镜</w:t>
            </w:r>
          </w:p>
          <w:p w14:paraId="7B609845">
            <w:pPr>
              <w:snapToGrid w:val="0"/>
              <w:ind w:left="0" w:leftChars="0" w:right="0" w:rightChars="0" w:firstLine="0" w:firstLineChars="0"/>
              <w:jc w:val="center"/>
              <w:rPr>
                <w:rFonts w:hint="eastAsia" w:ascii="宋体" w:hAnsi="宋体" w:eastAsia="宋体" w:cs="宋体"/>
                <w:color w:val="auto"/>
                <w:sz w:val="24"/>
                <w:szCs w:val="24"/>
                <w:highlight w:val="none"/>
                <w:vertAlign w:val="baseline"/>
              </w:rPr>
            </w:pPr>
          </w:p>
        </w:tc>
        <w:tc>
          <w:tcPr>
            <w:tcW w:w="9351" w:type="dxa"/>
            <w:shd w:val="clear" w:color="auto" w:fill="auto"/>
            <w:vAlign w:val="bottom"/>
          </w:tcPr>
          <w:p w14:paraId="2D40240E">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1.图标</w:t>
            </w:r>
            <w:r>
              <w:rPr>
                <w:rFonts w:hint="eastAsia" w:ascii="宋体" w:hAnsi="宋体" w:eastAsia="宋体" w:cs="宋体"/>
                <w:color w:val="auto"/>
                <w:kern w:val="0"/>
                <w:sz w:val="24"/>
                <w:szCs w:val="24"/>
                <w:highlight w:val="none"/>
                <w:lang w:val="en-US" w:eastAsia="zh-CN"/>
              </w:rPr>
              <w:t>：软件中应包含不少于170节课程均有与之相对应的简易小图标，分门别类；</w:t>
            </w:r>
          </w:p>
          <w:p w14:paraId="459721DD">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2.纯净系统：</w:t>
            </w:r>
            <w:r>
              <w:rPr>
                <w:rFonts w:hint="eastAsia" w:ascii="宋体" w:hAnsi="宋体" w:eastAsia="宋体" w:cs="宋体"/>
                <w:color w:val="auto"/>
                <w:kern w:val="0"/>
                <w:sz w:val="24"/>
                <w:szCs w:val="24"/>
                <w:highlight w:val="none"/>
                <w:lang w:val="en-US" w:eastAsia="zh-CN"/>
              </w:rPr>
              <w:t>体验全程为纯净版内容，无广告植入及弹窗，可根据类别进行内容筛选；</w:t>
            </w:r>
          </w:p>
          <w:p w14:paraId="371E796A">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3.软件内容：</w:t>
            </w:r>
            <w:r>
              <w:rPr>
                <w:rFonts w:hint="eastAsia" w:ascii="宋体" w:hAnsi="宋体" w:eastAsia="宋体" w:cs="宋体"/>
                <w:color w:val="auto"/>
                <w:kern w:val="0"/>
                <w:sz w:val="24"/>
                <w:szCs w:val="24"/>
                <w:highlight w:val="none"/>
                <w:lang w:val="en-US" w:eastAsia="zh-CN"/>
              </w:rPr>
              <w:t>体验者可以使用该内容学习不少于【历史】、【语文】、【数字】、【爱党爱国】、【生物】、【地理】、【物理】、【化学】等25大类类别以及不少于【中国传统文化】、【四大发明】、【强渡大渡河】、【抗日战争纪念】、【抗美援朝】、【秦朝】、【唐朝】、【清朝】、【国旗】、【国徽】、【升旗体验】、【国防教育】、【民族团结】、【认识能量】、【组装简易发电机】、【导体和非导体实验】、【热空气上升实验】、【动物细胞与植物细胞】、【人体系统探秘】、【狮子】、【针叶树】、【自然灾害之火山】、【心理知识学习】、【太阳系的奥秘】、【人民教师】等不少于170节课程。需每节课程提供不少于1张场景体验截图；</w:t>
            </w:r>
          </w:p>
          <w:p w14:paraId="274F488C">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4.需提供科普教育类软著证书；</w:t>
            </w:r>
          </w:p>
          <w:p w14:paraId="623DBE29">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软件体验中至少需包含故宫、历史人物、天安门、两弹一星、坦克、狼牙山、青藏铁路、福娃、国旗、雪山、北斗卫星导航、大渡河、草地、国防教育馆、抗日战争纪念馆、教室、道路指示牌、河边、实验室、实验器材模型、草履虫、细胞模型、人体结构、太阳系、火山、地震、星球、磁体、荷花、大象等场景模型；</w:t>
            </w:r>
          </w:p>
          <w:p w14:paraId="3E63ED09">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6.AI数字助手</w:t>
            </w:r>
          </w:p>
          <w:p w14:paraId="2B0572BC">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6.1虚拟场景与AI助教基础配置​</w:t>
            </w:r>
          </w:p>
          <w:p w14:paraId="2223FB5D">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1）沉浸式虚拟教室场景：需配备课桌、黑板、讲台、椅子虚拟模型，呈现沉浸式教室空间；</w:t>
            </w:r>
          </w:p>
          <w:p w14:paraId="299EA4DF">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2）AI助教形象：需提供不少于1种AI助教教师形象，通过情感语音合成实现自然表达；</w:t>
            </w:r>
          </w:p>
          <w:p w14:paraId="6AEF7E31">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3）AI助教交互动态效果：需支持不少于一种肢体动态效果，有晃动手臂动态效果；</w:t>
            </w:r>
          </w:p>
          <w:p w14:paraId="0A25F108">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6.2 多模态交互系统功能参数​</w:t>
            </w:r>
          </w:p>
          <w:p w14:paraId="35722797">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1）多元交互形式支持：需包含不少于2种交互形式，有手柄射线交互、手势识别交互等；</w:t>
            </w:r>
          </w:p>
          <w:p w14:paraId="190BC9A5">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2）语音输出功能：需支持文本与语音双模式输出，文本显示在对话框中；​</w:t>
            </w:r>
          </w:p>
          <w:p w14:paraId="55BA4C6E">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3）语音识别功能：需支持语音识别，将用户实时语音内容识别后同步显示在对话框；</w:t>
            </w:r>
          </w:p>
          <w:p w14:paraId="7F47FFE7">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4）实时交互中断机制：需支持语音指令中断播放，检测到用户说话即切换模式；</w:t>
            </w:r>
          </w:p>
          <w:p w14:paraId="7FF4999C">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5）场景交互能力：需支持全界面操作交互，不少于 3 种交互方式（点击、滑动、手势），可实现AI助教动作交互、历史对话及思考过程翻阅。​</w:t>
            </w:r>
          </w:p>
          <w:p w14:paraId="1987709E">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★6.3 大语言模型集成与交互体验​</w:t>
            </w:r>
          </w:p>
          <w:p w14:paraId="2A7ED6F2">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头部大模型适配：支持不少于2家行业头部大语言模型，如主流大语言模型，可自主切换；</w:t>
            </w:r>
          </w:p>
          <w:p w14:paraId="173F05F1">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头显</w:t>
            </w:r>
          </w:p>
          <w:p w14:paraId="222B638D">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1.计算平台</w:t>
            </w:r>
          </w:p>
          <w:p w14:paraId="1CAE5A79">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1)内存≥6GB，闪存≥256GB；</w:t>
            </w:r>
          </w:p>
          <w:p w14:paraId="2DED546D">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2)支持：Miracast，支持无线串流Steam VR；</w:t>
            </w:r>
          </w:p>
          <w:p w14:paraId="3B45ACB8">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2.显示</w:t>
            </w:r>
          </w:p>
          <w:p w14:paraId="1A9B1D9D">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1)屏幕≥5.5英寸；</w:t>
            </w:r>
          </w:p>
          <w:p w14:paraId="4E226CD1">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2)分辨率4K级分辨率≥3664✕1920，PPI≥773；</w:t>
            </w:r>
          </w:p>
          <w:p w14:paraId="6766E3E7">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3)刷新率≥72Hz/90Hz；</w:t>
            </w:r>
          </w:p>
          <w:p w14:paraId="531C1144">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3.光学</w:t>
            </w:r>
          </w:p>
          <w:p w14:paraId="27B2888C">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1)视场角≥98°；</w:t>
            </w:r>
          </w:p>
          <w:p w14:paraId="246C6F16">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2)护眼模式通过：TUV：低蓝光认证，一键开启防蓝光模式；</w:t>
            </w:r>
          </w:p>
          <w:p w14:paraId="7FF8434D">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3)兼容佩戴眼镜，三档位物理调节.</w:t>
            </w:r>
          </w:p>
          <w:p w14:paraId="0665A299">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四、传感器</w:t>
            </w:r>
          </w:p>
          <w:p w14:paraId="6AB672BC">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1)头盔：9轴传感器，实现头部精准：6DoF</w:t>
            </w:r>
          </w:p>
          <w:p w14:paraId="43032524">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2)头盔：P-Se</w:t>
            </w:r>
            <w:r>
              <w:rPr>
                <w:rFonts w:hint="eastAsia"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lang w:val="en-US" w:eastAsia="zh-CN"/>
              </w:rPr>
              <w:t>nsor：人脸佩戴感应，用于屏幕休眠控制</w:t>
            </w:r>
          </w:p>
          <w:p w14:paraId="429E6CF4">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4.个性化定制</w:t>
            </w:r>
          </w:p>
          <w:p w14:paraId="621BF396">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内容需包含采购人所在地文化旅游资源等，项目VR内容以山西省长治市屯留区的文化旅游资源为主题方向。</w:t>
            </w:r>
          </w:p>
          <w:p w14:paraId="003E3C18">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内容制作：</w:t>
            </w:r>
            <w:r>
              <w:rPr>
                <w:rFonts w:hint="eastAsia" w:cs="宋体"/>
                <w:color w:val="auto"/>
                <w:highlight w:val="none"/>
                <w:lang w:val="en-US" w:eastAsia="zh-CN"/>
              </w:rPr>
              <w:t>投标人</w:t>
            </w:r>
            <w:r>
              <w:rPr>
                <w:rFonts w:hint="eastAsia" w:ascii="宋体" w:hAnsi="宋体" w:eastAsia="宋体" w:cs="宋体"/>
                <w:color w:val="auto"/>
                <w:kern w:val="0"/>
                <w:sz w:val="24"/>
                <w:szCs w:val="24"/>
                <w:highlight w:val="none"/>
                <w:lang w:val="en-US" w:eastAsia="zh-CN"/>
              </w:rPr>
              <w:t>中标后，应通过现场采集、历史资料研究、专家论证等方式完成内容制作。</w:t>
            </w:r>
          </w:p>
        </w:tc>
        <w:tc>
          <w:tcPr>
            <w:tcW w:w="510" w:type="dxa"/>
          </w:tcPr>
          <w:p w14:paraId="7EB5471F">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67E53045">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709E481F">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206DF4D0">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44F0263E">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68285321">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65CBC44F">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735B1420">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2692BC4B">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4418A4E7">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5924881D">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563" w:type="dxa"/>
          </w:tcPr>
          <w:p w14:paraId="15DAAB05">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08889D5B">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6A14A5E2">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7EE2C377">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27639D6D">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1B320569">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5BBD4601">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27E9828A">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4777B3CC">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4F5D6D91">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2C44EA03">
            <w:pPr>
              <w:snapToGrid w:val="0"/>
              <w:ind w:left="0" w:leftChars="0" w:right="0" w:rightChars="0" w:firstLine="0" w:firstLineChars="0"/>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6</w:t>
            </w:r>
          </w:p>
        </w:tc>
        <w:tc>
          <w:tcPr>
            <w:tcW w:w="1125" w:type="dxa"/>
          </w:tcPr>
          <w:p w14:paraId="430BF30D">
            <w:pPr>
              <w:snapToGrid w:val="0"/>
              <w:ind w:left="0" w:leftChars="0" w:right="0" w:rightChars="0" w:firstLine="0" w:firstLineChars="0"/>
              <w:jc w:val="center"/>
              <w:rPr>
                <w:rFonts w:hint="eastAsia" w:cs="宋体"/>
                <w:color w:val="auto"/>
                <w:sz w:val="24"/>
                <w:szCs w:val="24"/>
                <w:highlight w:val="none"/>
                <w:vertAlign w:val="baseline"/>
                <w:lang w:val="en-US" w:eastAsia="zh-CN"/>
              </w:rPr>
            </w:pPr>
          </w:p>
          <w:p w14:paraId="1E485C1A">
            <w:pPr>
              <w:snapToGrid w:val="0"/>
              <w:ind w:left="0" w:leftChars="0" w:right="0" w:rightChars="0" w:firstLine="0" w:firstLineChars="0"/>
              <w:jc w:val="center"/>
              <w:rPr>
                <w:rFonts w:hint="eastAsia" w:cs="宋体"/>
                <w:color w:val="auto"/>
                <w:sz w:val="24"/>
                <w:szCs w:val="24"/>
                <w:highlight w:val="none"/>
                <w:vertAlign w:val="baseline"/>
                <w:lang w:val="en-US" w:eastAsia="zh-CN"/>
              </w:rPr>
            </w:pPr>
          </w:p>
          <w:p w14:paraId="1DD300D2">
            <w:pPr>
              <w:snapToGrid w:val="0"/>
              <w:ind w:left="0" w:leftChars="0" w:right="0" w:rightChars="0" w:firstLine="0" w:firstLineChars="0"/>
              <w:jc w:val="center"/>
              <w:rPr>
                <w:rFonts w:hint="eastAsia" w:cs="宋体"/>
                <w:color w:val="auto"/>
                <w:sz w:val="24"/>
                <w:szCs w:val="24"/>
                <w:highlight w:val="none"/>
                <w:vertAlign w:val="baseline"/>
                <w:lang w:val="en-US" w:eastAsia="zh-CN"/>
              </w:rPr>
            </w:pPr>
          </w:p>
          <w:p w14:paraId="5E03DC63">
            <w:pPr>
              <w:snapToGrid w:val="0"/>
              <w:ind w:left="0" w:leftChars="0" w:right="0" w:rightChars="0" w:firstLine="0" w:firstLineChars="0"/>
              <w:jc w:val="center"/>
              <w:rPr>
                <w:rFonts w:hint="eastAsia" w:cs="宋体"/>
                <w:color w:val="auto"/>
                <w:sz w:val="24"/>
                <w:szCs w:val="24"/>
                <w:highlight w:val="none"/>
                <w:vertAlign w:val="baseline"/>
                <w:lang w:val="en-US" w:eastAsia="zh-CN"/>
              </w:rPr>
            </w:pPr>
          </w:p>
          <w:p w14:paraId="7F41950B">
            <w:pPr>
              <w:snapToGrid w:val="0"/>
              <w:ind w:left="0" w:leftChars="0" w:right="0" w:rightChars="0" w:firstLine="0" w:firstLineChars="0"/>
              <w:jc w:val="center"/>
              <w:rPr>
                <w:rFonts w:hint="eastAsia" w:cs="宋体"/>
                <w:color w:val="auto"/>
                <w:sz w:val="24"/>
                <w:szCs w:val="24"/>
                <w:highlight w:val="none"/>
                <w:vertAlign w:val="baseline"/>
                <w:lang w:val="en-US" w:eastAsia="zh-CN"/>
              </w:rPr>
            </w:pPr>
          </w:p>
          <w:p w14:paraId="4FC0B9D1">
            <w:pPr>
              <w:snapToGrid w:val="0"/>
              <w:ind w:left="0" w:leftChars="0" w:right="0" w:rightChars="0" w:firstLine="0" w:firstLineChars="0"/>
              <w:jc w:val="center"/>
              <w:rPr>
                <w:rFonts w:hint="eastAsia" w:cs="宋体"/>
                <w:color w:val="auto"/>
                <w:sz w:val="24"/>
                <w:szCs w:val="24"/>
                <w:highlight w:val="none"/>
                <w:vertAlign w:val="baseline"/>
                <w:lang w:val="en-US" w:eastAsia="zh-CN"/>
              </w:rPr>
            </w:pPr>
          </w:p>
          <w:p w14:paraId="06117BC2">
            <w:pPr>
              <w:snapToGrid w:val="0"/>
              <w:ind w:left="0" w:leftChars="0" w:right="0" w:rightChars="0" w:firstLine="0" w:firstLineChars="0"/>
              <w:jc w:val="center"/>
              <w:rPr>
                <w:rFonts w:hint="eastAsia" w:cs="宋体"/>
                <w:color w:val="auto"/>
                <w:sz w:val="24"/>
                <w:szCs w:val="24"/>
                <w:highlight w:val="none"/>
                <w:vertAlign w:val="baseline"/>
                <w:lang w:val="en-US" w:eastAsia="zh-CN"/>
              </w:rPr>
            </w:pPr>
          </w:p>
          <w:p w14:paraId="1763F017">
            <w:pPr>
              <w:snapToGrid w:val="0"/>
              <w:ind w:left="0" w:leftChars="0" w:right="0" w:rightChars="0" w:firstLine="0" w:firstLineChars="0"/>
              <w:jc w:val="center"/>
              <w:rPr>
                <w:rFonts w:hint="eastAsia" w:cs="宋体"/>
                <w:color w:val="auto"/>
                <w:sz w:val="24"/>
                <w:szCs w:val="24"/>
                <w:highlight w:val="none"/>
                <w:vertAlign w:val="baseline"/>
                <w:lang w:val="en-US" w:eastAsia="zh-CN"/>
              </w:rPr>
            </w:pPr>
          </w:p>
          <w:p w14:paraId="353442C0">
            <w:pPr>
              <w:snapToGrid w:val="0"/>
              <w:ind w:left="0" w:leftChars="0" w:right="0" w:rightChars="0" w:firstLine="0" w:firstLineChars="0"/>
              <w:jc w:val="center"/>
              <w:rPr>
                <w:rFonts w:hint="eastAsia" w:cs="宋体"/>
                <w:color w:val="auto"/>
                <w:sz w:val="24"/>
                <w:szCs w:val="24"/>
                <w:highlight w:val="none"/>
                <w:vertAlign w:val="baseline"/>
                <w:lang w:val="en-US" w:eastAsia="zh-CN"/>
              </w:rPr>
            </w:pPr>
          </w:p>
          <w:p w14:paraId="6CD85785">
            <w:pPr>
              <w:snapToGrid w:val="0"/>
              <w:ind w:left="0" w:leftChars="0" w:right="0" w:rightChars="0" w:firstLine="0" w:firstLineChars="0"/>
              <w:jc w:val="center"/>
              <w:rPr>
                <w:rFonts w:hint="eastAsia" w:cs="宋体"/>
                <w:color w:val="auto"/>
                <w:sz w:val="24"/>
                <w:szCs w:val="24"/>
                <w:highlight w:val="none"/>
                <w:vertAlign w:val="baseline"/>
                <w:lang w:val="en-US" w:eastAsia="zh-CN"/>
              </w:rPr>
            </w:pPr>
          </w:p>
          <w:p w14:paraId="5273ABE4">
            <w:pPr>
              <w:snapToGrid w:val="0"/>
              <w:ind w:left="0" w:leftChars="0" w:right="0" w:rightChars="0" w:firstLine="0" w:firstLineChars="0"/>
              <w:jc w:val="center"/>
              <w:rPr>
                <w:rFonts w:hint="default"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14000</w:t>
            </w:r>
          </w:p>
        </w:tc>
        <w:tc>
          <w:tcPr>
            <w:tcW w:w="569" w:type="dxa"/>
          </w:tcPr>
          <w:p w14:paraId="1EBE4D53">
            <w:pPr>
              <w:snapToGrid w:val="0"/>
              <w:ind w:left="0" w:leftChars="0" w:right="0" w:rightChars="0" w:firstLine="0" w:firstLineChars="0"/>
              <w:jc w:val="center"/>
              <w:rPr>
                <w:rFonts w:hint="eastAsia" w:ascii="宋体" w:hAnsi="宋体" w:eastAsia="宋体" w:cs="宋体"/>
                <w:color w:val="auto"/>
                <w:sz w:val="24"/>
                <w:szCs w:val="24"/>
                <w:highlight w:val="none"/>
                <w:vertAlign w:val="baseline"/>
              </w:rPr>
            </w:pPr>
          </w:p>
        </w:tc>
      </w:tr>
      <w:tr w14:paraId="25368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0" w:type="auto"/>
          </w:tcPr>
          <w:p w14:paraId="4A229444">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7FCE9FA0">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240A76C6">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0D931007">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16BAC57A">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1390CC7B">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7</w:t>
            </w:r>
          </w:p>
        </w:tc>
        <w:tc>
          <w:tcPr>
            <w:tcW w:w="1461" w:type="dxa"/>
          </w:tcPr>
          <w:p w14:paraId="15B12F91">
            <w:pPr>
              <w:pStyle w:val="35"/>
              <w:keepNext w:val="0"/>
              <w:keepLines w:val="0"/>
              <w:widowControl/>
              <w:suppressLineNumbers w:val="0"/>
              <w:spacing w:before="0" w:beforeAutospacing="0" w:after="0" w:afterAutospacing="0"/>
              <w:ind w:left="0" w:right="0" w:firstLine="0"/>
              <w:jc w:val="center"/>
              <w:rPr>
                <w:rFonts w:hint="eastAsia" w:ascii="宋体" w:hAnsi="宋体" w:eastAsia="宋体" w:cs="宋体"/>
                <w:color w:val="auto"/>
                <w:sz w:val="24"/>
                <w:szCs w:val="24"/>
                <w:highlight w:val="none"/>
              </w:rPr>
            </w:pPr>
          </w:p>
          <w:p w14:paraId="07707877">
            <w:pPr>
              <w:pStyle w:val="35"/>
              <w:keepNext w:val="0"/>
              <w:keepLines w:val="0"/>
              <w:widowControl/>
              <w:suppressLineNumbers w:val="0"/>
              <w:spacing w:before="0" w:beforeAutospacing="0" w:after="0" w:afterAutospacing="0"/>
              <w:ind w:left="0" w:right="0" w:firstLine="0"/>
              <w:jc w:val="center"/>
              <w:rPr>
                <w:rFonts w:hint="eastAsia" w:ascii="宋体" w:hAnsi="宋体" w:eastAsia="宋体" w:cs="宋体"/>
                <w:color w:val="auto"/>
                <w:sz w:val="24"/>
                <w:szCs w:val="24"/>
                <w:highlight w:val="none"/>
              </w:rPr>
            </w:pPr>
          </w:p>
          <w:p w14:paraId="27CC9AF2">
            <w:pPr>
              <w:pStyle w:val="35"/>
              <w:keepNext w:val="0"/>
              <w:keepLines w:val="0"/>
              <w:widowControl/>
              <w:suppressLineNumbers w:val="0"/>
              <w:spacing w:before="0" w:beforeAutospacing="0" w:after="0" w:afterAutospacing="0"/>
              <w:ind w:left="0" w:right="0" w:firstLine="0"/>
              <w:jc w:val="center"/>
              <w:rPr>
                <w:rFonts w:hint="eastAsia" w:ascii="宋体" w:hAnsi="宋体" w:eastAsia="宋体" w:cs="宋体"/>
                <w:color w:val="auto"/>
                <w:sz w:val="24"/>
                <w:szCs w:val="24"/>
                <w:highlight w:val="none"/>
              </w:rPr>
            </w:pPr>
          </w:p>
          <w:p w14:paraId="1265CC6D">
            <w:pPr>
              <w:pStyle w:val="35"/>
              <w:keepNext w:val="0"/>
              <w:keepLines w:val="0"/>
              <w:widowControl/>
              <w:suppressLineNumbers w:val="0"/>
              <w:spacing w:before="0" w:beforeAutospacing="0" w:after="0" w:afterAutospacing="0"/>
              <w:ind w:left="0" w:right="0" w:firstLine="0"/>
              <w:jc w:val="center"/>
              <w:rPr>
                <w:rFonts w:hint="eastAsia" w:ascii="宋体" w:hAnsi="宋体" w:eastAsia="宋体" w:cs="宋体"/>
                <w:color w:val="auto"/>
                <w:sz w:val="24"/>
                <w:szCs w:val="24"/>
                <w:highlight w:val="none"/>
              </w:rPr>
            </w:pPr>
          </w:p>
          <w:p w14:paraId="23332D18">
            <w:pPr>
              <w:pStyle w:val="35"/>
              <w:keepNext w:val="0"/>
              <w:keepLines w:val="0"/>
              <w:widowControl/>
              <w:suppressLineNumbers w:val="0"/>
              <w:spacing w:before="0" w:beforeAutospacing="0" w:after="0" w:afterAutospacing="0"/>
              <w:ind w:left="0" w:leftChars="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数字文化</w:t>
            </w:r>
          </w:p>
          <w:p w14:paraId="28A5DBC1">
            <w:pPr>
              <w:pStyle w:val="35"/>
              <w:keepNext w:val="0"/>
              <w:keepLines w:val="0"/>
              <w:widowControl/>
              <w:suppressLineNumbers w:val="0"/>
              <w:spacing w:before="0" w:beforeAutospacing="0" w:after="0" w:afterAutospacing="0"/>
              <w:ind w:left="0" w:leftChars="0" w:right="0" w:firstLine="0" w:firstLineChars="0"/>
              <w:jc w:val="center"/>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智慧</w:t>
            </w:r>
            <w:r>
              <w:rPr>
                <w:rFonts w:hint="eastAsia" w:ascii="宋体" w:hAnsi="宋体" w:eastAsia="宋体" w:cs="宋体"/>
                <w:color w:val="auto"/>
                <w:sz w:val="24"/>
                <w:szCs w:val="24"/>
                <w:highlight w:val="none"/>
              </w:rPr>
              <w:t>终端</w:t>
            </w:r>
          </w:p>
          <w:p w14:paraId="1FFAD5DF">
            <w:pPr>
              <w:snapToGrid w:val="0"/>
              <w:ind w:left="0" w:leftChars="0" w:right="0" w:rightChars="0" w:firstLine="0" w:firstLineChars="0"/>
              <w:jc w:val="center"/>
              <w:rPr>
                <w:rFonts w:hint="eastAsia" w:ascii="宋体" w:hAnsi="宋体" w:eastAsia="宋体" w:cs="宋体"/>
                <w:color w:val="auto"/>
                <w:sz w:val="24"/>
                <w:szCs w:val="24"/>
                <w:highlight w:val="none"/>
                <w:vertAlign w:val="baseline"/>
              </w:rPr>
            </w:pPr>
          </w:p>
        </w:tc>
        <w:tc>
          <w:tcPr>
            <w:tcW w:w="9351" w:type="dxa"/>
            <w:shd w:val="clear" w:color="auto" w:fill="auto"/>
            <w:vAlign w:val="bottom"/>
          </w:tcPr>
          <w:p w14:paraId="1A092EB5">
            <w:pPr>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auto"/>
              <w:ind w:leftChars="0" w:right="0" w:rightChars="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 xml:space="preserve">1.系统 </w:t>
            </w:r>
          </w:p>
          <w:p w14:paraId="73F9825C">
            <w:pPr>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auto"/>
              <w:ind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1.1</w:t>
            </w:r>
            <w:r>
              <w:rPr>
                <w:rFonts w:hint="eastAsia" w:cs="宋体"/>
                <w:color w:val="auto"/>
                <w:kern w:val="0"/>
                <w:sz w:val="24"/>
                <w:szCs w:val="24"/>
                <w:highlight w:val="none"/>
                <w:lang w:val="en-US" w:eastAsia="zh-CN"/>
              </w:rPr>
              <w:t>数字文化智慧终端</w:t>
            </w:r>
            <w:r>
              <w:rPr>
                <w:rFonts w:hint="eastAsia" w:ascii="宋体" w:hAnsi="宋体" w:eastAsia="宋体" w:cs="宋体"/>
                <w:color w:val="auto"/>
                <w:kern w:val="0"/>
                <w:sz w:val="24"/>
                <w:szCs w:val="24"/>
                <w:highlight w:val="none"/>
                <w:lang w:val="en-US" w:eastAsia="zh-CN"/>
              </w:rPr>
              <w:t>基于大屏安卓触摸一体机研发，软件运行环境为Android系统；</w:t>
            </w:r>
          </w:p>
          <w:p w14:paraId="179A60C8">
            <w:pPr>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auto"/>
              <w:ind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1.2资源支持远程定时更新，支持自动更新，减少管理成本；</w:t>
            </w:r>
          </w:p>
          <w:p w14:paraId="44DCDD05">
            <w:pPr>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auto"/>
              <w:ind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1.3支持显示天气和时间功能，可根据设备网络ip自动判断当前城市，在界面上展示城市天气和时间；</w:t>
            </w:r>
          </w:p>
          <w:p w14:paraId="0BF1A470">
            <w:pPr>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auto"/>
              <w:ind w:leftChars="0" w:right="0" w:rightChars="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2.</w:t>
            </w:r>
            <w:r>
              <w:rPr>
                <w:rFonts w:hint="eastAsia" w:cs="宋体"/>
                <w:b/>
                <w:bCs/>
                <w:color w:val="auto"/>
                <w:kern w:val="0"/>
                <w:sz w:val="24"/>
                <w:szCs w:val="24"/>
                <w:highlight w:val="none"/>
                <w:lang w:val="en-US" w:eastAsia="zh-CN"/>
              </w:rPr>
              <w:t>数字文化智慧终端</w:t>
            </w:r>
            <w:r>
              <w:rPr>
                <w:rFonts w:hint="eastAsia" w:ascii="宋体" w:hAnsi="宋体" w:eastAsia="宋体" w:cs="宋体"/>
                <w:b/>
                <w:bCs/>
                <w:color w:val="auto"/>
                <w:kern w:val="0"/>
                <w:sz w:val="24"/>
                <w:szCs w:val="24"/>
                <w:highlight w:val="none"/>
                <w:lang w:val="en-US" w:eastAsia="zh-CN"/>
              </w:rPr>
              <w:t>资源</w:t>
            </w:r>
          </w:p>
          <w:p w14:paraId="2B36E2B0">
            <w:pPr>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auto"/>
              <w:ind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2.1</w:t>
            </w:r>
            <w:r>
              <w:rPr>
                <w:rFonts w:hint="eastAsia" w:cs="宋体"/>
                <w:color w:val="auto"/>
                <w:kern w:val="0"/>
                <w:sz w:val="24"/>
                <w:szCs w:val="24"/>
                <w:highlight w:val="none"/>
                <w:lang w:val="en-US" w:eastAsia="zh-CN"/>
              </w:rPr>
              <w:t>数字文化智慧终端</w:t>
            </w:r>
            <w:r>
              <w:rPr>
                <w:rFonts w:hint="eastAsia" w:ascii="宋体" w:hAnsi="宋体" w:eastAsia="宋体" w:cs="宋体"/>
                <w:color w:val="auto"/>
                <w:kern w:val="0"/>
                <w:sz w:val="24"/>
                <w:szCs w:val="24"/>
                <w:highlight w:val="none"/>
                <w:lang w:val="en-US" w:eastAsia="zh-CN"/>
              </w:rPr>
              <w:t>需提供“非遗文化”模块，旨在全面展示与传承中华民族丰富多彩的非物质文化遗产，通过高清视频、精彩图文等多种手段，生动展现非遗文化的独特魅力与深厚底蕴。该模块内容支持高度自定义，用户单位可根据需求进行个性化配置，增强文化宣传效果；</w:t>
            </w:r>
          </w:p>
          <w:p w14:paraId="0832B80C">
            <w:pPr>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auto"/>
              <w:ind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2.2</w:t>
            </w:r>
            <w:r>
              <w:rPr>
                <w:rFonts w:hint="eastAsia" w:cs="宋体"/>
                <w:color w:val="auto"/>
                <w:kern w:val="0"/>
                <w:sz w:val="24"/>
                <w:szCs w:val="24"/>
                <w:highlight w:val="none"/>
                <w:lang w:val="en-US" w:eastAsia="zh-CN"/>
              </w:rPr>
              <w:t>数字文化智慧终端</w:t>
            </w:r>
            <w:r>
              <w:rPr>
                <w:rFonts w:hint="eastAsia" w:ascii="宋体" w:hAnsi="宋体" w:eastAsia="宋体" w:cs="宋体"/>
                <w:color w:val="auto"/>
                <w:kern w:val="0"/>
                <w:sz w:val="24"/>
                <w:szCs w:val="24"/>
                <w:highlight w:val="none"/>
                <w:lang w:val="en-US" w:eastAsia="zh-CN"/>
              </w:rPr>
              <w:t>需提供“旅游景点”模块，整合并呈现丰富的文化旅游资源，深入挖掘了那些承载着深厚历史文化底蕴、独特民俗风情以及艺术创造力的地方，通过高清图片、视频文字介绍，让用户仿佛置身于景点之中，亲身体验其独特的文化氛围和历史韵味。该模块内容支持高度自定义，用户单位可根据需求进行个性化配置，增强文化宣传效果；</w:t>
            </w:r>
          </w:p>
          <w:p w14:paraId="164F47EA">
            <w:pPr>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auto"/>
              <w:ind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2.3</w:t>
            </w:r>
            <w:r>
              <w:rPr>
                <w:rFonts w:hint="eastAsia" w:cs="宋体"/>
                <w:color w:val="auto"/>
                <w:kern w:val="0"/>
                <w:sz w:val="24"/>
                <w:szCs w:val="24"/>
                <w:highlight w:val="none"/>
                <w:lang w:val="en-US" w:eastAsia="zh-CN"/>
              </w:rPr>
              <w:t>数字文化智慧终端</w:t>
            </w:r>
            <w:r>
              <w:rPr>
                <w:rFonts w:hint="eastAsia" w:ascii="宋体" w:hAnsi="宋体" w:eastAsia="宋体" w:cs="宋体"/>
                <w:color w:val="auto"/>
                <w:kern w:val="0"/>
                <w:sz w:val="24"/>
                <w:szCs w:val="24"/>
                <w:highlight w:val="none"/>
                <w:lang w:val="en-US" w:eastAsia="zh-CN"/>
              </w:rPr>
              <w:t>需提供“特色美食”模块，模块不仅记录了当地特色美食的制作工艺和历史故事，还积极推广和传播这些宝贵的文化遗产，让更多人能够了解和珍惜这些独特的美食资源。该模块内容支持高度自定义，用户单位可根据需求进行个性化配置，增强文化宣传效果</w:t>
            </w:r>
            <w:r>
              <w:rPr>
                <w:rFonts w:hint="eastAsia" w:cs="宋体"/>
                <w:color w:val="auto"/>
                <w:kern w:val="0"/>
                <w:sz w:val="24"/>
                <w:szCs w:val="24"/>
                <w:highlight w:val="none"/>
                <w:lang w:val="en-US" w:eastAsia="zh-CN"/>
              </w:rPr>
              <w:t>；</w:t>
            </w:r>
          </w:p>
          <w:p w14:paraId="05DBD114">
            <w:pPr>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auto"/>
              <w:ind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2.4</w:t>
            </w:r>
            <w:r>
              <w:rPr>
                <w:rFonts w:hint="eastAsia" w:cs="宋体"/>
                <w:color w:val="auto"/>
                <w:kern w:val="0"/>
                <w:sz w:val="24"/>
                <w:szCs w:val="24"/>
                <w:highlight w:val="none"/>
                <w:lang w:val="en-US" w:eastAsia="zh-CN"/>
              </w:rPr>
              <w:t>数字文化智慧终端</w:t>
            </w:r>
            <w:r>
              <w:rPr>
                <w:rFonts w:hint="eastAsia" w:ascii="宋体" w:hAnsi="宋体" w:eastAsia="宋体" w:cs="宋体"/>
                <w:color w:val="auto"/>
                <w:kern w:val="0"/>
                <w:sz w:val="24"/>
                <w:szCs w:val="24"/>
                <w:highlight w:val="none"/>
                <w:lang w:val="en-US" w:eastAsia="zh-CN"/>
              </w:rPr>
              <w:t>需提供丰富多彩的文化视频资源不少于800集。视频资源涵盖戏曲经典、手工制作、文化艺术、音乐欣赏、非遗文化等多个类别，方便用户检索观看。视频资源支持扫描二维码借阅至微信小程序中观看，可添加至小程序书架</w:t>
            </w:r>
            <w:r>
              <w:rPr>
                <w:rFonts w:hint="eastAsia" w:cs="宋体"/>
                <w:color w:val="auto"/>
                <w:kern w:val="0"/>
                <w:sz w:val="24"/>
                <w:szCs w:val="24"/>
                <w:highlight w:val="none"/>
                <w:lang w:val="en-US" w:eastAsia="zh-CN"/>
              </w:rPr>
              <w:t>；</w:t>
            </w:r>
          </w:p>
          <w:p w14:paraId="1FE7DCFA">
            <w:pPr>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auto"/>
              <w:ind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2.5</w:t>
            </w:r>
            <w:r>
              <w:rPr>
                <w:rFonts w:hint="eastAsia" w:cs="宋体"/>
                <w:color w:val="auto"/>
                <w:kern w:val="0"/>
                <w:sz w:val="24"/>
                <w:szCs w:val="24"/>
                <w:highlight w:val="none"/>
                <w:lang w:val="en-US" w:eastAsia="zh-CN"/>
              </w:rPr>
              <w:t>数字文化智慧终端</w:t>
            </w:r>
            <w:r>
              <w:rPr>
                <w:rFonts w:hint="eastAsia" w:ascii="宋体" w:hAnsi="宋体" w:eastAsia="宋体" w:cs="宋体"/>
                <w:color w:val="auto"/>
                <w:kern w:val="0"/>
                <w:sz w:val="24"/>
                <w:szCs w:val="24"/>
                <w:highlight w:val="none"/>
                <w:lang w:val="en-US" w:eastAsia="zh-CN"/>
              </w:rPr>
              <w:t>需提供艺术摄影类电子图书不少于1500册，电子图书支持扫描二维码借阅至微信小程序中阅读，可添加至小程序书架</w:t>
            </w:r>
            <w:r>
              <w:rPr>
                <w:rFonts w:hint="eastAsia" w:cs="宋体"/>
                <w:color w:val="auto"/>
                <w:kern w:val="0"/>
                <w:sz w:val="24"/>
                <w:szCs w:val="24"/>
                <w:highlight w:val="none"/>
                <w:lang w:val="en-US" w:eastAsia="zh-CN"/>
              </w:rPr>
              <w:t>；</w:t>
            </w:r>
          </w:p>
          <w:p w14:paraId="483D1FBE">
            <w:pPr>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auto"/>
              <w:ind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2.6 </w:t>
            </w:r>
            <w:r>
              <w:rPr>
                <w:rFonts w:hint="eastAsia" w:cs="宋体"/>
                <w:color w:val="auto"/>
                <w:kern w:val="0"/>
                <w:sz w:val="24"/>
                <w:szCs w:val="24"/>
                <w:highlight w:val="none"/>
                <w:lang w:val="en-US" w:eastAsia="zh-CN"/>
              </w:rPr>
              <w:t>数字文化智慧终端</w:t>
            </w:r>
            <w:r>
              <w:rPr>
                <w:rFonts w:hint="eastAsia" w:ascii="宋体" w:hAnsi="宋体" w:eastAsia="宋体" w:cs="宋体"/>
                <w:color w:val="auto"/>
                <w:kern w:val="0"/>
                <w:sz w:val="24"/>
                <w:szCs w:val="24"/>
                <w:highlight w:val="none"/>
                <w:lang w:val="en-US" w:eastAsia="zh-CN"/>
              </w:rPr>
              <w:t>需提供文化艺术类期刊资源不少于60种。期刊资源支持扫描二维码借阅至微信小程序中阅读，可添加至小程序书架</w:t>
            </w:r>
            <w:r>
              <w:rPr>
                <w:rFonts w:hint="eastAsia" w:cs="宋体"/>
                <w:color w:val="auto"/>
                <w:kern w:val="0"/>
                <w:sz w:val="24"/>
                <w:szCs w:val="24"/>
                <w:highlight w:val="none"/>
                <w:lang w:val="en-US" w:eastAsia="zh-CN"/>
              </w:rPr>
              <w:t>；</w:t>
            </w:r>
          </w:p>
          <w:p w14:paraId="3D9C7EDF">
            <w:pPr>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auto"/>
              <w:ind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★2.7 </w:t>
            </w:r>
            <w:r>
              <w:rPr>
                <w:rFonts w:hint="eastAsia" w:cs="宋体"/>
                <w:color w:val="auto"/>
                <w:kern w:val="0"/>
                <w:sz w:val="24"/>
                <w:szCs w:val="24"/>
                <w:highlight w:val="none"/>
                <w:lang w:val="en-US" w:eastAsia="zh-CN"/>
              </w:rPr>
              <w:t>数字文化智慧终端</w:t>
            </w:r>
            <w:r>
              <w:rPr>
                <w:rFonts w:hint="eastAsia" w:ascii="宋体" w:hAnsi="宋体" w:eastAsia="宋体" w:cs="宋体"/>
                <w:color w:val="auto"/>
                <w:kern w:val="0"/>
                <w:sz w:val="24"/>
                <w:szCs w:val="24"/>
                <w:highlight w:val="none"/>
                <w:lang w:val="en-US" w:eastAsia="zh-CN"/>
              </w:rPr>
              <w:t>提供“文化知识竞答”模块，让读者通过答题来学习和复习各种文化知识，包括文学知识答题、文化知识答题、历史知识答题，提供不少于280道题目的题库资源，读者可选择“5题、10题、15题、全部”进行答题，答题完成后随即生成答题测评结果。界面UI、内置题库支持高度自定义，用户单位可根据需求进行个性化配置，提升读者体验；</w:t>
            </w:r>
          </w:p>
          <w:p w14:paraId="7641D225">
            <w:pPr>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auto"/>
              <w:ind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2.8 </w:t>
            </w:r>
            <w:r>
              <w:rPr>
                <w:rFonts w:hint="eastAsia" w:cs="宋体"/>
                <w:color w:val="auto"/>
                <w:kern w:val="0"/>
                <w:sz w:val="24"/>
                <w:szCs w:val="24"/>
                <w:highlight w:val="none"/>
                <w:lang w:val="en-US" w:eastAsia="zh-CN"/>
              </w:rPr>
              <w:t>数字文化智慧终端</w:t>
            </w:r>
            <w:r>
              <w:rPr>
                <w:rFonts w:hint="eastAsia" w:ascii="宋体" w:hAnsi="宋体" w:eastAsia="宋体" w:cs="宋体"/>
                <w:color w:val="auto"/>
                <w:kern w:val="0"/>
                <w:sz w:val="24"/>
                <w:szCs w:val="24"/>
                <w:highlight w:val="none"/>
                <w:lang w:val="en-US" w:eastAsia="zh-CN"/>
              </w:rPr>
              <w:t>提供“科普知识竞答”模块，让读者通过答题来学习和复习各种科学知识，提供不少于110道题目的题库资源，读者可选择“5题、10题、15题、全部”进行答题，答题完成后随即生成答题测评结果。界面UI、内置题库支持高度自定义，用户单位可根据需求进行个性化配置，提升读者体验；</w:t>
            </w:r>
          </w:p>
          <w:p w14:paraId="7FCD2D8D">
            <w:pPr>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auto"/>
              <w:ind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★2.9支持用户自有版权的资源录入和展示，支持电子图书、期刊、绘本、有声、视频、图片、H5页面等全面丰富的类型，可通过客户后台管理系统导入并在前端大屏展示，供使用者浏览。</w:t>
            </w:r>
          </w:p>
          <w:p w14:paraId="765202C2">
            <w:pPr>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auto"/>
              <w:ind w:leftChars="0" w:right="0" w:rightChars="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3. 个性化定制</w:t>
            </w:r>
          </w:p>
          <w:p w14:paraId="301EA97F">
            <w:pPr>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auto"/>
              <w:ind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sz w:val="24"/>
                <w:szCs w:val="32"/>
                <w:highlight w:val="none"/>
                <w:lang w:val="en-US" w:eastAsia="zh-CN"/>
              </w:rPr>
              <w:t>★</w:t>
            </w:r>
            <w:r>
              <w:rPr>
                <w:rFonts w:hint="eastAsia" w:ascii="宋体" w:hAnsi="宋体" w:eastAsia="宋体" w:cs="宋体"/>
                <w:color w:val="auto"/>
                <w:kern w:val="0"/>
                <w:sz w:val="24"/>
                <w:szCs w:val="24"/>
                <w:highlight w:val="none"/>
                <w:lang w:val="en-US" w:eastAsia="zh-CN"/>
              </w:rPr>
              <w:t>3.1单位后台管理系统支持修改大屏上的单位名称、logo图片，支持单位名称文本的字体颜色修改，支持logo下层的底图修改；</w:t>
            </w:r>
          </w:p>
          <w:p w14:paraId="3C43E820">
            <w:pPr>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auto"/>
              <w:ind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3.2 单位后台管理系统支持资讯发布功能，用户可创建信息分类，创建资讯列表，提供全功能多媒体新闻编辑器，支持插入图片、文字、视频等多种格式的信息，用户可利用本功能实现资讯发布、通知公告、个性化专题栏目（如校园文化专栏、当地文化特色专栏、非遗文化专栏等）等需求。资讯可发布至指定的终端设备，使用者可触屏浏览</w:t>
            </w:r>
            <w:r>
              <w:rPr>
                <w:rFonts w:hint="eastAsia" w:cs="宋体"/>
                <w:color w:val="auto"/>
                <w:kern w:val="0"/>
                <w:sz w:val="24"/>
                <w:szCs w:val="24"/>
                <w:highlight w:val="none"/>
                <w:lang w:val="en-US" w:eastAsia="zh-CN"/>
              </w:rPr>
              <w:t>；</w:t>
            </w:r>
          </w:p>
          <w:p w14:paraId="04CCFD0A">
            <w:pPr>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auto"/>
              <w:ind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3.3单位后台管理系统支持滚动文字消息的发布，滚动消息以走马灯的形式滚动播放，可在竖屏终端大屏上显示，滚动文字消息支持点击跳转至指定栏目，该功能可用于重要信息的发布</w:t>
            </w:r>
            <w:r>
              <w:rPr>
                <w:rFonts w:hint="eastAsia" w:cs="宋体"/>
                <w:color w:val="auto"/>
                <w:kern w:val="0"/>
                <w:sz w:val="24"/>
                <w:szCs w:val="24"/>
                <w:highlight w:val="none"/>
                <w:lang w:val="en-US" w:eastAsia="zh-CN"/>
              </w:rPr>
              <w:t>；</w:t>
            </w:r>
          </w:p>
          <w:p w14:paraId="1E4B1BF1">
            <w:pPr>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auto"/>
              <w:ind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3.4单位后台管理系统支持栏目配置功能，可自定义栏目类型，栏目类型需支持图书、音频、视频、图片、资讯信息、实现个性化配置需求，可增加删除栏目，栏目可自由排序。</w:t>
            </w:r>
          </w:p>
          <w:p w14:paraId="0A678014">
            <w:pPr>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auto"/>
              <w:ind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4．配套的手机端服务</w:t>
            </w:r>
          </w:p>
          <w:p w14:paraId="5D8C061F">
            <w:pPr>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auto"/>
              <w:ind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sz w:val="24"/>
                <w:szCs w:val="32"/>
                <w:highlight w:val="none"/>
                <w:lang w:val="en-US" w:eastAsia="zh-CN"/>
              </w:rPr>
              <w:t>★</w:t>
            </w:r>
            <w:r>
              <w:rPr>
                <w:rFonts w:hint="eastAsia" w:ascii="宋体" w:hAnsi="宋体" w:eastAsia="宋体" w:cs="宋体"/>
                <w:color w:val="auto"/>
                <w:kern w:val="0"/>
                <w:sz w:val="24"/>
                <w:szCs w:val="24"/>
                <w:highlight w:val="none"/>
                <w:lang w:val="en-US" w:eastAsia="zh-CN"/>
              </w:rPr>
              <w:t>4.1微信小程序是</w:t>
            </w:r>
            <w:r>
              <w:rPr>
                <w:rFonts w:hint="eastAsia" w:cs="宋体"/>
                <w:color w:val="auto"/>
                <w:kern w:val="0"/>
                <w:sz w:val="24"/>
                <w:szCs w:val="24"/>
                <w:highlight w:val="none"/>
                <w:lang w:val="en-US" w:eastAsia="zh-CN"/>
              </w:rPr>
              <w:t>数字文化智慧终端</w:t>
            </w:r>
            <w:r>
              <w:rPr>
                <w:rFonts w:hint="eastAsia" w:ascii="宋体" w:hAnsi="宋体" w:eastAsia="宋体" w:cs="宋体"/>
                <w:color w:val="auto"/>
                <w:kern w:val="0"/>
                <w:sz w:val="24"/>
                <w:szCs w:val="24"/>
                <w:highlight w:val="none"/>
                <w:lang w:val="en-US" w:eastAsia="zh-CN"/>
              </w:rPr>
              <w:t>的配套移动应用，微信小程序支持扫码借阅功能。使用者无需下载额外的APP，减轻使用成本</w:t>
            </w:r>
            <w:r>
              <w:rPr>
                <w:rFonts w:hint="eastAsia" w:cs="宋体"/>
                <w:color w:val="auto"/>
                <w:kern w:val="0"/>
                <w:sz w:val="24"/>
                <w:szCs w:val="24"/>
                <w:highlight w:val="none"/>
                <w:lang w:val="en-US" w:eastAsia="zh-CN"/>
              </w:rPr>
              <w:t>；</w:t>
            </w:r>
          </w:p>
          <w:p w14:paraId="408AA6AC">
            <w:pPr>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auto"/>
              <w:ind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4.2 微信小程序提供书架功能，可将扫描的图书、音频、视频收藏至书架中，保留阅读进度，方便使用者随时随地查找和阅览</w:t>
            </w:r>
            <w:r>
              <w:rPr>
                <w:rFonts w:hint="eastAsia" w:cs="宋体"/>
                <w:color w:val="auto"/>
                <w:kern w:val="0"/>
                <w:sz w:val="24"/>
                <w:szCs w:val="24"/>
                <w:highlight w:val="none"/>
                <w:lang w:val="en-US" w:eastAsia="zh-CN"/>
              </w:rPr>
              <w:t>；</w:t>
            </w:r>
          </w:p>
          <w:p w14:paraId="7F9D1627">
            <w:pPr>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auto"/>
              <w:ind w:leftChars="0" w:right="0" w:rightChars="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附：</w:t>
            </w:r>
            <w:r>
              <w:rPr>
                <w:rFonts w:hint="eastAsia" w:cs="宋体"/>
                <w:b/>
                <w:bCs/>
                <w:color w:val="auto"/>
                <w:kern w:val="0"/>
                <w:sz w:val="24"/>
                <w:szCs w:val="24"/>
                <w:highlight w:val="none"/>
                <w:lang w:val="en-US" w:eastAsia="zh-CN"/>
              </w:rPr>
              <w:t>数字文化智慧终端</w:t>
            </w:r>
            <w:r>
              <w:rPr>
                <w:rFonts w:hint="eastAsia" w:ascii="宋体" w:hAnsi="宋体" w:eastAsia="宋体" w:cs="宋体"/>
                <w:b/>
                <w:bCs/>
                <w:color w:val="auto"/>
                <w:kern w:val="0"/>
                <w:sz w:val="24"/>
                <w:szCs w:val="24"/>
                <w:highlight w:val="none"/>
                <w:lang w:val="en-US" w:eastAsia="zh-CN"/>
              </w:rPr>
              <w:t>硬件参数：</w:t>
            </w:r>
          </w:p>
          <w:p w14:paraId="1ADCE300">
            <w:pPr>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auto"/>
              <w:ind w:leftChars="0" w:right="0" w:rightChars="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显示屏规格参数：</w:t>
            </w:r>
          </w:p>
          <w:p w14:paraId="0A34C55D">
            <w:pPr>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auto"/>
              <w:ind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sz w:val="24"/>
                <w:szCs w:val="32"/>
                <w:highlight w:val="none"/>
                <w:lang w:val="en-US" w:eastAsia="zh-CN"/>
              </w:rPr>
              <w:t>★</w:t>
            </w:r>
            <w:r>
              <w:rPr>
                <w:rFonts w:hint="eastAsia" w:ascii="宋体" w:hAnsi="宋体" w:eastAsia="宋体" w:cs="宋体"/>
                <w:color w:val="auto"/>
                <w:kern w:val="0"/>
                <w:sz w:val="24"/>
                <w:szCs w:val="24"/>
                <w:highlight w:val="none"/>
                <w:lang w:val="en-US" w:eastAsia="zh-CN"/>
              </w:rPr>
              <w:t>屏幕尺寸：≥55寸</w:t>
            </w:r>
          </w:p>
          <w:p w14:paraId="0C74F541">
            <w:pPr>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auto"/>
              <w:ind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sz w:val="24"/>
                <w:szCs w:val="32"/>
                <w:highlight w:val="none"/>
                <w:lang w:val="en-US" w:eastAsia="zh-CN"/>
              </w:rPr>
              <w:t>★</w:t>
            </w:r>
            <w:r>
              <w:rPr>
                <w:rFonts w:hint="eastAsia" w:ascii="宋体" w:hAnsi="宋体" w:eastAsia="宋体" w:cs="宋体"/>
                <w:color w:val="auto"/>
                <w:kern w:val="0"/>
                <w:sz w:val="24"/>
                <w:szCs w:val="24"/>
                <w:highlight w:val="none"/>
                <w:lang w:val="en-US" w:eastAsia="zh-CN"/>
              </w:rPr>
              <w:t>屏幕分辨率：≥1920*1080</w:t>
            </w:r>
          </w:p>
          <w:p w14:paraId="706E282E">
            <w:pPr>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auto"/>
              <w:ind w:leftChars="0" w:right="0" w:rightChars="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触摸屏参数：</w:t>
            </w:r>
          </w:p>
          <w:p w14:paraId="71E59F56">
            <w:pPr>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auto"/>
              <w:ind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触摸屏尺寸：≥55寸</w:t>
            </w:r>
          </w:p>
          <w:p w14:paraId="48A7412F">
            <w:pPr>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auto"/>
              <w:ind w:leftChars="0" w:right="0" w:rightChars="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硬件配置参数</w:t>
            </w:r>
            <w:r>
              <w:rPr>
                <w:rFonts w:hint="eastAsia" w:ascii="宋体" w:hAnsi="宋体" w:eastAsia="宋体" w:cs="宋体"/>
                <w:b/>
                <w:bCs/>
                <w:color w:val="auto"/>
                <w:kern w:val="0"/>
                <w:sz w:val="24"/>
                <w:szCs w:val="24"/>
                <w:highlight w:val="none"/>
                <w:lang w:val="en-US" w:eastAsia="zh-CN"/>
              </w:rPr>
              <w:tab/>
            </w:r>
            <w:r>
              <w:rPr>
                <w:rFonts w:hint="eastAsia" w:ascii="宋体" w:hAnsi="宋体" w:eastAsia="宋体" w:cs="宋体"/>
                <w:b/>
                <w:bCs/>
                <w:color w:val="auto"/>
                <w:kern w:val="0"/>
                <w:sz w:val="24"/>
                <w:szCs w:val="24"/>
                <w:highlight w:val="none"/>
                <w:lang w:val="en-US" w:eastAsia="zh-CN"/>
              </w:rPr>
              <w:t>：</w:t>
            </w:r>
          </w:p>
          <w:p w14:paraId="2007100F">
            <w:pPr>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auto"/>
              <w:ind w:leftChars="0" w:right="0" w:rightChars="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CPU: ≥四核</w:t>
            </w:r>
          </w:p>
          <w:p w14:paraId="79D5A54B">
            <w:pPr>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auto"/>
              <w:ind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运行内存：≥4G </w:t>
            </w:r>
          </w:p>
          <w:p w14:paraId="4F30921E">
            <w:pPr>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auto"/>
              <w:ind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内置存储：≥32G</w:t>
            </w:r>
          </w:p>
          <w:p w14:paraId="0B6D8035">
            <w:pPr>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auto"/>
              <w:ind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解码分辨率：最高支持1080P</w:t>
            </w:r>
          </w:p>
          <w:p w14:paraId="0BEA9C26">
            <w:pPr>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auto"/>
              <w:ind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操作系统：Android 7.1或以上</w:t>
            </w:r>
          </w:p>
          <w:p w14:paraId="0E36AB22">
            <w:pPr>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auto"/>
              <w:ind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网络：支持以太网和WiFi </w:t>
            </w:r>
          </w:p>
          <w:p w14:paraId="39567E5F">
            <w:pPr>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auto"/>
              <w:ind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USB接口：2个</w:t>
            </w:r>
          </w:p>
          <w:p w14:paraId="1C4DBFE9">
            <w:pPr>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auto"/>
              <w:ind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以太网络接口：1个，支持10M/100M自适应以太网</w:t>
            </w:r>
          </w:p>
        </w:tc>
        <w:tc>
          <w:tcPr>
            <w:tcW w:w="510" w:type="dxa"/>
          </w:tcPr>
          <w:p w14:paraId="5BCCDD04">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5E1AC731">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0CF0E5B4">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6413D96D">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600F08BC">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563" w:type="dxa"/>
          </w:tcPr>
          <w:p w14:paraId="11DA5130">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13F36263">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4FC13AD2">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0B538F6E">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45EB00AE">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1125" w:type="dxa"/>
          </w:tcPr>
          <w:p w14:paraId="79AF353C">
            <w:pPr>
              <w:snapToGrid w:val="0"/>
              <w:ind w:left="0" w:leftChars="0" w:right="0" w:rightChars="0" w:firstLine="0" w:firstLineChars="0"/>
              <w:jc w:val="center"/>
              <w:rPr>
                <w:rFonts w:hint="eastAsia" w:cs="宋体"/>
                <w:color w:val="auto"/>
                <w:sz w:val="24"/>
                <w:szCs w:val="24"/>
                <w:highlight w:val="none"/>
                <w:vertAlign w:val="baseline"/>
                <w:lang w:val="en-US" w:eastAsia="zh-CN"/>
              </w:rPr>
            </w:pPr>
          </w:p>
          <w:p w14:paraId="2D53963C">
            <w:pPr>
              <w:snapToGrid w:val="0"/>
              <w:ind w:left="0" w:leftChars="0" w:right="0" w:rightChars="0" w:firstLine="0" w:firstLineChars="0"/>
              <w:jc w:val="center"/>
              <w:rPr>
                <w:rFonts w:hint="eastAsia" w:cs="宋体"/>
                <w:color w:val="auto"/>
                <w:sz w:val="24"/>
                <w:szCs w:val="24"/>
                <w:highlight w:val="none"/>
                <w:vertAlign w:val="baseline"/>
                <w:lang w:val="en-US" w:eastAsia="zh-CN"/>
              </w:rPr>
            </w:pPr>
          </w:p>
          <w:p w14:paraId="0FAA3149">
            <w:pPr>
              <w:snapToGrid w:val="0"/>
              <w:ind w:left="0" w:leftChars="0" w:right="0" w:rightChars="0" w:firstLine="0" w:firstLineChars="0"/>
              <w:jc w:val="center"/>
              <w:rPr>
                <w:rFonts w:hint="eastAsia" w:cs="宋体"/>
                <w:color w:val="auto"/>
                <w:sz w:val="24"/>
                <w:szCs w:val="24"/>
                <w:highlight w:val="none"/>
                <w:vertAlign w:val="baseline"/>
                <w:lang w:val="en-US" w:eastAsia="zh-CN"/>
              </w:rPr>
            </w:pPr>
          </w:p>
          <w:p w14:paraId="48C6508C">
            <w:pPr>
              <w:snapToGrid w:val="0"/>
              <w:ind w:left="0" w:leftChars="0" w:right="0" w:rightChars="0" w:firstLine="0" w:firstLineChars="0"/>
              <w:jc w:val="center"/>
              <w:rPr>
                <w:rFonts w:hint="eastAsia" w:cs="宋体"/>
                <w:color w:val="auto"/>
                <w:sz w:val="24"/>
                <w:szCs w:val="24"/>
                <w:highlight w:val="none"/>
                <w:vertAlign w:val="baseline"/>
                <w:lang w:val="en-US" w:eastAsia="zh-CN"/>
              </w:rPr>
            </w:pPr>
          </w:p>
          <w:p w14:paraId="3A4F7440">
            <w:pPr>
              <w:snapToGrid w:val="0"/>
              <w:ind w:left="0" w:leftChars="0" w:right="0" w:rightChars="0" w:firstLine="0" w:firstLineChars="0"/>
              <w:jc w:val="center"/>
              <w:rPr>
                <w:rFonts w:hint="default"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32000</w:t>
            </w:r>
          </w:p>
        </w:tc>
        <w:tc>
          <w:tcPr>
            <w:tcW w:w="569" w:type="dxa"/>
          </w:tcPr>
          <w:p w14:paraId="29BD8F85">
            <w:pPr>
              <w:snapToGrid w:val="0"/>
              <w:ind w:left="0" w:leftChars="0" w:right="0" w:rightChars="0" w:firstLine="0" w:firstLineChars="0"/>
              <w:jc w:val="center"/>
              <w:rPr>
                <w:rFonts w:hint="eastAsia" w:ascii="宋体" w:hAnsi="宋体" w:eastAsia="宋体" w:cs="宋体"/>
                <w:color w:val="auto"/>
                <w:sz w:val="24"/>
                <w:szCs w:val="24"/>
                <w:highlight w:val="none"/>
                <w:vertAlign w:val="baseline"/>
              </w:rPr>
            </w:pPr>
          </w:p>
        </w:tc>
      </w:tr>
      <w:tr w14:paraId="17048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0" w:type="auto"/>
          </w:tcPr>
          <w:p w14:paraId="58ED94DC">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01D52F44">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0B2EECC4">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42CBFACA">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77B1BEC4">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28836402">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265F5425">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70E1C1D6">
            <w:pPr>
              <w:snapToGrid w:val="0"/>
              <w:ind w:left="0" w:leftChars="0" w:right="0" w:rightChars="0" w:firstLine="0" w:firstLineChars="0"/>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8</w:t>
            </w:r>
          </w:p>
        </w:tc>
        <w:tc>
          <w:tcPr>
            <w:tcW w:w="1461" w:type="dxa"/>
          </w:tcPr>
          <w:p w14:paraId="7621B545">
            <w:pPr>
              <w:pStyle w:val="35"/>
              <w:keepNext w:val="0"/>
              <w:keepLines w:val="0"/>
              <w:widowControl/>
              <w:suppressLineNumbers w:val="0"/>
              <w:spacing w:before="0" w:beforeAutospacing="0" w:after="0" w:afterAutospacing="0"/>
              <w:ind w:left="0" w:right="0" w:firstLine="0"/>
              <w:rPr>
                <w:rFonts w:hint="eastAsia" w:ascii="宋体" w:hAnsi="宋体" w:eastAsia="宋体" w:cs="宋体"/>
                <w:color w:val="auto"/>
                <w:sz w:val="24"/>
                <w:szCs w:val="24"/>
                <w:highlight w:val="none"/>
              </w:rPr>
            </w:pPr>
          </w:p>
          <w:p w14:paraId="5F7523BB">
            <w:pPr>
              <w:pStyle w:val="35"/>
              <w:keepNext w:val="0"/>
              <w:keepLines w:val="0"/>
              <w:widowControl/>
              <w:suppressLineNumbers w:val="0"/>
              <w:spacing w:before="0" w:beforeAutospacing="0" w:after="0" w:afterAutospacing="0"/>
              <w:ind w:left="0" w:right="0" w:firstLine="0"/>
              <w:rPr>
                <w:rFonts w:hint="eastAsia" w:ascii="宋体" w:hAnsi="宋体" w:eastAsia="宋体" w:cs="宋体"/>
                <w:color w:val="auto"/>
                <w:sz w:val="24"/>
                <w:szCs w:val="24"/>
                <w:highlight w:val="none"/>
              </w:rPr>
            </w:pPr>
          </w:p>
          <w:p w14:paraId="612930E9">
            <w:pPr>
              <w:pStyle w:val="35"/>
              <w:keepNext w:val="0"/>
              <w:keepLines w:val="0"/>
              <w:widowControl/>
              <w:suppressLineNumbers w:val="0"/>
              <w:spacing w:before="0" w:beforeAutospacing="0" w:after="0" w:afterAutospacing="0"/>
              <w:ind w:left="0" w:right="0" w:firstLine="0"/>
              <w:rPr>
                <w:rFonts w:hint="eastAsia" w:ascii="宋体" w:hAnsi="宋体" w:eastAsia="宋体" w:cs="宋体"/>
                <w:color w:val="auto"/>
                <w:sz w:val="24"/>
                <w:szCs w:val="24"/>
                <w:highlight w:val="none"/>
              </w:rPr>
            </w:pPr>
          </w:p>
          <w:p w14:paraId="13C876B5">
            <w:pPr>
              <w:pStyle w:val="35"/>
              <w:keepNext w:val="0"/>
              <w:keepLines w:val="0"/>
              <w:widowControl/>
              <w:suppressLineNumbers w:val="0"/>
              <w:spacing w:before="0" w:beforeAutospacing="0" w:after="0" w:afterAutospacing="0"/>
              <w:ind w:left="0" w:right="0" w:firstLine="0"/>
              <w:rPr>
                <w:rFonts w:hint="eastAsia" w:ascii="宋体" w:hAnsi="宋体" w:eastAsia="宋体" w:cs="宋体"/>
                <w:color w:val="auto"/>
                <w:sz w:val="24"/>
                <w:szCs w:val="24"/>
                <w:highlight w:val="none"/>
              </w:rPr>
            </w:pPr>
          </w:p>
          <w:p w14:paraId="4CC64596">
            <w:pPr>
              <w:pStyle w:val="35"/>
              <w:keepNext w:val="0"/>
              <w:keepLines w:val="0"/>
              <w:widowControl/>
              <w:suppressLineNumbers w:val="0"/>
              <w:spacing w:before="0" w:beforeAutospacing="0" w:after="0" w:afterAutospacing="0"/>
              <w:ind w:left="0" w:right="0" w:firstLine="0"/>
              <w:rPr>
                <w:rFonts w:hint="eastAsia" w:ascii="宋体" w:hAnsi="宋体" w:eastAsia="宋体" w:cs="宋体"/>
                <w:color w:val="auto"/>
                <w:sz w:val="24"/>
                <w:szCs w:val="24"/>
                <w:highlight w:val="none"/>
              </w:rPr>
            </w:pPr>
          </w:p>
          <w:p w14:paraId="50D7EE6E">
            <w:pPr>
              <w:pStyle w:val="35"/>
              <w:keepNext w:val="0"/>
              <w:keepLines w:val="0"/>
              <w:widowControl/>
              <w:suppressLineNumbers w:val="0"/>
              <w:spacing w:before="0" w:beforeAutospacing="0" w:after="0" w:afterAutospacing="0"/>
              <w:ind w:left="0" w:right="0" w:firstLine="480" w:firstLineChars="200"/>
              <w:rPr>
                <w:rFonts w:hint="eastAsia" w:ascii="宋体" w:hAnsi="宋体" w:eastAsia="宋体" w:cs="宋体"/>
                <w:color w:val="auto"/>
                <w:sz w:val="24"/>
                <w:szCs w:val="24"/>
                <w:highlight w:val="none"/>
              </w:rPr>
            </w:pPr>
          </w:p>
          <w:p w14:paraId="38C9B20F">
            <w:pPr>
              <w:pStyle w:val="35"/>
              <w:keepNext w:val="0"/>
              <w:keepLines w:val="0"/>
              <w:widowControl/>
              <w:suppressLineNumbers w:val="0"/>
              <w:spacing w:before="0" w:beforeAutospacing="0" w:after="0" w:afterAutospacing="0"/>
              <w:ind w:left="0" w:leftChars="0" w:right="0" w:firstLine="0" w:firstLineChars="0"/>
              <w:rPr>
                <w:rFonts w:hint="eastAsia" w:ascii="宋体" w:hAnsi="宋体" w:eastAsia="宋体" w:cs="宋体"/>
                <w:color w:val="auto"/>
                <w:sz w:val="24"/>
                <w:szCs w:val="24"/>
                <w:highlight w:val="none"/>
              </w:rPr>
            </w:pPr>
          </w:p>
          <w:p w14:paraId="2D975993">
            <w:pPr>
              <w:pStyle w:val="35"/>
              <w:keepNext w:val="0"/>
              <w:keepLines w:val="0"/>
              <w:widowControl/>
              <w:suppressLineNumbers w:val="0"/>
              <w:spacing w:before="0" w:beforeAutospacing="0" w:after="0" w:afterAutospacing="0"/>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儿童阅读机</w:t>
            </w:r>
          </w:p>
          <w:p w14:paraId="622794BE">
            <w:pPr>
              <w:snapToGrid w:val="0"/>
              <w:ind w:left="0" w:leftChars="0" w:right="0" w:rightChars="0" w:firstLine="0" w:firstLineChars="0"/>
              <w:jc w:val="center"/>
              <w:rPr>
                <w:rFonts w:hint="eastAsia" w:ascii="宋体" w:hAnsi="宋体" w:eastAsia="宋体" w:cs="宋体"/>
                <w:color w:val="auto"/>
                <w:sz w:val="24"/>
                <w:szCs w:val="24"/>
                <w:highlight w:val="none"/>
                <w:vertAlign w:val="baseline"/>
              </w:rPr>
            </w:pPr>
          </w:p>
        </w:tc>
        <w:tc>
          <w:tcPr>
            <w:tcW w:w="9351" w:type="dxa"/>
            <w:shd w:val="clear" w:color="auto" w:fill="auto"/>
            <w:vAlign w:val="bottom"/>
          </w:tcPr>
          <w:p w14:paraId="0B5B15AB">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 xml:space="preserve">1.系统 </w:t>
            </w:r>
          </w:p>
          <w:p w14:paraId="7FD11864">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sz w:val="24"/>
                <w:szCs w:val="32"/>
                <w:highlight w:val="none"/>
                <w:lang w:val="en-US" w:eastAsia="zh-CN"/>
              </w:rPr>
              <w:t>★</w:t>
            </w:r>
            <w:r>
              <w:rPr>
                <w:rFonts w:hint="eastAsia" w:ascii="宋体" w:hAnsi="宋体" w:eastAsia="宋体" w:cs="宋体"/>
                <w:color w:val="auto"/>
                <w:kern w:val="0"/>
                <w:sz w:val="24"/>
                <w:szCs w:val="24"/>
                <w:highlight w:val="none"/>
                <w:lang w:val="en-US" w:eastAsia="zh-CN"/>
              </w:rPr>
              <w:t>1.1儿童阅读机</w:t>
            </w:r>
            <w:r>
              <w:rPr>
                <w:rFonts w:hint="eastAsia" w:ascii="宋体" w:hAnsi="宋体" w:eastAsia="宋体" w:cs="宋体"/>
                <w:strike w:val="0"/>
                <w:dstrike w:val="0"/>
                <w:color w:val="auto"/>
                <w:kern w:val="0"/>
                <w:sz w:val="24"/>
                <w:szCs w:val="24"/>
                <w:highlight w:val="none"/>
                <w:lang w:val="en-US" w:eastAsia="zh-CN"/>
              </w:rPr>
              <w:t>基于大屏安卓触摸一体机研发，</w:t>
            </w:r>
            <w:r>
              <w:rPr>
                <w:rFonts w:hint="eastAsia" w:ascii="宋体" w:hAnsi="宋体" w:eastAsia="宋体" w:cs="宋体"/>
                <w:color w:val="auto"/>
                <w:kern w:val="0"/>
                <w:sz w:val="24"/>
                <w:szCs w:val="24"/>
                <w:highlight w:val="none"/>
                <w:lang w:val="en-US" w:eastAsia="zh-CN"/>
              </w:rPr>
              <w:t>软件运行环境为Android系统，软件可自适应横屏竖屏，可自适</w:t>
            </w:r>
            <w:r>
              <w:rPr>
                <w:rFonts w:hint="eastAsia" w:ascii="宋体" w:hAnsi="宋体" w:eastAsia="宋体" w:cs="宋体"/>
                <w:strike w:val="0"/>
                <w:dstrike w:val="0"/>
                <w:color w:val="auto"/>
                <w:kern w:val="0"/>
                <w:sz w:val="24"/>
                <w:szCs w:val="24"/>
                <w:highlight w:val="none"/>
                <w:lang w:val="en-US" w:eastAsia="zh-CN"/>
              </w:rPr>
              <w:t>应1080P分辨率和4K分辨率屏幕；</w:t>
            </w:r>
          </w:p>
          <w:p w14:paraId="07CC02E7">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1.2儿童阅读机实现终端平台展示、图书音频视频图片等资源的后台管理、扫码借阅等功能模块；</w:t>
            </w:r>
          </w:p>
          <w:p w14:paraId="6B3BDADA">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trike w:val="0"/>
                <w:dstrike w:val="0"/>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strike w:val="0"/>
                <w:dstrike w:val="0"/>
                <w:color w:val="auto"/>
                <w:kern w:val="0"/>
                <w:sz w:val="24"/>
                <w:szCs w:val="24"/>
                <w:highlight w:val="none"/>
                <w:lang w:val="en-US" w:eastAsia="zh-CN"/>
              </w:rPr>
              <w:t>3微信小程序是儿童阅读机的配套移动应用。需支持</w:t>
            </w:r>
            <w:r>
              <w:rPr>
                <w:rFonts w:hint="eastAsia" w:ascii="宋体" w:hAnsi="宋体" w:eastAsia="宋体" w:cs="宋体"/>
                <w:color w:val="auto"/>
                <w:kern w:val="0"/>
                <w:sz w:val="24"/>
                <w:szCs w:val="24"/>
                <w:highlight w:val="none"/>
                <w:lang w:val="en-US" w:eastAsia="zh-CN"/>
              </w:rPr>
              <w:t>通过手机微信扫描儿童阅读机上的图书、音频、视频、图片的二维码将数字资源借阅到手机、平板电脑等移动终端中阅读，在手机中以微信小程序的方式呈现，</w:t>
            </w:r>
            <w:r>
              <w:rPr>
                <w:rFonts w:hint="eastAsia" w:ascii="宋体" w:hAnsi="宋体" w:eastAsia="宋体" w:cs="宋体"/>
                <w:strike w:val="0"/>
                <w:dstrike w:val="0"/>
                <w:color w:val="auto"/>
                <w:kern w:val="0"/>
                <w:sz w:val="24"/>
                <w:szCs w:val="24"/>
                <w:highlight w:val="none"/>
                <w:lang w:val="en-US" w:eastAsia="zh-CN"/>
              </w:rPr>
              <w:t>读者无需下载额外的app，减轻读者使用成本。</w:t>
            </w:r>
          </w:p>
          <w:p w14:paraId="7E586AEA">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1.4资源支持远程定时更新，支持自动更新，减少管理成本；</w:t>
            </w:r>
          </w:p>
          <w:p w14:paraId="33D6BB46">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1.5支持显示天气和时间功能，可根据设备网络ip自动判断当前城市，在界面上展示城市天气和时间；</w:t>
            </w:r>
          </w:p>
          <w:p w14:paraId="3BA712B9">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1.6管理后台可开放给用户，支持所有设备统一管理、个性化配置UI界面、栏目、上传用户自有的数字资源、发布图文信息公告，并在终端大屏上展示出来；</w:t>
            </w:r>
          </w:p>
          <w:p w14:paraId="194D0B5A">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r>
              <w:rPr>
                <w:rFonts w:hint="eastAsia"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lang w:val="en-US" w:eastAsia="zh-CN"/>
              </w:rPr>
              <w:t xml:space="preserve"> 提供数据统计功能：可以查看单位下设备及资源使用情况，包括点击量、资源阅读量、资源借阅量等数据。支持查看资源阅读排行、收藏排行等维度的资源排行统计，支持按照单台设备、按年、月、日等条件快速检索查看相关统计数据；</w:t>
            </w:r>
          </w:p>
          <w:p w14:paraId="0100C699">
            <w:pPr>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auto"/>
              <w:ind w:leftChars="0" w:right="0" w:rightChars="0"/>
              <w:jc w:val="left"/>
              <w:textAlignment w:val="auto"/>
              <w:rPr>
                <w:rFonts w:hint="eastAsia" w:ascii="宋体" w:hAnsi="宋体" w:eastAsia="宋体" w:cs="宋体"/>
                <w:b/>
                <w:bCs/>
                <w:color w:val="auto"/>
                <w:kern w:val="0"/>
                <w:sz w:val="24"/>
                <w:szCs w:val="24"/>
                <w:highlight w:val="none"/>
                <w:lang w:val="en-US" w:eastAsia="zh-CN"/>
              </w:rPr>
            </w:pPr>
            <w:r>
              <w:rPr>
                <w:rFonts w:hint="eastAsia"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val="en-US" w:eastAsia="zh-CN"/>
              </w:rPr>
              <w:t>儿童阅读机资源</w:t>
            </w:r>
          </w:p>
          <w:p w14:paraId="323C536A">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2.1 儿童阅读机提供不少于3000种正版授权的电子图书，每月更新不少于150册电子图书。精选适合儿童阅读的儿童读物、国学启蒙、科普百科、启蒙读物、学习教学、历史读物等，每月更新不少于150册电子图书；</w:t>
            </w:r>
            <w:r>
              <w:rPr>
                <w:rFonts w:hint="eastAsia" w:ascii="宋体" w:hAnsi="宋体" w:eastAsia="宋体" w:cs="宋体"/>
                <w:strike w:val="0"/>
                <w:dstrike w:val="0"/>
                <w:color w:val="auto"/>
                <w:kern w:val="0"/>
                <w:sz w:val="24"/>
                <w:szCs w:val="24"/>
                <w:highlight w:val="none"/>
                <w:lang w:val="en-US" w:eastAsia="zh-CN"/>
              </w:rPr>
              <w:t>电子图书支持扫描二维码借阅至微信小程序中阅读，可添加至小程序书架</w:t>
            </w:r>
            <w:r>
              <w:rPr>
                <w:rFonts w:hint="eastAsia" w:cs="宋体"/>
                <w:strike w:val="0"/>
                <w:dstrike w:val="0"/>
                <w:color w:val="auto"/>
                <w:kern w:val="0"/>
                <w:sz w:val="24"/>
                <w:szCs w:val="24"/>
                <w:highlight w:val="none"/>
                <w:lang w:val="en-US" w:eastAsia="zh-CN"/>
              </w:rPr>
              <w:t>；</w:t>
            </w:r>
          </w:p>
          <w:p w14:paraId="1F0AF567">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cs="宋体"/>
                <w:strike w:val="0"/>
                <w:dstrike w:val="0"/>
                <w:color w:val="auto"/>
                <w:kern w:val="0"/>
                <w:sz w:val="24"/>
                <w:szCs w:val="24"/>
                <w:highlight w:val="none"/>
                <w:u w:val="none"/>
                <w:lang w:val="en-US" w:eastAsia="zh-CN"/>
              </w:rPr>
            </w:pPr>
            <w:r>
              <w:rPr>
                <w:rFonts w:hint="eastAsia" w:ascii="宋体" w:hAnsi="宋体" w:eastAsia="宋体" w:cs="宋体"/>
                <w:color w:val="auto"/>
                <w:kern w:val="0"/>
                <w:sz w:val="24"/>
                <w:szCs w:val="24"/>
                <w:highlight w:val="none"/>
                <w:lang w:val="en-US" w:eastAsia="zh-CN"/>
              </w:rPr>
              <w:t>2.2 儿童阅读机提供不少于3000集适合儿童的有声资源，MP3格式，均为真人原声演播，非AI合成语音，播放流畅，现场感足。有声资源涵盖儿童有声、国学经典、文学之声等多个类别，方便用户检索收听；</w:t>
            </w:r>
            <w:r>
              <w:rPr>
                <w:rFonts w:hint="eastAsia" w:ascii="宋体" w:hAnsi="宋体" w:eastAsia="宋体" w:cs="宋体"/>
                <w:strike w:val="0"/>
                <w:dstrike w:val="0"/>
                <w:color w:val="auto"/>
                <w:kern w:val="0"/>
                <w:sz w:val="24"/>
                <w:szCs w:val="24"/>
                <w:highlight w:val="none"/>
                <w:u w:val="none"/>
                <w:lang w:val="en-US" w:eastAsia="zh-CN"/>
              </w:rPr>
              <w:t>有声资源支持扫描二维码借阅至微信小程序中收听，可添加至小程序书架</w:t>
            </w:r>
            <w:r>
              <w:rPr>
                <w:rFonts w:hint="eastAsia" w:cs="宋体"/>
                <w:strike w:val="0"/>
                <w:dstrike w:val="0"/>
                <w:color w:val="auto"/>
                <w:kern w:val="0"/>
                <w:sz w:val="24"/>
                <w:szCs w:val="24"/>
                <w:highlight w:val="none"/>
                <w:u w:val="none"/>
                <w:lang w:val="en-US" w:eastAsia="zh-CN"/>
              </w:rPr>
              <w:t>；</w:t>
            </w:r>
          </w:p>
          <w:p w14:paraId="40AEA504">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2.3 儿童阅读机提供不少于400集适合儿童的视频资源。视频资源涵盖好书荐读、手工制作、文化艺术等多个类别，方便用户检索观看</w:t>
            </w:r>
            <w:r>
              <w:rPr>
                <w:rFonts w:hint="eastAsia" w:ascii="宋体" w:hAnsi="宋体" w:eastAsia="宋体" w:cs="宋体"/>
                <w:strike w:val="0"/>
                <w:dstrike w:val="0"/>
                <w:color w:val="auto"/>
                <w:kern w:val="0"/>
                <w:sz w:val="24"/>
                <w:szCs w:val="24"/>
                <w:highlight w:val="none"/>
                <w:lang w:val="en-US" w:eastAsia="zh-CN"/>
              </w:rPr>
              <w:t>。视频资源支持扫描二维码借阅至微信小程序中观看，可添加至小程序书架</w:t>
            </w:r>
            <w:r>
              <w:rPr>
                <w:rFonts w:hint="eastAsia" w:cs="宋体"/>
                <w:strike w:val="0"/>
                <w:dstrike w:val="0"/>
                <w:color w:val="auto"/>
                <w:kern w:val="0"/>
                <w:sz w:val="24"/>
                <w:szCs w:val="24"/>
                <w:highlight w:val="none"/>
                <w:lang w:val="en-US" w:eastAsia="zh-CN"/>
              </w:rPr>
              <w:t>；</w:t>
            </w:r>
          </w:p>
          <w:p w14:paraId="7EF68B5D">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2.4 儿童阅读机提供“绘本”模块，内含不少于200本绘本资源，通过生动有趣的图画和故事，激发儿童的阅读兴趣，培养他们的想象力和创造力。界面UI支持高度自定义，用户单位可根据需求进行个性化配置，提升读者体验；</w:t>
            </w:r>
          </w:p>
          <w:p w14:paraId="4DFC3F1D">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2.5 需支持用户自有版权的资源录入和展示，支持电子图书、期刊、绘本、有声、视频、图片、H5页面等全面丰富的类型，可通过客户后台管理系统导入并在前端大屏展示，供使用者浏览。</w:t>
            </w:r>
          </w:p>
          <w:p w14:paraId="6DB2538F">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3. AI阅读助手</w:t>
            </w:r>
          </w:p>
          <w:p w14:paraId="3E0F83E2">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trike w:val="0"/>
                <w:dstrike w:val="0"/>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3.1 “AI阅读助手”内容总结功能：AI可自动对当前阅读书籍的全文内容进行梳理提炼，生成完整、精炼的全文总结；同时，支持对书籍各章节内容分别进行归纳，产出条理清晰的章节总结，</w:t>
            </w:r>
            <w:r>
              <w:rPr>
                <w:rFonts w:hint="eastAsia" w:ascii="宋体" w:hAnsi="宋体" w:eastAsia="宋体" w:cs="宋体"/>
                <w:strike w:val="0"/>
                <w:dstrike w:val="0"/>
                <w:color w:val="auto"/>
                <w:kern w:val="0"/>
                <w:sz w:val="24"/>
                <w:szCs w:val="24"/>
                <w:highlight w:val="none"/>
                <w:lang w:val="en-US" w:eastAsia="zh-CN"/>
              </w:rPr>
              <w:t>帮助用户快速把握书籍核心主旨与章节重点；</w:t>
            </w:r>
          </w:p>
          <w:p w14:paraId="4DE36433">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3.3 </w:t>
            </w:r>
            <w:r>
              <w:rPr>
                <w:rFonts w:hint="eastAsia" w:ascii="宋体" w:hAnsi="宋体" w:eastAsia="宋体" w:cs="宋体"/>
                <w:strike w:val="0"/>
                <w:dstrike w:val="0"/>
                <w:color w:val="auto"/>
                <w:kern w:val="0"/>
                <w:sz w:val="24"/>
                <w:szCs w:val="24"/>
                <w:highlight w:val="none"/>
                <w:lang w:val="en-US" w:eastAsia="zh-CN"/>
              </w:rPr>
              <w:t>需支持</w:t>
            </w:r>
            <w:r>
              <w:rPr>
                <w:rFonts w:hint="eastAsia" w:ascii="宋体" w:hAnsi="宋体" w:eastAsia="宋体" w:cs="宋体"/>
                <w:color w:val="auto"/>
                <w:kern w:val="0"/>
                <w:sz w:val="24"/>
                <w:szCs w:val="24"/>
                <w:highlight w:val="none"/>
                <w:lang w:val="en-US" w:eastAsia="zh-CN"/>
              </w:rPr>
              <w:t>AI互动对话功能：支持用户与AI围绕当前阅读书籍展开实时对话，用户可针对书籍相关的疑问、观点、细节等内容向AI提问，AI将结合书籍内容给出准确、易懂的解答，助力用户深入理解书籍内涵；</w:t>
            </w:r>
          </w:p>
          <w:p w14:paraId="437E16D5">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3.4 </w:t>
            </w:r>
            <w:r>
              <w:rPr>
                <w:rFonts w:hint="eastAsia" w:ascii="宋体" w:hAnsi="宋体" w:eastAsia="宋体" w:cs="宋体"/>
                <w:strike w:val="0"/>
                <w:dstrike w:val="0"/>
                <w:color w:val="auto"/>
                <w:kern w:val="0"/>
                <w:sz w:val="24"/>
                <w:szCs w:val="24"/>
                <w:highlight w:val="none"/>
                <w:lang w:val="en-US" w:eastAsia="zh-CN"/>
              </w:rPr>
              <w:t>需提供</w:t>
            </w:r>
            <w:r>
              <w:rPr>
                <w:rFonts w:hint="eastAsia" w:ascii="宋体" w:hAnsi="宋体" w:eastAsia="宋体" w:cs="宋体"/>
                <w:color w:val="auto"/>
                <w:kern w:val="0"/>
                <w:sz w:val="24"/>
                <w:szCs w:val="24"/>
                <w:highlight w:val="none"/>
                <w:lang w:val="en-US" w:eastAsia="zh-CN"/>
              </w:rPr>
              <w:t>针对性测试功能：AI可基于当前阅读书籍的核心知识点、关键细节等内容，自动生成对应的选择题，为用户提供针对性的阅读测试服务，帮助用户检验自身阅读效果，巩固对书籍内容的记忆与理解；</w:t>
            </w:r>
          </w:p>
          <w:p w14:paraId="2CFA6A94">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4. 个性化定制</w:t>
            </w:r>
          </w:p>
          <w:p w14:paraId="71C57C01">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sz w:val="24"/>
                <w:szCs w:val="32"/>
                <w:highlight w:val="none"/>
                <w:lang w:val="en-US" w:eastAsia="zh-CN"/>
              </w:rPr>
              <w:t>★</w:t>
            </w:r>
            <w:r>
              <w:rPr>
                <w:rFonts w:hint="eastAsia" w:ascii="宋体" w:hAnsi="宋体" w:eastAsia="宋体" w:cs="宋体"/>
                <w:color w:val="auto"/>
                <w:kern w:val="0"/>
                <w:sz w:val="24"/>
                <w:szCs w:val="24"/>
                <w:highlight w:val="none"/>
                <w:lang w:val="en-US" w:eastAsia="zh-CN"/>
              </w:rPr>
              <w:t>4.1单位后台管理系统支持修改大屏上的单位名称、logo图片，支持单位名称文本的字体颜色修改，支持logo下层的底图修改；</w:t>
            </w:r>
          </w:p>
          <w:p w14:paraId="3EC92895">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4.2 单位后台管理系统需支持修改首页的banner轮播图，每张轮播图均可自定义跳转至指定栏目，可利用本功能辅助用户发布重要通知或者活动的推广。跳转功能支持开启和关闭；</w:t>
            </w:r>
          </w:p>
          <w:p w14:paraId="0153D284">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4.3单位后台管理系统需支持修改待机图片发布，每张待机图均可自定义跳转至指定栏目，可利用本功能辅助用户发布重要通知或者活动的推广。儿童阅读机系统可在设备无人使用时自动跳转至待机图片，全屏播放待机海报，待机图出现的时间可在后台管理系统里自定义设置，支持开启和关闭待机图功能；</w:t>
            </w:r>
          </w:p>
          <w:p w14:paraId="2970F876">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附：借阅机硬件参数：</w:t>
            </w:r>
          </w:p>
          <w:p w14:paraId="1E4E10E8">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显示屏规格参数：</w:t>
            </w:r>
          </w:p>
          <w:p w14:paraId="2E311CB3">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sz w:val="24"/>
                <w:szCs w:val="32"/>
                <w:highlight w:val="none"/>
                <w:lang w:val="en-US" w:eastAsia="zh-CN"/>
              </w:rPr>
              <w:t>★</w:t>
            </w:r>
            <w:r>
              <w:rPr>
                <w:rFonts w:hint="eastAsia" w:ascii="宋体" w:hAnsi="宋体" w:eastAsia="宋体" w:cs="宋体"/>
                <w:color w:val="auto"/>
                <w:kern w:val="0"/>
                <w:sz w:val="24"/>
                <w:szCs w:val="24"/>
                <w:highlight w:val="none"/>
                <w:lang w:val="en-US" w:eastAsia="zh-CN"/>
              </w:rPr>
              <w:t>屏幕尺寸：≥43寸</w:t>
            </w:r>
          </w:p>
          <w:p w14:paraId="12CBC83C">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sz w:val="24"/>
                <w:szCs w:val="32"/>
                <w:highlight w:val="none"/>
                <w:lang w:val="en-US" w:eastAsia="zh-CN"/>
              </w:rPr>
              <w:t>★</w:t>
            </w:r>
            <w:r>
              <w:rPr>
                <w:rFonts w:hint="eastAsia" w:ascii="宋体" w:hAnsi="宋体" w:eastAsia="宋体" w:cs="宋体"/>
                <w:color w:val="auto"/>
                <w:kern w:val="0"/>
                <w:sz w:val="24"/>
                <w:szCs w:val="24"/>
                <w:highlight w:val="none"/>
                <w:lang w:val="en-US" w:eastAsia="zh-CN"/>
              </w:rPr>
              <w:t>屏体分辨率：≥1920*1080</w:t>
            </w:r>
          </w:p>
          <w:p w14:paraId="21A87908">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触摸屏参数触摸屏尺寸：≥43寸</w:t>
            </w:r>
          </w:p>
          <w:p w14:paraId="23C93F16">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sz w:val="24"/>
                <w:szCs w:val="32"/>
                <w:highlight w:val="none"/>
                <w:lang w:val="en-US" w:eastAsia="zh-CN"/>
              </w:rPr>
              <w:t>★</w:t>
            </w:r>
            <w:r>
              <w:rPr>
                <w:rFonts w:hint="eastAsia" w:ascii="宋体" w:hAnsi="宋体" w:eastAsia="宋体" w:cs="宋体"/>
                <w:color w:val="auto"/>
                <w:kern w:val="0"/>
                <w:sz w:val="24"/>
                <w:szCs w:val="24"/>
                <w:highlight w:val="none"/>
                <w:lang w:val="en-US" w:eastAsia="zh-CN"/>
              </w:rPr>
              <w:t>识别原理：红外识别</w:t>
            </w:r>
          </w:p>
          <w:p w14:paraId="4EE96B6F">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硬件配置参数：</w:t>
            </w:r>
          </w:p>
          <w:p w14:paraId="21F3D3DF">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CPU≥四核   </w:t>
            </w:r>
          </w:p>
          <w:p w14:paraId="1A02EA3D">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运行内存：≥ 2G </w:t>
            </w:r>
          </w:p>
          <w:p w14:paraId="058FCF74">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内置存储：≥16G</w:t>
            </w:r>
          </w:p>
          <w:p w14:paraId="400224C8">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解码分辨率：最高支持1080P</w:t>
            </w:r>
          </w:p>
          <w:p w14:paraId="04F49F3B">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操作系统：Android 7.1或以上</w:t>
            </w:r>
          </w:p>
          <w:p w14:paraId="517E3771">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网络：支持以太网和 WiFi </w:t>
            </w:r>
          </w:p>
          <w:p w14:paraId="14A7D4A0">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USB接口：2个</w:t>
            </w:r>
          </w:p>
          <w:p w14:paraId="47B63E41">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以太网络接口：1个，支持10M/100M自适应以太网</w:t>
            </w:r>
          </w:p>
          <w:p w14:paraId="7332946F">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喇叭：5W×2</w:t>
            </w:r>
          </w:p>
          <w:p w14:paraId="669A7EEE">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规格：横屏落地机柜款，整机高度范围：</w:t>
            </w:r>
            <w:r>
              <w:rPr>
                <w:rFonts w:hint="default" w:ascii="宋体" w:hAnsi="宋体" w:eastAsia="宋体" w:cs="宋体"/>
                <w:color w:val="auto"/>
                <w:kern w:val="0"/>
                <w:sz w:val="24"/>
                <w:szCs w:val="24"/>
                <w:highlight w:val="none"/>
                <w:lang w:val="en-US" w:eastAsia="zh-CN"/>
              </w:rPr>
              <w:t>1100mm ~ 1450mm（须适配身高约100cm-150cm的儿童使用，确保儿童站立操作时视线平齐屏幕中心）</w:t>
            </w:r>
          </w:p>
        </w:tc>
        <w:tc>
          <w:tcPr>
            <w:tcW w:w="510" w:type="dxa"/>
          </w:tcPr>
          <w:p w14:paraId="2E54A97D">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67BF4E01">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2B21AC83">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25C1293B">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1EED7752">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0E357239">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0F07FEF8">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473EA7BD">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563" w:type="dxa"/>
          </w:tcPr>
          <w:p w14:paraId="3AFAE1BE">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4EF2C0D5">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3643AD18">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6B5F3576">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3863BA8B">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08FEAE47">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549F7142">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12A00477">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1125" w:type="dxa"/>
          </w:tcPr>
          <w:p w14:paraId="6B62A3E0">
            <w:pPr>
              <w:snapToGrid w:val="0"/>
              <w:ind w:left="0" w:leftChars="0" w:right="0" w:rightChars="0" w:firstLine="0" w:firstLineChars="0"/>
              <w:jc w:val="center"/>
              <w:rPr>
                <w:rFonts w:hint="eastAsia" w:cs="宋体"/>
                <w:color w:val="auto"/>
                <w:sz w:val="24"/>
                <w:szCs w:val="24"/>
                <w:highlight w:val="none"/>
                <w:vertAlign w:val="baseline"/>
                <w:lang w:val="en-US" w:eastAsia="zh-CN"/>
              </w:rPr>
            </w:pPr>
          </w:p>
          <w:p w14:paraId="7753E09E">
            <w:pPr>
              <w:snapToGrid w:val="0"/>
              <w:ind w:left="0" w:leftChars="0" w:right="0" w:rightChars="0" w:firstLine="0" w:firstLineChars="0"/>
              <w:jc w:val="center"/>
              <w:rPr>
                <w:rFonts w:hint="eastAsia" w:cs="宋体"/>
                <w:color w:val="auto"/>
                <w:sz w:val="24"/>
                <w:szCs w:val="24"/>
                <w:highlight w:val="none"/>
                <w:vertAlign w:val="baseline"/>
                <w:lang w:val="en-US" w:eastAsia="zh-CN"/>
              </w:rPr>
            </w:pPr>
          </w:p>
          <w:p w14:paraId="2F1B5765">
            <w:pPr>
              <w:snapToGrid w:val="0"/>
              <w:ind w:left="0" w:leftChars="0" w:right="0" w:rightChars="0" w:firstLine="0" w:firstLineChars="0"/>
              <w:jc w:val="center"/>
              <w:rPr>
                <w:rFonts w:hint="eastAsia" w:cs="宋体"/>
                <w:color w:val="auto"/>
                <w:sz w:val="24"/>
                <w:szCs w:val="24"/>
                <w:highlight w:val="none"/>
                <w:vertAlign w:val="baseline"/>
                <w:lang w:val="en-US" w:eastAsia="zh-CN"/>
              </w:rPr>
            </w:pPr>
          </w:p>
          <w:p w14:paraId="734ADF4D">
            <w:pPr>
              <w:snapToGrid w:val="0"/>
              <w:ind w:left="0" w:leftChars="0" w:right="0" w:rightChars="0" w:firstLine="0" w:firstLineChars="0"/>
              <w:jc w:val="center"/>
              <w:rPr>
                <w:rFonts w:hint="eastAsia" w:cs="宋体"/>
                <w:color w:val="auto"/>
                <w:sz w:val="24"/>
                <w:szCs w:val="24"/>
                <w:highlight w:val="none"/>
                <w:vertAlign w:val="baseline"/>
                <w:lang w:val="en-US" w:eastAsia="zh-CN"/>
              </w:rPr>
            </w:pPr>
          </w:p>
          <w:p w14:paraId="5D9207D9">
            <w:pPr>
              <w:snapToGrid w:val="0"/>
              <w:ind w:left="0" w:leftChars="0" w:right="0" w:rightChars="0" w:firstLine="0" w:firstLineChars="0"/>
              <w:jc w:val="center"/>
              <w:rPr>
                <w:rFonts w:hint="eastAsia" w:cs="宋体"/>
                <w:color w:val="auto"/>
                <w:sz w:val="24"/>
                <w:szCs w:val="24"/>
                <w:highlight w:val="none"/>
                <w:vertAlign w:val="baseline"/>
                <w:lang w:val="en-US" w:eastAsia="zh-CN"/>
              </w:rPr>
            </w:pPr>
          </w:p>
          <w:p w14:paraId="72D00F98">
            <w:pPr>
              <w:snapToGrid w:val="0"/>
              <w:ind w:left="0" w:leftChars="0" w:right="0" w:rightChars="0" w:firstLine="0" w:firstLineChars="0"/>
              <w:jc w:val="center"/>
              <w:rPr>
                <w:rFonts w:hint="eastAsia" w:cs="宋体"/>
                <w:color w:val="auto"/>
                <w:sz w:val="24"/>
                <w:szCs w:val="24"/>
                <w:highlight w:val="none"/>
                <w:vertAlign w:val="baseline"/>
                <w:lang w:val="en-US" w:eastAsia="zh-CN"/>
              </w:rPr>
            </w:pPr>
          </w:p>
          <w:p w14:paraId="402E19FB">
            <w:pPr>
              <w:snapToGrid w:val="0"/>
              <w:ind w:left="0" w:leftChars="0" w:right="0" w:rightChars="0" w:firstLine="0" w:firstLineChars="0"/>
              <w:jc w:val="center"/>
              <w:rPr>
                <w:rFonts w:hint="eastAsia" w:cs="宋体"/>
                <w:color w:val="auto"/>
                <w:sz w:val="24"/>
                <w:szCs w:val="24"/>
                <w:highlight w:val="none"/>
                <w:vertAlign w:val="baseline"/>
                <w:lang w:val="en-US" w:eastAsia="zh-CN"/>
              </w:rPr>
            </w:pPr>
          </w:p>
          <w:p w14:paraId="12F84D59">
            <w:pPr>
              <w:snapToGrid w:val="0"/>
              <w:ind w:left="0" w:leftChars="0" w:right="0" w:rightChars="0" w:firstLine="0" w:firstLineChars="0"/>
              <w:jc w:val="center"/>
              <w:rPr>
                <w:rFonts w:hint="default"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32000</w:t>
            </w:r>
          </w:p>
        </w:tc>
        <w:tc>
          <w:tcPr>
            <w:tcW w:w="569" w:type="dxa"/>
          </w:tcPr>
          <w:p w14:paraId="197F2394">
            <w:pPr>
              <w:snapToGrid w:val="0"/>
              <w:ind w:left="0" w:leftChars="0" w:right="0" w:rightChars="0" w:firstLine="0" w:firstLineChars="0"/>
              <w:jc w:val="center"/>
              <w:rPr>
                <w:rFonts w:hint="eastAsia" w:ascii="宋体" w:hAnsi="宋体" w:eastAsia="宋体" w:cs="宋体"/>
                <w:color w:val="auto"/>
                <w:sz w:val="24"/>
                <w:szCs w:val="24"/>
                <w:highlight w:val="none"/>
                <w:vertAlign w:val="baseline"/>
              </w:rPr>
            </w:pPr>
          </w:p>
        </w:tc>
      </w:tr>
      <w:tr w14:paraId="32443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0" w:type="auto"/>
          </w:tcPr>
          <w:p w14:paraId="4D711984">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5B842744">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08FC55BC">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3FB90878">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3A858B21">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5E8816AC">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0E381625">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1CE9A62F">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0C73F8F8">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420D8825">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412B1BB8">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5DDC710D">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590B3F08">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26938055">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08A5AA3C">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2AF6D5D5">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5437929F">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5138A6C7">
            <w:pPr>
              <w:snapToGrid w:val="0"/>
              <w:ind w:left="0" w:leftChars="0" w:right="0" w:rightChars="0" w:firstLine="0" w:firstLineChars="0"/>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9</w:t>
            </w:r>
          </w:p>
          <w:p w14:paraId="504F4BA2">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399EA3C6">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5284CF5F">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tc>
        <w:tc>
          <w:tcPr>
            <w:tcW w:w="1461" w:type="dxa"/>
          </w:tcPr>
          <w:p w14:paraId="477CD726">
            <w:pPr>
              <w:pStyle w:val="35"/>
              <w:keepNext w:val="0"/>
              <w:keepLines w:val="0"/>
              <w:widowControl/>
              <w:suppressLineNumbers w:val="0"/>
              <w:spacing w:before="0" w:beforeAutospacing="0" w:after="0" w:afterAutospacing="0"/>
              <w:ind w:left="0" w:right="0" w:firstLine="0"/>
              <w:rPr>
                <w:rFonts w:hint="eastAsia" w:ascii="宋体" w:hAnsi="宋体" w:eastAsia="宋体" w:cs="宋体"/>
                <w:color w:val="auto"/>
                <w:sz w:val="24"/>
                <w:szCs w:val="24"/>
                <w:highlight w:val="none"/>
              </w:rPr>
            </w:pPr>
          </w:p>
          <w:p w14:paraId="3B30C56D">
            <w:pPr>
              <w:pStyle w:val="35"/>
              <w:keepNext w:val="0"/>
              <w:keepLines w:val="0"/>
              <w:widowControl/>
              <w:suppressLineNumbers w:val="0"/>
              <w:spacing w:before="0" w:beforeAutospacing="0" w:after="0" w:afterAutospacing="0"/>
              <w:ind w:left="0" w:right="0" w:firstLine="0"/>
              <w:rPr>
                <w:rFonts w:hint="eastAsia" w:ascii="宋体" w:hAnsi="宋体" w:eastAsia="宋体" w:cs="宋体"/>
                <w:color w:val="auto"/>
                <w:sz w:val="24"/>
                <w:szCs w:val="24"/>
                <w:highlight w:val="none"/>
              </w:rPr>
            </w:pPr>
          </w:p>
          <w:p w14:paraId="2AF7A9B3">
            <w:pPr>
              <w:pStyle w:val="35"/>
              <w:keepNext w:val="0"/>
              <w:keepLines w:val="0"/>
              <w:widowControl/>
              <w:suppressLineNumbers w:val="0"/>
              <w:spacing w:before="0" w:beforeAutospacing="0" w:after="0" w:afterAutospacing="0"/>
              <w:ind w:left="0" w:right="0" w:firstLine="0"/>
              <w:rPr>
                <w:rFonts w:hint="eastAsia" w:ascii="宋体" w:hAnsi="宋体" w:eastAsia="宋体" w:cs="宋体"/>
                <w:color w:val="auto"/>
                <w:sz w:val="24"/>
                <w:szCs w:val="24"/>
                <w:highlight w:val="none"/>
              </w:rPr>
            </w:pPr>
          </w:p>
          <w:p w14:paraId="70674F1E">
            <w:pPr>
              <w:pStyle w:val="35"/>
              <w:keepNext w:val="0"/>
              <w:keepLines w:val="0"/>
              <w:widowControl/>
              <w:suppressLineNumbers w:val="0"/>
              <w:spacing w:before="0" w:beforeAutospacing="0" w:after="0" w:afterAutospacing="0"/>
              <w:ind w:left="0" w:right="0" w:firstLine="0"/>
              <w:rPr>
                <w:rFonts w:hint="eastAsia" w:ascii="宋体" w:hAnsi="宋体" w:eastAsia="宋体" w:cs="宋体"/>
                <w:color w:val="auto"/>
                <w:sz w:val="24"/>
                <w:szCs w:val="24"/>
                <w:highlight w:val="none"/>
              </w:rPr>
            </w:pPr>
          </w:p>
          <w:p w14:paraId="72FE2F23">
            <w:pPr>
              <w:pStyle w:val="35"/>
              <w:keepNext w:val="0"/>
              <w:keepLines w:val="0"/>
              <w:widowControl/>
              <w:suppressLineNumbers w:val="0"/>
              <w:spacing w:before="0" w:beforeAutospacing="0" w:after="0" w:afterAutospacing="0"/>
              <w:ind w:left="0" w:right="0" w:firstLine="0"/>
              <w:rPr>
                <w:rFonts w:hint="eastAsia" w:ascii="宋体" w:hAnsi="宋体" w:eastAsia="宋体" w:cs="宋体"/>
                <w:color w:val="auto"/>
                <w:sz w:val="24"/>
                <w:szCs w:val="24"/>
                <w:highlight w:val="none"/>
              </w:rPr>
            </w:pPr>
          </w:p>
          <w:p w14:paraId="14EB4B7D">
            <w:pPr>
              <w:pStyle w:val="35"/>
              <w:keepNext w:val="0"/>
              <w:keepLines w:val="0"/>
              <w:widowControl/>
              <w:suppressLineNumbers w:val="0"/>
              <w:spacing w:before="0" w:beforeAutospacing="0" w:after="0" w:afterAutospacing="0"/>
              <w:ind w:left="0" w:right="0" w:firstLine="0"/>
              <w:rPr>
                <w:rFonts w:hint="eastAsia" w:ascii="宋体" w:hAnsi="宋体" w:eastAsia="宋体" w:cs="宋体"/>
                <w:color w:val="auto"/>
                <w:sz w:val="24"/>
                <w:szCs w:val="24"/>
                <w:highlight w:val="none"/>
              </w:rPr>
            </w:pPr>
          </w:p>
          <w:p w14:paraId="6CA0F1E4">
            <w:pPr>
              <w:pStyle w:val="35"/>
              <w:keepNext w:val="0"/>
              <w:keepLines w:val="0"/>
              <w:widowControl/>
              <w:suppressLineNumbers w:val="0"/>
              <w:spacing w:before="0" w:beforeAutospacing="0" w:after="0" w:afterAutospacing="0"/>
              <w:ind w:left="0" w:right="0" w:firstLine="0"/>
              <w:rPr>
                <w:rFonts w:hint="eastAsia" w:ascii="宋体" w:hAnsi="宋体" w:eastAsia="宋体" w:cs="宋体"/>
                <w:color w:val="auto"/>
                <w:sz w:val="24"/>
                <w:szCs w:val="24"/>
                <w:highlight w:val="none"/>
              </w:rPr>
            </w:pPr>
          </w:p>
          <w:p w14:paraId="4F5D84FD">
            <w:pPr>
              <w:pStyle w:val="35"/>
              <w:keepNext w:val="0"/>
              <w:keepLines w:val="0"/>
              <w:widowControl/>
              <w:suppressLineNumbers w:val="0"/>
              <w:spacing w:before="0" w:beforeAutospacing="0" w:after="0" w:afterAutospacing="0"/>
              <w:ind w:left="0" w:right="0" w:firstLine="0"/>
              <w:rPr>
                <w:rFonts w:hint="eastAsia" w:ascii="宋体" w:hAnsi="宋体" w:eastAsia="宋体" w:cs="宋体"/>
                <w:color w:val="auto"/>
                <w:sz w:val="24"/>
                <w:szCs w:val="24"/>
                <w:highlight w:val="none"/>
              </w:rPr>
            </w:pPr>
          </w:p>
          <w:p w14:paraId="66C9EA6D">
            <w:pPr>
              <w:pStyle w:val="35"/>
              <w:keepNext w:val="0"/>
              <w:keepLines w:val="0"/>
              <w:widowControl/>
              <w:suppressLineNumbers w:val="0"/>
              <w:spacing w:before="0" w:beforeAutospacing="0" w:after="0" w:afterAutospacing="0"/>
              <w:ind w:left="0" w:right="0" w:firstLine="0"/>
              <w:jc w:val="center"/>
              <w:rPr>
                <w:rFonts w:hint="eastAsia" w:ascii="宋体" w:hAnsi="宋体" w:eastAsia="宋体" w:cs="宋体"/>
                <w:color w:val="auto"/>
                <w:sz w:val="24"/>
                <w:szCs w:val="24"/>
                <w:highlight w:val="none"/>
              </w:rPr>
            </w:pPr>
          </w:p>
          <w:p w14:paraId="78F88EFD">
            <w:pPr>
              <w:pStyle w:val="35"/>
              <w:keepNext w:val="0"/>
              <w:keepLines w:val="0"/>
              <w:widowControl/>
              <w:suppressLineNumbers w:val="0"/>
              <w:spacing w:before="0" w:beforeAutospacing="0" w:after="0" w:afterAutospacing="0"/>
              <w:ind w:left="0" w:right="0" w:firstLine="0"/>
              <w:jc w:val="center"/>
              <w:rPr>
                <w:rFonts w:hint="eastAsia" w:ascii="宋体" w:hAnsi="宋体" w:eastAsia="宋体" w:cs="宋体"/>
                <w:color w:val="auto"/>
                <w:sz w:val="24"/>
                <w:szCs w:val="24"/>
                <w:highlight w:val="none"/>
              </w:rPr>
            </w:pPr>
          </w:p>
          <w:p w14:paraId="1F13F020">
            <w:pPr>
              <w:pStyle w:val="35"/>
              <w:keepNext w:val="0"/>
              <w:keepLines w:val="0"/>
              <w:widowControl/>
              <w:suppressLineNumbers w:val="0"/>
              <w:spacing w:before="0" w:beforeAutospacing="0" w:after="0" w:afterAutospacing="0"/>
              <w:ind w:left="0" w:right="0" w:firstLine="0"/>
              <w:jc w:val="center"/>
              <w:rPr>
                <w:rFonts w:hint="eastAsia" w:ascii="宋体" w:hAnsi="宋体" w:eastAsia="宋体" w:cs="宋体"/>
                <w:color w:val="auto"/>
                <w:sz w:val="24"/>
                <w:szCs w:val="24"/>
                <w:highlight w:val="none"/>
              </w:rPr>
            </w:pPr>
          </w:p>
          <w:p w14:paraId="3E5EBC6D">
            <w:pPr>
              <w:pStyle w:val="35"/>
              <w:keepNext w:val="0"/>
              <w:keepLines w:val="0"/>
              <w:widowControl/>
              <w:suppressLineNumbers w:val="0"/>
              <w:spacing w:before="0" w:beforeAutospacing="0" w:after="0" w:afterAutospacing="0"/>
              <w:ind w:left="0" w:right="0" w:firstLine="0"/>
              <w:jc w:val="center"/>
              <w:rPr>
                <w:rFonts w:hint="eastAsia" w:ascii="宋体" w:hAnsi="宋体" w:eastAsia="宋体" w:cs="宋体"/>
                <w:color w:val="auto"/>
                <w:sz w:val="24"/>
                <w:szCs w:val="24"/>
                <w:highlight w:val="none"/>
              </w:rPr>
            </w:pPr>
          </w:p>
          <w:p w14:paraId="66991278">
            <w:pPr>
              <w:pStyle w:val="35"/>
              <w:keepNext w:val="0"/>
              <w:keepLines w:val="0"/>
              <w:widowControl/>
              <w:suppressLineNumbers w:val="0"/>
              <w:spacing w:before="0" w:beforeAutospacing="0" w:after="0" w:afterAutospacing="0"/>
              <w:ind w:left="0" w:right="0" w:firstLine="0"/>
              <w:jc w:val="center"/>
              <w:rPr>
                <w:rFonts w:hint="eastAsia" w:ascii="宋体" w:hAnsi="宋体" w:eastAsia="宋体" w:cs="宋体"/>
                <w:color w:val="auto"/>
                <w:sz w:val="24"/>
                <w:szCs w:val="24"/>
                <w:highlight w:val="none"/>
              </w:rPr>
            </w:pPr>
          </w:p>
          <w:p w14:paraId="69000FE2">
            <w:pPr>
              <w:pStyle w:val="35"/>
              <w:keepNext w:val="0"/>
              <w:keepLines w:val="0"/>
              <w:widowControl/>
              <w:suppressLineNumbers w:val="0"/>
              <w:spacing w:before="0" w:beforeAutospacing="0" w:after="0" w:afterAutospacing="0"/>
              <w:ind w:left="0" w:right="0" w:firstLine="0"/>
              <w:jc w:val="center"/>
              <w:rPr>
                <w:rFonts w:hint="eastAsia" w:ascii="宋体" w:hAnsi="宋体" w:eastAsia="宋体" w:cs="宋体"/>
                <w:color w:val="auto"/>
                <w:sz w:val="24"/>
                <w:szCs w:val="24"/>
                <w:highlight w:val="none"/>
              </w:rPr>
            </w:pPr>
          </w:p>
          <w:p w14:paraId="5B4B9CE0">
            <w:pPr>
              <w:pStyle w:val="35"/>
              <w:keepNext w:val="0"/>
              <w:keepLines w:val="0"/>
              <w:widowControl/>
              <w:suppressLineNumbers w:val="0"/>
              <w:spacing w:before="0" w:beforeAutospacing="0" w:after="0" w:afterAutospacing="0"/>
              <w:ind w:left="0" w:right="0" w:firstLine="0"/>
              <w:jc w:val="center"/>
              <w:rPr>
                <w:rFonts w:hint="eastAsia" w:ascii="宋体" w:hAnsi="宋体" w:eastAsia="宋体" w:cs="宋体"/>
                <w:color w:val="auto"/>
                <w:sz w:val="24"/>
                <w:szCs w:val="24"/>
                <w:highlight w:val="none"/>
              </w:rPr>
            </w:pPr>
          </w:p>
          <w:p w14:paraId="2D34DBD2">
            <w:pPr>
              <w:pStyle w:val="35"/>
              <w:keepNext w:val="0"/>
              <w:keepLines w:val="0"/>
              <w:widowControl/>
              <w:suppressLineNumbers w:val="0"/>
              <w:spacing w:before="0" w:beforeAutospacing="0" w:after="0" w:afterAutospacing="0"/>
              <w:ind w:left="0" w:leftChars="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互动文化展示墙展示终端</w:t>
            </w:r>
          </w:p>
          <w:p w14:paraId="4A389B5D">
            <w:pPr>
              <w:snapToGrid w:val="0"/>
              <w:ind w:left="0" w:leftChars="0" w:right="0" w:rightChars="0" w:firstLine="0" w:firstLineChars="0"/>
              <w:jc w:val="center"/>
              <w:rPr>
                <w:rFonts w:hint="eastAsia" w:ascii="宋体" w:hAnsi="宋体" w:eastAsia="宋体" w:cs="宋体"/>
                <w:color w:val="auto"/>
                <w:sz w:val="24"/>
                <w:szCs w:val="24"/>
                <w:highlight w:val="none"/>
                <w:vertAlign w:val="baseline"/>
              </w:rPr>
            </w:pPr>
          </w:p>
        </w:tc>
        <w:tc>
          <w:tcPr>
            <w:tcW w:w="9351" w:type="dxa"/>
            <w:shd w:val="clear" w:color="auto" w:fill="auto"/>
            <w:vAlign w:val="bottom"/>
          </w:tcPr>
          <w:p w14:paraId="3C8EE729">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 xml:space="preserve">1.系统 </w:t>
            </w:r>
          </w:p>
          <w:p w14:paraId="045CE240">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1.1 互动文化展示墙需支持展示丰富的数字文化资源，展示的资源以图书、有声资源、视频、图片等多媒体内容为主，产品本身提供了丰富的数字资源，同时支持用户自主上传本单位资源，如本单位自建文档资料、民俗文化、书法内容、摄影作品、美术作品、戏剧作品、文化讲座，文艺表演等；资源缩略图随机动态排列，所有内容动态流向显示，支持资源更新。前端呈现依托于可触摸交互的液晶拼接屏，软件运行环境需为Windows系统，软件可自适应硬件分辨率；</w:t>
            </w:r>
          </w:p>
          <w:p w14:paraId="27C2752B">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1.2 互动文化展示墙需支持终端平台展示、图书音频视频图片等资源的后台管理、扫码借阅等功能模块，支持多人同时互动时能够自动进行区域分配且互不干扰；</w:t>
            </w:r>
          </w:p>
          <w:p w14:paraId="3E181653">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1.3 微信小程序是互动文化展示墙的配套移动应用。需支持可通过手机微信扫描互动文化展示墙上的图书、音频、视频、图片的二维码将数字资源借阅到手机、平板电脑等移动终端中阅读，在手机中以微信小程序的方式呈现，读者无需下载额外的app，减轻读者使用成本；</w:t>
            </w:r>
          </w:p>
          <w:p w14:paraId="52A43274">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1.4 资源支持远程定时更新，支持自动更新，减少管理成本；</w:t>
            </w:r>
          </w:p>
          <w:p w14:paraId="501DDE06">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1.5 管理后台可开放给用户，支持所有设备统一管理、个性化配置UI界面、栏目、上传用户自有的数字资源、发布图文信息公告，并在终端大屏上展示出来；</w:t>
            </w:r>
          </w:p>
          <w:p w14:paraId="787BDFAF">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sz w:val="24"/>
                <w:szCs w:val="32"/>
                <w:highlight w:val="none"/>
                <w:lang w:val="en-US" w:eastAsia="zh-CN"/>
              </w:rPr>
              <w:t>★</w:t>
            </w:r>
            <w:r>
              <w:rPr>
                <w:rFonts w:hint="eastAsia" w:ascii="宋体" w:hAnsi="宋体" w:eastAsia="宋体" w:cs="宋体"/>
                <w:color w:val="auto"/>
                <w:kern w:val="0"/>
                <w:sz w:val="24"/>
                <w:szCs w:val="24"/>
                <w:highlight w:val="none"/>
                <w:lang w:val="en-US" w:eastAsia="zh-CN"/>
              </w:rPr>
              <w:t>1.6 需支持多种流动效果和切换动效，需包含向上流动、向下流动、上下穿插流动、向左流动、向右流动、左右穿插流动、气泡流动、3D重叠景深效果、文字重叠景深效果等动效；</w:t>
            </w:r>
          </w:p>
          <w:p w14:paraId="4F434973">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1.7 互动文化展示墙需支持列数、行数、上下间距、左右间距的调整、流动速度调整、进入动画速度调整、弹窗大小调整、字体大小调整；</w:t>
            </w:r>
          </w:p>
          <w:p w14:paraId="235A8B67">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sz w:val="24"/>
                <w:szCs w:val="32"/>
                <w:highlight w:val="none"/>
                <w:lang w:val="en-US" w:eastAsia="zh-CN"/>
              </w:rPr>
              <w:t>★</w:t>
            </w:r>
            <w:r>
              <w:rPr>
                <w:rFonts w:hint="eastAsia" w:ascii="宋体" w:hAnsi="宋体" w:eastAsia="宋体" w:cs="宋体"/>
                <w:color w:val="auto"/>
                <w:kern w:val="0"/>
                <w:sz w:val="24"/>
                <w:szCs w:val="24"/>
                <w:highlight w:val="none"/>
                <w:lang w:val="en-US" w:eastAsia="zh-CN"/>
              </w:rPr>
              <w:t>1.8 互动文化展示墙需支持定时自动切换不同类型的资源，可定时切换到图书流动界面、音频流动界面、视频流动界面、资讯流动界面等，使前端展示的内容无需固定在某单一类型的资源而显得单调；</w:t>
            </w:r>
          </w:p>
          <w:p w14:paraId="153EA8F6">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1.9 互动文化展示墙资源需支持按分类浏览，也支持按资源名称检索；</w:t>
            </w:r>
          </w:p>
          <w:p w14:paraId="5E7868F5">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2. 资源</w:t>
            </w:r>
          </w:p>
          <w:p w14:paraId="41490AB8">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2.1互动文化墙需提供不少于6000种正版授权的电子图书，每月更新不少于150册电子图书。图书资源涵盖文学传记、绘本、财经管理、成功励志、政治军事、艺术摄影、心理社科、历史文化、法律法规、教育教学、育儿家教等多个类型，方便用户检索观看。电子图书支持扫描二维码借阅至微信小程序中阅读，可添加至小程序书架；</w:t>
            </w:r>
          </w:p>
          <w:p w14:paraId="131382FA">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2.2 互动文化墙需提供不少于3000集的有声资源，MP3格式，均为真人原声演播，非AI合成语音，播放流畅，现场感足。有声资源涵盖人文科技、文学之声、爱国之声等多个类型，方便用户检索收听。有声资源支持扫描二维码借阅至微信小程序中收听，可添加至小程序书架</w:t>
            </w:r>
            <w:r>
              <w:rPr>
                <w:rFonts w:hint="eastAsia" w:cs="宋体"/>
                <w:color w:val="auto"/>
                <w:kern w:val="0"/>
                <w:sz w:val="24"/>
                <w:szCs w:val="24"/>
                <w:highlight w:val="none"/>
                <w:lang w:val="en-US" w:eastAsia="zh-CN"/>
              </w:rPr>
              <w:t>；</w:t>
            </w:r>
          </w:p>
          <w:p w14:paraId="76598338">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2.3 互动文化墙需提供不少于800集视频资源。视频资源涵盖好书阅读、党课学习、文化艺术等多个类型，方便用户检索观看。视频资源支持扫描二维码借阅至微信小程序中观看，可添加至小程序书架</w:t>
            </w:r>
            <w:r>
              <w:rPr>
                <w:rFonts w:hint="eastAsia" w:cs="宋体"/>
                <w:color w:val="auto"/>
                <w:kern w:val="0"/>
                <w:sz w:val="24"/>
                <w:szCs w:val="24"/>
                <w:highlight w:val="none"/>
                <w:lang w:val="en-US" w:eastAsia="zh-CN"/>
              </w:rPr>
              <w:t>；</w:t>
            </w:r>
          </w:p>
          <w:p w14:paraId="5942A33E">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2.4 互动文化墙需提供不少于600种期刊资源。期刊资源涵盖文学艺术、文化教育、社会科学、政治法律、自然科学、财经管理、医药卫生、工业技术、农业科学等多个类别，方便用户检索阅读。期刊资源支持扫描二维码借阅至微信小程序中阅读，可添加至小程序书架</w:t>
            </w:r>
            <w:r>
              <w:rPr>
                <w:rFonts w:hint="eastAsia" w:cs="宋体"/>
                <w:color w:val="auto"/>
                <w:kern w:val="0"/>
                <w:sz w:val="24"/>
                <w:szCs w:val="24"/>
                <w:highlight w:val="none"/>
                <w:lang w:val="en-US" w:eastAsia="zh-CN"/>
              </w:rPr>
              <w:t>；</w:t>
            </w:r>
          </w:p>
          <w:p w14:paraId="00D6541C">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2.5 互动文化墙需提供“每日一字”模块，内含不少于180个生僻字，内容持续更新，为用户提供更多学习内容；</w:t>
            </w:r>
          </w:p>
          <w:p w14:paraId="6135CB50">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2.6 互动文化墙针需对各类节日推出丰富多样的主题答题活动，如春节答题、元宵节猜灯谜、世界读书日答题以及国庆节主题问答等答题活动。界面UI、内置题库支持高度自定义，用户单位可依托此功能模块进行个性化配置，满足对各种节日、活动的不同需求，为读者提供丰富多样的互动体验；</w:t>
            </w:r>
          </w:p>
          <w:p w14:paraId="79089A4B">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2.7支持用户自有版权的资源录入和展示，支持电子图书、期刊、绘本、有声、视频、图片、H5页面等全面丰富的类型，可通过客户后台管理系统导入并在前端大屏展示，供使用者浏览。</w:t>
            </w:r>
          </w:p>
          <w:p w14:paraId="1148A0A9">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3.个性化定制</w:t>
            </w:r>
          </w:p>
          <w:p w14:paraId="2004D616">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3.1 单位后台管理系统需支持修改大屏上的单位名称、logo图片，每个类型的资源均支持背景图修改；</w:t>
            </w:r>
          </w:p>
          <w:p w14:paraId="1A8BC412">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3.2 单位后台管理系统需支持资讯发布功能，用户可创建信息分类，创建资讯列表，提供全功能多媒体新闻编辑器，支持插入图片、文字、视频等多种格式的信息，用户可利用本功能实现资讯发布、通知公告、个性化专题栏目（如校园文化专栏、当地文化特色专栏、非遗文化专栏等）等需求。资讯可发布至指定的终端设备，使用者可触屏浏览；</w:t>
            </w:r>
          </w:p>
          <w:p w14:paraId="07510509">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3.3 单位后台管理系统需支持H5网页的发布，可在大屏前端以栏目的形式展示，点击后可跳转至指定H5网页，页面上提供了“前进、后退、刷新”等功能按键，辅助网页的浏览。用户可利用本功能跳转至单位网站或其他网站，实现个性化宣传需求；</w:t>
            </w:r>
          </w:p>
          <w:p w14:paraId="7B48757D">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3.4 单位后台管理系统需支持栏目配置功能，可自定义栏目类型，栏目类型需支持图书、音频、视频、图片、资讯信息、实现个性化配置需求，可增加删除栏目，栏目可自由排序；</w:t>
            </w:r>
          </w:p>
          <w:p w14:paraId="2E0A562F">
            <w:pPr>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auto"/>
              <w:ind w:leftChars="0" w:right="0" w:rightChars="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4.硬件参数</w:t>
            </w:r>
          </w:p>
          <w:p w14:paraId="7AAA0061">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4.1 液晶尺寸：≥43寸；</w:t>
            </w:r>
          </w:p>
          <w:p w14:paraId="74D45119">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4.2 分辨率：≥1920*1080；</w:t>
            </w:r>
          </w:p>
          <w:p w14:paraId="2BF08110">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4.3 触摸方案：≥红外触摸；</w:t>
            </w:r>
          </w:p>
          <w:p w14:paraId="0F288523">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sz w:val="24"/>
                <w:szCs w:val="32"/>
                <w:highlight w:val="none"/>
                <w:lang w:val="en-US" w:eastAsia="zh-CN"/>
              </w:rPr>
              <w:t>★</w:t>
            </w:r>
            <w:r>
              <w:rPr>
                <w:rFonts w:hint="eastAsia" w:ascii="宋体" w:hAnsi="宋体" w:eastAsia="宋体" w:cs="宋体"/>
                <w:color w:val="auto"/>
                <w:kern w:val="0"/>
                <w:sz w:val="24"/>
                <w:szCs w:val="24"/>
                <w:highlight w:val="none"/>
                <w:lang w:val="en-US" w:eastAsia="zh-CN"/>
              </w:rPr>
              <w:t>4.4 主机配置：OPS：≥i5-10代32G+256G，≥8G独显，windows10系统；</w:t>
            </w:r>
          </w:p>
          <w:p w14:paraId="0FF3A1CC">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4.5 网络通讯：以太网+Wi-Fi。</w:t>
            </w:r>
          </w:p>
        </w:tc>
        <w:tc>
          <w:tcPr>
            <w:tcW w:w="510" w:type="dxa"/>
          </w:tcPr>
          <w:p w14:paraId="527D30CD">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17ADDBA1">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40F8DD6D">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7129476E">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2656DBF2">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4053FE83">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4A867669">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15A6FDB3">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588256B8">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03D91558">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4BB241D3">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6D010821">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39335FC6">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77ADA860">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15034ABF">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1FB64FB2">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4668A801">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套</w:t>
            </w:r>
          </w:p>
        </w:tc>
        <w:tc>
          <w:tcPr>
            <w:tcW w:w="563" w:type="dxa"/>
          </w:tcPr>
          <w:p w14:paraId="2479BC94">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74FC6B46">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412FB790">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59142635">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1BBC434B">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1231F1C9">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1F92452B">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19D49F45">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2ABE2BA6">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0D7323B1">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3951E014">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01140732">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50A1032B">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6AD2C0A9">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157B5CE0">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230BBD91">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026F66B6">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1125" w:type="dxa"/>
          </w:tcPr>
          <w:p w14:paraId="1E776102">
            <w:pPr>
              <w:snapToGrid w:val="0"/>
              <w:ind w:left="0" w:leftChars="0" w:right="0" w:rightChars="0" w:firstLine="0" w:firstLineChars="0"/>
              <w:jc w:val="center"/>
              <w:rPr>
                <w:rFonts w:hint="eastAsia" w:cs="宋体"/>
                <w:color w:val="auto"/>
                <w:sz w:val="24"/>
                <w:szCs w:val="24"/>
                <w:highlight w:val="none"/>
                <w:vertAlign w:val="baseline"/>
                <w:lang w:val="en-US" w:eastAsia="zh-CN"/>
              </w:rPr>
            </w:pPr>
          </w:p>
          <w:p w14:paraId="66D42D29">
            <w:pPr>
              <w:snapToGrid w:val="0"/>
              <w:ind w:left="0" w:leftChars="0" w:right="0" w:rightChars="0" w:firstLine="0" w:firstLineChars="0"/>
              <w:jc w:val="center"/>
              <w:rPr>
                <w:rFonts w:hint="eastAsia" w:cs="宋体"/>
                <w:color w:val="auto"/>
                <w:sz w:val="24"/>
                <w:szCs w:val="24"/>
                <w:highlight w:val="none"/>
                <w:vertAlign w:val="baseline"/>
                <w:lang w:val="en-US" w:eastAsia="zh-CN"/>
              </w:rPr>
            </w:pPr>
          </w:p>
          <w:p w14:paraId="32BDBDFD">
            <w:pPr>
              <w:snapToGrid w:val="0"/>
              <w:ind w:left="0" w:leftChars="0" w:right="0" w:rightChars="0" w:firstLine="0" w:firstLineChars="0"/>
              <w:jc w:val="center"/>
              <w:rPr>
                <w:rFonts w:hint="eastAsia" w:cs="宋体"/>
                <w:color w:val="auto"/>
                <w:sz w:val="24"/>
                <w:szCs w:val="24"/>
                <w:highlight w:val="none"/>
                <w:vertAlign w:val="baseline"/>
                <w:lang w:val="en-US" w:eastAsia="zh-CN"/>
              </w:rPr>
            </w:pPr>
          </w:p>
          <w:p w14:paraId="1282E138">
            <w:pPr>
              <w:snapToGrid w:val="0"/>
              <w:ind w:left="0" w:leftChars="0" w:right="0" w:rightChars="0" w:firstLine="0" w:firstLineChars="0"/>
              <w:jc w:val="center"/>
              <w:rPr>
                <w:rFonts w:hint="eastAsia" w:cs="宋体"/>
                <w:color w:val="auto"/>
                <w:sz w:val="24"/>
                <w:szCs w:val="24"/>
                <w:highlight w:val="none"/>
                <w:vertAlign w:val="baseline"/>
                <w:lang w:val="en-US" w:eastAsia="zh-CN"/>
              </w:rPr>
            </w:pPr>
          </w:p>
          <w:p w14:paraId="2C815359">
            <w:pPr>
              <w:snapToGrid w:val="0"/>
              <w:ind w:left="0" w:leftChars="0" w:right="0" w:rightChars="0" w:firstLine="0" w:firstLineChars="0"/>
              <w:jc w:val="center"/>
              <w:rPr>
                <w:rFonts w:hint="eastAsia" w:cs="宋体"/>
                <w:color w:val="auto"/>
                <w:sz w:val="24"/>
                <w:szCs w:val="24"/>
                <w:highlight w:val="none"/>
                <w:vertAlign w:val="baseline"/>
                <w:lang w:val="en-US" w:eastAsia="zh-CN"/>
              </w:rPr>
            </w:pPr>
          </w:p>
          <w:p w14:paraId="53A4B0AF">
            <w:pPr>
              <w:snapToGrid w:val="0"/>
              <w:ind w:left="0" w:leftChars="0" w:right="0" w:rightChars="0" w:firstLine="0" w:firstLineChars="0"/>
              <w:jc w:val="center"/>
              <w:rPr>
                <w:rFonts w:hint="eastAsia" w:cs="宋体"/>
                <w:color w:val="auto"/>
                <w:sz w:val="24"/>
                <w:szCs w:val="24"/>
                <w:highlight w:val="none"/>
                <w:vertAlign w:val="baseline"/>
                <w:lang w:val="en-US" w:eastAsia="zh-CN"/>
              </w:rPr>
            </w:pPr>
          </w:p>
          <w:p w14:paraId="6A7484EF">
            <w:pPr>
              <w:snapToGrid w:val="0"/>
              <w:ind w:left="0" w:leftChars="0" w:right="0" w:rightChars="0" w:firstLine="0" w:firstLineChars="0"/>
              <w:jc w:val="center"/>
              <w:rPr>
                <w:rFonts w:hint="eastAsia" w:cs="宋体"/>
                <w:color w:val="auto"/>
                <w:sz w:val="24"/>
                <w:szCs w:val="24"/>
                <w:highlight w:val="none"/>
                <w:vertAlign w:val="baseline"/>
                <w:lang w:val="en-US" w:eastAsia="zh-CN"/>
              </w:rPr>
            </w:pPr>
          </w:p>
          <w:p w14:paraId="1CDC019F">
            <w:pPr>
              <w:snapToGrid w:val="0"/>
              <w:ind w:left="0" w:leftChars="0" w:right="0" w:rightChars="0" w:firstLine="0" w:firstLineChars="0"/>
              <w:jc w:val="center"/>
              <w:rPr>
                <w:rFonts w:hint="eastAsia" w:cs="宋体"/>
                <w:color w:val="auto"/>
                <w:sz w:val="24"/>
                <w:szCs w:val="24"/>
                <w:highlight w:val="none"/>
                <w:vertAlign w:val="baseline"/>
                <w:lang w:val="en-US" w:eastAsia="zh-CN"/>
              </w:rPr>
            </w:pPr>
          </w:p>
          <w:p w14:paraId="14635F32">
            <w:pPr>
              <w:snapToGrid w:val="0"/>
              <w:ind w:left="0" w:leftChars="0" w:right="0" w:rightChars="0" w:firstLine="0" w:firstLineChars="0"/>
              <w:jc w:val="center"/>
              <w:rPr>
                <w:rFonts w:hint="eastAsia" w:cs="宋体"/>
                <w:color w:val="auto"/>
                <w:sz w:val="24"/>
                <w:szCs w:val="24"/>
                <w:highlight w:val="none"/>
                <w:vertAlign w:val="baseline"/>
                <w:lang w:val="en-US" w:eastAsia="zh-CN"/>
              </w:rPr>
            </w:pPr>
          </w:p>
          <w:p w14:paraId="6211F406">
            <w:pPr>
              <w:snapToGrid w:val="0"/>
              <w:ind w:left="0" w:leftChars="0" w:right="0" w:rightChars="0" w:firstLine="0" w:firstLineChars="0"/>
              <w:jc w:val="center"/>
              <w:rPr>
                <w:rFonts w:hint="eastAsia" w:cs="宋体"/>
                <w:color w:val="auto"/>
                <w:sz w:val="24"/>
                <w:szCs w:val="24"/>
                <w:highlight w:val="none"/>
                <w:vertAlign w:val="baseline"/>
                <w:lang w:val="en-US" w:eastAsia="zh-CN"/>
              </w:rPr>
            </w:pPr>
          </w:p>
          <w:p w14:paraId="29FA52F4">
            <w:pPr>
              <w:snapToGrid w:val="0"/>
              <w:ind w:left="0" w:leftChars="0" w:right="0" w:rightChars="0" w:firstLine="0" w:firstLineChars="0"/>
              <w:jc w:val="center"/>
              <w:rPr>
                <w:rFonts w:hint="eastAsia" w:cs="宋体"/>
                <w:color w:val="auto"/>
                <w:sz w:val="24"/>
                <w:szCs w:val="24"/>
                <w:highlight w:val="none"/>
                <w:vertAlign w:val="baseline"/>
                <w:lang w:val="en-US" w:eastAsia="zh-CN"/>
              </w:rPr>
            </w:pPr>
          </w:p>
          <w:p w14:paraId="220475F5">
            <w:pPr>
              <w:snapToGrid w:val="0"/>
              <w:ind w:left="0" w:leftChars="0" w:right="0" w:rightChars="0" w:firstLine="0" w:firstLineChars="0"/>
              <w:jc w:val="center"/>
              <w:rPr>
                <w:rFonts w:hint="eastAsia" w:cs="宋体"/>
                <w:color w:val="auto"/>
                <w:sz w:val="24"/>
                <w:szCs w:val="24"/>
                <w:highlight w:val="none"/>
                <w:vertAlign w:val="baseline"/>
                <w:lang w:val="en-US" w:eastAsia="zh-CN"/>
              </w:rPr>
            </w:pPr>
          </w:p>
          <w:p w14:paraId="78F0BD6A">
            <w:pPr>
              <w:snapToGrid w:val="0"/>
              <w:ind w:left="0" w:leftChars="0" w:right="0" w:rightChars="0" w:firstLine="0" w:firstLineChars="0"/>
              <w:jc w:val="center"/>
              <w:rPr>
                <w:rFonts w:hint="eastAsia" w:cs="宋体"/>
                <w:color w:val="auto"/>
                <w:sz w:val="24"/>
                <w:szCs w:val="24"/>
                <w:highlight w:val="none"/>
                <w:vertAlign w:val="baseline"/>
                <w:lang w:val="en-US" w:eastAsia="zh-CN"/>
              </w:rPr>
            </w:pPr>
          </w:p>
          <w:p w14:paraId="0F1B63AE">
            <w:pPr>
              <w:snapToGrid w:val="0"/>
              <w:ind w:left="0" w:leftChars="0" w:right="0" w:rightChars="0" w:firstLine="0" w:firstLineChars="0"/>
              <w:jc w:val="center"/>
              <w:rPr>
                <w:rFonts w:hint="eastAsia" w:cs="宋体"/>
                <w:color w:val="auto"/>
                <w:sz w:val="24"/>
                <w:szCs w:val="24"/>
                <w:highlight w:val="none"/>
                <w:vertAlign w:val="baseline"/>
                <w:lang w:val="en-US" w:eastAsia="zh-CN"/>
              </w:rPr>
            </w:pPr>
          </w:p>
          <w:p w14:paraId="58019DB7">
            <w:pPr>
              <w:snapToGrid w:val="0"/>
              <w:ind w:left="0" w:leftChars="0" w:right="0" w:rightChars="0" w:firstLine="0" w:firstLineChars="0"/>
              <w:jc w:val="center"/>
              <w:rPr>
                <w:rFonts w:hint="eastAsia" w:cs="宋体"/>
                <w:color w:val="auto"/>
                <w:sz w:val="24"/>
                <w:szCs w:val="24"/>
                <w:highlight w:val="none"/>
                <w:vertAlign w:val="baseline"/>
                <w:lang w:val="en-US" w:eastAsia="zh-CN"/>
              </w:rPr>
            </w:pPr>
          </w:p>
          <w:p w14:paraId="16BCA855">
            <w:pPr>
              <w:snapToGrid w:val="0"/>
              <w:ind w:left="0" w:leftChars="0" w:right="0" w:rightChars="0" w:firstLine="0" w:firstLineChars="0"/>
              <w:jc w:val="center"/>
              <w:rPr>
                <w:rFonts w:hint="eastAsia" w:cs="宋体"/>
                <w:color w:val="auto"/>
                <w:sz w:val="24"/>
                <w:szCs w:val="24"/>
                <w:highlight w:val="none"/>
                <w:vertAlign w:val="baseline"/>
                <w:lang w:val="en-US" w:eastAsia="zh-CN"/>
              </w:rPr>
            </w:pPr>
          </w:p>
          <w:p w14:paraId="7EF12941">
            <w:pPr>
              <w:snapToGrid w:val="0"/>
              <w:ind w:left="0" w:leftChars="0" w:right="0" w:rightChars="0" w:firstLine="0" w:firstLineChars="0"/>
              <w:jc w:val="center"/>
              <w:rPr>
                <w:rFonts w:hint="default"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59000</w:t>
            </w:r>
          </w:p>
        </w:tc>
        <w:tc>
          <w:tcPr>
            <w:tcW w:w="569" w:type="dxa"/>
          </w:tcPr>
          <w:p w14:paraId="44898708">
            <w:pPr>
              <w:snapToGrid w:val="0"/>
              <w:ind w:left="0" w:leftChars="0" w:right="0" w:rightChars="0" w:firstLine="0" w:firstLineChars="0"/>
              <w:jc w:val="center"/>
              <w:rPr>
                <w:rFonts w:hint="eastAsia" w:ascii="宋体" w:hAnsi="宋体" w:eastAsia="宋体" w:cs="宋体"/>
                <w:color w:val="auto"/>
                <w:sz w:val="24"/>
                <w:szCs w:val="24"/>
                <w:highlight w:val="none"/>
                <w:vertAlign w:val="baseline"/>
              </w:rPr>
            </w:pPr>
          </w:p>
        </w:tc>
      </w:tr>
    </w:tbl>
    <w:p w14:paraId="4F4857B6">
      <w:pPr>
        <w:spacing w:line="360" w:lineRule="auto"/>
        <w:rPr>
          <w:rFonts w:hint="eastAsia" w:ascii="宋体" w:hAnsi="宋体" w:cs="宋体"/>
          <w:color w:val="auto"/>
          <w:sz w:val="24"/>
          <w:szCs w:val="32"/>
          <w:highlight w:val="none"/>
          <w:lang w:val="en-US" w:eastAsia="zh-CN"/>
        </w:rPr>
      </w:pPr>
      <w:r>
        <w:rPr>
          <w:rFonts w:hint="eastAsia" w:ascii="宋体" w:hAnsi="宋体" w:cs="宋体"/>
          <w:color w:val="auto"/>
          <w:sz w:val="24"/>
          <w:szCs w:val="32"/>
          <w:highlight w:val="none"/>
          <w:lang w:val="en-US" w:eastAsia="zh-CN"/>
        </w:rPr>
        <w:t>说明：</w:t>
      </w:r>
    </w:p>
    <w:p w14:paraId="4DEE054F">
      <w:pPr>
        <w:spacing w:line="360" w:lineRule="auto"/>
        <w:ind w:firstLine="420" w:firstLineChars="0"/>
        <w:rPr>
          <w:rFonts w:hint="eastAsia" w:ascii="宋体" w:hAnsi="宋体" w:cs="宋体"/>
          <w:color w:val="auto"/>
          <w:sz w:val="24"/>
          <w:szCs w:val="32"/>
          <w:highlight w:val="none"/>
          <w:lang w:val="en-US" w:eastAsia="zh-CN"/>
        </w:rPr>
      </w:pPr>
      <w:r>
        <w:rPr>
          <w:rFonts w:hint="eastAsia" w:ascii="宋体" w:hAnsi="宋体" w:cs="宋体"/>
          <w:color w:val="auto"/>
          <w:sz w:val="24"/>
          <w:szCs w:val="32"/>
          <w:highlight w:val="none"/>
          <w:lang w:val="en-US" w:eastAsia="zh-CN"/>
        </w:rPr>
        <w:t>1、货物名称前注“※”号的产品为核心产品。多家</w:t>
      </w:r>
      <w:r>
        <w:rPr>
          <w:rFonts w:hint="eastAsia" w:cs="宋体"/>
          <w:color w:val="auto"/>
          <w:highlight w:val="none"/>
          <w:lang w:val="en-US" w:eastAsia="zh-CN"/>
        </w:rPr>
        <w:t>投标人</w:t>
      </w:r>
      <w:r>
        <w:rPr>
          <w:rFonts w:hint="eastAsia" w:ascii="宋体" w:hAnsi="宋体" w:cs="宋体"/>
          <w:color w:val="auto"/>
          <w:sz w:val="24"/>
          <w:szCs w:val="32"/>
          <w:highlight w:val="none"/>
          <w:lang w:val="en-US" w:eastAsia="zh-CN"/>
        </w:rPr>
        <w:t>提供的任一核心产品品牌相同的，按一家</w:t>
      </w:r>
      <w:r>
        <w:rPr>
          <w:rFonts w:hint="eastAsia" w:cs="宋体"/>
          <w:color w:val="auto"/>
          <w:highlight w:val="none"/>
          <w:lang w:val="en-US" w:eastAsia="zh-CN"/>
        </w:rPr>
        <w:t>投标人</w:t>
      </w:r>
      <w:r>
        <w:rPr>
          <w:rFonts w:hint="eastAsia" w:ascii="宋体" w:hAnsi="宋体" w:cs="宋体"/>
          <w:color w:val="auto"/>
          <w:sz w:val="24"/>
          <w:szCs w:val="32"/>
          <w:highlight w:val="none"/>
          <w:lang w:val="en-US" w:eastAsia="zh-CN"/>
        </w:rPr>
        <w:t>计算，评审后得分最高的同品牌</w:t>
      </w:r>
      <w:r>
        <w:rPr>
          <w:rFonts w:hint="eastAsia" w:cs="宋体"/>
          <w:color w:val="auto"/>
          <w:highlight w:val="none"/>
          <w:lang w:val="en-US" w:eastAsia="zh-CN"/>
        </w:rPr>
        <w:t>投标人</w:t>
      </w:r>
      <w:r>
        <w:rPr>
          <w:rFonts w:hint="eastAsia" w:ascii="宋体" w:hAnsi="宋体" w:cs="宋体"/>
          <w:color w:val="auto"/>
          <w:sz w:val="24"/>
          <w:szCs w:val="32"/>
          <w:highlight w:val="none"/>
          <w:lang w:val="en-US" w:eastAsia="zh-CN"/>
        </w:rPr>
        <w:t>获得中标人推荐资格；评审得分相同的，以报价最低的</w:t>
      </w:r>
      <w:r>
        <w:rPr>
          <w:rFonts w:hint="eastAsia" w:cs="宋体"/>
          <w:color w:val="auto"/>
          <w:highlight w:val="none"/>
          <w:lang w:val="en-US" w:eastAsia="zh-CN"/>
        </w:rPr>
        <w:t>投标人</w:t>
      </w:r>
      <w:r>
        <w:rPr>
          <w:rFonts w:hint="eastAsia" w:ascii="宋体" w:hAnsi="宋体" w:cs="宋体"/>
          <w:color w:val="auto"/>
          <w:sz w:val="24"/>
          <w:szCs w:val="32"/>
          <w:highlight w:val="none"/>
          <w:lang w:val="en-US" w:eastAsia="zh-CN"/>
        </w:rPr>
        <w:t>获得中标人推荐资格。</w:t>
      </w:r>
    </w:p>
    <w:p w14:paraId="1BFA14EA">
      <w:pPr>
        <w:spacing w:line="360" w:lineRule="auto"/>
        <w:ind w:firstLine="420" w:firstLineChars="0"/>
        <w:rPr>
          <w:rFonts w:hint="eastAsia" w:ascii="宋体" w:hAnsi="宋体" w:cs="宋体"/>
          <w:b/>
          <w:bCs/>
          <w:color w:val="auto"/>
          <w:sz w:val="24"/>
          <w:szCs w:val="32"/>
          <w:highlight w:val="none"/>
          <w:lang w:val="en-US"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 w:val="24"/>
          <w:szCs w:val="32"/>
          <w:highlight w:val="none"/>
          <w:lang w:val="en-US" w:eastAsia="zh-CN"/>
        </w:rPr>
        <w:t>2、技术参数前加“★”号的参数指标为主要技术指标（符合性审查内容），</w:t>
      </w:r>
      <w:r>
        <w:rPr>
          <w:rFonts w:hint="eastAsia" w:cs="宋体"/>
          <w:color w:val="auto"/>
          <w:highlight w:val="none"/>
          <w:lang w:val="en-US" w:eastAsia="zh-CN"/>
        </w:rPr>
        <w:t>投标人</w:t>
      </w:r>
      <w:r>
        <w:rPr>
          <w:rFonts w:hint="eastAsia" w:ascii="宋体" w:hAnsi="宋体" w:cs="宋体"/>
          <w:color w:val="auto"/>
          <w:sz w:val="24"/>
          <w:szCs w:val="32"/>
          <w:highlight w:val="none"/>
          <w:lang w:val="en-US" w:eastAsia="zh-CN"/>
        </w:rPr>
        <w:t>所投产品必须满足或优于这些指标；未加“★”号的参数指标为一般性技术指标（评审考量内容）。</w:t>
      </w:r>
    </w:p>
    <w:p w14:paraId="0D7C2239">
      <w:pPr>
        <w:ind w:left="0" w:leftChars="0" w:firstLine="0" w:firstLineChars="0"/>
        <w:rPr>
          <w:rFonts w:hint="eastAsia"/>
          <w:b/>
          <w:bCs/>
          <w:color w:val="auto"/>
          <w:highlight w:val="none"/>
          <w:lang w:val="en-US" w:eastAsia="zh-CN"/>
        </w:rPr>
      </w:pPr>
    </w:p>
    <w:p w14:paraId="301DB39E">
      <w:pPr>
        <w:rPr>
          <w:rFonts w:hint="eastAsia"/>
          <w:b/>
          <w:bCs/>
          <w:color w:val="auto"/>
          <w:highlight w:val="none"/>
          <w:lang w:val="en-US" w:eastAsia="zh-CN"/>
        </w:rPr>
      </w:pPr>
    </w:p>
    <w:p w14:paraId="72E40599">
      <w:pPr>
        <w:pStyle w:val="88"/>
        <w:rPr>
          <w:rFonts w:hint="eastAsia"/>
          <w:b/>
          <w:bCs/>
          <w:color w:val="auto"/>
          <w:highlight w:val="none"/>
          <w:lang w:val="en-US" w:eastAsia="zh-CN"/>
        </w:rPr>
      </w:pPr>
    </w:p>
    <w:p w14:paraId="25950B30">
      <w:pPr>
        <w:pStyle w:val="4"/>
        <w:numPr>
          <w:ilvl w:val="0"/>
          <w:numId w:val="8"/>
        </w:numPr>
        <w:spacing w:after="330"/>
        <w:rPr>
          <w:color w:val="auto"/>
          <w:highlight w:val="none"/>
        </w:rPr>
      </w:pPr>
      <w:r>
        <w:rPr>
          <w:rFonts w:hint="eastAsia"/>
          <w:color w:val="auto"/>
          <w:highlight w:val="none"/>
        </w:rPr>
        <w:t>合同文本</w:t>
      </w:r>
      <w:bookmarkEnd w:id="32"/>
    </w:p>
    <w:p w14:paraId="6B84050B">
      <w:pPr>
        <w:wordWrap w:val="0"/>
        <w:overflowPunct w:val="0"/>
        <w:spacing w:before="91" w:line="219" w:lineRule="auto"/>
        <w:ind w:firstLine="0" w:firstLineChars="0"/>
        <w:jc w:val="center"/>
        <w:rPr>
          <w:rFonts w:cs="宋体"/>
          <w:color w:val="auto"/>
          <w:kern w:val="0"/>
          <w:sz w:val="28"/>
          <w:szCs w:val="28"/>
          <w:highlight w:val="none"/>
        </w:rPr>
      </w:pPr>
      <w:bookmarkStart w:id="36" w:name="_Toc15237"/>
      <w:r>
        <w:rPr>
          <w:rFonts w:cs="宋体"/>
          <w:color w:val="auto"/>
          <w:kern w:val="0"/>
          <w:sz w:val="28"/>
          <w:szCs w:val="28"/>
          <w:highlight w:val="none"/>
          <w14:textOutline w14:w="5080" w14:cap="flat" w14:cmpd="sng" w14:algn="ctr">
            <w14:solidFill>
              <w14:srgbClr w14:val="000000"/>
            </w14:solidFill>
            <w14:prstDash w14:val="solid"/>
            <w14:miter w14:val="0"/>
          </w14:textOutline>
        </w:rPr>
        <w:t>（本合同仅供参考，以实际签订为主）</w:t>
      </w:r>
    </w:p>
    <w:p w14:paraId="6DE66DBB">
      <w:pPr>
        <w:pStyle w:val="16"/>
        <w:wordWrap w:val="0"/>
        <w:overflowPunct w:val="0"/>
        <w:spacing w:line="243" w:lineRule="auto"/>
        <w:ind w:firstLine="480"/>
        <w:jc w:val="center"/>
        <w:rPr>
          <w:color w:val="auto"/>
          <w:kern w:val="0"/>
          <w:highlight w:val="none"/>
        </w:rPr>
      </w:pPr>
    </w:p>
    <w:p w14:paraId="6292E2AF">
      <w:pPr>
        <w:pStyle w:val="16"/>
        <w:spacing w:after="0"/>
        <w:jc w:val="center"/>
        <w:rPr>
          <w:rFonts w:hint="eastAsia" w:ascii="宋体" w:hAnsi="宋体" w:eastAsia="宋体" w:cs="宋体"/>
          <w:b/>
          <w:bCs/>
          <w:color w:val="auto"/>
          <w:spacing w:val="-20"/>
          <w:kern w:val="44"/>
          <w:sz w:val="32"/>
          <w:szCs w:val="32"/>
          <w:highlight w:val="none"/>
        </w:rPr>
      </w:pPr>
      <w:r>
        <w:rPr>
          <w:rFonts w:hint="eastAsia" w:ascii="宋体" w:hAnsi="宋体" w:eastAsia="宋体" w:cs="宋体"/>
          <w:b/>
          <w:bCs/>
          <w:color w:val="auto"/>
          <w:spacing w:val="-20"/>
          <w:kern w:val="44"/>
          <w:sz w:val="32"/>
          <w:szCs w:val="32"/>
          <w:highlight w:val="none"/>
        </w:rPr>
        <w:t>政府采购</w:t>
      </w:r>
      <w:r>
        <w:rPr>
          <w:rFonts w:hint="eastAsia" w:ascii="宋体" w:hAnsi="宋体" w:eastAsia="宋体" w:cs="宋体"/>
          <w:b/>
          <w:bCs/>
          <w:color w:val="auto"/>
          <w:spacing w:val="-20"/>
          <w:kern w:val="44"/>
          <w:sz w:val="32"/>
          <w:szCs w:val="32"/>
          <w:highlight w:val="none"/>
          <w:lang w:eastAsia="zh-CN"/>
        </w:rPr>
        <w:t>货物买卖</w:t>
      </w:r>
      <w:r>
        <w:rPr>
          <w:rFonts w:hint="eastAsia" w:ascii="宋体" w:hAnsi="宋体" w:eastAsia="宋体" w:cs="宋体"/>
          <w:b/>
          <w:bCs/>
          <w:color w:val="auto"/>
          <w:spacing w:val="-20"/>
          <w:kern w:val="44"/>
          <w:sz w:val="32"/>
          <w:szCs w:val="32"/>
          <w:highlight w:val="none"/>
        </w:rPr>
        <w:t>合同</w:t>
      </w:r>
    </w:p>
    <w:p w14:paraId="6924A885">
      <w:pPr>
        <w:pStyle w:val="16"/>
        <w:spacing w:after="0"/>
        <w:jc w:val="center"/>
        <w:rPr>
          <w:rFonts w:hint="eastAsia" w:ascii="宋体" w:hAnsi="宋体" w:eastAsia="宋体" w:cs="宋体"/>
          <w:b/>
          <w:bCs/>
          <w:color w:val="auto"/>
          <w:spacing w:val="-20"/>
          <w:kern w:val="44"/>
          <w:sz w:val="32"/>
          <w:szCs w:val="32"/>
          <w:highlight w:val="none"/>
          <w:lang w:eastAsia="zh-CN"/>
        </w:rPr>
      </w:pPr>
      <w:r>
        <w:rPr>
          <w:rFonts w:hint="eastAsia" w:ascii="宋体" w:hAnsi="宋体" w:eastAsia="宋体" w:cs="宋体"/>
          <w:b/>
          <w:bCs/>
          <w:color w:val="auto"/>
          <w:spacing w:val="-20"/>
          <w:kern w:val="44"/>
          <w:sz w:val="32"/>
          <w:szCs w:val="32"/>
          <w:highlight w:val="none"/>
          <w:lang w:eastAsia="zh-CN"/>
        </w:rPr>
        <w:t>（试行）</w:t>
      </w:r>
    </w:p>
    <w:p w14:paraId="285E6BFE">
      <w:pPr>
        <w:rPr>
          <w:rFonts w:hint="eastAsia" w:ascii="宋体" w:hAnsi="宋体" w:eastAsia="宋体" w:cs="宋体"/>
          <w:b/>
          <w:bCs/>
          <w:color w:val="auto"/>
          <w:spacing w:val="-20"/>
          <w:kern w:val="44"/>
          <w:sz w:val="24"/>
          <w:szCs w:val="24"/>
          <w:highlight w:val="none"/>
        </w:rPr>
      </w:pPr>
    </w:p>
    <w:p w14:paraId="633C8477">
      <w:pPr>
        <w:rPr>
          <w:rFonts w:hint="eastAsia" w:ascii="宋体" w:hAnsi="宋体" w:eastAsia="宋体" w:cs="宋体"/>
          <w:b/>
          <w:bCs/>
          <w:color w:val="auto"/>
          <w:spacing w:val="-20"/>
          <w:kern w:val="44"/>
          <w:sz w:val="24"/>
          <w:szCs w:val="24"/>
          <w:highlight w:val="none"/>
        </w:rPr>
      </w:pPr>
    </w:p>
    <w:p w14:paraId="19DA721E">
      <w:pPr>
        <w:rPr>
          <w:rFonts w:hint="eastAsia" w:ascii="宋体" w:hAnsi="宋体" w:eastAsia="宋体" w:cs="宋体"/>
          <w:b/>
          <w:bCs/>
          <w:color w:val="auto"/>
          <w:spacing w:val="-20"/>
          <w:kern w:val="44"/>
          <w:sz w:val="24"/>
          <w:szCs w:val="24"/>
          <w:highlight w:val="none"/>
        </w:rPr>
      </w:pPr>
    </w:p>
    <w:p w14:paraId="4D102496">
      <w:pPr>
        <w:spacing w:line="360" w:lineRule="auto"/>
        <w:ind w:left="480" w:left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项目名称：</w:t>
      </w:r>
      <w:r>
        <w:rPr>
          <w:rFonts w:hint="eastAsia" w:ascii="宋体" w:hAnsi="宋体" w:eastAsia="宋体" w:cs="宋体"/>
          <w:color w:val="auto"/>
          <w:sz w:val="24"/>
          <w:szCs w:val="24"/>
          <w:highlight w:val="none"/>
          <w:u w:val="single"/>
        </w:rPr>
        <w:t xml:space="preserve">                             </w:t>
      </w:r>
    </w:p>
    <w:p w14:paraId="289BFC3F">
      <w:pPr>
        <w:spacing w:line="360" w:lineRule="auto"/>
        <w:ind w:left="480" w:left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合同编号：</w:t>
      </w:r>
      <w:r>
        <w:rPr>
          <w:rFonts w:hint="eastAsia" w:ascii="宋体" w:hAnsi="宋体" w:eastAsia="宋体" w:cs="宋体"/>
          <w:color w:val="auto"/>
          <w:sz w:val="24"/>
          <w:szCs w:val="24"/>
          <w:highlight w:val="none"/>
          <w:u w:val="single"/>
        </w:rPr>
        <w:t xml:space="preserve">                             </w:t>
      </w:r>
    </w:p>
    <w:p w14:paraId="4BABFEB6">
      <w:pPr>
        <w:spacing w:line="360" w:lineRule="auto"/>
        <w:ind w:left="48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    方：</w:t>
      </w:r>
      <w:r>
        <w:rPr>
          <w:rFonts w:hint="eastAsia" w:ascii="宋体" w:hAnsi="宋体" w:eastAsia="宋体" w:cs="宋体"/>
          <w:color w:val="auto"/>
          <w:sz w:val="24"/>
          <w:szCs w:val="24"/>
          <w:highlight w:val="none"/>
          <w:u w:val="single"/>
        </w:rPr>
        <w:t xml:space="preserve">                             </w:t>
      </w:r>
    </w:p>
    <w:p w14:paraId="4399D53B">
      <w:pPr>
        <w:spacing w:line="360" w:lineRule="auto"/>
        <w:ind w:left="480" w:left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乙    方：</w:t>
      </w:r>
      <w:r>
        <w:rPr>
          <w:rFonts w:hint="eastAsia" w:ascii="宋体" w:hAnsi="宋体" w:eastAsia="宋体" w:cs="宋体"/>
          <w:color w:val="auto"/>
          <w:sz w:val="24"/>
          <w:szCs w:val="24"/>
          <w:highlight w:val="none"/>
          <w:u w:val="single"/>
        </w:rPr>
        <w:t xml:space="preserve">                             </w:t>
      </w:r>
    </w:p>
    <w:p w14:paraId="4B77541A">
      <w:pPr>
        <w:spacing w:line="360" w:lineRule="auto"/>
        <w:ind w:left="48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w:t>
      </w:r>
      <w:r>
        <w:rPr>
          <w:rFonts w:hint="eastAsia" w:ascii="宋体" w:hAnsi="宋体" w:eastAsia="宋体" w:cs="宋体"/>
          <w:color w:val="auto"/>
          <w:sz w:val="24"/>
          <w:szCs w:val="24"/>
          <w:highlight w:val="none"/>
          <w:u w:val="single"/>
        </w:rPr>
        <w:t xml:space="preserve">                             </w:t>
      </w:r>
    </w:p>
    <w:p w14:paraId="74D325AD">
      <w:pPr>
        <w:rPr>
          <w:rFonts w:hint="eastAsia" w:ascii="宋体" w:hAnsi="宋体" w:eastAsia="宋体" w:cs="宋体"/>
          <w:color w:val="auto"/>
          <w:highlight w:val="none"/>
        </w:rPr>
      </w:pPr>
    </w:p>
    <w:p w14:paraId="5D45C78B">
      <w:pPr>
        <w:pStyle w:val="6"/>
        <w:numPr>
          <w:ilvl w:val="0"/>
          <w:numId w:val="0"/>
        </w:numPr>
        <w:adjustRightInd w:val="0"/>
        <w:snapToGrid w:val="0"/>
        <w:spacing w:beforeLines="0" w:line="40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val="0"/>
          <w:bCs w:val="0"/>
          <w:color w:val="auto"/>
          <w:sz w:val="21"/>
          <w:szCs w:val="21"/>
          <w:highlight w:val="none"/>
        </w:rPr>
        <w:t>第一节 政府采购合同协议书</w:t>
      </w:r>
    </w:p>
    <w:p w14:paraId="4114914C">
      <w:pPr>
        <w:adjustRightInd w:val="0"/>
        <w:snapToGrid w:val="0"/>
        <w:spacing w:before="0" w:beforeLines="0"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甲方（全称）：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val="en-US" w:eastAsia="zh-CN"/>
        </w:rPr>
        <w:t xml:space="preserve"> </w:t>
      </w:r>
    </w:p>
    <w:p w14:paraId="632EE3AF">
      <w:pPr>
        <w:adjustRightInd w:val="0"/>
        <w:snapToGrid w:val="0"/>
        <w:spacing w:before="0" w:before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（供应商）</w:t>
      </w:r>
    </w:p>
    <w:p w14:paraId="46C7FDCA">
      <w:pPr>
        <w:spacing w:beforeLines="0"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p>
    <w:p w14:paraId="7BCE0F45">
      <w:pPr>
        <w:pStyle w:val="17"/>
        <w:adjustRightInd w:val="0"/>
        <w:snapToGrid w:val="0"/>
        <w:spacing w:before="0" w:beforeLines="0" w:after="0"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依据《中华人民共和国民法典》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《中华人民共和国政府采购法》等有关的法律法规，以及</w:t>
      </w:r>
      <w:r>
        <w:rPr>
          <w:rFonts w:hint="eastAsia" w:ascii="宋体" w:hAnsi="宋体" w:eastAsia="宋体" w:cs="宋体"/>
          <w:i w:val="0"/>
          <w:iCs w:val="0"/>
          <w:color w:val="auto"/>
          <w:sz w:val="21"/>
          <w:szCs w:val="21"/>
          <w:highlight w:val="none"/>
          <w:u w:val="none"/>
          <w:lang w:eastAsia="zh-CN"/>
        </w:rPr>
        <w:t>本采购项目</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招标</w:t>
      </w:r>
      <w:r>
        <w:rPr>
          <w:rFonts w:hint="eastAsia" w:ascii="宋体" w:hAnsi="宋体" w:eastAsia="宋体" w:cs="宋体"/>
          <w:color w:val="auto"/>
          <w:sz w:val="21"/>
          <w:szCs w:val="21"/>
          <w:highlight w:val="none"/>
          <w:lang w:val="en-US" w:eastAsia="zh-CN"/>
        </w:rPr>
        <w:t>/谈判</w:t>
      </w:r>
      <w:r>
        <w:rPr>
          <w:rFonts w:hint="eastAsia" w:ascii="宋体" w:hAnsi="宋体" w:eastAsia="宋体" w:cs="宋体"/>
          <w:color w:val="auto"/>
          <w:sz w:val="21"/>
          <w:szCs w:val="21"/>
          <w:highlight w:val="none"/>
          <w:lang w:eastAsia="zh-CN"/>
        </w:rPr>
        <w:t>文件等</w:t>
      </w:r>
      <w:r>
        <w:rPr>
          <w:rFonts w:hint="eastAsia" w:ascii="宋体" w:hAnsi="宋体" w:eastAsia="宋体" w:cs="宋体"/>
          <w:color w:val="auto"/>
          <w:sz w:val="21"/>
          <w:szCs w:val="21"/>
          <w:highlight w:val="none"/>
        </w:rPr>
        <w:t>采购文件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乙方的《投标（响应）文件》及《中标（成交）通知书》，甲乙双方同意签订本合同。具体情况及要求如下：     </w:t>
      </w:r>
    </w:p>
    <w:p w14:paraId="3C294657">
      <w:pPr>
        <w:numPr>
          <w:ilvl w:val="0"/>
          <w:numId w:val="0"/>
        </w:numPr>
        <w:adjustRightInd w:val="0"/>
        <w:snapToGrid w:val="0"/>
        <w:spacing w:before="0" w:beforeLines="0" w:line="40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项目信息</w:t>
      </w:r>
    </w:p>
    <w:p w14:paraId="4D36ABC2">
      <w:pPr>
        <w:pStyle w:val="17"/>
        <w:numPr>
          <w:ilvl w:val="0"/>
          <w:numId w:val="0"/>
        </w:numPr>
        <w:adjustRightInd w:val="0"/>
        <w:snapToGrid w:val="0"/>
        <w:spacing w:before="0" w:beforeLines="0" w:after="0" w:line="40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采购项目名称：</w:t>
      </w:r>
      <w:r>
        <w:rPr>
          <w:rFonts w:hint="eastAsia" w:ascii="宋体" w:hAnsi="宋体" w:eastAsia="宋体" w:cs="宋体"/>
          <w:color w:val="auto"/>
          <w:sz w:val="21"/>
          <w:szCs w:val="21"/>
          <w:highlight w:val="none"/>
          <w:u w:val="single"/>
        </w:rPr>
        <w:t xml:space="preserve">                                          </w:t>
      </w:r>
    </w:p>
    <w:p w14:paraId="337B2D94">
      <w:pPr>
        <w:pStyle w:val="17"/>
        <w:numPr>
          <w:ilvl w:val="0"/>
          <w:numId w:val="0"/>
        </w:numPr>
        <w:tabs>
          <w:tab w:val="left" w:pos="999"/>
        </w:tabs>
        <w:adjustRightInd w:val="0"/>
        <w:snapToGrid w:val="0"/>
        <w:spacing w:before="0" w:beforeLines="0" w:after="0" w:line="400" w:lineRule="exact"/>
        <w:ind w:left="0" w:leftChars="0" w:firstLine="0" w:firstLineChars="0"/>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none"/>
          <w:lang w:val="en-US" w:eastAsia="zh-CN"/>
        </w:rPr>
        <w:t>采购项目编号：</w:t>
      </w:r>
      <w:r>
        <w:rPr>
          <w:rFonts w:hint="eastAsia" w:ascii="宋体" w:hAnsi="宋体" w:eastAsia="宋体" w:cs="宋体"/>
          <w:color w:val="auto"/>
          <w:sz w:val="21"/>
          <w:szCs w:val="21"/>
          <w:highlight w:val="none"/>
          <w:u w:val="single"/>
        </w:rPr>
        <w:t xml:space="preserve">                                          </w:t>
      </w:r>
    </w:p>
    <w:p w14:paraId="3B82C0E9">
      <w:pPr>
        <w:pStyle w:val="17"/>
        <w:adjustRightInd w:val="0"/>
        <w:snapToGrid w:val="0"/>
        <w:spacing w:before="0" w:beforeLines="0" w:after="0" w:line="40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采购计划编号：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03276901">
      <w:pPr>
        <w:pStyle w:val="17"/>
        <w:adjustRightInd w:val="0"/>
        <w:snapToGrid w:val="0"/>
        <w:spacing w:before="0" w:beforeLines="0" w:after="0" w:line="40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项目内容：</w:t>
      </w:r>
    </w:p>
    <w:p w14:paraId="51C55B7C">
      <w:pPr>
        <w:pStyle w:val="17"/>
        <w:adjustRightInd w:val="0"/>
        <w:snapToGrid w:val="0"/>
        <w:spacing w:before="0" w:beforeLines="0" w:after="0" w:line="400" w:lineRule="exact"/>
        <w:ind w:left="0" w:leftChars="0" w:firstLine="0" w:firstLineChars="0"/>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lang w:eastAsia="zh-CN"/>
        </w:rPr>
        <w:t>采购标的及数量</w:t>
      </w:r>
      <w:r>
        <w:rPr>
          <w:rFonts w:hint="eastAsia" w:ascii="宋体" w:hAnsi="宋体" w:eastAsia="宋体" w:cs="宋体"/>
          <w:color w:val="auto"/>
          <w:sz w:val="21"/>
          <w:szCs w:val="21"/>
          <w:highlight w:val="none"/>
          <w:lang w:val="en-US" w:eastAsia="zh-CN"/>
        </w:rPr>
        <w:t>（台/套</w:t>
      </w:r>
      <w:r>
        <w:rPr>
          <w:rFonts w:hint="eastAsia" w:ascii="宋体" w:hAnsi="宋体" w:eastAsia="宋体" w:cs="宋体"/>
          <w:color w:val="auto"/>
          <w:sz w:val="21"/>
          <w:szCs w:val="21"/>
          <w:highlight w:val="none"/>
          <w:lang w:val="en" w:eastAsia="zh-CN"/>
        </w:rPr>
        <w:t>/个/架/组等</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p>
    <w:p w14:paraId="522FBCCD">
      <w:pPr>
        <w:pStyle w:val="17"/>
        <w:adjustRightInd w:val="0"/>
        <w:snapToGrid w:val="0"/>
        <w:spacing w:before="0" w:beforeLines="0" w:after="0" w:line="400" w:lineRule="exact"/>
        <w:ind w:left="0" w:leftChars="0" w:firstLine="0" w:firstLineChars="0"/>
        <w:rPr>
          <w:rFonts w:hint="eastAsia" w:ascii="宋体" w:hAnsi="宋体" w:eastAsia="宋体" w:cs="宋体"/>
          <w:color w:val="auto"/>
          <w:sz w:val="21"/>
          <w:szCs w:val="21"/>
          <w:highlight w:val="none"/>
          <w:lang w:val="en" w:eastAsia="zh-CN"/>
        </w:rPr>
      </w:pP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 w:eastAsia="zh-CN"/>
        </w:rPr>
        <w:t xml:space="preserve">     </w:t>
      </w:r>
      <w:r>
        <w:rPr>
          <w:rFonts w:hint="eastAsia" w:ascii="宋体" w:hAnsi="宋体" w:eastAsia="宋体" w:cs="宋体"/>
          <w:color w:val="auto"/>
          <w:sz w:val="21"/>
          <w:szCs w:val="21"/>
          <w:highlight w:val="none"/>
          <w:lang w:val="en-US" w:eastAsia="zh-CN"/>
        </w:rPr>
        <w:t>规格型号：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 w:eastAsia="zh-CN"/>
        </w:rPr>
        <w:t xml:space="preserve">   </w:t>
      </w:r>
    </w:p>
    <w:p w14:paraId="20D024FF">
      <w:pPr>
        <w:adjustRightInd w:val="0"/>
        <w:snapToGrid w:val="0"/>
        <w:spacing w:before="0" w:beforeLines="0" w:line="400" w:lineRule="exac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采购标的的技术要求、商务要求具体见附件。</w:t>
      </w:r>
    </w:p>
    <w:p w14:paraId="0103F8A1">
      <w:pPr>
        <w:adjustRightInd w:val="0"/>
        <w:snapToGrid w:val="0"/>
        <w:spacing w:before="0" w:beforeLines="0" w:line="400" w:lineRule="exact"/>
        <w:rPr>
          <w:rFonts w:hint="eastAsia" w:ascii="宋体" w:hAnsi="宋体" w:eastAsia="宋体" w:cs="宋体"/>
          <w:iCs w:val="0"/>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iCs w:val="0"/>
          <w:color w:val="auto"/>
          <w:sz w:val="21"/>
          <w:szCs w:val="21"/>
          <w:highlight w:val="none"/>
          <w:lang w:val="en-US" w:eastAsia="zh-CN"/>
        </w:rPr>
        <w:t>政府采购组织形式：</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政府集中采购</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val="en-US" w:eastAsia="zh-CN"/>
        </w:rPr>
        <w:t xml:space="preserve">部门集中采购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val="en-US" w:eastAsia="zh-CN"/>
        </w:rPr>
        <w:t>分散采购</w:t>
      </w:r>
    </w:p>
    <w:p w14:paraId="6ED4AF5E">
      <w:pPr>
        <w:adjustRightInd w:val="0"/>
        <w:snapToGrid w:val="0"/>
        <w:spacing w:before="0" w:beforeLines="0" w:line="400" w:lineRule="exact"/>
        <w:rPr>
          <w:rFonts w:hint="eastAsia" w:ascii="宋体" w:hAnsi="宋体" w:eastAsia="宋体" w:cs="宋体"/>
          <w:iCs w:val="0"/>
          <w:color w:val="auto"/>
          <w:sz w:val="21"/>
          <w:szCs w:val="21"/>
          <w:highlight w:val="none"/>
          <w:u w:val="singl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iCs w:val="0"/>
          <w:color w:val="auto"/>
          <w:sz w:val="21"/>
          <w:szCs w:val="21"/>
          <w:highlight w:val="none"/>
          <w:lang w:val="en-US" w:eastAsia="zh-CN"/>
        </w:rPr>
        <w:t>政府采购方式：</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公开招标</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邀请招标</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竞争性谈判</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color w:val="auto"/>
          <w:w w:val="100"/>
          <w:sz w:val="21"/>
          <w:szCs w:val="21"/>
          <w:highlight w:val="none"/>
          <w:shd w:val="clear" w:color="auto" w:fill="auto"/>
          <w:lang w:eastAsia="zh-CN"/>
        </w:rPr>
        <w:t>竞争性磋商</w:t>
      </w:r>
      <w:r>
        <w:rPr>
          <w:rFonts w:hint="eastAsia" w:ascii="宋体" w:hAnsi="宋体" w:eastAsia="宋体" w:cs="宋体"/>
          <w:color w:val="auto"/>
          <w:w w:val="100"/>
          <w:sz w:val="21"/>
          <w:szCs w:val="21"/>
          <w:highlight w:val="none"/>
          <w:shd w:val="clear" w:color="auto" w:fill="auto"/>
          <w:lang w:eastAsia="zh-CN"/>
        </w:rPr>
        <w:sym w:font="Wingdings" w:char="00A8"/>
      </w:r>
      <w:r>
        <w:rPr>
          <w:rFonts w:hint="eastAsia" w:ascii="宋体" w:hAnsi="宋体" w:eastAsia="宋体" w:cs="宋体"/>
          <w:color w:val="auto"/>
          <w:w w:val="100"/>
          <w:sz w:val="21"/>
          <w:szCs w:val="21"/>
          <w:highlight w:val="none"/>
          <w:shd w:val="clear" w:color="auto" w:fill="auto"/>
          <w:lang w:eastAsia="zh-CN"/>
        </w:rPr>
        <w:t>询价</w:t>
      </w:r>
      <w:r>
        <w:rPr>
          <w:rFonts w:hint="eastAsia" w:ascii="宋体" w:hAnsi="宋体" w:eastAsia="宋体" w:cs="宋体"/>
          <w:color w:val="auto"/>
          <w:w w:val="100"/>
          <w:sz w:val="21"/>
          <w:szCs w:val="21"/>
          <w:highlight w:val="none"/>
          <w:shd w:val="clear" w:color="auto" w:fill="auto"/>
          <w:lang w:val="en-US" w:eastAsia="zh-CN"/>
        </w:rPr>
        <w:t xml:space="preserve"> </w:t>
      </w:r>
      <w:r>
        <w:rPr>
          <w:rFonts w:hint="eastAsia" w:ascii="宋体" w:hAnsi="宋体" w:eastAsia="宋体" w:cs="宋体"/>
          <w:color w:val="auto"/>
          <w:w w:val="100"/>
          <w:sz w:val="21"/>
          <w:szCs w:val="21"/>
          <w:highlight w:val="none"/>
          <w:shd w:val="clear" w:color="auto" w:fill="auto"/>
          <w:lang w:eastAsia="zh-CN"/>
        </w:rPr>
        <w:sym w:font="Wingdings" w:char="00A8"/>
      </w:r>
      <w:r>
        <w:rPr>
          <w:rFonts w:hint="eastAsia" w:ascii="宋体" w:hAnsi="宋体" w:eastAsia="宋体" w:cs="宋体"/>
          <w:color w:val="auto"/>
          <w:w w:val="100"/>
          <w:sz w:val="21"/>
          <w:szCs w:val="21"/>
          <w:highlight w:val="none"/>
          <w:shd w:val="clear" w:color="auto" w:fill="auto"/>
          <w:lang w:eastAsia="zh-CN"/>
        </w:rPr>
        <w:t>单一</w:t>
      </w:r>
      <w:r>
        <w:rPr>
          <w:rFonts w:hint="eastAsia" w:ascii="宋体" w:hAnsi="宋体" w:eastAsia="宋体" w:cs="宋体"/>
          <w:iCs w:val="0"/>
          <w:color w:val="auto"/>
          <w:sz w:val="21"/>
          <w:szCs w:val="21"/>
          <w:highlight w:val="none"/>
          <w:lang w:eastAsia="zh-CN"/>
        </w:rPr>
        <w:t>来源</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框架协议</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其他：</w:t>
      </w:r>
      <w:r>
        <w:rPr>
          <w:rFonts w:hint="eastAsia" w:ascii="宋体" w:hAnsi="宋体" w:eastAsia="宋体" w:cs="宋体"/>
          <w:iCs w:val="0"/>
          <w:color w:val="auto"/>
          <w:sz w:val="21"/>
          <w:szCs w:val="21"/>
          <w:highlight w:val="none"/>
          <w:u w:val="single"/>
          <w:lang w:val="en-US" w:eastAsia="zh-CN"/>
        </w:rPr>
        <w:t xml:space="preserve">          </w:t>
      </w:r>
    </w:p>
    <w:p w14:paraId="2A8BC20A">
      <w:pPr>
        <w:pStyle w:val="94"/>
        <w:numPr>
          <w:ilvl w:val="0"/>
          <w:numId w:val="0"/>
        </w:numPr>
        <w:adjustRightInd w:val="0"/>
        <w:snapToGrid w:val="0"/>
        <w:spacing w:before="0" w:beforeLines="0" w:line="400" w:lineRule="exact"/>
        <w:rPr>
          <w:rFonts w:hint="eastAsia" w:ascii="宋体" w:hAnsi="宋体" w:eastAsia="宋体" w:cs="宋体"/>
          <w:color w:val="auto"/>
          <w:w w:val="100"/>
          <w:kern w:val="2"/>
          <w:sz w:val="21"/>
          <w:szCs w:val="21"/>
          <w:highlight w:val="none"/>
          <w:lang w:val="en-US" w:eastAsia="zh-CN" w:bidi="ar-SA"/>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w w:val="100"/>
          <w:kern w:val="2"/>
          <w:sz w:val="21"/>
          <w:szCs w:val="21"/>
          <w:highlight w:val="none"/>
          <w:lang w:val="en-US" w:eastAsia="zh-CN" w:bidi="ar-SA"/>
        </w:rPr>
        <w:t>中标（成交）采购标的制造商是否为中小企业：</w:t>
      </w:r>
      <w:r>
        <w:rPr>
          <w:rFonts w:hint="eastAsia" w:ascii="宋体" w:hAnsi="宋体" w:eastAsia="宋体" w:cs="宋体"/>
          <w:color w:val="auto"/>
          <w:w w:val="100"/>
          <w:kern w:val="2"/>
          <w:sz w:val="21"/>
          <w:szCs w:val="21"/>
          <w:highlight w:val="none"/>
          <w:lang w:val="en-US" w:eastAsia="zh-CN" w:bidi="ar-SA"/>
        </w:rPr>
        <w:sym w:font="Wingdings" w:char="00A8"/>
      </w:r>
      <w:r>
        <w:rPr>
          <w:rFonts w:hint="eastAsia" w:ascii="宋体" w:hAnsi="宋体" w:eastAsia="宋体" w:cs="宋体"/>
          <w:color w:val="auto"/>
          <w:w w:val="100"/>
          <w:kern w:val="2"/>
          <w:sz w:val="21"/>
          <w:szCs w:val="21"/>
          <w:highlight w:val="none"/>
          <w:lang w:val="en-US" w:eastAsia="zh-CN" w:bidi="ar-SA"/>
        </w:rPr>
        <w:t xml:space="preserve">是      </w:t>
      </w:r>
      <w:r>
        <w:rPr>
          <w:rFonts w:hint="eastAsia" w:ascii="宋体" w:hAnsi="宋体" w:eastAsia="宋体" w:cs="宋体"/>
          <w:color w:val="auto"/>
          <w:w w:val="100"/>
          <w:kern w:val="2"/>
          <w:sz w:val="21"/>
          <w:szCs w:val="21"/>
          <w:highlight w:val="none"/>
          <w:lang w:val="en-US" w:eastAsia="zh-CN" w:bidi="ar-SA"/>
        </w:rPr>
        <w:sym w:font="Wingdings" w:char="00A8"/>
      </w:r>
      <w:r>
        <w:rPr>
          <w:rFonts w:hint="eastAsia" w:ascii="宋体" w:hAnsi="宋体" w:eastAsia="宋体" w:cs="宋体"/>
          <w:color w:val="auto"/>
          <w:w w:val="100"/>
          <w:kern w:val="2"/>
          <w:sz w:val="21"/>
          <w:szCs w:val="21"/>
          <w:highlight w:val="none"/>
          <w:lang w:val="en-US" w:eastAsia="zh-CN" w:bidi="ar-SA"/>
        </w:rPr>
        <w:t>否</w:t>
      </w:r>
    </w:p>
    <w:p w14:paraId="5652777F">
      <w:pPr>
        <w:numPr>
          <w:ilvl w:val="0"/>
          <w:numId w:val="0"/>
        </w:numPr>
        <w:adjustRightInd w:val="0"/>
        <w:snapToGrid w:val="0"/>
        <w:spacing w:before="0" w:beforeLines="0" w:line="400" w:lineRule="exact"/>
        <w:ind w:left="0" w:leftChars="0" w:firstLine="0" w:firstLineChars="0"/>
        <w:rPr>
          <w:rFonts w:hint="eastAsia" w:ascii="宋体" w:hAnsi="宋体" w:eastAsia="宋体" w:cs="宋体"/>
          <w:iCs/>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w w:val="100"/>
          <w:sz w:val="21"/>
          <w:szCs w:val="21"/>
          <w:highlight w:val="none"/>
          <w:lang w:val="en-US" w:eastAsia="zh-CN"/>
        </w:rPr>
        <w:t>本合同</w:t>
      </w:r>
      <w:r>
        <w:rPr>
          <w:rFonts w:hint="eastAsia" w:ascii="宋体" w:hAnsi="宋体" w:eastAsia="宋体" w:cs="宋体"/>
          <w:color w:val="auto"/>
          <w:w w:val="100"/>
          <w:sz w:val="21"/>
          <w:szCs w:val="21"/>
          <w:highlight w:val="none"/>
        </w:rPr>
        <w:t>是否</w:t>
      </w:r>
      <w:r>
        <w:rPr>
          <w:rFonts w:hint="eastAsia" w:ascii="宋体" w:hAnsi="宋体" w:eastAsia="宋体" w:cs="宋体"/>
          <w:color w:val="auto"/>
          <w:w w:val="100"/>
          <w:sz w:val="21"/>
          <w:szCs w:val="21"/>
          <w:highlight w:val="none"/>
          <w:lang w:eastAsia="zh-CN"/>
        </w:rPr>
        <w:t>为专门面向</w:t>
      </w:r>
      <w:r>
        <w:rPr>
          <w:rFonts w:hint="eastAsia" w:ascii="宋体" w:hAnsi="宋体" w:eastAsia="宋体" w:cs="宋体"/>
          <w:color w:val="auto"/>
          <w:w w:val="100"/>
          <w:sz w:val="21"/>
          <w:szCs w:val="21"/>
          <w:highlight w:val="none"/>
        </w:rPr>
        <w:t>中小企业</w:t>
      </w:r>
      <w:r>
        <w:rPr>
          <w:rFonts w:hint="eastAsia" w:ascii="宋体" w:hAnsi="宋体" w:eastAsia="宋体" w:cs="宋体"/>
          <w:color w:val="auto"/>
          <w:w w:val="100"/>
          <w:sz w:val="21"/>
          <w:szCs w:val="21"/>
          <w:highlight w:val="none"/>
          <w:lang w:eastAsia="zh-CN"/>
        </w:rPr>
        <w:t>的采</w:t>
      </w:r>
      <w:r>
        <w:rPr>
          <w:rFonts w:hint="eastAsia" w:ascii="宋体" w:hAnsi="宋体" w:eastAsia="宋体" w:cs="宋体"/>
          <w:color w:val="auto"/>
          <w:w w:val="100"/>
          <w:sz w:val="21"/>
          <w:szCs w:val="21"/>
          <w:highlight w:val="none"/>
          <w:shd w:val="clear" w:color="auto" w:fill="auto"/>
          <w:lang w:eastAsia="zh-CN"/>
        </w:rPr>
        <w:t>购</w:t>
      </w:r>
      <w:r>
        <w:rPr>
          <w:rFonts w:hint="eastAsia" w:ascii="宋体" w:hAnsi="宋体" w:eastAsia="宋体" w:cs="宋体"/>
          <w:color w:val="auto"/>
          <w:w w:val="100"/>
          <w:sz w:val="21"/>
          <w:szCs w:val="21"/>
          <w:highlight w:val="none"/>
          <w:shd w:val="clear" w:color="auto" w:fill="auto"/>
        </w:rPr>
        <w:t>合同</w:t>
      </w:r>
      <w:r>
        <w:rPr>
          <w:rFonts w:hint="eastAsia" w:ascii="宋体" w:hAnsi="宋体" w:eastAsia="宋体" w:cs="宋体"/>
          <w:color w:val="auto"/>
          <w:w w:val="100"/>
          <w:sz w:val="21"/>
          <w:szCs w:val="21"/>
          <w:highlight w:val="none"/>
          <w:shd w:val="clear" w:color="auto" w:fill="auto"/>
          <w:lang w:eastAsia="zh-CN"/>
        </w:rPr>
        <w:t>（中小企业预留合同）</w:t>
      </w:r>
      <w:r>
        <w:rPr>
          <w:rFonts w:hint="eastAsia" w:ascii="宋体" w:hAnsi="宋体" w:eastAsia="宋体" w:cs="宋体"/>
          <w:color w:val="auto"/>
          <w:sz w:val="21"/>
          <w:szCs w:val="21"/>
          <w:highlight w:val="none"/>
          <w:shd w:val="clear" w:color="auto" w:fill="auto"/>
        </w:rPr>
        <w:t>：</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4FDA9D44">
      <w:pPr>
        <w:adjustRightInd w:val="0"/>
        <w:snapToGrid w:val="0"/>
        <w:spacing w:before="0" w:before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合同是否分包：</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5F89A8A0">
      <w:pPr>
        <w:numPr>
          <w:ilvl w:val="0"/>
          <w:numId w:val="0"/>
        </w:numPr>
        <w:tabs>
          <w:tab w:val="left" w:pos="740"/>
        </w:tabs>
        <w:adjustRightInd w:val="0"/>
        <w:snapToGrid w:val="0"/>
        <w:spacing w:before="0" w:beforeLines="0" w:line="400" w:lineRule="exact"/>
        <w:ind w:left="0" w:firstLine="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w:t>
      </w:r>
      <w:r>
        <w:rPr>
          <w:rFonts w:hint="eastAsia" w:ascii="宋体" w:hAnsi="宋体" w:eastAsia="宋体" w:cs="宋体"/>
          <w:b w:val="0"/>
          <w:bCs w:val="0"/>
          <w:color w:val="auto"/>
          <w:sz w:val="21"/>
          <w:szCs w:val="21"/>
          <w:highlight w:val="none"/>
          <w:u w:val="none"/>
          <w:lang w:val="en-US" w:eastAsia="zh-CN"/>
        </w:rPr>
        <w:t>是否涉及节能产品：</w:t>
      </w:r>
    </w:p>
    <w:p w14:paraId="6E848253">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 w:val="21"/>
          <w:szCs w:val="21"/>
          <w:highlight w:val="none"/>
          <w:lang w:val="en-US" w:eastAsia="zh-CN"/>
        </w:rPr>
      </w:pPr>
      <w:r>
        <w:rPr>
          <w:rFonts w:hint="eastAsia" w:ascii="宋体" w:hAnsi="宋体" w:eastAsia="宋体" w:cs="宋体"/>
          <w:b w:val="0"/>
          <w:bCs w:val="0"/>
          <w:color w:val="auto"/>
          <w:sz w:val="21"/>
          <w:szCs w:val="21"/>
          <w:highlight w:val="none"/>
          <w:u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是</w:t>
      </w:r>
      <w:r>
        <w:rPr>
          <w:rFonts w:hint="eastAsia" w:ascii="宋体" w:hAnsi="宋体" w:eastAsia="宋体" w:cs="宋体"/>
          <w:iCs w:val="0"/>
          <w:color w:val="auto"/>
          <w:sz w:val="21"/>
          <w:szCs w:val="21"/>
          <w:highlight w:val="none"/>
          <w:lang w:eastAsia="zh-CN"/>
        </w:rPr>
        <w:t>，《节能产品政府采购品目清单》的底级品目名称：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强制采购</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优先采购</w:t>
      </w:r>
      <w:r>
        <w:rPr>
          <w:rFonts w:hint="eastAsia" w:ascii="宋体" w:hAnsi="宋体" w:eastAsia="宋体" w:cs="宋体"/>
          <w:iCs/>
          <w:color w:val="auto"/>
          <w:sz w:val="21"/>
          <w:szCs w:val="21"/>
          <w:highlight w:val="none"/>
          <w:lang w:val="en-US" w:eastAsia="zh-CN"/>
        </w:rPr>
        <w:t xml:space="preserve">    </w:t>
      </w:r>
    </w:p>
    <w:p w14:paraId="728E11C5">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否</w:t>
      </w:r>
    </w:p>
    <w:p w14:paraId="600213B6">
      <w:pPr>
        <w:numPr>
          <w:ilvl w:val="0"/>
          <w:numId w:val="0"/>
        </w:numPr>
        <w:tabs>
          <w:tab w:val="left" w:pos="740"/>
        </w:tabs>
        <w:adjustRightInd w:val="0"/>
        <w:snapToGrid w:val="0"/>
        <w:spacing w:before="0" w:beforeLines="0" w:line="400" w:lineRule="exact"/>
        <w:ind w:left="0" w:firstLine="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lang w:eastAsia="zh-CN"/>
        </w:rPr>
        <w:t>）</w:t>
      </w:r>
      <w:r>
        <w:rPr>
          <w:rFonts w:hint="eastAsia" w:ascii="宋体" w:hAnsi="宋体" w:eastAsia="宋体" w:cs="宋体"/>
          <w:b w:val="0"/>
          <w:bCs w:val="0"/>
          <w:color w:val="auto"/>
          <w:sz w:val="21"/>
          <w:szCs w:val="21"/>
          <w:highlight w:val="none"/>
          <w:u w:val="none"/>
          <w:lang w:val="en-US" w:eastAsia="zh-CN"/>
        </w:rPr>
        <w:t>是否涉及环境标志产品：</w:t>
      </w:r>
    </w:p>
    <w:p w14:paraId="05EF1EBE">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 w:val="21"/>
          <w:szCs w:val="21"/>
          <w:highlight w:val="none"/>
          <w:lang w:val="en-US" w:eastAsia="zh-CN"/>
        </w:rPr>
      </w:pPr>
      <w:r>
        <w:rPr>
          <w:rFonts w:hint="eastAsia" w:ascii="宋体" w:hAnsi="宋体" w:eastAsia="宋体" w:cs="宋体"/>
          <w:b w:val="0"/>
          <w:bCs w:val="0"/>
          <w:color w:val="auto"/>
          <w:sz w:val="21"/>
          <w:szCs w:val="21"/>
          <w:highlight w:val="none"/>
          <w:u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是</w:t>
      </w:r>
      <w:r>
        <w:rPr>
          <w:rFonts w:hint="eastAsia" w:ascii="宋体" w:hAnsi="宋体" w:eastAsia="宋体" w:cs="宋体"/>
          <w:iCs w:val="0"/>
          <w:color w:val="auto"/>
          <w:sz w:val="21"/>
          <w:szCs w:val="21"/>
          <w:highlight w:val="none"/>
          <w:lang w:eastAsia="zh-CN"/>
        </w:rPr>
        <w:t>，《环境标志产品政府采购品目清单》的底级品目名称：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强制采购</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优先采购</w:t>
      </w:r>
      <w:r>
        <w:rPr>
          <w:rFonts w:hint="eastAsia" w:ascii="宋体" w:hAnsi="宋体" w:eastAsia="宋体" w:cs="宋体"/>
          <w:iCs/>
          <w:color w:val="auto"/>
          <w:sz w:val="21"/>
          <w:szCs w:val="21"/>
          <w:highlight w:val="none"/>
          <w:lang w:val="en-US" w:eastAsia="zh-CN"/>
        </w:rPr>
        <w:t xml:space="preserve">    </w:t>
      </w:r>
    </w:p>
    <w:p w14:paraId="4FB278CF">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否</w:t>
      </w:r>
    </w:p>
    <w:p w14:paraId="4696157F">
      <w:pPr>
        <w:pStyle w:val="94"/>
        <w:numPr>
          <w:ilvl w:val="0"/>
          <w:numId w:val="0"/>
        </w:numPr>
        <w:adjustRightInd w:val="0"/>
        <w:snapToGrid w:val="0"/>
        <w:spacing w:before="0" w:beforeLines="0" w:line="400" w:lineRule="exact"/>
        <w:ind w:firstLine="0" w:firstLineChars="0"/>
        <w:rPr>
          <w:rFonts w:hint="eastAsia" w:ascii="宋体" w:hAnsi="宋体" w:eastAsia="宋体" w:cs="宋体"/>
          <w:iCs w:val="0"/>
          <w:color w:val="auto"/>
          <w:kern w:val="2"/>
          <w:sz w:val="21"/>
          <w:szCs w:val="21"/>
          <w:highlight w:val="none"/>
          <w:u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w:t>
      </w:r>
      <w:r>
        <w:rPr>
          <w:rFonts w:hint="eastAsia" w:ascii="宋体" w:hAnsi="宋体" w:eastAsia="宋体" w:cs="宋体"/>
          <w:b w:val="0"/>
          <w:bCs w:val="0"/>
          <w:color w:val="auto"/>
          <w:kern w:val="2"/>
          <w:sz w:val="21"/>
          <w:szCs w:val="21"/>
          <w:highlight w:val="none"/>
          <w:u w:val="none"/>
          <w:lang w:val="en-US" w:eastAsia="zh-CN"/>
        </w:rPr>
        <w:t>是否涉及绿色产品：</w:t>
      </w:r>
      <w:r>
        <w:rPr>
          <w:rFonts w:hint="eastAsia" w:ascii="宋体" w:hAnsi="宋体" w:eastAsia="宋体" w:cs="宋体"/>
          <w:iCs w:val="0"/>
          <w:color w:val="auto"/>
          <w:kern w:val="2"/>
          <w:sz w:val="21"/>
          <w:szCs w:val="21"/>
          <w:highlight w:val="none"/>
          <w:u w:val="none"/>
          <w:lang w:val="en-US" w:eastAsia="zh-CN"/>
        </w:rPr>
        <w:t xml:space="preserve"> </w:t>
      </w:r>
    </w:p>
    <w:p w14:paraId="2B95DFDC">
      <w:pPr>
        <w:pStyle w:val="94"/>
        <w:numPr>
          <w:ilvl w:val="0"/>
          <w:numId w:val="0"/>
        </w:numPr>
        <w:adjustRightInd w:val="0"/>
        <w:snapToGrid w:val="0"/>
        <w:spacing w:before="0" w:beforeLines="0" w:line="400" w:lineRule="exact"/>
        <w:ind w:firstLine="0" w:firstLineChars="0"/>
        <w:rPr>
          <w:rFonts w:hint="eastAsia" w:ascii="宋体" w:hAnsi="宋体" w:eastAsia="宋体" w:cs="宋体"/>
          <w:iCs/>
          <w:color w:val="auto"/>
          <w:sz w:val="21"/>
          <w:szCs w:val="21"/>
          <w:highlight w:val="none"/>
          <w:lang w:val="en-US" w:eastAsia="zh-CN"/>
        </w:rPr>
      </w:pPr>
      <w:r>
        <w:rPr>
          <w:rFonts w:hint="eastAsia" w:ascii="宋体" w:hAnsi="宋体" w:eastAsia="宋体" w:cs="宋体"/>
          <w:iCs w:val="0"/>
          <w:color w:val="auto"/>
          <w:kern w:val="2"/>
          <w:sz w:val="21"/>
          <w:szCs w:val="21"/>
          <w:highlight w:val="none"/>
          <w:u w:val="none"/>
        </w:rPr>
        <w:sym w:font="Wingdings" w:char="00A8"/>
      </w:r>
      <w:r>
        <w:rPr>
          <w:rFonts w:hint="eastAsia" w:ascii="宋体" w:hAnsi="宋体" w:eastAsia="宋体" w:cs="宋体"/>
          <w:iCs w:val="0"/>
          <w:color w:val="auto"/>
          <w:kern w:val="2"/>
          <w:sz w:val="21"/>
          <w:szCs w:val="21"/>
          <w:highlight w:val="none"/>
          <w:u w:val="none"/>
        </w:rPr>
        <w:t>是</w:t>
      </w:r>
      <w:r>
        <w:rPr>
          <w:rFonts w:hint="eastAsia" w:ascii="宋体" w:hAnsi="宋体" w:eastAsia="宋体" w:cs="宋体"/>
          <w:iCs w:val="0"/>
          <w:color w:val="auto"/>
          <w:kern w:val="2"/>
          <w:sz w:val="21"/>
          <w:szCs w:val="21"/>
          <w:highlight w:val="none"/>
          <w:u w:val="none"/>
          <w:lang w:eastAsia="zh-CN"/>
        </w:rPr>
        <w:t>，绿色产品政府采购相关政策确定的底级品目名称：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强制采购</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优先采购</w:t>
      </w:r>
      <w:r>
        <w:rPr>
          <w:rFonts w:hint="eastAsia" w:ascii="宋体" w:hAnsi="宋体" w:eastAsia="宋体" w:cs="宋体"/>
          <w:iCs/>
          <w:color w:val="auto"/>
          <w:sz w:val="21"/>
          <w:szCs w:val="21"/>
          <w:highlight w:val="none"/>
          <w:lang w:val="en-US" w:eastAsia="zh-CN"/>
        </w:rPr>
        <w:t xml:space="preserve"> </w:t>
      </w:r>
    </w:p>
    <w:p w14:paraId="2D3BC067">
      <w:pPr>
        <w:pStyle w:val="94"/>
        <w:spacing w:beforeLines="0"/>
        <w:ind w:left="0" w:leftChars="0" w:firstLine="0" w:firstLineChars="0"/>
        <w:rPr>
          <w:rFonts w:hint="eastAsia" w:ascii="宋体" w:hAnsi="宋体" w:eastAsia="宋体" w:cs="宋体"/>
          <w:iCs w:val="0"/>
          <w:color w:val="auto"/>
          <w:kern w:val="2"/>
          <w:sz w:val="21"/>
          <w:szCs w:val="21"/>
          <w:highlight w:val="none"/>
          <w:u w:val="none"/>
        </w:rPr>
      </w:pPr>
      <w:r>
        <w:rPr>
          <w:rFonts w:hint="eastAsia" w:ascii="宋体" w:hAnsi="宋体" w:eastAsia="宋体" w:cs="宋体"/>
          <w:iCs w:val="0"/>
          <w:color w:val="auto"/>
          <w:kern w:val="2"/>
          <w:sz w:val="21"/>
          <w:szCs w:val="21"/>
          <w:highlight w:val="none"/>
          <w:u w:val="none"/>
        </w:rPr>
        <w:sym w:font="Wingdings" w:char="00A8"/>
      </w:r>
      <w:r>
        <w:rPr>
          <w:rFonts w:hint="eastAsia" w:ascii="宋体" w:hAnsi="宋体" w:eastAsia="宋体" w:cs="宋体"/>
          <w:iCs w:val="0"/>
          <w:color w:val="auto"/>
          <w:kern w:val="2"/>
          <w:sz w:val="21"/>
          <w:szCs w:val="21"/>
          <w:highlight w:val="none"/>
          <w:u w:val="none"/>
        </w:rPr>
        <w:t>否</w:t>
      </w:r>
    </w:p>
    <w:p w14:paraId="5F21DAE5">
      <w:pPr>
        <w:pStyle w:val="94"/>
        <w:spacing w:beforeLines="0"/>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涉及商品包装和快递包装的，是否参考</w:t>
      </w:r>
      <w:r>
        <w:rPr>
          <w:rFonts w:hint="eastAsia" w:ascii="宋体" w:hAnsi="宋体" w:eastAsia="宋体" w:cs="宋体"/>
          <w:color w:val="auto"/>
          <w:sz w:val="21"/>
          <w:szCs w:val="21"/>
          <w:highlight w:val="none"/>
        </w:rPr>
        <w:t>《商品包装政府采购需求标准（试行）》、《快递包装政府采购需求标准（试行）》</w:t>
      </w:r>
      <w:r>
        <w:rPr>
          <w:rFonts w:hint="eastAsia" w:ascii="宋体" w:hAnsi="宋体" w:eastAsia="宋体" w:cs="宋体"/>
          <w:color w:val="auto"/>
          <w:sz w:val="21"/>
          <w:szCs w:val="21"/>
          <w:highlight w:val="none"/>
          <w:lang w:eastAsia="zh-CN"/>
        </w:rPr>
        <w:t>明确产品及相关快递服务的具体包装要求：</w:t>
      </w:r>
    </w:p>
    <w:p w14:paraId="3D1AECD3">
      <w:pPr>
        <w:numPr>
          <w:ilvl w:val="0"/>
          <w:numId w:val="0"/>
        </w:numPr>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lang w:eastAsia="zh-CN"/>
        </w:rPr>
      </w:pP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 xml:space="preserve">是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否</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不涉及</w:t>
      </w:r>
    </w:p>
    <w:p w14:paraId="63492DA6">
      <w:pPr>
        <w:numPr>
          <w:ilvl w:val="0"/>
          <w:numId w:val="0"/>
        </w:numPr>
        <w:adjustRightInd w:val="0"/>
        <w:snapToGrid w:val="0"/>
        <w:spacing w:before="0" w:beforeLines="0" w:line="400" w:lineRule="exac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2、合同金额</w:t>
      </w:r>
    </w:p>
    <w:p w14:paraId="1F9BD63C">
      <w:pPr>
        <w:adjustRightInd w:val="0"/>
        <w:snapToGrid w:val="0"/>
        <w:spacing w:before="0" w:before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（1）合同金额小写：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1A6AF20E">
      <w:pPr>
        <w:adjustRightInd w:val="0"/>
        <w:snapToGrid w:val="0"/>
        <w:spacing w:before="0" w:beforeLines="0" w:line="400" w:lineRule="exact"/>
        <w:ind w:left="0"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73322D0A">
      <w:pPr>
        <w:adjustRightInd w:val="0"/>
        <w:snapToGrid w:val="0"/>
        <w:spacing w:before="0" w:beforeLines="0" w:line="400" w:lineRule="exact"/>
        <w:ind w:lef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合同定价方式</w:t>
      </w:r>
      <w:r>
        <w:rPr>
          <w:rFonts w:hint="eastAsia" w:ascii="宋体" w:hAnsi="宋体" w:eastAsia="宋体" w:cs="宋体"/>
          <w:color w:val="auto"/>
          <w:sz w:val="21"/>
          <w:szCs w:val="21"/>
          <w:highlight w:val="none"/>
          <w:lang w:eastAsia="zh-CN"/>
        </w:rPr>
        <w:t>（采用组合定价方式的，可以勾选多项）</w:t>
      </w:r>
      <w:r>
        <w:rPr>
          <w:rFonts w:hint="eastAsia" w:ascii="宋体" w:hAnsi="宋体" w:eastAsia="宋体" w:cs="宋体"/>
          <w:color w:val="auto"/>
          <w:sz w:val="21"/>
          <w:szCs w:val="21"/>
          <w:highlight w:val="none"/>
        </w:rPr>
        <w:t>：</w:t>
      </w:r>
    </w:p>
    <w:p w14:paraId="594916D7">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固定总价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固定单价</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固定费率</w:t>
      </w:r>
      <w:r>
        <w:rPr>
          <w:rFonts w:hint="eastAsia" w:ascii="宋体" w:hAnsi="宋体" w:eastAsia="宋体" w:cs="宋体"/>
          <w:iCs/>
          <w:color w:val="auto"/>
          <w:sz w:val="21"/>
          <w:szCs w:val="21"/>
          <w:highlight w:val="none"/>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成本补偿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绩效激励</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其他</w:t>
      </w:r>
      <w:r>
        <w:rPr>
          <w:rFonts w:hint="eastAsia" w:ascii="宋体" w:hAnsi="宋体" w:eastAsia="宋体" w:cs="宋体"/>
          <w:color w:val="auto"/>
          <w:sz w:val="21"/>
          <w:szCs w:val="21"/>
          <w:highlight w:val="none"/>
          <w:u w:val="single"/>
        </w:rPr>
        <w:t xml:space="preserve">       </w:t>
      </w:r>
    </w:p>
    <w:p w14:paraId="1F43EC0D">
      <w:pPr>
        <w:adjustRightInd w:val="0"/>
        <w:snapToGrid w:val="0"/>
        <w:spacing w:before="0" w:before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）付款方式（按项目实际勾选填写）：</w:t>
      </w:r>
    </w:p>
    <w:p w14:paraId="188094C0">
      <w:pPr>
        <w:adjustRightInd w:val="0"/>
        <w:snapToGrid w:val="0"/>
        <w:spacing w:before="0" w:beforeLines="0" w:line="40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全额付款：</w:t>
      </w:r>
      <w:r>
        <w:rPr>
          <w:rFonts w:hint="eastAsia" w:ascii="宋体" w:hAnsi="宋体" w:eastAsia="宋体" w:cs="宋体"/>
          <w:color w:val="auto"/>
          <w:sz w:val="21"/>
          <w:szCs w:val="21"/>
          <w:highlight w:val="none"/>
          <w:u w:val="single"/>
        </w:rPr>
        <w:t xml:space="preserve">     （应</w:t>
      </w:r>
      <w:r>
        <w:rPr>
          <w:rFonts w:hint="eastAsia" w:ascii="宋体" w:hAnsi="宋体" w:eastAsia="宋体" w:cs="宋体"/>
          <w:color w:val="auto"/>
          <w:sz w:val="21"/>
          <w:szCs w:val="21"/>
          <w:highlight w:val="none"/>
          <w:u w:val="single"/>
          <w:lang w:eastAsia="zh-CN"/>
        </w:rPr>
        <w:t>明确</w:t>
      </w:r>
      <w:r>
        <w:rPr>
          <w:rFonts w:hint="eastAsia" w:ascii="宋体" w:hAnsi="宋体" w:eastAsia="宋体" w:cs="宋体"/>
          <w:color w:val="auto"/>
          <w:sz w:val="21"/>
          <w:szCs w:val="21"/>
          <w:highlight w:val="none"/>
          <w:u w:val="single"/>
        </w:rPr>
        <w:t>一次性支付合同款项</w:t>
      </w:r>
      <w:r>
        <w:rPr>
          <w:rFonts w:hint="eastAsia" w:ascii="宋体" w:hAnsi="宋体" w:eastAsia="宋体" w:cs="宋体"/>
          <w:color w:val="auto"/>
          <w:sz w:val="21"/>
          <w:szCs w:val="21"/>
          <w:highlight w:val="none"/>
          <w:u w:val="single"/>
          <w:lang w:eastAsia="zh-CN"/>
        </w:rPr>
        <w:t>的条件</w:t>
      </w:r>
      <w:r>
        <w:rPr>
          <w:rFonts w:hint="eastAsia" w:ascii="宋体" w:hAnsi="宋体" w:eastAsia="宋体" w:cs="宋体"/>
          <w:color w:val="auto"/>
          <w:sz w:val="21"/>
          <w:szCs w:val="21"/>
          <w:highlight w:val="none"/>
          <w:u w:val="single"/>
        </w:rPr>
        <w:t xml:space="preserve">）                    </w:t>
      </w:r>
    </w:p>
    <w:p w14:paraId="489D9D63">
      <w:pPr>
        <w:snapToGrid w:val="0"/>
        <w:spacing w:before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分期付款：</w:t>
      </w:r>
      <w:r>
        <w:rPr>
          <w:rFonts w:hint="eastAsia" w:ascii="宋体" w:hAnsi="宋体" w:eastAsia="宋体" w:cs="宋体"/>
          <w:color w:val="auto"/>
          <w:sz w:val="21"/>
          <w:szCs w:val="21"/>
          <w:highlight w:val="none"/>
          <w:u w:val="single"/>
        </w:rPr>
        <w:t xml:space="preserve">  （应明确分期支付合同款项的各期比例和支付条件</w:t>
      </w:r>
      <w:r>
        <w:rPr>
          <w:rFonts w:hint="eastAsia" w:ascii="宋体" w:hAnsi="宋体" w:eastAsia="宋体" w:cs="宋体"/>
          <w:color w:val="auto"/>
          <w:sz w:val="21"/>
          <w:szCs w:val="21"/>
          <w:highlight w:val="none"/>
          <w:u w:val="single"/>
          <w:lang w:eastAsia="zh-CN"/>
        </w:rPr>
        <w:t>，各期支付条件应与分期履约验收情况挂钩</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lang w:eastAsia="zh-CN"/>
        </w:rPr>
        <w:t>其中涉及预付款的</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（应明确预付款的支付比例和支付条件） </w:t>
      </w:r>
    </w:p>
    <w:p w14:paraId="003BD69D">
      <w:pPr>
        <w:adjustRightInd w:val="0"/>
        <w:snapToGrid w:val="0"/>
        <w:spacing w:before="0" w:beforeLines="0" w:line="40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成本补偿：</w:t>
      </w:r>
      <w:r>
        <w:rPr>
          <w:rFonts w:hint="eastAsia" w:ascii="宋体" w:hAnsi="宋体" w:eastAsia="宋体" w:cs="宋体"/>
          <w:color w:val="auto"/>
          <w:sz w:val="21"/>
          <w:szCs w:val="21"/>
          <w:highlight w:val="none"/>
          <w:u w:val="single"/>
        </w:rPr>
        <w:t xml:space="preserve">      （应明确按照成本补偿方式的支付方式和支付条件）   </w:t>
      </w:r>
    </w:p>
    <w:p w14:paraId="6EF3AD2C">
      <w:pPr>
        <w:adjustRightInd w:val="0"/>
        <w:snapToGrid w:val="0"/>
        <w:spacing w:before="0" w:before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绩效激励：</w:t>
      </w:r>
      <w:r>
        <w:rPr>
          <w:rFonts w:hint="eastAsia" w:ascii="宋体" w:hAnsi="宋体" w:eastAsia="宋体" w:cs="宋体"/>
          <w:color w:val="auto"/>
          <w:sz w:val="21"/>
          <w:szCs w:val="21"/>
          <w:highlight w:val="none"/>
          <w:u w:val="single"/>
        </w:rPr>
        <w:t xml:space="preserve">      （应明确按照绩效激励方式的支付方式和支付条件）   </w:t>
      </w:r>
    </w:p>
    <w:p w14:paraId="38B31A5C">
      <w:pPr>
        <w:numPr>
          <w:ilvl w:val="0"/>
          <w:numId w:val="0"/>
        </w:numPr>
        <w:adjustRightInd w:val="0"/>
        <w:snapToGrid w:val="0"/>
        <w:spacing w:before="0" w:beforeLines="0" w:line="400" w:lineRule="exact"/>
        <w:rPr>
          <w:rFonts w:hint="eastAsia" w:ascii="宋体" w:hAnsi="宋体" w:eastAsia="宋体" w:cs="宋体"/>
          <w:b/>
          <w:bCs w:val="0"/>
          <w:color w:val="auto"/>
          <w:sz w:val="21"/>
          <w:szCs w:val="21"/>
          <w:highlight w:val="none"/>
          <w:u w:val="single"/>
        </w:rPr>
      </w:pPr>
      <w:r>
        <w:rPr>
          <w:rFonts w:hint="eastAsia" w:ascii="宋体" w:hAnsi="宋体" w:eastAsia="宋体"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rPr>
        <w:t>合同履行</w:t>
      </w:r>
    </w:p>
    <w:p w14:paraId="736FC4FD">
      <w:pPr>
        <w:adjustRightInd w:val="0"/>
        <w:snapToGrid w:val="0"/>
        <w:spacing w:before="0" w:before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（1）起始日期：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日，完成日期：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2E426286">
      <w:pPr>
        <w:adjustRightInd w:val="0"/>
        <w:snapToGrid w:val="0"/>
        <w:spacing w:before="0" w:beforeLines="0" w:line="40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履约</w:t>
      </w:r>
      <w:r>
        <w:rPr>
          <w:rFonts w:hint="eastAsia" w:ascii="宋体" w:hAnsi="宋体" w:eastAsia="宋体" w:cs="宋体"/>
          <w:color w:val="auto"/>
          <w:sz w:val="21"/>
          <w:szCs w:val="21"/>
          <w:highlight w:val="none"/>
        </w:rPr>
        <w:t>地点</w:t>
      </w:r>
      <w:r>
        <w:rPr>
          <w:rFonts w:hint="eastAsia" w:ascii="宋体" w:hAnsi="宋体" w:eastAsia="宋体" w:cs="宋体"/>
          <w:b w:val="0"/>
          <w:bCs/>
          <w:color w:val="auto"/>
          <w:sz w:val="21"/>
          <w:szCs w:val="21"/>
          <w:highlight w:val="none"/>
        </w:rPr>
        <w:t>：</w:t>
      </w:r>
      <w:r>
        <w:rPr>
          <w:rFonts w:hint="eastAsia" w:ascii="宋体" w:hAnsi="宋体" w:eastAsia="宋体" w:cs="宋体"/>
          <w:color w:val="auto"/>
          <w:sz w:val="21"/>
          <w:szCs w:val="21"/>
          <w:highlight w:val="none"/>
          <w:u w:val="single"/>
        </w:rPr>
        <w:t xml:space="preserve">                             </w:t>
      </w:r>
    </w:p>
    <w:p w14:paraId="0C95778F">
      <w:pPr>
        <w:adjustRightInd w:val="0"/>
        <w:snapToGrid w:val="0"/>
        <w:spacing w:before="0" w:beforeLines="0" w:line="400" w:lineRule="exact"/>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（3）履约担保：</w:t>
      </w:r>
      <w:r>
        <w:rPr>
          <w:rFonts w:hint="eastAsia" w:ascii="宋体" w:hAnsi="宋体" w:eastAsia="宋体" w:cs="宋体"/>
          <w:color w:val="auto"/>
          <w:sz w:val="21"/>
          <w:szCs w:val="21"/>
          <w:highlight w:val="none"/>
          <w:lang w:val="en-US" w:eastAsia="zh-CN"/>
        </w:rPr>
        <w:t>是否收取履约保证金：</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是</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否</w:t>
      </w:r>
    </w:p>
    <w:p w14:paraId="00ADCC77">
      <w:pPr>
        <w:pStyle w:val="94"/>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收取履约保证金形式：</w:t>
      </w:r>
      <w:r>
        <w:rPr>
          <w:rFonts w:hint="eastAsia" w:ascii="宋体" w:hAnsi="宋体" w:eastAsia="宋体" w:cs="宋体"/>
          <w:bCs/>
          <w:color w:val="auto"/>
          <w:sz w:val="21"/>
          <w:szCs w:val="21"/>
          <w:highlight w:val="none"/>
          <w:u w:val="single"/>
        </w:rPr>
        <w:t xml:space="preserve">                            </w:t>
      </w:r>
    </w:p>
    <w:p w14:paraId="7A2C4F78">
      <w:pPr>
        <w:pStyle w:val="94"/>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收取履约保证金金额：</w:t>
      </w:r>
      <w:r>
        <w:rPr>
          <w:rFonts w:hint="eastAsia" w:ascii="宋体" w:hAnsi="宋体" w:eastAsia="宋体" w:cs="宋体"/>
          <w:bCs/>
          <w:color w:val="auto"/>
          <w:sz w:val="21"/>
          <w:szCs w:val="21"/>
          <w:highlight w:val="none"/>
          <w:u w:val="single"/>
        </w:rPr>
        <w:t xml:space="preserve">                            </w:t>
      </w:r>
    </w:p>
    <w:p w14:paraId="1B07646C">
      <w:pPr>
        <w:snapToGrid w:val="0"/>
        <w:spacing w:beforeLines="0"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u w:val="none"/>
          <w:lang w:val="en-US" w:eastAsia="zh-CN"/>
        </w:rPr>
        <w:t xml:space="preserve"> 履约担保期限</w:t>
      </w:r>
      <w:r>
        <w:rPr>
          <w:rFonts w:hint="eastAsia" w:ascii="宋体" w:hAnsi="宋体" w:eastAsia="宋体" w:cs="宋体"/>
          <w:bCs/>
          <w:color w:val="auto"/>
          <w:sz w:val="21"/>
          <w:szCs w:val="21"/>
          <w:highlight w:val="none"/>
          <w:u w:val="none"/>
          <w:lang w:eastAsia="zh-CN"/>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40252372">
      <w:pPr>
        <w:adjustRightInd w:val="0"/>
        <w:snapToGrid w:val="0"/>
        <w:spacing w:before="0" w:before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（4）分期履行要求：</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0084FAAD">
      <w:pPr>
        <w:adjustRightInd w:val="0"/>
        <w:snapToGrid w:val="0"/>
        <w:spacing w:before="0" w:beforeLines="0" w:line="400" w:lineRule="exact"/>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（5）</w:t>
      </w:r>
      <w:r>
        <w:rPr>
          <w:rFonts w:hint="eastAsia" w:ascii="宋体" w:hAnsi="宋体" w:eastAsia="宋体" w:cs="宋体"/>
          <w:bCs/>
          <w:color w:val="auto"/>
          <w:sz w:val="21"/>
          <w:szCs w:val="21"/>
          <w:highlight w:val="none"/>
          <w:lang w:eastAsia="zh-CN"/>
        </w:rPr>
        <w:t>风险处置措施和替代方案</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u w:val="single"/>
        </w:rPr>
        <w:t xml:space="preserve">                                              </w:t>
      </w:r>
    </w:p>
    <w:p w14:paraId="513EEC33">
      <w:pPr>
        <w:adjustRightInd w:val="0"/>
        <w:snapToGrid w:val="0"/>
        <w:spacing w:before="0" w:beforeLines="0" w:line="40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合同验收</w:t>
      </w:r>
    </w:p>
    <w:p w14:paraId="1917352F">
      <w:pPr>
        <w:numPr>
          <w:ilvl w:val="0"/>
          <w:numId w:val="0"/>
        </w:numPr>
        <w:adjustRightInd w:val="0"/>
        <w:snapToGrid w:val="0"/>
        <w:spacing w:before="0" w:before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验收组织方式：</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自行组织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委托第三方组织</w:t>
      </w:r>
    </w:p>
    <w:p w14:paraId="41159477">
      <w:pPr>
        <w:numPr>
          <w:ilvl w:val="0"/>
          <w:numId w:val="0"/>
        </w:numPr>
        <w:adjustRightInd w:val="0"/>
        <w:snapToGrid w:val="0"/>
        <w:spacing w:before="0" w:beforeLines="0" w:line="400" w:lineRule="exact"/>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验收主体：</w:t>
      </w:r>
      <w:r>
        <w:rPr>
          <w:rFonts w:hint="eastAsia" w:ascii="宋体" w:hAnsi="宋体" w:eastAsia="宋体" w:cs="宋体"/>
          <w:bCs/>
          <w:color w:val="auto"/>
          <w:sz w:val="21"/>
          <w:szCs w:val="21"/>
          <w:highlight w:val="none"/>
          <w:u w:val="single"/>
        </w:rPr>
        <w:t xml:space="preserve">                  </w:t>
      </w:r>
    </w:p>
    <w:p w14:paraId="6417A571">
      <w:pPr>
        <w:numPr>
          <w:ilvl w:val="0"/>
          <w:numId w:val="0"/>
        </w:numPr>
        <w:adjustRightInd w:val="0"/>
        <w:snapToGrid w:val="0"/>
        <w:spacing w:before="0" w:before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是否邀请本项目的其他供应商</w:t>
      </w:r>
      <w:r>
        <w:rPr>
          <w:rFonts w:hint="eastAsia" w:ascii="宋体" w:hAnsi="宋体" w:eastAsia="宋体" w:cs="宋体"/>
          <w:bCs/>
          <w:color w:val="auto"/>
          <w:sz w:val="21"/>
          <w:szCs w:val="21"/>
          <w:highlight w:val="none"/>
          <w:lang w:eastAsia="zh-CN"/>
        </w:rPr>
        <w:t>参加验收</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26E13D53">
      <w:pPr>
        <w:adjustRightInd w:val="0"/>
        <w:snapToGrid w:val="0"/>
        <w:spacing w:before="0" w:before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是否邀请专家</w:t>
      </w:r>
      <w:r>
        <w:rPr>
          <w:rFonts w:hint="eastAsia" w:ascii="宋体" w:hAnsi="宋体" w:eastAsia="宋体" w:cs="宋体"/>
          <w:bCs/>
          <w:color w:val="auto"/>
          <w:sz w:val="21"/>
          <w:szCs w:val="21"/>
          <w:highlight w:val="none"/>
          <w:lang w:eastAsia="zh-CN"/>
        </w:rPr>
        <w:t>参加验收</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336E75B5">
      <w:pPr>
        <w:adjustRightInd w:val="0"/>
        <w:snapToGrid w:val="0"/>
        <w:spacing w:before="0" w:before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是否邀请服务对象</w:t>
      </w:r>
      <w:r>
        <w:rPr>
          <w:rFonts w:hint="eastAsia" w:ascii="宋体" w:hAnsi="宋体" w:eastAsia="宋体" w:cs="宋体"/>
          <w:bCs/>
          <w:color w:val="auto"/>
          <w:sz w:val="21"/>
          <w:szCs w:val="21"/>
          <w:highlight w:val="none"/>
          <w:lang w:eastAsia="zh-CN"/>
        </w:rPr>
        <w:t>参加验收</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537E0C12">
      <w:pPr>
        <w:adjustRightInd w:val="0"/>
        <w:snapToGrid w:val="0"/>
        <w:spacing w:before="0" w:before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是否邀请第三方检测机构</w:t>
      </w:r>
      <w:r>
        <w:rPr>
          <w:rFonts w:hint="eastAsia" w:ascii="宋体" w:hAnsi="宋体" w:eastAsia="宋体" w:cs="宋体"/>
          <w:bCs/>
          <w:color w:val="auto"/>
          <w:sz w:val="21"/>
          <w:szCs w:val="21"/>
          <w:highlight w:val="none"/>
          <w:lang w:eastAsia="zh-CN"/>
        </w:rPr>
        <w:t>参加验收</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600B9A74">
      <w:pPr>
        <w:adjustRightInd w:val="0"/>
        <w:snapToGrid w:val="0"/>
        <w:spacing w:before="0" w:before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是否进行抽查检测：</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是</w:t>
      </w:r>
      <w:r>
        <w:rPr>
          <w:rFonts w:hint="eastAsia" w:ascii="宋体" w:hAnsi="宋体" w:eastAsia="宋体" w:cs="宋体"/>
          <w:bCs/>
          <w:color w:val="auto"/>
          <w:sz w:val="21"/>
          <w:szCs w:val="21"/>
          <w:highlight w:val="none"/>
          <w:lang w:eastAsia="zh-CN"/>
        </w:rPr>
        <w:t>，抽查比例：</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03EB5201">
      <w:pPr>
        <w:adjustRightInd w:val="0"/>
        <w:snapToGrid w:val="0"/>
        <w:spacing w:before="0" w:beforeLines="0" w:line="400" w:lineRule="exact"/>
        <w:rPr>
          <w:rFonts w:hint="eastAsia" w:ascii="宋体" w:hAnsi="宋体" w:eastAsia="宋体" w:cs="宋体"/>
          <w:bCs/>
          <w:color w:val="auto"/>
          <w:sz w:val="21"/>
          <w:szCs w:val="21"/>
          <w:highlight w:val="none"/>
          <w:u w:val="single"/>
          <w:lang w:eastAsia="zh-CN"/>
        </w:rPr>
      </w:pPr>
      <w:r>
        <w:rPr>
          <w:rFonts w:hint="eastAsia" w:ascii="宋体" w:hAnsi="宋体" w:eastAsia="宋体" w:cs="宋体"/>
          <w:bCs/>
          <w:color w:val="auto"/>
          <w:sz w:val="21"/>
          <w:szCs w:val="21"/>
          <w:highlight w:val="none"/>
          <w:lang w:val="en-US" w:eastAsia="zh-CN"/>
        </w:rPr>
        <w:t>是否存在破坏性检测：</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是</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u w:val="single"/>
          <w:lang w:eastAsia="zh-CN"/>
        </w:rPr>
        <w:t>（应明确对被破坏的检测产品的处理方式）</w:t>
      </w:r>
    </w:p>
    <w:p w14:paraId="01A9565E">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029B2B63">
      <w:pPr>
        <w:adjustRightInd w:val="0"/>
        <w:snapToGrid w:val="0"/>
        <w:spacing w:before="0" w:beforeLines="0" w:line="400" w:lineRule="exact"/>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验收组织的其他事项：</w:t>
      </w:r>
      <w:r>
        <w:rPr>
          <w:rFonts w:hint="eastAsia" w:ascii="宋体" w:hAnsi="宋体" w:eastAsia="宋体" w:cs="宋体"/>
          <w:bCs/>
          <w:color w:val="auto"/>
          <w:sz w:val="21"/>
          <w:szCs w:val="21"/>
          <w:highlight w:val="none"/>
          <w:u w:val="single"/>
        </w:rPr>
        <w:t xml:space="preserve">                </w:t>
      </w:r>
    </w:p>
    <w:p w14:paraId="1B898180">
      <w:pPr>
        <w:adjustRightInd w:val="0"/>
        <w:snapToGrid w:val="0"/>
        <w:spacing w:before="0" w:beforeLines="0" w:line="400" w:lineRule="exact"/>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（2）履约验收时间：</w:t>
      </w:r>
      <w:r>
        <w:rPr>
          <w:rFonts w:hint="eastAsia" w:ascii="宋体" w:hAnsi="宋体" w:eastAsia="宋体" w:cs="宋体"/>
          <w:bCs/>
          <w:color w:val="auto"/>
          <w:sz w:val="21"/>
          <w:szCs w:val="21"/>
          <w:highlight w:val="none"/>
          <w:u w:val="single"/>
        </w:rPr>
        <w:t>（计划于何时验收/供应商提出验收申请之日起   日内组织验收）</w:t>
      </w:r>
      <w:r>
        <w:rPr>
          <w:rFonts w:hint="eastAsia" w:ascii="宋体" w:hAnsi="宋体" w:eastAsia="宋体" w:cs="宋体"/>
          <w:bCs/>
          <w:color w:val="auto"/>
          <w:sz w:val="21"/>
          <w:szCs w:val="21"/>
          <w:highlight w:val="none"/>
          <w:u w:val="single"/>
          <w:lang w:val="en-US" w:eastAsia="zh-CN"/>
        </w:rPr>
        <w:t xml:space="preserve"> </w:t>
      </w:r>
    </w:p>
    <w:p w14:paraId="0BC74CB9">
      <w:pPr>
        <w:adjustRightInd w:val="0"/>
        <w:snapToGrid w:val="0"/>
        <w:spacing w:before="0" w:before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（3）履约验收方式：</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一次性验收         </w:t>
      </w:r>
    </w:p>
    <w:p w14:paraId="7265D696">
      <w:pPr>
        <w:adjustRightInd w:val="0"/>
        <w:snapToGrid w:val="0"/>
        <w:spacing w:before="0" w:beforeLines="0" w:line="400" w:lineRule="exact"/>
        <w:ind w:firstLine="0" w:firstLineChars="0"/>
        <w:rPr>
          <w:rFonts w:hint="eastAsia" w:ascii="宋体" w:hAnsi="宋体" w:eastAsia="宋体" w:cs="宋体"/>
          <w:bCs/>
          <w:color w:val="auto"/>
          <w:sz w:val="21"/>
          <w:szCs w:val="21"/>
          <w:highlight w:val="none"/>
          <w:u w:val="single"/>
          <w:lang w:val="en-US" w:eastAsia="zh-CN"/>
        </w:rPr>
      </w:pP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分期/分项验收</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eastAsia="zh-CN"/>
        </w:rPr>
        <w:t>（应明确分期</w:t>
      </w:r>
      <w:r>
        <w:rPr>
          <w:rFonts w:hint="eastAsia" w:ascii="宋体" w:hAnsi="宋体" w:eastAsia="宋体" w:cs="宋体"/>
          <w:bCs/>
          <w:color w:val="auto"/>
          <w:sz w:val="21"/>
          <w:szCs w:val="21"/>
          <w:highlight w:val="none"/>
          <w:u w:val="single"/>
          <w:lang w:val="en" w:eastAsia="zh-CN"/>
        </w:rPr>
        <w:t>/分项验收的工作安排</w:t>
      </w:r>
      <w:r>
        <w:rPr>
          <w:rFonts w:hint="eastAsia" w:ascii="宋体" w:hAnsi="宋体" w:eastAsia="宋体" w:cs="宋体"/>
          <w:bCs/>
          <w:color w:val="auto"/>
          <w:sz w:val="21"/>
          <w:szCs w:val="21"/>
          <w:highlight w:val="none"/>
          <w:u w:val="single"/>
          <w:lang w:eastAsia="zh-CN"/>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p>
    <w:p w14:paraId="034749A6">
      <w:pPr>
        <w:adjustRightInd w:val="0"/>
        <w:snapToGrid w:val="0"/>
        <w:spacing w:before="0" w:beforeLines="0" w:line="400" w:lineRule="exact"/>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（4）履约验收程序：</w:t>
      </w:r>
      <w:r>
        <w:rPr>
          <w:rFonts w:hint="eastAsia" w:ascii="宋体" w:hAnsi="宋体" w:eastAsia="宋体" w:cs="宋体"/>
          <w:bCs/>
          <w:color w:val="auto"/>
          <w:sz w:val="21"/>
          <w:szCs w:val="21"/>
          <w:highlight w:val="none"/>
          <w:u w:val="single"/>
        </w:rPr>
        <w:t xml:space="preserve">                                         </w:t>
      </w:r>
    </w:p>
    <w:p w14:paraId="56A6AADB">
      <w:pPr>
        <w:adjustRightInd w:val="0"/>
        <w:snapToGrid w:val="0"/>
        <w:spacing w:before="0" w:beforeLines="0" w:line="400" w:lineRule="exact"/>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（5）履约验收的内容：</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color w:val="auto"/>
          <w:sz w:val="21"/>
          <w:szCs w:val="21"/>
          <w:highlight w:val="none"/>
          <w:u w:val="single"/>
        </w:rPr>
        <w:t xml:space="preserve">                                      </w:t>
      </w:r>
    </w:p>
    <w:p w14:paraId="2EA1699A">
      <w:pPr>
        <w:adjustRightInd w:val="0"/>
        <w:snapToGrid w:val="0"/>
        <w:spacing w:before="0" w:beforeLines="0" w:line="400" w:lineRule="exact"/>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（6）履约验收标准：</w:t>
      </w:r>
      <w:r>
        <w:rPr>
          <w:rFonts w:hint="eastAsia" w:ascii="宋体" w:hAnsi="宋体" w:eastAsia="宋体" w:cs="宋体"/>
          <w:bCs/>
          <w:color w:val="auto"/>
          <w:sz w:val="21"/>
          <w:szCs w:val="21"/>
          <w:highlight w:val="none"/>
          <w:u w:val="single"/>
        </w:rPr>
        <w:t xml:space="preserve">                                         </w:t>
      </w:r>
    </w:p>
    <w:p w14:paraId="7BFDBA09">
      <w:pPr>
        <w:pStyle w:val="94"/>
        <w:spacing w:beforeLines="0"/>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u w:val="none"/>
          <w:lang w:eastAsia="zh-CN"/>
        </w:rPr>
        <w:t>（</w:t>
      </w:r>
      <w:r>
        <w:rPr>
          <w:rFonts w:hint="eastAsia" w:ascii="宋体" w:hAnsi="宋体" w:eastAsia="宋体" w:cs="宋体"/>
          <w:bCs/>
          <w:color w:val="auto"/>
          <w:sz w:val="21"/>
          <w:szCs w:val="21"/>
          <w:highlight w:val="none"/>
          <w:u w:val="none"/>
          <w:lang w:val="en-US" w:eastAsia="zh-CN"/>
        </w:rPr>
        <w:t>7</w:t>
      </w:r>
      <w:r>
        <w:rPr>
          <w:rFonts w:hint="eastAsia" w:ascii="宋体" w:hAnsi="宋体" w:eastAsia="宋体" w:cs="宋体"/>
          <w:bCs/>
          <w:color w:val="auto"/>
          <w:sz w:val="21"/>
          <w:szCs w:val="21"/>
          <w:highlight w:val="none"/>
          <w:u w:val="none"/>
          <w:lang w:eastAsia="zh-CN"/>
        </w:rPr>
        <w:t>）是否以采购活动中供应商提供的样品作为参考：</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0305ADD2">
      <w:pPr>
        <w:adjustRightInd w:val="0"/>
        <w:snapToGrid w:val="0"/>
        <w:spacing w:before="0" w:beforeLines="0" w:line="400" w:lineRule="exact"/>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（8）履约验收其他事项：</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i w:val="0"/>
          <w:iCs w:val="0"/>
          <w:color w:val="auto"/>
          <w:sz w:val="21"/>
          <w:szCs w:val="21"/>
          <w:highlight w:val="none"/>
          <w:u w:val="single"/>
        </w:rPr>
        <w:t>（产权过户登记等）</w:t>
      </w:r>
      <w:r>
        <w:rPr>
          <w:rFonts w:hint="eastAsia" w:ascii="宋体" w:hAnsi="宋体" w:eastAsia="宋体" w:cs="宋体"/>
          <w:bCs/>
          <w:color w:val="auto"/>
          <w:sz w:val="21"/>
          <w:szCs w:val="21"/>
          <w:highlight w:val="none"/>
          <w:u w:val="single"/>
        </w:rPr>
        <w:t xml:space="preserve">          </w:t>
      </w:r>
    </w:p>
    <w:p w14:paraId="08AE462E">
      <w:pPr>
        <w:numPr>
          <w:ilvl w:val="0"/>
          <w:numId w:val="0"/>
        </w:numPr>
        <w:adjustRightInd w:val="0"/>
        <w:snapToGrid w:val="0"/>
        <w:spacing w:before="0" w:beforeLines="0" w:line="40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rPr>
        <w:t>组成合同的文件</w:t>
      </w:r>
    </w:p>
    <w:p w14:paraId="321B3FCC">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本协议书与下列文件一起构成合同文件，如下述文件之间有任何抵触、矛盾或歧义，应按以下顺序解释：</w:t>
      </w:r>
    </w:p>
    <w:p w14:paraId="7FE7B793">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政府采购</w:t>
      </w:r>
      <w:r>
        <w:rPr>
          <w:rFonts w:hint="eastAsia" w:ascii="宋体" w:hAnsi="宋体" w:eastAsia="宋体" w:cs="宋体"/>
          <w:color w:val="auto"/>
          <w:sz w:val="21"/>
          <w:szCs w:val="21"/>
          <w:highlight w:val="none"/>
        </w:rPr>
        <w:t>合同协议书及其变更、补充</w:t>
      </w:r>
      <w:r>
        <w:rPr>
          <w:rFonts w:hint="eastAsia" w:ascii="宋体" w:hAnsi="宋体" w:eastAsia="宋体" w:cs="宋体"/>
          <w:color w:val="auto"/>
          <w:sz w:val="21"/>
          <w:szCs w:val="21"/>
          <w:highlight w:val="none"/>
          <w:lang w:eastAsia="zh-CN"/>
        </w:rPr>
        <w:t>协议</w:t>
      </w:r>
    </w:p>
    <w:p w14:paraId="53B07057">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）政府采购合同专用条款</w:t>
      </w:r>
    </w:p>
    <w:p w14:paraId="3E5095EE">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）政府采购合同通用条款</w:t>
      </w:r>
    </w:p>
    <w:p w14:paraId="490B474B">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通知书</w:t>
      </w:r>
    </w:p>
    <w:p w14:paraId="5E4471EF">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）投标（响应）文件</w:t>
      </w:r>
    </w:p>
    <w:p w14:paraId="717BF5AA">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（6）采购文件</w:t>
      </w:r>
    </w:p>
    <w:p w14:paraId="29A5C3D0">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（7）有关技术文件，图纸</w:t>
      </w:r>
    </w:p>
    <w:p w14:paraId="7D5FE798">
      <w:pPr>
        <w:pStyle w:val="94"/>
        <w:spacing w:beforeLines="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p>
    <w:p w14:paraId="37B3C50B">
      <w:pPr>
        <w:numPr>
          <w:ilvl w:val="0"/>
          <w:numId w:val="0"/>
        </w:numPr>
        <w:adjustRightInd w:val="0"/>
        <w:snapToGrid w:val="0"/>
        <w:spacing w:before="0" w:beforeLines="0" w:line="40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6、</w:t>
      </w:r>
      <w:r>
        <w:rPr>
          <w:rFonts w:hint="eastAsia" w:ascii="宋体" w:hAnsi="宋体" w:eastAsia="宋体" w:cs="宋体"/>
          <w:b/>
          <w:color w:val="auto"/>
          <w:sz w:val="21"/>
          <w:szCs w:val="21"/>
          <w:highlight w:val="none"/>
        </w:rPr>
        <w:t>合同生效</w:t>
      </w:r>
    </w:p>
    <w:p w14:paraId="7F4413C9">
      <w:pPr>
        <w:adjustRightInd w:val="0"/>
        <w:snapToGrid w:val="0"/>
        <w:spacing w:before="0" w:before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本合同自</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生效。</w:t>
      </w:r>
    </w:p>
    <w:p w14:paraId="0F1A5DC8">
      <w:pPr>
        <w:numPr>
          <w:ilvl w:val="0"/>
          <w:numId w:val="0"/>
        </w:numPr>
        <w:adjustRightInd w:val="0"/>
        <w:snapToGrid w:val="0"/>
        <w:spacing w:before="0" w:beforeLines="0" w:line="40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7、</w:t>
      </w:r>
      <w:r>
        <w:rPr>
          <w:rFonts w:hint="eastAsia" w:ascii="宋体" w:hAnsi="宋体" w:eastAsia="宋体" w:cs="宋体"/>
          <w:b/>
          <w:color w:val="auto"/>
          <w:sz w:val="21"/>
          <w:szCs w:val="21"/>
          <w:highlight w:val="none"/>
        </w:rPr>
        <w:t>合同份数</w:t>
      </w:r>
    </w:p>
    <w:p w14:paraId="762757C6">
      <w:pPr>
        <w:adjustRightInd w:val="0"/>
        <w:snapToGrid w:val="0"/>
        <w:spacing w:before="0" w:before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份，均具有同等法律效力。</w:t>
      </w:r>
    </w:p>
    <w:p w14:paraId="2936AE26">
      <w:pPr>
        <w:adjustRightInd w:val="0"/>
        <w:snapToGrid w:val="0"/>
        <w:spacing w:before="0" w:before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合同订立时间：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E4C04F0">
      <w:pPr>
        <w:adjustRightInd w:val="0"/>
        <w:snapToGrid w:val="0"/>
        <w:spacing w:before="0" w:before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合同订立地点：</w:t>
      </w:r>
      <w:r>
        <w:rPr>
          <w:rFonts w:hint="eastAsia" w:ascii="宋体" w:hAnsi="宋体" w:eastAsia="宋体" w:cs="宋体"/>
          <w:color w:val="auto"/>
          <w:sz w:val="21"/>
          <w:szCs w:val="21"/>
          <w:highlight w:val="none"/>
          <w:u w:val="single"/>
        </w:rPr>
        <w:t xml:space="preserve">                           </w:t>
      </w:r>
    </w:p>
    <w:p w14:paraId="4B75D1C3">
      <w:pPr>
        <w:adjustRightInd w:val="0"/>
        <w:snapToGrid w:val="0"/>
        <w:spacing w:before="0" w:before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附件：具体标</w:t>
      </w:r>
      <w:r>
        <w:rPr>
          <w:rFonts w:hint="eastAsia" w:ascii="宋体" w:hAnsi="宋体" w:eastAsia="宋体" w:cs="宋体"/>
          <w:color w:val="auto"/>
          <w:sz w:val="21"/>
          <w:szCs w:val="21"/>
          <w:highlight w:val="none"/>
          <w:lang w:eastAsia="zh-CN"/>
        </w:rPr>
        <w:t>的及其</w:t>
      </w:r>
      <w:r>
        <w:rPr>
          <w:rFonts w:hint="eastAsia" w:ascii="宋体" w:hAnsi="宋体" w:eastAsia="宋体" w:cs="宋体"/>
          <w:color w:val="auto"/>
          <w:sz w:val="21"/>
          <w:szCs w:val="21"/>
          <w:highlight w:val="none"/>
          <w:u w:val="none"/>
          <w:lang w:val="en-US" w:eastAsia="zh-CN"/>
        </w:rPr>
        <w:t>技术要求和商务要求</w:t>
      </w:r>
      <w:r>
        <w:rPr>
          <w:rFonts w:hint="eastAsia" w:ascii="宋体" w:hAnsi="宋体" w:eastAsia="宋体" w:cs="宋体"/>
          <w:color w:val="auto"/>
          <w:sz w:val="21"/>
          <w:szCs w:val="21"/>
          <w:highlight w:val="none"/>
        </w:rPr>
        <w:t>、联合协议、分包</w:t>
      </w:r>
      <w:r>
        <w:rPr>
          <w:rFonts w:hint="eastAsia" w:ascii="宋体" w:hAnsi="宋体" w:eastAsia="宋体" w:cs="宋体"/>
          <w:color w:val="auto"/>
          <w:sz w:val="21"/>
          <w:szCs w:val="21"/>
          <w:highlight w:val="none"/>
          <w:lang w:eastAsia="zh-CN"/>
        </w:rPr>
        <w:t>意向</w:t>
      </w:r>
      <w:r>
        <w:rPr>
          <w:rFonts w:hint="eastAsia" w:ascii="宋体" w:hAnsi="宋体" w:eastAsia="宋体" w:cs="宋体"/>
          <w:color w:val="auto"/>
          <w:sz w:val="21"/>
          <w:szCs w:val="21"/>
          <w:highlight w:val="none"/>
        </w:rPr>
        <w:t>协议等。</w:t>
      </w:r>
    </w:p>
    <w:p w14:paraId="131C0C35">
      <w:pPr>
        <w:pStyle w:val="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eastAsia="宋体" w:cs="宋体"/>
          <w:color w:val="auto"/>
          <w:sz w:val="21"/>
          <w:szCs w:val="21"/>
          <w:highlight w:val="none"/>
        </w:rPr>
      </w:pPr>
    </w:p>
    <w:p w14:paraId="3DD17AA5">
      <w:pPr>
        <w:pStyle w:val="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eastAsia="宋体" w:cs="宋体"/>
          <w:color w:val="auto"/>
          <w:sz w:val="21"/>
          <w:szCs w:val="21"/>
          <w:highlight w:val="none"/>
        </w:rPr>
      </w:pPr>
    </w:p>
    <w:p w14:paraId="0B363031">
      <w:pPr>
        <w:pStyle w:val="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eastAsia="宋体" w:cs="宋体"/>
          <w:color w:val="auto"/>
          <w:sz w:val="21"/>
          <w:szCs w:val="21"/>
          <w:highlight w:val="none"/>
        </w:rPr>
      </w:pPr>
    </w:p>
    <w:p w14:paraId="6CCE330A">
      <w:pPr>
        <w:pStyle w:val="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eastAsia="宋体" w:cs="宋体"/>
          <w:color w:val="auto"/>
          <w:sz w:val="21"/>
          <w:szCs w:val="21"/>
          <w:highlight w:val="none"/>
        </w:rPr>
      </w:pPr>
    </w:p>
    <w:p w14:paraId="34F14BEB">
      <w:pPr>
        <w:pStyle w:val="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eastAsia="宋体" w:cs="宋体"/>
          <w:color w:val="auto"/>
          <w:sz w:val="21"/>
          <w:szCs w:val="21"/>
          <w:highlight w:val="none"/>
        </w:rPr>
      </w:pPr>
    </w:p>
    <w:p w14:paraId="125D0816">
      <w:pPr>
        <w:pStyle w:val="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eastAsia="宋体" w:cs="宋体"/>
          <w:color w:val="auto"/>
          <w:sz w:val="21"/>
          <w:szCs w:val="21"/>
          <w:highlight w:val="none"/>
        </w:rPr>
      </w:pPr>
    </w:p>
    <w:p w14:paraId="1FDDFA8D">
      <w:pPr>
        <w:pStyle w:val="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eastAsia="宋体" w:cs="宋体"/>
          <w:color w:val="auto"/>
          <w:sz w:val="21"/>
          <w:szCs w:val="21"/>
          <w:highlight w:val="none"/>
        </w:rPr>
      </w:pPr>
    </w:p>
    <w:p w14:paraId="335E6F06">
      <w:pPr>
        <w:pStyle w:val="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eastAsia="宋体" w:cs="宋体"/>
          <w:color w:val="auto"/>
          <w:sz w:val="21"/>
          <w:szCs w:val="21"/>
          <w:highlight w:val="none"/>
        </w:rPr>
      </w:pPr>
    </w:p>
    <w:p w14:paraId="29E0EC18">
      <w:pPr>
        <w:pStyle w:val="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eastAsia="宋体" w:cs="宋体"/>
          <w:color w:val="auto"/>
          <w:sz w:val="21"/>
          <w:szCs w:val="21"/>
          <w:highlight w:val="none"/>
        </w:rPr>
      </w:pPr>
    </w:p>
    <w:p w14:paraId="02AF708E">
      <w:pPr>
        <w:pStyle w:val="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eastAsia="宋体" w:cs="宋体"/>
          <w:color w:val="auto"/>
          <w:sz w:val="21"/>
          <w:szCs w:val="21"/>
          <w:highlight w:val="none"/>
        </w:rPr>
      </w:pPr>
    </w:p>
    <w:tbl>
      <w:tblPr>
        <w:tblStyle w:val="40"/>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42"/>
        <w:gridCol w:w="2604"/>
        <w:gridCol w:w="2136"/>
        <w:gridCol w:w="2286"/>
      </w:tblGrid>
      <w:tr w14:paraId="072BD8C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noWrap w:val="0"/>
            <w:vAlign w:val="center"/>
          </w:tcPr>
          <w:p w14:paraId="32C53ED4">
            <w:pPr>
              <w:adjustRightInd w:val="0"/>
              <w:snapToGrid w:val="0"/>
              <w:spacing w:line="300" w:lineRule="exact"/>
              <w:ind w:firstLine="2100" w:firstLineChars="10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甲方</w:t>
            </w:r>
          </w:p>
        </w:tc>
        <w:tc>
          <w:tcPr>
            <w:tcW w:w="2437" w:type="pct"/>
            <w:gridSpan w:val="2"/>
            <w:tcBorders>
              <w:left w:val="single" w:color="auto" w:sz="2" w:space="0"/>
              <w:bottom w:val="single" w:color="auto" w:sz="2" w:space="0"/>
            </w:tcBorders>
            <w:noWrap w:val="0"/>
            <w:vAlign w:val="center"/>
          </w:tcPr>
          <w:p w14:paraId="30D4ED9E">
            <w:pPr>
              <w:adjustRightInd w:val="0"/>
              <w:snapToGrid w:val="0"/>
              <w:spacing w:line="300" w:lineRule="exact"/>
              <w:ind w:firstLine="1470" w:firstLineChars="7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乙方（供应商）</w:t>
            </w:r>
          </w:p>
        </w:tc>
      </w:tr>
      <w:tr w14:paraId="5422A2C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noWrap w:val="0"/>
            <w:vAlign w:val="center"/>
          </w:tcPr>
          <w:p w14:paraId="186A802B">
            <w:pPr>
              <w:adjustRightInd w:val="0"/>
              <w:snapToGrid w:val="0"/>
              <w:spacing w:line="30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w:t>
            </w:r>
          </w:p>
          <w:p w14:paraId="7BEDCAE1">
            <w:pPr>
              <w:adjustRightInd w:val="0"/>
              <w:snapToGrid w:val="0"/>
              <w:spacing w:line="300" w:lineRule="exact"/>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（公章</w:t>
            </w:r>
            <w:r>
              <w:rPr>
                <w:rFonts w:hint="eastAsia" w:ascii="宋体" w:hAnsi="宋体" w:eastAsia="宋体" w:cs="宋体"/>
                <w:color w:val="auto"/>
                <w:sz w:val="21"/>
                <w:szCs w:val="21"/>
                <w:highlight w:val="none"/>
                <w:lang w:eastAsia="zh-CN"/>
              </w:rPr>
              <w:t>或合同章</w:t>
            </w:r>
            <w:r>
              <w:rPr>
                <w:rFonts w:hint="eastAsia" w:ascii="宋体" w:hAnsi="宋体" w:eastAsia="宋体" w:cs="宋体"/>
                <w:color w:val="auto"/>
                <w:sz w:val="21"/>
                <w:szCs w:val="21"/>
                <w:highlight w:val="none"/>
              </w:rPr>
              <w:t>）</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BC729CE">
            <w:pPr>
              <w:adjustRightInd w:val="0"/>
              <w:snapToGrid w:val="0"/>
              <w:spacing w:line="300" w:lineRule="exact"/>
              <w:jc w:val="both"/>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F260201">
            <w:pPr>
              <w:adjustRightInd w:val="0"/>
              <w:snapToGrid w:val="0"/>
              <w:spacing w:line="30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w:t>
            </w:r>
          </w:p>
          <w:p w14:paraId="11273572">
            <w:pPr>
              <w:adjustRightInd w:val="0"/>
              <w:snapToGrid w:val="0"/>
              <w:spacing w:line="300" w:lineRule="exact"/>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（公章</w:t>
            </w:r>
            <w:r>
              <w:rPr>
                <w:rFonts w:hint="eastAsia" w:ascii="宋体" w:hAnsi="宋体" w:eastAsia="宋体" w:cs="宋体"/>
                <w:color w:val="auto"/>
                <w:sz w:val="21"/>
                <w:szCs w:val="21"/>
                <w:highlight w:val="none"/>
                <w:lang w:eastAsia="zh-CN"/>
              </w:rPr>
              <w:t>或合同章</w:t>
            </w:r>
            <w:r>
              <w:rPr>
                <w:rFonts w:hint="eastAsia" w:ascii="宋体" w:hAnsi="宋体" w:eastAsia="宋体" w:cs="宋体"/>
                <w:color w:val="auto"/>
                <w:sz w:val="21"/>
                <w:szCs w:val="21"/>
                <w:highlight w:val="none"/>
              </w:rPr>
              <w:t>）</w:t>
            </w:r>
          </w:p>
        </w:tc>
        <w:tc>
          <w:tcPr>
            <w:tcW w:w="1259" w:type="pct"/>
            <w:tcBorders>
              <w:top w:val="single" w:color="auto" w:sz="2" w:space="0"/>
              <w:left w:val="single" w:color="auto" w:sz="2" w:space="0"/>
              <w:bottom w:val="single" w:color="auto" w:sz="2" w:space="0"/>
            </w:tcBorders>
            <w:noWrap w:val="0"/>
            <w:vAlign w:val="center"/>
          </w:tcPr>
          <w:p w14:paraId="3450382A">
            <w:pPr>
              <w:adjustRightInd w:val="0"/>
              <w:snapToGrid w:val="0"/>
              <w:spacing w:line="300" w:lineRule="exact"/>
              <w:jc w:val="both"/>
              <w:rPr>
                <w:rFonts w:hint="eastAsia" w:ascii="宋体" w:hAnsi="宋体" w:eastAsia="宋体" w:cs="宋体"/>
                <w:color w:val="auto"/>
                <w:spacing w:val="20"/>
                <w:sz w:val="21"/>
                <w:szCs w:val="21"/>
                <w:highlight w:val="none"/>
              </w:rPr>
            </w:pPr>
          </w:p>
        </w:tc>
      </w:tr>
      <w:tr w14:paraId="6E10333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noWrap w:val="0"/>
            <w:vAlign w:val="center"/>
          </w:tcPr>
          <w:p w14:paraId="2FEDB38F">
            <w:pPr>
              <w:adjustRightInd w:val="0"/>
              <w:snapToGrid w:val="0"/>
              <w:spacing w:line="3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31C18C70">
            <w:pPr>
              <w:adjustRightInd w:val="0"/>
              <w:snapToGrid w:val="0"/>
              <w:spacing w:line="300" w:lineRule="exact"/>
              <w:ind w:left="524" w:leftChars="87" w:hanging="315" w:hangingChars="15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或其委托代理人（签章）</w:t>
            </w:r>
          </w:p>
        </w:tc>
        <w:tc>
          <w:tcPr>
            <w:tcW w:w="1436" w:type="pct"/>
            <w:vMerge w:val="restart"/>
            <w:tcBorders>
              <w:top w:val="single" w:color="auto" w:sz="2" w:space="0"/>
              <w:left w:val="single" w:color="auto" w:sz="2" w:space="0"/>
              <w:right w:val="single" w:color="auto" w:sz="2" w:space="0"/>
            </w:tcBorders>
            <w:noWrap w:val="0"/>
            <w:vAlign w:val="center"/>
          </w:tcPr>
          <w:p w14:paraId="74D6D215">
            <w:pPr>
              <w:adjustRightInd w:val="0"/>
              <w:snapToGrid w:val="0"/>
              <w:spacing w:line="300" w:lineRule="exact"/>
              <w:jc w:val="both"/>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right w:val="single" w:color="auto" w:sz="2" w:space="0"/>
            </w:tcBorders>
            <w:noWrap w:val="0"/>
            <w:vAlign w:val="center"/>
          </w:tcPr>
          <w:p w14:paraId="79BE98D3">
            <w:pPr>
              <w:adjustRightInd w:val="0"/>
              <w:snapToGrid w:val="0"/>
              <w:spacing w:line="30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p>
          <w:p w14:paraId="06C34EB0">
            <w:pPr>
              <w:adjustRightInd w:val="0"/>
              <w:snapToGrid w:val="0"/>
              <w:spacing w:line="30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（签章）</w:t>
            </w:r>
          </w:p>
        </w:tc>
        <w:tc>
          <w:tcPr>
            <w:tcW w:w="1259" w:type="pct"/>
            <w:tcBorders>
              <w:top w:val="single" w:color="auto" w:sz="2" w:space="0"/>
              <w:left w:val="single" w:color="auto" w:sz="2" w:space="0"/>
              <w:bottom w:val="single" w:color="auto" w:sz="2" w:space="0"/>
            </w:tcBorders>
            <w:noWrap w:val="0"/>
            <w:vAlign w:val="center"/>
          </w:tcPr>
          <w:p w14:paraId="2B535A8A">
            <w:pPr>
              <w:adjustRightInd w:val="0"/>
              <w:snapToGrid w:val="0"/>
              <w:spacing w:line="300" w:lineRule="exact"/>
              <w:jc w:val="both"/>
              <w:rPr>
                <w:rFonts w:hint="eastAsia" w:ascii="宋体" w:hAnsi="宋体" w:eastAsia="宋体" w:cs="宋体"/>
                <w:color w:val="auto"/>
                <w:sz w:val="21"/>
                <w:szCs w:val="21"/>
                <w:highlight w:val="none"/>
              </w:rPr>
            </w:pPr>
          </w:p>
        </w:tc>
      </w:tr>
      <w:tr w14:paraId="4205652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noWrap w:val="0"/>
            <w:vAlign w:val="center"/>
          </w:tcPr>
          <w:p w14:paraId="7741D157">
            <w:pPr>
              <w:adjustRightInd w:val="0"/>
              <w:snapToGrid w:val="0"/>
              <w:spacing w:line="300" w:lineRule="exact"/>
              <w:jc w:val="both"/>
              <w:rPr>
                <w:rFonts w:hint="eastAsia" w:ascii="宋体" w:hAnsi="宋体" w:eastAsia="宋体" w:cs="宋体"/>
                <w:color w:val="auto"/>
                <w:sz w:val="21"/>
                <w:szCs w:val="21"/>
                <w:highlight w:val="none"/>
              </w:rPr>
            </w:pPr>
          </w:p>
        </w:tc>
        <w:tc>
          <w:tcPr>
            <w:tcW w:w="1436" w:type="pct"/>
            <w:vMerge w:val="continue"/>
            <w:tcBorders>
              <w:left w:val="single" w:color="auto" w:sz="2" w:space="0"/>
              <w:bottom w:val="single" w:color="auto" w:sz="2" w:space="0"/>
              <w:right w:val="single" w:color="auto" w:sz="2" w:space="0"/>
            </w:tcBorders>
            <w:noWrap w:val="0"/>
            <w:vAlign w:val="center"/>
          </w:tcPr>
          <w:p w14:paraId="1F236A51">
            <w:pPr>
              <w:adjustRightInd w:val="0"/>
              <w:snapToGrid w:val="0"/>
              <w:spacing w:line="300" w:lineRule="exact"/>
              <w:jc w:val="both"/>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E5920E5">
            <w:pPr>
              <w:adjustRightInd w:val="0"/>
              <w:snapToGrid w:val="0"/>
              <w:spacing w:line="30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拥有者性别</w:t>
            </w:r>
          </w:p>
        </w:tc>
        <w:tc>
          <w:tcPr>
            <w:tcW w:w="1259" w:type="pct"/>
            <w:tcBorders>
              <w:top w:val="single" w:color="auto" w:sz="2" w:space="0"/>
              <w:left w:val="single" w:color="auto" w:sz="2" w:space="0"/>
              <w:bottom w:val="single" w:color="auto" w:sz="2" w:space="0"/>
            </w:tcBorders>
            <w:noWrap w:val="0"/>
            <w:vAlign w:val="center"/>
          </w:tcPr>
          <w:p w14:paraId="220CB447">
            <w:pPr>
              <w:adjustRightInd w:val="0"/>
              <w:snapToGrid w:val="0"/>
              <w:spacing w:line="300" w:lineRule="exact"/>
              <w:jc w:val="both"/>
              <w:rPr>
                <w:rFonts w:hint="eastAsia" w:ascii="宋体" w:hAnsi="宋体" w:eastAsia="宋体" w:cs="宋体"/>
                <w:color w:val="auto"/>
                <w:spacing w:val="20"/>
                <w:sz w:val="21"/>
                <w:szCs w:val="21"/>
                <w:highlight w:val="none"/>
              </w:rPr>
            </w:pPr>
          </w:p>
        </w:tc>
      </w:tr>
      <w:tr w14:paraId="313B5AA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03AA253B">
            <w:pPr>
              <w:adjustRightInd w:val="0"/>
              <w:snapToGrid w:val="0"/>
              <w:spacing w:line="30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住</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C9078DD">
            <w:pPr>
              <w:adjustRightInd w:val="0"/>
              <w:snapToGrid w:val="0"/>
              <w:spacing w:line="300" w:lineRule="exact"/>
              <w:jc w:val="both"/>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5CE8341">
            <w:pPr>
              <w:adjustRightInd w:val="0"/>
              <w:snapToGrid w:val="0"/>
              <w:spacing w:line="30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住</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所</w:t>
            </w:r>
          </w:p>
        </w:tc>
        <w:tc>
          <w:tcPr>
            <w:tcW w:w="1259" w:type="pct"/>
            <w:tcBorders>
              <w:top w:val="single" w:color="auto" w:sz="2" w:space="0"/>
              <w:left w:val="single" w:color="auto" w:sz="2" w:space="0"/>
              <w:bottom w:val="single" w:color="auto" w:sz="2" w:space="0"/>
            </w:tcBorders>
            <w:noWrap w:val="0"/>
            <w:vAlign w:val="center"/>
          </w:tcPr>
          <w:p w14:paraId="4066E14E">
            <w:pPr>
              <w:adjustRightInd w:val="0"/>
              <w:snapToGrid w:val="0"/>
              <w:spacing w:line="300" w:lineRule="exact"/>
              <w:jc w:val="both"/>
              <w:rPr>
                <w:rFonts w:hint="eastAsia" w:ascii="宋体" w:hAnsi="宋体" w:eastAsia="宋体" w:cs="宋体"/>
                <w:color w:val="auto"/>
                <w:spacing w:val="20"/>
                <w:sz w:val="21"/>
                <w:szCs w:val="21"/>
                <w:highlight w:val="none"/>
              </w:rPr>
            </w:pPr>
          </w:p>
        </w:tc>
      </w:tr>
      <w:tr w14:paraId="1CAC5EE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06F6577">
            <w:pPr>
              <w:adjustRightInd w:val="0"/>
              <w:snapToGrid w:val="0"/>
              <w:spacing w:line="3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01B4C90">
            <w:pPr>
              <w:adjustRightInd w:val="0"/>
              <w:snapToGrid w:val="0"/>
              <w:spacing w:line="300" w:lineRule="exact"/>
              <w:jc w:val="both"/>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19BF7A8">
            <w:pPr>
              <w:adjustRightInd w:val="0"/>
              <w:snapToGrid w:val="0"/>
              <w:spacing w:line="3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 系 人</w:t>
            </w:r>
          </w:p>
        </w:tc>
        <w:tc>
          <w:tcPr>
            <w:tcW w:w="1259" w:type="pct"/>
            <w:tcBorders>
              <w:top w:val="single" w:color="auto" w:sz="2" w:space="0"/>
              <w:left w:val="single" w:color="auto" w:sz="2" w:space="0"/>
              <w:bottom w:val="single" w:color="auto" w:sz="2" w:space="0"/>
            </w:tcBorders>
            <w:noWrap w:val="0"/>
            <w:vAlign w:val="center"/>
          </w:tcPr>
          <w:p w14:paraId="7D3290D4">
            <w:pPr>
              <w:adjustRightInd w:val="0"/>
              <w:snapToGrid w:val="0"/>
              <w:spacing w:line="300" w:lineRule="exact"/>
              <w:jc w:val="both"/>
              <w:rPr>
                <w:rFonts w:hint="eastAsia" w:ascii="宋体" w:hAnsi="宋体" w:eastAsia="宋体" w:cs="宋体"/>
                <w:color w:val="auto"/>
                <w:spacing w:val="20"/>
                <w:sz w:val="21"/>
                <w:szCs w:val="21"/>
                <w:highlight w:val="none"/>
              </w:rPr>
            </w:pPr>
          </w:p>
        </w:tc>
      </w:tr>
      <w:tr w14:paraId="27F63D8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0DFD9DBB">
            <w:pPr>
              <w:adjustRightInd w:val="0"/>
              <w:snapToGrid w:val="0"/>
              <w:spacing w:line="3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B77469B">
            <w:pPr>
              <w:adjustRightInd w:val="0"/>
              <w:snapToGrid w:val="0"/>
              <w:spacing w:line="300" w:lineRule="exact"/>
              <w:jc w:val="both"/>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2C6AE00">
            <w:pPr>
              <w:adjustRightInd w:val="0"/>
              <w:snapToGrid w:val="0"/>
              <w:spacing w:line="3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1259" w:type="pct"/>
            <w:tcBorders>
              <w:top w:val="single" w:color="auto" w:sz="2" w:space="0"/>
              <w:left w:val="single" w:color="auto" w:sz="2" w:space="0"/>
              <w:bottom w:val="single" w:color="auto" w:sz="2" w:space="0"/>
            </w:tcBorders>
            <w:noWrap w:val="0"/>
            <w:vAlign w:val="center"/>
          </w:tcPr>
          <w:p w14:paraId="01814DB3">
            <w:pPr>
              <w:adjustRightInd w:val="0"/>
              <w:snapToGrid w:val="0"/>
              <w:spacing w:line="300" w:lineRule="exact"/>
              <w:jc w:val="both"/>
              <w:rPr>
                <w:rFonts w:hint="eastAsia" w:ascii="宋体" w:hAnsi="宋体" w:eastAsia="宋体" w:cs="宋体"/>
                <w:color w:val="auto"/>
                <w:spacing w:val="20"/>
                <w:sz w:val="21"/>
                <w:szCs w:val="21"/>
                <w:highlight w:val="none"/>
              </w:rPr>
            </w:pPr>
          </w:p>
        </w:tc>
      </w:tr>
      <w:tr w14:paraId="005D243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EECF804">
            <w:pPr>
              <w:adjustRightInd w:val="0"/>
              <w:snapToGrid w:val="0"/>
              <w:spacing w:line="30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C570DC8">
            <w:pPr>
              <w:adjustRightInd w:val="0"/>
              <w:snapToGrid w:val="0"/>
              <w:spacing w:line="300" w:lineRule="exact"/>
              <w:jc w:val="both"/>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CA971F6">
            <w:pPr>
              <w:adjustRightInd w:val="0"/>
              <w:snapToGrid w:val="0"/>
              <w:spacing w:line="3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通信地址</w:t>
            </w:r>
          </w:p>
        </w:tc>
        <w:tc>
          <w:tcPr>
            <w:tcW w:w="1259" w:type="pct"/>
            <w:tcBorders>
              <w:top w:val="single" w:color="auto" w:sz="2" w:space="0"/>
              <w:left w:val="single" w:color="auto" w:sz="2" w:space="0"/>
              <w:bottom w:val="single" w:color="auto" w:sz="2" w:space="0"/>
            </w:tcBorders>
            <w:noWrap w:val="0"/>
            <w:vAlign w:val="center"/>
          </w:tcPr>
          <w:p w14:paraId="22F58BA9">
            <w:pPr>
              <w:adjustRightInd w:val="0"/>
              <w:snapToGrid w:val="0"/>
              <w:spacing w:line="300" w:lineRule="exact"/>
              <w:jc w:val="both"/>
              <w:rPr>
                <w:rFonts w:hint="eastAsia" w:ascii="宋体" w:hAnsi="宋体" w:eastAsia="宋体" w:cs="宋体"/>
                <w:color w:val="auto"/>
                <w:spacing w:val="20"/>
                <w:sz w:val="21"/>
                <w:szCs w:val="21"/>
                <w:highlight w:val="none"/>
              </w:rPr>
            </w:pPr>
          </w:p>
        </w:tc>
      </w:tr>
      <w:tr w14:paraId="0549388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68A97AD4">
            <w:pPr>
              <w:adjustRightInd w:val="0"/>
              <w:snapToGrid w:val="0"/>
              <w:spacing w:line="3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B036725">
            <w:pPr>
              <w:adjustRightInd w:val="0"/>
              <w:snapToGrid w:val="0"/>
              <w:spacing w:line="300" w:lineRule="exact"/>
              <w:jc w:val="both"/>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ED410A0">
            <w:pPr>
              <w:adjustRightInd w:val="0"/>
              <w:snapToGrid w:val="0"/>
              <w:spacing w:line="3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1259" w:type="pct"/>
            <w:tcBorders>
              <w:top w:val="single" w:color="auto" w:sz="2" w:space="0"/>
              <w:left w:val="single" w:color="auto" w:sz="2" w:space="0"/>
              <w:bottom w:val="single" w:color="auto" w:sz="2" w:space="0"/>
            </w:tcBorders>
            <w:noWrap w:val="0"/>
            <w:vAlign w:val="center"/>
          </w:tcPr>
          <w:p w14:paraId="58EB35A2">
            <w:pPr>
              <w:adjustRightInd w:val="0"/>
              <w:snapToGrid w:val="0"/>
              <w:spacing w:line="300" w:lineRule="exact"/>
              <w:jc w:val="both"/>
              <w:rPr>
                <w:rFonts w:hint="eastAsia" w:ascii="宋体" w:hAnsi="宋体" w:eastAsia="宋体" w:cs="宋体"/>
                <w:color w:val="auto"/>
                <w:spacing w:val="20"/>
                <w:sz w:val="21"/>
                <w:szCs w:val="21"/>
                <w:highlight w:val="none"/>
              </w:rPr>
            </w:pPr>
          </w:p>
        </w:tc>
      </w:tr>
      <w:tr w14:paraId="21B167A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39D0B39">
            <w:pPr>
              <w:adjustRightInd w:val="0"/>
              <w:snapToGrid w:val="0"/>
              <w:spacing w:line="3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76D5B9E">
            <w:pPr>
              <w:adjustRightInd w:val="0"/>
              <w:snapToGrid w:val="0"/>
              <w:spacing w:line="300" w:lineRule="exact"/>
              <w:jc w:val="both"/>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7F88E82">
            <w:pPr>
              <w:adjustRightInd w:val="0"/>
              <w:snapToGrid w:val="0"/>
              <w:spacing w:line="3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c>
          <w:tcPr>
            <w:tcW w:w="1259" w:type="pct"/>
            <w:tcBorders>
              <w:top w:val="single" w:color="auto" w:sz="2" w:space="0"/>
              <w:left w:val="single" w:color="auto" w:sz="2" w:space="0"/>
              <w:bottom w:val="single" w:color="auto" w:sz="2" w:space="0"/>
            </w:tcBorders>
            <w:noWrap w:val="0"/>
            <w:vAlign w:val="center"/>
          </w:tcPr>
          <w:p w14:paraId="0EF921B5">
            <w:pPr>
              <w:adjustRightInd w:val="0"/>
              <w:snapToGrid w:val="0"/>
              <w:spacing w:line="300" w:lineRule="exact"/>
              <w:jc w:val="both"/>
              <w:rPr>
                <w:rFonts w:hint="eastAsia" w:ascii="宋体" w:hAnsi="宋体" w:eastAsia="宋体" w:cs="宋体"/>
                <w:color w:val="auto"/>
                <w:spacing w:val="20"/>
                <w:sz w:val="21"/>
                <w:szCs w:val="21"/>
                <w:highlight w:val="none"/>
              </w:rPr>
            </w:pPr>
          </w:p>
        </w:tc>
      </w:tr>
      <w:tr w14:paraId="4E1ED5C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F06A56E">
            <w:pPr>
              <w:adjustRightInd w:val="0"/>
              <w:snapToGrid w:val="0"/>
              <w:spacing w:line="300" w:lineRule="exact"/>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9B72971">
            <w:pPr>
              <w:adjustRightInd w:val="0"/>
              <w:snapToGrid w:val="0"/>
              <w:spacing w:line="300" w:lineRule="exact"/>
              <w:jc w:val="both"/>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7AF8F5C">
            <w:pPr>
              <w:adjustRightInd w:val="0"/>
              <w:snapToGrid w:val="0"/>
              <w:spacing w:line="300" w:lineRule="exact"/>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tc>
        <w:tc>
          <w:tcPr>
            <w:tcW w:w="1259" w:type="pct"/>
            <w:tcBorders>
              <w:top w:val="single" w:color="auto" w:sz="2" w:space="0"/>
              <w:left w:val="single" w:color="auto" w:sz="2" w:space="0"/>
              <w:bottom w:val="single" w:color="auto" w:sz="2" w:space="0"/>
            </w:tcBorders>
            <w:noWrap w:val="0"/>
            <w:vAlign w:val="center"/>
          </w:tcPr>
          <w:p w14:paraId="15B37292">
            <w:pPr>
              <w:adjustRightInd w:val="0"/>
              <w:snapToGrid w:val="0"/>
              <w:spacing w:line="300" w:lineRule="exact"/>
              <w:jc w:val="both"/>
              <w:rPr>
                <w:rFonts w:hint="eastAsia" w:ascii="宋体" w:hAnsi="宋体" w:eastAsia="宋体" w:cs="宋体"/>
                <w:color w:val="auto"/>
                <w:spacing w:val="20"/>
                <w:sz w:val="21"/>
                <w:szCs w:val="21"/>
                <w:highlight w:val="none"/>
              </w:rPr>
            </w:pPr>
          </w:p>
        </w:tc>
      </w:tr>
      <w:tr w14:paraId="54DFBAD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3EF7A86">
            <w:pPr>
              <w:adjustRightInd w:val="0"/>
              <w:snapToGrid w:val="0"/>
              <w:spacing w:line="300" w:lineRule="exact"/>
              <w:jc w:val="both"/>
              <w:rPr>
                <w:rFonts w:hint="eastAsia" w:ascii="宋体" w:hAnsi="宋体" w:eastAsia="宋体" w:cs="宋体"/>
                <w:color w:val="auto"/>
                <w:sz w:val="21"/>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D05FA03">
            <w:pPr>
              <w:adjustRightInd w:val="0"/>
              <w:snapToGrid w:val="0"/>
              <w:spacing w:line="300" w:lineRule="exact"/>
              <w:jc w:val="both"/>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4AC1FE3">
            <w:pPr>
              <w:adjustRightInd w:val="0"/>
              <w:snapToGrid w:val="0"/>
              <w:spacing w:line="3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p>
        </w:tc>
        <w:tc>
          <w:tcPr>
            <w:tcW w:w="1259" w:type="pct"/>
            <w:tcBorders>
              <w:top w:val="single" w:color="auto" w:sz="2" w:space="0"/>
              <w:left w:val="single" w:color="auto" w:sz="2" w:space="0"/>
              <w:bottom w:val="single" w:color="auto" w:sz="2" w:space="0"/>
            </w:tcBorders>
            <w:noWrap w:val="0"/>
            <w:vAlign w:val="center"/>
          </w:tcPr>
          <w:p w14:paraId="6E17924D">
            <w:pPr>
              <w:adjustRightInd w:val="0"/>
              <w:snapToGrid w:val="0"/>
              <w:spacing w:line="300" w:lineRule="exact"/>
              <w:jc w:val="both"/>
              <w:rPr>
                <w:rFonts w:hint="eastAsia" w:ascii="宋体" w:hAnsi="宋体" w:eastAsia="宋体" w:cs="宋体"/>
                <w:color w:val="auto"/>
                <w:spacing w:val="20"/>
                <w:sz w:val="21"/>
                <w:szCs w:val="21"/>
                <w:highlight w:val="none"/>
              </w:rPr>
            </w:pPr>
          </w:p>
        </w:tc>
      </w:tr>
      <w:tr w14:paraId="4B80EE7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BA5100D">
            <w:pPr>
              <w:adjustRightInd w:val="0"/>
              <w:snapToGrid w:val="0"/>
              <w:spacing w:line="300" w:lineRule="exact"/>
              <w:jc w:val="both"/>
              <w:rPr>
                <w:rFonts w:hint="eastAsia" w:ascii="宋体" w:hAnsi="宋体" w:eastAsia="宋体" w:cs="宋体"/>
                <w:color w:val="auto"/>
                <w:sz w:val="21"/>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E33B7C8">
            <w:pPr>
              <w:adjustRightInd w:val="0"/>
              <w:snapToGrid w:val="0"/>
              <w:spacing w:line="300" w:lineRule="exact"/>
              <w:jc w:val="both"/>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3A232A0">
            <w:pPr>
              <w:adjustRightInd w:val="0"/>
              <w:snapToGrid w:val="0"/>
              <w:spacing w:line="3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c>
          <w:tcPr>
            <w:tcW w:w="1259" w:type="pct"/>
            <w:tcBorders>
              <w:top w:val="single" w:color="auto" w:sz="2" w:space="0"/>
              <w:left w:val="single" w:color="auto" w:sz="2" w:space="0"/>
              <w:bottom w:val="single" w:color="auto" w:sz="2" w:space="0"/>
            </w:tcBorders>
            <w:noWrap w:val="0"/>
            <w:vAlign w:val="center"/>
          </w:tcPr>
          <w:p w14:paraId="475067BC">
            <w:pPr>
              <w:adjustRightInd w:val="0"/>
              <w:snapToGrid w:val="0"/>
              <w:spacing w:line="300" w:lineRule="exact"/>
              <w:jc w:val="both"/>
              <w:rPr>
                <w:rFonts w:hint="eastAsia" w:ascii="宋体" w:hAnsi="宋体" w:eastAsia="宋体" w:cs="宋体"/>
                <w:color w:val="auto"/>
                <w:spacing w:val="20"/>
                <w:sz w:val="21"/>
                <w:szCs w:val="21"/>
                <w:highlight w:val="none"/>
              </w:rPr>
            </w:pPr>
          </w:p>
        </w:tc>
      </w:tr>
      <w:tr w14:paraId="0574CC0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0E6B6479">
            <w:pPr>
              <w:adjustRightInd w:val="0"/>
              <w:snapToGrid w:val="0"/>
              <w:spacing w:line="300" w:lineRule="exact"/>
              <w:jc w:val="both"/>
              <w:rPr>
                <w:rFonts w:hint="eastAsia" w:ascii="宋体" w:hAnsi="宋体" w:eastAsia="宋体" w:cs="宋体"/>
                <w:color w:val="auto"/>
                <w:sz w:val="21"/>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F716C93">
            <w:pPr>
              <w:adjustRightInd w:val="0"/>
              <w:snapToGrid w:val="0"/>
              <w:spacing w:line="300" w:lineRule="exact"/>
              <w:jc w:val="both"/>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32D592A">
            <w:pPr>
              <w:adjustRightInd w:val="0"/>
              <w:snapToGrid w:val="0"/>
              <w:spacing w:line="3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w:t>
            </w:r>
          </w:p>
        </w:tc>
        <w:tc>
          <w:tcPr>
            <w:tcW w:w="1259" w:type="pct"/>
            <w:tcBorders>
              <w:top w:val="single" w:color="auto" w:sz="2" w:space="0"/>
              <w:left w:val="single" w:color="auto" w:sz="2" w:space="0"/>
              <w:bottom w:val="single" w:color="auto" w:sz="2" w:space="0"/>
            </w:tcBorders>
            <w:noWrap w:val="0"/>
            <w:vAlign w:val="center"/>
          </w:tcPr>
          <w:p w14:paraId="5876528E">
            <w:pPr>
              <w:adjustRightInd w:val="0"/>
              <w:snapToGrid w:val="0"/>
              <w:spacing w:line="300" w:lineRule="exact"/>
              <w:jc w:val="both"/>
              <w:rPr>
                <w:rFonts w:hint="eastAsia" w:ascii="宋体" w:hAnsi="宋体" w:eastAsia="宋体" w:cs="宋体"/>
                <w:color w:val="auto"/>
                <w:spacing w:val="20"/>
                <w:sz w:val="21"/>
                <w:szCs w:val="21"/>
                <w:highlight w:val="none"/>
              </w:rPr>
            </w:pPr>
          </w:p>
        </w:tc>
      </w:tr>
      <w:tr w14:paraId="12CD70F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14:paraId="56AA2D0B">
            <w:pPr>
              <w:pStyle w:val="17"/>
              <w:adjustRightInd w:val="0"/>
              <w:snapToGrid w:val="0"/>
              <w:spacing w:before="156" w:beforeLines="50" w:after="0" w:line="360" w:lineRule="auto"/>
              <w:ind w:left="0" w:leftChars="0"/>
              <w:jc w:val="left"/>
              <w:rPr>
                <w:rFonts w:hint="eastAsia" w:ascii="宋体" w:hAnsi="宋体" w:eastAsia="宋体" w:cs="宋体"/>
                <w:color w:val="auto"/>
                <w:spacing w:val="20"/>
                <w:sz w:val="21"/>
                <w:szCs w:val="21"/>
                <w:highlight w:val="none"/>
              </w:rPr>
            </w:pPr>
            <w:r>
              <w:rPr>
                <w:rFonts w:hint="eastAsia" w:ascii="宋体" w:hAnsi="宋体" w:eastAsia="宋体" w:cs="宋体"/>
                <w:color w:val="auto"/>
                <w:sz w:val="21"/>
                <w:szCs w:val="21"/>
                <w:highlight w:val="none"/>
              </w:rPr>
              <w:t>注：涉及联合体或其他合同主体的信息应按上表格式加列。</w:t>
            </w:r>
          </w:p>
        </w:tc>
      </w:tr>
    </w:tbl>
    <w:p w14:paraId="7E9F48A7">
      <w:pPr>
        <w:pStyle w:val="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eastAsia="宋体" w:cs="宋体"/>
          <w:color w:val="auto"/>
          <w:sz w:val="21"/>
          <w:szCs w:val="21"/>
          <w:highlight w:val="none"/>
        </w:rPr>
      </w:pPr>
    </w:p>
    <w:p w14:paraId="75A067ED">
      <w:pPr>
        <w:pStyle w:val="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eastAsia="宋体" w:cs="宋体"/>
          <w:color w:val="auto"/>
          <w:sz w:val="21"/>
          <w:szCs w:val="21"/>
          <w:highlight w:val="none"/>
        </w:rPr>
      </w:pPr>
    </w:p>
    <w:p w14:paraId="362539DE">
      <w:pPr>
        <w:pStyle w:val="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eastAsia="宋体" w:cs="宋体"/>
          <w:color w:val="auto"/>
          <w:sz w:val="21"/>
          <w:szCs w:val="21"/>
          <w:highlight w:val="none"/>
        </w:rPr>
      </w:pPr>
    </w:p>
    <w:p w14:paraId="7EA9DDA1">
      <w:pPr>
        <w:pStyle w:val="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eastAsia="宋体" w:cs="宋体"/>
          <w:color w:val="auto"/>
          <w:sz w:val="21"/>
          <w:szCs w:val="21"/>
          <w:highlight w:val="none"/>
        </w:rPr>
      </w:pPr>
    </w:p>
    <w:p w14:paraId="43BD7364">
      <w:pPr>
        <w:pStyle w:val="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eastAsia="宋体" w:cs="宋体"/>
          <w:color w:val="auto"/>
          <w:sz w:val="21"/>
          <w:szCs w:val="21"/>
          <w:highlight w:val="none"/>
        </w:rPr>
      </w:pPr>
    </w:p>
    <w:p w14:paraId="7CD9A857">
      <w:pPr>
        <w:pStyle w:val="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eastAsia="宋体" w:cs="宋体"/>
          <w:color w:val="auto"/>
          <w:sz w:val="21"/>
          <w:szCs w:val="21"/>
          <w:highlight w:val="none"/>
        </w:rPr>
      </w:pPr>
    </w:p>
    <w:p w14:paraId="341D3B05">
      <w:pPr>
        <w:pStyle w:val="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eastAsia="宋体" w:cs="宋体"/>
          <w:color w:val="auto"/>
          <w:sz w:val="21"/>
          <w:szCs w:val="21"/>
          <w:highlight w:val="none"/>
        </w:rPr>
      </w:pPr>
    </w:p>
    <w:p w14:paraId="49C3889A">
      <w:pPr>
        <w:pStyle w:val="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eastAsia="宋体" w:cs="宋体"/>
          <w:color w:val="auto"/>
          <w:sz w:val="21"/>
          <w:szCs w:val="21"/>
          <w:highlight w:val="none"/>
        </w:rPr>
      </w:pPr>
    </w:p>
    <w:p w14:paraId="23F120AF">
      <w:pPr>
        <w:pStyle w:val="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eastAsia="宋体" w:cs="宋体"/>
          <w:color w:val="auto"/>
          <w:sz w:val="21"/>
          <w:szCs w:val="21"/>
          <w:highlight w:val="none"/>
        </w:rPr>
      </w:pPr>
    </w:p>
    <w:p w14:paraId="3F911886">
      <w:pPr>
        <w:pStyle w:val="6"/>
        <w:numPr>
          <w:ilvl w:val="0"/>
          <w:numId w:val="0"/>
        </w:numPr>
        <w:adjustRightInd w:val="0"/>
        <w:snapToGrid w:val="0"/>
        <w:spacing w:before="156" w:beforeLines="50"/>
        <w:jc w:val="center"/>
        <w:rPr>
          <w:rFonts w:hint="eastAsia" w:ascii="宋体" w:hAnsi="宋体" w:eastAsia="宋体" w:cs="宋体"/>
          <w:color w:val="auto"/>
          <w:sz w:val="21"/>
          <w:szCs w:val="21"/>
          <w:highlight w:val="none"/>
        </w:rPr>
      </w:pPr>
      <w:bookmarkStart w:id="37" w:name="_Toc27624"/>
      <w:r>
        <w:rPr>
          <w:rFonts w:hint="eastAsia" w:ascii="宋体" w:hAnsi="宋体" w:eastAsia="宋体" w:cs="宋体"/>
          <w:b w:val="0"/>
          <w:bCs w:val="0"/>
          <w:color w:val="auto"/>
          <w:sz w:val="21"/>
          <w:szCs w:val="21"/>
          <w:highlight w:val="none"/>
        </w:rPr>
        <w:t>第二节 政府采购合同通用条款</w:t>
      </w:r>
      <w:bookmarkEnd w:id="37"/>
    </w:p>
    <w:p w14:paraId="67596A28">
      <w:pPr>
        <w:tabs>
          <w:tab w:val="left" w:pos="8820"/>
          <w:tab w:val="left" w:pos="9345"/>
          <w:tab w:val="left" w:pos="9765"/>
        </w:tabs>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bCs/>
          <w:color w:val="auto"/>
          <w:sz w:val="21"/>
          <w:szCs w:val="21"/>
          <w:highlight w:val="none"/>
        </w:rPr>
        <w:t>定义</w:t>
      </w:r>
    </w:p>
    <w:p w14:paraId="6F3F374E">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1.1合同当事人</w:t>
      </w:r>
    </w:p>
    <w:p w14:paraId="1C9ECFCF">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（1）采购人（以下称甲方）是指使用财政性资金，通过政府采购方式向供应商购买货物</w:t>
      </w:r>
      <w:r>
        <w:rPr>
          <w:rFonts w:hint="eastAsia" w:ascii="宋体" w:hAnsi="宋体" w:eastAsia="宋体" w:cs="宋体"/>
          <w:color w:val="auto"/>
          <w:sz w:val="21"/>
          <w:szCs w:val="21"/>
          <w:highlight w:val="none"/>
          <w:lang w:val="en-US" w:eastAsia="zh-CN"/>
        </w:rPr>
        <w:t>及其相关服务的</w:t>
      </w:r>
      <w:r>
        <w:rPr>
          <w:rFonts w:hint="eastAsia" w:ascii="宋体" w:hAnsi="宋体" w:eastAsia="宋体" w:cs="宋体"/>
          <w:color w:val="auto"/>
          <w:sz w:val="21"/>
          <w:szCs w:val="21"/>
          <w:highlight w:val="none"/>
        </w:rPr>
        <w:t>国家机关、事业单位、团体组织。</w:t>
      </w:r>
    </w:p>
    <w:p w14:paraId="34384A8A">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（2）供应商（以下称</w:t>
      </w:r>
      <w:r>
        <w:rPr>
          <w:rFonts w:hint="eastAsia" w:ascii="宋体" w:hAnsi="宋体" w:eastAsia="宋体" w:cs="宋体"/>
          <w:color w:val="auto"/>
          <w:sz w:val="21"/>
          <w:szCs w:val="21"/>
          <w:highlight w:val="none"/>
          <w:lang w:eastAsia="zh-CN"/>
        </w:rPr>
        <w:t>乙</w:t>
      </w:r>
      <w:r>
        <w:rPr>
          <w:rFonts w:hint="eastAsia" w:ascii="宋体" w:hAnsi="宋体" w:eastAsia="宋体" w:cs="宋体"/>
          <w:color w:val="auto"/>
          <w:sz w:val="21"/>
          <w:szCs w:val="21"/>
          <w:highlight w:val="none"/>
        </w:rPr>
        <w:t>方）是指参加政府采购活动并且中标（成交），向采购人提供</w:t>
      </w:r>
      <w:r>
        <w:rPr>
          <w:rFonts w:hint="eastAsia" w:ascii="宋体" w:hAnsi="宋体" w:eastAsia="宋体" w:cs="宋体"/>
          <w:color w:val="auto"/>
          <w:sz w:val="21"/>
          <w:szCs w:val="21"/>
          <w:highlight w:val="none"/>
          <w:lang w:val="en-US" w:eastAsia="zh-CN"/>
        </w:rPr>
        <w:t>合同约定的货物及其相关服务的法人、非法人组织或者自然人</w:t>
      </w:r>
      <w:r>
        <w:rPr>
          <w:rFonts w:hint="eastAsia" w:ascii="宋体" w:hAnsi="宋体" w:eastAsia="宋体" w:cs="宋体"/>
          <w:color w:val="auto"/>
          <w:sz w:val="21"/>
          <w:szCs w:val="21"/>
          <w:highlight w:val="none"/>
        </w:rPr>
        <w:t>。</w:t>
      </w:r>
    </w:p>
    <w:p w14:paraId="73003270">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（3）其他合同主体是指除采购人和供应商以外，</w:t>
      </w:r>
      <w:r>
        <w:rPr>
          <w:rFonts w:hint="eastAsia" w:ascii="宋体" w:hAnsi="宋体" w:eastAsia="宋体" w:cs="宋体"/>
          <w:bCs/>
          <w:color w:val="auto"/>
          <w:sz w:val="21"/>
          <w:szCs w:val="21"/>
          <w:highlight w:val="none"/>
        </w:rPr>
        <w:t>依法参与合同缔结或履行，享有权利、承担义务的合同当事人</w:t>
      </w:r>
      <w:r>
        <w:rPr>
          <w:rFonts w:hint="eastAsia" w:ascii="宋体" w:hAnsi="宋体" w:eastAsia="宋体" w:cs="宋体"/>
          <w:color w:val="auto"/>
          <w:sz w:val="21"/>
          <w:szCs w:val="21"/>
          <w:highlight w:val="none"/>
        </w:rPr>
        <w:t>。</w:t>
      </w:r>
    </w:p>
    <w:p w14:paraId="6A6E3B54">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1.2本合同下列术语应解释为：</w:t>
      </w:r>
    </w:p>
    <w:p w14:paraId="10ED6F6E">
      <w:pPr>
        <w:adjustRightInd w:val="0"/>
        <w:snapToGrid w:val="0"/>
        <w:spacing w:before="0" w:beforeLines="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（1）“合同”系指</w:t>
      </w:r>
      <w:r>
        <w:rPr>
          <w:rFonts w:hint="eastAsia" w:ascii="宋体" w:hAnsi="宋体" w:eastAsia="宋体" w:cs="宋体"/>
          <w:bCs/>
          <w:color w:val="auto"/>
          <w:sz w:val="21"/>
          <w:szCs w:val="21"/>
          <w:highlight w:val="none"/>
        </w:rPr>
        <w:t>合同当事人意思表示达成一致的任何协议，包括签署的</w:t>
      </w:r>
      <w:r>
        <w:rPr>
          <w:rFonts w:hint="eastAsia" w:ascii="宋体" w:hAnsi="宋体" w:eastAsia="宋体" w:cs="宋体"/>
          <w:color w:val="auto"/>
          <w:sz w:val="21"/>
          <w:szCs w:val="21"/>
          <w:highlight w:val="none"/>
          <w:lang w:eastAsia="zh-CN"/>
        </w:rPr>
        <w:t>政府采购</w:t>
      </w:r>
      <w:r>
        <w:rPr>
          <w:rFonts w:hint="eastAsia" w:ascii="宋体" w:hAnsi="宋体" w:eastAsia="宋体" w:cs="宋体"/>
          <w:color w:val="auto"/>
          <w:sz w:val="21"/>
          <w:szCs w:val="21"/>
          <w:highlight w:val="none"/>
        </w:rPr>
        <w:t>合同协议书及其变更、补充</w:t>
      </w:r>
      <w:r>
        <w:rPr>
          <w:rFonts w:hint="eastAsia" w:ascii="宋体" w:hAnsi="宋体" w:eastAsia="宋体" w:cs="宋体"/>
          <w:color w:val="auto"/>
          <w:sz w:val="21"/>
          <w:szCs w:val="21"/>
          <w:highlight w:val="none"/>
          <w:lang w:eastAsia="zh-CN"/>
        </w:rPr>
        <w:t>协议，</w:t>
      </w:r>
      <w:r>
        <w:rPr>
          <w:rFonts w:hint="eastAsia" w:ascii="宋体" w:hAnsi="宋体" w:eastAsia="宋体" w:cs="宋体"/>
          <w:color w:val="auto"/>
          <w:sz w:val="21"/>
          <w:szCs w:val="21"/>
          <w:highlight w:val="none"/>
        </w:rPr>
        <w:t>政府采购合同专用条款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政府采购合同通用条款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通知书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投标（响应）文件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采购文件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有关技术文件</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rPr>
        <w:t>图纸</w:t>
      </w:r>
      <w:r>
        <w:rPr>
          <w:rFonts w:hint="eastAsia" w:ascii="宋体" w:hAnsi="宋体" w:eastAsia="宋体" w:cs="宋体"/>
          <w:color w:val="auto"/>
          <w:sz w:val="21"/>
          <w:szCs w:val="21"/>
          <w:highlight w:val="none"/>
          <w:lang w:eastAsia="zh-CN"/>
        </w:rPr>
        <w:t>，以及</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r>
        <w:rPr>
          <w:rFonts w:hint="eastAsia" w:ascii="宋体" w:hAnsi="宋体" w:eastAsia="宋体" w:cs="宋体"/>
          <w:color w:val="auto"/>
          <w:sz w:val="21"/>
          <w:szCs w:val="21"/>
          <w:highlight w:val="none"/>
        </w:rPr>
        <w:t>。</w:t>
      </w:r>
    </w:p>
    <w:p w14:paraId="6EF3F91D">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）“合同价</w:t>
      </w:r>
      <w:r>
        <w:rPr>
          <w:rFonts w:hint="eastAsia" w:ascii="宋体" w:hAnsi="宋体" w:eastAsia="宋体" w:cs="宋体"/>
          <w:color w:val="auto"/>
          <w:sz w:val="21"/>
          <w:szCs w:val="21"/>
          <w:highlight w:val="none"/>
          <w:lang w:val="en-US" w:eastAsia="zh-CN"/>
        </w:rPr>
        <w:t>款</w:t>
      </w:r>
      <w:r>
        <w:rPr>
          <w:rFonts w:hint="eastAsia" w:ascii="宋体" w:hAnsi="宋体" w:eastAsia="宋体" w:cs="宋体"/>
          <w:color w:val="auto"/>
          <w:sz w:val="21"/>
          <w:szCs w:val="21"/>
          <w:highlight w:val="none"/>
        </w:rPr>
        <w:t>”系指根据本合同规定乙方在全面履行合同义务后甲方应支付给乙方的价款。</w:t>
      </w:r>
    </w:p>
    <w:p w14:paraId="45F628B8">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）“货物”系指乙方根据本合同规定须向甲方提供的各种形态和种类的物品，包括原材料、设备、产品（包括软件）及相关的其备品备件、工具、手册及</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技术资料和材料</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z w:val="21"/>
          <w:szCs w:val="21"/>
          <w:highlight w:val="none"/>
        </w:rPr>
        <w:t>。</w:t>
      </w:r>
    </w:p>
    <w:p w14:paraId="2FBA8195">
      <w:pPr>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相关</w:t>
      </w:r>
      <w:r>
        <w:rPr>
          <w:rFonts w:hint="eastAsia" w:ascii="宋体" w:hAnsi="宋体" w:eastAsia="宋体" w:cs="宋体"/>
          <w:color w:val="auto"/>
          <w:sz w:val="21"/>
          <w:szCs w:val="21"/>
          <w:highlight w:val="none"/>
        </w:rPr>
        <w:t>服务”系指根据合同规定，乙方应提供的</w:t>
      </w:r>
      <w:r>
        <w:rPr>
          <w:rFonts w:hint="eastAsia" w:ascii="宋体" w:hAnsi="宋体" w:eastAsia="宋体" w:cs="宋体"/>
          <w:color w:val="auto"/>
          <w:sz w:val="21"/>
          <w:szCs w:val="21"/>
          <w:highlight w:val="none"/>
          <w:lang w:val="en-US" w:eastAsia="zh-CN"/>
        </w:rPr>
        <w:t>与货物有关的</w:t>
      </w:r>
      <w:r>
        <w:rPr>
          <w:rFonts w:hint="eastAsia" w:ascii="宋体" w:hAnsi="宋体" w:eastAsia="宋体" w:cs="宋体"/>
          <w:color w:val="auto"/>
          <w:sz w:val="21"/>
          <w:szCs w:val="21"/>
          <w:highlight w:val="none"/>
        </w:rPr>
        <w:t>技术、管理和</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服务，包括但不限于：管理和质量保证、运输、保险、检验、现场准备、安装、集成、调试、培训、维修、</w:t>
      </w:r>
      <w:r>
        <w:rPr>
          <w:rFonts w:hint="eastAsia" w:ascii="宋体" w:hAnsi="宋体" w:eastAsia="宋体" w:cs="宋体"/>
          <w:color w:val="auto"/>
          <w:sz w:val="21"/>
          <w:szCs w:val="21"/>
          <w:highlight w:val="none"/>
          <w:lang w:eastAsia="zh-CN"/>
        </w:rPr>
        <w:t>废弃处置、</w:t>
      </w:r>
      <w:r>
        <w:rPr>
          <w:rFonts w:hint="eastAsia" w:ascii="宋体" w:hAnsi="宋体" w:eastAsia="宋体" w:cs="宋体"/>
          <w:color w:val="auto"/>
          <w:sz w:val="21"/>
          <w:szCs w:val="21"/>
          <w:highlight w:val="none"/>
        </w:rPr>
        <w:t>技术支持等以及合同中规定乙方应承担的</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义务。</w:t>
      </w:r>
    </w:p>
    <w:p w14:paraId="1391C623">
      <w:pPr>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）“分包”系指中标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成交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供应商按采购文件、投标（响应）文件的规定，根据分包意向协议，将中标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成交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项目中的部分履约内容，分给具有相应资质条件的供应商履行合同的行为。</w:t>
      </w:r>
    </w:p>
    <w:p w14:paraId="242708AB">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）“联合体”系指</w:t>
      </w:r>
      <w:r>
        <w:rPr>
          <w:rFonts w:hint="eastAsia" w:ascii="宋体" w:hAnsi="宋体" w:eastAsia="宋体" w:cs="宋体"/>
          <w:color w:val="auto"/>
          <w:sz w:val="21"/>
          <w:szCs w:val="21"/>
          <w:highlight w:val="none"/>
          <w:lang w:eastAsia="zh-CN"/>
        </w:rPr>
        <w:t>由</w:t>
      </w:r>
      <w:r>
        <w:rPr>
          <w:rFonts w:hint="eastAsia" w:ascii="宋体" w:hAnsi="宋体" w:eastAsia="宋体" w:cs="宋体"/>
          <w:color w:val="auto"/>
          <w:sz w:val="21"/>
          <w:szCs w:val="21"/>
          <w:highlight w:val="none"/>
        </w:rPr>
        <w:t>两个以上的自然人、法人或者</w:t>
      </w:r>
      <w:r>
        <w:rPr>
          <w:rFonts w:hint="eastAsia" w:ascii="宋体" w:hAnsi="宋体" w:eastAsia="宋体" w:cs="宋体"/>
          <w:color w:val="auto"/>
          <w:sz w:val="21"/>
          <w:szCs w:val="21"/>
          <w:highlight w:val="none"/>
          <w:lang w:val="en-US" w:eastAsia="zh-CN"/>
        </w:rPr>
        <w:t>非法人</w:t>
      </w:r>
      <w:r>
        <w:rPr>
          <w:rFonts w:hint="eastAsia" w:ascii="宋体" w:hAnsi="宋体" w:eastAsia="宋体" w:cs="宋体"/>
          <w:color w:val="auto"/>
          <w:sz w:val="21"/>
          <w:szCs w:val="21"/>
          <w:highlight w:val="none"/>
        </w:rPr>
        <w:t>组织组成，</w:t>
      </w:r>
      <w:r>
        <w:rPr>
          <w:rFonts w:hint="eastAsia" w:ascii="宋体" w:hAnsi="宋体" w:eastAsia="宋体" w:cs="宋体"/>
          <w:color w:val="auto"/>
          <w:sz w:val="21"/>
          <w:szCs w:val="21"/>
          <w:highlight w:val="none"/>
          <w:lang w:eastAsia="zh-CN"/>
        </w:rPr>
        <w:t>以一个供应商的身份共同参加政府采购的主体。</w:t>
      </w:r>
      <w:r>
        <w:rPr>
          <w:rFonts w:hint="eastAsia" w:ascii="宋体" w:hAnsi="宋体" w:eastAsia="宋体" w:cs="宋体"/>
          <w:color w:val="auto"/>
          <w:sz w:val="21"/>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承担连带责任。联合体具体要求见【</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w:t>
      </w:r>
    </w:p>
    <w:p w14:paraId="5D8E5675">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）其他术语解释，见【</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w:t>
      </w:r>
    </w:p>
    <w:p w14:paraId="417235F2">
      <w:pPr>
        <w:numPr>
          <w:ilvl w:val="0"/>
          <w:numId w:val="9"/>
        </w:num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合同标的及金额</w:t>
      </w:r>
    </w:p>
    <w:p w14:paraId="4DC198DC">
      <w:pPr>
        <w:autoSpaceDE w:val="0"/>
        <w:autoSpaceDN w:val="0"/>
        <w:adjustRightInd w:val="0"/>
        <w:snapToGrid w:val="0"/>
        <w:spacing w:before="0" w:line="400" w:lineRule="exact"/>
        <w:ind w:firstLine="420" w:firstLineChars="200"/>
        <w:jc w:val="left"/>
        <w:rPr>
          <w:rFonts w:hint="eastAsia" w:ascii="宋体" w:hAnsi="宋体" w:eastAsia="宋体" w:cs="宋体"/>
          <w:b/>
          <w:bCs/>
          <w:i/>
          <w:iCs/>
          <w:color w:val="auto"/>
          <w:sz w:val="21"/>
          <w:szCs w:val="21"/>
          <w:highlight w:val="none"/>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.1 合同标的及金额应与中标（成交）结果一致。乙方为履行本合同而发生的所有费用均应包含在合同</w:t>
      </w:r>
      <w:r>
        <w:rPr>
          <w:rFonts w:hint="eastAsia" w:ascii="宋体" w:hAnsi="宋体" w:eastAsia="宋体" w:cs="宋体"/>
          <w:color w:val="auto"/>
          <w:sz w:val="21"/>
          <w:szCs w:val="21"/>
          <w:highlight w:val="none"/>
          <w:lang w:eastAsia="zh-CN"/>
        </w:rPr>
        <w:t>价款</w:t>
      </w:r>
      <w:r>
        <w:rPr>
          <w:rFonts w:hint="eastAsia" w:ascii="宋体" w:hAnsi="宋体" w:eastAsia="宋体" w:cs="宋体"/>
          <w:color w:val="auto"/>
          <w:sz w:val="21"/>
          <w:szCs w:val="21"/>
          <w:highlight w:val="none"/>
        </w:rPr>
        <w:t>中，甲方不再另行支付</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任何费用。</w:t>
      </w:r>
    </w:p>
    <w:p w14:paraId="2BE42A2A">
      <w:pPr>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3</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履行合同的时间、地点和方式</w:t>
      </w:r>
    </w:p>
    <w:p w14:paraId="6DF4D070">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.1 乙方应当在约定的时间、地点</w:t>
      </w:r>
      <w:r>
        <w:rPr>
          <w:rFonts w:hint="eastAsia" w:ascii="宋体" w:hAnsi="宋体" w:eastAsia="宋体" w:cs="宋体"/>
          <w:color w:val="auto"/>
          <w:sz w:val="21"/>
          <w:szCs w:val="21"/>
          <w:highlight w:val="none"/>
          <w:lang w:eastAsia="zh-CN"/>
        </w:rPr>
        <w:t>，按照约定</w:t>
      </w:r>
      <w:r>
        <w:rPr>
          <w:rFonts w:hint="eastAsia" w:ascii="宋体" w:hAnsi="宋体" w:eastAsia="宋体" w:cs="宋体"/>
          <w:color w:val="auto"/>
          <w:sz w:val="21"/>
          <w:szCs w:val="21"/>
          <w:highlight w:val="none"/>
        </w:rPr>
        <w:t>方式履行合同。</w:t>
      </w:r>
    </w:p>
    <w:p w14:paraId="591CD866">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4</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甲方的权利和义务</w:t>
      </w:r>
    </w:p>
    <w:p w14:paraId="622C8BCC">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.1 签署合同后，甲方</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确定</w:t>
      </w:r>
      <w:r>
        <w:rPr>
          <w:rFonts w:hint="eastAsia" w:ascii="宋体" w:hAnsi="宋体" w:eastAsia="宋体" w:cs="宋体"/>
          <w:color w:val="auto"/>
          <w:sz w:val="21"/>
          <w:szCs w:val="21"/>
          <w:highlight w:val="none"/>
          <w:lang w:val="en-US" w:eastAsia="zh-CN"/>
        </w:rPr>
        <w:t>项目负责人（或项目联系人）</w:t>
      </w:r>
      <w:r>
        <w:rPr>
          <w:rFonts w:hint="eastAsia" w:ascii="宋体" w:hAnsi="宋体" w:eastAsia="宋体" w:cs="宋体"/>
          <w:color w:val="auto"/>
          <w:sz w:val="21"/>
          <w:szCs w:val="21"/>
          <w:highlight w:val="none"/>
        </w:rPr>
        <w:t>，负责与本合同有关的事务。甲方有权对乙方的履约行为进行检查，并及时确认乙方提交的事项。甲方应当配合乙方完成相关项目实施工作。</w:t>
      </w:r>
    </w:p>
    <w:p w14:paraId="2D8B6B6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.2 甲方有权要求乙方按时提交各阶段有关安排计划，并有权定期核对乙方提供货物数量、规格、质量等内容。甲方有权督促乙方工作并要求乙方更换不符合要求的货物。</w:t>
      </w:r>
    </w:p>
    <w:p w14:paraId="56BB1F7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.3 甲方有权要求乙方对缺陷部分予以修复，并按合同约定享有货物保修及其他合同约定的权利。</w:t>
      </w:r>
    </w:p>
    <w:p w14:paraId="3DA0546D">
      <w:pPr>
        <w:snapToGrid w:val="0"/>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4.4 甲方应当按照合同约定及时对交付的货物进行验收，</w:t>
      </w:r>
      <w:r>
        <w:rPr>
          <w:rFonts w:hint="eastAsia" w:ascii="宋体" w:hAnsi="宋体" w:eastAsia="宋体" w:cs="宋体"/>
          <w:b w:val="0"/>
          <w:bCs w:val="0"/>
          <w:color w:val="auto"/>
          <w:sz w:val="21"/>
          <w:szCs w:val="21"/>
          <w:highlight w:val="none"/>
          <w:lang w:eastAsia="zh-CN"/>
        </w:rPr>
        <w:t>未</w:t>
      </w:r>
      <w:r>
        <w:rPr>
          <w:rFonts w:hint="eastAsia" w:ascii="宋体" w:hAnsi="宋体" w:eastAsia="宋体" w:cs="宋体"/>
          <w:color w:val="auto"/>
          <w:sz w:val="21"/>
          <w:szCs w:val="21"/>
          <w:highlight w:val="none"/>
          <w:lang w:val="en-US" w:eastAsia="zh-CN"/>
        </w:rPr>
        <w:t>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b w:val="0"/>
          <w:bCs w:val="0"/>
          <w:color w:val="auto"/>
          <w:sz w:val="21"/>
          <w:szCs w:val="21"/>
          <w:highlight w:val="none"/>
          <w:lang w:eastAsia="zh-CN"/>
        </w:rPr>
        <w:t>约定的期限内对乙方履约提出任何异议或者向乙方作出任何说明的，</w:t>
      </w:r>
      <w:r>
        <w:rPr>
          <w:rFonts w:hint="eastAsia" w:ascii="宋体" w:hAnsi="宋体" w:eastAsia="宋体" w:cs="宋体"/>
          <w:color w:val="auto"/>
          <w:sz w:val="21"/>
          <w:szCs w:val="21"/>
          <w:highlight w:val="none"/>
          <w:lang w:val="en-US" w:eastAsia="zh-CN"/>
        </w:rPr>
        <w:t>视为验收通过。</w:t>
      </w:r>
    </w:p>
    <w:p w14:paraId="1907A677">
      <w:pPr>
        <w:autoSpaceDE w:val="0"/>
        <w:autoSpaceDN w:val="0"/>
        <w:adjustRightInd w:val="0"/>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甲方应当根据合同约定</w:t>
      </w:r>
      <w:r>
        <w:rPr>
          <w:rFonts w:hint="eastAsia" w:ascii="宋体" w:hAnsi="宋体" w:eastAsia="宋体" w:cs="宋体"/>
          <w:color w:val="auto"/>
          <w:sz w:val="21"/>
          <w:szCs w:val="21"/>
          <w:highlight w:val="none"/>
          <w:lang w:eastAsia="zh-CN"/>
        </w:rPr>
        <w:t>及</w:t>
      </w:r>
      <w:r>
        <w:rPr>
          <w:rFonts w:hint="eastAsia" w:ascii="宋体" w:hAnsi="宋体" w:eastAsia="宋体" w:cs="宋体"/>
          <w:color w:val="auto"/>
          <w:sz w:val="21"/>
          <w:szCs w:val="21"/>
          <w:highlight w:val="none"/>
        </w:rPr>
        <w:t>时向乙方支付</w:t>
      </w:r>
      <w:r>
        <w:rPr>
          <w:rFonts w:hint="eastAsia" w:ascii="宋体" w:hAnsi="宋体" w:eastAsia="宋体" w:cs="宋体"/>
          <w:color w:val="auto"/>
          <w:sz w:val="21"/>
          <w:szCs w:val="21"/>
          <w:highlight w:val="none"/>
          <w:lang w:eastAsia="zh-CN"/>
        </w:rPr>
        <w:t>合同价款，不得以内部人员变更、履行内部付款流程等为由，拒绝或迟延支付。</w:t>
      </w:r>
    </w:p>
    <w:p w14:paraId="251D3049">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国家法律法规规定</w:t>
      </w:r>
      <w:r>
        <w:rPr>
          <w:rFonts w:hint="eastAsia" w:ascii="宋体" w:hAnsi="宋体" w:eastAsia="宋体" w:cs="宋体"/>
          <w:color w:val="auto"/>
          <w:sz w:val="21"/>
          <w:szCs w:val="21"/>
          <w:highlight w:val="none"/>
          <w:lang w:eastAsia="zh-CN"/>
        </w:rPr>
        <w:t>及</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lang w:eastAsia="zh-CN"/>
        </w:rPr>
        <w:t>约定应</w:t>
      </w:r>
      <w:r>
        <w:rPr>
          <w:rFonts w:hint="eastAsia" w:ascii="宋体" w:hAnsi="宋体" w:eastAsia="宋体" w:cs="宋体"/>
          <w:color w:val="auto"/>
          <w:sz w:val="21"/>
          <w:szCs w:val="21"/>
          <w:highlight w:val="none"/>
        </w:rPr>
        <w:t>由甲方承担的其他义务和责任。</w:t>
      </w:r>
    </w:p>
    <w:p w14:paraId="1F7AE787">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5</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乙方的权利和义务</w:t>
      </w:r>
    </w:p>
    <w:p w14:paraId="7D5A2616">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.1 签署合同后，乙方</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确定</w:t>
      </w:r>
      <w:r>
        <w:rPr>
          <w:rFonts w:hint="eastAsia" w:ascii="宋体" w:hAnsi="宋体" w:eastAsia="宋体" w:cs="宋体"/>
          <w:color w:val="auto"/>
          <w:sz w:val="21"/>
          <w:szCs w:val="21"/>
          <w:highlight w:val="none"/>
          <w:lang w:val="en-US" w:eastAsia="zh-CN"/>
        </w:rPr>
        <w:t>项目负责人（或项目联系人）</w:t>
      </w:r>
      <w:r>
        <w:rPr>
          <w:rFonts w:hint="eastAsia" w:ascii="宋体" w:hAnsi="宋体" w:eastAsia="宋体" w:cs="宋体"/>
          <w:color w:val="auto"/>
          <w:sz w:val="21"/>
          <w:szCs w:val="21"/>
          <w:highlight w:val="none"/>
        </w:rPr>
        <w:t>，负责与本合同有关的事务。</w:t>
      </w:r>
    </w:p>
    <w:p w14:paraId="40CDB883">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.2 乙方应按照合同要求履约，充分合理安排，确保提供的货物</w:t>
      </w:r>
      <w:r>
        <w:rPr>
          <w:rFonts w:hint="eastAsia" w:ascii="宋体" w:hAnsi="宋体" w:eastAsia="宋体" w:cs="宋体"/>
          <w:color w:val="auto"/>
          <w:sz w:val="21"/>
          <w:szCs w:val="21"/>
          <w:highlight w:val="none"/>
          <w:lang w:eastAsia="zh-CN"/>
        </w:rPr>
        <w:t>及相关</w:t>
      </w:r>
      <w:r>
        <w:rPr>
          <w:rFonts w:hint="eastAsia" w:ascii="宋体" w:hAnsi="宋体" w:eastAsia="宋体" w:cs="宋体"/>
          <w:color w:val="auto"/>
          <w:sz w:val="21"/>
          <w:szCs w:val="21"/>
          <w:highlight w:val="none"/>
        </w:rPr>
        <w:t>服务符合合同</w:t>
      </w:r>
      <w:r>
        <w:rPr>
          <w:rFonts w:hint="eastAsia" w:ascii="宋体" w:hAnsi="宋体" w:eastAsia="宋体" w:cs="宋体"/>
          <w:color w:val="auto"/>
          <w:sz w:val="21"/>
          <w:szCs w:val="21"/>
          <w:highlight w:val="none"/>
          <w:lang w:eastAsia="zh-CN"/>
        </w:rPr>
        <w:t>有关</w:t>
      </w:r>
      <w:r>
        <w:rPr>
          <w:rFonts w:hint="eastAsia" w:ascii="宋体" w:hAnsi="宋体" w:eastAsia="宋体" w:cs="宋体"/>
          <w:color w:val="auto"/>
          <w:sz w:val="21"/>
          <w:szCs w:val="21"/>
          <w:highlight w:val="none"/>
        </w:rPr>
        <w:t>要求。接受项目行业管理部门及政府有关部门的指导，配合甲方的履约检查</w:t>
      </w:r>
      <w:r>
        <w:rPr>
          <w:rFonts w:hint="eastAsia" w:ascii="宋体" w:hAnsi="宋体" w:eastAsia="宋体" w:cs="宋体"/>
          <w:color w:val="auto"/>
          <w:sz w:val="21"/>
          <w:szCs w:val="21"/>
          <w:highlight w:val="none"/>
          <w:lang w:eastAsia="zh-CN"/>
        </w:rPr>
        <w:t>及验收</w:t>
      </w:r>
      <w:r>
        <w:rPr>
          <w:rFonts w:hint="eastAsia" w:ascii="宋体" w:hAnsi="宋体" w:eastAsia="宋体" w:cs="宋体"/>
          <w:color w:val="auto"/>
          <w:sz w:val="21"/>
          <w:szCs w:val="21"/>
          <w:highlight w:val="none"/>
        </w:rPr>
        <w:t>，并负责项目实施过程中的所有协调工作。</w:t>
      </w:r>
    </w:p>
    <w:p w14:paraId="28B702D4">
      <w:pPr>
        <w:pStyle w:val="16"/>
        <w:spacing w:after="0" w:line="400" w:lineRule="exact"/>
        <w:ind w:firstLine="369" w:firstLineChars="17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.3乙方有权根据合同约定向甲方收取</w:t>
      </w:r>
      <w:r>
        <w:rPr>
          <w:rFonts w:hint="eastAsia" w:ascii="宋体" w:hAnsi="宋体" w:eastAsia="宋体" w:cs="宋体"/>
          <w:color w:val="auto"/>
          <w:sz w:val="21"/>
          <w:szCs w:val="21"/>
          <w:highlight w:val="none"/>
          <w:lang w:eastAsia="zh-CN"/>
        </w:rPr>
        <w:t>合同价款</w:t>
      </w:r>
      <w:r>
        <w:rPr>
          <w:rFonts w:hint="eastAsia" w:ascii="宋体" w:hAnsi="宋体" w:eastAsia="宋体" w:cs="宋体"/>
          <w:color w:val="auto"/>
          <w:sz w:val="21"/>
          <w:szCs w:val="21"/>
          <w:highlight w:val="none"/>
        </w:rPr>
        <w:t>。</w:t>
      </w:r>
    </w:p>
    <w:p w14:paraId="2A140CE6">
      <w:pPr>
        <w:pStyle w:val="16"/>
        <w:spacing w:after="0" w:line="400" w:lineRule="exact"/>
        <w:ind w:firstLine="369" w:firstLineChars="17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.4国家法律法规规定</w:t>
      </w:r>
      <w:r>
        <w:rPr>
          <w:rFonts w:hint="eastAsia" w:ascii="宋体" w:hAnsi="宋体" w:eastAsia="宋体" w:cs="宋体"/>
          <w:color w:val="auto"/>
          <w:sz w:val="21"/>
          <w:szCs w:val="21"/>
          <w:highlight w:val="none"/>
          <w:lang w:eastAsia="zh-CN"/>
        </w:rPr>
        <w:t>及</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b w:val="0"/>
          <w:bCs w:val="0"/>
          <w:color w:val="auto"/>
          <w:sz w:val="21"/>
          <w:szCs w:val="21"/>
          <w:highlight w:val="none"/>
          <w:lang w:eastAsia="zh-CN"/>
        </w:rPr>
        <w:t>约定应</w:t>
      </w:r>
      <w:r>
        <w:rPr>
          <w:rFonts w:hint="eastAsia" w:ascii="宋体" w:hAnsi="宋体" w:eastAsia="宋体" w:cs="宋体"/>
          <w:color w:val="auto"/>
          <w:sz w:val="21"/>
          <w:szCs w:val="21"/>
          <w:highlight w:val="none"/>
        </w:rPr>
        <w:t>由乙方承担的其他义务和责任。</w:t>
      </w:r>
    </w:p>
    <w:p w14:paraId="4A3C827B">
      <w:pPr>
        <w:numPr>
          <w:ilvl w:val="0"/>
          <w:numId w:val="10"/>
        </w:num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合同履</w:t>
      </w:r>
      <w:r>
        <w:rPr>
          <w:rFonts w:hint="eastAsia" w:ascii="宋体" w:hAnsi="宋体" w:eastAsia="宋体" w:cs="宋体"/>
          <w:b/>
          <w:bCs/>
          <w:color w:val="auto"/>
          <w:sz w:val="21"/>
          <w:szCs w:val="21"/>
          <w:highlight w:val="none"/>
          <w:lang w:val="en-US" w:eastAsia="zh-CN"/>
        </w:rPr>
        <w:t>行</w:t>
      </w:r>
    </w:p>
    <w:p w14:paraId="266AE627">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rPr>
        <w:t>.1 甲乙双方应当按照</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约定顺序履行合同义务；如果没有先后顺序的，应当同时履行。</w:t>
      </w:r>
    </w:p>
    <w:p w14:paraId="3A1A88C6">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3F0E40D9">
      <w:pPr>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7</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货物包装、运输</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保险</w:t>
      </w:r>
      <w:r>
        <w:rPr>
          <w:rFonts w:hint="eastAsia" w:ascii="宋体" w:hAnsi="宋体" w:eastAsia="宋体" w:cs="宋体"/>
          <w:b/>
          <w:bCs/>
          <w:color w:val="auto"/>
          <w:sz w:val="21"/>
          <w:szCs w:val="21"/>
          <w:highlight w:val="none"/>
          <w:lang w:eastAsia="zh-CN"/>
        </w:rPr>
        <w:t>和交付</w:t>
      </w:r>
      <w:r>
        <w:rPr>
          <w:rFonts w:hint="eastAsia" w:ascii="宋体" w:hAnsi="宋体" w:eastAsia="宋体" w:cs="宋体"/>
          <w:b/>
          <w:bCs/>
          <w:color w:val="auto"/>
          <w:sz w:val="21"/>
          <w:szCs w:val="21"/>
          <w:highlight w:val="none"/>
        </w:rPr>
        <w:t>要求</w:t>
      </w:r>
    </w:p>
    <w:p w14:paraId="65B3BABD">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.1 本合同</w:t>
      </w:r>
      <w:r>
        <w:rPr>
          <w:rFonts w:hint="eastAsia" w:ascii="宋体" w:hAnsi="宋体" w:eastAsia="宋体" w:cs="宋体"/>
          <w:bCs/>
          <w:color w:val="auto"/>
          <w:sz w:val="21"/>
          <w:szCs w:val="21"/>
          <w:highlight w:val="none"/>
        </w:rPr>
        <w:t>涉及商品包装</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快递包装的，</w:t>
      </w:r>
      <w:r>
        <w:rPr>
          <w:rFonts w:hint="eastAsia" w:ascii="宋体" w:hAnsi="宋体" w:eastAsia="宋体" w:cs="宋体"/>
          <w:color w:val="auto"/>
          <w:sz w:val="21"/>
          <w:szCs w:val="21"/>
          <w:highlight w:val="none"/>
        </w:rPr>
        <w:t>除</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另有</w:t>
      </w:r>
      <w:r>
        <w:rPr>
          <w:rFonts w:hint="eastAsia" w:ascii="宋体" w:hAnsi="宋体" w:eastAsia="宋体" w:cs="宋体"/>
          <w:bCs/>
          <w:color w:val="auto"/>
          <w:sz w:val="21"/>
          <w:szCs w:val="21"/>
          <w:highlight w:val="none"/>
          <w:lang w:eastAsia="zh-CN"/>
        </w:rPr>
        <w:t>约</w:t>
      </w:r>
      <w:r>
        <w:rPr>
          <w:rFonts w:hint="eastAsia" w:ascii="宋体" w:hAnsi="宋体" w:eastAsia="宋体" w:cs="宋体"/>
          <w:bCs/>
          <w:color w:val="auto"/>
          <w:sz w:val="21"/>
          <w:szCs w:val="21"/>
          <w:highlight w:val="none"/>
        </w:rPr>
        <w:t>定</w:t>
      </w:r>
      <w:r>
        <w:rPr>
          <w:rFonts w:hint="eastAsia" w:ascii="宋体" w:hAnsi="宋体" w:eastAsia="宋体" w:cs="宋体"/>
          <w:bCs/>
          <w:color w:val="auto"/>
          <w:sz w:val="21"/>
          <w:szCs w:val="21"/>
          <w:highlight w:val="none"/>
          <w:lang w:eastAsia="zh-CN"/>
        </w:rPr>
        <w:t>外</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包装应适应远距离运输、防潮、防震、防锈和防野蛮装卸等要求，确保货物安全无损地运抵</w:t>
      </w:r>
      <w:r>
        <w:rPr>
          <w:rFonts w:hint="eastAsia" w:ascii="宋体" w:hAnsi="宋体" w:eastAsia="宋体" w:cs="宋体"/>
          <w:b/>
          <w:color w:val="auto"/>
          <w:sz w:val="21"/>
          <w:szCs w:val="21"/>
          <w:highlight w:val="none"/>
        </w:rPr>
        <w:t>【政府采购合同专用条款】</w:t>
      </w:r>
      <w:r>
        <w:rPr>
          <w:rFonts w:hint="eastAsia" w:ascii="宋体" w:hAnsi="宋体" w:eastAsia="宋体" w:cs="宋体"/>
          <w:b w:val="0"/>
          <w:bCs/>
          <w:color w:val="auto"/>
          <w:sz w:val="21"/>
          <w:szCs w:val="21"/>
          <w:highlight w:val="none"/>
          <w:lang w:eastAsia="zh-CN"/>
        </w:rPr>
        <w:t>约定的</w:t>
      </w:r>
      <w:r>
        <w:rPr>
          <w:rFonts w:hint="eastAsia" w:ascii="宋体" w:hAnsi="宋体" w:eastAsia="宋体" w:cs="宋体"/>
          <w:color w:val="auto"/>
          <w:sz w:val="21"/>
          <w:szCs w:val="21"/>
          <w:highlight w:val="none"/>
        </w:rPr>
        <w:t>指定现场。</w:t>
      </w:r>
    </w:p>
    <w:p w14:paraId="70ECDA6F">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 除</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另有</w:t>
      </w:r>
      <w:r>
        <w:rPr>
          <w:rFonts w:hint="eastAsia" w:ascii="宋体" w:hAnsi="宋体" w:eastAsia="宋体" w:cs="宋体"/>
          <w:bCs/>
          <w:color w:val="auto"/>
          <w:sz w:val="21"/>
          <w:szCs w:val="21"/>
          <w:highlight w:val="none"/>
          <w:lang w:eastAsia="zh-CN"/>
        </w:rPr>
        <w:t>约</w:t>
      </w:r>
      <w:r>
        <w:rPr>
          <w:rFonts w:hint="eastAsia" w:ascii="宋体" w:hAnsi="宋体" w:eastAsia="宋体" w:cs="宋体"/>
          <w:bCs/>
          <w:color w:val="auto"/>
          <w:sz w:val="21"/>
          <w:szCs w:val="21"/>
          <w:highlight w:val="none"/>
        </w:rPr>
        <w:t>定</w:t>
      </w:r>
      <w:r>
        <w:rPr>
          <w:rFonts w:hint="eastAsia" w:ascii="宋体" w:hAnsi="宋体" w:eastAsia="宋体" w:cs="宋体"/>
          <w:bCs/>
          <w:color w:val="auto"/>
          <w:sz w:val="21"/>
          <w:szCs w:val="21"/>
          <w:highlight w:val="none"/>
          <w:lang w:eastAsia="zh-CN"/>
        </w:rPr>
        <w:t>外</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乙方负责办理将货物运抵本合同规定的交货地点</w:t>
      </w:r>
      <w:r>
        <w:rPr>
          <w:rFonts w:hint="eastAsia" w:ascii="宋体" w:hAnsi="宋体" w:eastAsia="宋体" w:cs="宋体"/>
          <w:color w:val="auto"/>
          <w:sz w:val="21"/>
          <w:szCs w:val="21"/>
          <w:highlight w:val="none"/>
          <w:lang w:eastAsia="zh-CN"/>
        </w:rPr>
        <w:t>，并装卸、交付至甲方</w:t>
      </w:r>
      <w:r>
        <w:rPr>
          <w:rFonts w:hint="eastAsia" w:ascii="宋体" w:hAnsi="宋体" w:eastAsia="宋体" w:cs="宋体"/>
          <w:color w:val="auto"/>
          <w:sz w:val="21"/>
          <w:szCs w:val="21"/>
          <w:highlight w:val="none"/>
        </w:rPr>
        <w:t>的一切运输事项，相关费用应</w:t>
      </w:r>
      <w:r>
        <w:rPr>
          <w:rFonts w:hint="eastAsia" w:ascii="宋体" w:hAnsi="宋体" w:eastAsia="宋体" w:cs="宋体"/>
          <w:color w:val="auto"/>
          <w:sz w:val="21"/>
          <w:szCs w:val="21"/>
          <w:highlight w:val="none"/>
          <w:lang w:eastAsia="zh-CN"/>
        </w:rPr>
        <w:t>包含</w:t>
      </w:r>
      <w:r>
        <w:rPr>
          <w:rFonts w:hint="eastAsia" w:ascii="宋体" w:hAnsi="宋体" w:eastAsia="宋体" w:cs="宋体"/>
          <w:color w:val="auto"/>
          <w:sz w:val="21"/>
          <w:szCs w:val="21"/>
          <w:highlight w:val="none"/>
        </w:rPr>
        <w:t>在合同</w:t>
      </w:r>
      <w:r>
        <w:rPr>
          <w:rFonts w:hint="eastAsia" w:ascii="宋体" w:hAnsi="宋体" w:eastAsia="宋体" w:cs="宋体"/>
          <w:color w:val="auto"/>
          <w:sz w:val="21"/>
          <w:szCs w:val="21"/>
          <w:highlight w:val="none"/>
          <w:lang w:eastAsia="zh-CN"/>
        </w:rPr>
        <w:t>价款</w:t>
      </w:r>
      <w:r>
        <w:rPr>
          <w:rFonts w:hint="eastAsia" w:ascii="宋体" w:hAnsi="宋体" w:eastAsia="宋体" w:cs="宋体"/>
          <w:color w:val="auto"/>
          <w:sz w:val="21"/>
          <w:szCs w:val="21"/>
          <w:highlight w:val="none"/>
        </w:rPr>
        <w:t>中。</w:t>
      </w:r>
    </w:p>
    <w:p w14:paraId="6403BF90">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 货物保险要求按</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规定执行</w:t>
      </w:r>
      <w:r>
        <w:rPr>
          <w:rFonts w:hint="eastAsia" w:ascii="宋体" w:hAnsi="宋体" w:eastAsia="宋体" w:cs="宋体"/>
          <w:color w:val="auto"/>
          <w:sz w:val="21"/>
          <w:szCs w:val="21"/>
          <w:highlight w:val="none"/>
        </w:rPr>
        <w:t>。</w:t>
      </w:r>
    </w:p>
    <w:p w14:paraId="2324A7D6">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.4 </w:t>
      </w:r>
      <w:r>
        <w:rPr>
          <w:rFonts w:hint="eastAsia" w:ascii="宋体" w:hAnsi="宋体" w:eastAsia="宋体" w:cs="宋体"/>
          <w:color w:val="auto"/>
          <w:sz w:val="21"/>
          <w:szCs w:val="21"/>
          <w:highlight w:val="none"/>
          <w:lang w:val="en-US" w:eastAsia="zh-CN"/>
        </w:rPr>
        <w:t>除采购活动</w:t>
      </w:r>
      <w:r>
        <w:rPr>
          <w:rFonts w:hint="eastAsia" w:ascii="宋体" w:hAnsi="宋体" w:eastAsia="宋体" w:cs="宋体"/>
          <w:color w:val="auto"/>
          <w:sz w:val="21"/>
          <w:szCs w:val="21"/>
          <w:highlight w:val="none"/>
        </w:rPr>
        <w:t>对商品包装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快递包装</w:t>
      </w:r>
      <w:r>
        <w:rPr>
          <w:rFonts w:hint="eastAsia" w:ascii="宋体" w:hAnsi="宋体" w:eastAsia="宋体" w:cs="宋体"/>
          <w:color w:val="auto"/>
          <w:sz w:val="21"/>
          <w:szCs w:val="21"/>
          <w:highlight w:val="none"/>
          <w:lang w:val="en-US" w:eastAsia="zh-CN"/>
        </w:rPr>
        <w:t>达成具体约定外</w:t>
      </w:r>
      <w:r>
        <w:rPr>
          <w:rFonts w:hint="eastAsia" w:ascii="宋体" w:hAnsi="宋体" w:eastAsia="宋体" w:cs="宋体"/>
          <w:color w:val="auto"/>
          <w:sz w:val="21"/>
          <w:szCs w:val="21"/>
          <w:highlight w:val="none"/>
        </w:rPr>
        <w:t>，乙方提供产品及相关快递服务</w:t>
      </w:r>
      <w:r>
        <w:rPr>
          <w:rFonts w:hint="eastAsia" w:ascii="宋体" w:hAnsi="宋体" w:eastAsia="宋体" w:cs="宋体"/>
          <w:color w:val="auto"/>
          <w:sz w:val="21"/>
          <w:szCs w:val="21"/>
          <w:highlight w:val="none"/>
          <w:lang w:val="en-US" w:eastAsia="zh-CN"/>
        </w:rPr>
        <w:t>涉及到</w:t>
      </w:r>
      <w:r>
        <w:rPr>
          <w:rFonts w:hint="eastAsia" w:ascii="宋体" w:hAnsi="宋体" w:eastAsia="宋体" w:cs="宋体"/>
          <w:color w:val="auto"/>
          <w:sz w:val="21"/>
          <w:szCs w:val="21"/>
          <w:highlight w:val="none"/>
        </w:rPr>
        <w:t>具体包装要求</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应</w:t>
      </w:r>
      <w:r>
        <w:rPr>
          <w:rFonts w:hint="eastAsia" w:ascii="宋体" w:hAnsi="宋体" w:eastAsia="宋体" w:cs="宋体"/>
          <w:color w:val="auto"/>
          <w:sz w:val="21"/>
          <w:szCs w:val="21"/>
          <w:highlight w:val="none"/>
          <w:lang w:val="en-US" w:eastAsia="zh-CN"/>
        </w:rPr>
        <w:t>不低于</w:t>
      </w:r>
      <w:r>
        <w:rPr>
          <w:rFonts w:hint="eastAsia" w:ascii="宋体" w:hAnsi="宋体" w:eastAsia="宋体" w:cs="宋体"/>
          <w:color w:val="auto"/>
          <w:sz w:val="21"/>
          <w:szCs w:val="21"/>
          <w:highlight w:val="none"/>
        </w:rPr>
        <w:t>《商品包装政府采购需求标准（试行）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快递包装政府采购需求标准（试行）》</w:t>
      </w:r>
      <w:r>
        <w:rPr>
          <w:rFonts w:hint="eastAsia" w:ascii="宋体" w:hAnsi="宋体" w:eastAsia="宋体" w:cs="宋体"/>
          <w:color w:val="auto"/>
          <w:sz w:val="21"/>
          <w:szCs w:val="21"/>
          <w:highlight w:val="none"/>
          <w:lang w:val="en-US" w:eastAsia="zh-CN"/>
        </w:rPr>
        <w:t>标准</w:t>
      </w:r>
      <w:r>
        <w:rPr>
          <w:rFonts w:hint="eastAsia" w:ascii="宋体" w:hAnsi="宋体" w:eastAsia="宋体" w:cs="宋体"/>
          <w:color w:val="auto"/>
          <w:sz w:val="21"/>
          <w:szCs w:val="21"/>
          <w:highlight w:val="none"/>
        </w:rPr>
        <w:t>，并作为履约验收的内容，必要时甲方可以要求乙方在履约验收环节出具检测报告。</w:t>
      </w:r>
    </w:p>
    <w:p w14:paraId="6E8BADAB">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7.5 </w:t>
      </w:r>
      <w:r>
        <w:rPr>
          <w:rFonts w:hint="eastAsia" w:ascii="宋体" w:hAnsi="宋体" w:eastAsia="宋体" w:cs="宋体"/>
          <w:color w:val="auto"/>
          <w:sz w:val="21"/>
          <w:szCs w:val="21"/>
          <w:highlight w:val="none"/>
        </w:rPr>
        <w:t>乙方在运输到达之前</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提前通知</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，并提示货物运输装卸的注意事项</w:t>
      </w:r>
      <w:r>
        <w:rPr>
          <w:rFonts w:hint="eastAsia" w:ascii="宋体" w:hAnsi="宋体" w:eastAsia="宋体" w:cs="宋体"/>
          <w:color w:val="auto"/>
          <w:sz w:val="21"/>
          <w:szCs w:val="21"/>
          <w:highlight w:val="none"/>
          <w:lang w:eastAsia="zh-CN"/>
        </w:rPr>
        <w:t>，甲方配合乙方做好货物的接收工作。</w:t>
      </w:r>
    </w:p>
    <w:p w14:paraId="3DE6F5D0">
      <w:pPr>
        <w:pStyle w:val="94"/>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rPr>
        <w:t xml:space="preserve">7.6 </w:t>
      </w:r>
      <w:r>
        <w:rPr>
          <w:rFonts w:hint="eastAsia" w:ascii="宋体" w:hAnsi="宋体" w:eastAsia="宋体" w:cs="宋体"/>
          <w:color w:val="auto"/>
          <w:kern w:val="2"/>
          <w:sz w:val="21"/>
          <w:szCs w:val="21"/>
          <w:highlight w:val="none"/>
        </w:rPr>
        <w:t>如因包装</w:t>
      </w:r>
      <w:r>
        <w:rPr>
          <w:rFonts w:hint="eastAsia" w:ascii="宋体" w:hAnsi="宋体" w:eastAsia="宋体" w:cs="宋体"/>
          <w:color w:val="auto"/>
          <w:kern w:val="2"/>
          <w:sz w:val="21"/>
          <w:szCs w:val="21"/>
          <w:highlight w:val="none"/>
          <w:lang w:eastAsia="zh-CN"/>
        </w:rPr>
        <w:t>、运输</w:t>
      </w:r>
      <w:r>
        <w:rPr>
          <w:rFonts w:hint="eastAsia" w:ascii="宋体" w:hAnsi="宋体" w:eastAsia="宋体" w:cs="宋体"/>
          <w:color w:val="auto"/>
          <w:kern w:val="2"/>
          <w:sz w:val="21"/>
          <w:szCs w:val="21"/>
          <w:highlight w:val="none"/>
        </w:rPr>
        <w:t>问题导致货物</w:t>
      </w:r>
      <w:r>
        <w:rPr>
          <w:rFonts w:hint="eastAsia" w:ascii="宋体" w:hAnsi="宋体" w:eastAsia="宋体" w:cs="宋体"/>
          <w:color w:val="auto"/>
          <w:kern w:val="2"/>
          <w:sz w:val="21"/>
          <w:szCs w:val="21"/>
          <w:highlight w:val="none"/>
          <w:lang w:eastAsia="zh-CN"/>
        </w:rPr>
        <w:t>损毁、丢失</w:t>
      </w:r>
      <w:r>
        <w:rPr>
          <w:rFonts w:hint="eastAsia" w:ascii="宋体" w:hAnsi="宋体" w:eastAsia="宋体" w:cs="宋体"/>
          <w:color w:val="auto"/>
          <w:kern w:val="2"/>
          <w:sz w:val="21"/>
          <w:szCs w:val="21"/>
          <w:highlight w:val="none"/>
        </w:rPr>
        <w:t>或者品质下降，</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有权要求降价、换货、拒收部分或整批货物，由此</w:t>
      </w:r>
      <w:r>
        <w:rPr>
          <w:rFonts w:hint="eastAsia" w:ascii="宋体" w:hAnsi="宋体" w:eastAsia="宋体" w:cs="宋体"/>
          <w:color w:val="auto"/>
          <w:kern w:val="2"/>
          <w:sz w:val="21"/>
          <w:szCs w:val="21"/>
          <w:highlight w:val="none"/>
          <w:lang w:eastAsia="zh-CN"/>
        </w:rPr>
        <w:t>产生</w:t>
      </w:r>
      <w:r>
        <w:rPr>
          <w:rFonts w:hint="eastAsia" w:ascii="宋体" w:hAnsi="宋体" w:eastAsia="宋体" w:cs="宋体"/>
          <w:color w:val="auto"/>
          <w:kern w:val="2"/>
          <w:sz w:val="21"/>
          <w:szCs w:val="21"/>
          <w:highlight w:val="none"/>
        </w:rPr>
        <w:t>的费用和损失，均由</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承担。</w:t>
      </w:r>
    </w:p>
    <w:p w14:paraId="6D31AE6D">
      <w:pPr>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8</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质量标准和保证</w:t>
      </w:r>
    </w:p>
    <w:p w14:paraId="6773B816">
      <w:pPr>
        <w:pStyle w:val="3"/>
        <w:adjustRightInd w:val="0"/>
        <w:snapToGrid w:val="0"/>
        <w:spacing w:before="0" w:line="400" w:lineRule="exact"/>
        <w:ind w:firstLine="420" w:firstLineChars="200"/>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eastAsia="zh-CN"/>
        </w:rPr>
        <w:t>8</w:t>
      </w:r>
      <w:r>
        <w:rPr>
          <w:rFonts w:hint="eastAsia" w:ascii="宋体" w:hAnsi="宋体" w:eastAsia="宋体" w:cs="宋体"/>
          <w:color w:val="auto"/>
          <w:sz w:val="21"/>
          <w:szCs w:val="21"/>
          <w:highlight w:val="none"/>
        </w:rPr>
        <w:t>.1 质量标准</w:t>
      </w:r>
    </w:p>
    <w:p w14:paraId="2FE8D01B">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（1）本合同下</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的货物应符合</w:t>
      </w:r>
      <w:r>
        <w:rPr>
          <w:rFonts w:hint="eastAsia" w:ascii="宋体" w:hAnsi="宋体" w:eastAsia="宋体" w:cs="宋体"/>
          <w:color w:val="auto"/>
          <w:sz w:val="21"/>
          <w:szCs w:val="21"/>
          <w:highlight w:val="none"/>
          <w:lang w:eastAsia="zh-CN"/>
        </w:rPr>
        <w:t>合同约</w:t>
      </w:r>
      <w:r>
        <w:rPr>
          <w:rFonts w:hint="eastAsia" w:ascii="宋体" w:hAnsi="宋体" w:eastAsia="宋体" w:cs="宋体"/>
          <w:color w:val="auto"/>
          <w:sz w:val="21"/>
          <w:szCs w:val="21"/>
          <w:highlight w:val="none"/>
        </w:rPr>
        <w:t>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1"/>
          <w:szCs w:val="21"/>
          <w:highlight w:val="none"/>
          <w:lang w:eastAsia="zh-CN"/>
        </w:rPr>
        <w:t>。</w:t>
      </w:r>
    </w:p>
    <w:p w14:paraId="3A4CD140">
      <w:pPr>
        <w:pStyle w:val="3"/>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（2）采用中华人民共和国法定计量单位。</w:t>
      </w:r>
    </w:p>
    <w:p w14:paraId="123AAB27">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（3）乙方所</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的货物应符合国家有关安全、环保、卫生</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规定。</w:t>
      </w:r>
    </w:p>
    <w:p w14:paraId="6AA5B7FA">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（4）乙方应向甲方提交所</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货物的技术文件，包括相应的中文技术文件，如：产品目录、图纸、操作手册、使用说明、维护手册或服务指南</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上述</w:t>
      </w:r>
      <w:r>
        <w:rPr>
          <w:rFonts w:hint="eastAsia" w:ascii="宋体" w:hAnsi="宋体" w:eastAsia="宋体" w:cs="宋体"/>
          <w:color w:val="auto"/>
          <w:sz w:val="21"/>
          <w:szCs w:val="21"/>
          <w:highlight w:val="none"/>
        </w:rPr>
        <w:t>文件应包装好随货物一同发运。</w:t>
      </w:r>
    </w:p>
    <w:p w14:paraId="0E40479F">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8</w:t>
      </w:r>
      <w:r>
        <w:rPr>
          <w:rFonts w:hint="eastAsia" w:ascii="宋体" w:hAnsi="宋体" w:eastAsia="宋体" w:cs="宋体"/>
          <w:color w:val="auto"/>
          <w:sz w:val="21"/>
          <w:szCs w:val="21"/>
          <w:highlight w:val="none"/>
        </w:rPr>
        <w:t>.2 保证</w:t>
      </w:r>
    </w:p>
    <w:p w14:paraId="33EBD439">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（1）乙方应保证</w:t>
      </w:r>
      <w:r>
        <w:rPr>
          <w:rFonts w:hint="eastAsia" w:ascii="宋体" w:hAnsi="宋体" w:eastAsia="宋体" w:cs="宋体"/>
          <w:color w:val="auto"/>
          <w:sz w:val="21"/>
          <w:szCs w:val="21"/>
          <w:highlight w:val="none"/>
          <w:lang w:eastAsia="zh-CN"/>
        </w:rPr>
        <w:t>提供的货物</w:t>
      </w:r>
      <w:r>
        <w:rPr>
          <w:rFonts w:hint="eastAsia" w:ascii="宋体" w:hAnsi="宋体" w:eastAsia="宋体" w:cs="宋体"/>
          <w:color w:val="auto"/>
          <w:sz w:val="21"/>
          <w:szCs w:val="21"/>
          <w:highlight w:val="none"/>
        </w:rPr>
        <w:t>完全符合合同规定的质量、规格和性能要求。乙方应保证货物在正确安装、正常使用和保养条件下，在其使用寿命期内具</w:t>
      </w:r>
      <w:r>
        <w:rPr>
          <w:rFonts w:hint="eastAsia" w:ascii="宋体" w:hAnsi="宋体" w:eastAsia="宋体" w:cs="宋体"/>
          <w:color w:val="auto"/>
          <w:sz w:val="21"/>
          <w:szCs w:val="21"/>
          <w:highlight w:val="none"/>
          <w:lang w:eastAsia="zh-CN"/>
        </w:rPr>
        <w:t>备合同约定</w:t>
      </w:r>
      <w:r>
        <w:rPr>
          <w:rFonts w:hint="eastAsia" w:ascii="宋体" w:hAnsi="宋体" w:eastAsia="宋体" w:cs="宋体"/>
          <w:color w:val="auto"/>
          <w:sz w:val="21"/>
          <w:szCs w:val="21"/>
          <w:highlight w:val="none"/>
        </w:rPr>
        <w:t>的性能。</w:t>
      </w:r>
      <w:r>
        <w:rPr>
          <w:rFonts w:hint="eastAsia" w:ascii="宋体" w:hAnsi="宋体" w:eastAsia="宋体" w:cs="宋体"/>
          <w:color w:val="auto"/>
          <w:sz w:val="21"/>
          <w:szCs w:val="21"/>
          <w:highlight w:val="none"/>
          <w:lang w:eastAsia="zh-CN"/>
        </w:rPr>
        <w:t>存在</w:t>
      </w:r>
      <w:r>
        <w:rPr>
          <w:rFonts w:hint="eastAsia" w:ascii="宋体" w:hAnsi="宋体" w:eastAsia="宋体" w:cs="宋体"/>
          <w:color w:val="auto"/>
          <w:sz w:val="21"/>
          <w:szCs w:val="21"/>
          <w:highlight w:val="none"/>
        </w:rPr>
        <w:t>质量保证期的，货物最终交付验收</w:t>
      </w:r>
      <w:r>
        <w:rPr>
          <w:rFonts w:hint="eastAsia" w:ascii="宋体" w:hAnsi="宋体" w:eastAsia="宋体" w:cs="宋体"/>
          <w:color w:val="auto"/>
          <w:sz w:val="21"/>
          <w:szCs w:val="21"/>
          <w:highlight w:val="none"/>
          <w:lang w:eastAsia="zh-CN"/>
        </w:rPr>
        <w:t>合格</w:t>
      </w:r>
      <w:r>
        <w:rPr>
          <w:rFonts w:hint="eastAsia" w:ascii="宋体" w:hAnsi="宋体" w:eastAsia="宋体" w:cs="宋体"/>
          <w:color w:val="auto"/>
          <w:sz w:val="21"/>
          <w:szCs w:val="21"/>
          <w:highlight w:val="none"/>
        </w:rPr>
        <w:t>后</w:t>
      </w:r>
      <w:r>
        <w:rPr>
          <w:rFonts w:hint="eastAsia" w:ascii="宋体" w:hAnsi="宋体" w:eastAsia="宋体" w:cs="宋体"/>
          <w:color w:val="auto"/>
          <w:sz w:val="21"/>
          <w:szCs w:val="21"/>
          <w:highlight w:val="none"/>
          <w:lang w:eastAsia="zh-CN"/>
        </w:rPr>
        <w:t>在</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规定或乙方</w:t>
      </w:r>
      <w:r>
        <w:rPr>
          <w:rFonts w:hint="eastAsia" w:ascii="宋体" w:hAnsi="宋体" w:eastAsia="宋体" w:cs="宋体"/>
          <w:color w:val="auto"/>
          <w:sz w:val="21"/>
          <w:szCs w:val="21"/>
          <w:highlight w:val="none"/>
          <w:lang w:eastAsia="zh-CN"/>
        </w:rPr>
        <w:t>书面</w:t>
      </w:r>
      <w:r>
        <w:rPr>
          <w:rFonts w:hint="eastAsia" w:ascii="宋体" w:hAnsi="宋体" w:eastAsia="宋体" w:cs="宋体"/>
          <w:color w:val="auto"/>
          <w:sz w:val="21"/>
          <w:szCs w:val="21"/>
          <w:highlight w:val="none"/>
        </w:rPr>
        <w:t>承诺（两者以较长的为准）的质量保证期内，本保证保持有效。</w:t>
      </w:r>
    </w:p>
    <w:p w14:paraId="4FB7CDDB">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（2）在质量保证期内所发现的缺陷，甲方应尽快以书面形式通知乙方。</w:t>
      </w:r>
    </w:p>
    <w:p w14:paraId="7EB4F37B">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（3）乙方收到通知后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应在</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规定的响应时间内以合理的速度免费维修或更换有缺陷的货物或部件。</w:t>
      </w:r>
    </w:p>
    <w:p w14:paraId="53FA3AF7">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.1条规定以书面形式</w:t>
      </w:r>
      <w:r>
        <w:rPr>
          <w:rFonts w:hint="eastAsia" w:ascii="宋体" w:hAnsi="宋体" w:eastAsia="宋体" w:cs="宋体"/>
          <w:color w:val="auto"/>
          <w:sz w:val="21"/>
          <w:szCs w:val="21"/>
          <w:highlight w:val="none"/>
          <w:lang w:eastAsia="zh-CN"/>
        </w:rPr>
        <w:t>追究</w:t>
      </w: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eastAsia="zh-CN"/>
        </w:rPr>
        <w:t>的违约责任</w:t>
      </w:r>
      <w:r>
        <w:rPr>
          <w:rFonts w:hint="eastAsia" w:ascii="宋体" w:hAnsi="宋体" w:eastAsia="宋体" w:cs="宋体"/>
          <w:color w:val="auto"/>
          <w:sz w:val="21"/>
          <w:szCs w:val="21"/>
          <w:highlight w:val="none"/>
        </w:rPr>
        <w:t>。</w:t>
      </w:r>
    </w:p>
    <w:p w14:paraId="1D98D4AC">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1"/>
          <w:szCs w:val="21"/>
          <w:highlight w:val="none"/>
          <w:lang w:eastAsia="zh-CN"/>
        </w:rPr>
        <w:t>约定</w:t>
      </w:r>
      <w:r>
        <w:rPr>
          <w:rFonts w:hint="eastAsia" w:ascii="宋体" w:hAnsi="宋体" w:eastAsia="宋体" w:cs="宋体"/>
          <w:color w:val="auto"/>
          <w:sz w:val="21"/>
          <w:szCs w:val="21"/>
          <w:highlight w:val="none"/>
        </w:rPr>
        <w:t>对乙方行使的其他权利不受影响。</w:t>
      </w:r>
    </w:p>
    <w:p w14:paraId="05CEF51B">
      <w:pPr>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9</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权利瑕疵担保</w:t>
      </w:r>
    </w:p>
    <w:p w14:paraId="350D3582">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9</w:t>
      </w:r>
      <w:r>
        <w:rPr>
          <w:rFonts w:hint="eastAsia" w:ascii="宋体" w:hAnsi="宋体" w:eastAsia="宋体" w:cs="宋体"/>
          <w:color w:val="auto"/>
          <w:sz w:val="21"/>
          <w:szCs w:val="21"/>
          <w:highlight w:val="none"/>
        </w:rPr>
        <w:t>.1 乙方保证对其出售的货物享有合法的权利。</w:t>
      </w:r>
    </w:p>
    <w:p w14:paraId="2649A65C">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9</w:t>
      </w:r>
      <w:r>
        <w:rPr>
          <w:rFonts w:hint="eastAsia" w:ascii="宋体" w:hAnsi="宋体" w:eastAsia="宋体" w:cs="宋体"/>
          <w:color w:val="auto"/>
          <w:sz w:val="21"/>
          <w:szCs w:val="21"/>
          <w:highlight w:val="none"/>
        </w:rPr>
        <w:t>.2 乙方保证在交付的货物上不存在抵押权等担保物权。</w:t>
      </w:r>
    </w:p>
    <w:p w14:paraId="27086F6C">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9</w:t>
      </w:r>
      <w:r>
        <w:rPr>
          <w:rFonts w:hint="eastAsia" w:ascii="宋体" w:hAnsi="宋体" w:eastAsia="宋体" w:cs="宋体"/>
          <w:color w:val="auto"/>
          <w:sz w:val="21"/>
          <w:szCs w:val="21"/>
          <w:highlight w:val="none"/>
        </w:rPr>
        <w:t>.3 如甲方使用</w:t>
      </w:r>
      <w:r>
        <w:rPr>
          <w:rFonts w:hint="eastAsia" w:ascii="宋体" w:hAnsi="宋体" w:eastAsia="宋体" w:cs="宋体"/>
          <w:color w:val="auto"/>
          <w:sz w:val="21"/>
          <w:szCs w:val="21"/>
          <w:highlight w:val="none"/>
          <w:lang w:val="en-US" w:eastAsia="zh-CN"/>
        </w:rPr>
        <w:t>上述</w:t>
      </w:r>
      <w:r>
        <w:rPr>
          <w:rFonts w:hint="eastAsia" w:ascii="宋体" w:hAnsi="宋体" w:eastAsia="宋体" w:cs="宋体"/>
          <w:color w:val="auto"/>
          <w:sz w:val="21"/>
          <w:szCs w:val="21"/>
          <w:highlight w:val="none"/>
        </w:rPr>
        <w:t>货物构成</w:t>
      </w:r>
      <w:r>
        <w:rPr>
          <w:rFonts w:hint="eastAsia" w:ascii="宋体" w:hAnsi="宋体" w:eastAsia="宋体" w:cs="宋体"/>
          <w:color w:val="auto"/>
          <w:sz w:val="21"/>
          <w:szCs w:val="21"/>
          <w:highlight w:val="none"/>
          <w:lang w:val="en-US" w:eastAsia="zh-CN"/>
        </w:rPr>
        <w:t>对第三人</w:t>
      </w:r>
      <w:r>
        <w:rPr>
          <w:rFonts w:hint="eastAsia" w:ascii="宋体" w:hAnsi="宋体" w:eastAsia="宋体" w:cs="宋体"/>
          <w:color w:val="auto"/>
          <w:sz w:val="21"/>
          <w:szCs w:val="21"/>
          <w:highlight w:val="none"/>
        </w:rPr>
        <w:t>侵权的，则由乙方承担全部责任。</w:t>
      </w:r>
    </w:p>
    <w:p w14:paraId="16B1D1EA">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0</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知识产权保护</w:t>
      </w:r>
    </w:p>
    <w:p w14:paraId="5BBB7C7A">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0</w:t>
      </w:r>
      <w:r>
        <w:rPr>
          <w:rFonts w:hint="eastAsia" w:ascii="宋体" w:hAnsi="宋体" w:eastAsia="宋体" w:cs="宋体"/>
          <w:color w:val="auto"/>
          <w:sz w:val="21"/>
          <w:szCs w:val="21"/>
          <w:highlight w:val="none"/>
        </w:rPr>
        <w:t>.1 乙方对其所销售的货物应当享有知识产权或经权利人合法授权，保证没有侵犯任何第三人的知识产权等权利。</w:t>
      </w:r>
      <w:bookmarkStart w:id="38" w:name="_Hlk163047038"/>
      <w:r>
        <w:rPr>
          <w:rFonts w:hint="eastAsia" w:ascii="宋体" w:hAnsi="宋体" w:eastAsia="宋体" w:cs="宋体"/>
          <w:color w:val="auto"/>
          <w:sz w:val="21"/>
          <w:szCs w:val="21"/>
          <w:highlight w:val="none"/>
        </w:rPr>
        <w:t>因违反前述约定对第三人构成侵权的，应当由乙方向第三人承担法律责任；甲方依法向第三人赔偿后，有权向乙方追偿。甲方有其他损失的，乙方应当赔偿</w:t>
      </w:r>
      <w:bookmarkEnd w:id="38"/>
      <w:r>
        <w:rPr>
          <w:rFonts w:hint="eastAsia" w:ascii="宋体" w:hAnsi="宋体" w:eastAsia="宋体" w:cs="宋体"/>
          <w:color w:val="auto"/>
          <w:sz w:val="21"/>
          <w:szCs w:val="21"/>
          <w:highlight w:val="none"/>
        </w:rPr>
        <w:t>。</w:t>
      </w:r>
    </w:p>
    <w:p w14:paraId="4104E09A">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1</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保密义务</w:t>
      </w:r>
    </w:p>
    <w:p w14:paraId="031A92DD">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11.1 </w:t>
      </w:r>
      <w:r>
        <w:rPr>
          <w:rFonts w:hint="eastAsia" w:ascii="宋体" w:hAnsi="宋体" w:eastAsia="宋体" w:cs="宋体"/>
          <w:color w:val="auto"/>
          <w:sz w:val="21"/>
          <w:szCs w:val="21"/>
          <w:highlight w:val="none"/>
        </w:rPr>
        <w:t>甲、乙双方</w:t>
      </w:r>
      <w:r>
        <w:rPr>
          <w:rFonts w:hint="eastAsia" w:ascii="宋体" w:hAnsi="宋体" w:eastAsia="宋体" w:cs="宋体"/>
          <w:color w:val="auto"/>
          <w:sz w:val="21"/>
          <w:szCs w:val="21"/>
          <w:highlight w:val="none"/>
          <w:lang w:eastAsia="zh-CN"/>
        </w:rPr>
        <w:t>对</w:t>
      </w:r>
      <w:r>
        <w:rPr>
          <w:rFonts w:hint="eastAsia" w:ascii="宋体" w:hAnsi="宋体" w:eastAsia="宋体" w:cs="宋体"/>
          <w:color w:val="auto"/>
          <w:sz w:val="21"/>
          <w:szCs w:val="21"/>
          <w:highlight w:val="none"/>
        </w:rPr>
        <w:t>采购和合同履行过程中所获悉的</w:t>
      </w:r>
      <w:r>
        <w:rPr>
          <w:rFonts w:hint="eastAsia" w:ascii="宋体" w:hAnsi="宋体" w:eastAsia="宋体" w:cs="宋体"/>
          <w:color w:val="auto"/>
          <w:sz w:val="21"/>
          <w:szCs w:val="21"/>
          <w:highlight w:val="none"/>
          <w:lang w:eastAsia="zh-CN"/>
        </w:rPr>
        <w:t>国家秘密、工作秘密、</w:t>
      </w:r>
      <w:r>
        <w:rPr>
          <w:rFonts w:hint="eastAsia" w:ascii="宋体" w:hAnsi="宋体" w:eastAsia="宋体" w:cs="宋体"/>
          <w:color w:val="auto"/>
          <w:sz w:val="21"/>
          <w:szCs w:val="21"/>
          <w:highlight w:val="none"/>
        </w:rPr>
        <w:t>商业秘密或者其他应当保密的信息，均有保密义务</w:t>
      </w:r>
      <w:r>
        <w:rPr>
          <w:rFonts w:hint="eastAsia" w:ascii="宋体" w:hAnsi="宋体" w:eastAsia="宋体" w:cs="宋体"/>
          <w:color w:val="auto"/>
          <w:sz w:val="21"/>
          <w:szCs w:val="21"/>
          <w:highlight w:val="none"/>
          <w:lang w:eastAsia="zh-CN"/>
        </w:rPr>
        <w:t>且不受合同有效期所限，直至该信息成为公开信息</w:t>
      </w:r>
      <w:r>
        <w:rPr>
          <w:rFonts w:hint="eastAsia" w:ascii="宋体" w:hAnsi="宋体" w:eastAsia="宋体" w:cs="宋体"/>
          <w:color w:val="auto"/>
          <w:sz w:val="21"/>
          <w:szCs w:val="21"/>
          <w:highlight w:val="none"/>
        </w:rPr>
        <w:t>。泄露、不正当地使用</w:t>
      </w:r>
      <w:r>
        <w:rPr>
          <w:rFonts w:hint="eastAsia" w:ascii="宋体" w:hAnsi="宋体" w:eastAsia="宋体" w:cs="宋体"/>
          <w:color w:val="auto"/>
          <w:sz w:val="21"/>
          <w:szCs w:val="21"/>
          <w:highlight w:val="none"/>
          <w:lang w:eastAsia="zh-CN"/>
        </w:rPr>
        <w:t>国家秘密、工作秘密、</w:t>
      </w:r>
      <w:r>
        <w:rPr>
          <w:rFonts w:hint="eastAsia" w:ascii="宋体" w:hAnsi="宋体" w:eastAsia="宋体" w:cs="宋体"/>
          <w:color w:val="auto"/>
          <w:sz w:val="21"/>
          <w:szCs w:val="21"/>
          <w:highlight w:val="none"/>
        </w:rPr>
        <w:t>商业秘密或者</w:t>
      </w:r>
      <w:r>
        <w:rPr>
          <w:rFonts w:hint="eastAsia" w:ascii="宋体" w:hAnsi="宋体" w:eastAsia="宋体" w:cs="宋体"/>
          <w:color w:val="auto"/>
          <w:sz w:val="21"/>
          <w:szCs w:val="21"/>
          <w:highlight w:val="none"/>
          <w:lang w:eastAsia="zh-CN"/>
        </w:rPr>
        <w:t>其他应当保密的</w:t>
      </w:r>
      <w:r>
        <w:rPr>
          <w:rFonts w:hint="eastAsia" w:ascii="宋体" w:hAnsi="宋体" w:eastAsia="宋体" w:cs="宋体"/>
          <w:color w:val="auto"/>
          <w:sz w:val="21"/>
          <w:szCs w:val="21"/>
          <w:highlight w:val="none"/>
        </w:rPr>
        <w:t>信息，应当承担</w:t>
      </w:r>
      <w:r>
        <w:rPr>
          <w:rFonts w:hint="eastAsia" w:ascii="宋体" w:hAnsi="宋体" w:eastAsia="宋体" w:cs="宋体"/>
          <w:color w:val="auto"/>
          <w:sz w:val="21"/>
          <w:szCs w:val="21"/>
          <w:highlight w:val="none"/>
          <w:lang w:eastAsia="zh-CN"/>
        </w:rPr>
        <w:t>相应</w:t>
      </w:r>
      <w:r>
        <w:rPr>
          <w:rFonts w:hint="eastAsia" w:ascii="宋体" w:hAnsi="宋体" w:eastAsia="宋体" w:cs="宋体"/>
          <w:color w:val="auto"/>
          <w:sz w:val="21"/>
          <w:szCs w:val="21"/>
          <w:highlight w:val="none"/>
        </w:rPr>
        <w:t>责任。其他应当保密的信息由双方在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中约定。</w:t>
      </w:r>
    </w:p>
    <w:p w14:paraId="34D61654">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2</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合同价款支付</w:t>
      </w:r>
    </w:p>
    <w:p w14:paraId="3B6C2426">
      <w:pPr>
        <w:autoSpaceDE/>
        <w:autoSpaceDN/>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合同价款支付</w:t>
      </w:r>
      <w:r>
        <w:rPr>
          <w:rFonts w:hint="eastAsia" w:ascii="宋体" w:hAnsi="宋体" w:eastAsia="宋体" w:cs="宋体"/>
          <w:color w:val="auto"/>
          <w:sz w:val="21"/>
          <w:szCs w:val="21"/>
          <w:highlight w:val="none"/>
        </w:rPr>
        <w:t>按照国库集中支付</w:t>
      </w:r>
      <w:r>
        <w:rPr>
          <w:rFonts w:hint="eastAsia" w:ascii="宋体" w:hAnsi="宋体" w:eastAsia="宋体" w:cs="宋体"/>
          <w:color w:val="auto"/>
          <w:sz w:val="21"/>
          <w:szCs w:val="21"/>
          <w:highlight w:val="none"/>
          <w:lang w:eastAsia="zh-CN"/>
        </w:rPr>
        <w:t>制度及财政管理相关</w:t>
      </w:r>
      <w:r>
        <w:rPr>
          <w:rFonts w:hint="eastAsia" w:ascii="宋体" w:hAnsi="宋体" w:eastAsia="宋体" w:cs="宋体"/>
          <w:color w:val="auto"/>
          <w:sz w:val="21"/>
          <w:szCs w:val="21"/>
          <w:highlight w:val="none"/>
        </w:rPr>
        <w:t>规定执行。</w:t>
      </w:r>
    </w:p>
    <w:p w14:paraId="096F8C9C">
      <w:pPr>
        <w:autoSpaceDE/>
        <w:autoSpaceDN/>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 xml:space="preserve">12.2 </w:t>
      </w:r>
      <w:r>
        <w:rPr>
          <w:rFonts w:hint="eastAsia" w:ascii="宋体" w:hAnsi="宋体" w:eastAsia="宋体" w:cs="宋体"/>
          <w:b w:val="0"/>
          <w:bCs w:val="0"/>
          <w:color w:val="auto"/>
          <w:kern w:val="2"/>
          <w:sz w:val="21"/>
          <w:szCs w:val="21"/>
          <w:highlight w:val="none"/>
        </w:rPr>
        <w:t>对于满足合同约定支付条件的，</w:t>
      </w:r>
      <w:r>
        <w:rPr>
          <w:rFonts w:hint="eastAsia" w:ascii="宋体" w:hAnsi="宋体" w:eastAsia="宋体" w:cs="宋体"/>
          <w:b w:val="0"/>
          <w:bCs w:val="0"/>
          <w:color w:val="auto"/>
          <w:kern w:val="2"/>
          <w:sz w:val="21"/>
          <w:szCs w:val="21"/>
          <w:highlight w:val="none"/>
          <w:lang w:val="en-US" w:eastAsia="zh-CN"/>
        </w:rPr>
        <w:t>甲方</w:t>
      </w:r>
      <w:r>
        <w:rPr>
          <w:rFonts w:hint="eastAsia" w:ascii="宋体" w:hAnsi="宋体" w:eastAsia="宋体" w:cs="宋体"/>
          <w:b w:val="0"/>
          <w:bCs w:val="0"/>
          <w:i w:val="0"/>
          <w:iCs w:val="0"/>
          <w:caps w:val="0"/>
          <w:color w:val="auto"/>
          <w:spacing w:val="0"/>
          <w:sz w:val="21"/>
          <w:szCs w:val="21"/>
          <w:highlight w:val="none"/>
          <w:shd w:val="clear" w:color="auto" w:fill="auto"/>
          <w:vertAlign w:val="baseline"/>
        </w:rPr>
        <w:t>原则上应当自收到发票后10个工作日内</w:t>
      </w:r>
      <w:r>
        <w:rPr>
          <w:rFonts w:hint="eastAsia" w:ascii="宋体" w:hAnsi="宋体" w:eastAsia="宋体" w:cs="宋体"/>
          <w:b w:val="0"/>
          <w:bCs w:val="0"/>
          <w:color w:val="auto"/>
          <w:kern w:val="2"/>
          <w:sz w:val="21"/>
          <w:szCs w:val="21"/>
          <w:highlight w:val="none"/>
        </w:rPr>
        <w:t>将资金支付到合同约定的</w:t>
      </w:r>
      <w:r>
        <w:rPr>
          <w:rFonts w:hint="eastAsia" w:ascii="宋体" w:hAnsi="宋体" w:eastAsia="宋体" w:cs="宋体"/>
          <w:b w:val="0"/>
          <w:bCs w:val="0"/>
          <w:color w:val="auto"/>
          <w:kern w:val="2"/>
          <w:sz w:val="21"/>
          <w:szCs w:val="21"/>
          <w:highlight w:val="none"/>
          <w:lang w:eastAsia="zh-CN"/>
        </w:rPr>
        <w:t>乙方</w:t>
      </w:r>
      <w:r>
        <w:rPr>
          <w:rFonts w:hint="eastAsia" w:ascii="宋体" w:hAnsi="宋体" w:eastAsia="宋体" w:cs="宋体"/>
          <w:b w:val="0"/>
          <w:bCs w:val="0"/>
          <w:color w:val="auto"/>
          <w:kern w:val="2"/>
          <w:sz w:val="21"/>
          <w:szCs w:val="21"/>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1"/>
          <w:szCs w:val="21"/>
          <w:highlight w:val="none"/>
          <w:lang w:val="en-US" w:eastAsia="zh-CN"/>
        </w:rPr>
        <w:t>乙方</w:t>
      </w:r>
      <w:r>
        <w:rPr>
          <w:rFonts w:hint="eastAsia" w:ascii="宋体" w:hAnsi="宋体" w:eastAsia="宋体" w:cs="宋体"/>
          <w:b w:val="0"/>
          <w:bCs w:val="0"/>
          <w:color w:val="auto"/>
          <w:kern w:val="2"/>
          <w:sz w:val="21"/>
          <w:szCs w:val="21"/>
          <w:highlight w:val="none"/>
        </w:rPr>
        <w:t>付款的条件。具体合同价款支付时间在【</w:t>
      </w:r>
      <w:r>
        <w:rPr>
          <w:rFonts w:hint="eastAsia" w:ascii="宋体" w:hAnsi="宋体" w:eastAsia="宋体" w:cs="宋体"/>
          <w:b/>
          <w:bCs/>
          <w:color w:val="auto"/>
          <w:kern w:val="2"/>
          <w:sz w:val="21"/>
          <w:szCs w:val="21"/>
          <w:highlight w:val="none"/>
        </w:rPr>
        <w:t>政府采购合同专用条款</w:t>
      </w:r>
      <w:r>
        <w:rPr>
          <w:rFonts w:hint="eastAsia" w:ascii="宋体" w:hAnsi="宋体" w:eastAsia="宋体" w:cs="宋体"/>
          <w:b w:val="0"/>
          <w:bCs w:val="0"/>
          <w:color w:val="auto"/>
          <w:kern w:val="2"/>
          <w:sz w:val="21"/>
          <w:szCs w:val="21"/>
          <w:highlight w:val="none"/>
        </w:rPr>
        <w:t>】中</w:t>
      </w:r>
      <w:r>
        <w:rPr>
          <w:rFonts w:hint="eastAsia" w:ascii="宋体" w:hAnsi="宋体" w:eastAsia="宋体" w:cs="宋体"/>
          <w:b w:val="0"/>
          <w:bCs w:val="0"/>
          <w:color w:val="auto"/>
          <w:kern w:val="2"/>
          <w:sz w:val="21"/>
          <w:szCs w:val="21"/>
          <w:highlight w:val="none"/>
          <w:lang w:eastAsia="zh-CN"/>
        </w:rPr>
        <w:t>约</w:t>
      </w:r>
      <w:r>
        <w:rPr>
          <w:rFonts w:hint="eastAsia" w:ascii="宋体" w:hAnsi="宋体" w:eastAsia="宋体" w:cs="宋体"/>
          <w:b w:val="0"/>
          <w:bCs w:val="0"/>
          <w:color w:val="auto"/>
          <w:kern w:val="2"/>
          <w:sz w:val="21"/>
          <w:szCs w:val="21"/>
          <w:highlight w:val="none"/>
        </w:rPr>
        <w:t>定。</w:t>
      </w:r>
    </w:p>
    <w:p w14:paraId="03459A8F">
      <w:pPr>
        <w:pStyle w:val="16"/>
        <w:spacing w:after="0" w:line="4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3</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履约保证金</w:t>
      </w:r>
    </w:p>
    <w:p w14:paraId="5A0A11F0">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.1 乙方应当以支票、汇票、本票或者金融机构、担保机构出具的保函等非现金形式提交。</w:t>
      </w:r>
    </w:p>
    <w:p w14:paraId="79BFD8D5">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.2 如果乙方</w:t>
      </w:r>
      <w:r>
        <w:rPr>
          <w:rFonts w:hint="eastAsia" w:ascii="宋体" w:hAnsi="宋体" w:eastAsia="宋体" w:cs="宋体"/>
          <w:color w:val="auto"/>
          <w:sz w:val="21"/>
          <w:szCs w:val="21"/>
          <w:highlight w:val="none"/>
          <w:lang w:eastAsia="zh-CN"/>
        </w:rPr>
        <w:t>出现</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b w:val="0"/>
          <w:bCs w:val="0"/>
          <w:color w:val="auto"/>
          <w:sz w:val="21"/>
          <w:szCs w:val="21"/>
          <w:highlight w:val="none"/>
          <w:lang w:eastAsia="zh-CN"/>
        </w:rPr>
        <w:t>约定情形的</w:t>
      </w:r>
      <w:r>
        <w:rPr>
          <w:rFonts w:hint="eastAsia" w:ascii="宋体" w:hAnsi="宋体" w:eastAsia="宋体" w:cs="宋体"/>
          <w:color w:val="auto"/>
          <w:sz w:val="21"/>
          <w:szCs w:val="21"/>
          <w:highlight w:val="none"/>
        </w:rPr>
        <w:t>，履约保证金不予退还；如果乙方未能按合同约定全面履行义务，甲方有权从履约保证金中取得补偿或赔偿，</w:t>
      </w:r>
      <w:r>
        <w:rPr>
          <w:rFonts w:hint="eastAsia" w:ascii="宋体" w:hAnsi="宋体" w:eastAsia="宋体" w:cs="宋体"/>
          <w:color w:val="auto"/>
          <w:sz w:val="21"/>
          <w:szCs w:val="21"/>
          <w:highlight w:val="none"/>
          <w:lang w:eastAsia="zh-CN"/>
        </w:rPr>
        <w:t>且</w:t>
      </w:r>
      <w:r>
        <w:rPr>
          <w:rFonts w:hint="eastAsia" w:ascii="宋体" w:hAnsi="宋体" w:eastAsia="宋体" w:cs="宋体"/>
          <w:color w:val="auto"/>
          <w:sz w:val="21"/>
          <w:szCs w:val="21"/>
          <w:highlight w:val="none"/>
        </w:rPr>
        <w:t>不影响甲方要求乙方承担合同约定的超过履约保证金的违约责任的权利。</w:t>
      </w:r>
    </w:p>
    <w:p w14:paraId="6DBA9255">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.3 甲方在项目通过验收后按照</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规定的时间内将履约保证金退还乙方；逾期退还的，乙方可要求甲方支付违约金，违约金按照</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规定支付。</w:t>
      </w:r>
    </w:p>
    <w:p w14:paraId="72ADEE86">
      <w:pPr>
        <w:autoSpaceDE w:val="0"/>
        <w:autoSpaceDN w:val="0"/>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4</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color w:val="auto"/>
          <w:sz w:val="21"/>
          <w:szCs w:val="21"/>
          <w:highlight w:val="none"/>
        </w:rPr>
        <w:t>售后服务</w:t>
      </w:r>
    </w:p>
    <w:p w14:paraId="4EEB1744">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.1 除项目不涉及或采购活动中明确约定无须承担外，乙方还应提供下列服务：</w:t>
      </w:r>
    </w:p>
    <w:p w14:paraId="178CEE07">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（1）货物的现场移动、安装、调试、启动监督及技术支持；</w:t>
      </w:r>
    </w:p>
    <w:p w14:paraId="166BA04F">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（2）提供货物组装和维修所需的专用工具和辅助材料；</w:t>
      </w:r>
    </w:p>
    <w:p w14:paraId="130036D4">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lang w:eastAsia="zh-CN"/>
        </w:rPr>
        <w:t>约定</w:t>
      </w:r>
      <w:r>
        <w:rPr>
          <w:rFonts w:hint="eastAsia" w:ascii="宋体" w:hAnsi="宋体" w:eastAsia="宋体" w:cs="宋体"/>
          <w:color w:val="auto"/>
          <w:sz w:val="21"/>
          <w:szCs w:val="21"/>
          <w:highlight w:val="none"/>
        </w:rPr>
        <w:t>的期限内对所有的货物实施运行监督、维修，但前提条件是该服务并不能免除乙方在质量保证期内所承担的义务；</w:t>
      </w:r>
    </w:p>
    <w:p w14:paraId="68ABDEDB">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（4）在制造商</w:t>
      </w:r>
      <w:r>
        <w:rPr>
          <w:rFonts w:hint="eastAsia" w:ascii="宋体" w:hAnsi="宋体" w:eastAsia="宋体" w:cs="宋体"/>
          <w:color w:val="auto"/>
          <w:sz w:val="21"/>
          <w:szCs w:val="21"/>
          <w:highlight w:val="none"/>
          <w:lang w:eastAsia="zh-CN"/>
        </w:rPr>
        <w:t>所在地</w:t>
      </w:r>
      <w:r>
        <w:rPr>
          <w:rFonts w:hint="eastAsia" w:ascii="宋体" w:hAnsi="宋体" w:eastAsia="宋体" w:cs="宋体"/>
          <w:color w:val="auto"/>
          <w:sz w:val="21"/>
          <w:szCs w:val="21"/>
          <w:highlight w:val="none"/>
        </w:rPr>
        <w:t>或</w:t>
      </w:r>
      <w:r>
        <w:rPr>
          <w:rFonts w:hint="eastAsia" w:ascii="宋体" w:hAnsi="宋体" w:eastAsia="宋体" w:cs="宋体"/>
          <w:color w:val="auto"/>
          <w:sz w:val="21"/>
          <w:szCs w:val="21"/>
          <w:highlight w:val="none"/>
          <w:lang w:eastAsia="zh-CN"/>
        </w:rPr>
        <w:t>指定</w:t>
      </w:r>
      <w:r>
        <w:rPr>
          <w:rFonts w:hint="eastAsia" w:ascii="宋体" w:hAnsi="宋体" w:eastAsia="宋体" w:cs="宋体"/>
          <w:color w:val="auto"/>
          <w:sz w:val="21"/>
          <w:szCs w:val="21"/>
          <w:highlight w:val="none"/>
        </w:rPr>
        <w:t>现场就货物的安装、启动、运营、维护</w:t>
      </w:r>
      <w:r>
        <w:rPr>
          <w:rFonts w:hint="eastAsia" w:ascii="宋体" w:hAnsi="宋体" w:eastAsia="宋体" w:cs="宋体"/>
          <w:color w:val="auto"/>
          <w:sz w:val="21"/>
          <w:szCs w:val="21"/>
          <w:highlight w:val="none"/>
          <w:lang w:eastAsia="zh-CN"/>
        </w:rPr>
        <w:t>、废弃处置等</w:t>
      </w:r>
      <w:r>
        <w:rPr>
          <w:rFonts w:hint="eastAsia" w:ascii="宋体" w:hAnsi="宋体" w:eastAsia="宋体" w:cs="宋体"/>
          <w:color w:val="auto"/>
          <w:sz w:val="21"/>
          <w:szCs w:val="21"/>
          <w:highlight w:val="none"/>
        </w:rPr>
        <w:t>对甲方操作人员进行培训</w:t>
      </w:r>
      <w:r>
        <w:rPr>
          <w:rFonts w:hint="eastAsia" w:ascii="宋体" w:hAnsi="宋体" w:eastAsia="宋体" w:cs="宋体"/>
          <w:color w:val="auto"/>
          <w:sz w:val="21"/>
          <w:szCs w:val="21"/>
          <w:highlight w:val="none"/>
          <w:lang w:eastAsia="zh-CN"/>
        </w:rPr>
        <w:t>；</w:t>
      </w:r>
    </w:p>
    <w:p w14:paraId="7416DCCF">
      <w:pPr>
        <w:pStyle w:val="9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（5）依照法律、行政法规的规定或者按照</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约定，货物在有效使用年限届满后应予回收的，乙方负有自行或者委托第三人对货物予以回收的义务；</w:t>
      </w:r>
    </w:p>
    <w:p w14:paraId="709E8EBE">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规定由乙方提供的其他服务。</w:t>
      </w:r>
    </w:p>
    <w:p w14:paraId="1F35BE0E">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.2 乙方提供的</w:t>
      </w:r>
      <w:r>
        <w:rPr>
          <w:rFonts w:hint="eastAsia" w:ascii="宋体" w:hAnsi="宋体" w:eastAsia="宋体" w:cs="宋体"/>
          <w:color w:val="auto"/>
          <w:sz w:val="21"/>
          <w:szCs w:val="21"/>
          <w:highlight w:val="none"/>
          <w:lang w:eastAsia="zh-CN"/>
        </w:rPr>
        <w:t>售后</w:t>
      </w:r>
      <w:r>
        <w:rPr>
          <w:rFonts w:hint="eastAsia" w:ascii="宋体" w:hAnsi="宋体" w:eastAsia="宋体" w:cs="宋体"/>
          <w:color w:val="auto"/>
          <w:sz w:val="21"/>
          <w:szCs w:val="21"/>
          <w:highlight w:val="none"/>
        </w:rPr>
        <w:t>服务的费用</w:t>
      </w:r>
      <w:r>
        <w:rPr>
          <w:rFonts w:hint="eastAsia" w:ascii="宋体" w:hAnsi="宋体" w:eastAsia="宋体" w:cs="宋体"/>
          <w:color w:val="auto"/>
          <w:sz w:val="21"/>
          <w:szCs w:val="21"/>
          <w:highlight w:val="none"/>
          <w:lang w:val="en-US" w:eastAsia="zh-CN"/>
        </w:rPr>
        <w:t>已</w:t>
      </w:r>
      <w:r>
        <w:rPr>
          <w:rFonts w:hint="eastAsia" w:ascii="宋体" w:hAnsi="宋体" w:eastAsia="宋体" w:cs="宋体"/>
          <w:color w:val="auto"/>
          <w:sz w:val="21"/>
          <w:szCs w:val="21"/>
          <w:highlight w:val="none"/>
        </w:rPr>
        <w:t>包含在合同价款中，甲方不再另行支付。</w:t>
      </w:r>
    </w:p>
    <w:p w14:paraId="3C843E8C">
      <w:pPr>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5</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违约责任</w:t>
      </w:r>
    </w:p>
    <w:p w14:paraId="126BA3E8">
      <w:pPr>
        <w:adjustRightInd w:val="0"/>
        <w:snapToGrid w:val="0"/>
        <w:spacing w:before="0" w:line="40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eastAsia="zh-CN"/>
        </w:rPr>
        <w:t>5</w:t>
      </w:r>
      <w:r>
        <w:rPr>
          <w:rFonts w:hint="eastAsia" w:ascii="宋体" w:hAnsi="宋体" w:eastAsia="宋体" w:cs="宋体"/>
          <w:bCs/>
          <w:color w:val="auto"/>
          <w:sz w:val="21"/>
          <w:szCs w:val="21"/>
          <w:highlight w:val="none"/>
        </w:rPr>
        <w:t>.1质量瑕疵的</w:t>
      </w:r>
      <w:r>
        <w:rPr>
          <w:rFonts w:hint="eastAsia" w:ascii="宋体" w:hAnsi="宋体" w:eastAsia="宋体" w:cs="宋体"/>
          <w:bCs/>
          <w:color w:val="auto"/>
          <w:sz w:val="21"/>
          <w:szCs w:val="21"/>
          <w:highlight w:val="none"/>
          <w:lang w:eastAsia="zh-CN"/>
        </w:rPr>
        <w:t>违约责任</w:t>
      </w:r>
    </w:p>
    <w:p w14:paraId="7F64D91C">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的产品不符合</w:t>
      </w:r>
      <w:r>
        <w:rPr>
          <w:rFonts w:hint="eastAsia" w:ascii="宋体" w:hAnsi="宋体" w:eastAsia="宋体" w:cs="宋体"/>
          <w:color w:val="auto"/>
          <w:sz w:val="21"/>
          <w:szCs w:val="21"/>
          <w:highlight w:val="none"/>
          <w:lang w:eastAsia="zh-CN"/>
        </w:rPr>
        <w:t>合同约定的</w:t>
      </w:r>
      <w:r>
        <w:rPr>
          <w:rFonts w:hint="eastAsia" w:ascii="宋体" w:hAnsi="宋体" w:eastAsia="宋体" w:cs="宋体"/>
          <w:color w:val="auto"/>
          <w:sz w:val="21"/>
          <w:szCs w:val="21"/>
          <w:highlight w:val="none"/>
        </w:rPr>
        <w:t>质量标准或存在产品质量缺陷，</w:t>
      </w:r>
      <w:r>
        <w:rPr>
          <w:rFonts w:hint="eastAsia" w:ascii="宋体" w:hAnsi="宋体" w:eastAsia="宋体" w:cs="宋体"/>
          <w:color w:val="auto"/>
          <w:sz w:val="21"/>
          <w:szCs w:val="21"/>
          <w:highlight w:val="none"/>
          <w:lang w:eastAsia="zh-CN"/>
        </w:rPr>
        <w:t>甲方有权要求乙方根据</w:t>
      </w:r>
      <w:r>
        <w:rPr>
          <w:rFonts w:hint="eastAsia" w:ascii="宋体" w:hAnsi="宋体" w:eastAsia="宋体" w:cs="宋体"/>
          <w:b/>
          <w:color w:val="auto"/>
          <w:sz w:val="21"/>
          <w:szCs w:val="21"/>
          <w:highlight w:val="none"/>
        </w:rPr>
        <w:t>【政府采购合同专用条款】</w:t>
      </w:r>
      <w:r>
        <w:rPr>
          <w:rFonts w:hint="eastAsia" w:ascii="宋体" w:hAnsi="宋体" w:eastAsia="宋体" w:cs="宋体"/>
          <w:b w:val="0"/>
          <w:bCs/>
          <w:color w:val="auto"/>
          <w:sz w:val="21"/>
          <w:szCs w:val="21"/>
          <w:highlight w:val="none"/>
          <w:lang w:eastAsia="zh-CN"/>
        </w:rPr>
        <w:t>要求</w:t>
      </w:r>
      <w:r>
        <w:rPr>
          <w:rFonts w:hint="eastAsia" w:ascii="宋体" w:hAnsi="宋体" w:eastAsia="宋体" w:cs="宋体"/>
          <w:color w:val="auto"/>
          <w:sz w:val="21"/>
          <w:szCs w:val="21"/>
          <w:highlight w:val="none"/>
          <w:lang w:eastAsia="zh-CN"/>
        </w:rPr>
        <w:t>及时修理、重作、更换，并承担由此给甲</w:t>
      </w:r>
      <w:r>
        <w:rPr>
          <w:rFonts w:hint="eastAsia" w:ascii="宋体" w:hAnsi="宋体" w:eastAsia="宋体" w:cs="宋体"/>
          <w:color w:val="auto"/>
          <w:sz w:val="21"/>
          <w:szCs w:val="21"/>
          <w:highlight w:val="none"/>
        </w:rPr>
        <w:t>方</w:t>
      </w:r>
      <w:r>
        <w:rPr>
          <w:rFonts w:hint="eastAsia" w:ascii="宋体" w:hAnsi="宋体" w:eastAsia="宋体" w:cs="宋体"/>
          <w:color w:val="auto"/>
          <w:sz w:val="21"/>
          <w:szCs w:val="21"/>
          <w:highlight w:val="none"/>
          <w:lang w:eastAsia="zh-CN"/>
        </w:rPr>
        <w:t>造成的损失</w:t>
      </w:r>
      <w:r>
        <w:rPr>
          <w:rFonts w:hint="eastAsia" w:ascii="宋体" w:hAnsi="宋体" w:eastAsia="宋体" w:cs="宋体"/>
          <w:color w:val="auto"/>
          <w:sz w:val="21"/>
          <w:szCs w:val="21"/>
          <w:highlight w:val="none"/>
        </w:rPr>
        <w:t>。</w:t>
      </w:r>
    </w:p>
    <w:p w14:paraId="15423D22">
      <w:pPr>
        <w:autoSpaceDE w:val="0"/>
        <w:autoSpaceDN w:val="0"/>
        <w:adjustRightInd w:val="0"/>
        <w:snapToGrid w:val="0"/>
        <w:spacing w:before="0" w:line="40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eastAsia="zh-CN"/>
        </w:rPr>
        <w:t>5</w:t>
      </w:r>
      <w:r>
        <w:rPr>
          <w:rFonts w:hint="eastAsia" w:ascii="宋体" w:hAnsi="宋体" w:eastAsia="宋体" w:cs="宋体"/>
          <w:bCs/>
          <w:color w:val="auto"/>
          <w:sz w:val="21"/>
          <w:szCs w:val="21"/>
          <w:highlight w:val="none"/>
        </w:rPr>
        <w:t>.2 迟延交货的违约责任</w:t>
      </w:r>
    </w:p>
    <w:p w14:paraId="7FC3A6A6">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（1）乙方应按照本合同规定的时间、地点交货和提供</w:t>
      </w:r>
      <w:r>
        <w:rPr>
          <w:rFonts w:hint="eastAsia" w:ascii="宋体" w:hAnsi="宋体" w:eastAsia="宋体" w:cs="宋体"/>
          <w:color w:val="auto"/>
          <w:sz w:val="21"/>
          <w:szCs w:val="21"/>
          <w:highlight w:val="none"/>
          <w:lang w:eastAsia="zh-CN"/>
        </w:rPr>
        <w:t>相关</w:t>
      </w:r>
      <w:r>
        <w:rPr>
          <w:rFonts w:hint="eastAsia" w:ascii="宋体" w:hAnsi="宋体" w:eastAsia="宋体" w:cs="宋体"/>
          <w:color w:val="auto"/>
          <w:sz w:val="21"/>
          <w:szCs w:val="21"/>
          <w:highlight w:val="none"/>
        </w:rPr>
        <w:t>服务。在履行合同过程中，如果乙方遇到可能</w:t>
      </w:r>
      <w:r>
        <w:rPr>
          <w:rFonts w:hint="eastAsia" w:ascii="宋体" w:hAnsi="宋体" w:eastAsia="宋体" w:cs="宋体"/>
          <w:color w:val="auto"/>
          <w:sz w:val="21"/>
          <w:szCs w:val="21"/>
          <w:highlight w:val="none"/>
          <w:lang w:eastAsia="zh-CN"/>
        </w:rPr>
        <w:t>影响</w:t>
      </w:r>
      <w:r>
        <w:rPr>
          <w:rFonts w:hint="eastAsia" w:ascii="宋体" w:hAnsi="宋体" w:eastAsia="宋体" w:cs="宋体"/>
          <w:color w:val="auto"/>
          <w:sz w:val="21"/>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1"/>
          <w:szCs w:val="21"/>
          <w:highlight w:val="none"/>
          <w:lang w:eastAsia="zh-CN"/>
        </w:rPr>
        <w:t>长</w:t>
      </w:r>
      <w:r>
        <w:rPr>
          <w:rFonts w:hint="eastAsia" w:ascii="宋体" w:hAnsi="宋体" w:eastAsia="宋体" w:cs="宋体"/>
          <w:color w:val="auto"/>
          <w:sz w:val="21"/>
          <w:szCs w:val="21"/>
          <w:highlight w:val="none"/>
        </w:rPr>
        <w:t>交货时间或延期提供服务。</w:t>
      </w:r>
    </w:p>
    <w:p w14:paraId="0C855CAE">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（2）如果乙方没有按照合同规定的时间交货和提供</w:t>
      </w:r>
      <w:r>
        <w:rPr>
          <w:rFonts w:hint="eastAsia" w:ascii="宋体" w:hAnsi="宋体" w:eastAsia="宋体" w:cs="宋体"/>
          <w:color w:val="auto"/>
          <w:sz w:val="21"/>
          <w:szCs w:val="21"/>
          <w:highlight w:val="none"/>
          <w:lang w:eastAsia="zh-CN"/>
        </w:rPr>
        <w:t>相关</w:t>
      </w:r>
      <w:r>
        <w:rPr>
          <w:rFonts w:hint="eastAsia" w:ascii="宋体" w:hAnsi="宋体" w:eastAsia="宋体" w:cs="宋体"/>
          <w:color w:val="auto"/>
          <w:sz w:val="21"/>
          <w:szCs w:val="21"/>
          <w:highlight w:val="none"/>
        </w:rPr>
        <w:t>服务，甲方有权从货款中扣除误期赔偿费而不影响合同项下的其他补救方法，赔偿费按</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规定执行。如果涉及公共利益，且赔偿金额无法弥补公共利益损失，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可要求继续履行或者</w:t>
      </w:r>
      <w:r>
        <w:rPr>
          <w:rFonts w:hint="eastAsia" w:ascii="宋体" w:hAnsi="宋体" w:eastAsia="宋体" w:cs="宋体"/>
          <w:color w:val="auto"/>
          <w:sz w:val="21"/>
          <w:szCs w:val="21"/>
          <w:highlight w:val="none"/>
          <w:lang w:eastAsia="zh-CN"/>
        </w:rPr>
        <w:t>采取其他补救措施</w:t>
      </w:r>
      <w:r>
        <w:rPr>
          <w:rFonts w:hint="eastAsia" w:ascii="宋体" w:hAnsi="宋体" w:eastAsia="宋体" w:cs="宋体"/>
          <w:color w:val="auto"/>
          <w:sz w:val="21"/>
          <w:szCs w:val="21"/>
          <w:highlight w:val="none"/>
        </w:rPr>
        <w:t>。</w:t>
      </w:r>
    </w:p>
    <w:p w14:paraId="066F0A3F">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.3 迟延支付的违约责任</w:t>
      </w:r>
    </w:p>
    <w:p w14:paraId="5A24F762">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甲方存在迟延支付乙方合同款项的，应当承担</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规定的逾期付款利息。</w:t>
      </w:r>
    </w:p>
    <w:p w14:paraId="1D7DCC0C">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eastAsia="zh-CN"/>
        </w:rPr>
        <w:t>5</w:t>
      </w:r>
      <w:r>
        <w:rPr>
          <w:rFonts w:hint="eastAsia" w:ascii="宋体" w:hAnsi="宋体" w:eastAsia="宋体" w:cs="宋体"/>
          <w:bCs/>
          <w:color w:val="auto"/>
          <w:sz w:val="21"/>
          <w:szCs w:val="21"/>
          <w:highlight w:val="none"/>
        </w:rPr>
        <w:t>.4其他违约责任根据项目实际需要按</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规定执行。</w:t>
      </w:r>
    </w:p>
    <w:p w14:paraId="2B10121B">
      <w:pPr>
        <w:numPr>
          <w:ilvl w:val="0"/>
          <w:numId w:val="11"/>
        </w:numPr>
        <w:autoSpaceDE w:val="0"/>
        <w:autoSpaceDN w:val="0"/>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合同变更</w:t>
      </w:r>
      <w:r>
        <w:rPr>
          <w:rFonts w:hint="eastAsia" w:ascii="宋体" w:hAnsi="宋体" w:eastAsia="宋体" w:cs="宋体"/>
          <w:b/>
          <w:color w:val="auto"/>
          <w:sz w:val="21"/>
          <w:szCs w:val="21"/>
          <w:highlight w:val="none"/>
          <w:lang w:eastAsia="zh-CN"/>
        </w:rPr>
        <w:t>、中止与终止</w:t>
      </w:r>
    </w:p>
    <w:p w14:paraId="617A8E62">
      <w:pPr>
        <w:autoSpaceDE/>
        <w:autoSpaceDN/>
        <w:adjustRightInd w:val="0"/>
        <w:snapToGrid w:val="0"/>
        <w:spacing w:before="0" w:line="40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.1合同的</w:t>
      </w:r>
      <w:r>
        <w:rPr>
          <w:rFonts w:hint="eastAsia" w:ascii="宋体" w:hAnsi="宋体" w:eastAsia="宋体" w:cs="宋体"/>
          <w:color w:val="auto"/>
          <w:sz w:val="21"/>
          <w:szCs w:val="21"/>
          <w:highlight w:val="none"/>
          <w:lang w:eastAsia="zh-CN"/>
        </w:rPr>
        <w:t>变更</w:t>
      </w:r>
    </w:p>
    <w:p w14:paraId="2DFE229D">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政府采购合同履行中，</w:t>
      </w:r>
      <w:r>
        <w:rPr>
          <w:rFonts w:hint="eastAsia" w:ascii="宋体" w:hAnsi="宋体" w:eastAsia="宋体" w:cs="宋体"/>
          <w:color w:val="auto"/>
          <w:sz w:val="21"/>
          <w:szCs w:val="21"/>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1"/>
          <w:szCs w:val="21"/>
          <w:highlight w:val="none"/>
          <w:lang w:eastAsia="zh-CN"/>
        </w:rPr>
        <w:t>一致后</w:t>
      </w:r>
      <w:r>
        <w:rPr>
          <w:rFonts w:hint="eastAsia" w:ascii="宋体" w:hAnsi="宋体" w:eastAsia="宋体" w:cs="宋体"/>
          <w:color w:val="auto"/>
          <w:sz w:val="21"/>
          <w:szCs w:val="21"/>
          <w:highlight w:val="none"/>
        </w:rPr>
        <w:t>签订补充协议。</w:t>
      </w:r>
    </w:p>
    <w:p w14:paraId="3C1B8751">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合同的中止</w:t>
      </w:r>
    </w:p>
    <w:p w14:paraId="019B58B7">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（1）合同履行过程中因供应商就采购文件、采购过程或结果提起投诉的，甲方认为有必要的，</w:t>
      </w:r>
      <w:r>
        <w:rPr>
          <w:rFonts w:hint="eastAsia" w:ascii="宋体" w:hAnsi="宋体" w:eastAsia="宋体" w:cs="宋体"/>
          <w:color w:val="auto"/>
          <w:sz w:val="21"/>
          <w:szCs w:val="21"/>
          <w:highlight w:val="none"/>
          <w:lang w:eastAsia="zh-CN"/>
        </w:rPr>
        <w:t>可以</w:t>
      </w:r>
      <w:r>
        <w:rPr>
          <w:rFonts w:hint="eastAsia" w:ascii="宋体" w:hAnsi="宋体" w:eastAsia="宋体" w:cs="宋体"/>
          <w:color w:val="auto"/>
          <w:sz w:val="21"/>
          <w:szCs w:val="21"/>
          <w:highlight w:val="none"/>
        </w:rPr>
        <w:t>中止合同的履行。</w:t>
      </w:r>
    </w:p>
    <w:p w14:paraId="1FD090A8">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合同履行过程中，</w:t>
      </w:r>
      <w:r>
        <w:rPr>
          <w:rFonts w:hint="eastAsia" w:ascii="宋体" w:hAnsi="宋体" w:eastAsia="宋体" w:cs="宋体"/>
          <w:color w:val="auto"/>
          <w:sz w:val="21"/>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1"/>
          <w:szCs w:val="21"/>
          <w:highlight w:val="none"/>
          <w:lang w:eastAsia="zh-CN"/>
        </w:rPr>
        <w:t>，乙方有义务及时告知甲方</w:t>
      </w: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eastAsia="zh-CN"/>
        </w:rPr>
        <w:t>有权</w:t>
      </w:r>
      <w:r>
        <w:rPr>
          <w:rFonts w:hint="eastAsia" w:ascii="宋体" w:hAnsi="宋体" w:eastAsia="宋体" w:cs="宋体"/>
          <w:color w:val="auto"/>
          <w:sz w:val="21"/>
          <w:szCs w:val="21"/>
          <w:highlight w:val="none"/>
        </w:rPr>
        <w:t>以书面形式通知乙方中止合同</w:t>
      </w:r>
      <w:r>
        <w:rPr>
          <w:rFonts w:hint="eastAsia" w:ascii="宋体" w:hAnsi="宋体" w:eastAsia="宋体" w:cs="宋体"/>
          <w:color w:val="auto"/>
          <w:sz w:val="21"/>
          <w:szCs w:val="21"/>
          <w:highlight w:val="none"/>
          <w:lang w:eastAsia="zh-CN"/>
        </w:rPr>
        <w:t>并要求乙方在合理期限内消除相关情形或者提供适当担保。</w:t>
      </w:r>
      <w:r>
        <w:rPr>
          <w:rFonts w:hint="eastAsia" w:ascii="宋体" w:hAnsi="宋体" w:eastAsia="宋体" w:cs="宋体"/>
          <w:color w:val="auto"/>
          <w:sz w:val="21"/>
          <w:szCs w:val="21"/>
          <w:highlight w:val="none"/>
        </w:rPr>
        <w:t>乙方提供适当担保的，</w:t>
      </w:r>
      <w:r>
        <w:rPr>
          <w:rFonts w:hint="eastAsia" w:ascii="宋体" w:hAnsi="宋体" w:eastAsia="宋体" w:cs="宋体"/>
          <w:color w:val="auto"/>
          <w:sz w:val="21"/>
          <w:szCs w:val="21"/>
          <w:highlight w:val="none"/>
          <w:lang w:eastAsia="zh-CN"/>
        </w:rPr>
        <w:t>合同继续</w:t>
      </w:r>
      <w:r>
        <w:rPr>
          <w:rFonts w:hint="eastAsia" w:ascii="宋体" w:hAnsi="宋体" w:eastAsia="宋体" w:cs="宋体"/>
          <w:color w:val="auto"/>
          <w:sz w:val="21"/>
          <w:szCs w:val="21"/>
          <w:highlight w:val="none"/>
        </w:rPr>
        <w:t>履行</w:t>
      </w:r>
      <w:r>
        <w:rPr>
          <w:rFonts w:hint="eastAsia" w:ascii="宋体" w:hAnsi="宋体" w:eastAsia="宋体" w:cs="宋体"/>
          <w:color w:val="auto"/>
          <w:sz w:val="21"/>
          <w:szCs w:val="21"/>
          <w:highlight w:val="none"/>
          <w:lang w:eastAsia="zh-CN"/>
        </w:rPr>
        <w:t>；乙</w:t>
      </w:r>
      <w:r>
        <w:rPr>
          <w:rFonts w:hint="eastAsia" w:ascii="宋体" w:hAnsi="宋体" w:eastAsia="宋体" w:cs="宋体"/>
          <w:color w:val="auto"/>
          <w:sz w:val="21"/>
          <w:szCs w:val="21"/>
          <w:highlight w:val="none"/>
        </w:rPr>
        <w:t>方在合理期限内未恢复履约能力且未提供适当担保的，视为拒绝</w:t>
      </w:r>
      <w:r>
        <w:rPr>
          <w:rFonts w:hint="eastAsia" w:ascii="宋体" w:hAnsi="宋体" w:eastAsia="宋体" w:cs="宋体"/>
          <w:color w:val="auto"/>
          <w:sz w:val="21"/>
          <w:szCs w:val="21"/>
          <w:highlight w:val="none"/>
          <w:lang w:eastAsia="zh-CN"/>
        </w:rPr>
        <w:t>继续</w:t>
      </w:r>
      <w:r>
        <w:rPr>
          <w:rFonts w:hint="eastAsia" w:ascii="宋体" w:hAnsi="宋体" w:eastAsia="宋体" w:cs="宋体"/>
          <w:color w:val="auto"/>
          <w:sz w:val="21"/>
          <w:szCs w:val="21"/>
          <w:highlight w:val="none"/>
        </w:rPr>
        <w:t>履约，甲方</w:t>
      </w:r>
      <w:r>
        <w:rPr>
          <w:rFonts w:hint="eastAsia" w:ascii="宋体" w:hAnsi="宋体" w:eastAsia="宋体" w:cs="宋体"/>
          <w:color w:val="auto"/>
          <w:sz w:val="21"/>
          <w:szCs w:val="21"/>
          <w:highlight w:val="none"/>
          <w:lang w:eastAsia="zh-CN"/>
        </w:rPr>
        <w:t>有权</w:t>
      </w:r>
      <w:r>
        <w:rPr>
          <w:rFonts w:hint="eastAsia" w:ascii="宋体" w:hAnsi="宋体" w:eastAsia="宋体" w:cs="宋体"/>
          <w:color w:val="auto"/>
          <w:sz w:val="21"/>
          <w:szCs w:val="21"/>
          <w:highlight w:val="none"/>
        </w:rPr>
        <w:t>解除合同并要求乙方承担</w:t>
      </w:r>
      <w:r>
        <w:rPr>
          <w:rFonts w:hint="eastAsia" w:ascii="宋体" w:hAnsi="宋体" w:eastAsia="宋体" w:cs="宋体"/>
          <w:color w:val="auto"/>
          <w:sz w:val="21"/>
          <w:szCs w:val="21"/>
          <w:highlight w:val="none"/>
          <w:lang w:eastAsia="zh-CN"/>
        </w:rPr>
        <w:t>由此给甲方造成的损失</w:t>
      </w:r>
      <w:r>
        <w:rPr>
          <w:rFonts w:hint="eastAsia" w:ascii="宋体" w:hAnsi="宋体" w:eastAsia="宋体" w:cs="宋体"/>
          <w:color w:val="auto"/>
          <w:sz w:val="21"/>
          <w:szCs w:val="21"/>
          <w:highlight w:val="none"/>
        </w:rPr>
        <w:t>。</w:t>
      </w:r>
    </w:p>
    <w:p w14:paraId="41117EBE">
      <w:pPr>
        <w:pStyle w:val="9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（3）乙方分立、合并或者变更住所的，应当及时以书面形式告知甲方。乙方没有</w:t>
      </w:r>
      <w:r>
        <w:rPr>
          <w:rFonts w:hint="eastAsia" w:ascii="宋体" w:hAnsi="宋体" w:eastAsia="宋体" w:cs="宋体"/>
          <w:color w:val="auto"/>
          <w:sz w:val="21"/>
          <w:szCs w:val="21"/>
          <w:highlight w:val="none"/>
          <w:lang w:eastAsia="zh-CN"/>
        </w:rPr>
        <w:t>及时告知</w:t>
      </w:r>
      <w:r>
        <w:rPr>
          <w:rFonts w:hint="eastAsia" w:ascii="宋体" w:hAnsi="宋体" w:eastAsia="宋体" w:cs="宋体"/>
          <w:color w:val="auto"/>
          <w:sz w:val="21"/>
          <w:szCs w:val="21"/>
          <w:highlight w:val="none"/>
        </w:rPr>
        <w:t>甲方，致使</w:t>
      </w:r>
      <w:r>
        <w:rPr>
          <w:rFonts w:hint="eastAsia" w:ascii="宋体" w:hAnsi="宋体" w:eastAsia="宋体" w:cs="宋体"/>
          <w:color w:val="auto"/>
          <w:sz w:val="21"/>
          <w:szCs w:val="21"/>
          <w:highlight w:val="none"/>
          <w:lang w:eastAsia="zh-CN"/>
        </w:rPr>
        <w:t>合同</w:t>
      </w:r>
      <w:r>
        <w:rPr>
          <w:rFonts w:hint="eastAsia" w:ascii="宋体" w:hAnsi="宋体" w:eastAsia="宋体" w:cs="宋体"/>
          <w:color w:val="auto"/>
          <w:sz w:val="21"/>
          <w:szCs w:val="21"/>
          <w:highlight w:val="none"/>
        </w:rPr>
        <w:t>履行发生困难的，甲方可以中止合同履行并要求乙方承担由此给甲方造成的损失。</w:t>
      </w:r>
    </w:p>
    <w:p w14:paraId="1F3F1C09">
      <w:pPr>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）甲方不得以行政区划调整、政府换届、机构或者职能调整以及相关责任人更替为由中止合同。</w:t>
      </w:r>
    </w:p>
    <w:p w14:paraId="36A7C1F1">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合同的终止</w:t>
      </w:r>
    </w:p>
    <w:p w14:paraId="123887D6">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（1）合同因有效期限届满而终止；</w:t>
      </w:r>
    </w:p>
    <w:p w14:paraId="1F93FC35">
      <w:pPr>
        <w:snapToGrid w:val="0"/>
        <w:spacing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（2）乙方未</w:t>
      </w:r>
      <w:r>
        <w:rPr>
          <w:rFonts w:hint="eastAsia" w:ascii="宋体" w:hAnsi="宋体" w:eastAsia="宋体" w:cs="宋体"/>
          <w:color w:val="auto"/>
          <w:sz w:val="21"/>
          <w:szCs w:val="21"/>
          <w:highlight w:val="none"/>
          <w:lang w:eastAsia="zh-CN"/>
        </w:rPr>
        <w:t>按</w:t>
      </w:r>
      <w:r>
        <w:rPr>
          <w:rFonts w:hint="eastAsia" w:ascii="宋体" w:hAnsi="宋体" w:eastAsia="宋体" w:cs="宋体"/>
          <w:color w:val="auto"/>
          <w:sz w:val="21"/>
          <w:szCs w:val="21"/>
          <w:highlight w:val="none"/>
        </w:rPr>
        <w:t>合同约定履行，构成根本性违约的，甲方有权终止合同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并追究乙方的违约责</w:t>
      </w:r>
      <w:r>
        <w:rPr>
          <w:rFonts w:hint="eastAsia" w:ascii="宋体" w:hAnsi="宋体" w:eastAsia="宋体" w:cs="宋体"/>
          <w:color w:val="auto"/>
          <w:sz w:val="21"/>
          <w:szCs w:val="21"/>
          <w:highlight w:val="none"/>
          <w:lang w:val="en-US" w:eastAsia="zh-CN"/>
        </w:rPr>
        <w:t>任</w:t>
      </w:r>
      <w:r>
        <w:rPr>
          <w:rFonts w:hint="eastAsia" w:ascii="宋体" w:hAnsi="宋体" w:eastAsia="宋体" w:cs="宋体"/>
          <w:color w:val="auto"/>
          <w:sz w:val="21"/>
          <w:szCs w:val="21"/>
          <w:highlight w:val="none"/>
        </w:rPr>
        <w:t>。</w:t>
      </w:r>
    </w:p>
    <w:p w14:paraId="0565059F">
      <w:pPr>
        <w:pStyle w:val="94"/>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16.4 </w:t>
      </w:r>
      <w:r>
        <w:rPr>
          <w:rFonts w:hint="eastAsia" w:ascii="宋体" w:hAnsi="宋体" w:eastAsia="宋体" w:cs="宋体"/>
          <w:color w:val="auto"/>
          <w:kern w:val="2"/>
          <w:sz w:val="21"/>
          <w:szCs w:val="21"/>
          <w:highlight w:val="none"/>
          <w:lang w:val="en-US" w:eastAsia="zh-CN"/>
        </w:rPr>
        <w:t>涉及国家利益、社会公共利益的情形</w:t>
      </w:r>
    </w:p>
    <w:p w14:paraId="6DAA11D8">
      <w:pPr>
        <w:pStyle w:val="9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政府采购合同继续履行将损害国家利益和社会公共利益的，双方当事人</w:t>
      </w:r>
      <w:r>
        <w:rPr>
          <w:rFonts w:hint="eastAsia" w:ascii="宋体" w:hAnsi="宋体" w:eastAsia="宋体" w:cs="宋体"/>
          <w:color w:val="auto"/>
          <w:sz w:val="21"/>
          <w:szCs w:val="21"/>
          <w:highlight w:val="none"/>
          <w:lang w:val="en-US" w:eastAsia="zh-CN"/>
        </w:rPr>
        <w:t>应当变更、</w:t>
      </w:r>
      <w:r>
        <w:rPr>
          <w:rFonts w:hint="eastAsia" w:ascii="宋体" w:hAnsi="宋体" w:eastAsia="宋体" w:cs="宋体"/>
          <w:color w:val="auto"/>
          <w:sz w:val="21"/>
          <w:szCs w:val="21"/>
          <w:highlight w:val="none"/>
        </w:rPr>
        <w:t>中止</w:t>
      </w:r>
      <w:r>
        <w:rPr>
          <w:rFonts w:hint="eastAsia" w:ascii="宋体" w:hAnsi="宋体" w:eastAsia="宋体" w:cs="宋体"/>
          <w:color w:val="auto"/>
          <w:sz w:val="21"/>
          <w:szCs w:val="21"/>
          <w:highlight w:val="none"/>
          <w:lang w:eastAsia="zh-CN"/>
        </w:rPr>
        <w:t>或者终止</w:t>
      </w:r>
      <w:r>
        <w:rPr>
          <w:rFonts w:hint="eastAsia" w:ascii="宋体" w:hAnsi="宋体" w:eastAsia="宋体" w:cs="宋体"/>
          <w:color w:val="auto"/>
          <w:sz w:val="21"/>
          <w:szCs w:val="21"/>
          <w:highlight w:val="none"/>
        </w:rPr>
        <w:t>合同。有过错的一方应当承担赔偿责任，双方都有过错的，各自承担相应的责任。</w:t>
      </w:r>
    </w:p>
    <w:p w14:paraId="40CFF577">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合同分包</w:t>
      </w:r>
    </w:p>
    <w:p w14:paraId="11C5AB55">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.1 乙方不得</w:t>
      </w:r>
      <w:r>
        <w:rPr>
          <w:rFonts w:hint="eastAsia" w:ascii="宋体" w:hAnsi="宋体" w:eastAsia="宋体" w:cs="宋体"/>
          <w:color w:val="auto"/>
          <w:sz w:val="21"/>
          <w:szCs w:val="21"/>
          <w:highlight w:val="none"/>
          <w:lang w:eastAsia="zh-CN"/>
        </w:rPr>
        <w:t>将合同转包给其他供应商。涉及合同分包的，乙方</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lang w:eastAsia="zh-CN"/>
        </w:rPr>
        <w:t>根据采购文件和投标（响应）文件规定进行</w:t>
      </w:r>
      <w:r>
        <w:rPr>
          <w:rFonts w:hint="eastAsia" w:ascii="宋体" w:hAnsi="宋体" w:eastAsia="宋体" w:cs="宋体"/>
          <w:color w:val="auto"/>
          <w:sz w:val="21"/>
          <w:szCs w:val="21"/>
          <w:highlight w:val="none"/>
        </w:rPr>
        <w:t>合同分包。</w:t>
      </w:r>
    </w:p>
    <w:p w14:paraId="777E1EAD">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.2 乙方执行政府采购政策向中小企业依法分包的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乙方应当按采购文件</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rPr>
        <w:t>投标（响应）文件签订分包</w:t>
      </w:r>
      <w:r>
        <w:rPr>
          <w:rFonts w:hint="eastAsia" w:ascii="宋体" w:hAnsi="宋体" w:eastAsia="宋体" w:cs="宋体"/>
          <w:color w:val="auto"/>
          <w:sz w:val="21"/>
          <w:szCs w:val="21"/>
          <w:highlight w:val="none"/>
          <w:lang w:eastAsia="zh-CN"/>
        </w:rPr>
        <w:t>意向</w:t>
      </w:r>
      <w:r>
        <w:rPr>
          <w:rFonts w:hint="eastAsia" w:ascii="宋体" w:hAnsi="宋体" w:eastAsia="宋体" w:cs="宋体"/>
          <w:color w:val="auto"/>
          <w:sz w:val="21"/>
          <w:szCs w:val="21"/>
          <w:highlight w:val="none"/>
        </w:rPr>
        <w:t>协议，分包</w:t>
      </w:r>
      <w:r>
        <w:rPr>
          <w:rFonts w:hint="eastAsia" w:ascii="宋体" w:hAnsi="宋体" w:eastAsia="宋体" w:cs="宋体"/>
          <w:color w:val="auto"/>
          <w:sz w:val="21"/>
          <w:szCs w:val="21"/>
          <w:highlight w:val="none"/>
          <w:lang w:eastAsia="zh-CN"/>
        </w:rPr>
        <w:t>意向</w:t>
      </w:r>
      <w:r>
        <w:rPr>
          <w:rFonts w:hint="eastAsia" w:ascii="宋体" w:hAnsi="宋体" w:eastAsia="宋体" w:cs="宋体"/>
          <w:color w:val="auto"/>
          <w:sz w:val="21"/>
          <w:szCs w:val="21"/>
          <w:highlight w:val="none"/>
        </w:rPr>
        <w:t>协议属于本合同组成部分。</w:t>
      </w:r>
    </w:p>
    <w:p w14:paraId="350464F5">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1</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不可抗力</w:t>
      </w:r>
    </w:p>
    <w:p w14:paraId="11B80DDC">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.1 不可抗力是指合同双方不能预见、不能避免且不能克服的客观情况。</w:t>
      </w:r>
    </w:p>
    <w:p w14:paraId="26A4DF2D">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.2 任何一方对由于不可抗力造成的部分或全部不能履行合同不承担违约责任。但迟延履行后发生不可抗力的，不能免除责任。</w:t>
      </w:r>
    </w:p>
    <w:p w14:paraId="615342A0">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.3 遇有不可抗力的一方，应及时将事件情况以书面形式</w:t>
      </w:r>
      <w:r>
        <w:rPr>
          <w:rFonts w:hint="eastAsia" w:ascii="宋体" w:hAnsi="宋体" w:eastAsia="宋体" w:cs="宋体"/>
          <w:color w:val="auto"/>
          <w:sz w:val="21"/>
          <w:szCs w:val="21"/>
          <w:highlight w:val="none"/>
          <w:lang w:eastAsia="zh-CN"/>
        </w:rPr>
        <w:t>告</w:t>
      </w:r>
      <w:r>
        <w:rPr>
          <w:rFonts w:hint="eastAsia" w:ascii="宋体" w:hAnsi="宋体" w:eastAsia="宋体" w:cs="宋体"/>
          <w:color w:val="auto"/>
          <w:sz w:val="21"/>
          <w:szCs w:val="21"/>
          <w:highlight w:val="none"/>
        </w:rPr>
        <w:t>知另一方，并在事件发生后及时向另一方提交合同不能履行或部分不能履行或需要延期履行</w:t>
      </w:r>
      <w:r>
        <w:rPr>
          <w:rFonts w:hint="eastAsia" w:ascii="宋体" w:hAnsi="宋体" w:eastAsia="宋体" w:cs="宋体"/>
          <w:color w:val="auto"/>
          <w:sz w:val="21"/>
          <w:szCs w:val="21"/>
          <w:highlight w:val="none"/>
          <w:lang w:eastAsia="zh-CN"/>
        </w:rPr>
        <w:t>的详细</w:t>
      </w:r>
      <w:r>
        <w:rPr>
          <w:rFonts w:hint="eastAsia" w:ascii="宋体" w:hAnsi="宋体" w:eastAsia="宋体" w:cs="宋体"/>
          <w:color w:val="auto"/>
          <w:sz w:val="21"/>
          <w:szCs w:val="21"/>
          <w:highlight w:val="none"/>
        </w:rPr>
        <w:t>报告</w:t>
      </w:r>
      <w:r>
        <w:rPr>
          <w:rFonts w:hint="eastAsia" w:ascii="宋体" w:hAnsi="宋体" w:eastAsia="宋体" w:cs="宋体"/>
          <w:color w:val="auto"/>
          <w:sz w:val="21"/>
          <w:szCs w:val="21"/>
          <w:highlight w:val="none"/>
          <w:lang w:eastAsia="zh-CN"/>
        </w:rPr>
        <w:t>，以</w:t>
      </w:r>
      <w:r>
        <w:rPr>
          <w:rFonts w:hint="eastAsia" w:ascii="宋体" w:hAnsi="宋体" w:eastAsia="宋体" w:cs="宋体"/>
          <w:color w:val="auto"/>
          <w:sz w:val="21"/>
          <w:szCs w:val="21"/>
          <w:highlight w:val="none"/>
          <w:lang w:val="en-US" w:eastAsia="zh-CN"/>
        </w:rPr>
        <w:t>及证明不可抗力发生及其持续时间的证据</w:t>
      </w:r>
      <w:r>
        <w:rPr>
          <w:rFonts w:hint="eastAsia" w:ascii="宋体" w:hAnsi="宋体" w:eastAsia="宋体" w:cs="宋体"/>
          <w:color w:val="auto"/>
          <w:sz w:val="21"/>
          <w:szCs w:val="21"/>
          <w:highlight w:val="none"/>
        </w:rPr>
        <w:t>。</w:t>
      </w:r>
    </w:p>
    <w:p w14:paraId="66B1E34D">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19</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解决争议的方法</w:t>
      </w:r>
    </w:p>
    <w:p w14:paraId="30612C35">
      <w:pPr>
        <w:pStyle w:val="9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.1 因本合同及合同有关事项发生的争议，由</w:t>
      </w:r>
      <w:r>
        <w:rPr>
          <w:rFonts w:hint="eastAsia" w:ascii="宋体" w:hAnsi="宋体" w:eastAsia="宋体" w:cs="宋体"/>
          <w:color w:val="auto"/>
          <w:sz w:val="21"/>
          <w:szCs w:val="21"/>
          <w:highlight w:val="none"/>
          <w:lang w:eastAsia="zh-CN"/>
        </w:rPr>
        <w:t>甲乙双</w:t>
      </w:r>
      <w:r>
        <w:rPr>
          <w:rFonts w:hint="eastAsia" w:ascii="宋体" w:hAnsi="宋体" w:eastAsia="宋体" w:cs="宋体"/>
          <w:color w:val="auto"/>
          <w:sz w:val="21"/>
          <w:szCs w:val="21"/>
          <w:highlight w:val="none"/>
        </w:rPr>
        <w:t>方友好协商解决。协商不成时，可以</w:t>
      </w:r>
      <w:r>
        <w:rPr>
          <w:rFonts w:hint="eastAsia" w:ascii="宋体" w:hAnsi="宋体" w:eastAsia="宋体" w:cs="宋体"/>
          <w:color w:val="auto"/>
          <w:sz w:val="21"/>
          <w:szCs w:val="21"/>
          <w:highlight w:val="none"/>
          <w:lang w:eastAsia="zh-CN"/>
        </w:rPr>
        <w:t>向有关组织申请</w:t>
      </w:r>
      <w:r>
        <w:rPr>
          <w:rFonts w:hint="eastAsia" w:ascii="宋体" w:hAnsi="宋体" w:eastAsia="宋体" w:cs="宋体"/>
          <w:color w:val="auto"/>
          <w:sz w:val="21"/>
          <w:szCs w:val="21"/>
          <w:highlight w:val="none"/>
        </w:rPr>
        <w:t>调解。合同一方或</w:t>
      </w:r>
      <w:r>
        <w:rPr>
          <w:rFonts w:hint="eastAsia" w:ascii="宋体" w:hAnsi="宋体" w:eastAsia="宋体" w:cs="宋体"/>
          <w:color w:val="auto"/>
          <w:sz w:val="21"/>
          <w:szCs w:val="21"/>
          <w:highlight w:val="none"/>
          <w:lang w:eastAsia="zh-CN"/>
        </w:rPr>
        <w:t>双</w:t>
      </w:r>
      <w:r>
        <w:rPr>
          <w:rFonts w:hint="eastAsia" w:ascii="宋体" w:hAnsi="宋体" w:eastAsia="宋体" w:cs="宋体"/>
          <w:color w:val="auto"/>
          <w:sz w:val="21"/>
          <w:szCs w:val="21"/>
          <w:highlight w:val="none"/>
        </w:rPr>
        <w:t>方不愿调解或调解不成的，可以通过仲裁或诉讼的方式解决争议。</w:t>
      </w:r>
    </w:p>
    <w:p w14:paraId="5D4ED4F8">
      <w:pPr>
        <w:pStyle w:val="9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中进一步约定选择与争议有实际联系的地点的人民法院管辖，但管辖法院的约定不得违反级别管辖和专属管辖的规定。</w:t>
      </w:r>
    </w:p>
    <w:p w14:paraId="7AEA9A94">
      <w:pPr>
        <w:pStyle w:val="9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.3 如</w:t>
      </w:r>
      <w:r>
        <w:rPr>
          <w:rFonts w:hint="eastAsia" w:ascii="宋体" w:hAnsi="宋体" w:eastAsia="宋体" w:cs="宋体"/>
          <w:color w:val="auto"/>
          <w:sz w:val="21"/>
          <w:szCs w:val="21"/>
          <w:highlight w:val="none"/>
          <w:lang w:eastAsia="zh-CN"/>
        </w:rPr>
        <w:t>甲乙双方</w:t>
      </w:r>
      <w:r>
        <w:rPr>
          <w:rFonts w:hint="eastAsia" w:ascii="宋体" w:hAnsi="宋体" w:eastAsia="宋体" w:cs="宋体"/>
          <w:color w:val="auto"/>
          <w:sz w:val="21"/>
          <w:szCs w:val="21"/>
          <w:highlight w:val="none"/>
        </w:rPr>
        <w:t>有争议的事项不影响合同其他部分的履行，在争议解决期间，合同其他部分应</w:t>
      </w:r>
      <w:r>
        <w:rPr>
          <w:rFonts w:hint="eastAsia" w:ascii="宋体" w:hAnsi="宋体" w:eastAsia="宋体" w:cs="宋体"/>
          <w:color w:val="auto"/>
          <w:sz w:val="21"/>
          <w:szCs w:val="21"/>
          <w:highlight w:val="none"/>
          <w:lang w:eastAsia="zh-CN"/>
        </w:rPr>
        <w:t>当</w:t>
      </w:r>
      <w:r>
        <w:rPr>
          <w:rFonts w:hint="eastAsia" w:ascii="宋体" w:hAnsi="宋体" w:eastAsia="宋体" w:cs="宋体"/>
          <w:color w:val="auto"/>
          <w:sz w:val="21"/>
          <w:szCs w:val="21"/>
          <w:highlight w:val="none"/>
        </w:rPr>
        <w:t>继续履行。</w:t>
      </w:r>
    </w:p>
    <w:p w14:paraId="16299DF9">
      <w:pPr>
        <w:autoSpaceDE w:val="0"/>
        <w:autoSpaceDN w:val="0"/>
        <w:adjustRightInd w:val="0"/>
        <w:snapToGrid w:val="0"/>
        <w:spacing w:before="0" w:line="400" w:lineRule="exact"/>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20</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政府采购政策</w:t>
      </w:r>
    </w:p>
    <w:p w14:paraId="46804035">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20.1 </w:t>
      </w:r>
      <w:r>
        <w:rPr>
          <w:rFonts w:hint="eastAsia" w:ascii="宋体" w:hAnsi="宋体" w:eastAsia="宋体" w:cs="宋体"/>
          <w:color w:val="auto"/>
          <w:sz w:val="21"/>
          <w:szCs w:val="21"/>
          <w:highlight w:val="none"/>
          <w:lang w:val="en-GB"/>
        </w:rPr>
        <w:t>本合同应当按照规定执行政府采购政策。</w:t>
      </w:r>
    </w:p>
    <w:p w14:paraId="5A5174D6">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本合同依法执行政府采购政策的方式和内容，属于合同履约验收的范围。</w:t>
      </w:r>
      <w:r>
        <w:rPr>
          <w:rFonts w:hint="eastAsia" w:ascii="宋体" w:hAnsi="宋体" w:eastAsia="宋体" w:cs="宋体"/>
          <w:color w:val="auto"/>
          <w:sz w:val="21"/>
          <w:szCs w:val="21"/>
          <w:highlight w:val="none"/>
          <w:lang w:eastAsia="zh-CN"/>
        </w:rPr>
        <w:t>甲乙双方</w:t>
      </w:r>
      <w:r>
        <w:rPr>
          <w:rFonts w:hint="eastAsia" w:ascii="宋体" w:hAnsi="宋体" w:eastAsia="宋体" w:cs="宋体"/>
          <w:color w:val="auto"/>
          <w:sz w:val="21"/>
          <w:szCs w:val="21"/>
          <w:highlight w:val="none"/>
          <w:lang w:val="en-GB"/>
        </w:rPr>
        <w:t>未按规定要求执行政府采购政策造成损失的</w:t>
      </w:r>
      <w:r>
        <w:rPr>
          <w:rFonts w:hint="eastAsia" w:ascii="宋体" w:hAnsi="宋体" w:eastAsia="宋体" w:cs="宋体"/>
          <w:color w:val="auto"/>
          <w:sz w:val="21"/>
          <w:szCs w:val="21"/>
          <w:highlight w:val="none"/>
        </w:rPr>
        <w:t>，有过错的一方应当承担赔偿责任，双方都有过错的，各自承担相应的责任。</w:t>
      </w:r>
    </w:p>
    <w:p w14:paraId="71D31443">
      <w:pPr>
        <w:pStyle w:val="16"/>
        <w:spacing w:after="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对于</w:t>
      </w:r>
      <w:r>
        <w:rPr>
          <w:rFonts w:hint="eastAsia" w:ascii="宋体" w:hAnsi="宋体" w:eastAsia="宋体" w:cs="宋体"/>
          <w:color w:val="auto"/>
          <w:sz w:val="21"/>
          <w:szCs w:val="21"/>
          <w:highlight w:val="none"/>
          <w:lang w:eastAsia="zh-CN"/>
        </w:rPr>
        <w:t>为落实中小企业支持政策，</w:t>
      </w:r>
      <w:r>
        <w:rPr>
          <w:rFonts w:hint="eastAsia" w:ascii="宋体" w:hAnsi="宋体" w:eastAsia="宋体" w:cs="宋体"/>
          <w:color w:val="auto"/>
          <w:sz w:val="21"/>
          <w:szCs w:val="21"/>
          <w:highlight w:val="none"/>
        </w:rPr>
        <w:t>通过采购项目</w:t>
      </w:r>
      <w:r>
        <w:rPr>
          <w:rFonts w:hint="eastAsia" w:ascii="宋体" w:hAnsi="宋体" w:eastAsia="宋体" w:cs="宋体"/>
          <w:color w:val="auto"/>
          <w:sz w:val="21"/>
          <w:szCs w:val="21"/>
          <w:highlight w:val="none"/>
          <w:lang w:eastAsia="zh-CN"/>
        </w:rPr>
        <w:t>整体</w:t>
      </w:r>
      <w:r>
        <w:rPr>
          <w:rFonts w:hint="eastAsia" w:ascii="宋体" w:hAnsi="宋体" w:eastAsia="宋体" w:cs="宋体"/>
          <w:color w:val="auto"/>
          <w:sz w:val="21"/>
          <w:szCs w:val="21"/>
          <w:highlight w:val="none"/>
        </w:rPr>
        <w:t>预留、</w:t>
      </w:r>
      <w:r>
        <w:rPr>
          <w:rFonts w:hint="eastAsia" w:ascii="宋体" w:hAnsi="宋体" w:eastAsia="宋体" w:cs="宋体"/>
          <w:color w:val="auto"/>
          <w:sz w:val="21"/>
          <w:szCs w:val="21"/>
          <w:highlight w:val="none"/>
          <w:lang w:eastAsia="zh-CN"/>
        </w:rPr>
        <w:t>设置</w:t>
      </w:r>
      <w:r>
        <w:rPr>
          <w:rFonts w:hint="eastAsia" w:ascii="宋体" w:hAnsi="宋体" w:eastAsia="宋体" w:cs="宋体"/>
          <w:color w:val="auto"/>
          <w:sz w:val="21"/>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7675AA5">
      <w:pPr>
        <w:autoSpaceDE w:val="0"/>
        <w:autoSpaceDN w:val="0"/>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法律适用</w:t>
      </w:r>
    </w:p>
    <w:p w14:paraId="3A28F7CB">
      <w:pPr>
        <w:pStyle w:val="9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.1 本合同的订立、生效、解释、履行及与本合同有关的争议解决，均适用法律、行政法规。</w:t>
      </w:r>
    </w:p>
    <w:p w14:paraId="740A35A5">
      <w:pPr>
        <w:pStyle w:val="9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.2 本合同条款与法律、行政法规的强制性规定不一致的，双方当事人应按照法律、行政法规的强制性规定修改本合同的相关条款。</w:t>
      </w:r>
    </w:p>
    <w:p w14:paraId="1A310FAA">
      <w:pPr>
        <w:numPr>
          <w:ilvl w:val="0"/>
          <w:numId w:val="0"/>
        </w:numPr>
        <w:autoSpaceDE w:val="0"/>
        <w:autoSpaceDN w:val="0"/>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 xml:space="preserve">22. </w:t>
      </w:r>
      <w:r>
        <w:rPr>
          <w:rFonts w:hint="eastAsia" w:ascii="宋体" w:hAnsi="宋体" w:eastAsia="宋体" w:cs="宋体"/>
          <w:b/>
          <w:color w:val="auto"/>
          <w:sz w:val="21"/>
          <w:szCs w:val="21"/>
          <w:highlight w:val="none"/>
        </w:rPr>
        <w:t>通知</w:t>
      </w:r>
    </w:p>
    <w:p w14:paraId="42AFCBC9">
      <w:pPr>
        <w:pStyle w:val="9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本合同任何一方向对方发出的通知、信件、数据电文等，应当发送至本合同第一部分《政府采购合同协议书》所约定的通讯地址、联系人、联系电话或电子邮箱。</w:t>
      </w:r>
    </w:p>
    <w:p w14:paraId="0F6A9A94">
      <w:pPr>
        <w:pStyle w:val="94"/>
        <w:ind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一方当事人变更名称、</w:t>
      </w:r>
      <w:r>
        <w:rPr>
          <w:rFonts w:hint="eastAsia" w:ascii="宋体" w:hAnsi="宋体" w:eastAsia="宋体" w:cs="宋体"/>
          <w:color w:val="auto"/>
          <w:sz w:val="21"/>
          <w:szCs w:val="21"/>
          <w:highlight w:val="none"/>
          <w:lang w:eastAsia="zh-CN"/>
        </w:rPr>
        <w:t>住所</w:t>
      </w:r>
      <w:r>
        <w:rPr>
          <w:rFonts w:hint="eastAsia" w:ascii="宋体" w:hAnsi="宋体" w:eastAsia="宋体" w:cs="宋体"/>
          <w:color w:val="auto"/>
          <w:sz w:val="21"/>
          <w:szCs w:val="21"/>
          <w:highlight w:val="none"/>
        </w:rPr>
        <w:t>、联系人、联系电话或电子邮箱</w:t>
      </w:r>
      <w:r>
        <w:rPr>
          <w:rFonts w:hint="eastAsia" w:ascii="宋体" w:hAnsi="宋体" w:eastAsia="宋体" w:cs="宋体"/>
          <w:color w:val="auto"/>
          <w:sz w:val="21"/>
          <w:szCs w:val="21"/>
          <w:highlight w:val="none"/>
          <w:lang w:eastAsia="zh-CN"/>
        </w:rPr>
        <w:t>等信息</w:t>
      </w:r>
      <w:r>
        <w:rPr>
          <w:rFonts w:hint="eastAsia" w:ascii="宋体" w:hAnsi="宋体" w:eastAsia="宋体" w:cs="宋体"/>
          <w:color w:val="auto"/>
          <w:sz w:val="21"/>
          <w:szCs w:val="21"/>
          <w:highlight w:val="none"/>
        </w:rPr>
        <w:t>的，应当在变更后3日内及时书面通知对方，对方实际收到变更通知前的送达仍为有效送达。</w:t>
      </w:r>
    </w:p>
    <w:p w14:paraId="7C15579C">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本合同一方给另一方的通知均应采用书面形式，传真或快递送到本合同中规定的对方的地址和办理签收手续。</w:t>
      </w:r>
    </w:p>
    <w:p w14:paraId="169AF55A">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通知以送达之日或通知书中规定的生效之日起生效，两者中以较迟之日为准。</w:t>
      </w:r>
    </w:p>
    <w:p w14:paraId="0D63A89C">
      <w:pPr>
        <w:numPr>
          <w:ilvl w:val="0"/>
          <w:numId w:val="12"/>
        </w:numPr>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合同未尽事项</w:t>
      </w:r>
    </w:p>
    <w:p w14:paraId="6972D3C8">
      <w:pPr>
        <w:adjustRightInd w:val="0"/>
        <w:snapToGrid w:val="0"/>
        <w:spacing w:before="0" w:line="40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.1合同未尽事项见</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w:t>
      </w:r>
    </w:p>
    <w:p w14:paraId="65E5BDF7">
      <w:pPr>
        <w:adjustRightInd w:val="0"/>
        <w:snapToGrid w:val="0"/>
        <w:spacing w:line="40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 xml:space="preserve">    23.2 合同附件与合同正文具有同等的法律效力。</w:t>
      </w:r>
    </w:p>
    <w:p w14:paraId="2909C0DF">
      <w:pPr>
        <w:adjustRightInd w:val="0"/>
        <w:snapToGrid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br w:type="page"/>
      </w:r>
      <w:r>
        <w:rPr>
          <w:rFonts w:hint="eastAsia" w:ascii="宋体" w:hAnsi="宋体" w:eastAsia="宋体" w:cs="宋体"/>
          <w:b w:val="0"/>
          <w:bCs w:val="0"/>
          <w:color w:val="auto"/>
          <w:sz w:val="21"/>
          <w:szCs w:val="21"/>
          <w:highlight w:val="none"/>
        </w:rPr>
        <w:t>第三节 政府采购合同专用条款</w:t>
      </w:r>
    </w:p>
    <w:tbl>
      <w:tblPr>
        <w:tblStyle w:val="40"/>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34"/>
        <w:gridCol w:w="2423"/>
        <w:gridCol w:w="4562"/>
      </w:tblGrid>
      <w:tr w14:paraId="507335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534" w:type="dxa"/>
            <w:noWrap w:val="0"/>
            <w:vAlign w:val="center"/>
          </w:tcPr>
          <w:p w14:paraId="278D3C52">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2AD5EA59">
            <w:pPr>
              <w:adjustRightInd w:val="0"/>
              <w:snapToGrid w:val="0"/>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）项</w:t>
            </w:r>
          </w:p>
        </w:tc>
        <w:tc>
          <w:tcPr>
            <w:tcW w:w="2423" w:type="dxa"/>
            <w:noWrap w:val="0"/>
            <w:vAlign w:val="center"/>
          </w:tcPr>
          <w:p w14:paraId="1C724443">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联合体具体要求</w:t>
            </w:r>
          </w:p>
        </w:tc>
        <w:tc>
          <w:tcPr>
            <w:tcW w:w="4562" w:type="dxa"/>
            <w:noWrap w:val="0"/>
            <w:vAlign w:val="center"/>
          </w:tcPr>
          <w:p w14:paraId="71E7EE7A">
            <w:pPr>
              <w:adjustRightInd w:val="0"/>
              <w:snapToGrid w:val="0"/>
              <w:jc w:val="left"/>
              <w:rPr>
                <w:rFonts w:hint="eastAsia" w:ascii="宋体" w:hAnsi="宋体" w:eastAsia="宋体" w:cs="宋体"/>
                <w:color w:val="auto"/>
                <w:sz w:val="21"/>
                <w:szCs w:val="21"/>
                <w:highlight w:val="none"/>
              </w:rPr>
            </w:pPr>
          </w:p>
        </w:tc>
      </w:tr>
      <w:tr w14:paraId="38914B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534" w:type="dxa"/>
            <w:noWrap w:val="0"/>
            <w:vAlign w:val="center"/>
          </w:tcPr>
          <w:p w14:paraId="3788EC8A">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5DBEF4AA">
            <w:pPr>
              <w:adjustRightInd w:val="0"/>
              <w:snapToGrid w:val="0"/>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第1.2（</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）项</w:t>
            </w:r>
          </w:p>
        </w:tc>
        <w:tc>
          <w:tcPr>
            <w:tcW w:w="2423" w:type="dxa"/>
            <w:noWrap w:val="0"/>
            <w:vAlign w:val="center"/>
          </w:tcPr>
          <w:p w14:paraId="388A2A53">
            <w:pPr>
              <w:adjustRightInd w:val="0"/>
              <w:snapToGrid w:val="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其他术语解释</w:t>
            </w:r>
          </w:p>
        </w:tc>
        <w:tc>
          <w:tcPr>
            <w:tcW w:w="4562" w:type="dxa"/>
            <w:noWrap w:val="0"/>
            <w:vAlign w:val="center"/>
          </w:tcPr>
          <w:p w14:paraId="70F473A8">
            <w:pPr>
              <w:adjustRightInd w:val="0"/>
              <w:snapToGrid w:val="0"/>
              <w:jc w:val="left"/>
              <w:rPr>
                <w:rFonts w:hint="eastAsia" w:ascii="宋体" w:hAnsi="宋体" w:eastAsia="宋体" w:cs="宋体"/>
                <w:color w:val="auto"/>
                <w:kern w:val="2"/>
                <w:sz w:val="21"/>
                <w:szCs w:val="21"/>
                <w:highlight w:val="none"/>
                <w:lang w:val="en-US" w:eastAsia="zh-CN" w:bidi="ar-SA"/>
              </w:rPr>
            </w:pPr>
          </w:p>
        </w:tc>
      </w:tr>
      <w:tr w14:paraId="3C35CA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534" w:type="dxa"/>
            <w:noWrap w:val="0"/>
            <w:vAlign w:val="center"/>
          </w:tcPr>
          <w:p w14:paraId="5D4F6CD5">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0DE202CB">
            <w:pPr>
              <w:adjustRightInd w:val="0"/>
              <w:snapToGrid w:val="0"/>
              <w:ind w:left="0" w:leftChars="0" w:firstLine="210" w:firstLine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第</w:t>
            </w:r>
            <w:r>
              <w:rPr>
                <w:rFonts w:hint="eastAsia" w:ascii="宋体" w:hAnsi="宋体" w:eastAsia="宋体" w:cs="宋体"/>
                <w:color w:val="auto"/>
                <w:sz w:val="21"/>
                <w:szCs w:val="21"/>
                <w:highlight w:val="none"/>
                <w:lang w:val="en-US" w:eastAsia="zh-CN"/>
              </w:rPr>
              <w:t>4.4款</w:t>
            </w:r>
          </w:p>
        </w:tc>
        <w:tc>
          <w:tcPr>
            <w:tcW w:w="2423" w:type="dxa"/>
            <w:noWrap w:val="0"/>
            <w:vAlign w:val="center"/>
          </w:tcPr>
          <w:p w14:paraId="1A806924">
            <w:pPr>
              <w:adjustRightInd w:val="0"/>
              <w:snapToGrid w:val="0"/>
              <w:ind w:left="0" w:leftChars="0" w:firstLine="0" w:firstLineChars="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履约验收中甲方提出异议或作出说明的期限</w:t>
            </w:r>
          </w:p>
        </w:tc>
        <w:tc>
          <w:tcPr>
            <w:tcW w:w="4562" w:type="dxa"/>
            <w:noWrap w:val="0"/>
            <w:vAlign w:val="center"/>
          </w:tcPr>
          <w:p w14:paraId="39A880CA">
            <w:pPr>
              <w:adjustRightInd w:val="0"/>
              <w:snapToGrid w:val="0"/>
              <w:jc w:val="left"/>
              <w:rPr>
                <w:rFonts w:hint="eastAsia" w:ascii="宋体" w:hAnsi="宋体" w:eastAsia="宋体" w:cs="宋体"/>
                <w:color w:val="auto"/>
                <w:kern w:val="2"/>
                <w:sz w:val="21"/>
                <w:szCs w:val="21"/>
                <w:highlight w:val="none"/>
                <w:lang w:val="en-US" w:eastAsia="zh-CN" w:bidi="ar-SA"/>
              </w:rPr>
            </w:pPr>
          </w:p>
        </w:tc>
      </w:tr>
      <w:tr w14:paraId="6ACF2A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534" w:type="dxa"/>
            <w:noWrap w:val="0"/>
            <w:vAlign w:val="center"/>
          </w:tcPr>
          <w:p w14:paraId="2A04763C">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252F3CDB">
            <w:pPr>
              <w:adjustRightInd w:val="0"/>
              <w:snapToGrid w:val="0"/>
              <w:ind w:left="0" w:leftChars="0" w:firstLine="210" w:firstLineChars="1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第</w:t>
            </w:r>
            <w:r>
              <w:rPr>
                <w:rFonts w:hint="eastAsia" w:ascii="宋体" w:hAnsi="宋体" w:eastAsia="宋体" w:cs="宋体"/>
                <w:color w:val="auto"/>
                <w:sz w:val="21"/>
                <w:szCs w:val="21"/>
                <w:highlight w:val="none"/>
                <w:lang w:val="en-US" w:eastAsia="zh-CN"/>
              </w:rPr>
              <w:t>4.6款</w:t>
            </w:r>
          </w:p>
        </w:tc>
        <w:tc>
          <w:tcPr>
            <w:tcW w:w="2423" w:type="dxa"/>
            <w:noWrap w:val="0"/>
            <w:vAlign w:val="center"/>
          </w:tcPr>
          <w:p w14:paraId="622120A9">
            <w:pPr>
              <w:adjustRightInd w:val="0"/>
              <w:snapToGrid w:val="0"/>
              <w:ind w:left="0" w:leftChars="0" w:firstLine="0" w:firstLineChars="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约定甲方承担的其他义务和责任</w:t>
            </w:r>
          </w:p>
        </w:tc>
        <w:tc>
          <w:tcPr>
            <w:tcW w:w="4562" w:type="dxa"/>
            <w:noWrap w:val="0"/>
            <w:vAlign w:val="center"/>
          </w:tcPr>
          <w:p w14:paraId="7AD13DF9">
            <w:pPr>
              <w:adjustRightInd w:val="0"/>
              <w:snapToGrid w:val="0"/>
              <w:jc w:val="left"/>
              <w:rPr>
                <w:rFonts w:hint="eastAsia" w:ascii="宋体" w:hAnsi="宋体" w:eastAsia="宋体" w:cs="宋体"/>
                <w:color w:val="auto"/>
                <w:kern w:val="2"/>
                <w:sz w:val="21"/>
                <w:szCs w:val="21"/>
                <w:highlight w:val="none"/>
                <w:lang w:val="en-US" w:eastAsia="zh-CN" w:bidi="ar-SA"/>
              </w:rPr>
            </w:pPr>
          </w:p>
        </w:tc>
      </w:tr>
      <w:tr w14:paraId="66E274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534" w:type="dxa"/>
            <w:noWrap w:val="0"/>
            <w:vAlign w:val="center"/>
          </w:tcPr>
          <w:p w14:paraId="66325479">
            <w:pPr>
              <w:adjustRightInd w:val="0"/>
              <w:snapToGrid w:val="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第二节</w:t>
            </w:r>
          </w:p>
          <w:p w14:paraId="0F6CBB6B">
            <w:pPr>
              <w:snapToGrid w:val="0"/>
              <w:ind w:left="0" w:leftChars="0" w:firstLine="210" w:firstLine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第</w:t>
            </w:r>
            <w:r>
              <w:rPr>
                <w:rFonts w:hint="eastAsia" w:ascii="宋体" w:hAnsi="宋体" w:eastAsia="宋体" w:cs="宋体"/>
                <w:color w:val="auto"/>
                <w:sz w:val="21"/>
                <w:szCs w:val="21"/>
                <w:highlight w:val="none"/>
                <w:lang w:val="en-US" w:eastAsia="zh-CN"/>
              </w:rPr>
              <w:t>5.4款</w:t>
            </w:r>
          </w:p>
        </w:tc>
        <w:tc>
          <w:tcPr>
            <w:tcW w:w="2423" w:type="dxa"/>
            <w:noWrap w:val="0"/>
            <w:vAlign w:val="center"/>
          </w:tcPr>
          <w:p w14:paraId="027B9238">
            <w:pPr>
              <w:adjustRightInd w:val="0"/>
              <w:snapToGrid w:val="0"/>
              <w:ind w:left="0" w:leftChars="0" w:firstLine="0" w:firstLineChars="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约定乙方承担的其他义务和责任</w:t>
            </w:r>
          </w:p>
        </w:tc>
        <w:tc>
          <w:tcPr>
            <w:tcW w:w="4562" w:type="dxa"/>
            <w:noWrap w:val="0"/>
            <w:vAlign w:val="center"/>
          </w:tcPr>
          <w:p w14:paraId="0FBE7935">
            <w:pPr>
              <w:adjustRightInd w:val="0"/>
              <w:snapToGrid w:val="0"/>
              <w:jc w:val="left"/>
              <w:rPr>
                <w:rFonts w:hint="eastAsia" w:ascii="宋体" w:hAnsi="宋体" w:eastAsia="宋体" w:cs="宋体"/>
                <w:color w:val="auto"/>
                <w:kern w:val="2"/>
                <w:sz w:val="21"/>
                <w:szCs w:val="21"/>
                <w:highlight w:val="none"/>
                <w:lang w:val="en-US" w:eastAsia="zh-CN" w:bidi="ar-SA"/>
              </w:rPr>
            </w:pPr>
          </w:p>
        </w:tc>
      </w:tr>
      <w:tr w14:paraId="51B4C8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534" w:type="dxa"/>
            <w:noWrap w:val="0"/>
            <w:vAlign w:val="center"/>
          </w:tcPr>
          <w:p w14:paraId="519B87FC">
            <w:pPr>
              <w:adjustRightInd w:val="0"/>
              <w:snapToGrid w:val="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第二节</w:t>
            </w:r>
          </w:p>
          <w:p w14:paraId="44039BCB">
            <w:pPr>
              <w:snapToGrid w:val="0"/>
              <w:ind w:left="0" w:leftChars="0" w:firstLine="210" w:firstLineChars="1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第</w:t>
            </w:r>
            <w:r>
              <w:rPr>
                <w:rFonts w:hint="eastAsia" w:ascii="宋体" w:hAnsi="宋体" w:eastAsia="宋体" w:cs="宋体"/>
                <w:color w:val="auto"/>
                <w:sz w:val="21"/>
                <w:szCs w:val="21"/>
                <w:highlight w:val="none"/>
                <w:lang w:val="en-US" w:eastAsia="zh-CN"/>
              </w:rPr>
              <w:t>6.1款</w:t>
            </w:r>
          </w:p>
        </w:tc>
        <w:tc>
          <w:tcPr>
            <w:tcW w:w="2423" w:type="dxa"/>
            <w:noWrap w:val="0"/>
            <w:vAlign w:val="center"/>
          </w:tcPr>
          <w:p w14:paraId="33E60722">
            <w:pPr>
              <w:adjustRightInd w:val="0"/>
              <w:snapToGrid w:val="0"/>
              <w:ind w:left="0" w:leftChars="0" w:firstLine="0" w:firstLineChars="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履行合同义务的顺序</w:t>
            </w:r>
          </w:p>
        </w:tc>
        <w:tc>
          <w:tcPr>
            <w:tcW w:w="4562" w:type="dxa"/>
            <w:noWrap w:val="0"/>
            <w:vAlign w:val="center"/>
          </w:tcPr>
          <w:p w14:paraId="4CDA3721">
            <w:pPr>
              <w:adjustRightInd w:val="0"/>
              <w:snapToGrid w:val="0"/>
              <w:jc w:val="left"/>
              <w:rPr>
                <w:rFonts w:hint="eastAsia" w:ascii="宋体" w:hAnsi="宋体" w:eastAsia="宋体" w:cs="宋体"/>
                <w:color w:val="auto"/>
                <w:kern w:val="2"/>
                <w:sz w:val="21"/>
                <w:szCs w:val="21"/>
                <w:highlight w:val="none"/>
                <w:lang w:val="en-US" w:eastAsia="zh-CN" w:bidi="ar-SA"/>
              </w:rPr>
            </w:pPr>
          </w:p>
        </w:tc>
      </w:tr>
      <w:tr w14:paraId="31B266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534" w:type="dxa"/>
            <w:vMerge w:val="restart"/>
            <w:noWrap w:val="0"/>
            <w:vAlign w:val="center"/>
          </w:tcPr>
          <w:p w14:paraId="743A1494">
            <w:pPr>
              <w:adjustRightInd w:val="0"/>
              <w:snapToGrid w:val="0"/>
              <w:ind w:left="0" w:leftChars="0" w:firstLine="210" w:firstLineChars="1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37814F7A">
            <w:pPr>
              <w:adjustRightInd w:val="0"/>
              <w:snapToGrid w:val="0"/>
              <w:ind w:left="0" w:leftChars="0" w:firstLine="210" w:firstLineChars="1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款</w:t>
            </w:r>
          </w:p>
        </w:tc>
        <w:tc>
          <w:tcPr>
            <w:tcW w:w="2423" w:type="dxa"/>
            <w:noWrap w:val="0"/>
            <w:vAlign w:val="center"/>
          </w:tcPr>
          <w:p w14:paraId="35C63B8F">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包装</w:t>
            </w:r>
            <w:r>
              <w:rPr>
                <w:rFonts w:hint="eastAsia" w:ascii="宋体" w:hAnsi="宋体" w:eastAsia="宋体" w:cs="宋体"/>
                <w:color w:val="auto"/>
                <w:sz w:val="21"/>
                <w:szCs w:val="21"/>
                <w:highlight w:val="none"/>
                <w:lang w:eastAsia="zh-CN"/>
              </w:rPr>
              <w:t>特殊要求</w:t>
            </w:r>
          </w:p>
        </w:tc>
        <w:tc>
          <w:tcPr>
            <w:tcW w:w="4562" w:type="dxa"/>
            <w:noWrap w:val="0"/>
            <w:vAlign w:val="center"/>
          </w:tcPr>
          <w:p w14:paraId="162F4764">
            <w:pPr>
              <w:rPr>
                <w:rFonts w:hint="eastAsia" w:ascii="宋体" w:hAnsi="宋体" w:eastAsia="宋体" w:cs="宋体"/>
                <w:color w:val="auto"/>
                <w:sz w:val="21"/>
                <w:szCs w:val="21"/>
                <w:highlight w:val="none"/>
              </w:rPr>
            </w:pPr>
          </w:p>
        </w:tc>
      </w:tr>
      <w:tr w14:paraId="5223D2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534" w:type="dxa"/>
            <w:vMerge w:val="continue"/>
            <w:noWrap w:val="0"/>
            <w:vAlign w:val="center"/>
          </w:tcPr>
          <w:p w14:paraId="3307582C">
            <w:pPr>
              <w:adjustRightInd w:val="0"/>
              <w:snapToGrid w:val="0"/>
              <w:jc w:val="both"/>
              <w:rPr>
                <w:rFonts w:hint="eastAsia" w:ascii="宋体" w:hAnsi="宋体" w:eastAsia="宋体" w:cs="宋体"/>
                <w:color w:val="auto"/>
                <w:sz w:val="21"/>
                <w:szCs w:val="21"/>
                <w:highlight w:val="none"/>
              </w:rPr>
            </w:pPr>
          </w:p>
        </w:tc>
        <w:tc>
          <w:tcPr>
            <w:tcW w:w="2423" w:type="dxa"/>
            <w:noWrap w:val="0"/>
            <w:vAlign w:val="center"/>
          </w:tcPr>
          <w:p w14:paraId="17F77216">
            <w:pPr>
              <w:adjustRightInd w:val="0"/>
              <w:snapToGrid w:val="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指定现场</w:t>
            </w:r>
          </w:p>
        </w:tc>
        <w:tc>
          <w:tcPr>
            <w:tcW w:w="4562" w:type="dxa"/>
            <w:noWrap w:val="0"/>
            <w:vAlign w:val="center"/>
          </w:tcPr>
          <w:p w14:paraId="46B7F5D4">
            <w:pPr>
              <w:rPr>
                <w:rFonts w:hint="eastAsia" w:ascii="宋体" w:hAnsi="宋体" w:eastAsia="宋体" w:cs="宋体"/>
                <w:color w:val="auto"/>
                <w:sz w:val="21"/>
                <w:szCs w:val="21"/>
                <w:highlight w:val="none"/>
              </w:rPr>
            </w:pPr>
          </w:p>
        </w:tc>
      </w:tr>
      <w:tr w14:paraId="615AC8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534" w:type="dxa"/>
            <w:noWrap w:val="0"/>
            <w:vAlign w:val="center"/>
          </w:tcPr>
          <w:p w14:paraId="0A0BB5F3">
            <w:pPr>
              <w:adjustRightInd w:val="0"/>
              <w:snapToGrid w:val="0"/>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7C68A178">
            <w:pPr>
              <w:adjustRightInd w:val="0"/>
              <w:snapToGrid w:val="0"/>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款</w:t>
            </w:r>
          </w:p>
        </w:tc>
        <w:tc>
          <w:tcPr>
            <w:tcW w:w="2423" w:type="dxa"/>
            <w:noWrap w:val="0"/>
            <w:vAlign w:val="center"/>
          </w:tcPr>
          <w:p w14:paraId="11D75CDD">
            <w:pPr>
              <w:adjustRightInd w:val="0"/>
              <w:snapToGrid w:val="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运输特殊要求</w:t>
            </w:r>
          </w:p>
        </w:tc>
        <w:tc>
          <w:tcPr>
            <w:tcW w:w="4562" w:type="dxa"/>
            <w:noWrap w:val="0"/>
            <w:vAlign w:val="center"/>
          </w:tcPr>
          <w:p w14:paraId="66CF08C4">
            <w:pPr>
              <w:rPr>
                <w:rFonts w:hint="eastAsia" w:ascii="宋体" w:hAnsi="宋体" w:eastAsia="宋体" w:cs="宋体"/>
                <w:color w:val="auto"/>
                <w:sz w:val="21"/>
                <w:szCs w:val="21"/>
                <w:highlight w:val="none"/>
              </w:rPr>
            </w:pPr>
          </w:p>
        </w:tc>
      </w:tr>
      <w:tr w14:paraId="5D5EBA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534" w:type="dxa"/>
            <w:noWrap w:val="0"/>
            <w:vAlign w:val="center"/>
          </w:tcPr>
          <w:p w14:paraId="5445E884">
            <w:pPr>
              <w:adjustRightInd w:val="0"/>
              <w:snapToGrid w:val="0"/>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4A3C6CD5">
            <w:pPr>
              <w:adjustRightInd w:val="0"/>
              <w:snapToGrid w:val="0"/>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款</w:t>
            </w:r>
          </w:p>
        </w:tc>
        <w:tc>
          <w:tcPr>
            <w:tcW w:w="2423" w:type="dxa"/>
            <w:noWrap w:val="0"/>
            <w:vAlign w:val="center"/>
          </w:tcPr>
          <w:p w14:paraId="5D53877D">
            <w:pPr>
              <w:adjustRightInd w:val="0"/>
              <w:snapToGrid w:val="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保险要求</w:t>
            </w:r>
          </w:p>
        </w:tc>
        <w:tc>
          <w:tcPr>
            <w:tcW w:w="4562" w:type="dxa"/>
            <w:noWrap w:val="0"/>
            <w:vAlign w:val="center"/>
          </w:tcPr>
          <w:p w14:paraId="436859B8">
            <w:pPr>
              <w:rPr>
                <w:rFonts w:hint="eastAsia" w:ascii="宋体" w:hAnsi="宋体" w:eastAsia="宋体" w:cs="宋体"/>
                <w:color w:val="auto"/>
                <w:sz w:val="21"/>
                <w:szCs w:val="21"/>
                <w:highlight w:val="none"/>
              </w:rPr>
            </w:pPr>
          </w:p>
        </w:tc>
      </w:tr>
      <w:tr w14:paraId="651AF3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534" w:type="dxa"/>
            <w:noWrap w:val="0"/>
            <w:vAlign w:val="center"/>
          </w:tcPr>
          <w:p w14:paraId="625958A2">
            <w:pPr>
              <w:adjustRightInd w:val="0"/>
              <w:snapToGrid w:val="0"/>
              <w:ind w:left="0" w:leftChars="0" w:firstLine="210" w:firstLineChars="1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46752695">
            <w:pPr>
              <w:adjustRightInd w:val="0"/>
              <w:snapToGrid w:val="0"/>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.2（1）项</w:t>
            </w:r>
          </w:p>
        </w:tc>
        <w:tc>
          <w:tcPr>
            <w:tcW w:w="2423" w:type="dxa"/>
            <w:noWrap w:val="0"/>
            <w:vAlign w:val="center"/>
          </w:tcPr>
          <w:p w14:paraId="41BD1192">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质量保证期</w:t>
            </w:r>
          </w:p>
        </w:tc>
        <w:tc>
          <w:tcPr>
            <w:tcW w:w="4562" w:type="dxa"/>
            <w:noWrap w:val="0"/>
            <w:vAlign w:val="center"/>
          </w:tcPr>
          <w:p w14:paraId="5982DE5C">
            <w:pPr>
              <w:autoSpaceDE w:val="0"/>
              <w:autoSpaceDN w:val="0"/>
              <w:adjustRightInd w:val="0"/>
              <w:snapToGrid w:val="0"/>
              <w:ind w:firstLine="420" w:firstLineChars="200"/>
              <w:jc w:val="left"/>
              <w:rPr>
                <w:rFonts w:hint="eastAsia" w:ascii="宋体" w:hAnsi="宋体" w:eastAsia="宋体" w:cs="宋体"/>
                <w:color w:val="auto"/>
                <w:sz w:val="21"/>
                <w:szCs w:val="21"/>
                <w:highlight w:val="none"/>
              </w:rPr>
            </w:pPr>
          </w:p>
        </w:tc>
      </w:tr>
      <w:tr w14:paraId="1623F9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534" w:type="dxa"/>
            <w:noWrap w:val="0"/>
            <w:vAlign w:val="center"/>
          </w:tcPr>
          <w:p w14:paraId="4973BA2C">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3BEAACBE">
            <w:pPr>
              <w:adjustRightInd w:val="0"/>
              <w:snapToGrid w:val="0"/>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.2（3）项</w:t>
            </w:r>
          </w:p>
        </w:tc>
        <w:tc>
          <w:tcPr>
            <w:tcW w:w="2423" w:type="dxa"/>
            <w:noWrap w:val="0"/>
            <w:vAlign w:val="center"/>
          </w:tcPr>
          <w:p w14:paraId="71907D6D">
            <w:pPr>
              <w:adjustRightInd w:val="0"/>
              <w:snapToGrid w:val="0"/>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货物质量缺陷</w:t>
            </w:r>
            <w:r>
              <w:rPr>
                <w:rFonts w:hint="eastAsia" w:ascii="宋体" w:hAnsi="宋体" w:eastAsia="宋体" w:cs="宋体"/>
                <w:color w:val="auto"/>
                <w:sz w:val="21"/>
                <w:szCs w:val="21"/>
                <w:highlight w:val="none"/>
              </w:rPr>
              <w:t>响应时间</w:t>
            </w:r>
          </w:p>
        </w:tc>
        <w:tc>
          <w:tcPr>
            <w:tcW w:w="4562" w:type="dxa"/>
            <w:noWrap w:val="0"/>
            <w:vAlign w:val="center"/>
          </w:tcPr>
          <w:p w14:paraId="34B2DB9D">
            <w:pPr>
              <w:adjustRightInd w:val="0"/>
              <w:snapToGrid w:val="0"/>
              <w:jc w:val="left"/>
              <w:rPr>
                <w:rFonts w:hint="eastAsia" w:ascii="宋体" w:hAnsi="宋体" w:eastAsia="宋体" w:cs="宋体"/>
                <w:color w:val="auto"/>
                <w:sz w:val="21"/>
                <w:szCs w:val="21"/>
                <w:highlight w:val="none"/>
              </w:rPr>
            </w:pPr>
          </w:p>
        </w:tc>
      </w:tr>
      <w:tr w14:paraId="58BF77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534" w:type="dxa"/>
            <w:noWrap w:val="0"/>
            <w:vAlign w:val="center"/>
          </w:tcPr>
          <w:p w14:paraId="229E1D94">
            <w:pPr>
              <w:snapToGrid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第二节</w:t>
            </w:r>
          </w:p>
          <w:p w14:paraId="1B0FD141">
            <w:pPr>
              <w:pStyle w:val="94"/>
              <w:ind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第11.1款</w:t>
            </w:r>
          </w:p>
        </w:tc>
        <w:tc>
          <w:tcPr>
            <w:tcW w:w="2423" w:type="dxa"/>
            <w:noWrap w:val="0"/>
            <w:vAlign w:val="center"/>
          </w:tcPr>
          <w:p w14:paraId="20795DD2">
            <w:pPr>
              <w:adjustRightInd w:val="0"/>
              <w:snapToGrid w:val="0"/>
              <w:ind w:left="0" w:leftChars="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其他应当保密的信息</w:t>
            </w:r>
          </w:p>
        </w:tc>
        <w:tc>
          <w:tcPr>
            <w:tcW w:w="4562" w:type="dxa"/>
            <w:noWrap w:val="0"/>
            <w:vAlign w:val="center"/>
          </w:tcPr>
          <w:p w14:paraId="488780D7">
            <w:pPr>
              <w:adjustRightInd w:val="0"/>
              <w:snapToGrid w:val="0"/>
              <w:jc w:val="left"/>
              <w:rPr>
                <w:rFonts w:hint="eastAsia" w:ascii="宋体" w:hAnsi="宋体" w:eastAsia="宋体" w:cs="宋体"/>
                <w:color w:val="auto"/>
                <w:sz w:val="21"/>
                <w:szCs w:val="21"/>
                <w:highlight w:val="none"/>
              </w:rPr>
            </w:pPr>
          </w:p>
        </w:tc>
      </w:tr>
      <w:tr w14:paraId="36597B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534" w:type="dxa"/>
            <w:noWrap w:val="0"/>
            <w:vAlign w:val="center"/>
          </w:tcPr>
          <w:p w14:paraId="254EE302">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36147AB7">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.2款</w:t>
            </w:r>
          </w:p>
        </w:tc>
        <w:tc>
          <w:tcPr>
            <w:tcW w:w="2423" w:type="dxa"/>
            <w:noWrap w:val="0"/>
            <w:vAlign w:val="center"/>
          </w:tcPr>
          <w:p w14:paraId="6734A605">
            <w:pPr>
              <w:adjustRightInd w:val="0"/>
              <w:snapToGrid w:val="0"/>
              <w:ind w:left="0" w:leftChars="0" w:firstLine="0" w:firstLineChars="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合同价款支付</w:t>
            </w:r>
            <w:r>
              <w:rPr>
                <w:rFonts w:hint="eastAsia" w:ascii="宋体" w:hAnsi="宋体" w:eastAsia="宋体" w:cs="宋体"/>
                <w:color w:val="auto"/>
                <w:sz w:val="21"/>
                <w:szCs w:val="21"/>
                <w:highlight w:val="none"/>
                <w:lang w:eastAsia="zh-CN"/>
              </w:rPr>
              <w:t>时间</w:t>
            </w:r>
          </w:p>
        </w:tc>
        <w:tc>
          <w:tcPr>
            <w:tcW w:w="4562" w:type="dxa"/>
            <w:noWrap w:val="0"/>
            <w:vAlign w:val="center"/>
          </w:tcPr>
          <w:p w14:paraId="1E5022FD">
            <w:pPr>
              <w:adjustRightInd w:val="0"/>
              <w:snapToGrid w:val="0"/>
              <w:jc w:val="left"/>
              <w:rPr>
                <w:rFonts w:hint="eastAsia" w:ascii="宋体" w:hAnsi="宋体" w:eastAsia="宋体" w:cs="宋体"/>
                <w:color w:val="auto"/>
                <w:sz w:val="21"/>
                <w:szCs w:val="21"/>
                <w:highlight w:val="none"/>
              </w:rPr>
            </w:pPr>
          </w:p>
        </w:tc>
      </w:tr>
      <w:tr w14:paraId="41C664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534" w:type="dxa"/>
            <w:noWrap w:val="0"/>
            <w:vAlign w:val="center"/>
          </w:tcPr>
          <w:p w14:paraId="5D582E8C">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7FE24F89">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13.2</w:t>
            </w:r>
            <w:r>
              <w:rPr>
                <w:rFonts w:hint="eastAsia" w:ascii="宋体" w:hAnsi="宋体" w:eastAsia="宋体" w:cs="宋体"/>
                <w:color w:val="auto"/>
                <w:sz w:val="21"/>
                <w:szCs w:val="21"/>
                <w:highlight w:val="none"/>
              </w:rPr>
              <w:t>款</w:t>
            </w:r>
          </w:p>
        </w:tc>
        <w:tc>
          <w:tcPr>
            <w:tcW w:w="2423" w:type="dxa"/>
            <w:noWrap w:val="0"/>
            <w:vAlign w:val="center"/>
          </w:tcPr>
          <w:p w14:paraId="0E186387">
            <w:pPr>
              <w:adjustRightInd w:val="0"/>
              <w:snapToGrid w:val="0"/>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履约保证金不予退还的情形</w:t>
            </w:r>
          </w:p>
        </w:tc>
        <w:tc>
          <w:tcPr>
            <w:tcW w:w="4562" w:type="dxa"/>
            <w:noWrap w:val="0"/>
            <w:vAlign w:val="center"/>
          </w:tcPr>
          <w:p w14:paraId="5EDCF305">
            <w:pPr>
              <w:adjustRightInd w:val="0"/>
              <w:snapToGrid w:val="0"/>
              <w:jc w:val="left"/>
              <w:rPr>
                <w:rFonts w:hint="eastAsia" w:ascii="宋体" w:hAnsi="宋体" w:eastAsia="宋体" w:cs="宋体"/>
                <w:color w:val="auto"/>
                <w:sz w:val="21"/>
                <w:szCs w:val="21"/>
                <w:highlight w:val="none"/>
              </w:rPr>
            </w:pPr>
          </w:p>
        </w:tc>
      </w:tr>
      <w:tr w14:paraId="56766B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534" w:type="dxa"/>
            <w:noWrap w:val="0"/>
            <w:vAlign w:val="center"/>
          </w:tcPr>
          <w:p w14:paraId="100615C0">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570F07E3">
            <w:pPr>
              <w:adjustRightInd w:val="0"/>
              <w:snapToGrid w:val="0"/>
              <w:ind w:left="0" w:leftChars="0" w:firstLine="210" w:firstLineChars="1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13.3</w:t>
            </w:r>
            <w:r>
              <w:rPr>
                <w:rFonts w:hint="eastAsia" w:ascii="宋体" w:hAnsi="宋体" w:eastAsia="宋体" w:cs="宋体"/>
                <w:color w:val="auto"/>
                <w:sz w:val="21"/>
                <w:szCs w:val="21"/>
                <w:highlight w:val="none"/>
              </w:rPr>
              <w:t>款</w:t>
            </w:r>
          </w:p>
        </w:tc>
        <w:tc>
          <w:tcPr>
            <w:tcW w:w="2423" w:type="dxa"/>
            <w:noWrap w:val="0"/>
            <w:vAlign w:val="center"/>
          </w:tcPr>
          <w:p w14:paraId="15DAAB5F">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履约保证金退还时间及</w:t>
            </w:r>
            <w:r>
              <w:rPr>
                <w:rFonts w:hint="eastAsia" w:ascii="宋体" w:hAnsi="宋体" w:eastAsia="宋体" w:cs="宋体"/>
                <w:color w:val="auto"/>
                <w:sz w:val="21"/>
                <w:szCs w:val="21"/>
                <w:highlight w:val="none"/>
                <w:lang w:eastAsia="zh-CN"/>
              </w:rPr>
              <w:t>逾期退还的</w:t>
            </w:r>
            <w:r>
              <w:rPr>
                <w:rFonts w:hint="eastAsia" w:ascii="宋体" w:hAnsi="宋体" w:eastAsia="宋体" w:cs="宋体"/>
                <w:color w:val="auto"/>
                <w:sz w:val="21"/>
                <w:szCs w:val="21"/>
                <w:highlight w:val="none"/>
              </w:rPr>
              <w:t>违约金</w:t>
            </w:r>
          </w:p>
        </w:tc>
        <w:tc>
          <w:tcPr>
            <w:tcW w:w="4562" w:type="dxa"/>
            <w:noWrap w:val="0"/>
            <w:vAlign w:val="center"/>
          </w:tcPr>
          <w:p w14:paraId="734E8C40">
            <w:pPr>
              <w:adjustRightInd w:val="0"/>
              <w:snapToGrid w:val="0"/>
              <w:jc w:val="left"/>
              <w:rPr>
                <w:rFonts w:hint="eastAsia" w:ascii="宋体" w:hAnsi="宋体" w:eastAsia="宋体" w:cs="宋体"/>
                <w:color w:val="auto"/>
                <w:sz w:val="21"/>
                <w:szCs w:val="21"/>
                <w:highlight w:val="none"/>
              </w:rPr>
            </w:pPr>
          </w:p>
        </w:tc>
      </w:tr>
      <w:tr w14:paraId="1DEAFE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534" w:type="dxa"/>
            <w:noWrap w:val="0"/>
            <w:vAlign w:val="center"/>
          </w:tcPr>
          <w:p w14:paraId="52F701A4">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5167B6FD">
            <w:pPr>
              <w:adjustRightInd w:val="0"/>
              <w:snapToGrid w:val="0"/>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）项</w:t>
            </w:r>
          </w:p>
        </w:tc>
        <w:tc>
          <w:tcPr>
            <w:tcW w:w="2423" w:type="dxa"/>
            <w:noWrap w:val="0"/>
            <w:vAlign w:val="center"/>
          </w:tcPr>
          <w:p w14:paraId="24129398">
            <w:pPr>
              <w:adjustRightInd w:val="0"/>
              <w:snapToGrid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运行监督、维修期限</w:t>
            </w:r>
          </w:p>
        </w:tc>
        <w:tc>
          <w:tcPr>
            <w:tcW w:w="4562" w:type="dxa"/>
            <w:noWrap w:val="0"/>
            <w:vAlign w:val="center"/>
          </w:tcPr>
          <w:p w14:paraId="25F40085">
            <w:pPr>
              <w:adjustRightInd w:val="0"/>
              <w:snapToGrid w:val="0"/>
              <w:jc w:val="left"/>
              <w:rPr>
                <w:rFonts w:hint="eastAsia" w:ascii="宋体" w:hAnsi="宋体" w:eastAsia="宋体" w:cs="宋体"/>
                <w:color w:val="auto"/>
                <w:sz w:val="21"/>
                <w:szCs w:val="21"/>
                <w:highlight w:val="none"/>
              </w:rPr>
            </w:pPr>
          </w:p>
        </w:tc>
      </w:tr>
      <w:tr w14:paraId="6E3908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534" w:type="dxa"/>
            <w:noWrap w:val="0"/>
            <w:vAlign w:val="center"/>
          </w:tcPr>
          <w:p w14:paraId="4A24C096">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13BDFE4F">
            <w:pPr>
              <w:adjustRightInd w:val="0"/>
              <w:snapToGrid w:val="0"/>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）项</w:t>
            </w:r>
          </w:p>
        </w:tc>
        <w:tc>
          <w:tcPr>
            <w:tcW w:w="2423" w:type="dxa"/>
            <w:noWrap w:val="0"/>
            <w:vAlign w:val="center"/>
          </w:tcPr>
          <w:p w14:paraId="0D809430">
            <w:pPr>
              <w:adjustRightInd w:val="0"/>
              <w:snapToGrid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货物回收的约定</w:t>
            </w:r>
          </w:p>
        </w:tc>
        <w:tc>
          <w:tcPr>
            <w:tcW w:w="4562" w:type="dxa"/>
            <w:noWrap w:val="0"/>
            <w:vAlign w:val="center"/>
          </w:tcPr>
          <w:p w14:paraId="59E92213">
            <w:pPr>
              <w:adjustRightInd w:val="0"/>
              <w:snapToGrid w:val="0"/>
              <w:jc w:val="left"/>
              <w:rPr>
                <w:rFonts w:hint="eastAsia" w:ascii="宋体" w:hAnsi="宋体" w:eastAsia="宋体" w:cs="宋体"/>
                <w:color w:val="auto"/>
                <w:sz w:val="21"/>
                <w:szCs w:val="21"/>
                <w:highlight w:val="none"/>
              </w:rPr>
            </w:pPr>
          </w:p>
        </w:tc>
      </w:tr>
      <w:tr w14:paraId="6770C4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534" w:type="dxa"/>
            <w:noWrap w:val="0"/>
            <w:vAlign w:val="center"/>
          </w:tcPr>
          <w:p w14:paraId="3B48F018">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6B126ED6">
            <w:pPr>
              <w:adjustRightInd w:val="0"/>
              <w:snapToGrid w:val="0"/>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）项</w:t>
            </w:r>
          </w:p>
        </w:tc>
        <w:tc>
          <w:tcPr>
            <w:tcW w:w="2423" w:type="dxa"/>
            <w:noWrap w:val="0"/>
            <w:vAlign w:val="center"/>
          </w:tcPr>
          <w:p w14:paraId="4CF2C7C5">
            <w:pPr>
              <w:adjustRightInd w:val="0"/>
              <w:snapToGrid w:val="0"/>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乙方提供的其他服务</w:t>
            </w:r>
          </w:p>
        </w:tc>
        <w:tc>
          <w:tcPr>
            <w:tcW w:w="4562" w:type="dxa"/>
            <w:noWrap w:val="0"/>
            <w:vAlign w:val="center"/>
          </w:tcPr>
          <w:p w14:paraId="2B4C72F2">
            <w:pPr>
              <w:adjustRightInd w:val="0"/>
              <w:snapToGrid w:val="0"/>
              <w:jc w:val="left"/>
              <w:rPr>
                <w:rFonts w:hint="eastAsia" w:ascii="宋体" w:hAnsi="宋体" w:eastAsia="宋体" w:cs="宋体"/>
                <w:color w:val="auto"/>
                <w:sz w:val="21"/>
                <w:szCs w:val="21"/>
                <w:highlight w:val="none"/>
              </w:rPr>
            </w:pPr>
          </w:p>
        </w:tc>
      </w:tr>
      <w:tr w14:paraId="4A7B24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534" w:type="dxa"/>
            <w:noWrap w:val="0"/>
            <w:vAlign w:val="center"/>
          </w:tcPr>
          <w:p w14:paraId="38C15AB3">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02396B5E">
            <w:pPr>
              <w:adjustRightInd w:val="0"/>
              <w:snapToGrid w:val="0"/>
              <w:ind w:left="0" w:leftChars="0" w:firstLine="210" w:firstLine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第1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1款</w:t>
            </w:r>
          </w:p>
        </w:tc>
        <w:tc>
          <w:tcPr>
            <w:tcW w:w="2423" w:type="dxa"/>
            <w:noWrap w:val="0"/>
            <w:vAlign w:val="center"/>
          </w:tcPr>
          <w:p w14:paraId="5AABF15B">
            <w:pPr>
              <w:adjustRightInd w:val="0"/>
              <w:snapToGrid w:val="0"/>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修理、重作、更换相关具体规定</w:t>
            </w:r>
          </w:p>
        </w:tc>
        <w:tc>
          <w:tcPr>
            <w:tcW w:w="4562" w:type="dxa"/>
            <w:noWrap w:val="0"/>
            <w:vAlign w:val="center"/>
          </w:tcPr>
          <w:p w14:paraId="2B7C0A2D">
            <w:pPr>
              <w:adjustRightInd w:val="0"/>
              <w:snapToGrid w:val="0"/>
              <w:jc w:val="left"/>
              <w:rPr>
                <w:rFonts w:hint="eastAsia" w:ascii="宋体" w:hAnsi="宋体" w:eastAsia="宋体" w:cs="宋体"/>
                <w:color w:val="auto"/>
                <w:sz w:val="21"/>
                <w:szCs w:val="21"/>
                <w:highlight w:val="none"/>
              </w:rPr>
            </w:pPr>
          </w:p>
        </w:tc>
      </w:tr>
      <w:tr w14:paraId="376C97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534" w:type="dxa"/>
            <w:noWrap w:val="0"/>
            <w:vAlign w:val="center"/>
          </w:tcPr>
          <w:p w14:paraId="136E687C">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393CFD78">
            <w:pPr>
              <w:adjustRightInd w:val="0"/>
              <w:snapToGrid w:val="0"/>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.2（2）项</w:t>
            </w:r>
          </w:p>
        </w:tc>
        <w:tc>
          <w:tcPr>
            <w:tcW w:w="2423" w:type="dxa"/>
            <w:noWrap w:val="0"/>
            <w:vAlign w:val="center"/>
          </w:tcPr>
          <w:p w14:paraId="319F527F">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迟延交货赔偿费</w:t>
            </w:r>
          </w:p>
        </w:tc>
        <w:tc>
          <w:tcPr>
            <w:tcW w:w="4562" w:type="dxa"/>
            <w:noWrap w:val="0"/>
            <w:vAlign w:val="center"/>
          </w:tcPr>
          <w:p w14:paraId="389CB714">
            <w:pPr>
              <w:adjustRightInd w:val="0"/>
              <w:snapToGrid w:val="0"/>
              <w:jc w:val="left"/>
              <w:rPr>
                <w:rFonts w:hint="eastAsia" w:ascii="宋体" w:hAnsi="宋体" w:eastAsia="宋体" w:cs="宋体"/>
                <w:color w:val="auto"/>
                <w:sz w:val="21"/>
                <w:szCs w:val="21"/>
                <w:highlight w:val="none"/>
                <w:u w:val="single"/>
              </w:rPr>
            </w:pPr>
          </w:p>
        </w:tc>
      </w:tr>
      <w:tr w14:paraId="25450E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534" w:type="dxa"/>
            <w:noWrap w:val="0"/>
            <w:vAlign w:val="center"/>
          </w:tcPr>
          <w:p w14:paraId="734C76A7">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69412948">
            <w:pPr>
              <w:adjustRightInd w:val="0"/>
              <w:snapToGrid w:val="0"/>
              <w:ind w:left="0" w:leftChars="0" w:firstLine="210" w:firstLineChars="1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3款</w:t>
            </w:r>
          </w:p>
        </w:tc>
        <w:tc>
          <w:tcPr>
            <w:tcW w:w="2423" w:type="dxa"/>
            <w:noWrap w:val="0"/>
            <w:vAlign w:val="center"/>
          </w:tcPr>
          <w:p w14:paraId="389C57F5">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逾期付款利息</w:t>
            </w:r>
          </w:p>
        </w:tc>
        <w:tc>
          <w:tcPr>
            <w:tcW w:w="4562" w:type="dxa"/>
            <w:noWrap w:val="0"/>
            <w:vAlign w:val="center"/>
          </w:tcPr>
          <w:p w14:paraId="746F2DE3">
            <w:pPr>
              <w:adjustRightInd w:val="0"/>
              <w:snapToGrid w:val="0"/>
              <w:jc w:val="left"/>
              <w:rPr>
                <w:rFonts w:hint="eastAsia" w:ascii="宋体" w:hAnsi="宋体" w:eastAsia="宋体" w:cs="宋体"/>
                <w:color w:val="auto"/>
                <w:sz w:val="21"/>
                <w:szCs w:val="21"/>
                <w:highlight w:val="none"/>
                <w:u w:val="single"/>
              </w:rPr>
            </w:pPr>
          </w:p>
        </w:tc>
      </w:tr>
      <w:tr w14:paraId="1AC008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534" w:type="dxa"/>
            <w:tcBorders>
              <w:bottom w:val="single" w:color="auto" w:sz="2" w:space="0"/>
              <w:right w:val="single" w:color="auto" w:sz="2" w:space="0"/>
            </w:tcBorders>
            <w:noWrap w:val="0"/>
            <w:vAlign w:val="center"/>
          </w:tcPr>
          <w:p w14:paraId="783D02F1">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7367EF4B">
            <w:pPr>
              <w:adjustRightInd w:val="0"/>
              <w:snapToGrid w:val="0"/>
              <w:ind w:left="0" w:leftChars="0" w:firstLine="210" w:firstLineChars="1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款</w:t>
            </w:r>
          </w:p>
        </w:tc>
        <w:tc>
          <w:tcPr>
            <w:tcW w:w="2423" w:type="dxa"/>
            <w:tcBorders>
              <w:left w:val="single" w:color="auto" w:sz="2" w:space="0"/>
              <w:bottom w:val="single" w:color="auto" w:sz="2" w:space="0"/>
              <w:right w:val="single" w:color="auto" w:sz="2" w:space="0"/>
            </w:tcBorders>
            <w:noWrap w:val="0"/>
            <w:vAlign w:val="center"/>
          </w:tcPr>
          <w:p w14:paraId="1C97546B">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其他违约责任</w:t>
            </w:r>
          </w:p>
        </w:tc>
        <w:tc>
          <w:tcPr>
            <w:tcW w:w="4562" w:type="dxa"/>
            <w:tcBorders>
              <w:left w:val="single" w:color="auto" w:sz="2" w:space="0"/>
              <w:bottom w:val="single" w:color="auto" w:sz="2" w:space="0"/>
            </w:tcBorders>
            <w:noWrap w:val="0"/>
            <w:vAlign w:val="center"/>
          </w:tcPr>
          <w:p w14:paraId="60D400AD">
            <w:pPr>
              <w:adjustRightInd w:val="0"/>
              <w:snapToGrid w:val="0"/>
              <w:jc w:val="left"/>
              <w:rPr>
                <w:rFonts w:hint="eastAsia" w:ascii="宋体" w:hAnsi="宋体" w:eastAsia="宋体" w:cs="宋体"/>
                <w:color w:val="auto"/>
                <w:sz w:val="21"/>
                <w:szCs w:val="21"/>
                <w:highlight w:val="none"/>
                <w:u w:val="single"/>
              </w:rPr>
            </w:pPr>
          </w:p>
        </w:tc>
      </w:tr>
      <w:tr w14:paraId="77D10C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534" w:type="dxa"/>
            <w:tcBorders>
              <w:top w:val="single" w:color="auto" w:sz="2" w:space="0"/>
              <w:right w:val="single" w:color="auto" w:sz="2" w:space="0"/>
            </w:tcBorders>
            <w:noWrap w:val="0"/>
            <w:vAlign w:val="center"/>
          </w:tcPr>
          <w:p w14:paraId="768A21EB">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52FA4767">
            <w:pPr>
              <w:adjustRightInd w:val="0"/>
              <w:snapToGrid w:val="0"/>
              <w:ind w:left="0" w:leftChars="0" w:firstLine="210" w:firstLineChars="1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款</w:t>
            </w:r>
          </w:p>
        </w:tc>
        <w:tc>
          <w:tcPr>
            <w:tcW w:w="2423" w:type="dxa"/>
            <w:tcBorders>
              <w:top w:val="single" w:color="auto" w:sz="2" w:space="0"/>
              <w:left w:val="single" w:color="auto" w:sz="2" w:space="0"/>
              <w:right w:val="single" w:color="auto" w:sz="2" w:space="0"/>
            </w:tcBorders>
            <w:noWrap w:val="0"/>
            <w:vAlign w:val="center"/>
          </w:tcPr>
          <w:p w14:paraId="01D7D42B">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解决争议的方法</w:t>
            </w:r>
          </w:p>
        </w:tc>
        <w:tc>
          <w:tcPr>
            <w:tcW w:w="4562" w:type="dxa"/>
            <w:tcBorders>
              <w:top w:val="single" w:color="auto" w:sz="2" w:space="0"/>
              <w:left w:val="single" w:color="auto" w:sz="2" w:space="0"/>
            </w:tcBorders>
            <w:noWrap w:val="0"/>
            <w:vAlign w:val="center"/>
          </w:tcPr>
          <w:p w14:paraId="045C301E">
            <w:pPr>
              <w:autoSpaceDE w:val="0"/>
              <w:autoSpaceDN w:val="0"/>
              <w:adjustRightInd w:val="0"/>
              <w:snapToGrid w:val="0"/>
              <w:spacing w:line="400" w:lineRule="exact"/>
              <w:jc w:val="left"/>
              <w:rPr>
                <w:rFonts w:hint="eastAsia" w:ascii="宋体" w:hAnsi="宋体" w:eastAsia="宋体" w:cs="宋体"/>
                <w:b w:val="0"/>
                <w:bCs w:val="0"/>
                <w:iCs/>
                <w:color w:val="auto"/>
                <w:sz w:val="21"/>
                <w:szCs w:val="21"/>
                <w:highlight w:val="none"/>
              </w:rPr>
            </w:pPr>
            <w:r>
              <w:rPr>
                <w:rFonts w:hint="eastAsia" w:ascii="宋体" w:hAnsi="宋体" w:eastAsia="宋体" w:cs="宋体"/>
                <w:b w:val="0"/>
                <w:bCs w:val="0"/>
                <w:iCs/>
                <w:color w:val="auto"/>
                <w:sz w:val="21"/>
                <w:szCs w:val="21"/>
                <w:highlight w:val="none"/>
              </w:rPr>
              <w:t>因本合同及合同有关事项发生的争议，按下列第</w:t>
            </w:r>
            <w:r>
              <w:rPr>
                <w:rFonts w:hint="eastAsia" w:ascii="宋体" w:hAnsi="宋体" w:eastAsia="宋体" w:cs="宋体"/>
                <w:b w:val="0"/>
                <w:bCs w:val="0"/>
                <w:iCs/>
                <w:color w:val="auto"/>
                <w:sz w:val="21"/>
                <w:szCs w:val="21"/>
                <w:highlight w:val="none"/>
                <w:u w:val="single"/>
              </w:rPr>
              <w:t xml:space="preserve">   </w:t>
            </w:r>
            <w:r>
              <w:rPr>
                <w:rFonts w:hint="eastAsia" w:ascii="宋体" w:hAnsi="宋体" w:eastAsia="宋体" w:cs="宋体"/>
                <w:b w:val="0"/>
                <w:bCs w:val="0"/>
                <w:iCs/>
                <w:color w:val="auto"/>
                <w:sz w:val="21"/>
                <w:szCs w:val="21"/>
                <w:highlight w:val="none"/>
              </w:rPr>
              <w:t>种方式解决：</w:t>
            </w:r>
          </w:p>
          <w:p w14:paraId="1B231AFD">
            <w:pPr>
              <w:autoSpaceDE w:val="0"/>
              <w:autoSpaceDN w:val="0"/>
              <w:adjustRightInd w:val="0"/>
              <w:snapToGrid w:val="0"/>
              <w:spacing w:line="400" w:lineRule="exact"/>
              <w:ind w:left="0" w:leftChars="0" w:firstLine="0" w:firstLineChars="0"/>
              <w:jc w:val="left"/>
              <w:rPr>
                <w:rFonts w:hint="eastAsia" w:ascii="宋体" w:hAnsi="宋体" w:eastAsia="宋体" w:cs="宋体"/>
                <w:b w:val="0"/>
                <w:bCs w:val="0"/>
                <w:iCs/>
                <w:color w:val="auto"/>
                <w:sz w:val="21"/>
                <w:szCs w:val="21"/>
                <w:highlight w:val="none"/>
              </w:rPr>
            </w:pPr>
            <w:r>
              <w:rPr>
                <w:rFonts w:hint="eastAsia" w:ascii="宋体" w:hAnsi="宋体" w:eastAsia="宋体" w:cs="宋体"/>
                <w:b w:val="0"/>
                <w:bCs w:val="0"/>
                <w:iCs/>
                <w:color w:val="auto"/>
                <w:sz w:val="21"/>
                <w:szCs w:val="21"/>
                <w:highlight w:val="none"/>
              </w:rPr>
              <w:t>（1）向</w:t>
            </w:r>
            <w:r>
              <w:rPr>
                <w:rFonts w:hint="eastAsia" w:ascii="宋体" w:hAnsi="宋体" w:eastAsia="宋体" w:cs="宋体"/>
                <w:b w:val="0"/>
                <w:bCs w:val="0"/>
                <w:iCs/>
                <w:color w:val="auto"/>
                <w:sz w:val="21"/>
                <w:szCs w:val="21"/>
                <w:highlight w:val="none"/>
                <w:u w:val="single"/>
              </w:rPr>
              <w:t xml:space="preserve">                    </w:t>
            </w:r>
            <w:r>
              <w:rPr>
                <w:rFonts w:hint="eastAsia" w:ascii="宋体" w:hAnsi="宋体" w:eastAsia="宋体" w:cs="宋体"/>
                <w:b w:val="0"/>
                <w:bCs w:val="0"/>
                <w:iCs/>
                <w:color w:val="auto"/>
                <w:sz w:val="21"/>
                <w:szCs w:val="21"/>
                <w:highlight w:val="none"/>
              </w:rPr>
              <w:t>仲裁委员会申请仲裁，仲裁地点为</w:t>
            </w:r>
            <w:r>
              <w:rPr>
                <w:rFonts w:hint="eastAsia" w:ascii="宋体" w:hAnsi="宋体" w:eastAsia="宋体" w:cs="宋体"/>
                <w:b w:val="0"/>
                <w:bCs w:val="0"/>
                <w:iCs/>
                <w:color w:val="auto"/>
                <w:sz w:val="21"/>
                <w:szCs w:val="21"/>
                <w:highlight w:val="none"/>
                <w:u w:val="single"/>
              </w:rPr>
              <w:t xml:space="preserve">           </w:t>
            </w:r>
            <w:r>
              <w:rPr>
                <w:rFonts w:hint="eastAsia" w:ascii="宋体" w:hAnsi="宋体" w:eastAsia="宋体" w:cs="宋体"/>
                <w:b w:val="0"/>
                <w:bCs w:val="0"/>
                <w:iCs/>
                <w:color w:val="auto"/>
                <w:sz w:val="21"/>
                <w:szCs w:val="21"/>
                <w:highlight w:val="none"/>
              </w:rPr>
              <w:t>；</w:t>
            </w:r>
          </w:p>
          <w:p w14:paraId="6017FD6B">
            <w:pPr>
              <w:adjustRightInd w:val="0"/>
              <w:snapToGrid w:val="0"/>
              <w:ind w:firstLine="0" w:firstLineChars="0"/>
              <w:jc w:val="left"/>
              <w:rPr>
                <w:rFonts w:hint="eastAsia" w:ascii="宋体" w:hAnsi="宋体" w:eastAsia="宋体" w:cs="宋体"/>
                <w:color w:val="auto"/>
                <w:sz w:val="21"/>
                <w:szCs w:val="21"/>
                <w:highlight w:val="none"/>
                <w:u w:val="single"/>
              </w:rPr>
            </w:pPr>
            <w:r>
              <w:rPr>
                <w:rFonts w:hint="eastAsia" w:ascii="宋体" w:hAnsi="宋体" w:eastAsia="宋体" w:cs="宋体"/>
                <w:b w:val="0"/>
                <w:bCs w:val="0"/>
                <w:iCs/>
                <w:color w:val="auto"/>
                <w:sz w:val="21"/>
                <w:szCs w:val="21"/>
                <w:highlight w:val="none"/>
              </w:rPr>
              <w:t>（2）向</w:t>
            </w:r>
            <w:r>
              <w:rPr>
                <w:rFonts w:hint="eastAsia" w:ascii="宋体" w:hAnsi="宋体" w:eastAsia="宋体" w:cs="宋体"/>
                <w:b w:val="0"/>
                <w:bCs w:val="0"/>
                <w:iCs/>
                <w:color w:val="auto"/>
                <w:sz w:val="21"/>
                <w:szCs w:val="21"/>
                <w:highlight w:val="none"/>
                <w:u w:val="single"/>
              </w:rPr>
              <w:t xml:space="preserve">                    </w:t>
            </w:r>
            <w:r>
              <w:rPr>
                <w:rFonts w:hint="eastAsia" w:ascii="宋体" w:hAnsi="宋体" w:eastAsia="宋体" w:cs="宋体"/>
                <w:b w:val="0"/>
                <w:bCs w:val="0"/>
                <w:iCs/>
                <w:color w:val="auto"/>
                <w:sz w:val="21"/>
                <w:szCs w:val="21"/>
                <w:highlight w:val="none"/>
              </w:rPr>
              <w:t>人民法院起诉。</w:t>
            </w:r>
          </w:p>
        </w:tc>
      </w:tr>
      <w:tr w14:paraId="4A4C0D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534" w:type="dxa"/>
            <w:noWrap w:val="0"/>
            <w:vAlign w:val="center"/>
          </w:tcPr>
          <w:p w14:paraId="6602A9DD">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27A5E206">
            <w:pPr>
              <w:adjustRightInd w:val="0"/>
              <w:snapToGrid w:val="0"/>
              <w:ind w:left="0" w:leftChars="0" w:firstLine="210" w:firstLineChars="1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第2</w:t>
            </w:r>
            <w:r>
              <w:rPr>
                <w:rFonts w:hint="eastAsia" w:ascii="宋体" w:hAnsi="宋体" w:eastAsia="宋体" w:cs="宋体"/>
                <w:color w:val="auto"/>
                <w:sz w:val="21"/>
                <w:szCs w:val="21"/>
                <w:highlight w:val="none"/>
                <w:lang w:val="en-US" w:eastAsia="zh-CN"/>
              </w:rPr>
              <w:t>3.1</w:t>
            </w:r>
            <w:r>
              <w:rPr>
                <w:rFonts w:hint="eastAsia" w:ascii="宋体" w:hAnsi="宋体" w:eastAsia="宋体" w:cs="宋体"/>
                <w:color w:val="auto"/>
                <w:sz w:val="21"/>
                <w:szCs w:val="21"/>
                <w:highlight w:val="none"/>
                <w:lang w:eastAsia="zh-CN"/>
              </w:rPr>
              <w:t>款</w:t>
            </w:r>
          </w:p>
        </w:tc>
        <w:tc>
          <w:tcPr>
            <w:tcW w:w="2423" w:type="dxa"/>
            <w:noWrap w:val="0"/>
            <w:vAlign w:val="center"/>
          </w:tcPr>
          <w:p w14:paraId="695E2D71">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eastAsia="zh-CN"/>
              </w:rPr>
              <w:t>其他专用条款</w:t>
            </w:r>
          </w:p>
        </w:tc>
        <w:tc>
          <w:tcPr>
            <w:tcW w:w="4562" w:type="dxa"/>
            <w:noWrap w:val="0"/>
            <w:vAlign w:val="center"/>
          </w:tcPr>
          <w:p w14:paraId="162FB709">
            <w:pPr>
              <w:adjustRightInd w:val="0"/>
              <w:snapToGrid w:val="0"/>
              <w:jc w:val="left"/>
              <w:rPr>
                <w:rFonts w:hint="eastAsia" w:ascii="宋体" w:hAnsi="宋体" w:eastAsia="宋体" w:cs="宋体"/>
                <w:color w:val="auto"/>
                <w:sz w:val="21"/>
                <w:szCs w:val="21"/>
                <w:highlight w:val="none"/>
                <w:lang w:val="en-US" w:eastAsia="zh-CN"/>
              </w:rPr>
            </w:pPr>
          </w:p>
        </w:tc>
      </w:tr>
    </w:tbl>
    <w:p w14:paraId="46106149">
      <w:pPr>
        <w:pStyle w:val="4"/>
        <w:spacing w:after="330"/>
        <w:rPr>
          <w:rFonts w:hint="eastAsia"/>
          <w:color w:val="auto"/>
          <w:highlight w:val="none"/>
        </w:rPr>
      </w:pPr>
    </w:p>
    <w:p w14:paraId="3D2DB3F7">
      <w:pPr>
        <w:pStyle w:val="4"/>
        <w:spacing w:after="330"/>
        <w:rPr>
          <w:rFonts w:hint="eastAsia"/>
          <w:color w:val="auto"/>
          <w:highlight w:val="none"/>
        </w:rPr>
      </w:pPr>
    </w:p>
    <w:p w14:paraId="22A12298">
      <w:pPr>
        <w:rPr>
          <w:rFonts w:hint="eastAsia"/>
          <w:color w:val="auto"/>
          <w:highlight w:val="none"/>
        </w:rPr>
      </w:pPr>
    </w:p>
    <w:p w14:paraId="48F1D0C0">
      <w:pPr>
        <w:pStyle w:val="2"/>
        <w:rPr>
          <w:rFonts w:hint="eastAsia"/>
          <w:color w:val="auto"/>
          <w:highlight w:val="none"/>
        </w:rPr>
      </w:pPr>
    </w:p>
    <w:p w14:paraId="3642E38A">
      <w:pPr>
        <w:pStyle w:val="4"/>
        <w:keepNext/>
        <w:keepLines w:val="0"/>
        <w:pageBreakBefore w:val="0"/>
        <w:widowControl w:val="0"/>
        <w:kinsoku/>
        <w:wordWrap/>
        <w:overflowPunct/>
        <w:topLinePunct w:val="0"/>
        <w:autoSpaceDE/>
        <w:autoSpaceDN/>
        <w:bidi w:val="0"/>
        <w:adjustRightInd/>
        <w:snapToGrid/>
        <w:spacing w:after="0" w:afterLines="0" w:line="240" w:lineRule="auto"/>
        <w:jc w:val="both"/>
        <w:textAlignment w:val="auto"/>
        <w:rPr>
          <w:rFonts w:hint="eastAsia"/>
          <w:color w:val="auto"/>
          <w:highlight w:val="none"/>
        </w:rPr>
      </w:pPr>
    </w:p>
    <w:p w14:paraId="33EC11F4">
      <w:pPr>
        <w:rPr>
          <w:rFonts w:hint="eastAsia"/>
          <w:color w:val="auto"/>
          <w:highlight w:val="none"/>
        </w:rPr>
      </w:pPr>
    </w:p>
    <w:p w14:paraId="569EF1AA">
      <w:pPr>
        <w:pStyle w:val="4"/>
        <w:keepNext/>
        <w:keepLines w:val="0"/>
        <w:pageBreakBefore w:val="0"/>
        <w:widowControl w:val="0"/>
        <w:kinsoku/>
        <w:wordWrap/>
        <w:overflowPunct/>
        <w:topLinePunct w:val="0"/>
        <w:autoSpaceDE/>
        <w:autoSpaceDN/>
        <w:bidi w:val="0"/>
        <w:adjustRightInd/>
        <w:snapToGrid/>
        <w:spacing w:after="0" w:afterLines="0" w:line="240" w:lineRule="auto"/>
        <w:jc w:val="center"/>
        <w:textAlignment w:val="auto"/>
        <w:rPr>
          <w:color w:val="auto"/>
          <w:highlight w:val="none"/>
        </w:rPr>
      </w:pPr>
      <w:r>
        <w:rPr>
          <w:rFonts w:hint="eastAsia"/>
          <w:color w:val="auto"/>
          <w:highlight w:val="none"/>
        </w:rPr>
        <w:t>第六章 投标文件格式</w:t>
      </w:r>
      <w:bookmarkEnd w:id="36"/>
    </w:p>
    <w:p w14:paraId="1DDC3C3D">
      <w:pPr>
        <w:pStyle w:val="7"/>
        <w:keepNext/>
        <w:keepLines/>
        <w:pageBreakBefore w:val="0"/>
        <w:widowControl/>
        <w:kinsoku/>
        <w:wordWrap/>
        <w:overflowPunct/>
        <w:topLinePunct w:val="0"/>
        <w:autoSpaceDE/>
        <w:autoSpaceDN/>
        <w:bidi w:val="0"/>
        <w:adjustRightInd/>
        <w:snapToGrid/>
        <w:spacing w:beforeLines="0" w:afterLines="0"/>
        <w:ind w:firstLine="482"/>
        <w:textAlignment w:val="auto"/>
        <w:rPr>
          <w:color w:val="auto"/>
          <w:highlight w:val="none"/>
        </w:rPr>
      </w:pPr>
      <w:r>
        <w:rPr>
          <w:rFonts w:hint="eastAsia"/>
          <w:color w:val="auto"/>
          <w:highlight w:val="none"/>
        </w:rPr>
        <w:t>投标人提交文件须知</w:t>
      </w:r>
    </w:p>
    <w:p w14:paraId="5295F9F9">
      <w:pPr>
        <w:ind w:firstLine="480"/>
        <w:rPr>
          <w:color w:val="auto"/>
          <w:highlight w:val="none"/>
        </w:rPr>
      </w:pPr>
      <w:r>
        <w:rPr>
          <w:rFonts w:hint="eastAsia"/>
          <w:color w:val="auto"/>
          <w:highlight w:val="none"/>
        </w:rPr>
        <w:t>1.投标人应严格按照第二章投标人须知规定的内容、顺序填写和提交下述规定的全部格式文件以及其他有关资料，混乱的编排导致投标文件被误读或查找不到，后果由投标人承担。</w:t>
      </w:r>
    </w:p>
    <w:p w14:paraId="193F3FF4">
      <w:pPr>
        <w:ind w:firstLine="480"/>
        <w:rPr>
          <w:color w:val="auto"/>
          <w:highlight w:val="none"/>
        </w:rPr>
      </w:pPr>
      <w:r>
        <w:rPr>
          <w:rFonts w:hint="eastAsia"/>
          <w:color w:val="auto"/>
          <w:highlight w:val="none"/>
        </w:rPr>
        <w:t>2.所附表格中要求回答的全部问题和信息都必须正面回答。</w:t>
      </w:r>
    </w:p>
    <w:p w14:paraId="139D43C5">
      <w:pPr>
        <w:ind w:firstLine="480"/>
        <w:rPr>
          <w:color w:val="auto"/>
          <w:highlight w:val="none"/>
        </w:rPr>
      </w:pPr>
      <w:r>
        <w:rPr>
          <w:rFonts w:hint="eastAsia"/>
          <w:color w:val="auto"/>
          <w:highlight w:val="none"/>
        </w:rPr>
        <w:t>3.本资格声明的签字人应保证全部声明和问题的回答是真实的和准确的。</w:t>
      </w:r>
    </w:p>
    <w:p w14:paraId="6E030824">
      <w:pPr>
        <w:ind w:firstLine="480"/>
        <w:rPr>
          <w:color w:val="auto"/>
          <w:highlight w:val="none"/>
        </w:rPr>
      </w:pPr>
      <w:r>
        <w:rPr>
          <w:rFonts w:hint="eastAsia"/>
          <w:color w:val="auto"/>
          <w:highlight w:val="none"/>
        </w:rPr>
        <w:t>4.评标委员会将应用投标人提交的资料并根据自己的判断，决定投标人履行合同的合格性及能力。</w:t>
      </w:r>
    </w:p>
    <w:p w14:paraId="65FBDC6B">
      <w:pPr>
        <w:ind w:firstLine="480"/>
        <w:rPr>
          <w:color w:val="auto"/>
          <w:highlight w:val="none"/>
        </w:rPr>
      </w:pPr>
      <w:r>
        <w:rPr>
          <w:rFonts w:hint="eastAsia"/>
          <w:color w:val="auto"/>
          <w:highlight w:val="none"/>
        </w:rPr>
        <w:t>5.投标人提交的材料将被妥善保存，但不退还。</w:t>
      </w:r>
    </w:p>
    <w:p w14:paraId="7B340983">
      <w:pPr>
        <w:ind w:firstLine="480"/>
        <w:rPr>
          <w:color w:val="auto"/>
          <w:highlight w:val="none"/>
        </w:rPr>
      </w:pPr>
      <w:r>
        <w:rPr>
          <w:rFonts w:hint="eastAsia"/>
          <w:color w:val="auto"/>
          <w:highlight w:val="none"/>
        </w:rPr>
        <w:t>6.全部文件应按投标人须知中规定的语言和份数提交。</w:t>
      </w:r>
    </w:p>
    <w:p w14:paraId="7C32973D">
      <w:pPr>
        <w:ind w:firstLine="480"/>
        <w:rPr>
          <w:color w:val="auto"/>
          <w:highlight w:val="none"/>
        </w:rPr>
      </w:pPr>
      <w:r>
        <w:rPr>
          <w:rFonts w:hint="eastAsia"/>
          <w:color w:val="auto"/>
          <w:highlight w:val="none"/>
        </w:rPr>
        <w:br w:type="page"/>
      </w:r>
      <w:r>
        <w:rPr>
          <w:rStyle w:val="51"/>
          <w:rFonts w:hint="eastAsia"/>
          <w:color w:val="auto"/>
          <w:highlight w:val="none"/>
        </w:rPr>
        <w:t>（封面格式）</w:t>
      </w:r>
    </w:p>
    <w:p w14:paraId="27A64137">
      <w:pPr>
        <w:ind w:firstLine="0" w:firstLineChars="0"/>
        <w:rPr>
          <w:color w:val="auto"/>
          <w:highlight w:val="none"/>
        </w:rPr>
      </w:pPr>
    </w:p>
    <w:p w14:paraId="370EC106">
      <w:pPr>
        <w:ind w:firstLine="0" w:firstLineChars="0"/>
        <w:rPr>
          <w:color w:val="auto"/>
          <w:highlight w:val="none"/>
        </w:rPr>
      </w:pPr>
    </w:p>
    <w:p w14:paraId="6F75E5A3">
      <w:pPr>
        <w:pStyle w:val="25"/>
        <w:rPr>
          <w:color w:val="auto"/>
          <w:highlight w:val="none"/>
        </w:rPr>
      </w:pPr>
    </w:p>
    <w:p w14:paraId="58FDDF18">
      <w:pPr>
        <w:ind w:firstLine="400"/>
        <w:rPr>
          <w:rFonts w:ascii="Courier New" w:hAnsi="Courier New"/>
          <w:color w:val="auto"/>
          <w:sz w:val="20"/>
          <w:highlight w:val="none"/>
        </w:rPr>
      </w:pPr>
    </w:p>
    <w:p w14:paraId="2B4F0C0E">
      <w:pPr>
        <w:ind w:firstLine="400"/>
        <w:rPr>
          <w:rFonts w:ascii="Courier New" w:hAnsi="Courier New"/>
          <w:color w:val="auto"/>
          <w:sz w:val="20"/>
          <w:highlight w:val="none"/>
        </w:rPr>
      </w:pPr>
    </w:p>
    <w:p w14:paraId="49A3B578">
      <w:pPr>
        <w:spacing w:after="330" w:afterLines="100"/>
        <w:ind w:firstLine="0" w:firstLineChars="0"/>
        <w:jc w:val="center"/>
        <w:rPr>
          <w:b/>
          <w:bCs/>
          <w:color w:val="auto"/>
          <w:sz w:val="96"/>
          <w:szCs w:val="96"/>
          <w:highlight w:val="none"/>
        </w:rPr>
      </w:pPr>
      <w:r>
        <w:rPr>
          <w:rFonts w:hint="eastAsia"/>
          <w:b/>
          <w:bCs/>
          <w:color w:val="auto"/>
          <w:sz w:val="96"/>
          <w:szCs w:val="96"/>
          <w:highlight w:val="none"/>
        </w:rPr>
        <w:t>投 标 文 件</w:t>
      </w:r>
    </w:p>
    <w:p w14:paraId="28F2D047">
      <w:pPr>
        <w:ind w:left="1440" w:leftChars="600" w:firstLine="0" w:firstLineChars="0"/>
        <w:rPr>
          <w:b/>
          <w:bCs/>
          <w:color w:val="auto"/>
          <w:sz w:val="32"/>
          <w:szCs w:val="32"/>
          <w:highlight w:val="none"/>
        </w:rPr>
      </w:pPr>
    </w:p>
    <w:p w14:paraId="333C8B21">
      <w:pPr>
        <w:ind w:left="1440" w:leftChars="600" w:firstLine="0" w:firstLineChars="0"/>
        <w:rPr>
          <w:b/>
          <w:bCs/>
          <w:color w:val="auto"/>
          <w:sz w:val="32"/>
          <w:szCs w:val="32"/>
          <w:highlight w:val="none"/>
        </w:rPr>
      </w:pPr>
      <w:r>
        <w:rPr>
          <w:rFonts w:hint="eastAsia"/>
          <w:b/>
          <w:bCs/>
          <w:color w:val="auto"/>
          <w:sz w:val="32"/>
          <w:szCs w:val="32"/>
          <w:highlight w:val="none"/>
        </w:rPr>
        <w:t>项目名称：</w:t>
      </w:r>
    </w:p>
    <w:p w14:paraId="143B13DC">
      <w:pPr>
        <w:ind w:left="1440" w:leftChars="600" w:firstLine="0" w:firstLineChars="0"/>
        <w:rPr>
          <w:rFonts w:hint="eastAsia"/>
          <w:b/>
          <w:bCs/>
          <w:color w:val="auto"/>
          <w:sz w:val="32"/>
          <w:szCs w:val="32"/>
          <w:highlight w:val="none"/>
        </w:rPr>
      </w:pPr>
      <w:r>
        <w:rPr>
          <w:rFonts w:hint="eastAsia"/>
          <w:b/>
          <w:bCs/>
          <w:color w:val="auto"/>
          <w:sz w:val="32"/>
          <w:szCs w:val="32"/>
          <w:highlight w:val="none"/>
        </w:rPr>
        <w:t>项目编号：</w:t>
      </w:r>
    </w:p>
    <w:p w14:paraId="4C42E701">
      <w:pPr>
        <w:ind w:left="1440" w:leftChars="600" w:firstLine="0" w:firstLineChars="0"/>
        <w:rPr>
          <w:rFonts w:hint="default" w:eastAsia="宋体"/>
          <w:b/>
          <w:bCs/>
          <w:color w:val="auto"/>
          <w:sz w:val="32"/>
          <w:szCs w:val="32"/>
          <w:highlight w:val="none"/>
          <w:lang w:val="en-US" w:eastAsia="zh-CN"/>
        </w:rPr>
      </w:pPr>
      <w:r>
        <w:rPr>
          <w:rFonts w:hint="eastAsia"/>
          <w:b/>
          <w:bCs/>
          <w:color w:val="auto"/>
          <w:sz w:val="32"/>
          <w:szCs w:val="32"/>
          <w:highlight w:val="none"/>
          <w:lang w:val="en-US" w:eastAsia="zh-CN"/>
        </w:rPr>
        <w:t>包号：</w:t>
      </w:r>
    </w:p>
    <w:p w14:paraId="5D517876">
      <w:pPr>
        <w:ind w:firstLine="0" w:firstLineChars="0"/>
        <w:rPr>
          <w:color w:val="auto"/>
          <w:highlight w:val="none"/>
        </w:rPr>
      </w:pPr>
    </w:p>
    <w:p w14:paraId="5653AD9F">
      <w:pPr>
        <w:ind w:firstLine="0" w:firstLineChars="0"/>
        <w:rPr>
          <w:color w:val="auto"/>
          <w:highlight w:val="none"/>
        </w:rPr>
      </w:pPr>
    </w:p>
    <w:p w14:paraId="1E630F42">
      <w:pPr>
        <w:ind w:firstLine="0" w:firstLineChars="0"/>
        <w:rPr>
          <w:color w:val="auto"/>
          <w:highlight w:val="none"/>
        </w:rPr>
      </w:pPr>
    </w:p>
    <w:p w14:paraId="0B7D161E">
      <w:pPr>
        <w:ind w:firstLine="0" w:firstLineChars="0"/>
        <w:rPr>
          <w:color w:val="auto"/>
          <w:highlight w:val="none"/>
        </w:rPr>
      </w:pPr>
    </w:p>
    <w:p w14:paraId="017CDC71">
      <w:pPr>
        <w:ind w:firstLine="0" w:firstLineChars="0"/>
        <w:rPr>
          <w:color w:val="auto"/>
          <w:highlight w:val="none"/>
        </w:rPr>
      </w:pPr>
    </w:p>
    <w:p w14:paraId="6B0AA72E">
      <w:pPr>
        <w:ind w:firstLine="0" w:firstLineChars="0"/>
        <w:rPr>
          <w:rFonts w:ascii="Courier New" w:hAnsi="Courier New"/>
          <w:color w:val="auto"/>
          <w:sz w:val="20"/>
          <w:highlight w:val="none"/>
        </w:rPr>
      </w:pPr>
    </w:p>
    <w:p w14:paraId="6E21EE42">
      <w:pPr>
        <w:ind w:firstLine="0" w:firstLineChars="0"/>
        <w:rPr>
          <w:color w:val="auto"/>
          <w:highlight w:val="none"/>
        </w:rPr>
      </w:pPr>
    </w:p>
    <w:p w14:paraId="58561647">
      <w:pPr>
        <w:ind w:left="1200" w:leftChars="500" w:firstLine="0" w:firstLineChars="0"/>
        <w:outlineLvl w:val="0"/>
        <w:rPr>
          <w:b/>
          <w:bCs/>
          <w:color w:val="auto"/>
          <w:sz w:val="32"/>
          <w:szCs w:val="32"/>
          <w:highlight w:val="none"/>
        </w:rPr>
      </w:pPr>
      <w:bookmarkStart w:id="39" w:name="_Toc10486"/>
      <w:bookmarkStart w:id="40" w:name="_Toc7432"/>
      <w:r>
        <w:rPr>
          <w:rFonts w:hint="eastAsia"/>
          <w:b/>
          <w:bCs/>
          <w:color w:val="auto"/>
          <w:sz w:val="32"/>
          <w:szCs w:val="32"/>
          <w:highlight w:val="none"/>
        </w:rPr>
        <w:t>投标人全称：</w:t>
      </w:r>
      <w:r>
        <w:rPr>
          <w:rFonts w:hint="eastAsia"/>
          <w:b/>
          <w:bCs/>
          <w:color w:val="auto"/>
          <w:sz w:val="32"/>
          <w:szCs w:val="32"/>
          <w:highlight w:val="none"/>
          <w:u w:val="single"/>
          <w:lang w:val="en-US" w:eastAsia="zh-CN"/>
        </w:rPr>
        <w:t xml:space="preserve">                             </w:t>
      </w:r>
      <w:r>
        <w:rPr>
          <w:rFonts w:hint="eastAsia"/>
          <w:b/>
          <w:bCs/>
          <w:color w:val="auto"/>
          <w:sz w:val="32"/>
          <w:szCs w:val="32"/>
          <w:highlight w:val="none"/>
        </w:rPr>
        <w:t>（公章）</w:t>
      </w:r>
      <w:bookmarkEnd w:id="39"/>
      <w:bookmarkEnd w:id="40"/>
    </w:p>
    <w:p w14:paraId="2FDAFA95">
      <w:pPr>
        <w:ind w:left="1200" w:leftChars="500" w:firstLine="0" w:firstLineChars="0"/>
        <w:outlineLvl w:val="0"/>
        <w:rPr>
          <w:b/>
          <w:bCs/>
          <w:color w:val="auto"/>
          <w:sz w:val="32"/>
          <w:szCs w:val="32"/>
          <w:highlight w:val="none"/>
        </w:rPr>
      </w:pPr>
      <w:bookmarkStart w:id="41" w:name="_Toc726"/>
      <w:bookmarkStart w:id="42" w:name="_Toc27563"/>
      <w:r>
        <w:rPr>
          <w:rFonts w:hint="eastAsia"/>
          <w:b/>
          <w:bCs/>
          <w:color w:val="auto"/>
          <w:sz w:val="32"/>
          <w:szCs w:val="32"/>
          <w:highlight w:val="none"/>
        </w:rPr>
        <w:t>法定代表人或委托代理人：</w:t>
      </w:r>
      <w:r>
        <w:rPr>
          <w:rFonts w:hint="eastAsia"/>
          <w:b/>
          <w:bCs/>
          <w:color w:val="auto"/>
          <w:sz w:val="32"/>
          <w:szCs w:val="32"/>
          <w:highlight w:val="none"/>
          <w:lang w:val="en-US" w:eastAsia="zh-CN"/>
        </w:rPr>
        <w:t xml:space="preserve"> </w:t>
      </w:r>
      <w:r>
        <w:rPr>
          <w:rFonts w:hint="eastAsia"/>
          <w:b/>
          <w:bCs/>
          <w:color w:val="auto"/>
          <w:sz w:val="32"/>
          <w:szCs w:val="32"/>
          <w:highlight w:val="none"/>
          <w:u w:val="single"/>
          <w:lang w:val="en-US" w:eastAsia="zh-CN"/>
        </w:rPr>
        <w:t xml:space="preserve">           </w:t>
      </w:r>
      <w:r>
        <w:rPr>
          <w:rFonts w:hint="eastAsia"/>
          <w:b/>
          <w:bCs/>
          <w:color w:val="auto"/>
          <w:sz w:val="32"/>
          <w:szCs w:val="32"/>
          <w:highlight w:val="none"/>
        </w:rPr>
        <w:t>（签字或盖章）</w:t>
      </w:r>
      <w:bookmarkEnd w:id="41"/>
      <w:bookmarkEnd w:id="42"/>
    </w:p>
    <w:p w14:paraId="609BACF5">
      <w:pPr>
        <w:ind w:left="1200" w:leftChars="500" w:firstLine="0" w:firstLineChars="0"/>
        <w:outlineLvl w:val="0"/>
        <w:rPr>
          <w:b/>
          <w:bCs/>
          <w:color w:val="auto"/>
          <w:sz w:val="32"/>
          <w:szCs w:val="32"/>
          <w:highlight w:val="none"/>
        </w:rPr>
      </w:pPr>
      <w:bookmarkStart w:id="43" w:name="_Toc7787"/>
      <w:bookmarkStart w:id="44" w:name="_Toc18529"/>
      <w:r>
        <w:rPr>
          <w:rFonts w:hint="eastAsia"/>
          <w:b/>
          <w:bCs/>
          <w:color w:val="auto"/>
          <w:sz w:val="32"/>
          <w:szCs w:val="32"/>
          <w:highlight w:val="none"/>
        </w:rPr>
        <w:t>日    期：     年   月   日</w:t>
      </w:r>
      <w:bookmarkEnd w:id="43"/>
      <w:bookmarkEnd w:id="44"/>
    </w:p>
    <w:p w14:paraId="01E44314">
      <w:pPr>
        <w:ind w:firstLine="0" w:firstLineChars="0"/>
        <w:rPr>
          <w:color w:val="auto"/>
          <w:highlight w:val="none"/>
        </w:rPr>
      </w:pPr>
      <w:r>
        <w:rPr>
          <w:rFonts w:hint="eastAsia"/>
          <w:color w:val="auto"/>
          <w:highlight w:val="none"/>
        </w:rPr>
        <w:br w:type="page"/>
      </w:r>
    </w:p>
    <w:p w14:paraId="7F79A03B">
      <w:pPr>
        <w:pStyle w:val="4"/>
        <w:spacing w:after="330"/>
        <w:rPr>
          <w:color w:val="auto"/>
          <w:highlight w:val="none"/>
        </w:rPr>
      </w:pPr>
      <w:bookmarkStart w:id="45" w:name="_Toc14369"/>
      <w:bookmarkStart w:id="46" w:name="_Toc11759"/>
      <w:r>
        <w:rPr>
          <w:rFonts w:hint="eastAsia"/>
          <w:color w:val="auto"/>
          <w:highlight w:val="none"/>
        </w:rPr>
        <w:t>目  录</w:t>
      </w:r>
      <w:bookmarkEnd w:id="45"/>
      <w:bookmarkEnd w:id="46"/>
    </w:p>
    <w:p w14:paraId="0584BAC7">
      <w:pPr>
        <w:spacing w:line="600" w:lineRule="auto"/>
        <w:ind w:firstLine="482"/>
        <w:jc w:val="left"/>
        <w:rPr>
          <w:b/>
          <w:color w:val="auto"/>
          <w:szCs w:val="32"/>
          <w:highlight w:val="none"/>
        </w:rPr>
      </w:pPr>
      <w:r>
        <w:rPr>
          <w:rFonts w:hint="eastAsia"/>
          <w:b/>
          <w:color w:val="auto"/>
          <w:szCs w:val="32"/>
          <w:highlight w:val="none"/>
        </w:rPr>
        <w:t>商务部分</w:t>
      </w:r>
    </w:p>
    <w:p w14:paraId="4FC8C669">
      <w:pPr>
        <w:spacing w:line="600" w:lineRule="auto"/>
        <w:ind w:firstLine="480"/>
        <w:jc w:val="left"/>
        <w:rPr>
          <w:color w:val="auto"/>
          <w:highlight w:val="none"/>
        </w:rPr>
      </w:pPr>
      <w:r>
        <w:rPr>
          <w:rFonts w:hint="eastAsia"/>
          <w:color w:val="auto"/>
          <w:highlight w:val="none"/>
        </w:rPr>
        <w:t xml:space="preserve">投标函                                                            </w:t>
      </w:r>
    </w:p>
    <w:p w14:paraId="6C77B0E5">
      <w:pPr>
        <w:spacing w:line="600" w:lineRule="auto"/>
        <w:ind w:firstLine="480"/>
        <w:jc w:val="left"/>
        <w:rPr>
          <w:color w:val="auto"/>
          <w:highlight w:val="none"/>
        </w:rPr>
      </w:pPr>
      <w:r>
        <w:rPr>
          <w:rFonts w:hint="eastAsia"/>
          <w:color w:val="auto"/>
          <w:highlight w:val="none"/>
        </w:rPr>
        <w:t>……</w:t>
      </w:r>
    </w:p>
    <w:p w14:paraId="1CAA1E21">
      <w:pPr>
        <w:spacing w:line="600" w:lineRule="auto"/>
        <w:ind w:firstLine="482"/>
        <w:jc w:val="left"/>
        <w:rPr>
          <w:b/>
          <w:color w:val="auto"/>
          <w:szCs w:val="32"/>
          <w:highlight w:val="none"/>
        </w:rPr>
      </w:pPr>
      <w:r>
        <w:rPr>
          <w:rFonts w:hint="eastAsia"/>
          <w:b/>
          <w:color w:val="auto"/>
          <w:szCs w:val="32"/>
          <w:highlight w:val="none"/>
        </w:rPr>
        <w:t>技术部分</w:t>
      </w:r>
    </w:p>
    <w:p w14:paraId="712B2EE4">
      <w:pPr>
        <w:spacing w:line="600" w:lineRule="auto"/>
        <w:ind w:firstLine="480"/>
        <w:jc w:val="left"/>
        <w:rPr>
          <w:color w:val="auto"/>
          <w:highlight w:val="none"/>
        </w:rPr>
      </w:pPr>
      <w:r>
        <w:rPr>
          <w:rFonts w:hint="eastAsia"/>
          <w:color w:val="auto"/>
          <w:highlight w:val="none"/>
        </w:rPr>
        <w:t xml:space="preserve">报价一览表                                                          </w:t>
      </w:r>
    </w:p>
    <w:p w14:paraId="613CEADD">
      <w:pPr>
        <w:spacing w:line="600" w:lineRule="auto"/>
        <w:ind w:firstLine="480"/>
        <w:jc w:val="left"/>
        <w:rPr>
          <w:b/>
          <w:bCs/>
          <w:color w:val="auto"/>
          <w:highlight w:val="none"/>
        </w:rPr>
      </w:pPr>
      <w:r>
        <w:rPr>
          <w:rFonts w:hint="eastAsia"/>
          <w:color w:val="auto"/>
          <w:highlight w:val="none"/>
        </w:rPr>
        <w:t>……</w:t>
      </w:r>
    </w:p>
    <w:p w14:paraId="630AC4F0">
      <w:pPr>
        <w:spacing w:line="600" w:lineRule="auto"/>
        <w:ind w:firstLine="482"/>
        <w:jc w:val="left"/>
        <w:rPr>
          <w:color w:val="auto"/>
          <w:highlight w:val="none"/>
        </w:rPr>
      </w:pPr>
      <w:r>
        <w:rPr>
          <w:rFonts w:hint="eastAsia"/>
          <w:b/>
          <w:bCs/>
          <w:color w:val="auto"/>
          <w:highlight w:val="none"/>
        </w:rPr>
        <w:t xml:space="preserve">政府采购政策性要求部分    </w:t>
      </w:r>
    </w:p>
    <w:p w14:paraId="5B41E871">
      <w:pPr>
        <w:ind w:firstLine="0" w:firstLineChars="0"/>
        <w:rPr>
          <w:color w:val="auto"/>
          <w:highlight w:val="none"/>
        </w:rPr>
      </w:pPr>
    </w:p>
    <w:p w14:paraId="6227D507">
      <w:pPr>
        <w:ind w:firstLine="0" w:firstLineChars="0"/>
        <w:rPr>
          <w:color w:val="auto"/>
          <w:highlight w:val="none"/>
        </w:rPr>
      </w:pPr>
      <w:r>
        <w:rPr>
          <w:rFonts w:hint="eastAsia"/>
          <w:color w:val="auto"/>
          <w:highlight w:val="none"/>
        </w:rPr>
        <w:br w:type="page"/>
      </w:r>
    </w:p>
    <w:p w14:paraId="4E438243">
      <w:pPr>
        <w:ind w:firstLine="0" w:firstLineChars="0"/>
        <w:rPr>
          <w:color w:val="auto"/>
          <w:highlight w:val="none"/>
        </w:rPr>
      </w:pPr>
    </w:p>
    <w:p w14:paraId="5C960FD2">
      <w:pPr>
        <w:spacing w:after="120"/>
        <w:ind w:firstLine="240" w:firstLineChars="100"/>
        <w:rPr>
          <w:color w:val="auto"/>
          <w:highlight w:val="none"/>
        </w:rPr>
      </w:pPr>
    </w:p>
    <w:p w14:paraId="53130668">
      <w:pPr>
        <w:spacing w:after="120"/>
        <w:ind w:firstLine="240" w:firstLineChars="100"/>
        <w:rPr>
          <w:color w:val="auto"/>
          <w:highlight w:val="none"/>
        </w:rPr>
      </w:pPr>
    </w:p>
    <w:p w14:paraId="642C45F3">
      <w:pPr>
        <w:pStyle w:val="34"/>
        <w:ind w:firstLine="400"/>
        <w:rPr>
          <w:color w:val="auto"/>
          <w:highlight w:val="none"/>
        </w:rPr>
      </w:pPr>
    </w:p>
    <w:p w14:paraId="50A8C6AE">
      <w:pPr>
        <w:pStyle w:val="34"/>
        <w:ind w:firstLine="0" w:firstLineChars="0"/>
        <w:rPr>
          <w:color w:val="auto"/>
          <w:highlight w:val="none"/>
        </w:rPr>
      </w:pPr>
    </w:p>
    <w:p w14:paraId="639B8657">
      <w:pPr>
        <w:ind w:firstLine="0" w:firstLineChars="0"/>
        <w:rPr>
          <w:color w:val="auto"/>
          <w:highlight w:val="none"/>
        </w:rPr>
      </w:pPr>
    </w:p>
    <w:p w14:paraId="04CB10D8">
      <w:pPr>
        <w:ind w:firstLine="0" w:firstLineChars="0"/>
        <w:jc w:val="center"/>
        <w:rPr>
          <w:b/>
          <w:bCs/>
          <w:color w:val="auto"/>
          <w:sz w:val="72"/>
          <w:szCs w:val="72"/>
          <w:highlight w:val="none"/>
        </w:rPr>
      </w:pPr>
      <w:r>
        <w:rPr>
          <w:b/>
          <w:snapToGrid w:val="0"/>
          <w:color w:val="auto"/>
          <w:kern w:val="0"/>
          <w:sz w:val="84"/>
          <w:highlight w:val="none"/>
        </w:rPr>
        <w:t>商务部分</w:t>
      </w:r>
    </w:p>
    <w:p w14:paraId="687F7557">
      <w:pPr>
        <w:ind w:firstLine="0" w:firstLineChars="0"/>
        <w:rPr>
          <w:color w:val="auto"/>
          <w:highlight w:val="none"/>
        </w:rPr>
        <w:sectPr>
          <w:pgSz w:w="11905" w:h="16838"/>
          <w:pgMar w:top="1587" w:right="1417" w:bottom="1417" w:left="1417" w:header="850" w:footer="992" w:gutter="85"/>
          <w:cols w:space="0" w:num="1"/>
          <w:docGrid w:type="lines" w:linePitch="330" w:charSpace="0"/>
        </w:sectPr>
      </w:pPr>
    </w:p>
    <w:p w14:paraId="48CA0383">
      <w:pPr>
        <w:pStyle w:val="6"/>
        <w:spacing w:beforeLines="0" w:after="36"/>
        <w:rPr>
          <w:color w:val="auto"/>
          <w:highlight w:val="none"/>
        </w:rPr>
      </w:pPr>
      <w:r>
        <w:rPr>
          <w:rFonts w:hint="eastAsia"/>
          <w:color w:val="auto"/>
          <w:highlight w:val="none"/>
        </w:rPr>
        <w:t>（一）投标函（格式）</w:t>
      </w:r>
    </w:p>
    <w:p w14:paraId="2AFC4AC0">
      <w:pPr>
        <w:keepNext w:val="0"/>
        <w:keepLines w:val="0"/>
        <w:pageBreakBefore w:val="0"/>
        <w:widowControl w:val="0"/>
        <w:kinsoku/>
        <w:wordWrap/>
        <w:overflowPunct/>
        <w:topLinePunct w:val="0"/>
        <w:autoSpaceDE/>
        <w:autoSpaceDN/>
        <w:bidi w:val="0"/>
        <w:adjustRightInd/>
        <w:snapToGrid/>
        <w:spacing w:before="240" w:beforeLines="100" w:after="120" w:afterLines="50"/>
        <w:ind w:firstLine="0" w:firstLineChars="0"/>
        <w:textAlignment w:val="auto"/>
        <w:rPr>
          <w:color w:val="auto"/>
          <w:highlight w:val="none"/>
        </w:rPr>
      </w:pPr>
      <w:r>
        <w:rPr>
          <w:rFonts w:hint="eastAsia"/>
          <w:color w:val="auto"/>
          <w:highlight w:val="none"/>
          <w:u w:val="single"/>
        </w:rPr>
        <w:t xml:space="preserve">           </w:t>
      </w:r>
      <w:r>
        <w:rPr>
          <w:rFonts w:hint="eastAsia"/>
          <w:color w:val="auto"/>
          <w:highlight w:val="none"/>
        </w:rPr>
        <w:t>（采购人名称）：</w:t>
      </w:r>
    </w:p>
    <w:p w14:paraId="74B3D955">
      <w:pPr>
        <w:keepNext w:val="0"/>
        <w:keepLines w:val="0"/>
        <w:pageBreakBefore w:val="0"/>
        <w:widowControl w:val="0"/>
        <w:kinsoku/>
        <w:wordWrap/>
        <w:overflowPunct/>
        <w:topLinePunct w:val="0"/>
        <w:autoSpaceDE/>
        <w:autoSpaceDN/>
        <w:bidi w:val="0"/>
        <w:adjustRightInd/>
        <w:snapToGrid/>
        <w:ind w:firstLine="480"/>
        <w:textAlignment w:val="auto"/>
        <w:rPr>
          <w:color w:val="auto"/>
          <w:highlight w:val="none"/>
        </w:rPr>
      </w:pPr>
      <w:r>
        <w:rPr>
          <w:rFonts w:hint="eastAsia"/>
          <w:color w:val="auto"/>
          <w:highlight w:val="none"/>
          <w:u w:val="single"/>
        </w:rPr>
        <w:t xml:space="preserve">           </w:t>
      </w:r>
      <w:r>
        <w:rPr>
          <w:rFonts w:hint="eastAsia"/>
          <w:color w:val="auto"/>
          <w:highlight w:val="none"/>
        </w:rPr>
        <w:t>(投标人全称)授权</w:t>
      </w:r>
      <w:r>
        <w:rPr>
          <w:rFonts w:hint="eastAsia"/>
          <w:color w:val="auto"/>
          <w:highlight w:val="none"/>
          <w:u w:val="single"/>
        </w:rPr>
        <w:t xml:space="preserve">          </w:t>
      </w:r>
      <w:r>
        <w:rPr>
          <w:rFonts w:hint="eastAsia"/>
          <w:color w:val="auto"/>
          <w:highlight w:val="none"/>
        </w:rPr>
        <w:t>(投标人代表姓名)</w:t>
      </w:r>
      <w:r>
        <w:rPr>
          <w:rFonts w:hint="eastAsia"/>
          <w:color w:val="auto"/>
          <w:highlight w:val="none"/>
          <w:u w:val="single"/>
        </w:rPr>
        <w:t xml:space="preserve">            </w:t>
      </w:r>
      <w:r>
        <w:rPr>
          <w:rFonts w:hint="eastAsia"/>
          <w:color w:val="auto"/>
          <w:highlight w:val="none"/>
        </w:rPr>
        <w:t>(职务、职称)为我方代表，参加贵方组织的</w:t>
      </w:r>
      <w:r>
        <w:rPr>
          <w:rFonts w:hint="eastAsia"/>
          <w:color w:val="auto"/>
          <w:highlight w:val="none"/>
          <w:u w:val="single"/>
        </w:rPr>
        <w:t xml:space="preserve">            </w:t>
      </w:r>
      <w:r>
        <w:rPr>
          <w:rFonts w:hint="eastAsia"/>
          <w:color w:val="auto"/>
          <w:highlight w:val="none"/>
        </w:rPr>
        <w:t>(项目名称、项目编号)招标的有关活动，并对此项目进行投标。为此：</w:t>
      </w:r>
    </w:p>
    <w:p w14:paraId="76451D07">
      <w:pPr>
        <w:ind w:firstLine="480"/>
        <w:rPr>
          <w:color w:val="auto"/>
          <w:highlight w:val="none"/>
        </w:rPr>
      </w:pPr>
      <w:r>
        <w:rPr>
          <w:rFonts w:hint="eastAsia"/>
          <w:color w:val="auto"/>
          <w:highlight w:val="none"/>
        </w:rPr>
        <w:t>1．我方同意在本项目招标文件中规定的投标有效期内（自递交投标文件之日起计算</w:t>
      </w:r>
      <w:r>
        <w:rPr>
          <w:rFonts w:hint="eastAsia"/>
          <w:color w:val="auto"/>
          <w:highlight w:val="none"/>
          <w:u w:val="single"/>
        </w:rPr>
        <w:t xml:space="preserve">     </w:t>
      </w:r>
      <w:r>
        <w:rPr>
          <w:rFonts w:hint="eastAsia"/>
          <w:color w:val="auto"/>
          <w:highlight w:val="none"/>
        </w:rPr>
        <w:t>日历天）遵守本投标文件中的承诺且在此期限期满之前均具有约束力。</w:t>
      </w:r>
    </w:p>
    <w:p w14:paraId="6BD50063">
      <w:pPr>
        <w:ind w:firstLine="480"/>
        <w:rPr>
          <w:color w:val="auto"/>
          <w:highlight w:val="none"/>
        </w:rPr>
      </w:pPr>
      <w:r>
        <w:rPr>
          <w:rFonts w:hint="eastAsia"/>
          <w:color w:val="auto"/>
          <w:highlight w:val="none"/>
        </w:rPr>
        <w:t>2．我方承诺已经具备《中华人民共和国政府采购法》《中华人民共和国政府采购法实施条例》中规定的参加政府采购活动的投标人应当具备的全部条件。</w:t>
      </w:r>
    </w:p>
    <w:p w14:paraId="74BD98B8">
      <w:pPr>
        <w:ind w:firstLine="480"/>
        <w:rPr>
          <w:color w:val="auto"/>
          <w:highlight w:val="none"/>
        </w:rPr>
      </w:pPr>
      <w:r>
        <w:rPr>
          <w:rFonts w:hint="eastAsia"/>
          <w:color w:val="auto"/>
          <w:highlight w:val="none"/>
        </w:rPr>
        <w:t>3．提供投标须知规定的全部投标文件。</w:t>
      </w:r>
    </w:p>
    <w:p w14:paraId="32CFF566">
      <w:pPr>
        <w:ind w:firstLine="480"/>
        <w:rPr>
          <w:color w:val="auto"/>
          <w:highlight w:val="none"/>
        </w:rPr>
      </w:pPr>
      <w:r>
        <w:rPr>
          <w:rFonts w:hint="eastAsia"/>
          <w:color w:val="auto"/>
          <w:highlight w:val="none"/>
        </w:rPr>
        <w:t>4．按招标文件要求提供和交付的货物的投标报价详见开标一览表。</w:t>
      </w:r>
    </w:p>
    <w:p w14:paraId="42EDF5B6">
      <w:pPr>
        <w:ind w:firstLine="480"/>
        <w:rPr>
          <w:color w:val="auto"/>
          <w:highlight w:val="none"/>
        </w:rPr>
      </w:pPr>
      <w:r>
        <w:rPr>
          <w:rFonts w:hint="eastAsia"/>
          <w:color w:val="auto"/>
          <w:highlight w:val="none"/>
        </w:rPr>
        <w:t>5．我方承诺：完全理解投标报价超过预算金额时，投标将被拒绝。</w:t>
      </w:r>
    </w:p>
    <w:p w14:paraId="61AF30A5">
      <w:pPr>
        <w:ind w:firstLine="480"/>
        <w:rPr>
          <w:color w:val="auto"/>
          <w:highlight w:val="none"/>
        </w:rPr>
      </w:pPr>
      <w:r>
        <w:rPr>
          <w:rFonts w:hint="eastAsia"/>
          <w:color w:val="auto"/>
          <w:highlight w:val="none"/>
        </w:rPr>
        <w:t>6．保证忠实地执行双方所签订的合同，并承担合同规定的责任和义务。</w:t>
      </w:r>
    </w:p>
    <w:p w14:paraId="463FB377">
      <w:pPr>
        <w:ind w:firstLine="480"/>
        <w:rPr>
          <w:color w:val="auto"/>
          <w:highlight w:val="none"/>
        </w:rPr>
      </w:pPr>
      <w:r>
        <w:rPr>
          <w:rFonts w:hint="eastAsia"/>
          <w:color w:val="auto"/>
          <w:highlight w:val="none"/>
        </w:rPr>
        <w:t>7．承诺完全满足和响应招标文件中的各项要求，若有偏差，已在投标文件商务技术要求条件响应程度表中予以明确特别说明。</w:t>
      </w:r>
    </w:p>
    <w:p w14:paraId="57E8A625">
      <w:pPr>
        <w:ind w:firstLine="480"/>
        <w:rPr>
          <w:color w:val="auto"/>
          <w:highlight w:val="none"/>
        </w:rPr>
      </w:pPr>
      <w:r>
        <w:rPr>
          <w:rFonts w:hint="eastAsia"/>
          <w:color w:val="auto"/>
          <w:highlight w:val="none"/>
        </w:rPr>
        <w:t>8．保证遵守招标文件的所有规定。</w:t>
      </w:r>
    </w:p>
    <w:p w14:paraId="17FD84B1">
      <w:pPr>
        <w:ind w:firstLine="480"/>
        <w:rPr>
          <w:color w:val="auto"/>
          <w:highlight w:val="none"/>
        </w:rPr>
      </w:pPr>
      <w:r>
        <w:rPr>
          <w:rFonts w:hint="eastAsia"/>
          <w:color w:val="auto"/>
          <w:highlight w:val="none"/>
        </w:rPr>
        <w:t>9. 如果在开标后规定的投标有效期内撤回投标，我方的投标保证金可被贵方没收。</w:t>
      </w:r>
    </w:p>
    <w:p w14:paraId="09B671BE">
      <w:pPr>
        <w:ind w:firstLine="480"/>
        <w:rPr>
          <w:color w:val="auto"/>
          <w:highlight w:val="none"/>
        </w:rPr>
      </w:pPr>
      <w:r>
        <w:rPr>
          <w:rFonts w:hint="eastAsia"/>
          <w:color w:val="auto"/>
          <w:highlight w:val="none"/>
        </w:rPr>
        <w:t>10．我方完全理解贵方不一定接受最低价的投标或收到的任何投标。</w:t>
      </w:r>
    </w:p>
    <w:p w14:paraId="64E63C3E">
      <w:pPr>
        <w:ind w:firstLine="480"/>
        <w:rPr>
          <w:color w:val="auto"/>
          <w:highlight w:val="none"/>
        </w:rPr>
      </w:pPr>
      <w:r>
        <w:rPr>
          <w:rFonts w:hint="eastAsia"/>
          <w:color w:val="auto"/>
          <w:highlight w:val="none"/>
        </w:rPr>
        <w:t>11．我方愿意向贵方提供任何与本项投标有关的数据、情况和技术资料。若贵方需要，我方愿意提供我方做出的一切承诺的证明材料。</w:t>
      </w:r>
    </w:p>
    <w:p w14:paraId="12CF1406">
      <w:pPr>
        <w:ind w:firstLine="480"/>
        <w:rPr>
          <w:color w:val="auto"/>
          <w:highlight w:val="none"/>
        </w:rPr>
      </w:pPr>
      <w:r>
        <w:rPr>
          <w:rFonts w:hint="eastAsia"/>
          <w:color w:val="auto"/>
          <w:highlight w:val="none"/>
        </w:rPr>
        <w:t>12．我方已详细审核全部投标文件，包括投标文件修改书（如有的话）、参考资料及有关附件，确认无误。</w:t>
      </w:r>
    </w:p>
    <w:p w14:paraId="795BE0AF">
      <w:pPr>
        <w:ind w:firstLine="480"/>
        <w:rPr>
          <w:color w:val="auto"/>
          <w:highlight w:val="none"/>
        </w:rPr>
      </w:pPr>
      <w:r>
        <w:rPr>
          <w:rFonts w:hint="eastAsia"/>
          <w:color w:val="auto"/>
          <w:highlight w:val="none"/>
        </w:rPr>
        <w:t>13.我方承诺：采购人若需追加采购本项目招标文件所列货物及相关服务的，在不改变合同其他实质性条款的前提下，按相同或更优惠的折扣率保证供货。</w:t>
      </w:r>
    </w:p>
    <w:p w14:paraId="51E65A9B">
      <w:pPr>
        <w:ind w:firstLine="480"/>
        <w:rPr>
          <w:color w:val="auto"/>
          <w:highlight w:val="none"/>
        </w:rPr>
      </w:pPr>
      <w:r>
        <w:rPr>
          <w:rFonts w:hint="eastAsia"/>
          <w:color w:val="auto"/>
          <w:highlight w:val="none"/>
        </w:rPr>
        <w:t>14．我方承诺接受招标文件中《合同文本》的全部条款且无任何异议。</w:t>
      </w:r>
    </w:p>
    <w:p w14:paraId="189BF7EA">
      <w:pPr>
        <w:ind w:firstLine="480"/>
        <w:rPr>
          <w:color w:val="auto"/>
          <w:highlight w:val="none"/>
        </w:rPr>
      </w:pPr>
      <w:r>
        <w:rPr>
          <w:rFonts w:hint="eastAsia"/>
          <w:color w:val="auto"/>
          <w:highlight w:val="none"/>
        </w:rPr>
        <w:t>15．我方承诺若中标后，在合同履行期内将严格按照合同约定的相关条款执行。</w:t>
      </w:r>
    </w:p>
    <w:p w14:paraId="29CB5920">
      <w:pPr>
        <w:ind w:firstLine="480"/>
        <w:rPr>
          <w:color w:val="auto"/>
          <w:highlight w:val="none"/>
        </w:rPr>
      </w:pPr>
      <w:r>
        <w:rPr>
          <w:rFonts w:hint="eastAsia"/>
          <w:color w:val="auto"/>
          <w:highlight w:val="none"/>
        </w:rPr>
        <w:t>16．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2C841CCE">
      <w:pPr>
        <w:ind w:firstLine="480"/>
        <w:rPr>
          <w:color w:val="auto"/>
          <w:highlight w:val="none"/>
        </w:rPr>
      </w:pPr>
      <w:r>
        <w:rPr>
          <w:rFonts w:hint="eastAsia"/>
          <w:color w:val="auto"/>
          <w:highlight w:val="none"/>
        </w:rPr>
        <w:t xml:space="preserve">（1）提供虚假材料谋取中标的； </w:t>
      </w:r>
    </w:p>
    <w:p w14:paraId="732ABCFF">
      <w:pPr>
        <w:ind w:firstLine="480"/>
        <w:rPr>
          <w:color w:val="auto"/>
          <w:highlight w:val="none"/>
        </w:rPr>
      </w:pPr>
      <w:r>
        <w:rPr>
          <w:rFonts w:hint="eastAsia"/>
          <w:color w:val="auto"/>
          <w:highlight w:val="none"/>
        </w:rPr>
        <w:t xml:space="preserve">（2）采取不正当手段诋毁、排挤其他投标人的； </w:t>
      </w:r>
    </w:p>
    <w:p w14:paraId="7B2A0135">
      <w:pPr>
        <w:ind w:firstLine="480"/>
        <w:rPr>
          <w:color w:val="auto"/>
          <w:highlight w:val="none"/>
        </w:rPr>
      </w:pPr>
      <w:r>
        <w:rPr>
          <w:rFonts w:hint="eastAsia"/>
          <w:color w:val="auto"/>
          <w:highlight w:val="none"/>
        </w:rPr>
        <w:t xml:space="preserve">（3）与采购人、其他投标人恶意串通的； </w:t>
      </w:r>
    </w:p>
    <w:p w14:paraId="2C7E2B53">
      <w:pPr>
        <w:ind w:firstLine="480"/>
        <w:rPr>
          <w:color w:val="auto"/>
          <w:highlight w:val="none"/>
        </w:rPr>
      </w:pPr>
      <w:r>
        <w:rPr>
          <w:rFonts w:hint="eastAsia"/>
          <w:color w:val="auto"/>
          <w:highlight w:val="none"/>
        </w:rPr>
        <w:t>（4）开标后撤回投标的；</w:t>
      </w:r>
    </w:p>
    <w:p w14:paraId="085F1898">
      <w:pPr>
        <w:ind w:firstLine="480"/>
        <w:rPr>
          <w:color w:val="auto"/>
          <w:highlight w:val="none"/>
        </w:rPr>
      </w:pPr>
      <w:r>
        <w:rPr>
          <w:rFonts w:hint="eastAsia"/>
          <w:color w:val="auto"/>
          <w:highlight w:val="none"/>
        </w:rPr>
        <w:t>（5）在评标期间，影响代理机构或评标委员会正常履行职责的；</w:t>
      </w:r>
    </w:p>
    <w:p w14:paraId="5585DA33">
      <w:pPr>
        <w:ind w:firstLine="480"/>
        <w:rPr>
          <w:color w:val="auto"/>
          <w:highlight w:val="none"/>
        </w:rPr>
      </w:pPr>
      <w:r>
        <w:rPr>
          <w:rFonts w:hint="eastAsia"/>
          <w:color w:val="auto"/>
          <w:highlight w:val="none"/>
        </w:rPr>
        <w:t xml:space="preserve">（6）中标后未按本招标文件规定签约或与采购人订立背离合同实质性内容的其它协议的； </w:t>
      </w:r>
    </w:p>
    <w:p w14:paraId="52BFB078">
      <w:pPr>
        <w:ind w:firstLine="480"/>
        <w:rPr>
          <w:color w:val="auto"/>
          <w:highlight w:val="none"/>
        </w:rPr>
      </w:pPr>
      <w:r>
        <w:rPr>
          <w:rFonts w:hint="eastAsia"/>
          <w:color w:val="auto"/>
          <w:highlight w:val="none"/>
        </w:rPr>
        <w:t>（7）投标人未按招标文件规定和合同约定履行义务的；</w:t>
      </w:r>
    </w:p>
    <w:p w14:paraId="0435BF4E">
      <w:pPr>
        <w:ind w:firstLine="480"/>
        <w:rPr>
          <w:color w:val="auto"/>
          <w:highlight w:val="none"/>
        </w:rPr>
      </w:pPr>
      <w:r>
        <w:rPr>
          <w:rFonts w:hint="eastAsia"/>
          <w:color w:val="auto"/>
          <w:highlight w:val="none"/>
        </w:rPr>
        <w:t>（8）违反法律法规规定的其他行为。</w:t>
      </w:r>
    </w:p>
    <w:p w14:paraId="702395F2">
      <w:pPr>
        <w:spacing w:after="120" w:afterLines="50"/>
        <w:ind w:firstLine="480"/>
        <w:rPr>
          <w:color w:val="auto"/>
          <w:highlight w:val="none"/>
        </w:rPr>
      </w:pPr>
      <w:r>
        <w:rPr>
          <w:rFonts w:hint="eastAsia"/>
          <w:color w:val="auto"/>
          <w:highlight w:val="none"/>
        </w:rPr>
        <w:t>所有有关本投标的一切往来联系方式为：</w:t>
      </w:r>
    </w:p>
    <w:p w14:paraId="18ECE51A">
      <w:pPr>
        <w:spacing w:line="480" w:lineRule="auto"/>
        <w:ind w:firstLine="480"/>
        <w:rPr>
          <w:color w:val="auto"/>
          <w:highlight w:val="none"/>
          <w:u w:val="single"/>
        </w:rPr>
      </w:pPr>
      <w:r>
        <w:rPr>
          <w:rFonts w:hint="eastAsia"/>
          <w:color w:val="auto"/>
          <w:highlight w:val="none"/>
        </w:rPr>
        <w:t>地址：      邮编：</w:t>
      </w:r>
    </w:p>
    <w:p w14:paraId="2576E076">
      <w:pPr>
        <w:spacing w:line="480" w:lineRule="auto"/>
        <w:ind w:firstLine="480"/>
        <w:rPr>
          <w:color w:val="auto"/>
          <w:highlight w:val="none"/>
        </w:rPr>
      </w:pPr>
      <w:r>
        <w:rPr>
          <w:rFonts w:hint="eastAsia"/>
          <w:color w:val="auto"/>
          <w:highlight w:val="none"/>
        </w:rPr>
        <w:t>电话：      传真：</w:t>
      </w:r>
    </w:p>
    <w:p w14:paraId="12473161">
      <w:pPr>
        <w:spacing w:line="480" w:lineRule="auto"/>
        <w:ind w:firstLine="480"/>
        <w:rPr>
          <w:color w:val="auto"/>
          <w:highlight w:val="none"/>
        </w:rPr>
      </w:pPr>
      <w:r>
        <w:rPr>
          <w:rFonts w:hint="eastAsia"/>
          <w:color w:val="auto"/>
          <w:highlight w:val="none"/>
        </w:rPr>
        <w:t>投标人代表姓名：</w:t>
      </w:r>
    </w:p>
    <w:p w14:paraId="0D900B34">
      <w:pPr>
        <w:spacing w:line="480" w:lineRule="auto"/>
        <w:ind w:firstLine="480"/>
        <w:rPr>
          <w:color w:val="auto"/>
          <w:highlight w:val="none"/>
        </w:rPr>
      </w:pPr>
      <w:r>
        <w:rPr>
          <w:rFonts w:hint="eastAsia"/>
          <w:color w:val="auto"/>
          <w:highlight w:val="none"/>
        </w:rPr>
        <w:t>投标人代表联系电话：   （办公）   （手机）</w:t>
      </w:r>
    </w:p>
    <w:p w14:paraId="3B5A41D5">
      <w:pPr>
        <w:spacing w:line="480" w:lineRule="auto"/>
        <w:ind w:firstLine="480"/>
        <w:rPr>
          <w:color w:val="auto"/>
          <w:sz w:val="4"/>
          <w:szCs w:val="4"/>
          <w:highlight w:val="none"/>
        </w:rPr>
      </w:pPr>
      <w:r>
        <w:rPr>
          <w:rFonts w:hint="eastAsia"/>
          <w:color w:val="auto"/>
          <w:highlight w:val="none"/>
        </w:rPr>
        <w:t>E-mail：</w:t>
      </w:r>
    </w:p>
    <w:p w14:paraId="7621D734">
      <w:pPr>
        <w:spacing w:line="480" w:lineRule="auto"/>
        <w:ind w:left="2880" w:leftChars="1200" w:firstLine="0" w:firstLineChars="0"/>
        <w:rPr>
          <w:color w:val="auto"/>
          <w:highlight w:val="none"/>
          <w:u w:val="single"/>
        </w:rPr>
      </w:pPr>
      <w:r>
        <w:rPr>
          <w:rFonts w:hint="eastAsia"/>
          <w:color w:val="auto"/>
          <w:highlight w:val="none"/>
        </w:rPr>
        <w:t>投标人全称：</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（公章）</w:t>
      </w:r>
    </w:p>
    <w:p w14:paraId="18B55A6E">
      <w:pPr>
        <w:spacing w:line="480" w:lineRule="auto"/>
        <w:ind w:left="2880" w:leftChars="1200" w:firstLine="0" w:firstLineChars="0"/>
        <w:rPr>
          <w:color w:val="auto"/>
          <w:highlight w:val="none"/>
          <w:u w:val="single"/>
        </w:rPr>
      </w:pPr>
      <w:r>
        <w:rPr>
          <w:rFonts w:hint="eastAsia"/>
          <w:color w:val="auto"/>
          <w:highlight w:val="none"/>
        </w:rPr>
        <w:t>法定代表人或委托代理人：</w:t>
      </w:r>
      <w:r>
        <w:rPr>
          <w:rFonts w:hint="eastAsia"/>
          <w:color w:val="auto"/>
          <w:highlight w:val="none"/>
          <w:u w:val="single"/>
        </w:rPr>
        <w:t xml:space="preserve">          （签字或盖章)</w:t>
      </w:r>
    </w:p>
    <w:p w14:paraId="1DB3FB99">
      <w:pPr>
        <w:spacing w:line="480" w:lineRule="auto"/>
        <w:ind w:left="2880" w:leftChars="1200" w:firstLine="0" w:firstLineChars="0"/>
        <w:rPr>
          <w:color w:val="auto"/>
          <w:highlight w:val="none"/>
        </w:rPr>
      </w:pPr>
      <w:r>
        <w:rPr>
          <w:rFonts w:hint="eastAsia"/>
          <w:color w:val="auto"/>
          <w:highlight w:val="none"/>
        </w:rPr>
        <w:t>日   期：     年   月   日</w:t>
      </w:r>
    </w:p>
    <w:p w14:paraId="22B73308">
      <w:pPr>
        <w:ind w:firstLine="482"/>
        <w:rPr>
          <w:b/>
          <w:color w:val="auto"/>
          <w:highlight w:val="none"/>
        </w:rPr>
      </w:pPr>
      <w:r>
        <w:rPr>
          <w:rFonts w:hint="eastAsia"/>
          <w:b/>
          <w:color w:val="auto"/>
          <w:highlight w:val="none"/>
        </w:rPr>
        <w:br w:type="page"/>
      </w:r>
    </w:p>
    <w:p w14:paraId="5450EC92">
      <w:pPr>
        <w:keepNext/>
        <w:keepLines/>
        <w:spacing w:before="360" w:beforeLines="150" w:after="240" w:afterLines="100"/>
        <w:ind w:firstLine="0" w:firstLineChars="0"/>
        <w:jc w:val="center"/>
        <w:outlineLvl w:val="1"/>
        <w:rPr>
          <w:b/>
          <w:color w:val="auto"/>
          <w:highlight w:val="none"/>
        </w:rPr>
      </w:pPr>
      <w:r>
        <w:rPr>
          <w:rFonts w:hint="eastAsia"/>
          <w:b/>
          <w:color w:val="auto"/>
          <w:highlight w:val="none"/>
        </w:rPr>
        <w:t>（二）法定代表人身份证明书（格式）</w:t>
      </w:r>
    </w:p>
    <w:p w14:paraId="2F7321AF">
      <w:pPr>
        <w:spacing w:line="480" w:lineRule="auto"/>
        <w:ind w:firstLine="0" w:firstLineChars="0"/>
        <w:rPr>
          <w:color w:val="auto"/>
          <w:highlight w:val="none"/>
        </w:rPr>
      </w:pPr>
      <w:r>
        <w:rPr>
          <w:rFonts w:hint="eastAsia"/>
          <w:color w:val="auto"/>
          <w:highlight w:val="none"/>
        </w:rPr>
        <w:t>单位名称：</w:t>
      </w:r>
      <w:r>
        <w:rPr>
          <w:rFonts w:hint="eastAsia"/>
          <w:color w:val="auto"/>
          <w:highlight w:val="none"/>
          <w:u w:val="single"/>
        </w:rPr>
        <w:t xml:space="preserve">                    </w:t>
      </w:r>
    </w:p>
    <w:p w14:paraId="79618EB3">
      <w:pPr>
        <w:spacing w:line="480" w:lineRule="auto"/>
        <w:ind w:firstLine="0" w:firstLineChars="0"/>
        <w:rPr>
          <w:color w:val="auto"/>
          <w:highlight w:val="none"/>
        </w:rPr>
      </w:pPr>
      <w:r>
        <w:rPr>
          <w:rFonts w:hint="eastAsia"/>
          <w:color w:val="auto"/>
          <w:highlight w:val="none"/>
        </w:rPr>
        <w:t>单位性质：</w:t>
      </w:r>
      <w:r>
        <w:rPr>
          <w:rFonts w:hint="eastAsia"/>
          <w:color w:val="auto"/>
          <w:highlight w:val="none"/>
          <w:u w:val="single"/>
        </w:rPr>
        <w:t xml:space="preserve">                    </w:t>
      </w:r>
    </w:p>
    <w:p w14:paraId="49B6F8F9">
      <w:pPr>
        <w:spacing w:line="480" w:lineRule="auto"/>
        <w:ind w:firstLine="0" w:firstLineChars="0"/>
        <w:rPr>
          <w:color w:val="auto"/>
          <w:highlight w:val="none"/>
        </w:rPr>
      </w:pPr>
      <w:r>
        <w:rPr>
          <w:rFonts w:hint="eastAsia"/>
          <w:color w:val="auto"/>
          <w:highlight w:val="none"/>
        </w:rPr>
        <w:t>地    址：</w:t>
      </w:r>
      <w:r>
        <w:rPr>
          <w:rFonts w:hint="eastAsia"/>
          <w:color w:val="auto"/>
          <w:highlight w:val="none"/>
          <w:u w:val="single"/>
        </w:rPr>
        <w:t xml:space="preserve">                    </w:t>
      </w:r>
    </w:p>
    <w:p w14:paraId="56601AA0">
      <w:pPr>
        <w:spacing w:line="480" w:lineRule="auto"/>
        <w:ind w:firstLine="0" w:firstLineChars="0"/>
        <w:rPr>
          <w:color w:val="auto"/>
          <w:highlight w:val="none"/>
        </w:rPr>
      </w:pPr>
      <w:r>
        <w:rPr>
          <w:rFonts w:hint="eastAsia"/>
          <w:color w:val="auto"/>
          <w:highlight w:val="none"/>
        </w:rPr>
        <w:t>成立时间：</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79E716FC">
      <w:pPr>
        <w:spacing w:line="480" w:lineRule="auto"/>
        <w:ind w:firstLine="0" w:firstLineChars="0"/>
        <w:rPr>
          <w:color w:val="auto"/>
          <w:highlight w:val="none"/>
          <w:u w:val="single"/>
        </w:rPr>
      </w:pPr>
      <w:r>
        <w:rPr>
          <w:rFonts w:hint="eastAsia"/>
          <w:color w:val="auto"/>
          <w:highlight w:val="none"/>
        </w:rPr>
        <w:t>经营期限：</w:t>
      </w:r>
      <w:r>
        <w:rPr>
          <w:rFonts w:hint="eastAsia"/>
          <w:color w:val="auto"/>
          <w:highlight w:val="none"/>
          <w:u w:val="single"/>
        </w:rPr>
        <w:t xml:space="preserve">                    </w:t>
      </w:r>
    </w:p>
    <w:p w14:paraId="3C48DB5F">
      <w:pPr>
        <w:spacing w:line="480" w:lineRule="auto"/>
        <w:ind w:firstLine="0" w:firstLineChars="0"/>
        <w:rPr>
          <w:color w:val="auto"/>
          <w:highlight w:val="none"/>
          <w:u w:val="single"/>
        </w:rPr>
      </w:pPr>
      <w:r>
        <w:rPr>
          <w:rFonts w:hint="eastAsia"/>
          <w:color w:val="auto"/>
          <w:highlight w:val="none"/>
        </w:rPr>
        <w:t>姓    名：</w:t>
      </w:r>
      <w:r>
        <w:rPr>
          <w:rFonts w:hint="eastAsia"/>
          <w:color w:val="auto"/>
          <w:highlight w:val="none"/>
          <w:u w:val="single"/>
        </w:rPr>
        <w:t xml:space="preserve">         </w:t>
      </w:r>
      <w:r>
        <w:rPr>
          <w:rFonts w:hint="eastAsia"/>
          <w:color w:val="auto"/>
          <w:highlight w:val="none"/>
        </w:rPr>
        <w:t xml:space="preserve">        性  别：</w:t>
      </w:r>
      <w:r>
        <w:rPr>
          <w:rFonts w:hint="eastAsia"/>
          <w:color w:val="auto"/>
          <w:highlight w:val="none"/>
          <w:u w:val="single"/>
        </w:rPr>
        <w:t xml:space="preserve">         </w:t>
      </w:r>
      <w:r>
        <w:rPr>
          <w:rFonts w:hint="eastAsia"/>
          <w:color w:val="auto"/>
          <w:highlight w:val="none"/>
        </w:rPr>
        <w:t xml:space="preserve"> </w:t>
      </w:r>
    </w:p>
    <w:p w14:paraId="3A78CBBE">
      <w:pPr>
        <w:spacing w:line="480" w:lineRule="auto"/>
        <w:ind w:firstLine="0" w:firstLineChars="0"/>
        <w:rPr>
          <w:color w:val="auto"/>
          <w:highlight w:val="none"/>
          <w:u w:val="single"/>
        </w:rPr>
      </w:pPr>
      <w:r>
        <w:rPr>
          <w:rFonts w:hint="eastAsia"/>
          <w:color w:val="auto"/>
          <w:highlight w:val="none"/>
        </w:rPr>
        <w:t>年    龄：</w:t>
      </w:r>
      <w:r>
        <w:rPr>
          <w:rFonts w:hint="eastAsia"/>
          <w:color w:val="auto"/>
          <w:highlight w:val="none"/>
          <w:u w:val="single"/>
        </w:rPr>
        <w:t xml:space="preserve">         </w:t>
      </w:r>
      <w:r>
        <w:rPr>
          <w:rFonts w:hint="eastAsia"/>
          <w:color w:val="auto"/>
          <w:highlight w:val="none"/>
        </w:rPr>
        <w:t xml:space="preserve">        职  务：</w:t>
      </w:r>
      <w:r>
        <w:rPr>
          <w:rFonts w:hint="eastAsia"/>
          <w:color w:val="auto"/>
          <w:highlight w:val="none"/>
          <w:u w:val="single"/>
        </w:rPr>
        <w:t xml:space="preserve">         </w:t>
      </w:r>
      <w:r>
        <w:rPr>
          <w:rFonts w:hint="eastAsia"/>
          <w:color w:val="auto"/>
          <w:highlight w:val="none"/>
        </w:rPr>
        <w:t xml:space="preserve"> </w:t>
      </w:r>
    </w:p>
    <w:p w14:paraId="0B7C3E2B">
      <w:pPr>
        <w:spacing w:line="480" w:lineRule="auto"/>
        <w:ind w:firstLine="0" w:firstLineChars="0"/>
        <w:rPr>
          <w:color w:val="auto"/>
          <w:highlight w:val="none"/>
        </w:rPr>
      </w:pPr>
      <w:r>
        <w:rPr>
          <w:rFonts w:hint="eastAsia"/>
          <w:color w:val="auto"/>
          <w:highlight w:val="none"/>
        </w:rPr>
        <w:t>系</w:t>
      </w:r>
      <w:r>
        <w:rPr>
          <w:rFonts w:hint="eastAsia"/>
          <w:color w:val="auto"/>
          <w:highlight w:val="none"/>
          <w:u w:val="single"/>
        </w:rPr>
        <w:t xml:space="preserve">       （投标人名称）        </w:t>
      </w:r>
      <w:r>
        <w:rPr>
          <w:rFonts w:hint="eastAsia"/>
          <w:color w:val="auto"/>
          <w:highlight w:val="none"/>
        </w:rPr>
        <w:t>的法定代表人。</w:t>
      </w:r>
    </w:p>
    <w:p w14:paraId="75E154CB">
      <w:pPr>
        <w:ind w:firstLine="0" w:firstLineChars="0"/>
        <w:rPr>
          <w:color w:val="auto"/>
          <w:highlight w:val="none"/>
        </w:rPr>
      </w:pPr>
    </w:p>
    <w:p w14:paraId="66ED11DC">
      <w:pPr>
        <w:ind w:firstLine="0" w:firstLineChars="0"/>
        <w:rPr>
          <w:color w:val="auto"/>
          <w:highlight w:val="none"/>
        </w:rPr>
      </w:pPr>
      <w:r>
        <w:rPr>
          <w:rFonts w:hint="eastAsia"/>
          <w:color w:val="auto"/>
          <w:highlight w:val="none"/>
        </w:rPr>
        <w:t>特此证明！</w:t>
      </w:r>
    </w:p>
    <w:p w14:paraId="6C0EA1E0">
      <w:pPr>
        <w:ind w:firstLine="0" w:firstLineChars="0"/>
        <w:rPr>
          <w:color w:val="auto"/>
          <w:highlight w:val="none"/>
        </w:rPr>
      </w:pPr>
    </w:p>
    <w:p w14:paraId="74AD8673">
      <w:pPr>
        <w:ind w:firstLine="0" w:firstLineChars="0"/>
        <w:rPr>
          <w:b/>
          <w:bCs/>
          <w:color w:val="auto"/>
          <w:highlight w:val="none"/>
        </w:rPr>
      </w:pPr>
      <w:r>
        <w:rPr>
          <w:rFonts w:hint="eastAsia"/>
          <w:b/>
          <w:bCs/>
          <w:color w:val="auto"/>
          <w:highlight w:val="none"/>
        </w:rPr>
        <w:t>附：法定代表人有效的身份证正反两面复印件</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0"/>
        <w:gridCol w:w="4490"/>
      </w:tblGrid>
      <w:tr w14:paraId="32882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trPr>
        <w:tc>
          <w:tcPr>
            <w:tcW w:w="4490" w:type="dxa"/>
          </w:tcPr>
          <w:p w14:paraId="2FFFFB28">
            <w:pPr>
              <w:ind w:firstLine="0" w:firstLineChars="0"/>
              <w:rPr>
                <w:color w:val="auto"/>
                <w:highlight w:val="none"/>
              </w:rPr>
            </w:pPr>
          </w:p>
        </w:tc>
        <w:tc>
          <w:tcPr>
            <w:tcW w:w="4490" w:type="dxa"/>
          </w:tcPr>
          <w:p w14:paraId="0F46BAF7">
            <w:pPr>
              <w:ind w:firstLine="0" w:firstLineChars="0"/>
              <w:rPr>
                <w:color w:val="auto"/>
                <w:highlight w:val="none"/>
              </w:rPr>
            </w:pPr>
          </w:p>
        </w:tc>
      </w:tr>
    </w:tbl>
    <w:p w14:paraId="7AE70B57">
      <w:pPr>
        <w:ind w:firstLine="0" w:firstLineChars="0"/>
        <w:rPr>
          <w:color w:val="auto"/>
          <w:highlight w:val="none"/>
        </w:rPr>
      </w:pPr>
    </w:p>
    <w:p w14:paraId="1C8E7CAB">
      <w:pPr>
        <w:ind w:firstLine="0" w:firstLineChars="0"/>
        <w:rPr>
          <w:color w:val="auto"/>
          <w:highlight w:val="none"/>
        </w:rPr>
      </w:pPr>
    </w:p>
    <w:p w14:paraId="654316FD">
      <w:pPr>
        <w:spacing w:line="480" w:lineRule="auto"/>
        <w:ind w:firstLine="2880" w:firstLineChars="1200"/>
        <w:jc w:val="right"/>
        <w:rPr>
          <w:rFonts w:hint="eastAsia"/>
          <w:color w:val="auto"/>
          <w:highlight w:val="none"/>
          <w:u w:val="single"/>
        </w:rPr>
      </w:pPr>
      <w:r>
        <w:rPr>
          <w:rFonts w:hint="eastAsia"/>
          <w:color w:val="auto"/>
          <w:highlight w:val="none"/>
        </w:rPr>
        <w:t>投标人全称：</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(公章)</w:t>
      </w:r>
    </w:p>
    <w:p w14:paraId="3F39A262">
      <w:pPr>
        <w:pStyle w:val="25"/>
        <w:ind w:firstLine="1680" w:firstLineChars="700"/>
        <w:jc w:val="right"/>
        <w:rPr>
          <w:rFonts w:hint="eastAsia"/>
          <w:color w:val="auto"/>
          <w:highlight w:val="none"/>
        </w:rPr>
      </w:pPr>
      <w:r>
        <w:rPr>
          <w:rFonts w:hint="eastAsia" w:ascii="宋体" w:hAnsi="宋体" w:eastAsia="宋体" w:cs="Times New Roman"/>
          <w:color w:val="auto"/>
          <w:kern w:val="2"/>
          <w:sz w:val="24"/>
          <w:szCs w:val="24"/>
          <w:highlight w:val="none"/>
          <w:lang w:val="en-US" w:eastAsia="zh-CN" w:bidi="ar-SA"/>
        </w:rPr>
        <w:t>法定代表人：</w:t>
      </w:r>
      <w:r>
        <w:rPr>
          <w:rFonts w:hint="eastAsia"/>
          <w:color w:val="auto"/>
          <w:highlight w:val="none"/>
          <w:u w:val="single"/>
        </w:rPr>
        <w:t xml:space="preserve">          （签字或盖章)</w:t>
      </w:r>
    </w:p>
    <w:p w14:paraId="67060A22">
      <w:pPr>
        <w:pStyle w:val="25"/>
        <w:rPr>
          <w:color w:val="auto"/>
          <w:highlight w:val="none"/>
        </w:rPr>
      </w:pPr>
    </w:p>
    <w:p w14:paraId="33759834">
      <w:pPr>
        <w:spacing w:line="480" w:lineRule="auto"/>
        <w:ind w:left="3360" w:leftChars="1400" w:firstLine="0" w:firstLineChars="0"/>
        <w:rPr>
          <w:color w:val="auto"/>
          <w:highlight w:val="none"/>
        </w:rPr>
      </w:pPr>
      <w:r>
        <w:rPr>
          <w:rFonts w:hint="eastAsia"/>
          <w:color w:val="auto"/>
          <w:highlight w:val="none"/>
        </w:rPr>
        <w:t>日  　期：     年   月   日</w:t>
      </w:r>
    </w:p>
    <w:p w14:paraId="359424BB">
      <w:pPr>
        <w:ind w:firstLine="0" w:firstLineChars="0"/>
        <w:rPr>
          <w:color w:val="auto"/>
          <w:highlight w:val="none"/>
        </w:rPr>
      </w:pPr>
    </w:p>
    <w:p w14:paraId="4B798178">
      <w:pPr>
        <w:keepNext/>
        <w:keepLines/>
        <w:spacing w:before="240" w:beforeLines="100" w:after="360" w:afterLines="150"/>
        <w:ind w:firstLine="0" w:firstLineChars="0"/>
        <w:jc w:val="center"/>
        <w:outlineLvl w:val="1"/>
        <w:rPr>
          <w:b/>
          <w:color w:val="auto"/>
          <w:highlight w:val="none"/>
        </w:rPr>
      </w:pPr>
      <w:r>
        <w:rPr>
          <w:rFonts w:hint="eastAsia"/>
          <w:b/>
          <w:color w:val="auto"/>
          <w:highlight w:val="none"/>
        </w:rPr>
        <w:t>（三）法定代表人授权委托书（格式）</w:t>
      </w:r>
    </w:p>
    <w:p w14:paraId="7E65A141">
      <w:pPr>
        <w:spacing w:after="120" w:afterLines="50"/>
        <w:ind w:firstLine="0" w:firstLineChars="0"/>
        <w:rPr>
          <w:color w:val="auto"/>
          <w:highlight w:val="none"/>
        </w:rPr>
      </w:pPr>
      <w:r>
        <w:rPr>
          <w:rFonts w:hint="eastAsia"/>
          <w:color w:val="auto"/>
          <w:highlight w:val="none"/>
          <w:u w:val="single"/>
        </w:rPr>
        <w:t xml:space="preserve">             </w:t>
      </w:r>
      <w:r>
        <w:rPr>
          <w:rFonts w:hint="eastAsia"/>
          <w:color w:val="auto"/>
          <w:highlight w:val="none"/>
        </w:rPr>
        <w:t>（采购人名称）：</w:t>
      </w:r>
    </w:p>
    <w:p w14:paraId="1BDD4812">
      <w:pPr>
        <w:spacing w:line="480" w:lineRule="auto"/>
        <w:ind w:firstLine="480"/>
        <w:jc w:val="left"/>
        <w:rPr>
          <w:color w:val="auto"/>
          <w:highlight w:val="none"/>
        </w:rPr>
      </w:pPr>
      <w:r>
        <w:rPr>
          <w:rFonts w:hint="eastAsia"/>
          <w:color w:val="auto"/>
          <w:highlight w:val="none"/>
        </w:rPr>
        <w:t>本授权委托书声明：注册于</w:t>
      </w:r>
      <w:r>
        <w:rPr>
          <w:rFonts w:hint="eastAsia"/>
          <w:color w:val="auto"/>
          <w:highlight w:val="none"/>
          <w:u w:val="single"/>
        </w:rPr>
        <w:t xml:space="preserve">     （投标人住址）     </w:t>
      </w:r>
      <w:r>
        <w:rPr>
          <w:rFonts w:hint="eastAsia"/>
          <w:color w:val="auto"/>
          <w:highlight w:val="none"/>
        </w:rPr>
        <w:t>的</w:t>
      </w:r>
      <w:r>
        <w:rPr>
          <w:rFonts w:hint="eastAsia"/>
          <w:color w:val="auto"/>
          <w:highlight w:val="none"/>
          <w:u w:val="single"/>
        </w:rPr>
        <w:t xml:space="preserve">     （投标人名称）     </w:t>
      </w:r>
      <w:r>
        <w:rPr>
          <w:rFonts w:hint="eastAsia"/>
          <w:color w:val="auto"/>
          <w:highlight w:val="none"/>
        </w:rPr>
        <w:t>法定代表人</w:t>
      </w:r>
      <w:r>
        <w:rPr>
          <w:rFonts w:hint="eastAsia"/>
          <w:color w:val="auto"/>
          <w:highlight w:val="none"/>
          <w:u w:val="single"/>
        </w:rPr>
        <w:t xml:space="preserve">   （法定代表人姓名、职务）   </w:t>
      </w:r>
      <w:r>
        <w:rPr>
          <w:rFonts w:hint="eastAsia"/>
          <w:color w:val="auto"/>
          <w:highlight w:val="none"/>
        </w:rPr>
        <w:t>代表本公司授权</w:t>
      </w:r>
      <w:r>
        <w:rPr>
          <w:rFonts w:hint="eastAsia"/>
          <w:color w:val="auto"/>
          <w:highlight w:val="none"/>
          <w:u w:val="single"/>
        </w:rPr>
        <w:t xml:space="preserve">   （投标人代表姓名、职务）   </w:t>
      </w:r>
      <w:r>
        <w:rPr>
          <w:rFonts w:hint="eastAsia"/>
          <w:color w:val="auto"/>
          <w:highlight w:val="none"/>
        </w:rPr>
        <w:t>为本公司的合法代理人，就贵方组织的</w:t>
      </w:r>
      <w:r>
        <w:rPr>
          <w:rFonts w:hint="eastAsia"/>
          <w:color w:val="auto"/>
          <w:highlight w:val="none"/>
          <w:u w:val="single"/>
        </w:rPr>
        <w:t xml:space="preserve"> 项目名称：    项目编号：      </w:t>
      </w:r>
      <w:r>
        <w:rPr>
          <w:rFonts w:hint="eastAsia"/>
          <w:color w:val="auto"/>
          <w:highlight w:val="none"/>
        </w:rPr>
        <w:t>，以本公司名义处理一切与之有关的事务。</w:t>
      </w:r>
    </w:p>
    <w:p w14:paraId="182E5962">
      <w:pPr>
        <w:spacing w:line="480" w:lineRule="auto"/>
        <w:ind w:firstLine="480"/>
        <w:rPr>
          <w:color w:val="auto"/>
          <w:highlight w:val="none"/>
        </w:rPr>
      </w:pPr>
      <w:r>
        <w:rPr>
          <w:rFonts w:hint="eastAsia"/>
          <w:color w:val="auto"/>
          <w:highlight w:val="none"/>
        </w:rPr>
        <w:t>本授权书于</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日生效，特此声明！</w:t>
      </w:r>
    </w:p>
    <w:p w14:paraId="4A3660C7">
      <w:pPr>
        <w:spacing w:before="240" w:beforeLines="100" w:after="120" w:afterLines="50"/>
        <w:ind w:firstLine="0" w:firstLineChars="0"/>
        <w:rPr>
          <w:b/>
          <w:bCs/>
          <w:color w:val="auto"/>
          <w:highlight w:val="none"/>
        </w:rPr>
      </w:pPr>
      <w:r>
        <w:rPr>
          <w:rFonts w:hint="eastAsia"/>
          <w:b/>
          <w:bCs/>
          <w:color w:val="auto"/>
          <w:highlight w:val="none"/>
        </w:rPr>
        <w:t>附：投标人代表有效的身份证正反两面复印件</w:t>
      </w:r>
    </w:p>
    <w:tbl>
      <w:tblPr>
        <w:tblStyle w:val="40"/>
        <w:tblW w:w="8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29"/>
        <w:gridCol w:w="4230"/>
      </w:tblGrid>
      <w:tr w14:paraId="06DB5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7" w:hRule="atLeast"/>
          <w:jc w:val="center"/>
        </w:trPr>
        <w:tc>
          <w:tcPr>
            <w:tcW w:w="4229" w:type="dxa"/>
          </w:tcPr>
          <w:p w14:paraId="71F26A0E">
            <w:pPr>
              <w:ind w:firstLine="0" w:firstLineChars="0"/>
              <w:rPr>
                <w:color w:val="auto"/>
                <w:highlight w:val="none"/>
              </w:rPr>
            </w:pPr>
          </w:p>
        </w:tc>
        <w:tc>
          <w:tcPr>
            <w:tcW w:w="4230" w:type="dxa"/>
          </w:tcPr>
          <w:p w14:paraId="3EF7B49B">
            <w:pPr>
              <w:ind w:firstLine="0" w:firstLineChars="0"/>
              <w:rPr>
                <w:color w:val="auto"/>
                <w:highlight w:val="none"/>
              </w:rPr>
            </w:pPr>
          </w:p>
        </w:tc>
      </w:tr>
    </w:tbl>
    <w:p w14:paraId="7B2674B1">
      <w:pPr>
        <w:ind w:firstLine="0" w:firstLineChars="0"/>
        <w:rPr>
          <w:color w:val="auto"/>
          <w:highlight w:val="none"/>
        </w:rPr>
      </w:pPr>
    </w:p>
    <w:p w14:paraId="56D58C9B">
      <w:pPr>
        <w:spacing w:line="480" w:lineRule="auto"/>
        <w:ind w:left="2400" w:leftChars="1000" w:firstLine="0" w:firstLineChars="0"/>
        <w:rPr>
          <w:color w:val="auto"/>
          <w:highlight w:val="none"/>
          <w:u w:val="single"/>
        </w:rPr>
      </w:pPr>
      <w:r>
        <w:rPr>
          <w:rFonts w:hint="eastAsia"/>
          <w:color w:val="auto"/>
          <w:highlight w:val="none"/>
        </w:rPr>
        <w:t>投标人全称：</w:t>
      </w:r>
      <w:r>
        <w:rPr>
          <w:rFonts w:hint="eastAsia"/>
          <w:color w:val="auto"/>
          <w:highlight w:val="none"/>
          <w:u w:val="single"/>
        </w:rPr>
        <w:t xml:space="preserve">               （公章）</w:t>
      </w:r>
    </w:p>
    <w:p w14:paraId="513D2A54">
      <w:pPr>
        <w:spacing w:line="480" w:lineRule="auto"/>
        <w:ind w:left="2400" w:leftChars="1000" w:firstLine="0" w:firstLineChars="0"/>
        <w:rPr>
          <w:color w:val="auto"/>
          <w:highlight w:val="none"/>
          <w:u w:val="single"/>
        </w:rPr>
      </w:pPr>
      <w:r>
        <w:rPr>
          <w:rFonts w:hint="eastAsia"/>
          <w:color w:val="auto"/>
          <w:highlight w:val="none"/>
        </w:rPr>
        <w:t>法定代表人：</w:t>
      </w:r>
      <w:r>
        <w:rPr>
          <w:rFonts w:hint="eastAsia"/>
          <w:color w:val="auto"/>
          <w:highlight w:val="none"/>
          <w:u w:val="single"/>
        </w:rPr>
        <w:t xml:space="preserve">         （签字或盖章）</w:t>
      </w:r>
      <w:r>
        <w:rPr>
          <w:rFonts w:hint="eastAsia"/>
          <w:color w:val="auto"/>
          <w:highlight w:val="none"/>
        </w:rPr>
        <w:t xml:space="preserve">                   </w:t>
      </w:r>
    </w:p>
    <w:p w14:paraId="008F7E39">
      <w:pPr>
        <w:spacing w:line="480" w:lineRule="auto"/>
        <w:ind w:left="2400" w:leftChars="1000" w:firstLine="0" w:firstLineChars="0"/>
        <w:rPr>
          <w:color w:val="auto"/>
          <w:highlight w:val="none"/>
          <w:u w:val="single"/>
        </w:rPr>
      </w:pPr>
      <w:r>
        <w:rPr>
          <w:rFonts w:hint="eastAsia"/>
          <w:color w:val="auto"/>
          <w:highlight w:val="none"/>
        </w:rPr>
        <w:t>委托代理人：</w:t>
      </w:r>
      <w:r>
        <w:rPr>
          <w:rFonts w:hint="eastAsia"/>
          <w:color w:val="auto"/>
          <w:highlight w:val="none"/>
          <w:u w:val="single"/>
        </w:rPr>
        <w:t xml:space="preserve">         （签字或盖章）</w:t>
      </w:r>
      <w:r>
        <w:rPr>
          <w:rFonts w:hint="eastAsia"/>
          <w:color w:val="auto"/>
          <w:highlight w:val="none"/>
        </w:rPr>
        <w:t xml:space="preserve">                   </w:t>
      </w:r>
    </w:p>
    <w:p w14:paraId="6E1A6E58">
      <w:pPr>
        <w:spacing w:line="480" w:lineRule="auto"/>
        <w:ind w:left="2400" w:leftChars="1000" w:firstLine="0" w:firstLineChars="0"/>
        <w:rPr>
          <w:color w:val="auto"/>
          <w:highlight w:val="none"/>
        </w:rPr>
      </w:pPr>
      <w:r>
        <w:rPr>
          <w:rFonts w:hint="eastAsia"/>
          <w:color w:val="auto"/>
          <w:highlight w:val="none"/>
        </w:rPr>
        <w:t>日      期：     年   月   日</w:t>
      </w:r>
    </w:p>
    <w:p w14:paraId="6B1F5BD5">
      <w:pPr>
        <w:ind w:firstLine="0" w:firstLineChars="0"/>
        <w:rPr>
          <w:color w:val="auto"/>
          <w:highlight w:val="none"/>
        </w:rPr>
      </w:pPr>
    </w:p>
    <w:p w14:paraId="7DCA8B3B">
      <w:pPr>
        <w:widowControl/>
        <w:spacing w:line="360" w:lineRule="auto"/>
        <w:ind w:left="0" w:leftChars="0"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注：</w:t>
      </w:r>
    </w:p>
    <w:p w14:paraId="059419C4">
      <w:pPr>
        <w:widowControl/>
        <w:spacing w:line="360" w:lineRule="auto"/>
        <w:ind w:left="0" w:leftChars="0" w:firstLine="480" w:firstLineChars="200"/>
        <w:jc w:val="left"/>
        <w:rPr>
          <w:rFonts w:hint="eastAsia" w:ascii="宋体" w:hAnsi="宋体" w:eastAsia="宋体" w:cs="宋体"/>
          <w:bCs/>
          <w:color w:val="auto"/>
          <w:sz w:val="24"/>
          <w:szCs w:val="24"/>
          <w:highlight w:val="none"/>
        </w:rPr>
      </w:pPr>
      <w:r>
        <w:rPr>
          <w:rFonts w:hint="eastAsia" w:cs="宋体"/>
          <w:bCs/>
          <w:color w:val="auto"/>
          <w:sz w:val="24"/>
          <w:szCs w:val="24"/>
          <w:highlight w:val="none"/>
          <w:lang w:val="en-US" w:eastAsia="zh-CN"/>
        </w:rPr>
        <w:t>1.</w:t>
      </w:r>
      <w:r>
        <w:rPr>
          <w:rFonts w:hint="eastAsia" w:ascii="宋体" w:hAnsi="宋体" w:cs="宋体"/>
          <w:bCs/>
          <w:color w:val="auto"/>
          <w:sz w:val="24"/>
          <w:szCs w:val="24"/>
          <w:highlight w:val="none"/>
        </w:rPr>
        <w:t>若</w:t>
      </w:r>
      <w:r>
        <w:rPr>
          <w:rFonts w:hint="eastAsia" w:ascii="宋体" w:hAnsi="宋体" w:cs="宋体"/>
          <w:bCs/>
          <w:color w:val="auto"/>
          <w:sz w:val="24"/>
          <w:szCs w:val="24"/>
          <w:highlight w:val="none"/>
          <w:lang w:val="en-US" w:eastAsia="zh-CN"/>
        </w:rPr>
        <w:t>委托代理人</w:t>
      </w:r>
      <w:r>
        <w:rPr>
          <w:rFonts w:hint="eastAsia" w:ascii="宋体" w:hAnsi="宋体" w:cs="宋体"/>
          <w:bCs/>
          <w:color w:val="auto"/>
          <w:sz w:val="24"/>
          <w:szCs w:val="24"/>
          <w:highlight w:val="none"/>
        </w:rPr>
        <w:t>和法定代表人为同一人，则无需提供</w:t>
      </w:r>
      <w:r>
        <w:rPr>
          <w:rFonts w:hint="eastAsia" w:ascii="宋体" w:hAnsi="宋体" w:eastAsia="宋体" w:cs="宋体"/>
          <w:bCs/>
          <w:color w:val="auto"/>
          <w:sz w:val="24"/>
          <w:szCs w:val="24"/>
          <w:highlight w:val="none"/>
        </w:rPr>
        <w:t>法定代表人授权委托书；</w:t>
      </w:r>
    </w:p>
    <w:p w14:paraId="50129E7D">
      <w:pPr>
        <w:rPr>
          <w:rFonts w:hint="eastAsia" w:ascii="宋体" w:hAnsi="宋体" w:eastAsia="宋体" w:cs="宋体"/>
          <w:bCs/>
          <w:color w:val="auto"/>
          <w:sz w:val="24"/>
          <w:szCs w:val="24"/>
          <w:highlight w:val="none"/>
        </w:rPr>
      </w:pPr>
      <w:r>
        <w:rPr>
          <w:rFonts w:hint="eastAsia" w:cs="宋体"/>
          <w:bCs/>
          <w:color w:val="auto"/>
          <w:kern w:val="0"/>
          <w:sz w:val="24"/>
          <w:szCs w:val="24"/>
          <w:highlight w:val="none"/>
          <w:lang w:val="en-US" w:eastAsia="zh-CN"/>
        </w:rPr>
        <w:t>2.</w:t>
      </w:r>
      <w:r>
        <w:rPr>
          <w:rFonts w:hint="eastAsia" w:ascii="宋体" w:hAnsi="宋体" w:cs="宋体"/>
          <w:bCs/>
          <w:color w:val="auto"/>
          <w:kern w:val="0"/>
          <w:sz w:val="24"/>
          <w:szCs w:val="24"/>
          <w:highlight w:val="none"/>
        </w:rPr>
        <w:t>若投标人</w:t>
      </w:r>
      <w:r>
        <w:rPr>
          <w:rFonts w:hint="eastAsia" w:ascii="宋体" w:hAnsi="宋体" w:cs="宋体"/>
          <w:bCs/>
          <w:color w:val="auto"/>
          <w:sz w:val="24"/>
          <w:szCs w:val="24"/>
          <w:highlight w:val="none"/>
        </w:rPr>
        <w:t>代表和法定代表人为不同人，则需同时提供以上</w:t>
      </w:r>
      <w:r>
        <w:rPr>
          <w:rFonts w:hint="eastAsia" w:ascii="宋体" w:hAnsi="宋体" w:eastAsia="宋体" w:cs="宋体"/>
          <w:bCs/>
          <w:color w:val="auto"/>
          <w:sz w:val="24"/>
          <w:szCs w:val="24"/>
          <w:highlight w:val="none"/>
        </w:rPr>
        <w:t>法定代表人身份证明书和法定代表人授权委托书。</w:t>
      </w:r>
    </w:p>
    <w:p w14:paraId="7CD25E53">
      <w:pPr>
        <w:ind w:firstLine="480"/>
        <w:rPr>
          <w:color w:val="auto"/>
          <w:highlight w:val="none"/>
        </w:rPr>
      </w:pPr>
      <w:r>
        <w:rPr>
          <w:rFonts w:hint="eastAsia"/>
          <w:color w:val="auto"/>
          <w:highlight w:val="none"/>
        </w:rPr>
        <w:br w:type="page"/>
      </w:r>
    </w:p>
    <w:p w14:paraId="0989A16E">
      <w:pPr>
        <w:keepNext/>
        <w:keepLines/>
        <w:spacing w:before="240" w:beforeLines="100" w:after="360" w:afterLines="150"/>
        <w:ind w:firstLine="0" w:firstLineChars="0"/>
        <w:jc w:val="center"/>
        <w:outlineLvl w:val="1"/>
        <w:rPr>
          <w:color w:val="auto"/>
          <w:highlight w:val="none"/>
        </w:rPr>
      </w:pPr>
      <w:r>
        <w:rPr>
          <w:rFonts w:hint="eastAsia"/>
          <w:b/>
          <w:color w:val="auto"/>
          <w:highlight w:val="none"/>
        </w:rPr>
        <w:t>（四）基本情况表</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7"/>
        <w:gridCol w:w="1000"/>
        <w:gridCol w:w="1990"/>
        <w:gridCol w:w="1526"/>
        <w:gridCol w:w="1869"/>
      </w:tblGrid>
      <w:tr w14:paraId="094E2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2137" w:type="dxa"/>
            <w:vAlign w:val="center"/>
          </w:tcPr>
          <w:p w14:paraId="454B6145">
            <w:pPr>
              <w:spacing w:line="240" w:lineRule="auto"/>
              <w:ind w:firstLine="0" w:firstLineChars="0"/>
              <w:jc w:val="center"/>
              <w:rPr>
                <w:color w:val="auto"/>
                <w:highlight w:val="none"/>
              </w:rPr>
            </w:pPr>
            <w:r>
              <w:rPr>
                <w:color w:val="auto"/>
                <w:highlight w:val="none"/>
              </w:rPr>
              <w:t>单位名称</w:t>
            </w:r>
          </w:p>
        </w:tc>
        <w:tc>
          <w:tcPr>
            <w:tcW w:w="6385" w:type="dxa"/>
            <w:gridSpan w:val="4"/>
            <w:vAlign w:val="center"/>
          </w:tcPr>
          <w:p w14:paraId="1075F4DA">
            <w:pPr>
              <w:spacing w:line="240" w:lineRule="auto"/>
              <w:ind w:firstLine="0" w:firstLineChars="0"/>
              <w:rPr>
                <w:color w:val="auto"/>
                <w:highlight w:val="none"/>
              </w:rPr>
            </w:pPr>
          </w:p>
        </w:tc>
      </w:tr>
      <w:tr w14:paraId="135BB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137" w:type="dxa"/>
            <w:vAlign w:val="center"/>
          </w:tcPr>
          <w:p w14:paraId="4B11EC2B">
            <w:pPr>
              <w:spacing w:line="240" w:lineRule="auto"/>
              <w:ind w:firstLine="0" w:firstLineChars="0"/>
              <w:jc w:val="center"/>
              <w:rPr>
                <w:color w:val="auto"/>
                <w:highlight w:val="none"/>
              </w:rPr>
            </w:pPr>
            <w:r>
              <w:rPr>
                <w:color w:val="auto"/>
                <w:highlight w:val="none"/>
              </w:rPr>
              <w:t>注册地址</w:t>
            </w:r>
          </w:p>
        </w:tc>
        <w:tc>
          <w:tcPr>
            <w:tcW w:w="2990" w:type="dxa"/>
            <w:gridSpan w:val="2"/>
            <w:vAlign w:val="center"/>
          </w:tcPr>
          <w:p w14:paraId="72F69B59">
            <w:pPr>
              <w:spacing w:line="240" w:lineRule="auto"/>
              <w:ind w:firstLine="0" w:firstLineChars="0"/>
              <w:rPr>
                <w:color w:val="auto"/>
                <w:highlight w:val="none"/>
              </w:rPr>
            </w:pPr>
          </w:p>
        </w:tc>
        <w:tc>
          <w:tcPr>
            <w:tcW w:w="1526" w:type="dxa"/>
            <w:vAlign w:val="center"/>
          </w:tcPr>
          <w:p w14:paraId="3D93C6BE">
            <w:pPr>
              <w:spacing w:line="240" w:lineRule="auto"/>
              <w:ind w:firstLine="0" w:firstLineChars="0"/>
              <w:jc w:val="center"/>
              <w:rPr>
                <w:color w:val="auto"/>
                <w:highlight w:val="none"/>
              </w:rPr>
            </w:pPr>
            <w:r>
              <w:rPr>
                <w:color w:val="auto"/>
                <w:highlight w:val="none"/>
              </w:rPr>
              <w:t>邮政编码</w:t>
            </w:r>
          </w:p>
        </w:tc>
        <w:tc>
          <w:tcPr>
            <w:tcW w:w="1869" w:type="dxa"/>
            <w:vAlign w:val="center"/>
          </w:tcPr>
          <w:p w14:paraId="4D206533">
            <w:pPr>
              <w:spacing w:line="240" w:lineRule="auto"/>
              <w:ind w:firstLine="0" w:firstLineChars="0"/>
              <w:rPr>
                <w:color w:val="auto"/>
                <w:highlight w:val="none"/>
              </w:rPr>
            </w:pPr>
          </w:p>
        </w:tc>
      </w:tr>
      <w:tr w14:paraId="4CD71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137" w:type="dxa"/>
            <w:vMerge w:val="restart"/>
            <w:vAlign w:val="center"/>
          </w:tcPr>
          <w:p w14:paraId="5B07A3D3">
            <w:pPr>
              <w:spacing w:line="240" w:lineRule="auto"/>
              <w:ind w:firstLine="0" w:firstLineChars="0"/>
              <w:jc w:val="center"/>
              <w:rPr>
                <w:color w:val="auto"/>
                <w:highlight w:val="none"/>
              </w:rPr>
            </w:pPr>
            <w:r>
              <w:rPr>
                <w:color w:val="auto"/>
                <w:highlight w:val="none"/>
              </w:rPr>
              <w:t>联系方式</w:t>
            </w:r>
          </w:p>
        </w:tc>
        <w:tc>
          <w:tcPr>
            <w:tcW w:w="1000" w:type="dxa"/>
            <w:vAlign w:val="center"/>
          </w:tcPr>
          <w:p w14:paraId="49A2D77D">
            <w:pPr>
              <w:spacing w:line="240" w:lineRule="auto"/>
              <w:ind w:firstLine="0" w:firstLineChars="0"/>
              <w:jc w:val="center"/>
              <w:rPr>
                <w:color w:val="auto"/>
                <w:highlight w:val="none"/>
              </w:rPr>
            </w:pPr>
            <w:r>
              <w:rPr>
                <w:color w:val="auto"/>
                <w:highlight w:val="none"/>
              </w:rPr>
              <w:t>联系人</w:t>
            </w:r>
          </w:p>
        </w:tc>
        <w:tc>
          <w:tcPr>
            <w:tcW w:w="1990" w:type="dxa"/>
            <w:vAlign w:val="center"/>
          </w:tcPr>
          <w:p w14:paraId="574F5DB4">
            <w:pPr>
              <w:spacing w:line="240" w:lineRule="auto"/>
              <w:ind w:firstLine="0" w:firstLineChars="0"/>
              <w:rPr>
                <w:color w:val="auto"/>
                <w:highlight w:val="none"/>
              </w:rPr>
            </w:pPr>
          </w:p>
        </w:tc>
        <w:tc>
          <w:tcPr>
            <w:tcW w:w="1526" w:type="dxa"/>
            <w:vAlign w:val="center"/>
          </w:tcPr>
          <w:p w14:paraId="499172D3">
            <w:pPr>
              <w:spacing w:line="240" w:lineRule="auto"/>
              <w:ind w:firstLine="0" w:firstLineChars="0"/>
              <w:jc w:val="center"/>
              <w:rPr>
                <w:color w:val="auto"/>
                <w:highlight w:val="none"/>
              </w:rPr>
            </w:pPr>
            <w:r>
              <w:rPr>
                <w:color w:val="auto"/>
                <w:highlight w:val="none"/>
              </w:rPr>
              <w:t>电 话</w:t>
            </w:r>
          </w:p>
        </w:tc>
        <w:tc>
          <w:tcPr>
            <w:tcW w:w="1869" w:type="dxa"/>
            <w:vAlign w:val="center"/>
          </w:tcPr>
          <w:p w14:paraId="0081A75C">
            <w:pPr>
              <w:spacing w:line="240" w:lineRule="auto"/>
              <w:ind w:firstLine="0" w:firstLineChars="0"/>
              <w:rPr>
                <w:color w:val="auto"/>
                <w:highlight w:val="none"/>
              </w:rPr>
            </w:pPr>
          </w:p>
        </w:tc>
      </w:tr>
      <w:tr w14:paraId="1DA8F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137" w:type="dxa"/>
            <w:vMerge w:val="continue"/>
            <w:vAlign w:val="center"/>
          </w:tcPr>
          <w:p w14:paraId="2A0447FD">
            <w:pPr>
              <w:spacing w:line="240" w:lineRule="auto"/>
              <w:ind w:firstLine="0" w:firstLineChars="0"/>
              <w:jc w:val="center"/>
              <w:rPr>
                <w:color w:val="auto"/>
                <w:highlight w:val="none"/>
              </w:rPr>
            </w:pPr>
          </w:p>
        </w:tc>
        <w:tc>
          <w:tcPr>
            <w:tcW w:w="1000" w:type="dxa"/>
            <w:vAlign w:val="center"/>
          </w:tcPr>
          <w:p w14:paraId="2BEE5DAF">
            <w:pPr>
              <w:spacing w:line="240" w:lineRule="auto"/>
              <w:ind w:firstLine="0" w:firstLineChars="0"/>
              <w:jc w:val="center"/>
              <w:rPr>
                <w:color w:val="auto"/>
                <w:highlight w:val="none"/>
              </w:rPr>
            </w:pPr>
            <w:r>
              <w:rPr>
                <w:color w:val="auto"/>
                <w:highlight w:val="none"/>
              </w:rPr>
              <w:t>传 真</w:t>
            </w:r>
          </w:p>
        </w:tc>
        <w:tc>
          <w:tcPr>
            <w:tcW w:w="1990" w:type="dxa"/>
            <w:vAlign w:val="center"/>
          </w:tcPr>
          <w:p w14:paraId="62160FFF">
            <w:pPr>
              <w:spacing w:line="240" w:lineRule="auto"/>
              <w:ind w:firstLine="0" w:firstLineChars="0"/>
              <w:rPr>
                <w:color w:val="auto"/>
                <w:highlight w:val="none"/>
              </w:rPr>
            </w:pPr>
          </w:p>
        </w:tc>
        <w:tc>
          <w:tcPr>
            <w:tcW w:w="1526" w:type="dxa"/>
            <w:vAlign w:val="center"/>
          </w:tcPr>
          <w:p w14:paraId="7C9D69F6">
            <w:pPr>
              <w:spacing w:line="240" w:lineRule="auto"/>
              <w:ind w:firstLine="0" w:firstLineChars="0"/>
              <w:jc w:val="center"/>
              <w:rPr>
                <w:color w:val="auto"/>
                <w:highlight w:val="none"/>
              </w:rPr>
            </w:pPr>
            <w:r>
              <w:rPr>
                <w:color w:val="auto"/>
                <w:highlight w:val="none"/>
              </w:rPr>
              <w:t>电子邮件</w:t>
            </w:r>
          </w:p>
        </w:tc>
        <w:tc>
          <w:tcPr>
            <w:tcW w:w="1869" w:type="dxa"/>
            <w:vAlign w:val="center"/>
          </w:tcPr>
          <w:p w14:paraId="6DBB5D50">
            <w:pPr>
              <w:spacing w:line="240" w:lineRule="auto"/>
              <w:ind w:firstLine="0" w:firstLineChars="0"/>
              <w:rPr>
                <w:color w:val="auto"/>
                <w:highlight w:val="none"/>
              </w:rPr>
            </w:pPr>
          </w:p>
        </w:tc>
      </w:tr>
      <w:tr w14:paraId="23D35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137" w:type="dxa"/>
            <w:vAlign w:val="center"/>
          </w:tcPr>
          <w:p w14:paraId="02C933D6">
            <w:pPr>
              <w:spacing w:line="240" w:lineRule="auto"/>
              <w:ind w:firstLine="0" w:firstLineChars="0"/>
              <w:jc w:val="center"/>
              <w:rPr>
                <w:color w:val="auto"/>
                <w:highlight w:val="none"/>
              </w:rPr>
            </w:pPr>
            <w:r>
              <w:rPr>
                <w:color w:val="auto"/>
                <w:highlight w:val="none"/>
              </w:rPr>
              <w:t>法定代表人</w:t>
            </w:r>
          </w:p>
        </w:tc>
        <w:tc>
          <w:tcPr>
            <w:tcW w:w="1000" w:type="dxa"/>
            <w:vAlign w:val="center"/>
          </w:tcPr>
          <w:p w14:paraId="2B6D5EAD">
            <w:pPr>
              <w:spacing w:line="240" w:lineRule="auto"/>
              <w:ind w:firstLine="0" w:firstLineChars="0"/>
              <w:jc w:val="center"/>
              <w:rPr>
                <w:color w:val="auto"/>
                <w:highlight w:val="none"/>
              </w:rPr>
            </w:pPr>
            <w:r>
              <w:rPr>
                <w:color w:val="auto"/>
                <w:highlight w:val="none"/>
              </w:rPr>
              <w:t>姓 名</w:t>
            </w:r>
          </w:p>
        </w:tc>
        <w:tc>
          <w:tcPr>
            <w:tcW w:w="1990" w:type="dxa"/>
            <w:vAlign w:val="center"/>
          </w:tcPr>
          <w:p w14:paraId="4ECE80F8">
            <w:pPr>
              <w:spacing w:line="240" w:lineRule="auto"/>
              <w:ind w:firstLine="0" w:firstLineChars="0"/>
              <w:rPr>
                <w:color w:val="auto"/>
                <w:highlight w:val="none"/>
              </w:rPr>
            </w:pPr>
          </w:p>
        </w:tc>
        <w:tc>
          <w:tcPr>
            <w:tcW w:w="1526" w:type="dxa"/>
            <w:vAlign w:val="center"/>
          </w:tcPr>
          <w:p w14:paraId="775789F1">
            <w:pPr>
              <w:spacing w:line="240" w:lineRule="auto"/>
              <w:ind w:firstLine="0" w:firstLineChars="0"/>
              <w:jc w:val="center"/>
              <w:rPr>
                <w:color w:val="auto"/>
                <w:highlight w:val="none"/>
              </w:rPr>
            </w:pPr>
            <w:r>
              <w:rPr>
                <w:color w:val="auto"/>
                <w:highlight w:val="none"/>
              </w:rPr>
              <w:t>电 话</w:t>
            </w:r>
          </w:p>
        </w:tc>
        <w:tc>
          <w:tcPr>
            <w:tcW w:w="1869" w:type="dxa"/>
            <w:vAlign w:val="center"/>
          </w:tcPr>
          <w:p w14:paraId="4E83364E">
            <w:pPr>
              <w:spacing w:line="240" w:lineRule="auto"/>
              <w:ind w:firstLine="0" w:firstLineChars="0"/>
              <w:rPr>
                <w:color w:val="auto"/>
                <w:highlight w:val="none"/>
              </w:rPr>
            </w:pPr>
          </w:p>
        </w:tc>
      </w:tr>
      <w:tr w14:paraId="5811D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137" w:type="dxa"/>
            <w:vAlign w:val="center"/>
          </w:tcPr>
          <w:p w14:paraId="38BD596B">
            <w:pPr>
              <w:spacing w:line="240" w:lineRule="auto"/>
              <w:ind w:firstLine="0" w:firstLineChars="0"/>
              <w:jc w:val="center"/>
              <w:rPr>
                <w:color w:val="auto"/>
                <w:highlight w:val="none"/>
              </w:rPr>
            </w:pPr>
            <w:r>
              <w:rPr>
                <w:color w:val="auto"/>
                <w:highlight w:val="none"/>
              </w:rPr>
              <w:t>成立时间</w:t>
            </w:r>
          </w:p>
        </w:tc>
        <w:tc>
          <w:tcPr>
            <w:tcW w:w="2990" w:type="dxa"/>
            <w:gridSpan w:val="2"/>
            <w:vAlign w:val="center"/>
          </w:tcPr>
          <w:p w14:paraId="719629DB">
            <w:pPr>
              <w:spacing w:line="240" w:lineRule="auto"/>
              <w:ind w:firstLine="0" w:firstLineChars="0"/>
              <w:rPr>
                <w:color w:val="auto"/>
                <w:highlight w:val="none"/>
              </w:rPr>
            </w:pPr>
          </w:p>
        </w:tc>
        <w:tc>
          <w:tcPr>
            <w:tcW w:w="1526" w:type="dxa"/>
            <w:vAlign w:val="center"/>
          </w:tcPr>
          <w:p w14:paraId="52674EFB">
            <w:pPr>
              <w:spacing w:line="240" w:lineRule="auto"/>
              <w:ind w:firstLine="0" w:firstLineChars="0"/>
              <w:jc w:val="center"/>
              <w:rPr>
                <w:color w:val="auto"/>
                <w:highlight w:val="none"/>
              </w:rPr>
            </w:pPr>
            <w:r>
              <w:rPr>
                <w:color w:val="auto"/>
                <w:highlight w:val="none"/>
              </w:rPr>
              <w:t>员工总人数</w:t>
            </w:r>
          </w:p>
        </w:tc>
        <w:tc>
          <w:tcPr>
            <w:tcW w:w="1869" w:type="dxa"/>
            <w:vAlign w:val="center"/>
          </w:tcPr>
          <w:p w14:paraId="560FD6DC">
            <w:pPr>
              <w:spacing w:line="240" w:lineRule="auto"/>
              <w:ind w:firstLine="0" w:firstLineChars="0"/>
              <w:rPr>
                <w:color w:val="auto"/>
                <w:highlight w:val="none"/>
              </w:rPr>
            </w:pPr>
          </w:p>
        </w:tc>
      </w:tr>
      <w:tr w14:paraId="3266B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2137" w:type="dxa"/>
            <w:vAlign w:val="center"/>
          </w:tcPr>
          <w:p w14:paraId="7BB5FF4D">
            <w:pPr>
              <w:spacing w:line="240" w:lineRule="auto"/>
              <w:ind w:firstLine="0" w:firstLineChars="0"/>
              <w:jc w:val="center"/>
              <w:rPr>
                <w:color w:val="auto"/>
                <w:highlight w:val="none"/>
              </w:rPr>
            </w:pPr>
            <w:r>
              <w:rPr>
                <w:color w:val="auto"/>
                <w:highlight w:val="none"/>
              </w:rPr>
              <w:t>营业执照号</w:t>
            </w:r>
          </w:p>
        </w:tc>
        <w:tc>
          <w:tcPr>
            <w:tcW w:w="2990" w:type="dxa"/>
            <w:gridSpan w:val="2"/>
            <w:vAlign w:val="center"/>
          </w:tcPr>
          <w:p w14:paraId="1E551A8D">
            <w:pPr>
              <w:spacing w:line="240" w:lineRule="auto"/>
              <w:ind w:firstLine="0" w:firstLineChars="0"/>
              <w:rPr>
                <w:color w:val="auto"/>
                <w:highlight w:val="none"/>
              </w:rPr>
            </w:pPr>
          </w:p>
        </w:tc>
        <w:tc>
          <w:tcPr>
            <w:tcW w:w="1526" w:type="dxa"/>
            <w:vAlign w:val="center"/>
          </w:tcPr>
          <w:p w14:paraId="674A7FC7">
            <w:pPr>
              <w:spacing w:line="240" w:lineRule="auto"/>
              <w:ind w:firstLine="0" w:firstLineChars="0"/>
              <w:rPr>
                <w:color w:val="auto"/>
                <w:highlight w:val="none"/>
              </w:rPr>
            </w:pPr>
            <w:r>
              <w:rPr>
                <w:color w:val="auto"/>
                <w:highlight w:val="none"/>
              </w:rPr>
              <w:t>注册资本</w:t>
            </w:r>
          </w:p>
        </w:tc>
        <w:tc>
          <w:tcPr>
            <w:tcW w:w="1869" w:type="dxa"/>
            <w:vAlign w:val="center"/>
          </w:tcPr>
          <w:p w14:paraId="7D1047E1">
            <w:pPr>
              <w:spacing w:line="240" w:lineRule="auto"/>
              <w:ind w:firstLine="0" w:firstLineChars="0"/>
              <w:rPr>
                <w:color w:val="auto"/>
                <w:highlight w:val="none"/>
              </w:rPr>
            </w:pPr>
          </w:p>
        </w:tc>
      </w:tr>
      <w:tr w14:paraId="19D18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137" w:type="dxa"/>
            <w:vAlign w:val="center"/>
          </w:tcPr>
          <w:p w14:paraId="2F0F4E68">
            <w:pPr>
              <w:spacing w:line="240" w:lineRule="auto"/>
              <w:ind w:firstLine="0" w:firstLineChars="0"/>
              <w:jc w:val="center"/>
              <w:rPr>
                <w:color w:val="auto"/>
                <w:highlight w:val="none"/>
              </w:rPr>
            </w:pPr>
            <w:r>
              <w:rPr>
                <w:color w:val="auto"/>
                <w:highlight w:val="none"/>
              </w:rPr>
              <w:t>基本账户开户</w:t>
            </w:r>
          </w:p>
          <w:p w14:paraId="2A3ED1C6">
            <w:pPr>
              <w:spacing w:line="240" w:lineRule="auto"/>
              <w:ind w:firstLine="0" w:firstLineChars="0"/>
              <w:jc w:val="center"/>
              <w:rPr>
                <w:color w:val="auto"/>
                <w:highlight w:val="none"/>
              </w:rPr>
            </w:pPr>
            <w:r>
              <w:rPr>
                <w:color w:val="auto"/>
                <w:highlight w:val="none"/>
              </w:rPr>
              <w:t>银行</w:t>
            </w:r>
          </w:p>
        </w:tc>
        <w:tc>
          <w:tcPr>
            <w:tcW w:w="6385" w:type="dxa"/>
            <w:gridSpan w:val="4"/>
            <w:vAlign w:val="center"/>
          </w:tcPr>
          <w:p w14:paraId="55779695">
            <w:pPr>
              <w:spacing w:line="240" w:lineRule="auto"/>
              <w:ind w:firstLine="0" w:firstLineChars="0"/>
              <w:rPr>
                <w:color w:val="auto"/>
                <w:highlight w:val="none"/>
              </w:rPr>
            </w:pPr>
          </w:p>
        </w:tc>
      </w:tr>
      <w:tr w14:paraId="68DB5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137" w:type="dxa"/>
            <w:vAlign w:val="center"/>
          </w:tcPr>
          <w:p w14:paraId="3A8E2F7E">
            <w:pPr>
              <w:spacing w:line="240" w:lineRule="auto"/>
              <w:ind w:firstLine="0" w:firstLineChars="0"/>
              <w:jc w:val="center"/>
              <w:rPr>
                <w:color w:val="auto"/>
                <w:highlight w:val="none"/>
              </w:rPr>
            </w:pPr>
            <w:r>
              <w:rPr>
                <w:color w:val="auto"/>
                <w:highlight w:val="none"/>
              </w:rPr>
              <w:t>基本账户账号</w:t>
            </w:r>
          </w:p>
        </w:tc>
        <w:tc>
          <w:tcPr>
            <w:tcW w:w="6385" w:type="dxa"/>
            <w:gridSpan w:val="4"/>
            <w:vAlign w:val="center"/>
          </w:tcPr>
          <w:p w14:paraId="62043737">
            <w:pPr>
              <w:spacing w:line="240" w:lineRule="auto"/>
              <w:ind w:firstLine="0" w:firstLineChars="0"/>
              <w:rPr>
                <w:color w:val="auto"/>
                <w:highlight w:val="none"/>
              </w:rPr>
            </w:pPr>
          </w:p>
        </w:tc>
      </w:tr>
      <w:tr w14:paraId="59951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2137" w:type="dxa"/>
            <w:vAlign w:val="center"/>
          </w:tcPr>
          <w:p w14:paraId="1D4D90E0">
            <w:pPr>
              <w:spacing w:line="240" w:lineRule="auto"/>
              <w:ind w:firstLine="0" w:firstLineChars="0"/>
              <w:jc w:val="center"/>
              <w:rPr>
                <w:color w:val="auto"/>
                <w:highlight w:val="none"/>
              </w:rPr>
            </w:pPr>
            <w:r>
              <w:rPr>
                <w:color w:val="auto"/>
                <w:highlight w:val="none"/>
              </w:rPr>
              <w:t>经营范围</w:t>
            </w:r>
          </w:p>
        </w:tc>
        <w:tc>
          <w:tcPr>
            <w:tcW w:w="6385" w:type="dxa"/>
            <w:gridSpan w:val="4"/>
            <w:vAlign w:val="center"/>
          </w:tcPr>
          <w:p w14:paraId="72E12117">
            <w:pPr>
              <w:spacing w:line="240" w:lineRule="auto"/>
              <w:ind w:firstLine="0" w:firstLineChars="0"/>
              <w:rPr>
                <w:color w:val="auto"/>
                <w:highlight w:val="none"/>
              </w:rPr>
            </w:pPr>
          </w:p>
        </w:tc>
      </w:tr>
      <w:tr w14:paraId="77D86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137" w:type="dxa"/>
            <w:vAlign w:val="center"/>
          </w:tcPr>
          <w:p w14:paraId="18F40A87">
            <w:pPr>
              <w:spacing w:line="240" w:lineRule="auto"/>
              <w:ind w:firstLine="0" w:firstLineChars="0"/>
              <w:jc w:val="center"/>
              <w:rPr>
                <w:color w:val="auto"/>
                <w:highlight w:val="none"/>
              </w:rPr>
            </w:pPr>
            <w:r>
              <w:rPr>
                <w:color w:val="auto"/>
                <w:highlight w:val="none"/>
              </w:rPr>
              <w:t>资质证书</w:t>
            </w:r>
          </w:p>
        </w:tc>
        <w:tc>
          <w:tcPr>
            <w:tcW w:w="6385" w:type="dxa"/>
            <w:gridSpan w:val="4"/>
            <w:vAlign w:val="center"/>
          </w:tcPr>
          <w:p w14:paraId="0E7DBED3">
            <w:pPr>
              <w:spacing w:line="240" w:lineRule="auto"/>
              <w:ind w:firstLine="0" w:firstLineChars="0"/>
              <w:rPr>
                <w:color w:val="auto"/>
                <w:highlight w:val="none"/>
              </w:rPr>
            </w:pPr>
          </w:p>
        </w:tc>
      </w:tr>
      <w:tr w14:paraId="41250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7" w:hRule="atLeast"/>
        </w:trPr>
        <w:tc>
          <w:tcPr>
            <w:tcW w:w="2137" w:type="dxa"/>
            <w:vAlign w:val="center"/>
          </w:tcPr>
          <w:p w14:paraId="492EDA4F">
            <w:pPr>
              <w:spacing w:line="240" w:lineRule="auto"/>
              <w:ind w:firstLine="0" w:firstLineChars="0"/>
              <w:jc w:val="center"/>
              <w:rPr>
                <w:color w:val="auto"/>
                <w:highlight w:val="none"/>
              </w:rPr>
            </w:pPr>
            <w:r>
              <w:rPr>
                <w:color w:val="auto"/>
                <w:highlight w:val="none"/>
              </w:rPr>
              <w:t>企业简介（可另附）</w:t>
            </w:r>
          </w:p>
        </w:tc>
        <w:tc>
          <w:tcPr>
            <w:tcW w:w="6385" w:type="dxa"/>
            <w:gridSpan w:val="4"/>
            <w:vAlign w:val="center"/>
          </w:tcPr>
          <w:p w14:paraId="53FA9E34">
            <w:pPr>
              <w:spacing w:line="240" w:lineRule="auto"/>
              <w:ind w:firstLine="0" w:firstLineChars="0"/>
              <w:rPr>
                <w:color w:val="auto"/>
                <w:highlight w:val="none"/>
              </w:rPr>
            </w:pPr>
          </w:p>
        </w:tc>
      </w:tr>
      <w:tr w14:paraId="2ABE5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37" w:type="dxa"/>
            <w:vAlign w:val="center"/>
          </w:tcPr>
          <w:p w14:paraId="3040674B">
            <w:pPr>
              <w:spacing w:line="240" w:lineRule="auto"/>
              <w:ind w:firstLine="0" w:firstLineChars="0"/>
              <w:jc w:val="center"/>
              <w:rPr>
                <w:color w:val="auto"/>
                <w:highlight w:val="none"/>
              </w:rPr>
            </w:pPr>
            <w:r>
              <w:rPr>
                <w:color w:val="auto"/>
                <w:highlight w:val="none"/>
              </w:rPr>
              <w:t>备注</w:t>
            </w:r>
          </w:p>
        </w:tc>
        <w:tc>
          <w:tcPr>
            <w:tcW w:w="6385" w:type="dxa"/>
            <w:gridSpan w:val="4"/>
            <w:vAlign w:val="center"/>
          </w:tcPr>
          <w:p w14:paraId="5E09954A">
            <w:pPr>
              <w:spacing w:line="240" w:lineRule="auto"/>
              <w:ind w:firstLine="0" w:firstLineChars="0"/>
              <w:rPr>
                <w:color w:val="auto"/>
                <w:highlight w:val="none"/>
              </w:rPr>
            </w:pPr>
          </w:p>
        </w:tc>
      </w:tr>
    </w:tbl>
    <w:p w14:paraId="259BDC4A">
      <w:pPr>
        <w:ind w:firstLine="0" w:firstLineChars="0"/>
        <w:rPr>
          <w:b/>
          <w:snapToGrid w:val="0"/>
          <w:color w:val="auto"/>
          <w:kern w:val="0"/>
          <w:sz w:val="28"/>
          <w:szCs w:val="28"/>
          <w:highlight w:val="none"/>
        </w:rPr>
      </w:pPr>
      <w:r>
        <w:rPr>
          <w:color w:val="auto"/>
          <w:highlight w:val="none"/>
        </w:rPr>
        <w:t>附：有效的营业执照或事业单位法人证书或自然人身份证明或其他非企业组织证明其独立承担民事责任能力的文件、基本户开户许可证或基本存款账户信息等资料的复印件（或扫描件）。</w:t>
      </w:r>
    </w:p>
    <w:p w14:paraId="3333278A">
      <w:pPr>
        <w:widowControl/>
        <w:spacing w:line="360" w:lineRule="auto"/>
        <w:jc w:val="center"/>
        <w:rPr>
          <w:b/>
          <w:snapToGrid w:val="0"/>
          <w:color w:val="auto"/>
          <w:kern w:val="0"/>
          <w:sz w:val="28"/>
          <w:szCs w:val="28"/>
          <w:highlight w:val="none"/>
        </w:rPr>
      </w:pPr>
    </w:p>
    <w:p w14:paraId="50276949">
      <w:pPr>
        <w:pStyle w:val="2"/>
        <w:rPr>
          <w:b/>
          <w:snapToGrid w:val="0"/>
          <w:color w:val="auto"/>
          <w:kern w:val="0"/>
          <w:sz w:val="28"/>
          <w:szCs w:val="28"/>
          <w:highlight w:val="none"/>
        </w:rPr>
      </w:pPr>
    </w:p>
    <w:p w14:paraId="62F55E10">
      <w:pPr>
        <w:pStyle w:val="3"/>
        <w:rPr>
          <w:b/>
          <w:snapToGrid w:val="0"/>
          <w:color w:val="auto"/>
          <w:kern w:val="0"/>
          <w:sz w:val="28"/>
          <w:szCs w:val="28"/>
          <w:highlight w:val="none"/>
        </w:rPr>
      </w:pPr>
    </w:p>
    <w:p w14:paraId="565DAB7A">
      <w:pPr>
        <w:rPr>
          <w:b/>
          <w:snapToGrid w:val="0"/>
          <w:color w:val="auto"/>
          <w:kern w:val="0"/>
          <w:sz w:val="28"/>
          <w:szCs w:val="28"/>
          <w:highlight w:val="none"/>
        </w:rPr>
      </w:pPr>
    </w:p>
    <w:p w14:paraId="3784AF94">
      <w:pPr>
        <w:pStyle w:val="2"/>
        <w:rPr>
          <w:color w:val="auto"/>
          <w:highlight w:val="none"/>
        </w:rPr>
      </w:pPr>
    </w:p>
    <w:p w14:paraId="4D362AC8">
      <w:pPr>
        <w:widowControl/>
        <w:spacing w:line="360" w:lineRule="auto"/>
        <w:jc w:val="center"/>
        <w:rPr>
          <w:rFonts w:ascii="宋体" w:hAnsi="宋体" w:cs="宋体"/>
          <w:bCs/>
          <w:color w:val="auto"/>
          <w:sz w:val="24"/>
          <w:szCs w:val="24"/>
          <w:highlight w:val="none"/>
        </w:rPr>
      </w:pPr>
      <w:r>
        <w:rPr>
          <w:b/>
          <w:snapToGrid w:val="0"/>
          <w:color w:val="auto"/>
          <w:kern w:val="0"/>
          <w:sz w:val="28"/>
          <w:szCs w:val="28"/>
          <w:highlight w:val="none"/>
        </w:rPr>
        <w:t>（五）</w:t>
      </w:r>
      <w:r>
        <w:rPr>
          <w:rFonts w:hint="eastAsia" w:ascii="宋体" w:hAnsi="宋体" w:eastAsia="宋体"/>
          <w:b/>
          <w:snapToGrid w:val="0"/>
          <w:color w:val="auto"/>
          <w:kern w:val="0"/>
          <w:sz w:val="28"/>
          <w:szCs w:val="28"/>
          <w:highlight w:val="none"/>
        </w:rPr>
        <w:t>长治市政府采购供应商信用承诺函</w:t>
      </w:r>
    </w:p>
    <w:p w14:paraId="4DD54DA9">
      <w:pPr>
        <w:adjustRightInd w:val="0"/>
        <w:snapToGrid w:val="0"/>
        <w:spacing w:line="500" w:lineRule="exact"/>
        <w:ind w:left="0" w:leftChars="0" w:firstLine="0" w:firstLineChars="0"/>
        <w:rPr>
          <w:rFonts w:ascii="宋体" w:hAnsi="宋体" w:cs="宋体"/>
          <w:color w:val="auto"/>
          <w:sz w:val="24"/>
          <w:szCs w:val="24"/>
          <w:highlight w:val="none"/>
        </w:rPr>
      </w:pPr>
    </w:p>
    <w:p w14:paraId="1A4DB61A">
      <w:pPr>
        <w:adjustRightInd w:val="0"/>
        <w:snapToGrid w:val="0"/>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 xml:space="preserve">  （采购人或采购代理机构）   </w:t>
      </w:r>
      <w:r>
        <w:rPr>
          <w:rFonts w:hint="eastAsia" w:ascii="宋体" w:hAnsi="宋体" w:cs="宋体"/>
          <w:color w:val="auto"/>
          <w:sz w:val="24"/>
          <w:szCs w:val="24"/>
          <w:highlight w:val="none"/>
        </w:rPr>
        <w:t>：</w:t>
      </w:r>
    </w:p>
    <w:p w14:paraId="4CAEC1E1">
      <w:pPr>
        <w:adjustRightInd w:val="0"/>
        <w:snapToGrid w:val="0"/>
        <w:spacing w:line="500" w:lineRule="exact"/>
        <w:ind w:firstLine="480" w:firstLineChars="200"/>
        <w:rPr>
          <w:rFonts w:ascii="宋体" w:hAnsi="宋体" w:cs="宋体"/>
          <w:color w:val="auto"/>
          <w:sz w:val="24"/>
          <w:szCs w:val="24"/>
          <w:highlight w:val="none"/>
        </w:rPr>
      </w:pPr>
    </w:p>
    <w:p w14:paraId="7EA7F9B2">
      <w:pPr>
        <w:adjustRightInd w:val="0"/>
        <w:snapToGrid w:val="0"/>
        <w:spacing w:line="50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供应商名称（自然人姓名）：</w:t>
      </w:r>
      <w:r>
        <w:rPr>
          <w:rFonts w:hint="eastAsia" w:ascii="宋体" w:hAnsi="宋体" w:cs="宋体"/>
          <w:color w:val="auto"/>
          <w:sz w:val="24"/>
          <w:szCs w:val="24"/>
          <w:highlight w:val="none"/>
          <w:u w:val="single"/>
        </w:rPr>
        <w:t xml:space="preserve">                       </w:t>
      </w:r>
    </w:p>
    <w:p w14:paraId="444ECF5F">
      <w:pPr>
        <w:adjustRightInd w:val="0"/>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统一社会信用代码（身份证号码）：</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1874AAEC">
      <w:pPr>
        <w:adjustRightInd w:val="0"/>
        <w:snapToGrid w:val="0"/>
        <w:spacing w:line="50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法定代表人（负责人）：</w:t>
      </w:r>
      <w:r>
        <w:rPr>
          <w:rFonts w:hint="eastAsia" w:ascii="宋体" w:hAnsi="宋体" w:cs="宋体"/>
          <w:color w:val="auto"/>
          <w:sz w:val="24"/>
          <w:szCs w:val="24"/>
          <w:highlight w:val="none"/>
          <w:u w:val="single"/>
        </w:rPr>
        <w:t xml:space="preserve">                           </w:t>
      </w:r>
    </w:p>
    <w:p w14:paraId="19FA6A99">
      <w:pPr>
        <w:adjustRightInd w:val="0"/>
        <w:snapToGrid w:val="0"/>
        <w:spacing w:line="50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联系地址和电话：</w:t>
      </w:r>
      <w:r>
        <w:rPr>
          <w:rFonts w:hint="eastAsia" w:ascii="宋体" w:hAnsi="宋体" w:cs="宋体"/>
          <w:color w:val="auto"/>
          <w:sz w:val="24"/>
          <w:szCs w:val="24"/>
          <w:highlight w:val="none"/>
          <w:u w:val="single"/>
        </w:rPr>
        <w:t xml:space="preserve">                                 </w:t>
      </w:r>
    </w:p>
    <w:p w14:paraId="2CAEAEDF">
      <w:pPr>
        <w:adjustRightInd w:val="0"/>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为维护公平、公正、公开的政府采购市场秩序，树立诚实守信的政府采购供应商形象，本单位（本人）自愿作出以下承诺：</w:t>
      </w:r>
    </w:p>
    <w:p w14:paraId="47ABDBB2">
      <w:pPr>
        <w:adjustRightInd w:val="0"/>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一、我单位（本人）自愿参加本次政府采购活动（项目名称：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，项目编号：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严格遵守《中华人民共和国政府采购法》及相关法律法规，依法诚信经营，无条件遵守本次政府采购活动的各项规定。我单位（本人）郑重承诺，我单位（本人）符合《中华人民共和国政府采购法》第二十二条规定和采购文件、本承诺函的条件：</w:t>
      </w:r>
    </w:p>
    <w:p w14:paraId="0FBC73EA">
      <w:pPr>
        <w:adjustRightInd w:val="0"/>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（一）具有独立承担民事责任的能力；</w:t>
      </w:r>
    </w:p>
    <w:p w14:paraId="525B337D">
      <w:pPr>
        <w:adjustRightInd w:val="0"/>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（二）具有良好的商业信誉和健全的财务会计制度；</w:t>
      </w:r>
    </w:p>
    <w:p w14:paraId="0D3770A7">
      <w:pPr>
        <w:adjustRightInd w:val="0"/>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（三）具有履行合同所必需的设备和专业技术能力；</w:t>
      </w:r>
    </w:p>
    <w:p w14:paraId="03551BA7">
      <w:pPr>
        <w:adjustRightInd w:val="0"/>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（四）有依法缴纳税收和社会保障资金的良好记录；</w:t>
      </w:r>
    </w:p>
    <w:p w14:paraId="7B1626BE">
      <w:pPr>
        <w:adjustRightInd w:val="0"/>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（五）参加政府采购活动前三年内，在经营活动中没有重大违法记录；</w:t>
      </w:r>
    </w:p>
    <w:p w14:paraId="567F453A">
      <w:pPr>
        <w:adjustRightInd w:val="0"/>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（六）符合法律、行政法规规定的其他条件。</w:t>
      </w:r>
    </w:p>
    <w:p w14:paraId="232AEDEC">
      <w:pPr>
        <w:adjustRightInd w:val="0"/>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二、我单位（本人）保证上述承诺事项的真实性。如所作信用承诺不实，自愿承担一切法律责任，接受政府采购监管部门和其他机关的审查和处罚。</w:t>
      </w:r>
    </w:p>
    <w:p w14:paraId="7715759D">
      <w:pPr>
        <w:adjustRightInd w:val="0"/>
        <w:snapToGrid w:val="0"/>
        <w:spacing w:line="500" w:lineRule="exact"/>
        <w:rPr>
          <w:rFonts w:ascii="宋体" w:hAnsi="宋体" w:cs="宋体"/>
          <w:color w:val="auto"/>
          <w:sz w:val="24"/>
          <w:szCs w:val="24"/>
          <w:highlight w:val="none"/>
        </w:rPr>
      </w:pPr>
    </w:p>
    <w:p w14:paraId="7D72935D">
      <w:pPr>
        <w:adjustRightInd w:val="0"/>
        <w:snapToGrid w:val="0"/>
        <w:spacing w:line="500" w:lineRule="exact"/>
        <w:rPr>
          <w:rFonts w:ascii="宋体" w:hAnsi="宋体" w:cs="宋体"/>
          <w:color w:val="auto"/>
          <w:sz w:val="24"/>
          <w:szCs w:val="24"/>
          <w:highlight w:val="none"/>
        </w:rPr>
      </w:pPr>
    </w:p>
    <w:p w14:paraId="73253D5C">
      <w:pPr>
        <w:adjustRightInd w:val="0"/>
        <w:snapToGrid w:val="0"/>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供应商（电子章）：</w:t>
      </w:r>
    </w:p>
    <w:p w14:paraId="024D90AB">
      <w:pPr>
        <w:adjustRightInd w:val="0"/>
        <w:snapToGrid w:val="0"/>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法定代表人或授权代表、负责人、本人 (签字或电子印章)：</w:t>
      </w:r>
    </w:p>
    <w:p w14:paraId="5C7D4254">
      <w:pPr>
        <w:adjustRightInd w:val="0"/>
        <w:snapToGrid w:val="0"/>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日期：   年  月  日</w:t>
      </w:r>
    </w:p>
    <w:p w14:paraId="4733A61A">
      <w:pPr>
        <w:adjustRightInd w:val="0"/>
        <w:snapToGrid w:val="0"/>
        <w:rPr>
          <w:rFonts w:ascii="宋体" w:hAnsi="宋体" w:cs="宋体"/>
          <w:color w:val="auto"/>
          <w:sz w:val="32"/>
          <w:szCs w:val="32"/>
          <w:highlight w:val="none"/>
        </w:rPr>
      </w:pPr>
    </w:p>
    <w:p w14:paraId="39F8E1F2">
      <w:pPr>
        <w:adjustRightInd w:val="0"/>
        <w:snapToGrid w:val="0"/>
        <w:spacing w:line="540" w:lineRule="exact"/>
        <w:rPr>
          <w:rFonts w:ascii="宋体" w:hAnsi="宋体" w:cs="宋体"/>
          <w:color w:val="auto"/>
          <w:sz w:val="32"/>
          <w:szCs w:val="32"/>
          <w:highlight w:val="none"/>
        </w:rPr>
      </w:pPr>
    </w:p>
    <w:p w14:paraId="2CC9D0DD">
      <w:pPr>
        <w:adjustRightInd w:val="0"/>
        <w:snapToGrid w:val="0"/>
        <w:spacing w:line="360" w:lineRule="exact"/>
        <w:jc w:val="left"/>
        <w:rPr>
          <w:rFonts w:ascii="宋体" w:hAnsi="宋体" w:cs="宋体"/>
          <w:color w:val="auto"/>
          <w:szCs w:val="24"/>
          <w:highlight w:val="none"/>
        </w:rPr>
      </w:pPr>
      <w:r>
        <w:rPr>
          <w:rFonts w:hint="eastAsia" w:ascii="宋体" w:hAnsi="宋体" w:cs="宋体"/>
          <w:color w:val="auto"/>
          <w:szCs w:val="24"/>
          <w:highlight w:val="none"/>
        </w:rPr>
        <w:t>注：1.供应商须在投标（响应）文件中按此模板提供承诺函，既未提供上述承诺函，又未提供对应事项证明材料的，视为未实质性响应采购文件要求，按无效投标（响应）处理。</w:t>
      </w:r>
    </w:p>
    <w:p w14:paraId="7316CB16">
      <w:pPr>
        <w:spacing w:line="480" w:lineRule="exact"/>
        <w:rPr>
          <w:rFonts w:hint="eastAsia" w:ascii="宋体" w:hAnsi="宋体" w:cs="宋体"/>
          <w:color w:val="auto"/>
          <w:szCs w:val="24"/>
          <w:highlight w:val="none"/>
        </w:rPr>
      </w:pPr>
      <w:r>
        <w:rPr>
          <w:rFonts w:hint="eastAsia" w:ascii="宋体" w:hAnsi="宋体" w:cs="宋体"/>
          <w:color w:val="auto"/>
          <w:szCs w:val="24"/>
          <w:highlight w:val="none"/>
        </w:rPr>
        <w:t>2.供应商的法定代表人或者授权代表的签字或盖章应真实、有效，如由授权代表签字或盖章的，应提供“法定代表人授权书”。</w:t>
      </w:r>
    </w:p>
    <w:p w14:paraId="3186C71E">
      <w:pPr>
        <w:snapToGrid w:val="0"/>
        <w:spacing w:line="500" w:lineRule="exact"/>
        <w:ind w:firstLine="480" w:firstLineChars="200"/>
        <w:rPr>
          <w:rFonts w:cs="宋体"/>
          <w:color w:val="auto"/>
          <w:sz w:val="24"/>
          <w:szCs w:val="24"/>
          <w:highlight w:val="none"/>
        </w:rPr>
      </w:pPr>
      <w:r>
        <w:rPr>
          <w:rFonts w:hint="eastAsia" w:cs="宋体"/>
          <w:color w:val="auto"/>
          <w:sz w:val="24"/>
          <w:szCs w:val="24"/>
          <w:highlight w:val="none"/>
        </w:rPr>
        <w:t>3.供应商在投标（响应）时，按照规定提供长治市政府采购供应商信用承诺函，无需再提交上述证明材料，对信用承诺内容的真实性、合法性、有效性负责。采购人有权在签订合同前要求中标人提供相关证明材料以核实中标（成交）人承诺事项的真实性。</w:t>
      </w:r>
    </w:p>
    <w:p w14:paraId="75FCC177">
      <w:pPr>
        <w:spacing w:line="480" w:lineRule="exact"/>
        <w:rPr>
          <w:rFonts w:hint="eastAsia" w:ascii="宋体" w:hAnsi="宋体" w:cs="宋体"/>
          <w:color w:val="auto"/>
          <w:szCs w:val="24"/>
          <w:highlight w:val="none"/>
        </w:rPr>
      </w:pPr>
    </w:p>
    <w:p w14:paraId="2F676579">
      <w:pPr>
        <w:overflowPunct w:val="0"/>
        <w:topLinePunct/>
        <w:autoSpaceDN w:val="0"/>
        <w:adjustRightInd w:val="0"/>
        <w:snapToGrid w:val="0"/>
        <w:ind w:firstLine="482"/>
        <w:jc w:val="center"/>
        <w:rPr>
          <w:b/>
          <w:snapToGrid w:val="0"/>
          <w:color w:val="auto"/>
          <w:kern w:val="0"/>
          <w:sz w:val="28"/>
          <w:szCs w:val="28"/>
          <w:highlight w:val="none"/>
        </w:rPr>
      </w:pPr>
      <w:r>
        <w:rPr>
          <w:rFonts w:hint="eastAsia" w:cs="宋体"/>
          <w:b/>
          <w:snapToGrid w:val="0"/>
          <w:color w:val="auto"/>
          <w:szCs w:val="28"/>
          <w:highlight w:val="none"/>
        </w:rPr>
        <w:br w:type="page"/>
      </w:r>
    </w:p>
    <w:p w14:paraId="4346580E">
      <w:pPr>
        <w:overflowPunct w:val="0"/>
        <w:topLinePunct/>
        <w:autoSpaceDN w:val="0"/>
        <w:adjustRightInd w:val="0"/>
        <w:snapToGrid w:val="0"/>
        <w:ind w:firstLine="0" w:firstLineChars="0"/>
        <w:jc w:val="center"/>
        <w:rPr>
          <w:b/>
          <w:snapToGrid w:val="0"/>
          <w:color w:val="auto"/>
          <w:kern w:val="0"/>
          <w:sz w:val="28"/>
          <w:szCs w:val="28"/>
          <w:highlight w:val="none"/>
        </w:rPr>
      </w:pPr>
      <w:r>
        <w:rPr>
          <w:b/>
          <w:snapToGrid w:val="0"/>
          <w:color w:val="auto"/>
          <w:kern w:val="0"/>
          <w:sz w:val="28"/>
          <w:szCs w:val="28"/>
          <w:highlight w:val="none"/>
        </w:rPr>
        <w:t>（</w:t>
      </w:r>
      <w:r>
        <w:rPr>
          <w:rFonts w:hint="eastAsia"/>
          <w:b/>
          <w:snapToGrid w:val="0"/>
          <w:color w:val="auto"/>
          <w:kern w:val="0"/>
          <w:sz w:val="28"/>
          <w:szCs w:val="28"/>
          <w:highlight w:val="none"/>
          <w:lang w:val="en-US" w:eastAsia="zh-CN"/>
        </w:rPr>
        <w:t>六</w:t>
      </w:r>
      <w:r>
        <w:rPr>
          <w:b/>
          <w:snapToGrid w:val="0"/>
          <w:color w:val="auto"/>
          <w:kern w:val="0"/>
          <w:sz w:val="28"/>
          <w:szCs w:val="28"/>
          <w:highlight w:val="none"/>
        </w:rPr>
        <w:t>）近年</w:t>
      </w:r>
      <w:r>
        <w:rPr>
          <w:rFonts w:hint="eastAsia"/>
          <w:b/>
          <w:snapToGrid w:val="0"/>
          <w:color w:val="auto"/>
          <w:kern w:val="0"/>
          <w:sz w:val="28"/>
          <w:szCs w:val="28"/>
          <w:highlight w:val="none"/>
          <w:lang w:val="en-US" w:eastAsia="zh-CN"/>
        </w:rPr>
        <w:t>同类型</w:t>
      </w:r>
      <w:r>
        <w:rPr>
          <w:b/>
          <w:snapToGrid w:val="0"/>
          <w:color w:val="auto"/>
          <w:kern w:val="0"/>
          <w:sz w:val="28"/>
          <w:szCs w:val="28"/>
          <w:highlight w:val="none"/>
        </w:rPr>
        <w:t>项目业绩</w:t>
      </w:r>
    </w:p>
    <w:p w14:paraId="058B7783">
      <w:pPr>
        <w:overflowPunct w:val="0"/>
        <w:topLinePunct/>
        <w:autoSpaceDN w:val="0"/>
        <w:adjustRightInd w:val="0"/>
        <w:snapToGrid w:val="0"/>
        <w:ind w:firstLine="480"/>
        <w:rPr>
          <w:snapToGrid w:val="0"/>
          <w:color w:val="auto"/>
          <w:kern w:val="0"/>
          <w:szCs w:val="21"/>
          <w:highlight w:val="none"/>
        </w:rPr>
      </w:pP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017FF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9" w:type="dxa"/>
            <w:vAlign w:val="center"/>
          </w:tcPr>
          <w:p w14:paraId="22FEC0AB">
            <w:pPr>
              <w:topLinePunct/>
              <w:spacing w:line="360" w:lineRule="auto"/>
              <w:ind w:left="0" w:leftChars="0" w:firstLine="0" w:firstLineChars="0"/>
              <w:jc w:val="center"/>
              <w:rPr>
                <w:rFonts w:ascii="宋体" w:hAnsi="宋体" w:cs="宋体"/>
                <w:bCs/>
                <w:color w:val="auto"/>
                <w:sz w:val="24"/>
                <w:szCs w:val="24"/>
                <w:highlight w:val="none"/>
              </w:rPr>
            </w:pPr>
            <w:r>
              <w:rPr>
                <w:rFonts w:hint="eastAsia" w:ascii="宋体" w:hAnsi="宋体" w:cs="宋体"/>
                <w:bCs/>
                <w:color w:val="auto"/>
                <w:sz w:val="24"/>
                <w:szCs w:val="24"/>
                <w:highlight w:val="none"/>
              </w:rPr>
              <w:t>项目名称</w:t>
            </w:r>
          </w:p>
        </w:tc>
        <w:tc>
          <w:tcPr>
            <w:tcW w:w="6253" w:type="dxa"/>
          </w:tcPr>
          <w:p w14:paraId="09BD09F3">
            <w:pPr>
              <w:topLinePunct/>
              <w:spacing w:line="360" w:lineRule="auto"/>
              <w:rPr>
                <w:rFonts w:ascii="宋体" w:hAnsi="宋体" w:cs="宋体"/>
                <w:bCs/>
                <w:color w:val="auto"/>
                <w:sz w:val="24"/>
                <w:szCs w:val="24"/>
                <w:highlight w:val="none"/>
              </w:rPr>
            </w:pPr>
          </w:p>
        </w:tc>
      </w:tr>
      <w:tr w14:paraId="363EF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9" w:type="dxa"/>
            <w:vAlign w:val="center"/>
          </w:tcPr>
          <w:p w14:paraId="66C9F7C1">
            <w:pPr>
              <w:topLinePunct/>
              <w:spacing w:line="360" w:lineRule="auto"/>
              <w:ind w:left="0" w:leftChars="0"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项目所在地</w:t>
            </w:r>
          </w:p>
        </w:tc>
        <w:tc>
          <w:tcPr>
            <w:tcW w:w="6253" w:type="dxa"/>
          </w:tcPr>
          <w:p w14:paraId="66B7465A">
            <w:pPr>
              <w:topLinePunct/>
              <w:spacing w:line="360" w:lineRule="auto"/>
              <w:rPr>
                <w:rFonts w:ascii="宋体" w:hAnsi="宋体" w:cs="宋体"/>
                <w:bCs/>
                <w:color w:val="auto"/>
                <w:sz w:val="24"/>
                <w:szCs w:val="24"/>
                <w:highlight w:val="none"/>
              </w:rPr>
            </w:pPr>
          </w:p>
        </w:tc>
      </w:tr>
      <w:tr w14:paraId="751E9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9" w:type="dxa"/>
            <w:vAlign w:val="center"/>
          </w:tcPr>
          <w:p w14:paraId="267F6A36">
            <w:pPr>
              <w:topLinePunct/>
              <w:spacing w:line="360" w:lineRule="auto"/>
              <w:ind w:left="0" w:leftChars="0"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发包人名称</w:t>
            </w:r>
          </w:p>
        </w:tc>
        <w:tc>
          <w:tcPr>
            <w:tcW w:w="6253" w:type="dxa"/>
          </w:tcPr>
          <w:p w14:paraId="5FC4D3D5">
            <w:pPr>
              <w:topLinePunct/>
              <w:spacing w:line="360" w:lineRule="auto"/>
              <w:rPr>
                <w:rFonts w:ascii="宋体" w:hAnsi="宋体" w:cs="宋体"/>
                <w:bCs/>
                <w:color w:val="auto"/>
                <w:sz w:val="24"/>
                <w:szCs w:val="24"/>
                <w:highlight w:val="none"/>
              </w:rPr>
            </w:pPr>
          </w:p>
        </w:tc>
      </w:tr>
      <w:tr w14:paraId="42124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9" w:type="dxa"/>
            <w:vAlign w:val="center"/>
          </w:tcPr>
          <w:p w14:paraId="182A5183">
            <w:pPr>
              <w:topLinePunct/>
              <w:spacing w:line="360" w:lineRule="auto"/>
              <w:ind w:left="0" w:leftChars="0"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发包人地址</w:t>
            </w:r>
          </w:p>
        </w:tc>
        <w:tc>
          <w:tcPr>
            <w:tcW w:w="6253" w:type="dxa"/>
          </w:tcPr>
          <w:p w14:paraId="44DFA1FE">
            <w:pPr>
              <w:topLinePunct/>
              <w:spacing w:line="360" w:lineRule="auto"/>
              <w:rPr>
                <w:rFonts w:ascii="宋体" w:hAnsi="宋体" w:cs="宋体"/>
                <w:bCs/>
                <w:color w:val="auto"/>
                <w:sz w:val="24"/>
                <w:szCs w:val="24"/>
                <w:highlight w:val="none"/>
              </w:rPr>
            </w:pPr>
          </w:p>
        </w:tc>
      </w:tr>
      <w:tr w14:paraId="7B399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9" w:type="dxa"/>
            <w:vAlign w:val="center"/>
          </w:tcPr>
          <w:p w14:paraId="13D2B050">
            <w:pPr>
              <w:topLinePunct/>
              <w:spacing w:line="360" w:lineRule="auto"/>
              <w:ind w:left="0" w:leftChars="0"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发包人电话</w:t>
            </w:r>
          </w:p>
        </w:tc>
        <w:tc>
          <w:tcPr>
            <w:tcW w:w="6253" w:type="dxa"/>
          </w:tcPr>
          <w:p w14:paraId="50B40EEB">
            <w:pPr>
              <w:topLinePunct/>
              <w:spacing w:line="360" w:lineRule="auto"/>
              <w:rPr>
                <w:rFonts w:ascii="宋体" w:hAnsi="宋体" w:cs="宋体"/>
                <w:bCs/>
                <w:color w:val="auto"/>
                <w:sz w:val="24"/>
                <w:szCs w:val="24"/>
                <w:highlight w:val="none"/>
              </w:rPr>
            </w:pPr>
          </w:p>
        </w:tc>
      </w:tr>
      <w:tr w14:paraId="42156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9" w:type="dxa"/>
            <w:vAlign w:val="center"/>
          </w:tcPr>
          <w:p w14:paraId="21CB18C2">
            <w:pPr>
              <w:topLinePunct/>
              <w:spacing w:line="360" w:lineRule="auto"/>
              <w:ind w:left="0" w:leftChars="0"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合同价格</w:t>
            </w:r>
          </w:p>
        </w:tc>
        <w:tc>
          <w:tcPr>
            <w:tcW w:w="6253" w:type="dxa"/>
          </w:tcPr>
          <w:p w14:paraId="73F4C09E">
            <w:pPr>
              <w:topLinePunct/>
              <w:spacing w:line="360" w:lineRule="auto"/>
              <w:rPr>
                <w:rFonts w:ascii="宋体" w:hAnsi="宋体" w:cs="宋体"/>
                <w:bCs/>
                <w:color w:val="auto"/>
                <w:sz w:val="24"/>
                <w:szCs w:val="24"/>
                <w:highlight w:val="none"/>
              </w:rPr>
            </w:pPr>
          </w:p>
        </w:tc>
      </w:tr>
      <w:tr w14:paraId="69188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9" w:type="dxa"/>
            <w:vAlign w:val="center"/>
          </w:tcPr>
          <w:p w14:paraId="0138F434">
            <w:pPr>
              <w:topLinePunct/>
              <w:spacing w:line="360" w:lineRule="auto"/>
              <w:ind w:left="0" w:leftChars="0"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承担的工作</w:t>
            </w:r>
          </w:p>
        </w:tc>
        <w:tc>
          <w:tcPr>
            <w:tcW w:w="6253" w:type="dxa"/>
          </w:tcPr>
          <w:p w14:paraId="6C3C44A6">
            <w:pPr>
              <w:topLinePunct/>
              <w:spacing w:line="360" w:lineRule="auto"/>
              <w:rPr>
                <w:rFonts w:ascii="宋体" w:hAnsi="宋体" w:cs="宋体"/>
                <w:bCs/>
                <w:color w:val="auto"/>
                <w:sz w:val="24"/>
                <w:szCs w:val="24"/>
                <w:highlight w:val="none"/>
              </w:rPr>
            </w:pPr>
          </w:p>
        </w:tc>
      </w:tr>
      <w:tr w14:paraId="390CD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9" w:type="dxa"/>
            <w:vAlign w:val="center"/>
          </w:tcPr>
          <w:p w14:paraId="20780ECC">
            <w:pPr>
              <w:topLinePunct/>
              <w:spacing w:line="360" w:lineRule="auto"/>
              <w:ind w:left="0" w:leftChars="0"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项目负责人</w:t>
            </w:r>
          </w:p>
        </w:tc>
        <w:tc>
          <w:tcPr>
            <w:tcW w:w="6253" w:type="dxa"/>
          </w:tcPr>
          <w:p w14:paraId="2202AE7C">
            <w:pPr>
              <w:topLinePunct/>
              <w:spacing w:line="360" w:lineRule="auto"/>
              <w:rPr>
                <w:rFonts w:ascii="宋体" w:hAnsi="宋体" w:cs="宋体"/>
                <w:bCs/>
                <w:color w:val="auto"/>
                <w:sz w:val="24"/>
                <w:szCs w:val="24"/>
                <w:highlight w:val="none"/>
              </w:rPr>
            </w:pPr>
          </w:p>
        </w:tc>
      </w:tr>
      <w:tr w14:paraId="6ECCE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9" w:type="dxa"/>
            <w:vAlign w:val="center"/>
          </w:tcPr>
          <w:p w14:paraId="434327C6">
            <w:pPr>
              <w:topLinePunct/>
              <w:spacing w:line="360" w:lineRule="auto"/>
              <w:ind w:left="0" w:leftChars="0"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项目描述</w:t>
            </w:r>
          </w:p>
        </w:tc>
        <w:tc>
          <w:tcPr>
            <w:tcW w:w="6253" w:type="dxa"/>
          </w:tcPr>
          <w:p w14:paraId="4CE8627A">
            <w:pPr>
              <w:topLinePunct/>
              <w:spacing w:line="360" w:lineRule="auto"/>
              <w:rPr>
                <w:rFonts w:ascii="宋体" w:hAnsi="宋体" w:cs="宋体"/>
                <w:bCs/>
                <w:color w:val="auto"/>
                <w:sz w:val="24"/>
                <w:szCs w:val="24"/>
                <w:highlight w:val="none"/>
              </w:rPr>
            </w:pPr>
          </w:p>
          <w:p w14:paraId="07CB6457">
            <w:pPr>
              <w:topLinePunct/>
              <w:spacing w:line="360" w:lineRule="auto"/>
              <w:rPr>
                <w:rFonts w:ascii="宋体" w:hAnsi="宋体" w:cs="宋体"/>
                <w:bCs/>
                <w:color w:val="auto"/>
                <w:sz w:val="24"/>
                <w:szCs w:val="24"/>
                <w:highlight w:val="none"/>
              </w:rPr>
            </w:pPr>
          </w:p>
          <w:p w14:paraId="30534494">
            <w:pPr>
              <w:topLinePunct/>
              <w:spacing w:line="360" w:lineRule="auto"/>
              <w:rPr>
                <w:rFonts w:ascii="宋体" w:hAnsi="宋体" w:cs="宋体"/>
                <w:bCs/>
                <w:color w:val="auto"/>
                <w:sz w:val="24"/>
                <w:szCs w:val="24"/>
                <w:highlight w:val="none"/>
              </w:rPr>
            </w:pPr>
          </w:p>
          <w:p w14:paraId="26572238">
            <w:pPr>
              <w:topLinePunct/>
              <w:spacing w:line="360" w:lineRule="auto"/>
              <w:rPr>
                <w:rFonts w:ascii="宋体" w:hAnsi="宋体" w:cs="宋体"/>
                <w:bCs/>
                <w:color w:val="auto"/>
                <w:sz w:val="24"/>
                <w:szCs w:val="24"/>
                <w:highlight w:val="none"/>
              </w:rPr>
            </w:pPr>
          </w:p>
          <w:p w14:paraId="7383BA41">
            <w:pPr>
              <w:topLinePunct/>
              <w:spacing w:line="360" w:lineRule="auto"/>
              <w:rPr>
                <w:rFonts w:ascii="宋体" w:hAnsi="宋体" w:cs="宋体"/>
                <w:bCs/>
                <w:color w:val="auto"/>
                <w:sz w:val="24"/>
                <w:szCs w:val="24"/>
                <w:highlight w:val="none"/>
              </w:rPr>
            </w:pPr>
          </w:p>
          <w:p w14:paraId="3D4ED65A">
            <w:pPr>
              <w:topLinePunct/>
              <w:spacing w:line="360" w:lineRule="auto"/>
              <w:rPr>
                <w:rFonts w:ascii="宋体" w:hAnsi="宋体" w:cs="宋体"/>
                <w:bCs/>
                <w:color w:val="auto"/>
                <w:sz w:val="24"/>
                <w:szCs w:val="24"/>
                <w:highlight w:val="none"/>
              </w:rPr>
            </w:pPr>
          </w:p>
          <w:p w14:paraId="67B08D98">
            <w:pPr>
              <w:topLinePunct/>
              <w:spacing w:line="360" w:lineRule="auto"/>
              <w:rPr>
                <w:rFonts w:ascii="宋体" w:hAnsi="宋体" w:cs="宋体"/>
                <w:bCs/>
                <w:color w:val="auto"/>
                <w:sz w:val="24"/>
                <w:szCs w:val="24"/>
                <w:highlight w:val="none"/>
              </w:rPr>
            </w:pPr>
          </w:p>
        </w:tc>
      </w:tr>
      <w:tr w14:paraId="5CDF0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9" w:type="dxa"/>
            <w:vAlign w:val="center"/>
          </w:tcPr>
          <w:p w14:paraId="09759F41">
            <w:pPr>
              <w:topLinePunct/>
              <w:spacing w:line="360" w:lineRule="auto"/>
              <w:ind w:left="0" w:leftChars="0"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备注</w:t>
            </w:r>
          </w:p>
        </w:tc>
        <w:tc>
          <w:tcPr>
            <w:tcW w:w="6253" w:type="dxa"/>
          </w:tcPr>
          <w:p w14:paraId="64AF6121">
            <w:pPr>
              <w:topLinePunct/>
              <w:spacing w:line="360" w:lineRule="auto"/>
              <w:rPr>
                <w:rFonts w:ascii="宋体" w:hAnsi="宋体" w:cs="宋体"/>
                <w:bCs/>
                <w:color w:val="auto"/>
                <w:sz w:val="24"/>
                <w:szCs w:val="24"/>
                <w:highlight w:val="none"/>
              </w:rPr>
            </w:pPr>
          </w:p>
        </w:tc>
      </w:tr>
    </w:tbl>
    <w:p w14:paraId="035FF0B8">
      <w:pPr>
        <w:overflowPunct w:val="0"/>
        <w:topLinePunct/>
        <w:autoSpaceDN w:val="0"/>
        <w:adjustRightInd w:val="0"/>
        <w:snapToGrid w:val="0"/>
        <w:ind w:firstLine="0" w:firstLineChars="0"/>
        <w:rPr>
          <w:rFonts w:hint="eastAsia" w:ascii="宋体" w:hAnsi="宋体" w:cs="宋体"/>
          <w:b/>
          <w:color w:val="auto"/>
          <w:sz w:val="24"/>
          <w:szCs w:val="24"/>
          <w:highlight w:val="none"/>
        </w:rPr>
      </w:pPr>
    </w:p>
    <w:p w14:paraId="1A0DDBF7">
      <w:pPr>
        <w:overflowPunct w:val="0"/>
        <w:topLinePunct/>
        <w:autoSpaceDN w:val="0"/>
        <w:adjustRightInd w:val="0"/>
        <w:snapToGrid w:val="0"/>
        <w:ind w:firstLine="241" w:firstLineChars="100"/>
        <w:rPr>
          <w:rFonts w:hint="eastAsia" w:ascii="宋体" w:hAnsi="宋体" w:cs="宋体"/>
          <w:b/>
          <w:color w:val="auto"/>
          <w:sz w:val="24"/>
          <w:szCs w:val="24"/>
          <w:highlight w:val="none"/>
          <w:lang w:eastAsia="zh-CN"/>
        </w:rPr>
      </w:pPr>
      <w:r>
        <w:rPr>
          <w:rFonts w:hint="eastAsia" w:ascii="宋体" w:hAnsi="宋体" w:cs="宋体"/>
          <w:b/>
          <w:color w:val="auto"/>
          <w:sz w:val="24"/>
          <w:szCs w:val="24"/>
          <w:highlight w:val="none"/>
        </w:rPr>
        <w:t>备注：</w:t>
      </w:r>
      <w:r>
        <w:rPr>
          <w:rFonts w:hint="eastAsia" w:ascii="宋体" w:hAnsi="宋体" w:cs="宋体"/>
          <w:b/>
          <w:color w:val="auto"/>
          <w:sz w:val="24"/>
          <w:szCs w:val="24"/>
          <w:highlight w:val="none"/>
          <w:lang w:val="en-US" w:eastAsia="zh-CN"/>
        </w:rPr>
        <w:t>1.</w:t>
      </w:r>
      <w:r>
        <w:rPr>
          <w:rFonts w:hint="eastAsia" w:ascii="宋体" w:hAnsi="宋体" w:cs="宋体"/>
          <w:b/>
          <w:color w:val="auto"/>
          <w:sz w:val="24"/>
          <w:szCs w:val="24"/>
          <w:highlight w:val="none"/>
        </w:rPr>
        <w:t>本表后附近</w:t>
      </w:r>
      <w:r>
        <w:rPr>
          <w:rFonts w:hint="eastAsia" w:cs="宋体"/>
          <w:b/>
          <w:color w:val="auto"/>
          <w:sz w:val="24"/>
          <w:szCs w:val="24"/>
          <w:highlight w:val="none"/>
          <w:lang w:val="en-US" w:eastAsia="zh-CN"/>
        </w:rPr>
        <w:t>三</w:t>
      </w:r>
      <w:r>
        <w:rPr>
          <w:rFonts w:hint="eastAsia" w:ascii="宋体" w:hAnsi="宋体" w:cs="宋体"/>
          <w:b/>
          <w:color w:val="auto"/>
          <w:sz w:val="24"/>
          <w:szCs w:val="24"/>
          <w:highlight w:val="none"/>
        </w:rPr>
        <w:t>年承担过</w:t>
      </w:r>
      <w:r>
        <w:rPr>
          <w:rFonts w:hint="eastAsia" w:ascii="宋体" w:hAnsi="宋体" w:cs="宋体"/>
          <w:b/>
          <w:color w:val="auto"/>
          <w:sz w:val="24"/>
          <w:szCs w:val="24"/>
          <w:highlight w:val="none"/>
          <w:lang w:val="en-US" w:eastAsia="zh-CN"/>
        </w:rPr>
        <w:t>同类型</w:t>
      </w:r>
      <w:r>
        <w:rPr>
          <w:rFonts w:hint="eastAsia" w:ascii="宋体" w:hAnsi="宋体" w:cs="宋体"/>
          <w:b/>
          <w:color w:val="auto"/>
          <w:sz w:val="24"/>
          <w:szCs w:val="24"/>
          <w:highlight w:val="none"/>
        </w:rPr>
        <w:t>项目业绩的证明材料</w:t>
      </w:r>
      <w:r>
        <w:rPr>
          <w:rFonts w:hint="eastAsia" w:ascii="宋体" w:hAnsi="宋体" w:cs="宋体"/>
          <w:b/>
          <w:color w:val="auto"/>
          <w:sz w:val="24"/>
          <w:szCs w:val="24"/>
          <w:highlight w:val="none"/>
          <w:lang w:eastAsia="zh-CN"/>
        </w:rPr>
        <w:t>。</w:t>
      </w:r>
    </w:p>
    <w:p w14:paraId="232C5130">
      <w:pPr>
        <w:pStyle w:val="25"/>
        <w:ind w:firstLine="964" w:firstLineChars="400"/>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2.每张表格只填写一个项目，并标明序号。</w:t>
      </w:r>
    </w:p>
    <w:p w14:paraId="0D61AE6E">
      <w:pPr>
        <w:overflowPunct w:val="0"/>
        <w:topLinePunct/>
        <w:autoSpaceDN w:val="0"/>
        <w:adjustRightInd w:val="0"/>
        <w:snapToGrid w:val="0"/>
        <w:ind w:left="0" w:leftChars="0" w:firstLine="0" w:firstLineChars="0"/>
        <w:rPr>
          <w:b/>
          <w:snapToGrid w:val="0"/>
          <w:color w:val="auto"/>
          <w:kern w:val="0"/>
          <w:sz w:val="28"/>
          <w:szCs w:val="28"/>
          <w:highlight w:val="none"/>
        </w:rPr>
      </w:pPr>
      <w:r>
        <w:rPr>
          <w:b/>
          <w:snapToGrid w:val="0"/>
          <w:color w:val="auto"/>
          <w:kern w:val="0"/>
          <w:sz w:val="28"/>
          <w:szCs w:val="28"/>
          <w:highlight w:val="none"/>
        </w:rPr>
        <w:br w:type="page"/>
      </w:r>
      <w:r>
        <w:rPr>
          <w:b/>
          <w:snapToGrid w:val="0"/>
          <w:color w:val="auto"/>
          <w:kern w:val="0"/>
          <w:sz w:val="28"/>
          <w:szCs w:val="28"/>
          <w:highlight w:val="none"/>
        </w:rPr>
        <w:t>（</w:t>
      </w:r>
      <w:r>
        <w:rPr>
          <w:rFonts w:hint="eastAsia"/>
          <w:b/>
          <w:snapToGrid w:val="0"/>
          <w:color w:val="auto"/>
          <w:kern w:val="0"/>
          <w:sz w:val="28"/>
          <w:szCs w:val="28"/>
          <w:highlight w:val="none"/>
          <w:lang w:val="en-US" w:eastAsia="zh-CN"/>
        </w:rPr>
        <w:t>七</w:t>
      </w:r>
      <w:r>
        <w:rPr>
          <w:b/>
          <w:snapToGrid w:val="0"/>
          <w:color w:val="auto"/>
          <w:kern w:val="0"/>
          <w:sz w:val="28"/>
          <w:szCs w:val="28"/>
          <w:highlight w:val="none"/>
        </w:rPr>
        <w:t>）基本户开户许可证或基本存款账户信息、</w:t>
      </w:r>
      <w:r>
        <w:rPr>
          <w:rFonts w:hint="eastAsia"/>
          <w:b/>
          <w:snapToGrid w:val="0"/>
          <w:color w:val="auto"/>
          <w:kern w:val="0"/>
          <w:sz w:val="28"/>
          <w:szCs w:val="28"/>
          <w:highlight w:val="none"/>
        </w:rPr>
        <w:t>投标</w:t>
      </w:r>
      <w:r>
        <w:rPr>
          <w:b/>
          <w:snapToGrid w:val="0"/>
          <w:color w:val="auto"/>
          <w:kern w:val="0"/>
          <w:sz w:val="28"/>
          <w:szCs w:val="28"/>
          <w:highlight w:val="none"/>
        </w:rPr>
        <w:t>保证金</w:t>
      </w:r>
    </w:p>
    <w:p w14:paraId="5A14416F">
      <w:pPr>
        <w:overflowPunct w:val="0"/>
        <w:topLinePunct/>
        <w:autoSpaceDN w:val="0"/>
        <w:adjustRightInd w:val="0"/>
        <w:snapToGrid w:val="0"/>
        <w:ind w:firstLine="562"/>
        <w:jc w:val="center"/>
        <w:rPr>
          <w:rFonts w:hint="eastAsia" w:eastAsia="宋体"/>
          <w:b/>
          <w:snapToGrid w:val="0"/>
          <w:color w:val="auto"/>
          <w:kern w:val="0"/>
          <w:sz w:val="28"/>
          <w:szCs w:val="28"/>
          <w:highlight w:val="none"/>
          <w:lang w:eastAsia="zh-CN"/>
        </w:rPr>
      </w:pPr>
      <w:r>
        <w:rPr>
          <w:b/>
          <w:snapToGrid w:val="0"/>
          <w:color w:val="auto"/>
          <w:kern w:val="0"/>
          <w:sz w:val="28"/>
          <w:szCs w:val="28"/>
          <w:highlight w:val="none"/>
        </w:rPr>
        <w:br w:type="page"/>
      </w:r>
      <w:r>
        <w:rPr>
          <w:b/>
          <w:snapToGrid w:val="0"/>
          <w:color w:val="auto"/>
          <w:kern w:val="0"/>
          <w:sz w:val="28"/>
          <w:szCs w:val="28"/>
          <w:highlight w:val="none"/>
        </w:rPr>
        <w:t>（</w:t>
      </w:r>
      <w:r>
        <w:rPr>
          <w:rFonts w:hint="eastAsia"/>
          <w:b/>
          <w:snapToGrid w:val="0"/>
          <w:color w:val="auto"/>
          <w:kern w:val="0"/>
          <w:sz w:val="28"/>
          <w:szCs w:val="28"/>
          <w:highlight w:val="none"/>
          <w:lang w:val="en-US" w:eastAsia="zh-CN"/>
        </w:rPr>
        <w:t>八</w:t>
      </w:r>
      <w:r>
        <w:rPr>
          <w:b/>
          <w:snapToGrid w:val="0"/>
          <w:color w:val="auto"/>
          <w:kern w:val="0"/>
          <w:sz w:val="28"/>
          <w:szCs w:val="28"/>
          <w:highlight w:val="none"/>
        </w:rPr>
        <w:t>）</w:t>
      </w:r>
      <w:r>
        <w:rPr>
          <w:rFonts w:hint="eastAsia"/>
          <w:b/>
          <w:snapToGrid w:val="0"/>
          <w:color w:val="auto"/>
          <w:kern w:val="0"/>
          <w:sz w:val="28"/>
          <w:szCs w:val="28"/>
          <w:highlight w:val="none"/>
        </w:rPr>
        <w:t>本项目特定资格的证明文件</w:t>
      </w:r>
      <w:r>
        <w:rPr>
          <w:rFonts w:hint="eastAsia"/>
          <w:b/>
          <w:snapToGrid w:val="0"/>
          <w:color w:val="auto"/>
          <w:kern w:val="0"/>
          <w:sz w:val="28"/>
          <w:szCs w:val="28"/>
          <w:highlight w:val="none"/>
          <w:lang w:eastAsia="zh-CN"/>
        </w:rPr>
        <w:t>（</w:t>
      </w:r>
      <w:r>
        <w:rPr>
          <w:rFonts w:hint="eastAsia"/>
          <w:b/>
          <w:snapToGrid w:val="0"/>
          <w:color w:val="auto"/>
          <w:kern w:val="0"/>
          <w:sz w:val="28"/>
          <w:szCs w:val="28"/>
          <w:highlight w:val="none"/>
          <w:lang w:val="en-US" w:eastAsia="zh-CN"/>
        </w:rPr>
        <w:t>如有</w:t>
      </w:r>
      <w:r>
        <w:rPr>
          <w:rFonts w:hint="eastAsia"/>
          <w:b/>
          <w:snapToGrid w:val="0"/>
          <w:color w:val="auto"/>
          <w:kern w:val="0"/>
          <w:sz w:val="28"/>
          <w:szCs w:val="28"/>
          <w:highlight w:val="none"/>
          <w:lang w:eastAsia="zh-CN"/>
        </w:rPr>
        <w:t>）</w:t>
      </w:r>
    </w:p>
    <w:p w14:paraId="03D77657">
      <w:pPr>
        <w:ind w:firstLine="480"/>
        <w:rPr>
          <w:snapToGrid w:val="0"/>
          <w:color w:val="auto"/>
          <w:highlight w:val="none"/>
        </w:rPr>
      </w:pPr>
      <w:r>
        <w:rPr>
          <w:snapToGrid w:val="0"/>
          <w:color w:val="auto"/>
          <w:highlight w:val="none"/>
        </w:rPr>
        <w:br w:type="page"/>
      </w:r>
    </w:p>
    <w:p w14:paraId="5B05DC0B">
      <w:pPr>
        <w:overflowPunct w:val="0"/>
        <w:topLinePunct/>
        <w:autoSpaceDN w:val="0"/>
        <w:adjustRightInd w:val="0"/>
        <w:snapToGrid w:val="0"/>
        <w:ind w:firstLine="562"/>
        <w:jc w:val="center"/>
        <w:rPr>
          <w:b/>
          <w:snapToGrid w:val="0"/>
          <w:color w:val="auto"/>
          <w:kern w:val="0"/>
          <w:sz w:val="28"/>
          <w:szCs w:val="28"/>
          <w:highlight w:val="none"/>
        </w:rPr>
      </w:pPr>
      <w:r>
        <w:rPr>
          <w:b/>
          <w:snapToGrid w:val="0"/>
          <w:color w:val="auto"/>
          <w:kern w:val="0"/>
          <w:sz w:val="28"/>
          <w:szCs w:val="28"/>
          <w:highlight w:val="none"/>
        </w:rPr>
        <w:t>（</w:t>
      </w:r>
      <w:r>
        <w:rPr>
          <w:rFonts w:hint="eastAsia"/>
          <w:b/>
          <w:snapToGrid w:val="0"/>
          <w:color w:val="auto"/>
          <w:kern w:val="0"/>
          <w:sz w:val="28"/>
          <w:szCs w:val="28"/>
          <w:highlight w:val="none"/>
          <w:lang w:val="en-US" w:eastAsia="zh-CN"/>
        </w:rPr>
        <w:t>九</w:t>
      </w:r>
      <w:r>
        <w:rPr>
          <w:b/>
          <w:snapToGrid w:val="0"/>
          <w:color w:val="auto"/>
          <w:kern w:val="0"/>
          <w:sz w:val="28"/>
          <w:szCs w:val="28"/>
          <w:highlight w:val="none"/>
        </w:rPr>
        <w:t>）</w:t>
      </w:r>
      <w:r>
        <w:rPr>
          <w:rFonts w:hint="eastAsia"/>
          <w:b/>
          <w:snapToGrid w:val="0"/>
          <w:color w:val="auto"/>
          <w:kern w:val="0"/>
          <w:sz w:val="28"/>
          <w:szCs w:val="28"/>
          <w:highlight w:val="none"/>
          <w:lang w:val="en-US" w:eastAsia="zh-CN"/>
        </w:rPr>
        <w:t>投标货物</w:t>
      </w:r>
      <w:r>
        <w:rPr>
          <w:b/>
          <w:snapToGrid w:val="0"/>
          <w:color w:val="auto"/>
          <w:kern w:val="0"/>
          <w:sz w:val="28"/>
          <w:szCs w:val="28"/>
          <w:highlight w:val="none"/>
        </w:rPr>
        <w:t>商务偏离表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2698"/>
        <w:gridCol w:w="2775"/>
        <w:gridCol w:w="2040"/>
      </w:tblGrid>
      <w:tr w14:paraId="6FDD0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245" w:type="dxa"/>
            <w:noWrap w:val="0"/>
            <w:vAlign w:val="center"/>
          </w:tcPr>
          <w:p w14:paraId="0D9EE9F5">
            <w:pPr>
              <w:ind w:left="0" w:leftChars="0" w:firstLine="240" w:firstLineChars="1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698" w:type="dxa"/>
            <w:noWrap w:val="0"/>
            <w:vAlign w:val="center"/>
          </w:tcPr>
          <w:p w14:paraId="483EEC50">
            <w:pPr>
              <w:ind w:left="0" w:leftChars="0" w:firstLine="240" w:firstLineChars="100"/>
              <w:jc w:val="both"/>
              <w:rPr>
                <w:rFonts w:hint="eastAsia" w:ascii="宋体" w:hAnsi="宋体" w:eastAsia="宋体" w:cs="宋体"/>
                <w:color w:val="auto"/>
                <w:sz w:val="24"/>
                <w:highlight w:val="none"/>
              </w:rPr>
            </w:pPr>
            <w:r>
              <w:rPr>
                <w:rFonts w:hint="eastAsia" w:ascii="宋体" w:hAnsi="宋体" w:cs="宋体"/>
                <w:color w:val="auto"/>
                <w:sz w:val="24"/>
                <w:highlight w:val="none"/>
              </w:rPr>
              <w:t>招标文件商务要求</w:t>
            </w:r>
          </w:p>
        </w:tc>
        <w:tc>
          <w:tcPr>
            <w:tcW w:w="2775" w:type="dxa"/>
            <w:noWrap w:val="0"/>
            <w:vAlign w:val="center"/>
          </w:tcPr>
          <w:p w14:paraId="043B4975">
            <w:pPr>
              <w:ind w:left="0" w:leftChars="0" w:firstLine="240" w:firstLineChars="100"/>
              <w:jc w:val="both"/>
              <w:rPr>
                <w:rFonts w:hint="eastAsia" w:ascii="宋体" w:hAnsi="宋体" w:eastAsia="宋体" w:cs="宋体"/>
                <w:color w:val="auto"/>
                <w:sz w:val="24"/>
                <w:highlight w:val="none"/>
              </w:rPr>
            </w:pPr>
            <w:r>
              <w:rPr>
                <w:rFonts w:hint="eastAsia" w:ascii="宋体" w:hAnsi="宋体" w:cs="宋体"/>
                <w:color w:val="auto"/>
                <w:sz w:val="24"/>
                <w:highlight w:val="none"/>
              </w:rPr>
              <w:t>投标文件对应标准</w:t>
            </w:r>
          </w:p>
        </w:tc>
        <w:tc>
          <w:tcPr>
            <w:tcW w:w="2040" w:type="dxa"/>
            <w:noWrap w:val="0"/>
            <w:vAlign w:val="center"/>
          </w:tcPr>
          <w:p w14:paraId="0456638D">
            <w:pPr>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偏离</w:t>
            </w:r>
            <w:r>
              <w:rPr>
                <w:rFonts w:hint="eastAsia" w:ascii="宋体" w:hAnsi="宋体" w:eastAsia="宋体" w:cs="宋体"/>
                <w:color w:val="auto"/>
                <w:sz w:val="24"/>
                <w:highlight w:val="none"/>
              </w:rPr>
              <w:t>说明</w:t>
            </w:r>
          </w:p>
        </w:tc>
      </w:tr>
      <w:tr w14:paraId="247BB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245" w:type="dxa"/>
            <w:noWrap w:val="0"/>
            <w:vAlign w:val="center"/>
          </w:tcPr>
          <w:p w14:paraId="2D48FEDE">
            <w:pPr>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698" w:type="dxa"/>
            <w:noWrap w:val="0"/>
            <w:vAlign w:val="center"/>
          </w:tcPr>
          <w:p w14:paraId="479952B6">
            <w:pPr>
              <w:jc w:val="both"/>
              <w:rPr>
                <w:rFonts w:hint="eastAsia" w:ascii="宋体" w:hAnsi="宋体" w:eastAsia="宋体" w:cs="宋体"/>
                <w:b w:val="0"/>
                <w:bCs w:val="0"/>
                <w:color w:val="auto"/>
                <w:kern w:val="0"/>
                <w:sz w:val="24"/>
                <w:szCs w:val="24"/>
                <w:highlight w:val="none"/>
                <w:lang w:val="en-US" w:eastAsia="zh-CN"/>
              </w:rPr>
            </w:pPr>
          </w:p>
        </w:tc>
        <w:tc>
          <w:tcPr>
            <w:tcW w:w="2775" w:type="dxa"/>
            <w:noWrap w:val="0"/>
            <w:vAlign w:val="center"/>
          </w:tcPr>
          <w:p w14:paraId="633C86E7">
            <w:pPr>
              <w:jc w:val="both"/>
              <w:rPr>
                <w:rFonts w:hint="eastAsia" w:ascii="宋体" w:hAnsi="宋体" w:eastAsia="宋体" w:cs="宋体"/>
                <w:color w:val="auto"/>
                <w:sz w:val="24"/>
                <w:highlight w:val="none"/>
              </w:rPr>
            </w:pPr>
          </w:p>
        </w:tc>
        <w:tc>
          <w:tcPr>
            <w:tcW w:w="2040" w:type="dxa"/>
            <w:noWrap w:val="0"/>
            <w:vAlign w:val="center"/>
          </w:tcPr>
          <w:p w14:paraId="4BBAB29E">
            <w:pPr>
              <w:jc w:val="both"/>
              <w:rPr>
                <w:rFonts w:hint="eastAsia" w:ascii="宋体" w:hAnsi="宋体" w:eastAsia="宋体" w:cs="宋体"/>
                <w:color w:val="auto"/>
                <w:sz w:val="24"/>
                <w:highlight w:val="none"/>
              </w:rPr>
            </w:pPr>
          </w:p>
        </w:tc>
      </w:tr>
      <w:tr w14:paraId="26B8E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245" w:type="dxa"/>
            <w:noWrap w:val="0"/>
            <w:vAlign w:val="center"/>
          </w:tcPr>
          <w:p w14:paraId="69E8847E">
            <w:pPr>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2698" w:type="dxa"/>
            <w:noWrap w:val="0"/>
            <w:vAlign w:val="center"/>
          </w:tcPr>
          <w:p w14:paraId="5FABAAE8">
            <w:pPr>
              <w:jc w:val="both"/>
              <w:rPr>
                <w:rFonts w:hint="default" w:ascii="宋体" w:hAnsi="宋体" w:eastAsia="宋体" w:cs="宋体"/>
                <w:b w:val="0"/>
                <w:bCs w:val="0"/>
                <w:color w:val="auto"/>
                <w:kern w:val="0"/>
                <w:sz w:val="24"/>
                <w:szCs w:val="24"/>
                <w:highlight w:val="none"/>
                <w:lang w:val="en-US" w:eastAsia="zh-CN"/>
              </w:rPr>
            </w:pPr>
          </w:p>
        </w:tc>
        <w:tc>
          <w:tcPr>
            <w:tcW w:w="2775" w:type="dxa"/>
            <w:noWrap w:val="0"/>
            <w:vAlign w:val="center"/>
          </w:tcPr>
          <w:p w14:paraId="2DF229CE">
            <w:pPr>
              <w:jc w:val="both"/>
              <w:rPr>
                <w:rFonts w:hint="eastAsia" w:ascii="宋体" w:hAnsi="宋体" w:eastAsia="宋体" w:cs="宋体"/>
                <w:color w:val="auto"/>
                <w:sz w:val="24"/>
                <w:highlight w:val="none"/>
              </w:rPr>
            </w:pPr>
          </w:p>
        </w:tc>
        <w:tc>
          <w:tcPr>
            <w:tcW w:w="2040" w:type="dxa"/>
            <w:noWrap w:val="0"/>
            <w:vAlign w:val="center"/>
          </w:tcPr>
          <w:p w14:paraId="6999192B">
            <w:pPr>
              <w:jc w:val="both"/>
              <w:rPr>
                <w:rFonts w:hint="eastAsia" w:ascii="宋体" w:hAnsi="宋体" w:eastAsia="宋体" w:cs="宋体"/>
                <w:color w:val="auto"/>
                <w:sz w:val="24"/>
                <w:highlight w:val="none"/>
              </w:rPr>
            </w:pPr>
          </w:p>
        </w:tc>
      </w:tr>
      <w:tr w14:paraId="79798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245" w:type="dxa"/>
            <w:noWrap w:val="0"/>
            <w:vAlign w:val="center"/>
          </w:tcPr>
          <w:p w14:paraId="228D8495">
            <w:pPr>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2698" w:type="dxa"/>
            <w:noWrap w:val="0"/>
            <w:vAlign w:val="center"/>
          </w:tcPr>
          <w:p w14:paraId="27845EEC">
            <w:pPr>
              <w:jc w:val="both"/>
              <w:rPr>
                <w:rFonts w:hint="eastAsia" w:ascii="宋体" w:hAnsi="宋体" w:eastAsia="宋体" w:cs="宋体"/>
                <w:b w:val="0"/>
                <w:bCs w:val="0"/>
                <w:color w:val="auto"/>
                <w:kern w:val="0"/>
                <w:sz w:val="24"/>
                <w:szCs w:val="24"/>
                <w:highlight w:val="none"/>
                <w:lang w:val="en-US" w:eastAsia="zh-CN"/>
              </w:rPr>
            </w:pPr>
          </w:p>
        </w:tc>
        <w:tc>
          <w:tcPr>
            <w:tcW w:w="2775" w:type="dxa"/>
            <w:noWrap w:val="0"/>
            <w:vAlign w:val="center"/>
          </w:tcPr>
          <w:p w14:paraId="5FF7DC45">
            <w:pPr>
              <w:jc w:val="both"/>
              <w:rPr>
                <w:rFonts w:hint="eastAsia" w:ascii="宋体" w:hAnsi="宋体" w:eastAsia="宋体" w:cs="宋体"/>
                <w:color w:val="auto"/>
                <w:sz w:val="24"/>
                <w:highlight w:val="none"/>
              </w:rPr>
            </w:pPr>
          </w:p>
        </w:tc>
        <w:tc>
          <w:tcPr>
            <w:tcW w:w="2040" w:type="dxa"/>
            <w:noWrap w:val="0"/>
            <w:vAlign w:val="center"/>
          </w:tcPr>
          <w:p w14:paraId="2C689262">
            <w:pPr>
              <w:jc w:val="both"/>
              <w:rPr>
                <w:rFonts w:hint="eastAsia" w:ascii="宋体" w:hAnsi="宋体" w:eastAsia="宋体" w:cs="宋体"/>
                <w:color w:val="auto"/>
                <w:sz w:val="24"/>
                <w:highlight w:val="none"/>
              </w:rPr>
            </w:pPr>
          </w:p>
        </w:tc>
      </w:tr>
      <w:tr w14:paraId="717C5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245" w:type="dxa"/>
            <w:noWrap w:val="0"/>
            <w:vAlign w:val="center"/>
          </w:tcPr>
          <w:p w14:paraId="1BC3D242">
            <w:pPr>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2698" w:type="dxa"/>
            <w:noWrap w:val="0"/>
            <w:vAlign w:val="center"/>
          </w:tcPr>
          <w:p w14:paraId="117FAB70">
            <w:pPr>
              <w:jc w:val="both"/>
              <w:rPr>
                <w:rFonts w:hint="eastAsia" w:ascii="宋体" w:hAnsi="宋体" w:eastAsia="宋体" w:cs="宋体"/>
                <w:b w:val="0"/>
                <w:bCs w:val="0"/>
                <w:color w:val="auto"/>
                <w:kern w:val="0"/>
                <w:sz w:val="24"/>
                <w:szCs w:val="24"/>
                <w:highlight w:val="none"/>
                <w:lang w:val="en-US" w:eastAsia="zh-CN"/>
              </w:rPr>
            </w:pPr>
          </w:p>
        </w:tc>
        <w:tc>
          <w:tcPr>
            <w:tcW w:w="2775" w:type="dxa"/>
            <w:noWrap w:val="0"/>
            <w:vAlign w:val="center"/>
          </w:tcPr>
          <w:p w14:paraId="776CD00B">
            <w:pPr>
              <w:jc w:val="both"/>
              <w:rPr>
                <w:rFonts w:hint="eastAsia" w:ascii="宋体" w:hAnsi="宋体" w:eastAsia="宋体" w:cs="宋体"/>
                <w:color w:val="auto"/>
                <w:sz w:val="24"/>
                <w:highlight w:val="none"/>
              </w:rPr>
            </w:pPr>
          </w:p>
        </w:tc>
        <w:tc>
          <w:tcPr>
            <w:tcW w:w="2040" w:type="dxa"/>
            <w:noWrap w:val="0"/>
            <w:vAlign w:val="center"/>
          </w:tcPr>
          <w:p w14:paraId="6F77A6BD">
            <w:pPr>
              <w:jc w:val="both"/>
              <w:rPr>
                <w:rFonts w:hint="eastAsia" w:ascii="宋体" w:hAnsi="宋体" w:eastAsia="宋体" w:cs="宋体"/>
                <w:color w:val="auto"/>
                <w:sz w:val="24"/>
                <w:highlight w:val="none"/>
              </w:rPr>
            </w:pPr>
          </w:p>
        </w:tc>
      </w:tr>
      <w:tr w14:paraId="77C6B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245" w:type="dxa"/>
            <w:noWrap w:val="0"/>
            <w:vAlign w:val="center"/>
          </w:tcPr>
          <w:p w14:paraId="4CDBED9E">
            <w:pPr>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2698" w:type="dxa"/>
            <w:noWrap w:val="0"/>
            <w:vAlign w:val="center"/>
          </w:tcPr>
          <w:p w14:paraId="6E04328D">
            <w:pPr>
              <w:jc w:val="both"/>
              <w:rPr>
                <w:rFonts w:hint="eastAsia" w:ascii="宋体" w:hAnsi="宋体" w:eastAsia="宋体" w:cs="宋体"/>
                <w:b w:val="0"/>
                <w:bCs w:val="0"/>
                <w:color w:val="auto"/>
                <w:kern w:val="0"/>
                <w:sz w:val="24"/>
                <w:szCs w:val="24"/>
                <w:highlight w:val="none"/>
                <w:lang w:val="en-US" w:eastAsia="zh-CN"/>
              </w:rPr>
            </w:pPr>
          </w:p>
        </w:tc>
        <w:tc>
          <w:tcPr>
            <w:tcW w:w="2775" w:type="dxa"/>
            <w:noWrap w:val="0"/>
            <w:vAlign w:val="center"/>
          </w:tcPr>
          <w:p w14:paraId="0697E453">
            <w:pPr>
              <w:jc w:val="both"/>
              <w:rPr>
                <w:rFonts w:hint="eastAsia" w:ascii="宋体" w:hAnsi="宋体" w:eastAsia="宋体" w:cs="宋体"/>
                <w:color w:val="auto"/>
                <w:sz w:val="24"/>
                <w:highlight w:val="none"/>
              </w:rPr>
            </w:pPr>
          </w:p>
        </w:tc>
        <w:tc>
          <w:tcPr>
            <w:tcW w:w="2040" w:type="dxa"/>
            <w:noWrap w:val="0"/>
            <w:vAlign w:val="center"/>
          </w:tcPr>
          <w:p w14:paraId="03E92F2B">
            <w:pPr>
              <w:jc w:val="both"/>
              <w:rPr>
                <w:rFonts w:hint="eastAsia" w:ascii="宋体" w:hAnsi="宋体" w:eastAsia="宋体" w:cs="宋体"/>
                <w:color w:val="auto"/>
                <w:sz w:val="24"/>
                <w:highlight w:val="none"/>
              </w:rPr>
            </w:pPr>
          </w:p>
        </w:tc>
      </w:tr>
      <w:tr w14:paraId="70441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245" w:type="dxa"/>
            <w:noWrap w:val="0"/>
            <w:vAlign w:val="center"/>
          </w:tcPr>
          <w:p w14:paraId="78B48585">
            <w:pPr>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2698" w:type="dxa"/>
            <w:noWrap w:val="0"/>
            <w:vAlign w:val="center"/>
          </w:tcPr>
          <w:p w14:paraId="52A8B7F6">
            <w:pPr>
              <w:jc w:val="both"/>
              <w:rPr>
                <w:rFonts w:hint="eastAsia" w:ascii="宋体" w:hAnsi="宋体" w:eastAsia="宋体" w:cs="宋体"/>
                <w:color w:val="auto"/>
                <w:sz w:val="24"/>
                <w:highlight w:val="none"/>
              </w:rPr>
            </w:pPr>
          </w:p>
        </w:tc>
        <w:tc>
          <w:tcPr>
            <w:tcW w:w="2775" w:type="dxa"/>
            <w:noWrap w:val="0"/>
            <w:vAlign w:val="center"/>
          </w:tcPr>
          <w:p w14:paraId="61A6E48C">
            <w:pPr>
              <w:jc w:val="both"/>
              <w:rPr>
                <w:rFonts w:hint="eastAsia" w:ascii="宋体" w:hAnsi="宋体" w:eastAsia="宋体" w:cs="宋体"/>
                <w:color w:val="auto"/>
                <w:sz w:val="24"/>
                <w:highlight w:val="none"/>
              </w:rPr>
            </w:pPr>
          </w:p>
        </w:tc>
        <w:tc>
          <w:tcPr>
            <w:tcW w:w="2040" w:type="dxa"/>
            <w:noWrap w:val="0"/>
            <w:vAlign w:val="center"/>
          </w:tcPr>
          <w:p w14:paraId="28DFDF32">
            <w:pPr>
              <w:jc w:val="both"/>
              <w:rPr>
                <w:rFonts w:hint="eastAsia" w:ascii="宋体" w:hAnsi="宋体" w:eastAsia="宋体" w:cs="宋体"/>
                <w:color w:val="auto"/>
                <w:sz w:val="24"/>
                <w:highlight w:val="none"/>
              </w:rPr>
            </w:pPr>
          </w:p>
        </w:tc>
      </w:tr>
    </w:tbl>
    <w:p w14:paraId="55564337">
      <w:pPr>
        <w:pStyle w:val="71"/>
        <w:spacing w:line="440" w:lineRule="exact"/>
        <w:ind w:firstLine="412"/>
        <w:rPr>
          <w:rFonts w:hAnsi="Calibri" w:cs="宋体"/>
          <w:color w:val="auto"/>
          <w:spacing w:val="-2"/>
          <w:kern w:val="0"/>
          <w:sz w:val="21"/>
          <w:szCs w:val="21"/>
          <w:highlight w:val="none"/>
        </w:rPr>
      </w:pPr>
    </w:p>
    <w:p w14:paraId="090DC8F9">
      <w:pPr>
        <w:spacing w:line="480" w:lineRule="auto"/>
        <w:ind w:left="2400" w:leftChars="1000" w:firstLine="2160" w:firstLineChars="900"/>
        <w:rPr>
          <w:rFonts w:hint="eastAsia"/>
          <w:color w:val="auto"/>
          <w:highlight w:val="none"/>
        </w:rPr>
      </w:pPr>
    </w:p>
    <w:p w14:paraId="733C8844">
      <w:pPr>
        <w:spacing w:line="480" w:lineRule="auto"/>
        <w:ind w:firstLine="4800" w:firstLineChars="2000"/>
        <w:rPr>
          <w:color w:val="auto"/>
          <w:highlight w:val="none"/>
          <w:u w:val="single"/>
        </w:rPr>
      </w:pPr>
      <w:r>
        <w:rPr>
          <w:rFonts w:hint="eastAsia"/>
          <w:color w:val="auto"/>
          <w:highlight w:val="none"/>
        </w:rPr>
        <w:t>投标人全称：</w:t>
      </w:r>
      <w:r>
        <w:rPr>
          <w:rFonts w:hint="eastAsia"/>
          <w:color w:val="auto"/>
          <w:highlight w:val="none"/>
          <w:u w:val="single"/>
        </w:rPr>
        <w:t xml:space="preserve">               （公章）</w:t>
      </w:r>
    </w:p>
    <w:p w14:paraId="226A60E7">
      <w:pPr>
        <w:spacing w:line="480" w:lineRule="auto"/>
        <w:ind w:firstLine="1680" w:firstLineChars="700"/>
        <w:jc w:val="right"/>
        <w:rPr>
          <w:color w:val="auto"/>
          <w:highlight w:val="none"/>
          <w:u w:val="single"/>
        </w:rPr>
      </w:pPr>
      <w:r>
        <w:rPr>
          <w:rFonts w:hint="eastAsia"/>
          <w:color w:val="auto"/>
          <w:highlight w:val="none"/>
        </w:rPr>
        <w:t>法定代表人或委托代理人：</w:t>
      </w:r>
      <w:r>
        <w:rPr>
          <w:rFonts w:hint="eastAsia"/>
          <w:color w:val="auto"/>
          <w:highlight w:val="none"/>
          <w:u w:val="single"/>
        </w:rPr>
        <w:t xml:space="preserve">         （签字或盖章）</w:t>
      </w:r>
      <w:r>
        <w:rPr>
          <w:rFonts w:hint="eastAsia"/>
          <w:color w:val="auto"/>
          <w:highlight w:val="none"/>
        </w:rPr>
        <w:t xml:space="preserve">                                   </w:t>
      </w:r>
    </w:p>
    <w:p w14:paraId="56FDDB13">
      <w:pPr>
        <w:pStyle w:val="34"/>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0" w:firstLineChars="2000"/>
        <w:rPr>
          <w:rFonts w:ascii="Tahoma" w:hAnsi="Calibri" w:cs="宋体"/>
          <w:color w:val="auto"/>
          <w:spacing w:val="-2"/>
          <w:sz w:val="21"/>
          <w:szCs w:val="21"/>
          <w:highlight w:val="none"/>
        </w:rPr>
      </w:pPr>
      <w:r>
        <w:rPr>
          <w:rFonts w:hint="eastAsia" w:ascii="宋体" w:hAnsi="宋体"/>
          <w:color w:val="auto"/>
          <w:sz w:val="24"/>
          <w:highlight w:val="none"/>
        </w:rPr>
        <w:t xml:space="preserve">日      期：     年   月   日    </w:t>
      </w:r>
      <w:r>
        <w:rPr>
          <w:rFonts w:ascii="Tahoma" w:hAnsi="Calibri" w:cs="宋体"/>
          <w:color w:val="auto"/>
          <w:spacing w:val="-2"/>
          <w:sz w:val="21"/>
          <w:szCs w:val="21"/>
          <w:highlight w:val="none"/>
        </w:rPr>
        <w:t xml:space="preserve">           </w:t>
      </w:r>
    </w:p>
    <w:p w14:paraId="202B9E0F">
      <w:pPr>
        <w:overflowPunct w:val="0"/>
        <w:topLinePunct/>
        <w:autoSpaceDN w:val="0"/>
        <w:adjustRightInd w:val="0"/>
        <w:snapToGrid w:val="0"/>
        <w:ind w:firstLine="480"/>
        <w:jc w:val="center"/>
        <w:rPr>
          <w:snapToGrid w:val="0"/>
          <w:color w:val="auto"/>
          <w:highlight w:val="none"/>
        </w:rPr>
      </w:pPr>
    </w:p>
    <w:p w14:paraId="3B1E22F3">
      <w:pPr>
        <w:spacing w:line="360" w:lineRule="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注：</w:t>
      </w:r>
      <w:r>
        <w:rPr>
          <w:rFonts w:hint="eastAsia" w:ascii="宋体" w:hAnsi="宋体" w:eastAsia="宋体" w:cs="宋体"/>
          <w:b w:val="0"/>
          <w:bCs/>
          <w:color w:val="auto"/>
          <w:kern w:val="2"/>
          <w:sz w:val="24"/>
          <w:szCs w:val="24"/>
          <w:highlight w:val="none"/>
          <w:lang w:val="en-US" w:eastAsia="zh-CN" w:bidi="ar-SA"/>
        </w:rPr>
        <w:t>“</w:t>
      </w:r>
      <w:r>
        <w:rPr>
          <w:rFonts w:hint="eastAsia" w:cs="宋体"/>
          <w:b w:val="0"/>
          <w:bCs/>
          <w:color w:val="auto"/>
          <w:sz w:val="24"/>
          <w:szCs w:val="24"/>
          <w:highlight w:val="none"/>
          <w:lang w:eastAsia="zh-CN"/>
        </w:rPr>
        <w:t>偏离说明</w:t>
      </w:r>
      <w:r>
        <w:rPr>
          <w:rFonts w:hint="eastAsia" w:ascii="宋体" w:hAnsi="宋体" w:eastAsia="宋体" w:cs="宋体"/>
          <w:b w:val="0"/>
          <w:bCs/>
          <w:color w:val="auto"/>
          <w:kern w:val="2"/>
          <w:sz w:val="24"/>
          <w:szCs w:val="24"/>
          <w:highlight w:val="none"/>
          <w:lang w:val="en-US" w:eastAsia="zh-CN" w:bidi="ar-SA"/>
        </w:rPr>
        <w:t>”一栏，填写“无偏</w:t>
      </w:r>
      <w:r>
        <w:rPr>
          <w:rFonts w:hint="eastAsia" w:ascii="宋体" w:hAnsi="宋体" w:eastAsia="宋体" w:cs="宋体"/>
          <w:b w:val="0"/>
          <w:bCs/>
          <w:color w:val="auto"/>
          <w:sz w:val="24"/>
          <w:szCs w:val="24"/>
          <w:highlight w:val="none"/>
        </w:rPr>
        <w:t>离</w:t>
      </w:r>
      <w:r>
        <w:rPr>
          <w:rFonts w:hint="eastAsia" w:ascii="宋体" w:hAnsi="宋体" w:eastAsia="宋体" w:cs="宋体"/>
          <w:b w:val="0"/>
          <w:bCs/>
          <w:color w:val="auto"/>
          <w:kern w:val="2"/>
          <w:sz w:val="24"/>
          <w:szCs w:val="24"/>
          <w:highlight w:val="none"/>
          <w:lang w:val="en-US" w:eastAsia="zh-CN" w:bidi="ar-SA"/>
        </w:rPr>
        <w:t>、正偏</w:t>
      </w:r>
      <w:r>
        <w:rPr>
          <w:rFonts w:hint="eastAsia" w:ascii="宋体" w:hAnsi="宋体" w:eastAsia="宋体" w:cs="宋体"/>
          <w:b w:val="0"/>
          <w:bCs/>
          <w:color w:val="auto"/>
          <w:sz w:val="24"/>
          <w:szCs w:val="24"/>
          <w:highlight w:val="none"/>
        </w:rPr>
        <w:t>离</w:t>
      </w:r>
      <w:r>
        <w:rPr>
          <w:rFonts w:hint="eastAsia" w:ascii="宋体" w:hAnsi="宋体" w:eastAsia="宋体" w:cs="宋体"/>
          <w:b w:val="0"/>
          <w:bCs/>
          <w:color w:val="auto"/>
          <w:kern w:val="2"/>
          <w:sz w:val="24"/>
          <w:szCs w:val="24"/>
          <w:highlight w:val="none"/>
          <w:lang w:val="en-US" w:eastAsia="zh-CN" w:bidi="ar-SA"/>
        </w:rPr>
        <w:t>、负偏</w:t>
      </w:r>
      <w:r>
        <w:rPr>
          <w:rFonts w:hint="eastAsia" w:ascii="宋体" w:hAnsi="宋体" w:eastAsia="宋体" w:cs="宋体"/>
          <w:b w:val="0"/>
          <w:bCs/>
          <w:color w:val="auto"/>
          <w:sz w:val="24"/>
          <w:szCs w:val="24"/>
          <w:highlight w:val="none"/>
        </w:rPr>
        <w:t>离</w:t>
      </w:r>
      <w:r>
        <w:rPr>
          <w:rFonts w:hint="eastAsia" w:ascii="宋体" w:hAnsi="宋体" w:eastAsia="宋体" w:cs="宋体"/>
          <w:b w:val="0"/>
          <w:bCs/>
          <w:color w:val="auto"/>
          <w:kern w:val="2"/>
          <w:sz w:val="24"/>
          <w:szCs w:val="24"/>
          <w:highlight w:val="none"/>
          <w:lang w:val="en-US" w:eastAsia="zh-CN" w:bidi="ar-SA"/>
        </w:rPr>
        <w:t>”。其中正偏</w:t>
      </w:r>
      <w:r>
        <w:rPr>
          <w:rFonts w:hint="eastAsia" w:ascii="宋体" w:hAnsi="宋体" w:eastAsia="宋体" w:cs="宋体"/>
          <w:b w:val="0"/>
          <w:bCs/>
          <w:color w:val="auto"/>
          <w:sz w:val="24"/>
          <w:szCs w:val="24"/>
          <w:highlight w:val="none"/>
        </w:rPr>
        <w:t>离</w:t>
      </w:r>
      <w:r>
        <w:rPr>
          <w:rFonts w:hint="eastAsia" w:ascii="宋体" w:hAnsi="宋体" w:eastAsia="宋体" w:cs="宋体"/>
          <w:b w:val="0"/>
          <w:bCs/>
          <w:color w:val="auto"/>
          <w:kern w:val="2"/>
          <w:sz w:val="24"/>
          <w:szCs w:val="24"/>
          <w:highlight w:val="none"/>
          <w:lang w:val="en-US" w:eastAsia="zh-CN" w:bidi="ar-SA"/>
        </w:rPr>
        <w:t>是指优于文件所规定的技术性能；负偏差是指低于文件所规定的技术性能；</w:t>
      </w:r>
    </w:p>
    <w:p w14:paraId="16D27B3E">
      <w:pPr>
        <w:widowControl/>
        <w:snapToGrid w:val="0"/>
        <w:jc w:val="both"/>
        <w:rPr>
          <w:rFonts w:hint="eastAsia" w:ascii="宋体" w:hAnsi="宋体" w:eastAsia="宋体" w:cs="宋体"/>
          <w:b w:val="0"/>
          <w:bCs/>
          <w:color w:val="auto"/>
          <w:kern w:val="2"/>
          <w:sz w:val="24"/>
          <w:szCs w:val="24"/>
          <w:highlight w:val="none"/>
          <w:lang w:val="en-US" w:eastAsia="zh-CN" w:bidi="ar-SA"/>
        </w:rPr>
      </w:pPr>
      <w:r>
        <w:rPr>
          <w:rFonts w:hint="eastAsia" w:cs="宋体"/>
          <w:b w:val="0"/>
          <w:bCs/>
          <w:color w:val="auto"/>
          <w:kern w:val="2"/>
          <w:sz w:val="24"/>
          <w:szCs w:val="24"/>
          <w:highlight w:val="none"/>
          <w:lang w:val="en-US" w:eastAsia="zh-CN" w:bidi="ar-SA"/>
        </w:rPr>
        <w:t>投标人</w:t>
      </w:r>
      <w:r>
        <w:rPr>
          <w:rFonts w:hint="eastAsia" w:ascii="宋体" w:hAnsi="宋体" w:eastAsia="宋体" w:cs="宋体"/>
          <w:b w:val="0"/>
          <w:bCs/>
          <w:color w:val="auto"/>
          <w:kern w:val="2"/>
          <w:sz w:val="24"/>
          <w:szCs w:val="24"/>
          <w:highlight w:val="none"/>
          <w:lang w:val="en-US" w:eastAsia="zh-CN" w:bidi="ar-SA"/>
        </w:rPr>
        <w:t>如完全响应，无正负偏离，可在“招标文件商务要求”列中填写“招标文件全部</w:t>
      </w:r>
      <w:r>
        <w:rPr>
          <w:rFonts w:hint="eastAsia" w:cs="宋体"/>
          <w:b w:val="0"/>
          <w:bCs/>
          <w:color w:val="auto"/>
          <w:kern w:val="2"/>
          <w:sz w:val="24"/>
          <w:szCs w:val="24"/>
          <w:highlight w:val="none"/>
          <w:lang w:val="en-US" w:eastAsia="zh-CN" w:bidi="ar-SA"/>
        </w:rPr>
        <w:t>商务</w:t>
      </w:r>
      <w:r>
        <w:rPr>
          <w:rFonts w:hint="eastAsia" w:ascii="宋体" w:hAnsi="宋体" w:eastAsia="宋体" w:cs="宋体"/>
          <w:b w:val="0"/>
          <w:bCs/>
          <w:color w:val="auto"/>
          <w:kern w:val="2"/>
          <w:sz w:val="24"/>
          <w:szCs w:val="24"/>
          <w:highlight w:val="none"/>
          <w:lang w:val="en-US" w:eastAsia="zh-CN" w:bidi="ar-SA"/>
        </w:rPr>
        <w:t>要求”；在“投标文件对应标准”列中填写“</w:t>
      </w:r>
      <w:r>
        <w:rPr>
          <w:rFonts w:hint="eastAsia" w:cs="宋体"/>
          <w:b w:val="0"/>
          <w:bCs/>
          <w:color w:val="auto"/>
          <w:kern w:val="2"/>
          <w:sz w:val="24"/>
          <w:szCs w:val="24"/>
          <w:highlight w:val="none"/>
          <w:lang w:val="en-US" w:eastAsia="zh-CN" w:bidi="ar-SA"/>
        </w:rPr>
        <w:t>完全响应</w:t>
      </w:r>
      <w:r>
        <w:rPr>
          <w:rFonts w:hint="eastAsia" w:ascii="宋体" w:hAnsi="宋体" w:eastAsia="宋体" w:cs="宋体"/>
          <w:b w:val="0"/>
          <w:bCs/>
          <w:color w:val="auto"/>
          <w:kern w:val="2"/>
          <w:sz w:val="24"/>
          <w:szCs w:val="24"/>
          <w:highlight w:val="none"/>
          <w:lang w:val="en-US" w:eastAsia="zh-CN" w:bidi="ar-SA"/>
        </w:rPr>
        <w:t>”；在“</w:t>
      </w:r>
      <w:r>
        <w:rPr>
          <w:rFonts w:hint="eastAsia" w:cs="宋体"/>
          <w:b w:val="0"/>
          <w:bCs/>
          <w:color w:val="auto"/>
          <w:kern w:val="2"/>
          <w:sz w:val="24"/>
          <w:szCs w:val="24"/>
          <w:highlight w:val="none"/>
          <w:lang w:val="en-US" w:eastAsia="zh-CN" w:bidi="ar-SA"/>
        </w:rPr>
        <w:t>偏离说明</w:t>
      </w:r>
      <w:r>
        <w:rPr>
          <w:rFonts w:hint="eastAsia" w:ascii="宋体" w:hAnsi="宋体" w:eastAsia="宋体" w:cs="宋体"/>
          <w:b w:val="0"/>
          <w:bCs/>
          <w:color w:val="auto"/>
          <w:kern w:val="2"/>
          <w:sz w:val="24"/>
          <w:szCs w:val="24"/>
          <w:highlight w:val="none"/>
          <w:lang w:val="en-US" w:eastAsia="zh-CN" w:bidi="ar-SA"/>
        </w:rPr>
        <w:t>”列中填写“无偏离”；</w:t>
      </w:r>
    </w:p>
    <w:p w14:paraId="2D6E7C49">
      <w:pPr>
        <w:pStyle w:val="12"/>
        <w:ind w:left="0" w:leftChars="0" w:firstLine="480" w:firstLineChars="200"/>
        <w:rPr>
          <w:rFonts w:hint="eastAsia" w:ascii="宋体" w:hAnsi="宋体" w:eastAsia="宋体" w:cs="宋体"/>
          <w:b w:val="0"/>
          <w:bCs/>
          <w:color w:val="auto"/>
          <w:kern w:val="2"/>
          <w:sz w:val="24"/>
          <w:szCs w:val="24"/>
          <w:highlight w:val="none"/>
          <w:lang w:val="en-US" w:eastAsia="zh-CN" w:bidi="ar-SA"/>
        </w:rPr>
      </w:pPr>
      <w:r>
        <w:rPr>
          <w:rFonts w:hint="eastAsia" w:cs="宋体"/>
          <w:b w:val="0"/>
          <w:bCs/>
          <w:color w:val="auto"/>
          <w:kern w:val="2"/>
          <w:sz w:val="24"/>
          <w:szCs w:val="24"/>
          <w:highlight w:val="none"/>
          <w:lang w:val="en-US" w:eastAsia="zh-CN" w:bidi="ar-SA"/>
        </w:rPr>
        <w:t>投标人</w:t>
      </w:r>
      <w:r>
        <w:rPr>
          <w:rFonts w:hint="eastAsia" w:ascii="宋体" w:hAnsi="宋体" w:eastAsia="宋体" w:cs="宋体"/>
          <w:b w:val="0"/>
          <w:bCs/>
          <w:color w:val="auto"/>
          <w:kern w:val="2"/>
          <w:sz w:val="24"/>
          <w:szCs w:val="24"/>
          <w:highlight w:val="none"/>
          <w:lang w:val="en-US" w:eastAsia="zh-CN" w:bidi="ar-SA"/>
        </w:rPr>
        <w:t>保证：除商务响应表列出的偏差外，投标人响应</w:t>
      </w:r>
      <w:r>
        <w:rPr>
          <w:rFonts w:hint="eastAsia" w:cs="宋体"/>
          <w:b w:val="0"/>
          <w:bCs/>
          <w:color w:val="auto"/>
          <w:kern w:val="2"/>
          <w:sz w:val="24"/>
          <w:szCs w:val="24"/>
          <w:highlight w:val="none"/>
          <w:lang w:val="en-US" w:eastAsia="zh-CN" w:bidi="ar-SA"/>
        </w:rPr>
        <w:t>招标</w:t>
      </w:r>
      <w:r>
        <w:rPr>
          <w:rFonts w:hint="eastAsia" w:ascii="宋体" w:hAnsi="宋体" w:eastAsia="宋体" w:cs="宋体"/>
          <w:b w:val="0"/>
          <w:bCs/>
          <w:color w:val="auto"/>
          <w:kern w:val="2"/>
          <w:sz w:val="24"/>
          <w:szCs w:val="24"/>
          <w:highlight w:val="none"/>
          <w:lang w:val="en-US" w:eastAsia="zh-CN" w:bidi="ar-SA"/>
        </w:rPr>
        <w:t>文件的全部要求。</w:t>
      </w:r>
    </w:p>
    <w:p w14:paraId="37EF18A2">
      <w:pPr>
        <w:overflowPunct w:val="0"/>
        <w:topLinePunct/>
        <w:autoSpaceDN w:val="0"/>
        <w:adjustRightInd w:val="0"/>
        <w:snapToGrid w:val="0"/>
        <w:ind w:firstLine="480"/>
        <w:jc w:val="center"/>
        <w:rPr>
          <w:snapToGrid w:val="0"/>
          <w:color w:val="auto"/>
          <w:highlight w:val="none"/>
        </w:rPr>
      </w:pPr>
    </w:p>
    <w:p w14:paraId="432BD2A7">
      <w:pPr>
        <w:ind w:firstLine="480"/>
        <w:rPr>
          <w:color w:val="auto"/>
          <w:highlight w:val="none"/>
        </w:rPr>
      </w:pPr>
      <w:r>
        <w:rPr>
          <w:snapToGrid w:val="0"/>
          <w:color w:val="auto"/>
          <w:highlight w:val="none"/>
        </w:rPr>
        <w:br w:type="page"/>
      </w:r>
    </w:p>
    <w:p w14:paraId="4626409D">
      <w:pPr>
        <w:overflowPunct w:val="0"/>
        <w:topLinePunct/>
        <w:autoSpaceDN w:val="0"/>
        <w:adjustRightInd w:val="0"/>
        <w:snapToGrid w:val="0"/>
        <w:ind w:firstLine="562"/>
        <w:jc w:val="center"/>
        <w:rPr>
          <w:rFonts w:hint="eastAsia" w:ascii="宋体" w:hAnsi="宋体" w:eastAsia="宋体" w:cs="Times New Roman"/>
          <w:b/>
          <w:snapToGrid w:val="0"/>
          <w:color w:val="auto"/>
          <w:kern w:val="0"/>
          <w:sz w:val="28"/>
          <w:szCs w:val="28"/>
          <w:highlight w:val="none"/>
          <w:lang w:eastAsia="zh-CN"/>
        </w:rPr>
      </w:pPr>
      <w:r>
        <w:rPr>
          <w:rFonts w:hint="eastAsia" w:ascii="宋体" w:hAnsi="宋体" w:eastAsia="宋体" w:cs="Times New Roman"/>
          <w:b/>
          <w:snapToGrid w:val="0"/>
          <w:color w:val="auto"/>
          <w:kern w:val="0"/>
          <w:sz w:val="28"/>
          <w:szCs w:val="28"/>
          <w:highlight w:val="none"/>
          <w:lang w:eastAsia="zh-CN"/>
        </w:rPr>
        <w:t>（</w:t>
      </w:r>
      <w:r>
        <w:rPr>
          <w:rFonts w:hint="eastAsia" w:ascii="宋体" w:hAnsi="宋体" w:eastAsia="宋体" w:cs="Times New Roman"/>
          <w:b/>
          <w:snapToGrid w:val="0"/>
          <w:color w:val="auto"/>
          <w:kern w:val="0"/>
          <w:sz w:val="28"/>
          <w:szCs w:val="28"/>
          <w:highlight w:val="none"/>
          <w:lang w:val="en-US" w:eastAsia="zh-CN"/>
        </w:rPr>
        <w:t>十</w:t>
      </w:r>
      <w:r>
        <w:rPr>
          <w:rFonts w:hint="eastAsia" w:ascii="宋体" w:hAnsi="宋体" w:eastAsia="宋体" w:cs="Times New Roman"/>
          <w:b/>
          <w:snapToGrid w:val="0"/>
          <w:color w:val="auto"/>
          <w:kern w:val="0"/>
          <w:sz w:val="28"/>
          <w:szCs w:val="28"/>
          <w:highlight w:val="none"/>
          <w:lang w:eastAsia="zh-CN"/>
        </w:rPr>
        <w:t>）</w:t>
      </w:r>
      <w:r>
        <w:rPr>
          <w:rFonts w:hint="eastAsia" w:ascii="宋体" w:hAnsi="宋体" w:eastAsia="宋体" w:cs="Times New Roman"/>
          <w:b/>
          <w:snapToGrid w:val="0"/>
          <w:color w:val="auto"/>
          <w:kern w:val="0"/>
          <w:sz w:val="28"/>
          <w:szCs w:val="28"/>
          <w:highlight w:val="none"/>
          <w:lang w:val="en-US" w:eastAsia="zh-CN"/>
        </w:rPr>
        <w:t>投标人</w:t>
      </w:r>
      <w:r>
        <w:rPr>
          <w:rFonts w:hint="eastAsia" w:ascii="宋体" w:hAnsi="宋体" w:eastAsia="宋体" w:cs="Times New Roman"/>
          <w:b/>
          <w:snapToGrid w:val="0"/>
          <w:color w:val="auto"/>
          <w:kern w:val="0"/>
          <w:sz w:val="28"/>
          <w:szCs w:val="28"/>
          <w:highlight w:val="none"/>
        </w:rPr>
        <w:t>认为需要提供的其他商务</w:t>
      </w:r>
      <w:r>
        <w:rPr>
          <w:rFonts w:hint="eastAsia" w:ascii="宋体" w:hAnsi="宋体" w:eastAsia="宋体" w:cs="Times New Roman"/>
          <w:b/>
          <w:snapToGrid w:val="0"/>
          <w:color w:val="auto"/>
          <w:kern w:val="0"/>
          <w:sz w:val="28"/>
          <w:szCs w:val="28"/>
          <w:highlight w:val="none"/>
          <w:lang w:val="en-US" w:eastAsia="zh-CN"/>
        </w:rPr>
        <w:t>材料</w:t>
      </w:r>
    </w:p>
    <w:p w14:paraId="1FC7E635">
      <w:pPr>
        <w:ind w:firstLine="0" w:firstLineChars="0"/>
        <w:rPr>
          <w:color w:val="auto"/>
          <w:highlight w:val="none"/>
        </w:rPr>
      </w:pPr>
      <w:r>
        <w:rPr>
          <w:snapToGrid w:val="0"/>
          <w:color w:val="auto"/>
          <w:highlight w:val="none"/>
        </w:rPr>
        <w:br w:type="page"/>
      </w:r>
    </w:p>
    <w:bookmarkEnd w:id="0"/>
    <w:p w14:paraId="3D52235F">
      <w:pPr>
        <w:overflowPunct w:val="0"/>
        <w:topLinePunct/>
        <w:autoSpaceDN w:val="0"/>
        <w:adjustRightInd w:val="0"/>
        <w:snapToGrid w:val="0"/>
        <w:ind w:firstLine="0" w:firstLineChars="0"/>
        <w:jc w:val="center"/>
        <w:rPr>
          <w:b/>
          <w:snapToGrid w:val="0"/>
          <w:color w:val="auto"/>
          <w:kern w:val="0"/>
          <w:sz w:val="84"/>
          <w:highlight w:val="none"/>
        </w:rPr>
      </w:pPr>
    </w:p>
    <w:p w14:paraId="281A6070">
      <w:pPr>
        <w:overflowPunct w:val="0"/>
        <w:topLinePunct/>
        <w:autoSpaceDN w:val="0"/>
        <w:adjustRightInd w:val="0"/>
        <w:snapToGrid w:val="0"/>
        <w:ind w:firstLine="0" w:firstLineChars="0"/>
        <w:jc w:val="center"/>
        <w:rPr>
          <w:b/>
          <w:snapToGrid w:val="0"/>
          <w:color w:val="auto"/>
          <w:kern w:val="0"/>
          <w:sz w:val="84"/>
          <w:highlight w:val="none"/>
        </w:rPr>
      </w:pPr>
    </w:p>
    <w:p w14:paraId="31A5655D">
      <w:pPr>
        <w:overflowPunct w:val="0"/>
        <w:topLinePunct/>
        <w:autoSpaceDN w:val="0"/>
        <w:adjustRightInd w:val="0"/>
        <w:snapToGrid w:val="0"/>
        <w:ind w:firstLine="0" w:firstLineChars="0"/>
        <w:jc w:val="center"/>
        <w:rPr>
          <w:b/>
          <w:snapToGrid w:val="0"/>
          <w:color w:val="auto"/>
          <w:kern w:val="0"/>
          <w:sz w:val="84"/>
          <w:highlight w:val="none"/>
        </w:rPr>
      </w:pPr>
    </w:p>
    <w:p w14:paraId="7E8DAC87">
      <w:pPr>
        <w:overflowPunct w:val="0"/>
        <w:topLinePunct/>
        <w:autoSpaceDN w:val="0"/>
        <w:adjustRightInd w:val="0"/>
        <w:snapToGrid w:val="0"/>
        <w:ind w:firstLine="0" w:firstLineChars="0"/>
        <w:jc w:val="center"/>
        <w:rPr>
          <w:b/>
          <w:snapToGrid w:val="0"/>
          <w:color w:val="auto"/>
          <w:kern w:val="0"/>
          <w:sz w:val="84"/>
          <w:highlight w:val="none"/>
        </w:rPr>
      </w:pPr>
      <w:r>
        <w:rPr>
          <w:b/>
          <w:snapToGrid w:val="0"/>
          <w:color w:val="auto"/>
          <w:kern w:val="0"/>
          <w:sz w:val="84"/>
          <w:highlight w:val="none"/>
        </w:rPr>
        <w:t>技术部分</w:t>
      </w:r>
    </w:p>
    <w:p w14:paraId="00BCAE87">
      <w:pPr>
        <w:overflowPunct w:val="0"/>
        <w:topLinePunct/>
        <w:autoSpaceDN w:val="0"/>
        <w:adjustRightInd w:val="0"/>
        <w:snapToGrid w:val="0"/>
        <w:ind w:firstLine="480"/>
        <w:rPr>
          <w:snapToGrid w:val="0"/>
          <w:color w:val="auto"/>
          <w:kern w:val="0"/>
          <w:highlight w:val="none"/>
        </w:rPr>
      </w:pPr>
      <w:r>
        <w:rPr>
          <w:snapToGrid w:val="0"/>
          <w:color w:val="auto"/>
          <w:kern w:val="0"/>
          <w:highlight w:val="none"/>
        </w:rPr>
        <w:br w:type="page"/>
      </w:r>
    </w:p>
    <w:p w14:paraId="06E52142">
      <w:pPr>
        <w:overflowPunct w:val="0"/>
        <w:topLinePunct/>
        <w:autoSpaceDN w:val="0"/>
        <w:adjustRightInd w:val="0"/>
        <w:snapToGrid w:val="0"/>
        <w:ind w:firstLine="0" w:firstLineChars="0"/>
        <w:jc w:val="center"/>
        <w:rPr>
          <w:snapToGrid w:val="0"/>
          <w:color w:val="auto"/>
          <w:kern w:val="0"/>
          <w:szCs w:val="21"/>
          <w:highlight w:val="none"/>
        </w:rPr>
      </w:pPr>
      <w:r>
        <w:rPr>
          <w:b/>
          <w:snapToGrid w:val="0"/>
          <w:color w:val="auto"/>
          <w:kern w:val="0"/>
          <w:sz w:val="28"/>
          <w:szCs w:val="28"/>
          <w:highlight w:val="none"/>
        </w:rPr>
        <w:t>（一）</w:t>
      </w:r>
      <w:r>
        <w:rPr>
          <w:rFonts w:hint="eastAsia"/>
          <w:b/>
          <w:snapToGrid w:val="0"/>
          <w:color w:val="auto"/>
          <w:kern w:val="0"/>
          <w:sz w:val="28"/>
          <w:szCs w:val="28"/>
          <w:highlight w:val="none"/>
          <w:lang w:val="en-US" w:eastAsia="zh-CN"/>
        </w:rPr>
        <w:t>开标</w:t>
      </w:r>
      <w:r>
        <w:rPr>
          <w:b/>
          <w:snapToGrid w:val="0"/>
          <w:color w:val="auto"/>
          <w:kern w:val="0"/>
          <w:sz w:val="28"/>
          <w:szCs w:val="28"/>
          <w:highlight w:val="none"/>
        </w:rPr>
        <w:t>一览表（格式）</w:t>
      </w:r>
    </w:p>
    <w:p w14:paraId="4619A2C3">
      <w:pPr>
        <w:widowControl/>
        <w:snapToGrid w:val="0"/>
        <w:ind w:left="0" w:leftChars="0" w:firstLine="0" w:firstLineChars="0"/>
        <w:rPr>
          <w:rFonts w:hint="eastAsia" w:cs="宋体"/>
          <w:b/>
          <w:bCs/>
          <w:color w:val="auto"/>
          <w:szCs w:val="21"/>
          <w:highlight w:val="none"/>
          <w:lang w:val="en-US" w:eastAsia="zh-CN"/>
        </w:rPr>
      </w:pPr>
      <w:r>
        <w:rPr>
          <w:rFonts w:hint="eastAsia" w:cs="宋体"/>
          <w:b/>
          <w:bCs/>
          <w:color w:val="auto"/>
          <w:szCs w:val="21"/>
          <w:highlight w:val="none"/>
          <w:lang w:val="en-US" w:eastAsia="zh-CN"/>
        </w:rPr>
        <w:t>包1：</w:t>
      </w:r>
    </w:p>
    <w:p w14:paraId="4490A134">
      <w:pPr>
        <w:ind w:firstLine="0" w:firstLineChars="0"/>
        <w:jc w:val="center"/>
        <w:rPr>
          <w:b/>
          <w:bCs/>
          <w:color w:val="auto"/>
          <w:highlight w:val="none"/>
        </w:rPr>
      </w:pPr>
      <w:r>
        <w:rPr>
          <w:rFonts w:hint="eastAsia"/>
          <w:b/>
          <w:bCs/>
          <w:color w:val="auto"/>
          <w:highlight w:val="none"/>
          <w:lang w:val="en-US" w:eastAsia="zh-CN"/>
        </w:rPr>
        <w:t>开标</w:t>
      </w:r>
      <w:r>
        <w:rPr>
          <w:b/>
          <w:bCs/>
          <w:color w:val="auto"/>
          <w:highlight w:val="none"/>
        </w:rPr>
        <w:t>一览表（格式）</w:t>
      </w:r>
    </w:p>
    <w:p w14:paraId="679DD3DF">
      <w:pPr>
        <w:ind w:firstLine="0" w:firstLineChars="0"/>
        <w:jc w:val="center"/>
        <w:rPr>
          <w:b/>
          <w:bCs/>
          <w:color w:val="auto"/>
          <w:highlight w:val="none"/>
        </w:rPr>
      </w:pPr>
    </w:p>
    <w:p w14:paraId="61C8A86D">
      <w:pPr>
        <w:widowControl/>
        <w:snapToGrid w:val="0"/>
        <w:ind w:left="0" w:leftChars="0" w:firstLine="0" w:firstLineChars="0"/>
        <w:rPr>
          <w:rFonts w:cs="宋体"/>
          <w:color w:val="auto"/>
          <w:szCs w:val="21"/>
          <w:highlight w:val="none"/>
        </w:rPr>
      </w:pPr>
      <w:r>
        <w:rPr>
          <w:rFonts w:cs="宋体"/>
          <w:color w:val="auto"/>
          <w:szCs w:val="21"/>
          <w:highlight w:val="none"/>
        </w:rPr>
        <w:t>项目名称：</w:t>
      </w:r>
      <w:r>
        <w:rPr>
          <w:rFonts w:cs="宋体"/>
          <w:color w:val="auto"/>
          <w:szCs w:val="21"/>
          <w:highlight w:val="none"/>
          <w:u w:val="single"/>
        </w:rPr>
        <w:t xml:space="preserve">                        </w:t>
      </w:r>
      <w:r>
        <w:rPr>
          <w:rFonts w:cs="宋体"/>
          <w:color w:val="auto"/>
          <w:szCs w:val="21"/>
          <w:highlight w:val="none"/>
        </w:rPr>
        <w:t xml:space="preserve">  </w:t>
      </w:r>
    </w:p>
    <w:p w14:paraId="3F63F35A">
      <w:pPr>
        <w:widowControl/>
        <w:snapToGrid w:val="0"/>
        <w:ind w:left="0" w:leftChars="0" w:firstLine="0" w:firstLineChars="0"/>
        <w:rPr>
          <w:rFonts w:cs="宋体"/>
          <w:color w:val="auto"/>
          <w:szCs w:val="21"/>
          <w:highlight w:val="none"/>
        </w:rPr>
      </w:pPr>
      <w:r>
        <w:rPr>
          <w:rFonts w:cs="宋体"/>
          <w:color w:val="auto"/>
          <w:szCs w:val="21"/>
          <w:highlight w:val="none"/>
        </w:rPr>
        <w:t>项目编号：</w:t>
      </w:r>
      <w:r>
        <w:rPr>
          <w:rFonts w:cs="宋体"/>
          <w:color w:val="auto"/>
          <w:szCs w:val="21"/>
          <w:highlight w:val="none"/>
          <w:u w:val="single"/>
        </w:rPr>
        <w:t xml:space="preserve">                        </w:t>
      </w:r>
    </w:p>
    <w:tbl>
      <w:tblPr>
        <w:tblStyle w:val="40"/>
        <w:tblW w:w="9300" w:type="dxa"/>
        <w:jc w:val="center"/>
        <w:tblLayout w:type="fixed"/>
        <w:tblCellMar>
          <w:top w:w="0" w:type="dxa"/>
          <w:left w:w="0" w:type="dxa"/>
          <w:bottom w:w="0" w:type="dxa"/>
          <w:right w:w="0" w:type="dxa"/>
        </w:tblCellMar>
      </w:tblPr>
      <w:tblGrid>
        <w:gridCol w:w="1984"/>
        <w:gridCol w:w="7316"/>
      </w:tblGrid>
      <w:tr w14:paraId="3CA37D59">
        <w:tblPrEx>
          <w:tblCellMar>
            <w:top w:w="0" w:type="dxa"/>
            <w:left w:w="0" w:type="dxa"/>
            <w:bottom w:w="0" w:type="dxa"/>
            <w:right w:w="0" w:type="dxa"/>
          </w:tblCellMar>
        </w:tblPrEx>
        <w:trPr>
          <w:trHeight w:val="1850" w:hRule="atLeast"/>
          <w:jc w:val="center"/>
        </w:trPr>
        <w:tc>
          <w:tcPr>
            <w:tcW w:w="1984" w:type="dxa"/>
            <w:tcBorders>
              <w:top w:val="single" w:color="auto" w:sz="4" w:space="0"/>
              <w:left w:val="single" w:color="auto" w:sz="8" w:space="0"/>
              <w:right w:val="single" w:color="auto" w:sz="8" w:space="0"/>
            </w:tcBorders>
            <w:noWrap w:val="0"/>
            <w:vAlign w:val="center"/>
          </w:tcPr>
          <w:p w14:paraId="1BB23B98">
            <w:pPr>
              <w:ind w:left="0" w:leftChars="0" w:firstLine="0" w:firstLineChars="0"/>
              <w:jc w:val="center"/>
              <w:rPr>
                <w:rFonts w:hint="eastAsia" w:hAnsi="宋体" w:cs="宋体"/>
                <w:color w:val="auto"/>
                <w:sz w:val="24"/>
                <w:szCs w:val="24"/>
                <w:highlight w:val="none"/>
              </w:rPr>
            </w:pPr>
            <w:r>
              <w:rPr>
                <w:rFonts w:hint="eastAsia" w:hAnsi="宋体" w:cs="宋体"/>
                <w:color w:val="auto"/>
                <w:sz w:val="24"/>
                <w:szCs w:val="24"/>
                <w:highlight w:val="none"/>
              </w:rPr>
              <w:t>投标报价</w:t>
            </w:r>
          </w:p>
          <w:p w14:paraId="4DF330B6">
            <w:pPr>
              <w:ind w:left="0" w:leftChars="0" w:firstLine="0" w:firstLineChars="0"/>
              <w:jc w:val="center"/>
              <w:rPr>
                <w:rFonts w:hint="eastAsia" w:hAnsi="宋体" w:cs="宋体"/>
                <w:color w:val="auto"/>
                <w:sz w:val="24"/>
                <w:szCs w:val="24"/>
                <w:highlight w:val="none"/>
              </w:rPr>
            </w:pPr>
            <w:r>
              <w:rPr>
                <w:rFonts w:hint="eastAsia" w:hAnsi="宋体" w:cs="宋体"/>
                <w:bCs/>
                <w:color w:val="auto"/>
                <w:sz w:val="24"/>
                <w:szCs w:val="24"/>
                <w:highlight w:val="none"/>
              </w:rPr>
              <w:t>（单位：元）</w:t>
            </w:r>
          </w:p>
        </w:tc>
        <w:tc>
          <w:tcPr>
            <w:tcW w:w="7316" w:type="dxa"/>
            <w:tcBorders>
              <w:top w:val="single" w:color="auto" w:sz="4" w:space="0"/>
              <w:left w:val="single" w:color="auto" w:sz="8" w:space="0"/>
              <w:right w:val="single" w:color="auto" w:sz="8" w:space="0"/>
            </w:tcBorders>
            <w:noWrap w:val="0"/>
            <w:vAlign w:val="center"/>
          </w:tcPr>
          <w:p w14:paraId="5127FC08">
            <w:pPr>
              <w:spacing w:line="500" w:lineRule="exact"/>
              <w:ind w:firstLine="130" w:firstLineChars="50"/>
              <w:rPr>
                <w:rFonts w:hint="eastAsia" w:hAnsi="宋体" w:cs="宋体"/>
                <w:color w:val="auto"/>
                <w:spacing w:val="10"/>
                <w:sz w:val="24"/>
                <w:szCs w:val="24"/>
                <w:highlight w:val="none"/>
                <w:u w:val="single"/>
              </w:rPr>
            </w:pPr>
            <w:r>
              <w:rPr>
                <w:rFonts w:hint="eastAsia" w:hAnsi="宋体" w:cs="宋体"/>
                <w:color w:val="auto"/>
                <w:spacing w:val="10"/>
                <w:sz w:val="24"/>
                <w:szCs w:val="24"/>
                <w:highlight w:val="none"/>
              </w:rPr>
              <w:t>大写</w:t>
            </w:r>
            <w:r>
              <w:rPr>
                <w:rFonts w:hint="eastAsia" w:hAnsi="宋体" w:cs="宋体"/>
                <w:color w:val="auto"/>
                <w:spacing w:val="10"/>
                <w:sz w:val="24"/>
                <w:szCs w:val="24"/>
                <w:highlight w:val="none"/>
                <w:u w:val="single"/>
              </w:rPr>
              <w:t xml:space="preserve">                     </w:t>
            </w:r>
          </w:p>
          <w:p w14:paraId="28FF9845">
            <w:pPr>
              <w:spacing w:line="500" w:lineRule="exact"/>
              <w:ind w:firstLine="130" w:firstLineChars="50"/>
              <w:rPr>
                <w:rFonts w:hint="default" w:hAnsi="宋体" w:eastAsia="宋体" w:cs="宋体"/>
                <w:color w:val="auto"/>
                <w:sz w:val="24"/>
                <w:szCs w:val="24"/>
                <w:highlight w:val="none"/>
                <w:lang w:val="en-US" w:eastAsia="zh-CN"/>
              </w:rPr>
            </w:pPr>
            <w:r>
              <w:rPr>
                <w:rFonts w:hint="eastAsia" w:hAnsi="宋体" w:cs="宋体"/>
                <w:color w:val="auto"/>
                <w:spacing w:val="10"/>
                <w:sz w:val="24"/>
                <w:szCs w:val="24"/>
                <w:highlight w:val="none"/>
              </w:rPr>
              <w:t>小写</w:t>
            </w:r>
            <w:r>
              <w:rPr>
                <w:rFonts w:hint="eastAsia" w:hAnsi="宋体" w:cs="宋体"/>
                <w:color w:val="auto"/>
                <w:spacing w:val="10"/>
                <w:sz w:val="24"/>
                <w:szCs w:val="24"/>
                <w:highlight w:val="none"/>
                <w:u w:val="single"/>
              </w:rPr>
              <w:t xml:space="preserve">                     </w:t>
            </w:r>
          </w:p>
        </w:tc>
      </w:tr>
      <w:tr w14:paraId="170BE6C2">
        <w:tblPrEx>
          <w:tblCellMar>
            <w:top w:w="0" w:type="dxa"/>
            <w:left w:w="0" w:type="dxa"/>
            <w:bottom w:w="0" w:type="dxa"/>
            <w:right w:w="0" w:type="dxa"/>
          </w:tblCellMar>
        </w:tblPrEx>
        <w:trPr>
          <w:trHeight w:val="955" w:hRule="atLeast"/>
          <w:jc w:val="center"/>
        </w:trPr>
        <w:tc>
          <w:tcPr>
            <w:tcW w:w="1984" w:type="dxa"/>
            <w:tcBorders>
              <w:top w:val="single" w:color="auto" w:sz="4" w:space="0"/>
              <w:left w:val="single" w:color="auto" w:sz="8" w:space="0"/>
              <w:right w:val="single" w:color="auto" w:sz="8" w:space="0"/>
            </w:tcBorders>
            <w:noWrap w:val="0"/>
            <w:vAlign w:val="center"/>
          </w:tcPr>
          <w:p w14:paraId="021CDA49">
            <w:pPr>
              <w:ind w:left="0" w:leftChars="0" w:firstLine="0" w:firstLineChars="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合同履约期限</w:t>
            </w:r>
          </w:p>
        </w:tc>
        <w:tc>
          <w:tcPr>
            <w:tcW w:w="7316" w:type="dxa"/>
            <w:tcBorders>
              <w:top w:val="single" w:color="auto" w:sz="4" w:space="0"/>
              <w:left w:val="single" w:color="auto" w:sz="8" w:space="0"/>
              <w:right w:val="single" w:color="auto" w:sz="8" w:space="0"/>
            </w:tcBorders>
            <w:noWrap w:val="0"/>
            <w:vAlign w:val="center"/>
          </w:tcPr>
          <w:p w14:paraId="2CF9EE79">
            <w:pPr>
              <w:spacing w:line="500" w:lineRule="exact"/>
              <w:ind w:firstLine="130" w:firstLineChars="50"/>
              <w:rPr>
                <w:rFonts w:hint="eastAsia" w:hAnsi="宋体" w:cs="宋体"/>
                <w:color w:val="auto"/>
                <w:spacing w:val="10"/>
                <w:sz w:val="24"/>
                <w:szCs w:val="24"/>
                <w:highlight w:val="none"/>
              </w:rPr>
            </w:pPr>
          </w:p>
        </w:tc>
      </w:tr>
      <w:tr w14:paraId="376F61FB">
        <w:tblPrEx>
          <w:tblCellMar>
            <w:top w:w="0" w:type="dxa"/>
            <w:left w:w="0" w:type="dxa"/>
            <w:bottom w:w="0" w:type="dxa"/>
            <w:right w:w="0" w:type="dxa"/>
          </w:tblCellMar>
        </w:tblPrEx>
        <w:trPr>
          <w:trHeight w:val="1049" w:hRule="exact"/>
          <w:jc w:val="center"/>
        </w:trPr>
        <w:tc>
          <w:tcPr>
            <w:tcW w:w="1984" w:type="dxa"/>
            <w:tcBorders>
              <w:top w:val="single" w:color="auto" w:sz="8" w:space="0"/>
              <w:left w:val="single" w:color="auto" w:sz="8" w:space="0"/>
              <w:bottom w:val="single" w:color="auto" w:sz="8" w:space="0"/>
              <w:right w:val="single" w:color="auto" w:sz="8" w:space="0"/>
            </w:tcBorders>
            <w:noWrap w:val="0"/>
            <w:vAlign w:val="center"/>
          </w:tcPr>
          <w:p w14:paraId="3B7E3407">
            <w:pPr>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供货地点</w:t>
            </w:r>
          </w:p>
        </w:tc>
        <w:tc>
          <w:tcPr>
            <w:tcW w:w="7316" w:type="dxa"/>
            <w:tcBorders>
              <w:top w:val="single" w:color="auto" w:sz="8" w:space="0"/>
              <w:left w:val="single" w:color="auto" w:sz="8" w:space="0"/>
              <w:bottom w:val="single" w:color="auto" w:sz="8" w:space="0"/>
              <w:right w:val="single" w:color="auto" w:sz="8" w:space="0"/>
            </w:tcBorders>
            <w:noWrap w:val="0"/>
            <w:vAlign w:val="center"/>
          </w:tcPr>
          <w:p w14:paraId="2232AA75">
            <w:pPr>
              <w:spacing w:line="500" w:lineRule="exact"/>
              <w:ind w:firstLine="120" w:firstLineChars="50"/>
              <w:rPr>
                <w:rFonts w:hint="eastAsia" w:hAnsi="宋体" w:cs="宋体"/>
                <w:color w:val="auto"/>
                <w:sz w:val="24"/>
                <w:szCs w:val="24"/>
                <w:highlight w:val="none"/>
              </w:rPr>
            </w:pPr>
          </w:p>
        </w:tc>
      </w:tr>
      <w:tr w14:paraId="14710BC3">
        <w:tblPrEx>
          <w:tblCellMar>
            <w:top w:w="0" w:type="dxa"/>
            <w:left w:w="0" w:type="dxa"/>
            <w:bottom w:w="0" w:type="dxa"/>
            <w:right w:w="0" w:type="dxa"/>
          </w:tblCellMar>
        </w:tblPrEx>
        <w:trPr>
          <w:trHeight w:val="1049" w:hRule="exact"/>
          <w:jc w:val="center"/>
        </w:trPr>
        <w:tc>
          <w:tcPr>
            <w:tcW w:w="1984" w:type="dxa"/>
            <w:tcBorders>
              <w:top w:val="single" w:color="auto" w:sz="8" w:space="0"/>
              <w:left w:val="single" w:color="auto" w:sz="8" w:space="0"/>
              <w:bottom w:val="single" w:color="auto" w:sz="8" w:space="0"/>
              <w:right w:val="single" w:color="auto" w:sz="8" w:space="0"/>
            </w:tcBorders>
            <w:noWrap w:val="0"/>
            <w:vAlign w:val="center"/>
          </w:tcPr>
          <w:p w14:paraId="079323F7">
            <w:pPr>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7316" w:type="dxa"/>
            <w:tcBorders>
              <w:top w:val="single" w:color="auto" w:sz="8" w:space="0"/>
              <w:left w:val="single" w:color="auto" w:sz="8" w:space="0"/>
              <w:bottom w:val="single" w:color="auto" w:sz="8" w:space="0"/>
              <w:right w:val="single" w:color="auto" w:sz="8" w:space="0"/>
            </w:tcBorders>
            <w:noWrap w:val="0"/>
            <w:vAlign w:val="center"/>
          </w:tcPr>
          <w:p w14:paraId="6671B91E">
            <w:pPr>
              <w:jc w:val="center"/>
              <w:rPr>
                <w:rFonts w:hint="eastAsia" w:hAnsi="宋体" w:cs="宋体"/>
                <w:color w:val="auto"/>
                <w:sz w:val="24"/>
                <w:szCs w:val="24"/>
                <w:highlight w:val="none"/>
              </w:rPr>
            </w:pPr>
          </w:p>
        </w:tc>
      </w:tr>
    </w:tbl>
    <w:p w14:paraId="1C2FD461">
      <w:pPr>
        <w:widowControl/>
        <w:snapToGrid w:val="0"/>
        <w:ind w:firstLine="480"/>
        <w:rPr>
          <w:rFonts w:hint="default" w:cs="宋体"/>
          <w:color w:val="auto"/>
          <w:szCs w:val="21"/>
          <w:highlight w:val="none"/>
          <w:lang w:val="en-US" w:eastAsia="zh-CN"/>
        </w:rPr>
      </w:pPr>
    </w:p>
    <w:p w14:paraId="75E55800">
      <w:pPr>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注：1.填写此表时不得改变表格的形式；</w:t>
      </w:r>
    </w:p>
    <w:p w14:paraId="51E1D607">
      <w:pPr>
        <w:ind w:left="0" w:leftChars="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2.如果供应商认为有应当说明而本表中无相应栏目的内容，请在“备注”一栏中说明；</w:t>
      </w:r>
    </w:p>
    <w:p w14:paraId="27644E24">
      <w:pPr>
        <w:ind w:left="0" w:leftChars="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3.不论开标一览表如何填写，此投标报价为投标人完成本项目所有内容的全部费用。</w:t>
      </w:r>
    </w:p>
    <w:p w14:paraId="3F97EB72">
      <w:pPr>
        <w:ind w:left="0" w:leftChars="0" w:firstLine="480" w:firstLineChars="200"/>
        <w:jc w:val="left"/>
        <w:rPr>
          <w:rFonts w:hint="eastAsia" w:ascii="宋体" w:hAnsi="宋体" w:eastAsia="宋体" w:cs="宋体"/>
          <w:color w:val="auto"/>
          <w:sz w:val="24"/>
          <w:szCs w:val="24"/>
          <w:highlight w:val="none"/>
          <w:lang w:val="en-US" w:eastAsia="zh-CN"/>
        </w:rPr>
      </w:pPr>
    </w:p>
    <w:p w14:paraId="5F8F0D1F">
      <w:pPr>
        <w:spacing w:line="480" w:lineRule="auto"/>
        <w:ind w:firstLine="4800" w:firstLineChars="2000"/>
        <w:rPr>
          <w:color w:val="auto"/>
          <w:highlight w:val="none"/>
          <w:u w:val="single"/>
        </w:rPr>
      </w:pPr>
      <w:r>
        <w:rPr>
          <w:rFonts w:hint="eastAsia"/>
          <w:color w:val="auto"/>
          <w:highlight w:val="none"/>
        </w:rPr>
        <w:t>投标人全称：</w:t>
      </w:r>
      <w:r>
        <w:rPr>
          <w:rFonts w:hint="eastAsia"/>
          <w:color w:val="auto"/>
          <w:highlight w:val="none"/>
          <w:u w:val="single"/>
        </w:rPr>
        <w:t xml:space="preserve">               （公章）</w:t>
      </w:r>
    </w:p>
    <w:p w14:paraId="3B08ADAA">
      <w:pPr>
        <w:spacing w:line="480" w:lineRule="auto"/>
        <w:ind w:firstLine="1440" w:firstLineChars="600"/>
        <w:jc w:val="right"/>
        <w:rPr>
          <w:color w:val="auto"/>
          <w:highlight w:val="none"/>
          <w:u w:val="single"/>
        </w:rPr>
      </w:pPr>
      <w:r>
        <w:rPr>
          <w:rFonts w:hint="eastAsia"/>
          <w:color w:val="auto"/>
          <w:highlight w:val="none"/>
        </w:rPr>
        <w:t>法定代表人或委托代理人：</w:t>
      </w:r>
      <w:r>
        <w:rPr>
          <w:rFonts w:hint="eastAsia"/>
          <w:color w:val="auto"/>
          <w:highlight w:val="none"/>
          <w:u w:val="single"/>
        </w:rPr>
        <w:t xml:space="preserve">         （签字或盖章）</w:t>
      </w:r>
      <w:r>
        <w:rPr>
          <w:rFonts w:hint="eastAsia"/>
          <w:color w:val="auto"/>
          <w:highlight w:val="none"/>
        </w:rPr>
        <w:t xml:space="preserve">                                   </w:t>
      </w:r>
    </w:p>
    <w:p w14:paraId="44E04F5B">
      <w:pPr>
        <w:widowControl/>
        <w:snapToGrid w:val="0"/>
        <w:ind w:firstLine="4800" w:firstLineChars="2000"/>
        <w:rPr>
          <w:rFonts w:hint="eastAsia" w:ascii="宋体" w:hAnsi="宋体"/>
          <w:b/>
          <w:bCs/>
          <w:color w:val="auto"/>
          <w:sz w:val="24"/>
          <w:highlight w:val="none"/>
        </w:rPr>
        <w:sectPr>
          <w:footerReference r:id="rId16" w:type="first"/>
          <w:footerReference r:id="rId15" w:type="default"/>
          <w:pgSz w:w="11907" w:h="16840"/>
          <w:pgMar w:top="1418" w:right="1418" w:bottom="1134" w:left="1418" w:header="964" w:footer="964" w:gutter="0"/>
          <w:cols w:space="720" w:num="1"/>
          <w:titlePg/>
          <w:docGrid w:linePitch="286" w:charSpace="0"/>
        </w:sectPr>
      </w:pPr>
      <w:r>
        <w:rPr>
          <w:rFonts w:hint="eastAsia" w:ascii="宋体" w:hAnsi="宋体"/>
          <w:color w:val="auto"/>
          <w:sz w:val="24"/>
          <w:highlight w:val="none"/>
        </w:rPr>
        <w:t xml:space="preserve">日      期：     年   月   日    </w:t>
      </w:r>
      <w:r>
        <w:rPr>
          <w:rFonts w:ascii="Tahoma" w:hAnsi="Calibri" w:cs="宋体"/>
          <w:color w:val="auto"/>
          <w:spacing w:val="-2"/>
          <w:sz w:val="21"/>
          <w:szCs w:val="21"/>
          <w:highlight w:val="none"/>
        </w:rPr>
        <w:t xml:space="preserve">   </w:t>
      </w:r>
    </w:p>
    <w:p w14:paraId="624432C5">
      <w:pPr>
        <w:pStyle w:val="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leftChars="0" w:firstLine="0" w:firstLineChars="0"/>
        <w:jc w:val="both"/>
        <w:rPr>
          <w:rFonts w:hint="eastAsia" w:ascii="宋体" w:hAnsi="宋体"/>
          <w:b/>
          <w:bCs/>
          <w:color w:val="auto"/>
          <w:sz w:val="24"/>
          <w:highlight w:val="none"/>
        </w:rPr>
      </w:pPr>
    </w:p>
    <w:p w14:paraId="5EF78852">
      <w:pPr>
        <w:pStyle w:val="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jc w:val="center"/>
        <w:rPr>
          <w:rFonts w:hint="eastAsia" w:ascii="宋体" w:hAnsi="宋体" w:eastAsia="宋体" w:cs="Times New Roman"/>
          <w:b/>
          <w:bCs/>
          <w:color w:val="auto"/>
          <w:kern w:val="2"/>
          <w:sz w:val="28"/>
          <w:szCs w:val="28"/>
          <w:highlight w:val="none"/>
          <w:lang w:val="en-US" w:eastAsia="zh-CN" w:bidi="ar-SA"/>
        </w:rPr>
      </w:pPr>
      <w:r>
        <w:rPr>
          <w:rFonts w:hint="eastAsia" w:ascii="宋体" w:hAnsi="宋体" w:eastAsia="宋体" w:cs="Times New Roman"/>
          <w:b/>
          <w:bCs/>
          <w:color w:val="auto"/>
          <w:kern w:val="2"/>
          <w:sz w:val="28"/>
          <w:szCs w:val="28"/>
          <w:highlight w:val="none"/>
          <w:lang w:val="en-US" w:eastAsia="zh-CN" w:bidi="ar-SA"/>
        </w:rPr>
        <w:t>分项报价表</w:t>
      </w:r>
    </w:p>
    <w:tbl>
      <w:tblPr>
        <w:tblStyle w:val="41"/>
        <w:tblW w:w="14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2"/>
        <w:gridCol w:w="1954"/>
        <w:gridCol w:w="1643"/>
        <w:gridCol w:w="1741"/>
        <w:gridCol w:w="1800"/>
        <w:gridCol w:w="1500"/>
        <w:gridCol w:w="1418"/>
        <w:gridCol w:w="1823"/>
        <w:gridCol w:w="1478"/>
      </w:tblGrid>
      <w:tr w14:paraId="679A8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1142" w:type="dxa"/>
            <w:vAlign w:val="center"/>
          </w:tcPr>
          <w:p w14:paraId="6335896D">
            <w:pPr>
              <w:widowControl/>
              <w:snapToGrid w:val="0"/>
              <w:spacing w:line="240" w:lineRule="auto"/>
              <w:ind w:left="0" w:leftChars="0" w:right="0" w:rightChars="0" w:firstLine="0" w:firstLineChars="0"/>
              <w:jc w:val="center"/>
              <w:rPr>
                <w:rFonts w:hint="eastAsia" w:ascii="宋体" w:eastAsia="宋体" w:cs="宋体"/>
                <w:b/>
                <w:color w:val="auto"/>
                <w:sz w:val="24"/>
                <w:szCs w:val="24"/>
                <w:highlight w:val="none"/>
                <w:vertAlign w:val="baseline"/>
                <w:lang w:val="en-US" w:eastAsia="zh-CN"/>
              </w:rPr>
            </w:pPr>
            <w:r>
              <w:rPr>
                <w:rFonts w:hint="eastAsia" w:ascii="宋体" w:eastAsia="宋体" w:cs="宋体"/>
                <w:b/>
                <w:color w:val="auto"/>
                <w:sz w:val="24"/>
                <w:szCs w:val="24"/>
                <w:highlight w:val="none"/>
                <w:vertAlign w:val="baseline"/>
                <w:lang w:val="en-US" w:eastAsia="zh-CN"/>
              </w:rPr>
              <w:t>序号</w:t>
            </w:r>
          </w:p>
        </w:tc>
        <w:tc>
          <w:tcPr>
            <w:tcW w:w="1954" w:type="dxa"/>
            <w:vAlign w:val="center"/>
          </w:tcPr>
          <w:p w14:paraId="0F77508C">
            <w:pPr>
              <w:keepNext w:val="0"/>
              <w:keepLines w:val="0"/>
              <w:widowControl/>
              <w:suppressLineNumbers w:val="0"/>
              <w:snapToGrid w:val="0"/>
              <w:spacing w:line="240" w:lineRule="auto"/>
              <w:ind w:left="0" w:leftChars="0" w:right="0" w:rightChars="0" w:firstLine="0" w:firstLineChars="0"/>
              <w:jc w:val="center"/>
              <w:textAlignment w:val="center"/>
              <w:rPr>
                <w:rFonts w:ascii="宋体" w:eastAsia="宋体" w:cs="宋体"/>
                <w:b/>
                <w:color w:val="auto"/>
                <w:sz w:val="24"/>
                <w:szCs w:val="24"/>
                <w:highlight w:val="none"/>
                <w:vertAlign w:val="baseline"/>
              </w:rPr>
            </w:pPr>
            <w:r>
              <w:rPr>
                <w:rFonts w:hint="eastAsia" w:ascii="宋体" w:hAnsi="宋体" w:eastAsia="宋体" w:cs="宋体"/>
                <w:b/>
                <w:i w:val="0"/>
                <w:iCs w:val="0"/>
                <w:color w:val="auto"/>
                <w:kern w:val="0"/>
                <w:sz w:val="24"/>
                <w:szCs w:val="24"/>
                <w:highlight w:val="none"/>
                <w:u w:val="none"/>
                <w:lang w:val="en-US" w:eastAsia="zh-CN" w:bidi="ar"/>
              </w:rPr>
              <w:t>书名</w:t>
            </w:r>
          </w:p>
        </w:tc>
        <w:tc>
          <w:tcPr>
            <w:tcW w:w="1643" w:type="dxa"/>
            <w:vAlign w:val="center"/>
          </w:tcPr>
          <w:p w14:paraId="7B00277A">
            <w:pPr>
              <w:keepNext w:val="0"/>
              <w:keepLines w:val="0"/>
              <w:widowControl/>
              <w:suppressLineNumbers w:val="0"/>
              <w:snapToGrid w:val="0"/>
              <w:spacing w:line="240" w:lineRule="auto"/>
              <w:ind w:left="0" w:leftChars="0" w:right="0" w:rightChars="0" w:firstLine="0" w:firstLineChars="0"/>
              <w:jc w:val="center"/>
              <w:textAlignment w:val="center"/>
              <w:rPr>
                <w:rFonts w:ascii="宋体" w:eastAsia="宋体" w:cs="宋体"/>
                <w:b/>
                <w:color w:val="auto"/>
                <w:sz w:val="24"/>
                <w:szCs w:val="24"/>
                <w:highlight w:val="none"/>
                <w:vertAlign w:val="baseline"/>
              </w:rPr>
            </w:pPr>
            <w:r>
              <w:rPr>
                <w:rFonts w:hint="eastAsia" w:ascii="宋体" w:hAnsi="宋体" w:eastAsia="宋体" w:cs="宋体"/>
                <w:b/>
                <w:i w:val="0"/>
                <w:iCs w:val="0"/>
                <w:color w:val="auto"/>
                <w:kern w:val="0"/>
                <w:sz w:val="24"/>
                <w:szCs w:val="24"/>
                <w:highlight w:val="none"/>
                <w:u w:val="none"/>
                <w:lang w:val="en-US" w:eastAsia="zh-CN" w:bidi="ar"/>
              </w:rPr>
              <w:t>条码</w:t>
            </w:r>
          </w:p>
        </w:tc>
        <w:tc>
          <w:tcPr>
            <w:tcW w:w="1741" w:type="dxa"/>
            <w:vAlign w:val="center"/>
          </w:tcPr>
          <w:p w14:paraId="59F4F674">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宋体" w:eastAsia="宋体" w:cs="宋体"/>
                <w:b/>
                <w:i w:val="0"/>
                <w:iCs w:val="0"/>
                <w:color w:val="auto"/>
                <w:kern w:val="0"/>
                <w:sz w:val="24"/>
                <w:szCs w:val="24"/>
                <w:highlight w:val="none"/>
                <w:u w:val="none"/>
                <w:lang w:val="en-US" w:eastAsia="zh-CN" w:bidi="ar"/>
              </w:rPr>
            </w:pPr>
            <w:r>
              <w:rPr>
                <w:rFonts w:hint="eastAsia" w:ascii="宋体" w:hAnsi="宋体" w:eastAsia="宋体" w:cs="宋体"/>
                <w:b/>
                <w:i w:val="0"/>
                <w:iCs w:val="0"/>
                <w:color w:val="auto"/>
                <w:kern w:val="0"/>
                <w:sz w:val="24"/>
                <w:szCs w:val="24"/>
                <w:highlight w:val="none"/>
                <w:u w:val="none"/>
                <w:lang w:val="en-US" w:eastAsia="zh-CN" w:bidi="ar"/>
              </w:rPr>
              <w:t>出版社</w:t>
            </w:r>
          </w:p>
        </w:tc>
        <w:tc>
          <w:tcPr>
            <w:tcW w:w="1800" w:type="dxa"/>
            <w:vAlign w:val="center"/>
          </w:tcPr>
          <w:p w14:paraId="0487B90E">
            <w:pPr>
              <w:keepNext w:val="0"/>
              <w:keepLines w:val="0"/>
              <w:widowControl/>
              <w:suppressLineNumbers w:val="0"/>
              <w:snapToGrid w:val="0"/>
              <w:spacing w:line="240" w:lineRule="auto"/>
              <w:ind w:left="0" w:leftChars="0" w:right="0" w:rightChars="0" w:firstLine="0" w:firstLineChars="0"/>
              <w:jc w:val="center"/>
              <w:textAlignment w:val="center"/>
              <w:rPr>
                <w:rFonts w:ascii="宋体" w:eastAsia="宋体" w:cs="宋体"/>
                <w:b/>
                <w:color w:val="auto"/>
                <w:sz w:val="24"/>
                <w:szCs w:val="24"/>
                <w:highlight w:val="none"/>
                <w:vertAlign w:val="baseline"/>
              </w:rPr>
            </w:pPr>
            <w:r>
              <w:rPr>
                <w:rFonts w:hint="eastAsia" w:ascii="宋体" w:hAnsi="宋体" w:eastAsia="宋体" w:cs="宋体"/>
                <w:b/>
                <w:i w:val="0"/>
                <w:iCs w:val="0"/>
                <w:color w:val="auto"/>
                <w:kern w:val="0"/>
                <w:sz w:val="24"/>
                <w:szCs w:val="24"/>
                <w:highlight w:val="none"/>
                <w:u w:val="none"/>
                <w:lang w:val="en-US" w:eastAsia="zh-CN" w:bidi="ar"/>
              </w:rPr>
              <w:t>码洋</w:t>
            </w:r>
          </w:p>
        </w:tc>
        <w:tc>
          <w:tcPr>
            <w:tcW w:w="1500" w:type="dxa"/>
            <w:vAlign w:val="center"/>
          </w:tcPr>
          <w:p w14:paraId="06F355A3">
            <w:pPr>
              <w:keepNext w:val="0"/>
              <w:keepLines w:val="0"/>
              <w:widowControl/>
              <w:suppressLineNumbers w:val="0"/>
              <w:snapToGrid w:val="0"/>
              <w:spacing w:line="240" w:lineRule="auto"/>
              <w:ind w:left="0" w:leftChars="0" w:right="0" w:rightChars="0" w:firstLine="0" w:firstLineChars="0"/>
              <w:jc w:val="center"/>
              <w:textAlignment w:val="center"/>
              <w:rPr>
                <w:rFonts w:ascii="宋体" w:eastAsia="宋体" w:cs="宋体"/>
                <w:b/>
                <w:color w:val="auto"/>
                <w:sz w:val="24"/>
                <w:szCs w:val="24"/>
                <w:highlight w:val="none"/>
                <w:vertAlign w:val="baseline"/>
              </w:rPr>
            </w:pPr>
            <w:r>
              <w:rPr>
                <w:rFonts w:hint="eastAsia" w:ascii="宋体" w:hAnsi="宋体" w:eastAsia="宋体" w:cs="宋体"/>
                <w:b/>
                <w:i w:val="0"/>
                <w:iCs w:val="0"/>
                <w:color w:val="auto"/>
                <w:kern w:val="0"/>
                <w:sz w:val="24"/>
                <w:szCs w:val="24"/>
                <w:highlight w:val="none"/>
                <w:u w:val="none"/>
                <w:lang w:val="en-US" w:eastAsia="zh-CN" w:bidi="ar"/>
              </w:rPr>
              <w:t>数量（册）</w:t>
            </w:r>
          </w:p>
        </w:tc>
        <w:tc>
          <w:tcPr>
            <w:tcW w:w="1418" w:type="dxa"/>
            <w:vAlign w:val="center"/>
          </w:tcPr>
          <w:p w14:paraId="798D8474">
            <w:pPr>
              <w:keepNext w:val="0"/>
              <w:keepLines w:val="0"/>
              <w:widowControl/>
              <w:suppressLineNumbers w:val="0"/>
              <w:snapToGrid w:val="0"/>
              <w:spacing w:line="240" w:lineRule="auto"/>
              <w:ind w:left="0" w:leftChars="0" w:right="0" w:rightChars="0" w:firstLine="0" w:firstLineChars="0"/>
              <w:jc w:val="center"/>
              <w:textAlignment w:val="center"/>
              <w:rPr>
                <w:rFonts w:ascii="宋体" w:eastAsia="宋体" w:cs="宋体"/>
                <w:b/>
                <w:color w:val="auto"/>
                <w:sz w:val="24"/>
                <w:szCs w:val="24"/>
                <w:highlight w:val="none"/>
                <w:vertAlign w:val="baseline"/>
              </w:rPr>
            </w:pPr>
            <w:r>
              <w:rPr>
                <w:rFonts w:hint="eastAsia" w:ascii="宋体" w:hAnsi="宋体" w:eastAsia="宋体" w:cs="宋体"/>
                <w:b/>
                <w:i w:val="0"/>
                <w:iCs w:val="0"/>
                <w:color w:val="auto"/>
                <w:kern w:val="0"/>
                <w:sz w:val="24"/>
                <w:szCs w:val="24"/>
                <w:highlight w:val="none"/>
                <w:u w:val="none"/>
                <w:lang w:val="en-US" w:eastAsia="zh-CN" w:bidi="ar"/>
              </w:rPr>
              <w:t>折扣</w:t>
            </w:r>
          </w:p>
        </w:tc>
        <w:tc>
          <w:tcPr>
            <w:tcW w:w="1823" w:type="dxa"/>
            <w:vAlign w:val="center"/>
          </w:tcPr>
          <w:p w14:paraId="3D27E0C7">
            <w:pPr>
              <w:keepNext w:val="0"/>
              <w:keepLines w:val="0"/>
              <w:widowControl/>
              <w:suppressLineNumbers w:val="0"/>
              <w:snapToGrid w:val="0"/>
              <w:spacing w:line="240" w:lineRule="auto"/>
              <w:ind w:left="0" w:leftChars="0" w:right="0" w:rightChars="0" w:firstLine="0" w:firstLineChars="0"/>
              <w:jc w:val="center"/>
              <w:textAlignment w:val="center"/>
              <w:rPr>
                <w:rFonts w:ascii="宋体" w:eastAsia="宋体" w:cs="宋体"/>
                <w:b/>
                <w:color w:val="auto"/>
                <w:sz w:val="24"/>
                <w:szCs w:val="24"/>
                <w:highlight w:val="none"/>
                <w:vertAlign w:val="baseline"/>
              </w:rPr>
            </w:pPr>
            <w:r>
              <w:rPr>
                <w:rFonts w:hint="eastAsia" w:ascii="宋体" w:hAnsi="宋体" w:eastAsia="宋体" w:cs="宋体"/>
                <w:b/>
                <w:i w:val="0"/>
                <w:iCs w:val="0"/>
                <w:color w:val="auto"/>
                <w:kern w:val="0"/>
                <w:sz w:val="24"/>
                <w:szCs w:val="24"/>
                <w:highlight w:val="none"/>
                <w:u w:val="none"/>
                <w:lang w:val="en-US" w:eastAsia="zh-CN" w:bidi="ar"/>
              </w:rPr>
              <w:t>实洋</w:t>
            </w:r>
          </w:p>
        </w:tc>
        <w:tc>
          <w:tcPr>
            <w:tcW w:w="1478" w:type="dxa"/>
            <w:vAlign w:val="center"/>
          </w:tcPr>
          <w:p w14:paraId="21C03FD4">
            <w:pPr>
              <w:keepNext w:val="0"/>
              <w:keepLines w:val="0"/>
              <w:widowControl/>
              <w:suppressLineNumbers w:val="0"/>
              <w:snapToGrid w:val="0"/>
              <w:spacing w:line="240" w:lineRule="auto"/>
              <w:ind w:left="0" w:leftChars="0" w:right="0" w:rightChars="0" w:firstLine="0" w:firstLineChars="0"/>
              <w:jc w:val="center"/>
              <w:textAlignment w:val="center"/>
              <w:rPr>
                <w:rFonts w:ascii="宋体" w:eastAsia="宋体" w:cs="宋体"/>
                <w:b/>
                <w:color w:val="auto"/>
                <w:sz w:val="24"/>
                <w:szCs w:val="24"/>
                <w:highlight w:val="none"/>
                <w:vertAlign w:val="baseline"/>
              </w:rPr>
            </w:pPr>
            <w:r>
              <w:rPr>
                <w:rFonts w:hint="eastAsia" w:ascii="宋体" w:hAnsi="宋体" w:eastAsia="宋体" w:cs="宋体"/>
                <w:b/>
                <w:i w:val="0"/>
                <w:iCs w:val="0"/>
                <w:color w:val="auto"/>
                <w:kern w:val="0"/>
                <w:sz w:val="24"/>
                <w:szCs w:val="24"/>
                <w:highlight w:val="none"/>
                <w:u w:val="none"/>
                <w:lang w:val="en-US" w:eastAsia="zh-CN" w:bidi="ar"/>
              </w:rPr>
              <w:t>备注</w:t>
            </w:r>
          </w:p>
        </w:tc>
      </w:tr>
      <w:tr w14:paraId="3D2E0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42" w:type="dxa"/>
            <w:vAlign w:val="center"/>
          </w:tcPr>
          <w:p w14:paraId="2AEB6259">
            <w:pPr>
              <w:widowControl/>
              <w:snapToGrid w:val="0"/>
              <w:spacing w:line="240" w:lineRule="auto"/>
              <w:ind w:left="0" w:leftChars="0" w:right="0" w:rightChars="0" w:firstLine="0" w:firstLineChars="0"/>
              <w:jc w:val="center"/>
              <w:rPr>
                <w:rFonts w:hint="eastAsia" w:eastAsia="宋体" w:cs="宋体"/>
                <w:color w:val="auto"/>
                <w:szCs w:val="21"/>
                <w:highlight w:val="none"/>
                <w:vertAlign w:val="baseline"/>
                <w:lang w:val="en-US" w:eastAsia="zh-CN"/>
              </w:rPr>
            </w:pPr>
            <w:r>
              <w:rPr>
                <w:rFonts w:hint="eastAsia" w:cs="宋体"/>
                <w:color w:val="auto"/>
                <w:szCs w:val="21"/>
                <w:highlight w:val="none"/>
                <w:vertAlign w:val="baseline"/>
                <w:lang w:val="en-US" w:eastAsia="zh-CN"/>
              </w:rPr>
              <w:t>1</w:t>
            </w:r>
          </w:p>
        </w:tc>
        <w:tc>
          <w:tcPr>
            <w:tcW w:w="1954" w:type="dxa"/>
            <w:vAlign w:val="center"/>
          </w:tcPr>
          <w:p w14:paraId="6AC44FB2">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643" w:type="dxa"/>
            <w:vAlign w:val="center"/>
          </w:tcPr>
          <w:p w14:paraId="511571FC">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741" w:type="dxa"/>
            <w:vAlign w:val="center"/>
          </w:tcPr>
          <w:p w14:paraId="10DD9A09">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800" w:type="dxa"/>
            <w:vAlign w:val="center"/>
          </w:tcPr>
          <w:p w14:paraId="09406AC5">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500" w:type="dxa"/>
            <w:vAlign w:val="center"/>
          </w:tcPr>
          <w:p w14:paraId="7F5100CE">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418" w:type="dxa"/>
            <w:vAlign w:val="center"/>
          </w:tcPr>
          <w:p w14:paraId="0398EAC4">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823" w:type="dxa"/>
            <w:vAlign w:val="center"/>
          </w:tcPr>
          <w:p w14:paraId="1AF6F006">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478" w:type="dxa"/>
            <w:vAlign w:val="center"/>
          </w:tcPr>
          <w:p w14:paraId="5F45EBB9">
            <w:pPr>
              <w:widowControl/>
              <w:snapToGrid w:val="0"/>
              <w:spacing w:line="240" w:lineRule="auto"/>
              <w:ind w:left="0" w:leftChars="0" w:right="0" w:rightChars="0" w:firstLine="0" w:firstLineChars="0"/>
              <w:jc w:val="center"/>
              <w:rPr>
                <w:rFonts w:cs="宋体"/>
                <w:color w:val="auto"/>
                <w:szCs w:val="21"/>
                <w:highlight w:val="none"/>
                <w:vertAlign w:val="baseline"/>
              </w:rPr>
            </w:pPr>
          </w:p>
        </w:tc>
      </w:tr>
      <w:tr w14:paraId="11ADB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42" w:type="dxa"/>
            <w:vAlign w:val="center"/>
          </w:tcPr>
          <w:p w14:paraId="55EC6226">
            <w:pPr>
              <w:widowControl/>
              <w:snapToGrid w:val="0"/>
              <w:spacing w:line="240" w:lineRule="auto"/>
              <w:ind w:left="0" w:leftChars="0" w:right="0" w:rightChars="0" w:firstLine="0" w:firstLineChars="0"/>
              <w:jc w:val="center"/>
              <w:rPr>
                <w:rFonts w:hint="eastAsia" w:eastAsia="宋体" w:cs="宋体"/>
                <w:color w:val="auto"/>
                <w:szCs w:val="21"/>
                <w:highlight w:val="none"/>
                <w:vertAlign w:val="baseline"/>
                <w:lang w:val="en-US" w:eastAsia="zh-CN"/>
              </w:rPr>
            </w:pPr>
            <w:r>
              <w:rPr>
                <w:rFonts w:hint="eastAsia" w:cs="宋体"/>
                <w:color w:val="auto"/>
                <w:szCs w:val="21"/>
                <w:highlight w:val="none"/>
                <w:vertAlign w:val="baseline"/>
                <w:lang w:val="en-US" w:eastAsia="zh-CN"/>
              </w:rPr>
              <w:t>2</w:t>
            </w:r>
          </w:p>
        </w:tc>
        <w:tc>
          <w:tcPr>
            <w:tcW w:w="1954" w:type="dxa"/>
            <w:vAlign w:val="center"/>
          </w:tcPr>
          <w:p w14:paraId="44A4AB58">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643" w:type="dxa"/>
            <w:vAlign w:val="center"/>
          </w:tcPr>
          <w:p w14:paraId="156C49A6">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741" w:type="dxa"/>
            <w:vAlign w:val="center"/>
          </w:tcPr>
          <w:p w14:paraId="0006E838">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800" w:type="dxa"/>
            <w:vAlign w:val="center"/>
          </w:tcPr>
          <w:p w14:paraId="1ADFDD76">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500" w:type="dxa"/>
            <w:vAlign w:val="center"/>
          </w:tcPr>
          <w:p w14:paraId="77BEF26B">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418" w:type="dxa"/>
            <w:vAlign w:val="center"/>
          </w:tcPr>
          <w:p w14:paraId="5D125C53">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823" w:type="dxa"/>
            <w:vAlign w:val="center"/>
          </w:tcPr>
          <w:p w14:paraId="1B7908DA">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478" w:type="dxa"/>
            <w:vAlign w:val="center"/>
          </w:tcPr>
          <w:p w14:paraId="212408BB">
            <w:pPr>
              <w:widowControl/>
              <w:snapToGrid w:val="0"/>
              <w:spacing w:line="240" w:lineRule="auto"/>
              <w:ind w:left="0" w:leftChars="0" w:right="0" w:rightChars="0" w:firstLine="0" w:firstLineChars="0"/>
              <w:jc w:val="center"/>
              <w:rPr>
                <w:rFonts w:cs="宋体"/>
                <w:color w:val="auto"/>
                <w:szCs w:val="21"/>
                <w:highlight w:val="none"/>
                <w:vertAlign w:val="baseline"/>
              </w:rPr>
            </w:pPr>
          </w:p>
        </w:tc>
      </w:tr>
      <w:tr w14:paraId="1A23D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42" w:type="dxa"/>
            <w:vAlign w:val="center"/>
          </w:tcPr>
          <w:p w14:paraId="07090E1F">
            <w:pPr>
              <w:widowControl/>
              <w:snapToGrid w:val="0"/>
              <w:spacing w:line="240" w:lineRule="auto"/>
              <w:ind w:left="0" w:leftChars="0" w:right="0" w:rightChars="0" w:firstLine="0" w:firstLineChars="0"/>
              <w:jc w:val="center"/>
              <w:rPr>
                <w:rFonts w:hint="eastAsia" w:eastAsia="宋体" w:cs="宋体"/>
                <w:color w:val="auto"/>
                <w:szCs w:val="21"/>
                <w:highlight w:val="none"/>
                <w:vertAlign w:val="baseline"/>
                <w:lang w:val="en-US" w:eastAsia="zh-CN"/>
              </w:rPr>
            </w:pPr>
            <w:r>
              <w:rPr>
                <w:rFonts w:hint="eastAsia" w:cs="宋体"/>
                <w:color w:val="auto"/>
                <w:szCs w:val="21"/>
                <w:highlight w:val="none"/>
                <w:vertAlign w:val="baseline"/>
                <w:lang w:val="en-US" w:eastAsia="zh-CN"/>
              </w:rPr>
              <w:t>3</w:t>
            </w:r>
          </w:p>
        </w:tc>
        <w:tc>
          <w:tcPr>
            <w:tcW w:w="1954" w:type="dxa"/>
            <w:vAlign w:val="center"/>
          </w:tcPr>
          <w:p w14:paraId="186CDE35">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643" w:type="dxa"/>
            <w:vAlign w:val="center"/>
          </w:tcPr>
          <w:p w14:paraId="7FDFF34A">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741" w:type="dxa"/>
            <w:vAlign w:val="center"/>
          </w:tcPr>
          <w:p w14:paraId="706778FA">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800" w:type="dxa"/>
            <w:vAlign w:val="center"/>
          </w:tcPr>
          <w:p w14:paraId="596FC52C">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500" w:type="dxa"/>
            <w:vAlign w:val="center"/>
          </w:tcPr>
          <w:p w14:paraId="7BA29912">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418" w:type="dxa"/>
            <w:vAlign w:val="center"/>
          </w:tcPr>
          <w:p w14:paraId="6DC462D3">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823" w:type="dxa"/>
            <w:vAlign w:val="center"/>
          </w:tcPr>
          <w:p w14:paraId="4859E55A">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478" w:type="dxa"/>
            <w:vAlign w:val="center"/>
          </w:tcPr>
          <w:p w14:paraId="64407E31">
            <w:pPr>
              <w:widowControl/>
              <w:snapToGrid w:val="0"/>
              <w:spacing w:line="240" w:lineRule="auto"/>
              <w:ind w:left="0" w:leftChars="0" w:right="0" w:rightChars="0" w:firstLine="0" w:firstLineChars="0"/>
              <w:jc w:val="center"/>
              <w:rPr>
                <w:rFonts w:cs="宋体"/>
                <w:color w:val="auto"/>
                <w:szCs w:val="21"/>
                <w:highlight w:val="none"/>
                <w:vertAlign w:val="baseline"/>
              </w:rPr>
            </w:pPr>
          </w:p>
        </w:tc>
      </w:tr>
      <w:tr w14:paraId="40372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42" w:type="dxa"/>
            <w:vAlign w:val="center"/>
          </w:tcPr>
          <w:p w14:paraId="6DACAC6A">
            <w:pPr>
              <w:widowControl/>
              <w:snapToGrid w:val="0"/>
              <w:spacing w:line="240" w:lineRule="auto"/>
              <w:ind w:left="0" w:leftChars="0" w:right="0" w:rightChars="0" w:firstLine="0" w:firstLineChars="0"/>
              <w:jc w:val="center"/>
              <w:rPr>
                <w:rFonts w:hint="eastAsia" w:eastAsia="宋体" w:cs="宋体"/>
                <w:color w:val="auto"/>
                <w:szCs w:val="21"/>
                <w:highlight w:val="none"/>
                <w:vertAlign w:val="baseline"/>
                <w:lang w:val="en-US" w:eastAsia="zh-CN"/>
              </w:rPr>
            </w:pPr>
            <w:r>
              <w:rPr>
                <w:rFonts w:hint="eastAsia" w:cs="宋体"/>
                <w:color w:val="auto"/>
                <w:szCs w:val="21"/>
                <w:highlight w:val="none"/>
                <w:vertAlign w:val="baseline"/>
                <w:lang w:val="en-US" w:eastAsia="zh-CN"/>
              </w:rPr>
              <w:t>4</w:t>
            </w:r>
          </w:p>
        </w:tc>
        <w:tc>
          <w:tcPr>
            <w:tcW w:w="1954" w:type="dxa"/>
            <w:vAlign w:val="center"/>
          </w:tcPr>
          <w:p w14:paraId="67DE8F6C">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643" w:type="dxa"/>
            <w:vAlign w:val="center"/>
          </w:tcPr>
          <w:p w14:paraId="0C197C7E">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741" w:type="dxa"/>
            <w:vAlign w:val="center"/>
          </w:tcPr>
          <w:p w14:paraId="779492F7">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800" w:type="dxa"/>
            <w:vAlign w:val="center"/>
          </w:tcPr>
          <w:p w14:paraId="578EFD79">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500" w:type="dxa"/>
            <w:vAlign w:val="center"/>
          </w:tcPr>
          <w:p w14:paraId="4B7BA907">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418" w:type="dxa"/>
            <w:vAlign w:val="center"/>
          </w:tcPr>
          <w:p w14:paraId="3AA364A3">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823" w:type="dxa"/>
            <w:vAlign w:val="center"/>
          </w:tcPr>
          <w:p w14:paraId="73480A67">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478" w:type="dxa"/>
            <w:vAlign w:val="center"/>
          </w:tcPr>
          <w:p w14:paraId="12FE05E7">
            <w:pPr>
              <w:widowControl/>
              <w:snapToGrid w:val="0"/>
              <w:spacing w:line="240" w:lineRule="auto"/>
              <w:ind w:left="0" w:leftChars="0" w:right="0" w:rightChars="0" w:firstLine="0" w:firstLineChars="0"/>
              <w:jc w:val="center"/>
              <w:rPr>
                <w:rFonts w:cs="宋体"/>
                <w:color w:val="auto"/>
                <w:szCs w:val="21"/>
                <w:highlight w:val="none"/>
                <w:vertAlign w:val="baseline"/>
              </w:rPr>
            </w:pPr>
          </w:p>
        </w:tc>
      </w:tr>
      <w:tr w14:paraId="3DE90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42" w:type="dxa"/>
            <w:vAlign w:val="center"/>
          </w:tcPr>
          <w:p w14:paraId="427F4F00">
            <w:pPr>
              <w:widowControl/>
              <w:snapToGrid w:val="0"/>
              <w:spacing w:line="240" w:lineRule="auto"/>
              <w:ind w:left="0" w:leftChars="0" w:right="0" w:rightChars="0" w:firstLine="0" w:firstLineChars="0"/>
              <w:jc w:val="center"/>
              <w:rPr>
                <w:rFonts w:hint="default" w:cs="宋体"/>
                <w:color w:val="auto"/>
                <w:szCs w:val="21"/>
                <w:highlight w:val="none"/>
                <w:vertAlign w:val="baseline"/>
                <w:lang w:val="en-US" w:eastAsia="zh-CN"/>
              </w:rPr>
            </w:pPr>
            <w:r>
              <w:rPr>
                <w:rFonts w:hint="eastAsia" w:cs="宋体"/>
                <w:color w:val="auto"/>
                <w:szCs w:val="21"/>
                <w:highlight w:val="none"/>
                <w:vertAlign w:val="baseline"/>
                <w:lang w:val="en-US" w:eastAsia="zh-CN"/>
              </w:rPr>
              <w:t>5</w:t>
            </w:r>
          </w:p>
        </w:tc>
        <w:tc>
          <w:tcPr>
            <w:tcW w:w="1954" w:type="dxa"/>
            <w:vAlign w:val="center"/>
          </w:tcPr>
          <w:p w14:paraId="1850EA3F">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643" w:type="dxa"/>
            <w:vAlign w:val="center"/>
          </w:tcPr>
          <w:p w14:paraId="6DFDFE76">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741" w:type="dxa"/>
            <w:vAlign w:val="center"/>
          </w:tcPr>
          <w:p w14:paraId="144E4CA8">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800" w:type="dxa"/>
            <w:vAlign w:val="center"/>
          </w:tcPr>
          <w:p w14:paraId="6E4E992D">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500" w:type="dxa"/>
            <w:vAlign w:val="center"/>
          </w:tcPr>
          <w:p w14:paraId="5EF807F5">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418" w:type="dxa"/>
            <w:vAlign w:val="center"/>
          </w:tcPr>
          <w:p w14:paraId="4959910B">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823" w:type="dxa"/>
            <w:vAlign w:val="center"/>
          </w:tcPr>
          <w:p w14:paraId="6AACC92A">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478" w:type="dxa"/>
            <w:vAlign w:val="center"/>
          </w:tcPr>
          <w:p w14:paraId="2B322A6F">
            <w:pPr>
              <w:widowControl/>
              <w:snapToGrid w:val="0"/>
              <w:spacing w:line="240" w:lineRule="auto"/>
              <w:ind w:left="0" w:leftChars="0" w:right="0" w:rightChars="0" w:firstLine="0" w:firstLineChars="0"/>
              <w:jc w:val="center"/>
              <w:rPr>
                <w:rFonts w:cs="宋体"/>
                <w:color w:val="auto"/>
                <w:szCs w:val="21"/>
                <w:highlight w:val="none"/>
                <w:vertAlign w:val="baseline"/>
              </w:rPr>
            </w:pPr>
          </w:p>
        </w:tc>
      </w:tr>
      <w:tr w14:paraId="49637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42" w:type="dxa"/>
            <w:vAlign w:val="center"/>
          </w:tcPr>
          <w:p w14:paraId="3B56AE81">
            <w:pPr>
              <w:widowControl/>
              <w:snapToGrid w:val="0"/>
              <w:spacing w:line="240" w:lineRule="auto"/>
              <w:ind w:left="0" w:leftChars="0" w:right="0" w:rightChars="0" w:firstLine="0" w:firstLineChars="0"/>
              <w:jc w:val="center"/>
              <w:rPr>
                <w:rFonts w:hint="default" w:cs="宋体"/>
                <w:color w:val="auto"/>
                <w:szCs w:val="21"/>
                <w:highlight w:val="none"/>
                <w:vertAlign w:val="baseline"/>
                <w:lang w:val="en-US" w:eastAsia="zh-CN"/>
              </w:rPr>
            </w:pPr>
            <w:r>
              <w:rPr>
                <w:rFonts w:hint="eastAsia" w:cs="宋体"/>
                <w:color w:val="auto"/>
                <w:szCs w:val="21"/>
                <w:highlight w:val="none"/>
                <w:vertAlign w:val="baseline"/>
                <w:lang w:val="en-US" w:eastAsia="zh-CN"/>
              </w:rPr>
              <w:t>...</w:t>
            </w:r>
          </w:p>
        </w:tc>
        <w:tc>
          <w:tcPr>
            <w:tcW w:w="1954" w:type="dxa"/>
            <w:vAlign w:val="center"/>
          </w:tcPr>
          <w:p w14:paraId="6F0B7200">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643" w:type="dxa"/>
            <w:vAlign w:val="center"/>
          </w:tcPr>
          <w:p w14:paraId="419ABC58">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741" w:type="dxa"/>
            <w:vAlign w:val="center"/>
          </w:tcPr>
          <w:p w14:paraId="5ED97485">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800" w:type="dxa"/>
            <w:vAlign w:val="center"/>
          </w:tcPr>
          <w:p w14:paraId="0C393362">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500" w:type="dxa"/>
            <w:vAlign w:val="center"/>
          </w:tcPr>
          <w:p w14:paraId="4361D51E">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418" w:type="dxa"/>
            <w:vAlign w:val="center"/>
          </w:tcPr>
          <w:p w14:paraId="06AAC7A4">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823" w:type="dxa"/>
            <w:vAlign w:val="center"/>
          </w:tcPr>
          <w:p w14:paraId="49BA5272">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478" w:type="dxa"/>
            <w:vAlign w:val="center"/>
          </w:tcPr>
          <w:p w14:paraId="7B3A4329">
            <w:pPr>
              <w:widowControl/>
              <w:snapToGrid w:val="0"/>
              <w:spacing w:line="240" w:lineRule="auto"/>
              <w:ind w:left="0" w:leftChars="0" w:right="0" w:rightChars="0" w:firstLine="0" w:firstLineChars="0"/>
              <w:jc w:val="center"/>
              <w:rPr>
                <w:rFonts w:cs="宋体"/>
                <w:color w:val="auto"/>
                <w:szCs w:val="21"/>
                <w:highlight w:val="none"/>
                <w:vertAlign w:val="baseline"/>
              </w:rPr>
            </w:pPr>
          </w:p>
        </w:tc>
      </w:tr>
      <w:tr w14:paraId="6AF6B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42" w:type="dxa"/>
            <w:vAlign w:val="center"/>
          </w:tcPr>
          <w:p w14:paraId="195851A6">
            <w:pPr>
              <w:widowControl/>
              <w:snapToGrid w:val="0"/>
              <w:spacing w:line="240" w:lineRule="auto"/>
              <w:ind w:left="0" w:leftChars="0" w:right="0" w:rightChars="0" w:firstLine="0" w:firstLineChars="0"/>
              <w:jc w:val="center"/>
              <w:rPr>
                <w:rFonts w:hint="default" w:cs="宋体"/>
                <w:color w:val="auto"/>
                <w:sz w:val="22"/>
                <w:szCs w:val="20"/>
                <w:highlight w:val="none"/>
                <w:vertAlign w:val="baseline"/>
                <w:lang w:val="en-US" w:eastAsia="zh-CN"/>
              </w:rPr>
            </w:pPr>
            <w:r>
              <w:rPr>
                <w:rFonts w:hint="eastAsia" w:ascii="宋体" w:hAnsi="宋体" w:eastAsia="宋体" w:cs="宋体"/>
                <w:b/>
                <w:color w:val="auto"/>
                <w:sz w:val="24"/>
                <w:szCs w:val="24"/>
                <w:highlight w:val="none"/>
                <w:vertAlign w:val="baseline"/>
                <w:lang w:val="en-US" w:eastAsia="zh-CN"/>
              </w:rPr>
              <w:t>总计</w:t>
            </w:r>
          </w:p>
        </w:tc>
        <w:tc>
          <w:tcPr>
            <w:tcW w:w="10056" w:type="dxa"/>
            <w:gridSpan w:val="6"/>
            <w:vAlign w:val="center"/>
          </w:tcPr>
          <w:p w14:paraId="7A35CF34">
            <w:pPr>
              <w:widowControl/>
              <w:snapToGrid w:val="0"/>
              <w:spacing w:line="240" w:lineRule="auto"/>
              <w:ind w:left="0" w:leftChars="0" w:right="0" w:rightChars="0" w:firstLine="0" w:firstLineChars="0"/>
              <w:jc w:val="center"/>
              <w:rPr>
                <w:rFonts w:cs="宋体"/>
                <w:color w:val="auto"/>
                <w:sz w:val="22"/>
                <w:szCs w:val="20"/>
                <w:highlight w:val="none"/>
                <w:vertAlign w:val="baseline"/>
              </w:rPr>
            </w:pPr>
          </w:p>
        </w:tc>
        <w:tc>
          <w:tcPr>
            <w:tcW w:w="1823" w:type="dxa"/>
            <w:vAlign w:val="center"/>
          </w:tcPr>
          <w:p w14:paraId="7570B439">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478" w:type="dxa"/>
            <w:vAlign w:val="center"/>
          </w:tcPr>
          <w:p w14:paraId="5C39AB62">
            <w:pPr>
              <w:widowControl/>
              <w:snapToGrid w:val="0"/>
              <w:spacing w:line="240" w:lineRule="auto"/>
              <w:ind w:left="0" w:leftChars="0" w:right="0" w:rightChars="0" w:firstLine="0" w:firstLineChars="0"/>
              <w:jc w:val="center"/>
              <w:rPr>
                <w:rFonts w:cs="宋体"/>
                <w:color w:val="auto"/>
                <w:szCs w:val="21"/>
                <w:highlight w:val="none"/>
                <w:vertAlign w:val="baseline"/>
              </w:rPr>
            </w:pPr>
          </w:p>
        </w:tc>
      </w:tr>
    </w:tbl>
    <w:p w14:paraId="1C2FAD3A">
      <w:pPr>
        <w:widowControl/>
        <w:snapToGrid w:val="0"/>
        <w:ind w:left="0" w:leftChars="0" w:firstLine="240" w:firstLineChars="100"/>
        <w:rPr>
          <w:rFonts w:hint="eastAsia" w:cs="宋体"/>
          <w:color w:val="auto"/>
          <w:szCs w:val="21"/>
          <w:highlight w:val="none"/>
          <w:lang w:val="en-US" w:eastAsia="zh-CN"/>
        </w:rPr>
      </w:pPr>
    </w:p>
    <w:p w14:paraId="6D1D2DFB">
      <w:pPr>
        <w:widowControl/>
        <w:snapToGrid w:val="0"/>
        <w:ind w:left="0" w:leftChars="0" w:firstLine="0" w:firstLineChars="0"/>
        <w:rPr>
          <w:rFonts w:cs="宋体"/>
          <w:color w:val="auto"/>
          <w:szCs w:val="21"/>
          <w:highlight w:val="none"/>
        </w:rPr>
        <w:sectPr>
          <w:pgSz w:w="16840" w:h="11907" w:orient="landscape"/>
          <w:pgMar w:top="1418" w:right="1418" w:bottom="1418" w:left="1134" w:header="964" w:footer="964" w:gutter="0"/>
          <w:cols w:space="720" w:num="1"/>
          <w:titlePg/>
          <w:docGrid w:linePitch="286" w:charSpace="0"/>
        </w:sectPr>
      </w:pPr>
    </w:p>
    <w:p w14:paraId="353C3F71">
      <w:pPr>
        <w:widowControl/>
        <w:snapToGrid w:val="0"/>
        <w:ind w:left="0" w:leftChars="0" w:firstLine="0" w:firstLineChars="0"/>
        <w:rPr>
          <w:rFonts w:hint="eastAsia" w:cs="宋体"/>
          <w:b/>
          <w:bCs/>
          <w:color w:val="auto"/>
          <w:szCs w:val="21"/>
          <w:highlight w:val="none"/>
          <w:lang w:val="en-US" w:eastAsia="zh-CN"/>
        </w:rPr>
      </w:pPr>
      <w:r>
        <w:rPr>
          <w:rFonts w:hint="eastAsia" w:cs="宋体"/>
          <w:b/>
          <w:bCs/>
          <w:color w:val="auto"/>
          <w:szCs w:val="21"/>
          <w:highlight w:val="none"/>
          <w:lang w:val="en-US" w:eastAsia="zh-CN"/>
        </w:rPr>
        <w:t>包2：</w:t>
      </w:r>
    </w:p>
    <w:p w14:paraId="2AA3540C">
      <w:pPr>
        <w:ind w:firstLine="0" w:firstLineChars="0"/>
        <w:jc w:val="center"/>
        <w:rPr>
          <w:b/>
          <w:bCs/>
          <w:color w:val="auto"/>
          <w:highlight w:val="none"/>
        </w:rPr>
      </w:pPr>
      <w:r>
        <w:rPr>
          <w:rFonts w:hint="eastAsia"/>
          <w:b/>
          <w:bCs/>
          <w:color w:val="auto"/>
          <w:highlight w:val="none"/>
          <w:lang w:val="en-US" w:eastAsia="zh-CN"/>
        </w:rPr>
        <w:t>开标</w:t>
      </w:r>
      <w:r>
        <w:rPr>
          <w:b/>
          <w:bCs/>
          <w:color w:val="auto"/>
          <w:highlight w:val="none"/>
        </w:rPr>
        <w:t>一览表（格式）</w:t>
      </w:r>
    </w:p>
    <w:p w14:paraId="2E7F3DFD">
      <w:pPr>
        <w:ind w:firstLine="0" w:firstLineChars="0"/>
        <w:jc w:val="center"/>
        <w:rPr>
          <w:rFonts w:hint="eastAsia"/>
          <w:b/>
          <w:bCs/>
          <w:color w:val="auto"/>
          <w:highlight w:val="none"/>
          <w:lang w:val="en-US" w:eastAsia="zh-CN"/>
        </w:rPr>
      </w:pPr>
    </w:p>
    <w:p w14:paraId="79C9BBAA">
      <w:pPr>
        <w:ind w:firstLine="0" w:firstLineChars="0"/>
        <w:jc w:val="center"/>
        <w:rPr>
          <w:b/>
          <w:bCs/>
          <w:color w:val="auto"/>
          <w:highlight w:val="none"/>
        </w:rPr>
      </w:pPr>
    </w:p>
    <w:p w14:paraId="042C0A86">
      <w:pPr>
        <w:widowControl/>
        <w:snapToGrid w:val="0"/>
        <w:ind w:left="0" w:leftChars="0" w:firstLine="0" w:firstLineChars="0"/>
        <w:rPr>
          <w:rFonts w:cs="宋体"/>
          <w:color w:val="auto"/>
          <w:szCs w:val="21"/>
          <w:highlight w:val="none"/>
        </w:rPr>
      </w:pPr>
      <w:r>
        <w:rPr>
          <w:rFonts w:cs="宋体"/>
          <w:color w:val="auto"/>
          <w:szCs w:val="21"/>
          <w:highlight w:val="none"/>
        </w:rPr>
        <w:t>项目名称：</w:t>
      </w:r>
      <w:r>
        <w:rPr>
          <w:rFonts w:cs="宋体"/>
          <w:color w:val="auto"/>
          <w:szCs w:val="21"/>
          <w:highlight w:val="none"/>
          <w:u w:val="single"/>
        </w:rPr>
        <w:t xml:space="preserve">                        </w:t>
      </w:r>
      <w:r>
        <w:rPr>
          <w:rFonts w:cs="宋体"/>
          <w:color w:val="auto"/>
          <w:szCs w:val="21"/>
          <w:highlight w:val="none"/>
        </w:rPr>
        <w:t xml:space="preserve">  </w:t>
      </w:r>
    </w:p>
    <w:p w14:paraId="2D1BA5BF">
      <w:pPr>
        <w:widowControl/>
        <w:snapToGrid w:val="0"/>
        <w:ind w:left="0" w:leftChars="0" w:firstLine="0" w:firstLineChars="0"/>
        <w:rPr>
          <w:rFonts w:cs="宋体"/>
          <w:color w:val="auto"/>
          <w:szCs w:val="21"/>
          <w:highlight w:val="none"/>
        </w:rPr>
      </w:pPr>
      <w:r>
        <w:rPr>
          <w:rFonts w:cs="宋体"/>
          <w:color w:val="auto"/>
          <w:szCs w:val="21"/>
          <w:highlight w:val="none"/>
        </w:rPr>
        <w:t>项目编号：</w:t>
      </w:r>
      <w:r>
        <w:rPr>
          <w:rFonts w:cs="宋体"/>
          <w:color w:val="auto"/>
          <w:szCs w:val="21"/>
          <w:highlight w:val="none"/>
          <w:u w:val="single"/>
        </w:rPr>
        <w:t xml:space="preserve">                        </w:t>
      </w:r>
    </w:p>
    <w:tbl>
      <w:tblPr>
        <w:tblStyle w:val="40"/>
        <w:tblW w:w="9300" w:type="dxa"/>
        <w:jc w:val="center"/>
        <w:tblLayout w:type="fixed"/>
        <w:tblCellMar>
          <w:top w:w="0" w:type="dxa"/>
          <w:left w:w="0" w:type="dxa"/>
          <w:bottom w:w="0" w:type="dxa"/>
          <w:right w:w="0" w:type="dxa"/>
        </w:tblCellMar>
      </w:tblPr>
      <w:tblGrid>
        <w:gridCol w:w="1984"/>
        <w:gridCol w:w="7316"/>
      </w:tblGrid>
      <w:tr w14:paraId="716DD102">
        <w:tblPrEx>
          <w:tblCellMar>
            <w:top w:w="0" w:type="dxa"/>
            <w:left w:w="0" w:type="dxa"/>
            <w:bottom w:w="0" w:type="dxa"/>
            <w:right w:w="0" w:type="dxa"/>
          </w:tblCellMar>
        </w:tblPrEx>
        <w:trPr>
          <w:trHeight w:val="1850" w:hRule="atLeast"/>
          <w:jc w:val="center"/>
        </w:trPr>
        <w:tc>
          <w:tcPr>
            <w:tcW w:w="1984" w:type="dxa"/>
            <w:tcBorders>
              <w:top w:val="single" w:color="auto" w:sz="4" w:space="0"/>
              <w:left w:val="single" w:color="auto" w:sz="8" w:space="0"/>
              <w:right w:val="single" w:color="auto" w:sz="8" w:space="0"/>
            </w:tcBorders>
            <w:noWrap w:val="0"/>
            <w:vAlign w:val="center"/>
          </w:tcPr>
          <w:p w14:paraId="31123F7C">
            <w:pPr>
              <w:ind w:left="0" w:leftChars="0" w:firstLine="0" w:firstLineChars="0"/>
              <w:jc w:val="center"/>
              <w:rPr>
                <w:rFonts w:hint="eastAsia" w:hAnsi="宋体" w:cs="宋体"/>
                <w:color w:val="auto"/>
                <w:sz w:val="24"/>
                <w:szCs w:val="24"/>
                <w:highlight w:val="none"/>
              </w:rPr>
            </w:pPr>
            <w:r>
              <w:rPr>
                <w:rFonts w:hint="eastAsia" w:hAnsi="宋体" w:cs="宋体"/>
                <w:color w:val="auto"/>
                <w:sz w:val="24"/>
                <w:szCs w:val="24"/>
                <w:highlight w:val="none"/>
              </w:rPr>
              <w:t>投标报价</w:t>
            </w:r>
          </w:p>
          <w:p w14:paraId="7C0E1806">
            <w:pPr>
              <w:ind w:left="0" w:leftChars="0" w:firstLine="0" w:firstLineChars="0"/>
              <w:jc w:val="center"/>
              <w:rPr>
                <w:rFonts w:hint="eastAsia" w:hAnsi="宋体" w:cs="宋体"/>
                <w:color w:val="auto"/>
                <w:sz w:val="24"/>
                <w:szCs w:val="24"/>
                <w:highlight w:val="none"/>
              </w:rPr>
            </w:pPr>
            <w:r>
              <w:rPr>
                <w:rFonts w:hint="eastAsia" w:hAnsi="宋体" w:cs="宋体"/>
                <w:bCs/>
                <w:color w:val="auto"/>
                <w:sz w:val="24"/>
                <w:szCs w:val="24"/>
                <w:highlight w:val="none"/>
              </w:rPr>
              <w:t>（单位：元）</w:t>
            </w:r>
          </w:p>
        </w:tc>
        <w:tc>
          <w:tcPr>
            <w:tcW w:w="7316" w:type="dxa"/>
            <w:tcBorders>
              <w:top w:val="single" w:color="auto" w:sz="4" w:space="0"/>
              <w:left w:val="single" w:color="auto" w:sz="8" w:space="0"/>
              <w:right w:val="single" w:color="auto" w:sz="8" w:space="0"/>
            </w:tcBorders>
            <w:noWrap w:val="0"/>
            <w:vAlign w:val="center"/>
          </w:tcPr>
          <w:p w14:paraId="5DBD6CB9">
            <w:pPr>
              <w:spacing w:line="500" w:lineRule="exact"/>
              <w:ind w:firstLine="130" w:firstLineChars="50"/>
              <w:rPr>
                <w:rFonts w:hint="eastAsia" w:hAnsi="宋体" w:cs="宋体"/>
                <w:color w:val="auto"/>
                <w:spacing w:val="10"/>
                <w:sz w:val="24"/>
                <w:szCs w:val="24"/>
                <w:highlight w:val="none"/>
                <w:u w:val="single"/>
              </w:rPr>
            </w:pPr>
            <w:r>
              <w:rPr>
                <w:rFonts w:hint="eastAsia" w:hAnsi="宋体" w:cs="宋体"/>
                <w:color w:val="auto"/>
                <w:spacing w:val="10"/>
                <w:sz w:val="24"/>
                <w:szCs w:val="24"/>
                <w:highlight w:val="none"/>
              </w:rPr>
              <w:t>大写</w:t>
            </w:r>
            <w:r>
              <w:rPr>
                <w:rFonts w:hint="eastAsia" w:hAnsi="宋体" w:cs="宋体"/>
                <w:color w:val="auto"/>
                <w:spacing w:val="10"/>
                <w:sz w:val="24"/>
                <w:szCs w:val="24"/>
                <w:highlight w:val="none"/>
                <w:u w:val="single"/>
              </w:rPr>
              <w:t xml:space="preserve">                     </w:t>
            </w:r>
          </w:p>
          <w:p w14:paraId="02D05CA0">
            <w:pPr>
              <w:spacing w:line="500" w:lineRule="exact"/>
              <w:ind w:firstLine="130" w:firstLineChars="50"/>
              <w:rPr>
                <w:rFonts w:hint="default" w:hAnsi="宋体" w:eastAsia="宋体" w:cs="宋体"/>
                <w:color w:val="auto"/>
                <w:sz w:val="24"/>
                <w:szCs w:val="24"/>
                <w:highlight w:val="none"/>
                <w:lang w:val="en-US" w:eastAsia="zh-CN"/>
              </w:rPr>
            </w:pPr>
            <w:r>
              <w:rPr>
                <w:rFonts w:hint="eastAsia" w:hAnsi="宋体" w:cs="宋体"/>
                <w:color w:val="auto"/>
                <w:spacing w:val="10"/>
                <w:sz w:val="24"/>
                <w:szCs w:val="24"/>
                <w:highlight w:val="none"/>
              </w:rPr>
              <w:t>小写</w:t>
            </w:r>
            <w:r>
              <w:rPr>
                <w:rFonts w:hint="eastAsia" w:hAnsi="宋体" w:cs="宋体"/>
                <w:color w:val="auto"/>
                <w:spacing w:val="10"/>
                <w:sz w:val="24"/>
                <w:szCs w:val="24"/>
                <w:highlight w:val="none"/>
                <w:u w:val="single"/>
              </w:rPr>
              <w:t xml:space="preserve">                     </w:t>
            </w:r>
          </w:p>
        </w:tc>
      </w:tr>
      <w:tr w14:paraId="425AC8B6">
        <w:tblPrEx>
          <w:tblCellMar>
            <w:top w:w="0" w:type="dxa"/>
            <w:left w:w="0" w:type="dxa"/>
            <w:bottom w:w="0" w:type="dxa"/>
            <w:right w:w="0" w:type="dxa"/>
          </w:tblCellMar>
        </w:tblPrEx>
        <w:trPr>
          <w:trHeight w:val="955" w:hRule="atLeast"/>
          <w:jc w:val="center"/>
        </w:trPr>
        <w:tc>
          <w:tcPr>
            <w:tcW w:w="1984" w:type="dxa"/>
            <w:tcBorders>
              <w:top w:val="single" w:color="auto" w:sz="4" w:space="0"/>
              <w:left w:val="single" w:color="auto" w:sz="8" w:space="0"/>
              <w:right w:val="single" w:color="auto" w:sz="8" w:space="0"/>
            </w:tcBorders>
            <w:noWrap w:val="0"/>
            <w:vAlign w:val="center"/>
          </w:tcPr>
          <w:p w14:paraId="1212F90C">
            <w:pPr>
              <w:ind w:left="0" w:leftChars="0" w:firstLine="0" w:firstLineChars="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合同履约期限</w:t>
            </w:r>
          </w:p>
        </w:tc>
        <w:tc>
          <w:tcPr>
            <w:tcW w:w="7316" w:type="dxa"/>
            <w:tcBorders>
              <w:top w:val="single" w:color="auto" w:sz="4" w:space="0"/>
              <w:left w:val="single" w:color="auto" w:sz="8" w:space="0"/>
              <w:right w:val="single" w:color="auto" w:sz="8" w:space="0"/>
            </w:tcBorders>
            <w:noWrap w:val="0"/>
            <w:vAlign w:val="center"/>
          </w:tcPr>
          <w:p w14:paraId="7D8461F6">
            <w:pPr>
              <w:spacing w:line="500" w:lineRule="exact"/>
              <w:ind w:firstLine="130" w:firstLineChars="50"/>
              <w:rPr>
                <w:rFonts w:hint="eastAsia" w:hAnsi="宋体" w:cs="宋体"/>
                <w:color w:val="auto"/>
                <w:spacing w:val="10"/>
                <w:sz w:val="24"/>
                <w:szCs w:val="24"/>
                <w:highlight w:val="none"/>
              </w:rPr>
            </w:pPr>
          </w:p>
        </w:tc>
      </w:tr>
      <w:tr w14:paraId="63A20703">
        <w:tblPrEx>
          <w:tblCellMar>
            <w:top w:w="0" w:type="dxa"/>
            <w:left w:w="0" w:type="dxa"/>
            <w:bottom w:w="0" w:type="dxa"/>
            <w:right w:w="0" w:type="dxa"/>
          </w:tblCellMar>
        </w:tblPrEx>
        <w:trPr>
          <w:trHeight w:val="1049" w:hRule="exact"/>
          <w:jc w:val="center"/>
        </w:trPr>
        <w:tc>
          <w:tcPr>
            <w:tcW w:w="1984" w:type="dxa"/>
            <w:tcBorders>
              <w:top w:val="single" w:color="auto" w:sz="8" w:space="0"/>
              <w:left w:val="single" w:color="auto" w:sz="8" w:space="0"/>
              <w:bottom w:val="single" w:color="auto" w:sz="8" w:space="0"/>
              <w:right w:val="single" w:color="auto" w:sz="8" w:space="0"/>
            </w:tcBorders>
            <w:noWrap w:val="0"/>
            <w:vAlign w:val="center"/>
          </w:tcPr>
          <w:p w14:paraId="44AF09D2">
            <w:pPr>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供货地点</w:t>
            </w:r>
          </w:p>
        </w:tc>
        <w:tc>
          <w:tcPr>
            <w:tcW w:w="7316" w:type="dxa"/>
            <w:tcBorders>
              <w:top w:val="single" w:color="auto" w:sz="8" w:space="0"/>
              <w:left w:val="single" w:color="auto" w:sz="8" w:space="0"/>
              <w:bottom w:val="single" w:color="auto" w:sz="8" w:space="0"/>
              <w:right w:val="single" w:color="auto" w:sz="8" w:space="0"/>
            </w:tcBorders>
            <w:noWrap w:val="0"/>
            <w:vAlign w:val="center"/>
          </w:tcPr>
          <w:p w14:paraId="6DAE4C66">
            <w:pPr>
              <w:spacing w:line="500" w:lineRule="exact"/>
              <w:ind w:firstLine="120" w:firstLineChars="50"/>
              <w:rPr>
                <w:rFonts w:hint="eastAsia" w:hAnsi="宋体" w:cs="宋体"/>
                <w:color w:val="auto"/>
                <w:sz w:val="24"/>
                <w:szCs w:val="24"/>
                <w:highlight w:val="none"/>
              </w:rPr>
            </w:pPr>
          </w:p>
        </w:tc>
      </w:tr>
      <w:tr w14:paraId="10667FB9">
        <w:tblPrEx>
          <w:tblCellMar>
            <w:top w:w="0" w:type="dxa"/>
            <w:left w:w="0" w:type="dxa"/>
            <w:bottom w:w="0" w:type="dxa"/>
            <w:right w:w="0" w:type="dxa"/>
          </w:tblCellMar>
        </w:tblPrEx>
        <w:trPr>
          <w:trHeight w:val="1049" w:hRule="exact"/>
          <w:jc w:val="center"/>
        </w:trPr>
        <w:tc>
          <w:tcPr>
            <w:tcW w:w="1984" w:type="dxa"/>
            <w:tcBorders>
              <w:top w:val="single" w:color="auto" w:sz="8" w:space="0"/>
              <w:left w:val="single" w:color="auto" w:sz="8" w:space="0"/>
              <w:bottom w:val="single" w:color="auto" w:sz="8" w:space="0"/>
              <w:right w:val="single" w:color="auto" w:sz="8" w:space="0"/>
            </w:tcBorders>
            <w:noWrap w:val="0"/>
            <w:vAlign w:val="center"/>
          </w:tcPr>
          <w:p w14:paraId="407AACE7">
            <w:pPr>
              <w:ind w:left="0" w:leftChars="0" w:firstLine="0" w:firstLineChars="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质量标准</w:t>
            </w:r>
          </w:p>
        </w:tc>
        <w:tc>
          <w:tcPr>
            <w:tcW w:w="7316" w:type="dxa"/>
            <w:tcBorders>
              <w:top w:val="single" w:color="auto" w:sz="8" w:space="0"/>
              <w:left w:val="single" w:color="auto" w:sz="8" w:space="0"/>
              <w:bottom w:val="single" w:color="auto" w:sz="8" w:space="0"/>
              <w:right w:val="single" w:color="auto" w:sz="8" w:space="0"/>
            </w:tcBorders>
            <w:noWrap w:val="0"/>
            <w:vAlign w:val="center"/>
          </w:tcPr>
          <w:p w14:paraId="07E8E4C2">
            <w:pPr>
              <w:spacing w:line="500" w:lineRule="exact"/>
              <w:ind w:firstLine="120" w:firstLineChars="50"/>
              <w:rPr>
                <w:rFonts w:hint="eastAsia" w:hAnsi="宋体" w:cs="宋体"/>
                <w:color w:val="auto"/>
                <w:sz w:val="24"/>
                <w:szCs w:val="24"/>
                <w:highlight w:val="none"/>
              </w:rPr>
            </w:pPr>
          </w:p>
        </w:tc>
      </w:tr>
      <w:tr w14:paraId="4D040AC0">
        <w:tblPrEx>
          <w:tblCellMar>
            <w:top w:w="0" w:type="dxa"/>
            <w:left w:w="0" w:type="dxa"/>
            <w:bottom w:w="0" w:type="dxa"/>
            <w:right w:w="0" w:type="dxa"/>
          </w:tblCellMar>
        </w:tblPrEx>
        <w:trPr>
          <w:trHeight w:val="1049" w:hRule="exact"/>
          <w:jc w:val="center"/>
        </w:trPr>
        <w:tc>
          <w:tcPr>
            <w:tcW w:w="1984" w:type="dxa"/>
            <w:tcBorders>
              <w:top w:val="single" w:color="auto" w:sz="8" w:space="0"/>
              <w:left w:val="single" w:color="auto" w:sz="8" w:space="0"/>
              <w:bottom w:val="single" w:color="auto" w:sz="8" w:space="0"/>
              <w:right w:val="single" w:color="auto" w:sz="8" w:space="0"/>
            </w:tcBorders>
            <w:noWrap w:val="0"/>
            <w:vAlign w:val="center"/>
          </w:tcPr>
          <w:p w14:paraId="710FE0FD">
            <w:pPr>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7316" w:type="dxa"/>
            <w:tcBorders>
              <w:top w:val="single" w:color="auto" w:sz="8" w:space="0"/>
              <w:left w:val="single" w:color="auto" w:sz="8" w:space="0"/>
              <w:bottom w:val="single" w:color="auto" w:sz="8" w:space="0"/>
              <w:right w:val="single" w:color="auto" w:sz="8" w:space="0"/>
            </w:tcBorders>
            <w:noWrap w:val="0"/>
            <w:vAlign w:val="center"/>
          </w:tcPr>
          <w:p w14:paraId="3B0099A6">
            <w:pPr>
              <w:jc w:val="center"/>
              <w:rPr>
                <w:rFonts w:hint="eastAsia" w:hAnsi="宋体" w:cs="宋体"/>
                <w:color w:val="auto"/>
                <w:sz w:val="24"/>
                <w:szCs w:val="24"/>
                <w:highlight w:val="none"/>
              </w:rPr>
            </w:pPr>
          </w:p>
        </w:tc>
      </w:tr>
    </w:tbl>
    <w:p w14:paraId="3C02CCA6">
      <w:pPr>
        <w:widowControl/>
        <w:snapToGrid w:val="0"/>
        <w:ind w:firstLine="480"/>
        <w:rPr>
          <w:rFonts w:hint="default" w:cs="宋体"/>
          <w:color w:val="auto"/>
          <w:szCs w:val="21"/>
          <w:highlight w:val="none"/>
          <w:lang w:val="en-US" w:eastAsia="zh-CN"/>
        </w:rPr>
      </w:pPr>
    </w:p>
    <w:p w14:paraId="19AB6AAE">
      <w:pPr>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注：1.填写此表时不得改变表格的形式；</w:t>
      </w:r>
    </w:p>
    <w:p w14:paraId="6E174B2B">
      <w:pPr>
        <w:ind w:left="0" w:leftChars="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2.如果供应商认为有应当说明而本表中无相应栏目的内容，请在“备注”一栏中说明；</w:t>
      </w:r>
    </w:p>
    <w:p w14:paraId="14A0B11D">
      <w:pPr>
        <w:ind w:left="0" w:leftChars="0" w:firstLine="480" w:firstLineChars="200"/>
        <w:jc w:val="left"/>
        <w:rPr>
          <w:rFonts w:hint="eastAsia" w:ascii="宋体" w:hAnsi="宋体" w:eastAsia="宋体" w:cs="宋体"/>
          <w:color w:val="auto"/>
          <w:highlight w:val="none"/>
        </w:rPr>
      </w:pPr>
      <w:r>
        <w:rPr>
          <w:rFonts w:hint="eastAsia" w:ascii="宋体" w:hAnsi="宋体" w:eastAsia="宋体" w:cs="宋体"/>
          <w:color w:val="auto"/>
          <w:sz w:val="24"/>
          <w:szCs w:val="24"/>
          <w:highlight w:val="none"/>
          <w:lang w:val="en-US" w:eastAsia="zh-CN"/>
        </w:rPr>
        <w:t>3.不论开标一览表如何填写，此投标报价为投标人完成本项目所有内容的全部费用。</w:t>
      </w:r>
    </w:p>
    <w:p w14:paraId="6432530F">
      <w:pPr>
        <w:spacing w:line="480" w:lineRule="auto"/>
        <w:ind w:firstLine="3600" w:firstLineChars="1500"/>
        <w:rPr>
          <w:rFonts w:hint="eastAsia"/>
          <w:color w:val="auto"/>
          <w:highlight w:val="none"/>
        </w:rPr>
      </w:pPr>
    </w:p>
    <w:p w14:paraId="3A066074">
      <w:pPr>
        <w:spacing w:line="480" w:lineRule="auto"/>
        <w:ind w:firstLine="4560" w:firstLineChars="1900"/>
        <w:rPr>
          <w:color w:val="auto"/>
          <w:highlight w:val="none"/>
          <w:u w:val="single"/>
        </w:rPr>
      </w:pPr>
      <w:r>
        <w:rPr>
          <w:rFonts w:hint="eastAsia"/>
          <w:color w:val="auto"/>
          <w:highlight w:val="none"/>
        </w:rPr>
        <w:t>投标人全称：</w:t>
      </w:r>
      <w:r>
        <w:rPr>
          <w:rFonts w:hint="eastAsia"/>
          <w:color w:val="auto"/>
          <w:highlight w:val="none"/>
          <w:u w:val="single"/>
        </w:rPr>
        <w:t xml:space="preserve">               （公章）</w:t>
      </w:r>
    </w:p>
    <w:p w14:paraId="0CDD5529">
      <w:pPr>
        <w:spacing w:line="480" w:lineRule="auto"/>
        <w:ind w:firstLine="1200" w:firstLineChars="500"/>
        <w:jc w:val="right"/>
        <w:rPr>
          <w:color w:val="auto"/>
          <w:highlight w:val="none"/>
          <w:u w:val="single"/>
        </w:rPr>
      </w:pPr>
      <w:r>
        <w:rPr>
          <w:rFonts w:hint="eastAsia"/>
          <w:color w:val="auto"/>
          <w:highlight w:val="none"/>
        </w:rPr>
        <w:t>法定代表人或委托代理人：</w:t>
      </w:r>
      <w:r>
        <w:rPr>
          <w:rFonts w:hint="eastAsia"/>
          <w:color w:val="auto"/>
          <w:highlight w:val="none"/>
          <w:u w:val="single"/>
        </w:rPr>
        <w:t xml:space="preserve">         （签字或盖章）</w:t>
      </w:r>
      <w:r>
        <w:rPr>
          <w:rFonts w:hint="eastAsia"/>
          <w:color w:val="auto"/>
          <w:highlight w:val="none"/>
        </w:rPr>
        <w:t xml:space="preserve">                                   </w:t>
      </w:r>
    </w:p>
    <w:p w14:paraId="6D5F6040">
      <w:pPr>
        <w:widowControl/>
        <w:snapToGrid w:val="0"/>
        <w:ind w:firstLine="4560" w:firstLineChars="1900"/>
        <w:rPr>
          <w:rFonts w:ascii="Tahoma" w:hAnsi="Calibri" w:cs="宋体"/>
          <w:color w:val="auto"/>
          <w:spacing w:val="-2"/>
          <w:sz w:val="21"/>
          <w:szCs w:val="21"/>
          <w:highlight w:val="none"/>
        </w:rPr>
        <w:sectPr>
          <w:footerReference r:id="rId18" w:type="first"/>
          <w:footerReference r:id="rId17" w:type="default"/>
          <w:pgSz w:w="11907" w:h="16840"/>
          <w:pgMar w:top="1418" w:right="1418" w:bottom="1134" w:left="1418" w:header="964" w:footer="964" w:gutter="0"/>
          <w:cols w:space="720" w:num="1"/>
          <w:titlePg/>
          <w:docGrid w:linePitch="286" w:charSpace="0"/>
        </w:sectPr>
      </w:pPr>
      <w:r>
        <w:rPr>
          <w:rFonts w:hint="eastAsia" w:ascii="宋体" w:hAnsi="宋体"/>
          <w:color w:val="auto"/>
          <w:sz w:val="24"/>
          <w:highlight w:val="none"/>
        </w:rPr>
        <w:t xml:space="preserve">日      期：     年   月   日    </w:t>
      </w:r>
      <w:r>
        <w:rPr>
          <w:rFonts w:ascii="Tahoma" w:hAnsi="Calibri" w:cs="宋体"/>
          <w:color w:val="auto"/>
          <w:spacing w:val="-2"/>
          <w:sz w:val="21"/>
          <w:szCs w:val="21"/>
          <w:highlight w:val="none"/>
        </w:rPr>
        <w:t xml:space="preserve">   </w:t>
      </w:r>
    </w:p>
    <w:p w14:paraId="65C39F0B">
      <w:pPr>
        <w:pStyle w:val="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leftChars="0" w:firstLine="0" w:firstLineChars="0"/>
        <w:jc w:val="both"/>
        <w:rPr>
          <w:rFonts w:hint="eastAsia" w:ascii="宋体" w:hAnsi="宋体"/>
          <w:b/>
          <w:bCs/>
          <w:color w:val="auto"/>
          <w:sz w:val="24"/>
          <w:highlight w:val="none"/>
        </w:rPr>
      </w:pPr>
    </w:p>
    <w:p w14:paraId="408CE1FE">
      <w:pPr>
        <w:pStyle w:val="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jc w:val="center"/>
        <w:rPr>
          <w:rFonts w:hint="eastAsia" w:ascii="宋体" w:hAnsi="宋体" w:eastAsia="宋体" w:cs="Times New Roman"/>
          <w:b/>
          <w:bCs/>
          <w:color w:val="auto"/>
          <w:kern w:val="2"/>
          <w:sz w:val="28"/>
          <w:szCs w:val="28"/>
          <w:highlight w:val="none"/>
          <w:lang w:val="en-US" w:eastAsia="zh-CN" w:bidi="ar-SA"/>
        </w:rPr>
      </w:pPr>
      <w:r>
        <w:rPr>
          <w:rFonts w:hint="eastAsia" w:ascii="宋体" w:hAnsi="宋体" w:eastAsia="宋体" w:cs="Times New Roman"/>
          <w:b/>
          <w:bCs/>
          <w:color w:val="auto"/>
          <w:kern w:val="2"/>
          <w:sz w:val="28"/>
          <w:szCs w:val="28"/>
          <w:highlight w:val="none"/>
          <w:lang w:val="en-US" w:eastAsia="zh-CN" w:bidi="ar-SA"/>
        </w:rPr>
        <w:t>分项报价表</w:t>
      </w:r>
    </w:p>
    <w:tbl>
      <w:tblPr>
        <w:tblStyle w:val="41"/>
        <w:tblW w:w="14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2"/>
        <w:gridCol w:w="1954"/>
        <w:gridCol w:w="1643"/>
        <w:gridCol w:w="1741"/>
        <w:gridCol w:w="1800"/>
        <w:gridCol w:w="1800"/>
        <w:gridCol w:w="1500"/>
        <w:gridCol w:w="1418"/>
        <w:gridCol w:w="1478"/>
      </w:tblGrid>
      <w:tr w14:paraId="41213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1142" w:type="dxa"/>
            <w:vAlign w:val="center"/>
          </w:tcPr>
          <w:p w14:paraId="7F5075B0">
            <w:pPr>
              <w:widowControl/>
              <w:snapToGrid w:val="0"/>
              <w:spacing w:line="240" w:lineRule="auto"/>
              <w:ind w:left="0" w:leftChars="0" w:right="0" w:rightChars="0" w:firstLine="0" w:firstLineChars="0"/>
              <w:jc w:val="center"/>
              <w:rPr>
                <w:rFonts w:hint="eastAsia" w:ascii="宋体" w:hAnsi="宋体" w:eastAsia="宋体" w:cs="宋体"/>
                <w:b/>
                <w:color w:val="auto"/>
                <w:sz w:val="24"/>
                <w:szCs w:val="24"/>
                <w:highlight w:val="none"/>
                <w:vertAlign w:val="baseline"/>
                <w:lang w:val="en-US" w:eastAsia="zh-CN"/>
              </w:rPr>
            </w:pPr>
            <w:r>
              <w:rPr>
                <w:rFonts w:hint="eastAsia" w:ascii="宋体" w:hAnsi="宋体" w:eastAsia="宋体" w:cs="宋体"/>
                <w:b/>
                <w:color w:val="auto"/>
                <w:sz w:val="24"/>
                <w:szCs w:val="24"/>
                <w:highlight w:val="none"/>
                <w:vertAlign w:val="baseline"/>
                <w:lang w:val="en-US" w:eastAsia="zh-CN"/>
              </w:rPr>
              <w:t>序号</w:t>
            </w:r>
          </w:p>
        </w:tc>
        <w:tc>
          <w:tcPr>
            <w:tcW w:w="1954" w:type="dxa"/>
            <w:vAlign w:val="center"/>
          </w:tcPr>
          <w:p w14:paraId="1F875963">
            <w:pPr>
              <w:widowControl/>
              <w:snapToGrid w:val="0"/>
              <w:spacing w:line="240" w:lineRule="auto"/>
              <w:ind w:left="0" w:leftChars="0" w:right="0" w:rightChars="0" w:firstLine="0" w:firstLineChars="0"/>
              <w:jc w:val="center"/>
              <w:rPr>
                <w:rFonts w:hint="default" w:ascii="宋体" w:hAnsi="宋体" w:eastAsia="宋体" w:cs="宋体"/>
                <w:b/>
                <w:color w:val="auto"/>
                <w:sz w:val="24"/>
                <w:szCs w:val="24"/>
                <w:highlight w:val="none"/>
                <w:vertAlign w:val="baseline"/>
                <w:lang w:val="en-US" w:eastAsia="zh-CN"/>
              </w:rPr>
            </w:pPr>
            <w:r>
              <w:rPr>
                <w:rFonts w:hint="eastAsia" w:ascii="宋体" w:hAnsi="宋体" w:eastAsia="宋体" w:cs="宋体"/>
                <w:b/>
                <w:color w:val="auto"/>
                <w:sz w:val="24"/>
                <w:szCs w:val="24"/>
                <w:highlight w:val="none"/>
                <w:vertAlign w:val="baseline"/>
                <w:lang w:val="en-US" w:eastAsia="zh-CN"/>
              </w:rPr>
              <w:t>货物名称</w:t>
            </w:r>
          </w:p>
        </w:tc>
        <w:tc>
          <w:tcPr>
            <w:tcW w:w="1643" w:type="dxa"/>
            <w:vAlign w:val="center"/>
          </w:tcPr>
          <w:p w14:paraId="64BB285E">
            <w:pPr>
              <w:widowControl/>
              <w:snapToGrid w:val="0"/>
              <w:spacing w:line="240" w:lineRule="auto"/>
              <w:ind w:left="0" w:leftChars="0" w:right="0" w:rightChars="0" w:firstLine="0" w:firstLineChars="0"/>
              <w:jc w:val="center"/>
              <w:rPr>
                <w:rFonts w:hint="eastAsia" w:ascii="宋体" w:hAnsi="宋体" w:eastAsia="宋体" w:cs="宋体"/>
                <w:b/>
                <w:color w:val="auto"/>
                <w:sz w:val="24"/>
                <w:szCs w:val="24"/>
                <w:highlight w:val="none"/>
                <w:vertAlign w:val="baseline"/>
                <w:lang w:val="en-US" w:eastAsia="zh-CN"/>
              </w:rPr>
            </w:pPr>
            <w:r>
              <w:rPr>
                <w:rFonts w:hint="eastAsia" w:ascii="宋体" w:hAnsi="宋体" w:eastAsia="宋体" w:cs="宋体"/>
                <w:b/>
                <w:color w:val="auto"/>
                <w:sz w:val="24"/>
                <w:szCs w:val="24"/>
                <w:highlight w:val="none"/>
                <w:vertAlign w:val="baseline"/>
                <w:lang w:val="en-US" w:eastAsia="zh-CN"/>
              </w:rPr>
              <w:t>品牌</w:t>
            </w:r>
          </w:p>
        </w:tc>
        <w:tc>
          <w:tcPr>
            <w:tcW w:w="1741" w:type="dxa"/>
            <w:vAlign w:val="center"/>
          </w:tcPr>
          <w:p w14:paraId="03905A15">
            <w:pPr>
              <w:widowControl/>
              <w:snapToGrid w:val="0"/>
              <w:spacing w:line="240" w:lineRule="auto"/>
              <w:ind w:left="0" w:leftChars="0" w:right="0" w:rightChars="0" w:firstLine="0" w:firstLineChars="0"/>
              <w:jc w:val="center"/>
              <w:rPr>
                <w:rFonts w:hint="default" w:ascii="宋体" w:hAnsi="宋体" w:eastAsia="宋体" w:cs="宋体"/>
                <w:b/>
                <w:color w:val="auto"/>
                <w:sz w:val="24"/>
                <w:szCs w:val="24"/>
                <w:highlight w:val="none"/>
                <w:vertAlign w:val="baseline"/>
                <w:lang w:val="en-US" w:eastAsia="zh-CN"/>
              </w:rPr>
            </w:pPr>
            <w:r>
              <w:rPr>
                <w:rFonts w:hint="eastAsia" w:ascii="宋体" w:hAnsi="宋体" w:eastAsia="宋体" w:cs="宋体"/>
                <w:b/>
                <w:color w:val="auto"/>
                <w:sz w:val="24"/>
                <w:szCs w:val="24"/>
                <w:highlight w:val="none"/>
                <w:vertAlign w:val="baseline"/>
                <w:lang w:val="en-US" w:eastAsia="zh-CN"/>
              </w:rPr>
              <w:t>型号</w:t>
            </w:r>
          </w:p>
        </w:tc>
        <w:tc>
          <w:tcPr>
            <w:tcW w:w="1800" w:type="dxa"/>
            <w:vAlign w:val="center"/>
          </w:tcPr>
          <w:p w14:paraId="7FB25729">
            <w:pPr>
              <w:widowControl/>
              <w:snapToGrid w:val="0"/>
              <w:spacing w:line="240" w:lineRule="auto"/>
              <w:ind w:left="0" w:leftChars="0" w:right="0" w:rightChars="0" w:firstLine="0" w:firstLineChars="0"/>
              <w:jc w:val="center"/>
              <w:rPr>
                <w:rFonts w:hint="default" w:ascii="宋体" w:hAnsi="宋体" w:eastAsia="宋体" w:cs="宋体"/>
                <w:b/>
                <w:color w:val="auto"/>
                <w:sz w:val="24"/>
                <w:szCs w:val="24"/>
                <w:highlight w:val="none"/>
                <w:vertAlign w:val="baseline"/>
                <w:lang w:val="en-US" w:eastAsia="zh-CN"/>
              </w:rPr>
            </w:pPr>
            <w:r>
              <w:rPr>
                <w:rFonts w:hint="eastAsia" w:ascii="宋体" w:hAnsi="宋体" w:eastAsia="宋体" w:cs="宋体"/>
                <w:b/>
                <w:color w:val="auto"/>
                <w:sz w:val="24"/>
                <w:szCs w:val="24"/>
                <w:highlight w:val="none"/>
                <w:vertAlign w:val="baseline"/>
                <w:lang w:val="en-US" w:eastAsia="zh-CN"/>
              </w:rPr>
              <w:t>制造商</w:t>
            </w:r>
          </w:p>
        </w:tc>
        <w:tc>
          <w:tcPr>
            <w:tcW w:w="1800" w:type="dxa"/>
            <w:vAlign w:val="center"/>
          </w:tcPr>
          <w:p w14:paraId="682582E9">
            <w:pPr>
              <w:widowControl/>
              <w:snapToGrid w:val="0"/>
              <w:spacing w:line="240" w:lineRule="auto"/>
              <w:ind w:left="0" w:leftChars="0" w:right="0" w:rightChars="0" w:firstLine="0" w:firstLineChars="0"/>
              <w:jc w:val="center"/>
              <w:rPr>
                <w:rFonts w:hint="eastAsia" w:ascii="宋体" w:hAnsi="宋体" w:eastAsia="宋体" w:cs="宋体"/>
                <w:b/>
                <w:color w:val="auto"/>
                <w:sz w:val="24"/>
                <w:szCs w:val="24"/>
                <w:highlight w:val="none"/>
                <w:vertAlign w:val="baseline"/>
                <w:lang w:val="en-US" w:eastAsia="zh-CN"/>
              </w:rPr>
            </w:pPr>
            <w:r>
              <w:rPr>
                <w:rFonts w:hint="eastAsia" w:ascii="宋体" w:hAnsi="宋体" w:eastAsia="宋体" w:cs="宋体"/>
                <w:b/>
                <w:color w:val="auto"/>
                <w:sz w:val="24"/>
                <w:szCs w:val="24"/>
                <w:highlight w:val="none"/>
                <w:vertAlign w:val="baseline"/>
                <w:lang w:val="en-US" w:eastAsia="zh-CN"/>
              </w:rPr>
              <w:t>单价（元）</w:t>
            </w:r>
          </w:p>
        </w:tc>
        <w:tc>
          <w:tcPr>
            <w:tcW w:w="1500" w:type="dxa"/>
            <w:vAlign w:val="center"/>
          </w:tcPr>
          <w:p w14:paraId="180901BE">
            <w:pPr>
              <w:widowControl/>
              <w:snapToGrid w:val="0"/>
              <w:spacing w:line="240" w:lineRule="auto"/>
              <w:ind w:left="0" w:leftChars="0" w:right="0" w:rightChars="0" w:firstLine="0" w:firstLineChars="0"/>
              <w:jc w:val="center"/>
              <w:rPr>
                <w:rFonts w:hint="eastAsia" w:ascii="宋体" w:hAnsi="宋体" w:eastAsia="宋体" w:cs="宋体"/>
                <w:b/>
                <w:color w:val="auto"/>
                <w:sz w:val="24"/>
                <w:szCs w:val="24"/>
                <w:highlight w:val="none"/>
                <w:vertAlign w:val="baseline"/>
                <w:lang w:val="en-US" w:eastAsia="zh-CN"/>
              </w:rPr>
            </w:pPr>
            <w:r>
              <w:rPr>
                <w:rFonts w:hint="eastAsia" w:ascii="宋体" w:hAnsi="宋体" w:eastAsia="宋体" w:cs="宋体"/>
                <w:b/>
                <w:color w:val="auto"/>
                <w:sz w:val="24"/>
                <w:szCs w:val="24"/>
                <w:highlight w:val="none"/>
                <w:vertAlign w:val="baseline"/>
                <w:lang w:val="en-US" w:eastAsia="zh-CN"/>
              </w:rPr>
              <w:t>数量</w:t>
            </w:r>
          </w:p>
        </w:tc>
        <w:tc>
          <w:tcPr>
            <w:tcW w:w="1418" w:type="dxa"/>
            <w:vAlign w:val="center"/>
          </w:tcPr>
          <w:p w14:paraId="5632ADD4">
            <w:pPr>
              <w:widowControl/>
              <w:snapToGrid w:val="0"/>
              <w:spacing w:line="240" w:lineRule="auto"/>
              <w:ind w:left="0" w:leftChars="0" w:right="0" w:rightChars="0" w:firstLine="0" w:firstLineChars="0"/>
              <w:jc w:val="center"/>
              <w:rPr>
                <w:rFonts w:hint="eastAsia" w:ascii="宋体" w:hAnsi="宋体" w:eastAsia="宋体" w:cs="宋体"/>
                <w:b/>
                <w:color w:val="auto"/>
                <w:sz w:val="24"/>
                <w:szCs w:val="24"/>
                <w:highlight w:val="none"/>
                <w:vertAlign w:val="baseline"/>
                <w:lang w:val="en-US" w:eastAsia="zh-CN"/>
              </w:rPr>
            </w:pPr>
            <w:r>
              <w:rPr>
                <w:rFonts w:hint="eastAsia" w:ascii="宋体" w:hAnsi="宋体" w:eastAsia="宋体" w:cs="宋体"/>
                <w:b/>
                <w:color w:val="auto"/>
                <w:sz w:val="24"/>
                <w:szCs w:val="24"/>
                <w:highlight w:val="none"/>
                <w:vertAlign w:val="baseline"/>
                <w:lang w:val="en-US" w:eastAsia="zh-CN"/>
              </w:rPr>
              <w:t>总计（元）</w:t>
            </w:r>
          </w:p>
        </w:tc>
        <w:tc>
          <w:tcPr>
            <w:tcW w:w="1478" w:type="dxa"/>
            <w:vAlign w:val="center"/>
          </w:tcPr>
          <w:p w14:paraId="250A3D5D">
            <w:pPr>
              <w:widowControl/>
              <w:snapToGrid w:val="0"/>
              <w:spacing w:line="240" w:lineRule="auto"/>
              <w:ind w:left="0" w:leftChars="0" w:right="0" w:rightChars="0" w:firstLine="0" w:firstLineChars="0"/>
              <w:jc w:val="center"/>
              <w:rPr>
                <w:rFonts w:hint="eastAsia" w:ascii="宋体" w:hAnsi="宋体" w:eastAsia="宋体" w:cs="宋体"/>
                <w:b/>
                <w:color w:val="auto"/>
                <w:sz w:val="24"/>
                <w:szCs w:val="24"/>
                <w:highlight w:val="none"/>
                <w:vertAlign w:val="baseline"/>
                <w:lang w:val="en-US" w:eastAsia="zh-CN"/>
              </w:rPr>
            </w:pPr>
            <w:r>
              <w:rPr>
                <w:rFonts w:hint="eastAsia" w:ascii="宋体" w:hAnsi="宋体" w:eastAsia="宋体" w:cs="宋体"/>
                <w:b/>
                <w:color w:val="auto"/>
                <w:sz w:val="24"/>
                <w:szCs w:val="24"/>
                <w:highlight w:val="none"/>
                <w:vertAlign w:val="baseline"/>
                <w:lang w:val="en-US" w:eastAsia="zh-CN"/>
              </w:rPr>
              <w:t>备注</w:t>
            </w:r>
          </w:p>
        </w:tc>
      </w:tr>
      <w:tr w14:paraId="50AB5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42" w:type="dxa"/>
            <w:vAlign w:val="center"/>
          </w:tcPr>
          <w:p w14:paraId="791C0273">
            <w:pPr>
              <w:widowControl/>
              <w:snapToGrid w:val="0"/>
              <w:spacing w:line="240" w:lineRule="auto"/>
              <w:ind w:left="0" w:leftChars="0" w:right="0" w:rightChars="0" w:firstLine="0" w:firstLineChars="0"/>
              <w:jc w:val="center"/>
              <w:rPr>
                <w:rFonts w:hint="eastAsia" w:eastAsia="宋体" w:cs="宋体"/>
                <w:color w:val="auto"/>
                <w:szCs w:val="21"/>
                <w:highlight w:val="none"/>
                <w:vertAlign w:val="baseline"/>
                <w:lang w:val="en-US" w:eastAsia="zh-CN"/>
              </w:rPr>
            </w:pPr>
            <w:r>
              <w:rPr>
                <w:rFonts w:hint="eastAsia" w:cs="宋体"/>
                <w:color w:val="auto"/>
                <w:szCs w:val="21"/>
                <w:highlight w:val="none"/>
                <w:vertAlign w:val="baseline"/>
                <w:lang w:val="en-US" w:eastAsia="zh-CN"/>
              </w:rPr>
              <w:t>1</w:t>
            </w:r>
          </w:p>
        </w:tc>
        <w:tc>
          <w:tcPr>
            <w:tcW w:w="1954" w:type="dxa"/>
            <w:vAlign w:val="center"/>
          </w:tcPr>
          <w:p w14:paraId="77408DA5">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643" w:type="dxa"/>
            <w:vAlign w:val="center"/>
          </w:tcPr>
          <w:p w14:paraId="257A7E3A">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741" w:type="dxa"/>
            <w:vAlign w:val="center"/>
          </w:tcPr>
          <w:p w14:paraId="3779860A">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800" w:type="dxa"/>
            <w:vAlign w:val="center"/>
          </w:tcPr>
          <w:p w14:paraId="0474EBE4">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800" w:type="dxa"/>
            <w:vAlign w:val="center"/>
          </w:tcPr>
          <w:p w14:paraId="27C29D5A">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500" w:type="dxa"/>
            <w:vAlign w:val="center"/>
          </w:tcPr>
          <w:p w14:paraId="4EE78FFB">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418" w:type="dxa"/>
            <w:vAlign w:val="center"/>
          </w:tcPr>
          <w:p w14:paraId="70BA354C">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478" w:type="dxa"/>
            <w:vAlign w:val="center"/>
          </w:tcPr>
          <w:p w14:paraId="184FF526">
            <w:pPr>
              <w:widowControl/>
              <w:snapToGrid w:val="0"/>
              <w:spacing w:line="240" w:lineRule="auto"/>
              <w:ind w:left="0" w:leftChars="0" w:right="0" w:rightChars="0" w:firstLine="0" w:firstLineChars="0"/>
              <w:jc w:val="center"/>
              <w:rPr>
                <w:rFonts w:cs="宋体"/>
                <w:color w:val="auto"/>
                <w:szCs w:val="21"/>
                <w:highlight w:val="none"/>
                <w:vertAlign w:val="baseline"/>
              </w:rPr>
            </w:pPr>
          </w:p>
        </w:tc>
      </w:tr>
      <w:tr w14:paraId="5D88D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42" w:type="dxa"/>
            <w:vAlign w:val="center"/>
          </w:tcPr>
          <w:p w14:paraId="669EA554">
            <w:pPr>
              <w:widowControl/>
              <w:snapToGrid w:val="0"/>
              <w:spacing w:line="240" w:lineRule="auto"/>
              <w:ind w:left="0" w:leftChars="0" w:right="0" w:rightChars="0" w:firstLine="0" w:firstLineChars="0"/>
              <w:jc w:val="center"/>
              <w:rPr>
                <w:rFonts w:hint="eastAsia" w:eastAsia="宋体" w:cs="宋体"/>
                <w:color w:val="auto"/>
                <w:szCs w:val="21"/>
                <w:highlight w:val="none"/>
                <w:vertAlign w:val="baseline"/>
                <w:lang w:val="en-US" w:eastAsia="zh-CN"/>
              </w:rPr>
            </w:pPr>
            <w:r>
              <w:rPr>
                <w:rFonts w:hint="eastAsia" w:cs="宋体"/>
                <w:color w:val="auto"/>
                <w:szCs w:val="21"/>
                <w:highlight w:val="none"/>
                <w:vertAlign w:val="baseline"/>
                <w:lang w:val="en-US" w:eastAsia="zh-CN"/>
              </w:rPr>
              <w:t>2</w:t>
            </w:r>
          </w:p>
        </w:tc>
        <w:tc>
          <w:tcPr>
            <w:tcW w:w="1954" w:type="dxa"/>
            <w:vAlign w:val="center"/>
          </w:tcPr>
          <w:p w14:paraId="50A741A7">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643" w:type="dxa"/>
            <w:vAlign w:val="center"/>
          </w:tcPr>
          <w:p w14:paraId="7C903AEC">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741" w:type="dxa"/>
            <w:vAlign w:val="center"/>
          </w:tcPr>
          <w:p w14:paraId="1097809F">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800" w:type="dxa"/>
            <w:vAlign w:val="center"/>
          </w:tcPr>
          <w:p w14:paraId="78C6DA2A">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800" w:type="dxa"/>
            <w:vAlign w:val="center"/>
          </w:tcPr>
          <w:p w14:paraId="6E1E02AA">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500" w:type="dxa"/>
            <w:vAlign w:val="center"/>
          </w:tcPr>
          <w:p w14:paraId="11CCD97C">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418" w:type="dxa"/>
            <w:vAlign w:val="center"/>
          </w:tcPr>
          <w:p w14:paraId="466CD8C3">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478" w:type="dxa"/>
            <w:vAlign w:val="center"/>
          </w:tcPr>
          <w:p w14:paraId="5AD55C80">
            <w:pPr>
              <w:widowControl/>
              <w:snapToGrid w:val="0"/>
              <w:spacing w:line="240" w:lineRule="auto"/>
              <w:ind w:left="0" w:leftChars="0" w:right="0" w:rightChars="0" w:firstLine="0" w:firstLineChars="0"/>
              <w:jc w:val="center"/>
              <w:rPr>
                <w:rFonts w:cs="宋体"/>
                <w:color w:val="auto"/>
                <w:szCs w:val="21"/>
                <w:highlight w:val="none"/>
                <w:vertAlign w:val="baseline"/>
              </w:rPr>
            </w:pPr>
          </w:p>
        </w:tc>
      </w:tr>
      <w:tr w14:paraId="5B67D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jc w:val="center"/>
        </w:trPr>
        <w:tc>
          <w:tcPr>
            <w:tcW w:w="1142" w:type="dxa"/>
            <w:vAlign w:val="center"/>
          </w:tcPr>
          <w:p w14:paraId="2B5EA967">
            <w:pPr>
              <w:widowControl/>
              <w:snapToGrid w:val="0"/>
              <w:spacing w:line="240" w:lineRule="auto"/>
              <w:ind w:left="0" w:leftChars="0" w:right="0" w:rightChars="0" w:firstLine="0" w:firstLineChars="0"/>
              <w:jc w:val="center"/>
              <w:rPr>
                <w:rFonts w:hint="eastAsia" w:eastAsia="宋体" w:cs="宋体"/>
                <w:color w:val="auto"/>
                <w:szCs w:val="21"/>
                <w:highlight w:val="none"/>
                <w:vertAlign w:val="baseline"/>
                <w:lang w:val="en-US" w:eastAsia="zh-CN"/>
              </w:rPr>
            </w:pPr>
            <w:r>
              <w:rPr>
                <w:rFonts w:hint="eastAsia" w:cs="宋体"/>
                <w:color w:val="auto"/>
                <w:szCs w:val="21"/>
                <w:highlight w:val="none"/>
                <w:vertAlign w:val="baseline"/>
                <w:lang w:val="en-US" w:eastAsia="zh-CN"/>
              </w:rPr>
              <w:t>3</w:t>
            </w:r>
          </w:p>
        </w:tc>
        <w:tc>
          <w:tcPr>
            <w:tcW w:w="1954" w:type="dxa"/>
            <w:vAlign w:val="center"/>
          </w:tcPr>
          <w:p w14:paraId="647B3D36">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643" w:type="dxa"/>
            <w:vAlign w:val="center"/>
          </w:tcPr>
          <w:p w14:paraId="11EEE818">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741" w:type="dxa"/>
            <w:vAlign w:val="center"/>
          </w:tcPr>
          <w:p w14:paraId="386E7825">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800" w:type="dxa"/>
            <w:vAlign w:val="center"/>
          </w:tcPr>
          <w:p w14:paraId="5A5545C1">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800" w:type="dxa"/>
            <w:vAlign w:val="center"/>
          </w:tcPr>
          <w:p w14:paraId="7DA4EB0A">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500" w:type="dxa"/>
            <w:vAlign w:val="center"/>
          </w:tcPr>
          <w:p w14:paraId="05853D27">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418" w:type="dxa"/>
            <w:vAlign w:val="center"/>
          </w:tcPr>
          <w:p w14:paraId="46904DAD">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478" w:type="dxa"/>
            <w:vAlign w:val="center"/>
          </w:tcPr>
          <w:p w14:paraId="779AB521">
            <w:pPr>
              <w:widowControl/>
              <w:snapToGrid w:val="0"/>
              <w:spacing w:line="240" w:lineRule="auto"/>
              <w:ind w:left="0" w:leftChars="0" w:right="0" w:rightChars="0" w:firstLine="0" w:firstLineChars="0"/>
              <w:jc w:val="center"/>
              <w:rPr>
                <w:rFonts w:cs="宋体"/>
                <w:color w:val="auto"/>
                <w:szCs w:val="21"/>
                <w:highlight w:val="none"/>
                <w:vertAlign w:val="baseline"/>
              </w:rPr>
            </w:pPr>
          </w:p>
        </w:tc>
      </w:tr>
      <w:tr w14:paraId="46867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42" w:type="dxa"/>
            <w:vAlign w:val="center"/>
          </w:tcPr>
          <w:p w14:paraId="6C8637D0">
            <w:pPr>
              <w:widowControl/>
              <w:snapToGrid w:val="0"/>
              <w:spacing w:line="240" w:lineRule="auto"/>
              <w:ind w:left="0" w:leftChars="0" w:right="0" w:rightChars="0" w:firstLine="0" w:firstLineChars="0"/>
              <w:jc w:val="center"/>
              <w:rPr>
                <w:rFonts w:hint="eastAsia" w:eastAsia="宋体" w:cs="宋体"/>
                <w:color w:val="auto"/>
                <w:szCs w:val="21"/>
                <w:highlight w:val="none"/>
                <w:vertAlign w:val="baseline"/>
                <w:lang w:val="en-US" w:eastAsia="zh-CN"/>
              </w:rPr>
            </w:pPr>
            <w:r>
              <w:rPr>
                <w:rFonts w:hint="eastAsia" w:cs="宋体"/>
                <w:color w:val="auto"/>
                <w:szCs w:val="21"/>
                <w:highlight w:val="none"/>
                <w:vertAlign w:val="baseline"/>
                <w:lang w:val="en-US" w:eastAsia="zh-CN"/>
              </w:rPr>
              <w:t>4</w:t>
            </w:r>
          </w:p>
        </w:tc>
        <w:tc>
          <w:tcPr>
            <w:tcW w:w="1954" w:type="dxa"/>
            <w:vAlign w:val="center"/>
          </w:tcPr>
          <w:p w14:paraId="1965ACDB">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643" w:type="dxa"/>
            <w:vAlign w:val="center"/>
          </w:tcPr>
          <w:p w14:paraId="70AD20C8">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741" w:type="dxa"/>
            <w:vAlign w:val="center"/>
          </w:tcPr>
          <w:p w14:paraId="4E1602F9">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800" w:type="dxa"/>
            <w:vAlign w:val="center"/>
          </w:tcPr>
          <w:p w14:paraId="733F1435">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800" w:type="dxa"/>
            <w:vAlign w:val="center"/>
          </w:tcPr>
          <w:p w14:paraId="59AA3644">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500" w:type="dxa"/>
            <w:vAlign w:val="center"/>
          </w:tcPr>
          <w:p w14:paraId="2C474659">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418" w:type="dxa"/>
            <w:vAlign w:val="center"/>
          </w:tcPr>
          <w:p w14:paraId="6CDCE6B5">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478" w:type="dxa"/>
            <w:vAlign w:val="center"/>
          </w:tcPr>
          <w:p w14:paraId="07FDE978">
            <w:pPr>
              <w:widowControl/>
              <w:snapToGrid w:val="0"/>
              <w:spacing w:line="240" w:lineRule="auto"/>
              <w:ind w:left="0" w:leftChars="0" w:right="0" w:rightChars="0" w:firstLine="0" w:firstLineChars="0"/>
              <w:jc w:val="center"/>
              <w:rPr>
                <w:rFonts w:cs="宋体"/>
                <w:color w:val="auto"/>
                <w:szCs w:val="21"/>
                <w:highlight w:val="none"/>
                <w:vertAlign w:val="baseline"/>
              </w:rPr>
            </w:pPr>
          </w:p>
        </w:tc>
      </w:tr>
      <w:tr w14:paraId="31AED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42" w:type="dxa"/>
            <w:vAlign w:val="center"/>
          </w:tcPr>
          <w:p w14:paraId="5B7C6534">
            <w:pPr>
              <w:widowControl/>
              <w:snapToGrid w:val="0"/>
              <w:spacing w:line="240" w:lineRule="auto"/>
              <w:ind w:left="0" w:leftChars="0" w:right="0" w:rightChars="0" w:firstLine="0" w:firstLineChars="0"/>
              <w:jc w:val="center"/>
              <w:rPr>
                <w:rFonts w:hint="default" w:cs="宋体"/>
                <w:color w:val="auto"/>
                <w:szCs w:val="21"/>
                <w:highlight w:val="none"/>
                <w:vertAlign w:val="baseline"/>
                <w:lang w:val="en-US" w:eastAsia="zh-CN"/>
              </w:rPr>
            </w:pPr>
            <w:r>
              <w:rPr>
                <w:rFonts w:hint="eastAsia" w:cs="宋体"/>
                <w:color w:val="auto"/>
                <w:szCs w:val="21"/>
                <w:highlight w:val="none"/>
                <w:vertAlign w:val="baseline"/>
                <w:lang w:val="en-US" w:eastAsia="zh-CN"/>
              </w:rPr>
              <w:t>5</w:t>
            </w:r>
          </w:p>
        </w:tc>
        <w:tc>
          <w:tcPr>
            <w:tcW w:w="1954" w:type="dxa"/>
            <w:vAlign w:val="center"/>
          </w:tcPr>
          <w:p w14:paraId="045E9844">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643" w:type="dxa"/>
            <w:vAlign w:val="center"/>
          </w:tcPr>
          <w:p w14:paraId="10F7A221">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741" w:type="dxa"/>
            <w:vAlign w:val="center"/>
          </w:tcPr>
          <w:p w14:paraId="5574FCE0">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800" w:type="dxa"/>
            <w:vAlign w:val="center"/>
          </w:tcPr>
          <w:p w14:paraId="17A0CA13">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800" w:type="dxa"/>
            <w:vAlign w:val="center"/>
          </w:tcPr>
          <w:p w14:paraId="68B01634">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500" w:type="dxa"/>
            <w:vAlign w:val="center"/>
          </w:tcPr>
          <w:p w14:paraId="5F4FFEA6">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418" w:type="dxa"/>
            <w:vAlign w:val="center"/>
          </w:tcPr>
          <w:p w14:paraId="27E6B20C">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478" w:type="dxa"/>
            <w:vAlign w:val="center"/>
          </w:tcPr>
          <w:p w14:paraId="096497EA">
            <w:pPr>
              <w:widowControl/>
              <w:snapToGrid w:val="0"/>
              <w:spacing w:line="240" w:lineRule="auto"/>
              <w:ind w:left="0" w:leftChars="0" w:right="0" w:rightChars="0" w:firstLine="0" w:firstLineChars="0"/>
              <w:jc w:val="center"/>
              <w:rPr>
                <w:rFonts w:cs="宋体"/>
                <w:color w:val="auto"/>
                <w:szCs w:val="21"/>
                <w:highlight w:val="none"/>
                <w:vertAlign w:val="baseline"/>
              </w:rPr>
            </w:pPr>
          </w:p>
        </w:tc>
      </w:tr>
      <w:tr w14:paraId="78460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42" w:type="dxa"/>
            <w:vAlign w:val="center"/>
          </w:tcPr>
          <w:p w14:paraId="1A794C62">
            <w:pPr>
              <w:widowControl/>
              <w:snapToGrid w:val="0"/>
              <w:spacing w:line="240" w:lineRule="auto"/>
              <w:ind w:left="0" w:leftChars="0" w:right="0" w:rightChars="0" w:firstLine="0" w:firstLineChars="0"/>
              <w:jc w:val="center"/>
              <w:rPr>
                <w:rFonts w:hint="default" w:cs="宋体"/>
                <w:color w:val="auto"/>
                <w:szCs w:val="21"/>
                <w:highlight w:val="none"/>
                <w:vertAlign w:val="baseline"/>
                <w:lang w:val="en-US" w:eastAsia="zh-CN"/>
              </w:rPr>
            </w:pPr>
            <w:r>
              <w:rPr>
                <w:rFonts w:hint="eastAsia" w:cs="宋体"/>
                <w:color w:val="auto"/>
                <w:szCs w:val="21"/>
                <w:highlight w:val="none"/>
                <w:vertAlign w:val="baseline"/>
                <w:lang w:val="en-US" w:eastAsia="zh-CN"/>
              </w:rPr>
              <w:t>...</w:t>
            </w:r>
          </w:p>
        </w:tc>
        <w:tc>
          <w:tcPr>
            <w:tcW w:w="1954" w:type="dxa"/>
            <w:vAlign w:val="center"/>
          </w:tcPr>
          <w:p w14:paraId="2678E108">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643" w:type="dxa"/>
            <w:vAlign w:val="center"/>
          </w:tcPr>
          <w:p w14:paraId="75A91513">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741" w:type="dxa"/>
            <w:vAlign w:val="center"/>
          </w:tcPr>
          <w:p w14:paraId="49521EFD">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800" w:type="dxa"/>
            <w:vAlign w:val="center"/>
          </w:tcPr>
          <w:p w14:paraId="41869905">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800" w:type="dxa"/>
            <w:vAlign w:val="center"/>
          </w:tcPr>
          <w:p w14:paraId="35A81399">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500" w:type="dxa"/>
            <w:vAlign w:val="center"/>
          </w:tcPr>
          <w:p w14:paraId="62000193">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418" w:type="dxa"/>
            <w:vAlign w:val="center"/>
          </w:tcPr>
          <w:p w14:paraId="1805A7D0">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478" w:type="dxa"/>
            <w:vAlign w:val="center"/>
          </w:tcPr>
          <w:p w14:paraId="787CFF6C">
            <w:pPr>
              <w:widowControl/>
              <w:snapToGrid w:val="0"/>
              <w:spacing w:line="240" w:lineRule="auto"/>
              <w:ind w:left="0" w:leftChars="0" w:right="0" w:rightChars="0" w:firstLine="0" w:firstLineChars="0"/>
              <w:jc w:val="center"/>
              <w:rPr>
                <w:rFonts w:cs="宋体"/>
                <w:color w:val="auto"/>
                <w:szCs w:val="21"/>
                <w:highlight w:val="none"/>
                <w:vertAlign w:val="baseline"/>
              </w:rPr>
            </w:pPr>
          </w:p>
        </w:tc>
      </w:tr>
      <w:tr w14:paraId="158C3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42" w:type="dxa"/>
            <w:vAlign w:val="center"/>
          </w:tcPr>
          <w:p w14:paraId="10F8B581">
            <w:pPr>
              <w:widowControl/>
              <w:snapToGrid w:val="0"/>
              <w:spacing w:line="240" w:lineRule="auto"/>
              <w:ind w:left="0" w:leftChars="0" w:right="0" w:rightChars="0" w:firstLine="0" w:firstLineChars="0"/>
              <w:jc w:val="center"/>
              <w:rPr>
                <w:rFonts w:hint="default" w:cs="宋体"/>
                <w:color w:val="auto"/>
                <w:szCs w:val="21"/>
                <w:highlight w:val="none"/>
                <w:vertAlign w:val="baseline"/>
                <w:lang w:val="en-US" w:eastAsia="zh-CN"/>
              </w:rPr>
            </w:pPr>
            <w:r>
              <w:rPr>
                <w:rFonts w:hint="eastAsia" w:ascii="宋体" w:hAnsi="宋体" w:eastAsia="宋体" w:cs="宋体"/>
                <w:b/>
                <w:color w:val="auto"/>
                <w:sz w:val="28"/>
                <w:szCs w:val="28"/>
                <w:highlight w:val="none"/>
                <w:vertAlign w:val="baseline"/>
                <w:lang w:val="en-US" w:eastAsia="zh-CN"/>
              </w:rPr>
              <w:t>总计</w:t>
            </w:r>
          </w:p>
        </w:tc>
        <w:tc>
          <w:tcPr>
            <w:tcW w:w="1954" w:type="dxa"/>
            <w:vAlign w:val="center"/>
          </w:tcPr>
          <w:p w14:paraId="008193F9">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8484" w:type="dxa"/>
            <w:gridSpan w:val="5"/>
            <w:vAlign w:val="center"/>
          </w:tcPr>
          <w:p w14:paraId="263C3858">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418" w:type="dxa"/>
            <w:vAlign w:val="center"/>
          </w:tcPr>
          <w:p w14:paraId="5BB26388">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478" w:type="dxa"/>
            <w:vAlign w:val="center"/>
          </w:tcPr>
          <w:p w14:paraId="115417A4">
            <w:pPr>
              <w:widowControl/>
              <w:snapToGrid w:val="0"/>
              <w:spacing w:line="240" w:lineRule="auto"/>
              <w:ind w:left="0" w:leftChars="0" w:right="0" w:rightChars="0" w:firstLine="0" w:firstLineChars="0"/>
              <w:jc w:val="center"/>
              <w:rPr>
                <w:rFonts w:cs="宋体"/>
                <w:color w:val="auto"/>
                <w:szCs w:val="21"/>
                <w:highlight w:val="none"/>
                <w:vertAlign w:val="baseline"/>
              </w:rPr>
            </w:pPr>
          </w:p>
        </w:tc>
      </w:tr>
    </w:tbl>
    <w:p w14:paraId="77CAFA03">
      <w:pPr>
        <w:widowControl/>
        <w:snapToGrid w:val="0"/>
        <w:ind w:firstLine="3090" w:firstLineChars="1500"/>
        <w:rPr>
          <w:rFonts w:hint="eastAsia" w:ascii="Tahoma" w:hAnsi="Calibri" w:cs="宋体"/>
          <w:color w:val="auto"/>
          <w:spacing w:val="-2"/>
          <w:sz w:val="21"/>
          <w:szCs w:val="21"/>
          <w:highlight w:val="none"/>
        </w:rPr>
        <w:sectPr>
          <w:pgSz w:w="16840" w:h="11907" w:orient="landscape"/>
          <w:pgMar w:top="1418" w:right="1418" w:bottom="1418" w:left="1134" w:header="964" w:footer="964" w:gutter="0"/>
          <w:cols w:space="720" w:num="1"/>
          <w:titlePg/>
          <w:docGrid w:linePitch="286" w:charSpace="0"/>
        </w:sectPr>
      </w:pPr>
    </w:p>
    <w:p w14:paraId="017621B2">
      <w:pPr>
        <w:ind w:left="0" w:leftChars="0" w:firstLine="0" w:firstLineChars="0"/>
        <w:rPr>
          <w:b/>
          <w:snapToGrid w:val="0"/>
          <w:color w:val="auto"/>
          <w:kern w:val="0"/>
          <w:sz w:val="28"/>
          <w:szCs w:val="28"/>
          <w:highlight w:val="none"/>
        </w:rPr>
      </w:pPr>
    </w:p>
    <w:p w14:paraId="3ECF7F36">
      <w:pPr>
        <w:pStyle w:val="13"/>
        <w:ind w:firstLine="0" w:firstLineChars="0"/>
        <w:jc w:val="center"/>
        <w:rPr>
          <w:b/>
          <w:snapToGrid w:val="0"/>
          <w:color w:val="auto"/>
          <w:kern w:val="0"/>
          <w:sz w:val="28"/>
          <w:szCs w:val="28"/>
          <w:highlight w:val="none"/>
        </w:rPr>
      </w:pPr>
      <w:r>
        <w:rPr>
          <w:rFonts w:hint="eastAsia"/>
          <w:b/>
          <w:snapToGrid w:val="0"/>
          <w:color w:val="auto"/>
          <w:kern w:val="0"/>
          <w:sz w:val="28"/>
          <w:szCs w:val="28"/>
          <w:highlight w:val="none"/>
        </w:rPr>
        <w:t>（二）实施方案</w:t>
      </w:r>
    </w:p>
    <w:p w14:paraId="407F48BE">
      <w:pPr>
        <w:pStyle w:val="13"/>
        <w:ind w:firstLine="0" w:firstLineChars="0"/>
        <w:jc w:val="center"/>
        <w:rPr>
          <w:b/>
          <w:snapToGrid w:val="0"/>
          <w:color w:val="auto"/>
          <w:kern w:val="0"/>
          <w:sz w:val="28"/>
          <w:szCs w:val="28"/>
          <w:highlight w:val="none"/>
        </w:rPr>
      </w:pPr>
      <w:r>
        <w:rPr>
          <w:rFonts w:hint="eastAsia"/>
          <w:b/>
          <w:snapToGrid w:val="0"/>
          <w:color w:val="auto"/>
          <w:kern w:val="0"/>
          <w:sz w:val="28"/>
          <w:szCs w:val="28"/>
          <w:highlight w:val="none"/>
        </w:rPr>
        <w:t>（格式自拟）</w:t>
      </w:r>
    </w:p>
    <w:p w14:paraId="0902B6A7">
      <w:pPr>
        <w:pStyle w:val="6"/>
        <w:tabs>
          <w:tab w:val="left" w:pos="780"/>
        </w:tabs>
        <w:spacing w:before="180" w:after="36"/>
        <w:rPr>
          <w:color w:val="auto"/>
          <w:highlight w:val="none"/>
        </w:rPr>
        <w:sectPr>
          <w:pgSz w:w="11907" w:h="16840"/>
          <w:pgMar w:top="1418" w:right="1418" w:bottom="1134" w:left="1418" w:header="964" w:footer="964" w:gutter="0"/>
          <w:cols w:space="720" w:num="1"/>
          <w:titlePg/>
          <w:docGrid w:linePitch="286" w:charSpace="0"/>
        </w:sectPr>
      </w:pPr>
    </w:p>
    <w:p w14:paraId="484557DC">
      <w:pPr>
        <w:overflowPunct w:val="0"/>
        <w:topLinePunct/>
        <w:autoSpaceDN w:val="0"/>
        <w:adjustRightInd w:val="0"/>
        <w:snapToGrid w:val="0"/>
        <w:ind w:firstLine="562"/>
        <w:jc w:val="center"/>
        <w:rPr>
          <w:b/>
          <w:snapToGrid w:val="0"/>
          <w:color w:val="auto"/>
          <w:kern w:val="0"/>
          <w:sz w:val="28"/>
          <w:szCs w:val="28"/>
          <w:highlight w:val="none"/>
        </w:rPr>
      </w:pPr>
      <w:r>
        <w:rPr>
          <w:rFonts w:hint="eastAsia"/>
          <w:b/>
          <w:snapToGrid w:val="0"/>
          <w:color w:val="auto"/>
          <w:kern w:val="0"/>
          <w:sz w:val="28"/>
          <w:szCs w:val="28"/>
          <w:highlight w:val="none"/>
        </w:rPr>
        <w:t>（三）</w:t>
      </w:r>
      <w:r>
        <w:rPr>
          <w:rFonts w:hint="eastAsia"/>
          <w:b/>
          <w:snapToGrid w:val="0"/>
          <w:color w:val="auto"/>
          <w:kern w:val="0"/>
          <w:sz w:val="28"/>
          <w:szCs w:val="28"/>
          <w:highlight w:val="none"/>
          <w:lang w:val="en-US" w:eastAsia="zh-CN"/>
        </w:rPr>
        <w:t>投标货物</w:t>
      </w:r>
      <w:r>
        <w:rPr>
          <w:rFonts w:cs="宋体"/>
          <w:b/>
          <w:color w:val="auto"/>
          <w:sz w:val="28"/>
          <w:szCs w:val="28"/>
          <w:highlight w:val="none"/>
        </w:rPr>
        <w:t>技术</w:t>
      </w:r>
      <w:r>
        <w:rPr>
          <w:rFonts w:hint="eastAsia" w:cs="宋体"/>
          <w:b/>
          <w:color w:val="auto"/>
          <w:sz w:val="28"/>
          <w:szCs w:val="28"/>
          <w:highlight w:val="none"/>
          <w:lang w:eastAsia="zh-CN"/>
        </w:rPr>
        <w:t>（</w:t>
      </w:r>
      <w:r>
        <w:rPr>
          <w:rFonts w:cs="宋体"/>
          <w:b/>
          <w:color w:val="auto"/>
          <w:sz w:val="28"/>
          <w:szCs w:val="28"/>
          <w:highlight w:val="none"/>
        </w:rPr>
        <w:t>服务</w:t>
      </w:r>
      <w:r>
        <w:rPr>
          <w:rFonts w:hint="eastAsia" w:cs="宋体"/>
          <w:b/>
          <w:color w:val="auto"/>
          <w:sz w:val="28"/>
          <w:szCs w:val="28"/>
          <w:highlight w:val="none"/>
          <w:lang w:eastAsia="zh-CN"/>
        </w:rPr>
        <w:t>）</w:t>
      </w:r>
      <w:r>
        <w:rPr>
          <w:b/>
          <w:snapToGrid w:val="0"/>
          <w:color w:val="auto"/>
          <w:kern w:val="0"/>
          <w:sz w:val="28"/>
          <w:szCs w:val="28"/>
          <w:highlight w:val="none"/>
        </w:rPr>
        <w:t>偏离表</w:t>
      </w:r>
    </w:p>
    <w:tbl>
      <w:tblPr>
        <w:tblStyle w:val="40"/>
        <w:tblpPr w:leftFromText="180" w:rightFromText="180" w:vertAnchor="text" w:horzAnchor="page" w:tblpXSpec="center" w:tblpY="457"/>
        <w:tblOverlap w:val="never"/>
        <w:tblW w:w="4998"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621"/>
        <w:gridCol w:w="2774"/>
        <w:gridCol w:w="2722"/>
        <w:gridCol w:w="1345"/>
        <w:gridCol w:w="897"/>
      </w:tblGrid>
      <w:tr w14:paraId="6C314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372" w:type="pct"/>
            <w:tcBorders>
              <w:top w:val="single" w:color="000000" w:sz="6" w:space="0"/>
              <w:left w:val="single" w:color="000000" w:sz="6" w:space="0"/>
              <w:bottom w:val="single" w:color="000000" w:sz="6" w:space="0"/>
              <w:right w:val="single" w:color="auto" w:sz="4" w:space="0"/>
            </w:tcBorders>
            <w:vAlign w:val="center"/>
          </w:tcPr>
          <w:p w14:paraId="4B22F6BE">
            <w:pPr>
              <w:widowControl/>
              <w:snapToGrid w:val="0"/>
              <w:ind w:left="0" w:leftChars="0" w:firstLine="0" w:firstLineChars="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序号</w:t>
            </w:r>
          </w:p>
        </w:tc>
        <w:tc>
          <w:tcPr>
            <w:tcW w:w="1658" w:type="pct"/>
            <w:tcBorders>
              <w:top w:val="single" w:color="000000" w:sz="6" w:space="0"/>
              <w:left w:val="single" w:color="000000" w:sz="6" w:space="0"/>
              <w:bottom w:val="single" w:color="000000" w:sz="6" w:space="0"/>
              <w:right w:val="single" w:color="000000" w:sz="6" w:space="0"/>
            </w:tcBorders>
            <w:vAlign w:val="center"/>
          </w:tcPr>
          <w:p w14:paraId="65464B59">
            <w:pPr>
              <w:widowControl/>
              <w:snapToGrid w:val="0"/>
              <w:ind w:left="0" w:leftChars="0" w:firstLine="240" w:firstLineChars="10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招标文件</w:t>
            </w:r>
          </w:p>
          <w:p w14:paraId="6FC0DF14">
            <w:pPr>
              <w:widowControl/>
              <w:snapToGrid w:val="0"/>
              <w:ind w:left="0" w:leftChars="0" w:firstLine="240" w:firstLineChars="10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技术（服务）指标</w:t>
            </w:r>
          </w:p>
        </w:tc>
        <w:tc>
          <w:tcPr>
            <w:tcW w:w="1627" w:type="pct"/>
            <w:tcBorders>
              <w:top w:val="single" w:color="000000" w:sz="6" w:space="0"/>
              <w:left w:val="single" w:color="000000" w:sz="6" w:space="0"/>
              <w:bottom w:val="single" w:color="000000" w:sz="6" w:space="0"/>
              <w:right w:val="single" w:color="000000" w:sz="6" w:space="0"/>
            </w:tcBorders>
            <w:vAlign w:val="center"/>
          </w:tcPr>
          <w:p w14:paraId="6D65A660">
            <w:pPr>
              <w:widowControl/>
              <w:snapToGrid w:val="0"/>
              <w:ind w:left="0" w:leftChars="0" w:firstLine="0" w:firstLineChars="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投标文件</w:t>
            </w:r>
          </w:p>
          <w:p w14:paraId="2706AC1B">
            <w:pPr>
              <w:widowControl/>
              <w:snapToGrid w:val="0"/>
              <w:ind w:left="0" w:leftChars="0" w:firstLine="0" w:firstLineChars="0"/>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对应</w:t>
            </w:r>
            <w:r>
              <w:rPr>
                <w:rFonts w:hint="eastAsia" w:ascii="宋体" w:hAnsi="宋体" w:cs="宋体"/>
                <w:color w:val="auto"/>
                <w:kern w:val="0"/>
                <w:sz w:val="24"/>
                <w:szCs w:val="24"/>
                <w:highlight w:val="none"/>
                <w:lang w:eastAsia="zh-CN"/>
              </w:rPr>
              <w:t>指标</w:t>
            </w:r>
          </w:p>
        </w:tc>
        <w:tc>
          <w:tcPr>
            <w:tcW w:w="804" w:type="pct"/>
            <w:tcBorders>
              <w:top w:val="single" w:color="000000" w:sz="6" w:space="0"/>
              <w:left w:val="single" w:color="000000" w:sz="6" w:space="0"/>
              <w:bottom w:val="single" w:color="000000" w:sz="6" w:space="0"/>
              <w:right w:val="single" w:color="000000" w:sz="6" w:space="0"/>
            </w:tcBorders>
            <w:vAlign w:val="center"/>
          </w:tcPr>
          <w:p w14:paraId="6D9E8476">
            <w:pPr>
              <w:widowControl/>
              <w:snapToGrid w:val="0"/>
              <w:ind w:left="0" w:leftChars="0" w:firstLine="240" w:firstLineChars="100"/>
              <w:jc w:val="both"/>
              <w:rPr>
                <w:rFonts w:hint="eastAsia" w:ascii="宋体" w:hAnsi="宋体" w:eastAsia="宋体" w:cs="宋体"/>
                <w:color w:val="auto"/>
                <w:kern w:val="0"/>
                <w:sz w:val="24"/>
                <w:szCs w:val="24"/>
                <w:highlight w:val="none"/>
                <w:lang w:eastAsia="zh-CN"/>
              </w:rPr>
            </w:pPr>
            <w:r>
              <w:rPr>
                <w:rFonts w:hint="eastAsia" w:cs="宋体"/>
                <w:color w:val="auto"/>
                <w:kern w:val="0"/>
                <w:sz w:val="24"/>
                <w:szCs w:val="24"/>
                <w:highlight w:val="none"/>
                <w:lang w:eastAsia="zh-CN"/>
              </w:rPr>
              <w:t>偏离说明</w:t>
            </w:r>
          </w:p>
        </w:tc>
        <w:tc>
          <w:tcPr>
            <w:tcW w:w="536" w:type="pct"/>
            <w:tcBorders>
              <w:top w:val="single" w:color="000000" w:sz="6" w:space="0"/>
              <w:left w:val="single" w:color="000000" w:sz="6" w:space="0"/>
              <w:bottom w:val="single" w:color="000000" w:sz="6" w:space="0"/>
              <w:right w:val="single" w:color="000000" w:sz="6" w:space="0"/>
            </w:tcBorders>
            <w:vAlign w:val="center"/>
          </w:tcPr>
          <w:p w14:paraId="110E478F">
            <w:pPr>
              <w:widowControl/>
              <w:snapToGrid w:val="0"/>
              <w:ind w:left="0" w:leftChars="0" w:firstLine="240" w:firstLineChars="100"/>
              <w:jc w:val="both"/>
              <w:rPr>
                <w:rFonts w:ascii="宋体" w:hAnsi="宋体" w:cs="宋体"/>
                <w:color w:val="auto"/>
                <w:kern w:val="0"/>
                <w:sz w:val="24"/>
                <w:szCs w:val="24"/>
                <w:highlight w:val="none"/>
              </w:rPr>
            </w:pPr>
            <w:r>
              <w:rPr>
                <w:rFonts w:hint="eastAsia" w:ascii="宋体" w:hAnsi="宋体" w:cs="宋体"/>
                <w:color w:val="auto"/>
                <w:kern w:val="0"/>
                <w:sz w:val="24"/>
                <w:szCs w:val="24"/>
                <w:highlight w:val="none"/>
              </w:rPr>
              <w:t>备注</w:t>
            </w:r>
          </w:p>
        </w:tc>
      </w:tr>
      <w:tr w14:paraId="513D8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85" w:hRule="atLeast"/>
          <w:jc w:val="center"/>
        </w:trPr>
        <w:tc>
          <w:tcPr>
            <w:tcW w:w="372" w:type="pct"/>
            <w:tcBorders>
              <w:top w:val="single" w:color="000000" w:sz="6" w:space="0"/>
              <w:left w:val="single" w:color="000000" w:sz="6" w:space="0"/>
              <w:bottom w:val="single" w:color="000000" w:sz="6" w:space="0"/>
              <w:right w:val="single" w:color="auto" w:sz="4" w:space="0"/>
            </w:tcBorders>
            <w:vAlign w:val="center"/>
          </w:tcPr>
          <w:p w14:paraId="76D0005A">
            <w:pPr>
              <w:widowControl/>
              <w:snapToGrid w:val="0"/>
              <w:spacing w:line="460" w:lineRule="exact"/>
              <w:ind w:left="0" w:leftChars="0" w:firstLine="0" w:firstLineChars="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658" w:type="pct"/>
            <w:tcBorders>
              <w:top w:val="single" w:color="000000" w:sz="6" w:space="0"/>
              <w:left w:val="single" w:color="000000" w:sz="6" w:space="0"/>
              <w:bottom w:val="single" w:color="000000" w:sz="6" w:space="0"/>
              <w:right w:val="single" w:color="000000" w:sz="6" w:space="0"/>
            </w:tcBorders>
            <w:vAlign w:val="center"/>
          </w:tcPr>
          <w:p w14:paraId="4A988970">
            <w:pPr>
              <w:widowControl/>
              <w:snapToGrid w:val="0"/>
              <w:spacing w:line="460" w:lineRule="exact"/>
              <w:jc w:val="center"/>
              <w:rPr>
                <w:rFonts w:ascii="宋体" w:hAnsi="宋体" w:cs="宋体"/>
                <w:color w:val="auto"/>
                <w:kern w:val="0"/>
                <w:sz w:val="24"/>
                <w:szCs w:val="24"/>
                <w:highlight w:val="none"/>
              </w:rPr>
            </w:pPr>
          </w:p>
        </w:tc>
        <w:tc>
          <w:tcPr>
            <w:tcW w:w="1627" w:type="pct"/>
            <w:tcBorders>
              <w:top w:val="single" w:color="000000" w:sz="6" w:space="0"/>
              <w:left w:val="single" w:color="000000" w:sz="6" w:space="0"/>
              <w:bottom w:val="single" w:color="000000" w:sz="6" w:space="0"/>
              <w:right w:val="single" w:color="000000" w:sz="6" w:space="0"/>
            </w:tcBorders>
            <w:vAlign w:val="center"/>
          </w:tcPr>
          <w:p w14:paraId="58455CA0">
            <w:pPr>
              <w:widowControl/>
              <w:snapToGrid w:val="0"/>
              <w:spacing w:line="460" w:lineRule="exact"/>
              <w:jc w:val="center"/>
              <w:rPr>
                <w:rFonts w:ascii="宋体" w:hAnsi="宋体" w:cs="宋体"/>
                <w:color w:val="auto"/>
                <w:kern w:val="0"/>
                <w:sz w:val="24"/>
                <w:szCs w:val="24"/>
                <w:highlight w:val="none"/>
              </w:rPr>
            </w:pPr>
          </w:p>
        </w:tc>
        <w:tc>
          <w:tcPr>
            <w:tcW w:w="804" w:type="pct"/>
            <w:tcBorders>
              <w:top w:val="single" w:color="000000" w:sz="6" w:space="0"/>
              <w:left w:val="single" w:color="000000" w:sz="6" w:space="0"/>
              <w:bottom w:val="single" w:color="000000" w:sz="6" w:space="0"/>
              <w:right w:val="single" w:color="000000" w:sz="6" w:space="0"/>
            </w:tcBorders>
            <w:vAlign w:val="center"/>
          </w:tcPr>
          <w:p w14:paraId="0EE815D8">
            <w:pPr>
              <w:widowControl/>
              <w:snapToGrid w:val="0"/>
              <w:spacing w:line="460" w:lineRule="exact"/>
              <w:jc w:val="center"/>
              <w:rPr>
                <w:rFonts w:ascii="宋体" w:hAnsi="宋体" w:cs="宋体"/>
                <w:color w:val="auto"/>
                <w:kern w:val="0"/>
                <w:sz w:val="24"/>
                <w:szCs w:val="24"/>
                <w:highlight w:val="none"/>
              </w:rPr>
            </w:pPr>
          </w:p>
        </w:tc>
        <w:tc>
          <w:tcPr>
            <w:tcW w:w="536" w:type="pct"/>
            <w:tcBorders>
              <w:top w:val="single" w:color="000000" w:sz="6" w:space="0"/>
              <w:left w:val="single" w:color="000000" w:sz="6" w:space="0"/>
              <w:bottom w:val="single" w:color="000000" w:sz="6" w:space="0"/>
              <w:right w:val="single" w:color="000000" w:sz="6" w:space="0"/>
            </w:tcBorders>
            <w:vAlign w:val="center"/>
          </w:tcPr>
          <w:p w14:paraId="6E6B0A6A">
            <w:pPr>
              <w:widowControl/>
              <w:snapToGrid w:val="0"/>
              <w:spacing w:line="460" w:lineRule="exact"/>
              <w:jc w:val="center"/>
              <w:rPr>
                <w:rFonts w:ascii="宋体" w:hAnsi="宋体" w:cs="宋体"/>
                <w:color w:val="auto"/>
                <w:kern w:val="0"/>
                <w:sz w:val="24"/>
                <w:szCs w:val="24"/>
                <w:highlight w:val="none"/>
              </w:rPr>
            </w:pPr>
          </w:p>
        </w:tc>
      </w:tr>
      <w:tr w14:paraId="2CBBC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372" w:type="pct"/>
            <w:tcBorders>
              <w:top w:val="single" w:color="000000" w:sz="6" w:space="0"/>
              <w:left w:val="single" w:color="000000" w:sz="6" w:space="0"/>
              <w:bottom w:val="single" w:color="000000" w:sz="6" w:space="0"/>
              <w:right w:val="single" w:color="auto" w:sz="4" w:space="0"/>
            </w:tcBorders>
            <w:vAlign w:val="center"/>
          </w:tcPr>
          <w:p w14:paraId="6BB33607">
            <w:pPr>
              <w:widowControl/>
              <w:snapToGrid w:val="0"/>
              <w:spacing w:line="460" w:lineRule="exact"/>
              <w:ind w:left="0" w:leftChars="0" w:firstLine="0" w:firstLineChars="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1658" w:type="pct"/>
            <w:tcBorders>
              <w:top w:val="single" w:color="000000" w:sz="6" w:space="0"/>
              <w:left w:val="single" w:color="000000" w:sz="6" w:space="0"/>
              <w:bottom w:val="single" w:color="000000" w:sz="6" w:space="0"/>
              <w:right w:val="single" w:color="000000" w:sz="6" w:space="0"/>
            </w:tcBorders>
            <w:vAlign w:val="center"/>
          </w:tcPr>
          <w:p w14:paraId="1FB6652D">
            <w:pPr>
              <w:widowControl/>
              <w:snapToGrid w:val="0"/>
              <w:spacing w:line="460" w:lineRule="exact"/>
              <w:jc w:val="center"/>
              <w:rPr>
                <w:rFonts w:ascii="宋体" w:hAnsi="宋体" w:cs="宋体"/>
                <w:color w:val="auto"/>
                <w:kern w:val="0"/>
                <w:sz w:val="24"/>
                <w:szCs w:val="24"/>
                <w:highlight w:val="none"/>
              </w:rPr>
            </w:pPr>
          </w:p>
        </w:tc>
        <w:tc>
          <w:tcPr>
            <w:tcW w:w="1627" w:type="pct"/>
            <w:tcBorders>
              <w:top w:val="single" w:color="000000" w:sz="6" w:space="0"/>
              <w:left w:val="single" w:color="000000" w:sz="6" w:space="0"/>
              <w:bottom w:val="single" w:color="000000" w:sz="6" w:space="0"/>
              <w:right w:val="single" w:color="000000" w:sz="6" w:space="0"/>
            </w:tcBorders>
            <w:vAlign w:val="center"/>
          </w:tcPr>
          <w:p w14:paraId="0D6DFB02">
            <w:pPr>
              <w:widowControl/>
              <w:snapToGrid w:val="0"/>
              <w:spacing w:line="460" w:lineRule="exact"/>
              <w:jc w:val="center"/>
              <w:rPr>
                <w:rFonts w:ascii="宋体" w:hAnsi="宋体" w:cs="宋体"/>
                <w:color w:val="auto"/>
                <w:kern w:val="0"/>
                <w:sz w:val="24"/>
                <w:szCs w:val="24"/>
                <w:highlight w:val="none"/>
              </w:rPr>
            </w:pPr>
          </w:p>
        </w:tc>
        <w:tc>
          <w:tcPr>
            <w:tcW w:w="804" w:type="pct"/>
            <w:tcBorders>
              <w:top w:val="single" w:color="000000" w:sz="6" w:space="0"/>
              <w:left w:val="single" w:color="000000" w:sz="6" w:space="0"/>
              <w:bottom w:val="single" w:color="000000" w:sz="6" w:space="0"/>
              <w:right w:val="single" w:color="000000" w:sz="6" w:space="0"/>
            </w:tcBorders>
            <w:vAlign w:val="center"/>
          </w:tcPr>
          <w:p w14:paraId="20EA59B5">
            <w:pPr>
              <w:widowControl/>
              <w:snapToGrid w:val="0"/>
              <w:spacing w:line="460" w:lineRule="exact"/>
              <w:jc w:val="center"/>
              <w:rPr>
                <w:rFonts w:ascii="宋体" w:hAnsi="宋体" w:cs="宋体"/>
                <w:color w:val="auto"/>
                <w:kern w:val="0"/>
                <w:sz w:val="24"/>
                <w:szCs w:val="24"/>
                <w:highlight w:val="none"/>
              </w:rPr>
            </w:pPr>
          </w:p>
        </w:tc>
        <w:tc>
          <w:tcPr>
            <w:tcW w:w="536" w:type="pct"/>
            <w:tcBorders>
              <w:top w:val="single" w:color="000000" w:sz="6" w:space="0"/>
              <w:left w:val="single" w:color="000000" w:sz="6" w:space="0"/>
              <w:bottom w:val="single" w:color="000000" w:sz="6" w:space="0"/>
              <w:right w:val="single" w:color="000000" w:sz="6" w:space="0"/>
            </w:tcBorders>
            <w:vAlign w:val="center"/>
          </w:tcPr>
          <w:p w14:paraId="78C5FD84">
            <w:pPr>
              <w:widowControl/>
              <w:snapToGrid w:val="0"/>
              <w:spacing w:line="460" w:lineRule="exact"/>
              <w:jc w:val="center"/>
              <w:rPr>
                <w:rFonts w:ascii="宋体" w:hAnsi="宋体" w:cs="宋体"/>
                <w:color w:val="auto"/>
                <w:kern w:val="0"/>
                <w:sz w:val="24"/>
                <w:szCs w:val="24"/>
                <w:highlight w:val="none"/>
              </w:rPr>
            </w:pPr>
          </w:p>
        </w:tc>
      </w:tr>
      <w:tr w14:paraId="725C0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372" w:type="pct"/>
            <w:tcBorders>
              <w:top w:val="single" w:color="000000" w:sz="6" w:space="0"/>
              <w:left w:val="single" w:color="000000" w:sz="6" w:space="0"/>
              <w:bottom w:val="single" w:color="000000" w:sz="6" w:space="0"/>
              <w:right w:val="single" w:color="auto" w:sz="4" w:space="0"/>
            </w:tcBorders>
            <w:vAlign w:val="center"/>
          </w:tcPr>
          <w:p w14:paraId="0D0AAD37">
            <w:pPr>
              <w:widowControl/>
              <w:snapToGrid w:val="0"/>
              <w:spacing w:line="460" w:lineRule="exact"/>
              <w:ind w:left="0" w:leftChars="0" w:firstLine="0" w:firstLineChars="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1658" w:type="pct"/>
            <w:tcBorders>
              <w:top w:val="single" w:color="000000" w:sz="6" w:space="0"/>
              <w:left w:val="single" w:color="000000" w:sz="6" w:space="0"/>
              <w:bottom w:val="single" w:color="000000" w:sz="6" w:space="0"/>
              <w:right w:val="single" w:color="000000" w:sz="6" w:space="0"/>
            </w:tcBorders>
            <w:vAlign w:val="center"/>
          </w:tcPr>
          <w:p w14:paraId="2C1FAA07">
            <w:pPr>
              <w:widowControl/>
              <w:snapToGrid w:val="0"/>
              <w:spacing w:line="460" w:lineRule="exact"/>
              <w:jc w:val="center"/>
              <w:rPr>
                <w:rFonts w:ascii="宋体" w:hAnsi="宋体" w:cs="宋体"/>
                <w:color w:val="auto"/>
                <w:kern w:val="0"/>
                <w:sz w:val="24"/>
                <w:szCs w:val="24"/>
                <w:highlight w:val="none"/>
              </w:rPr>
            </w:pPr>
          </w:p>
        </w:tc>
        <w:tc>
          <w:tcPr>
            <w:tcW w:w="1627" w:type="pct"/>
            <w:tcBorders>
              <w:top w:val="single" w:color="000000" w:sz="6" w:space="0"/>
              <w:left w:val="single" w:color="000000" w:sz="6" w:space="0"/>
              <w:bottom w:val="single" w:color="000000" w:sz="6" w:space="0"/>
              <w:right w:val="single" w:color="000000" w:sz="6" w:space="0"/>
            </w:tcBorders>
            <w:vAlign w:val="center"/>
          </w:tcPr>
          <w:p w14:paraId="278B70D7">
            <w:pPr>
              <w:widowControl/>
              <w:snapToGrid w:val="0"/>
              <w:spacing w:line="460" w:lineRule="exact"/>
              <w:jc w:val="center"/>
              <w:rPr>
                <w:rFonts w:ascii="宋体" w:hAnsi="宋体" w:cs="宋体"/>
                <w:color w:val="auto"/>
                <w:kern w:val="0"/>
                <w:sz w:val="24"/>
                <w:szCs w:val="24"/>
                <w:highlight w:val="none"/>
              </w:rPr>
            </w:pPr>
          </w:p>
        </w:tc>
        <w:tc>
          <w:tcPr>
            <w:tcW w:w="804" w:type="pct"/>
            <w:tcBorders>
              <w:top w:val="single" w:color="000000" w:sz="6" w:space="0"/>
              <w:left w:val="single" w:color="000000" w:sz="6" w:space="0"/>
              <w:bottom w:val="single" w:color="000000" w:sz="6" w:space="0"/>
              <w:right w:val="single" w:color="000000" w:sz="6" w:space="0"/>
            </w:tcBorders>
            <w:vAlign w:val="center"/>
          </w:tcPr>
          <w:p w14:paraId="7569E827">
            <w:pPr>
              <w:widowControl/>
              <w:snapToGrid w:val="0"/>
              <w:spacing w:line="460" w:lineRule="exact"/>
              <w:jc w:val="center"/>
              <w:rPr>
                <w:rFonts w:ascii="宋体" w:hAnsi="宋体" w:cs="宋体"/>
                <w:color w:val="auto"/>
                <w:kern w:val="0"/>
                <w:sz w:val="24"/>
                <w:szCs w:val="24"/>
                <w:highlight w:val="none"/>
              </w:rPr>
            </w:pPr>
          </w:p>
        </w:tc>
        <w:tc>
          <w:tcPr>
            <w:tcW w:w="536" w:type="pct"/>
            <w:tcBorders>
              <w:top w:val="single" w:color="000000" w:sz="6" w:space="0"/>
              <w:left w:val="single" w:color="000000" w:sz="6" w:space="0"/>
              <w:bottom w:val="single" w:color="000000" w:sz="6" w:space="0"/>
              <w:right w:val="single" w:color="000000" w:sz="6" w:space="0"/>
            </w:tcBorders>
            <w:vAlign w:val="center"/>
          </w:tcPr>
          <w:p w14:paraId="3A72F133">
            <w:pPr>
              <w:widowControl/>
              <w:snapToGrid w:val="0"/>
              <w:spacing w:line="460" w:lineRule="exact"/>
              <w:jc w:val="center"/>
              <w:rPr>
                <w:rFonts w:ascii="宋体" w:hAnsi="宋体" w:cs="宋体"/>
                <w:color w:val="auto"/>
                <w:kern w:val="0"/>
                <w:sz w:val="24"/>
                <w:szCs w:val="24"/>
                <w:highlight w:val="none"/>
              </w:rPr>
            </w:pPr>
          </w:p>
        </w:tc>
      </w:tr>
      <w:tr w14:paraId="4BF40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372" w:type="pct"/>
            <w:tcBorders>
              <w:top w:val="single" w:color="000000" w:sz="6" w:space="0"/>
              <w:left w:val="single" w:color="000000" w:sz="6" w:space="0"/>
              <w:bottom w:val="single" w:color="000000" w:sz="6" w:space="0"/>
              <w:right w:val="single" w:color="auto" w:sz="4" w:space="0"/>
            </w:tcBorders>
            <w:vAlign w:val="center"/>
          </w:tcPr>
          <w:p w14:paraId="241A7B98">
            <w:pPr>
              <w:widowControl/>
              <w:snapToGrid w:val="0"/>
              <w:spacing w:line="460" w:lineRule="exact"/>
              <w:ind w:left="0" w:leftChars="0" w:firstLine="240" w:firstLineChars="100"/>
              <w:jc w:val="both"/>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p>
        </w:tc>
        <w:tc>
          <w:tcPr>
            <w:tcW w:w="1658" w:type="pct"/>
            <w:tcBorders>
              <w:top w:val="single" w:color="000000" w:sz="6" w:space="0"/>
              <w:left w:val="single" w:color="000000" w:sz="6" w:space="0"/>
              <w:bottom w:val="single" w:color="000000" w:sz="6" w:space="0"/>
              <w:right w:val="single" w:color="000000" w:sz="6" w:space="0"/>
            </w:tcBorders>
            <w:vAlign w:val="center"/>
          </w:tcPr>
          <w:p w14:paraId="5211CE00">
            <w:pPr>
              <w:widowControl/>
              <w:snapToGrid w:val="0"/>
              <w:spacing w:line="460" w:lineRule="exact"/>
              <w:jc w:val="center"/>
              <w:rPr>
                <w:rFonts w:ascii="宋体" w:hAnsi="宋体" w:cs="宋体"/>
                <w:color w:val="auto"/>
                <w:kern w:val="0"/>
                <w:sz w:val="24"/>
                <w:szCs w:val="24"/>
                <w:highlight w:val="none"/>
              </w:rPr>
            </w:pPr>
          </w:p>
        </w:tc>
        <w:tc>
          <w:tcPr>
            <w:tcW w:w="1627" w:type="pct"/>
            <w:tcBorders>
              <w:top w:val="single" w:color="000000" w:sz="6" w:space="0"/>
              <w:left w:val="single" w:color="000000" w:sz="6" w:space="0"/>
              <w:bottom w:val="single" w:color="000000" w:sz="6" w:space="0"/>
              <w:right w:val="single" w:color="000000" w:sz="6" w:space="0"/>
            </w:tcBorders>
            <w:vAlign w:val="center"/>
          </w:tcPr>
          <w:p w14:paraId="0A2AA1C5">
            <w:pPr>
              <w:widowControl/>
              <w:snapToGrid w:val="0"/>
              <w:spacing w:line="460" w:lineRule="exact"/>
              <w:jc w:val="center"/>
              <w:rPr>
                <w:rFonts w:ascii="宋体" w:hAnsi="宋体" w:cs="宋体"/>
                <w:color w:val="auto"/>
                <w:kern w:val="0"/>
                <w:sz w:val="24"/>
                <w:szCs w:val="24"/>
                <w:highlight w:val="none"/>
              </w:rPr>
            </w:pPr>
          </w:p>
        </w:tc>
        <w:tc>
          <w:tcPr>
            <w:tcW w:w="804" w:type="pct"/>
            <w:tcBorders>
              <w:top w:val="single" w:color="000000" w:sz="6" w:space="0"/>
              <w:left w:val="single" w:color="000000" w:sz="6" w:space="0"/>
              <w:bottom w:val="single" w:color="000000" w:sz="6" w:space="0"/>
              <w:right w:val="single" w:color="000000" w:sz="6" w:space="0"/>
            </w:tcBorders>
            <w:vAlign w:val="center"/>
          </w:tcPr>
          <w:p w14:paraId="33BD2121">
            <w:pPr>
              <w:widowControl/>
              <w:snapToGrid w:val="0"/>
              <w:spacing w:line="460" w:lineRule="exact"/>
              <w:jc w:val="center"/>
              <w:rPr>
                <w:rFonts w:ascii="宋体" w:hAnsi="宋体" w:cs="宋体"/>
                <w:color w:val="auto"/>
                <w:kern w:val="0"/>
                <w:sz w:val="24"/>
                <w:szCs w:val="24"/>
                <w:highlight w:val="none"/>
              </w:rPr>
            </w:pPr>
          </w:p>
        </w:tc>
        <w:tc>
          <w:tcPr>
            <w:tcW w:w="536" w:type="pct"/>
            <w:tcBorders>
              <w:top w:val="single" w:color="000000" w:sz="6" w:space="0"/>
              <w:left w:val="single" w:color="000000" w:sz="6" w:space="0"/>
              <w:bottom w:val="single" w:color="000000" w:sz="6" w:space="0"/>
              <w:right w:val="single" w:color="000000" w:sz="6" w:space="0"/>
            </w:tcBorders>
            <w:vAlign w:val="center"/>
          </w:tcPr>
          <w:p w14:paraId="1F3439C2">
            <w:pPr>
              <w:widowControl/>
              <w:snapToGrid w:val="0"/>
              <w:spacing w:line="460" w:lineRule="exact"/>
              <w:jc w:val="center"/>
              <w:rPr>
                <w:rFonts w:ascii="宋体" w:hAnsi="宋体" w:cs="宋体"/>
                <w:color w:val="auto"/>
                <w:kern w:val="0"/>
                <w:sz w:val="24"/>
                <w:szCs w:val="24"/>
                <w:highlight w:val="none"/>
              </w:rPr>
            </w:pPr>
          </w:p>
        </w:tc>
      </w:tr>
    </w:tbl>
    <w:p w14:paraId="5F6292FB">
      <w:pPr>
        <w:pStyle w:val="71"/>
        <w:spacing w:line="440" w:lineRule="exact"/>
        <w:ind w:firstLine="500"/>
        <w:rPr>
          <w:rFonts w:ascii="宋体" w:hAnsi="宋体"/>
          <w:color w:val="auto"/>
          <w:spacing w:val="20"/>
          <w:sz w:val="21"/>
          <w:szCs w:val="21"/>
          <w:highlight w:val="none"/>
        </w:rPr>
      </w:pPr>
    </w:p>
    <w:p w14:paraId="150622D3">
      <w:pPr>
        <w:spacing w:line="360" w:lineRule="auto"/>
        <w:rPr>
          <w:rFonts w:hint="eastAsia" w:ascii="宋体" w:hAnsi="宋体" w:eastAsia="宋体" w:cs="宋体"/>
          <w:b/>
          <w:bCs/>
          <w:color w:val="auto"/>
          <w:sz w:val="24"/>
          <w:szCs w:val="24"/>
          <w:highlight w:val="none"/>
        </w:rPr>
      </w:pPr>
    </w:p>
    <w:p w14:paraId="7374A57B">
      <w:pPr>
        <w:spacing w:line="360" w:lineRule="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注：</w:t>
      </w:r>
      <w:r>
        <w:rPr>
          <w:rFonts w:hint="eastAsia" w:ascii="宋体" w:hAnsi="宋体" w:eastAsia="宋体" w:cs="宋体"/>
          <w:b w:val="0"/>
          <w:bCs/>
          <w:color w:val="auto"/>
          <w:kern w:val="2"/>
          <w:sz w:val="24"/>
          <w:szCs w:val="24"/>
          <w:highlight w:val="none"/>
          <w:lang w:val="en-US" w:eastAsia="zh-CN" w:bidi="ar-SA"/>
        </w:rPr>
        <w:t>“</w:t>
      </w:r>
      <w:r>
        <w:rPr>
          <w:rFonts w:hint="eastAsia" w:cs="宋体"/>
          <w:b w:val="0"/>
          <w:bCs/>
          <w:color w:val="auto"/>
          <w:sz w:val="24"/>
          <w:szCs w:val="24"/>
          <w:highlight w:val="none"/>
          <w:lang w:eastAsia="zh-CN"/>
        </w:rPr>
        <w:t>偏离说明</w:t>
      </w:r>
      <w:r>
        <w:rPr>
          <w:rFonts w:hint="eastAsia" w:ascii="宋体" w:hAnsi="宋体" w:eastAsia="宋体" w:cs="宋体"/>
          <w:b w:val="0"/>
          <w:bCs/>
          <w:color w:val="auto"/>
          <w:kern w:val="2"/>
          <w:sz w:val="24"/>
          <w:szCs w:val="24"/>
          <w:highlight w:val="none"/>
          <w:lang w:val="en-US" w:eastAsia="zh-CN" w:bidi="ar-SA"/>
        </w:rPr>
        <w:t>”一栏，填写“无偏</w:t>
      </w:r>
      <w:r>
        <w:rPr>
          <w:rFonts w:hint="eastAsia" w:ascii="宋体" w:hAnsi="宋体" w:eastAsia="宋体" w:cs="宋体"/>
          <w:b w:val="0"/>
          <w:bCs/>
          <w:color w:val="auto"/>
          <w:sz w:val="24"/>
          <w:szCs w:val="24"/>
          <w:highlight w:val="none"/>
        </w:rPr>
        <w:t>离</w:t>
      </w:r>
      <w:r>
        <w:rPr>
          <w:rFonts w:hint="eastAsia" w:ascii="宋体" w:hAnsi="宋体" w:eastAsia="宋体" w:cs="宋体"/>
          <w:b w:val="0"/>
          <w:bCs/>
          <w:color w:val="auto"/>
          <w:kern w:val="2"/>
          <w:sz w:val="24"/>
          <w:szCs w:val="24"/>
          <w:highlight w:val="none"/>
          <w:lang w:val="en-US" w:eastAsia="zh-CN" w:bidi="ar-SA"/>
        </w:rPr>
        <w:t>、正偏</w:t>
      </w:r>
      <w:r>
        <w:rPr>
          <w:rFonts w:hint="eastAsia" w:ascii="宋体" w:hAnsi="宋体" w:eastAsia="宋体" w:cs="宋体"/>
          <w:b w:val="0"/>
          <w:bCs/>
          <w:color w:val="auto"/>
          <w:sz w:val="24"/>
          <w:szCs w:val="24"/>
          <w:highlight w:val="none"/>
        </w:rPr>
        <w:t>离</w:t>
      </w:r>
      <w:r>
        <w:rPr>
          <w:rFonts w:hint="eastAsia" w:ascii="宋体" w:hAnsi="宋体" w:eastAsia="宋体" w:cs="宋体"/>
          <w:b w:val="0"/>
          <w:bCs/>
          <w:color w:val="auto"/>
          <w:kern w:val="2"/>
          <w:sz w:val="24"/>
          <w:szCs w:val="24"/>
          <w:highlight w:val="none"/>
          <w:lang w:val="en-US" w:eastAsia="zh-CN" w:bidi="ar-SA"/>
        </w:rPr>
        <w:t>、负偏</w:t>
      </w:r>
      <w:r>
        <w:rPr>
          <w:rFonts w:hint="eastAsia" w:ascii="宋体" w:hAnsi="宋体" w:eastAsia="宋体" w:cs="宋体"/>
          <w:b w:val="0"/>
          <w:bCs/>
          <w:color w:val="auto"/>
          <w:sz w:val="24"/>
          <w:szCs w:val="24"/>
          <w:highlight w:val="none"/>
        </w:rPr>
        <w:t>离</w:t>
      </w:r>
      <w:r>
        <w:rPr>
          <w:rFonts w:hint="eastAsia" w:ascii="宋体" w:hAnsi="宋体" w:eastAsia="宋体" w:cs="宋体"/>
          <w:b w:val="0"/>
          <w:bCs/>
          <w:color w:val="auto"/>
          <w:kern w:val="2"/>
          <w:sz w:val="24"/>
          <w:szCs w:val="24"/>
          <w:highlight w:val="none"/>
          <w:lang w:val="en-US" w:eastAsia="zh-CN" w:bidi="ar-SA"/>
        </w:rPr>
        <w:t>”。其中正偏</w:t>
      </w:r>
      <w:r>
        <w:rPr>
          <w:rFonts w:hint="eastAsia" w:ascii="宋体" w:hAnsi="宋体" w:eastAsia="宋体" w:cs="宋体"/>
          <w:b w:val="0"/>
          <w:bCs/>
          <w:color w:val="auto"/>
          <w:sz w:val="24"/>
          <w:szCs w:val="24"/>
          <w:highlight w:val="none"/>
        </w:rPr>
        <w:t>离</w:t>
      </w:r>
      <w:r>
        <w:rPr>
          <w:rFonts w:hint="eastAsia" w:ascii="宋体" w:hAnsi="宋体" w:eastAsia="宋体" w:cs="宋体"/>
          <w:b w:val="0"/>
          <w:bCs/>
          <w:color w:val="auto"/>
          <w:kern w:val="2"/>
          <w:sz w:val="24"/>
          <w:szCs w:val="24"/>
          <w:highlight w:val="none"/>
          <w:lang w:val="en-US" w:eastAsia="zh-CN" w:bidi="ar-SA"/>
        </w:rPr>
        <w:t>是指优于文件所规定的技术</w:t>
      </w:r>
      <w:r>
        <w:rPr>
          <w:rFonts w:hint="eastAsia" w:cs="宋体"/>
          <w:b w:val="0"/>
          <w:bCs/>
          <w:color w:val="auto"/>
          <w:kern w:val="2"/>
          <w:sz w:val="24"/>
          <w:szCs w:val="24"/>
          <w:highlight w:val="none"/>
          <w:lang w:val="en-US" w:eastAsia="zh-CN" w:bidi="ar-SA"/>
        </w:rPr>
        <w:t>（服务）要求</w:t>
      </w:r>
      <w:r>
        <w:rPr>
          <w:rFonts w:hint="eastAsia" w:ascii="宋体" w:hAnsi="宋体" w:eastAsia="宋体" w:cs="宋体"/>
          <w:b w:val="0"/>
          <w:bCs/>
          <w:color w:val="auto"/>
          <w:kern w:val="2"/>
          <w:sz w:val="24"/>
          <w:szCs w:val="24"/>
          <w:highlight w:val="none"/>
          <w:lang w:val="en-US" w:eastAsia="zh-CN" w:bidi="ar-SA"/>
        </w:rPr>
        <w:t>；负偏差是指低于文件所规定的技术</w:t>
      </w:r>
      <w:r>
        <w:rPr>
          <w:rFonts w:hint="eastAsia" w:cs="宋体"/>
          <w:b w:val="0"/>
          <w:bCs/>
          <w:color w:val="auto"/>
          <w:kern w:val="2"/>
          <w:sz w:val="24"/>
          <w:szCs w:val="24"/>
          <w:highlight w:val="none"/>
          <w:lang w:val="en-US" w:eastAsia="zh-CN" w:bidi="ar-SA"/>
        </w:rPr>
        <w:t>（服务）要求</w:t>
      </w:r>
      <w:r>
        <w:rPr>
          <w:rFonts w:hint="eastAsia" w:ascii="宋体" w:hAnsi="宋体" w:eastAsia="宋体" w:cs="宋体"/>
          <w:b w:val="0"/>
          <w:bCs/>
          <w:color w:val="auto"/>
          <w:kern w:val="2"/>
          <w:sz w:val="24"/>
          <w:szCs w:val="24"/>
          <w:highlight w:val="none"/>
          <w:lang w:val="en-US" w:eastAsia="zh-CN" w:bidi="ar-SA"/>
        </w:rPr>
        <w:t>；</w:t>
      </w:r>
    </w:p>
    <w:p w14:paraId="1F21238F">
      <w:pPr>
        <w:widowControl/>
        <w:snapToGrid w:val="0"/>
        <w:jc w:val="both"/>
        <w:rPr>
          <w:rFonts w:hint="eastAsia" w:ascii="宋体" w:hAnsi="宋体" w:eastAsia="宋体" w:cs="宋体"/>
          <w:b w:val="0"/>
          <w:bCs/>
          <w:color w:val="auto"/>
          <w:kern w:val="2"/>
          <w:sz w:val="24"/>
          <w:szCs w:val="24"/>
          <w:highlight w:val="none"/>
          <w:lang w:val="en-US" w:eastAsia="zh-CN" w:bidi="ar-SA"/>
        </w:rPr>
      </w:pPr>
      <w:r>
        <w:rPr>
          <w:rFonts w:hint="eastAsia" w:cs="宋体"/>
          <w:b w:val="0"/>
          <w:bCs/>
          <w:color w:val="auto"/>
          <w:kern w:val="2"/>
          <w:sz w:val="24"/>
          <w:szCs w:val="24"/>
          <w:highlight w:val="none"/>
          <w:lang w:val="en-US" w:eastAsia="zh-CN" w:bidi="ar-SA"/>
        </w:rPr>
        <w:t>投标人</w:t>
      </w:r>
      <w:r>
        <w:rPr>
          <w:rFonts w:hint="eastAsia" w:ascii="宋体" w:hAnsi="宋体" w:eastAsia="宋体" w:cs="宋体"/>
          <w:b w:val="0"/>
          <w:bCs/>
          <w:color w:val="auto"/>
          <w:kern w:val="2"/>
          <w:sz w:val="24"/>
          <w:szCs w:val="24"/>
          <w:highlight w:val="none"/>
          <w:lang w:val="en-US" w:eastAsia="zh-CN" w:bidi="ar-SA"/>
        </w:rPr>
        <w:t>如完全响应，无正</w:t>
      </w:r>
      <w:r>
        <w:rPr>
          <w:rFonts w:hint="eastAsia" w:cs="宋体"/>
          <w:b w:val="0"/>
          <w:bCs/>
          <w:color w:val="auto"/>
          <w:kern w:val="2"/>
          <w:sz w:val="24"/>
          <w:szCs w:val="24"/>
          <w:highlight w:val="none"/>
          <w:lang w:val="en-US" w:eastAsia="zh-CN" w:bidi="ar-SA"/>
        </w:rPr>
        <w:t>、</w:t>
      </w:r>
      <w:r>
        <w:rPr>
          <w:rFonts w:hint="eastAsia" w:ascii="宋体" w:hAnsi="宋体" w:eastAsia="宋体" w:cs="宋体"/>
          <w:b w:val="0"/>
          <w:bCs/>
          <w:color w:val="auto"/>
          <w:kern w:val="2"/>
          <w:sz w:val="24"/>
          <w:szCs w:val="24"/>
          <w:highlight w:val="none"/>
          <w:lang w:val="en-US" w:eastAsia="zh-CN" w:bidi="ar-SA"/>
        </w:rPr>
        <w:t>负偏离，可在“招标文件技术（服务）指标”列中填写“招标文件全部技术（服务）指标”；在“投标文件对应指标”列中填写“完全响应”；在“偏离说明”列中填写“无偏离”；</w:t>
      </w:r>
    </w:p>
    <w:p w14:paraId="09C8B729">
      <w:pPr>
        <w:widowControl/>
        <w:snapToGrid w:val="0"/>
        <w:jc w:val="both"/>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投标人保证：除投标货物技术（服务）偏离表列出的偏差外，投标人响应招标文件的全部要求。</w:t>
      </w:r>
    </w:p>
    <w:p w14:paraId="3F48EB13">
      <w:pPr>
        <w:spacing w:line="480" w:lineRule="auto"/>
        <w:rPr>
          <w:rFonts w:cs="宋体"/>
          <w:color w:val="auto"/>
          <w:szCs w:val="21"/>
          <w:highlight w:val="none"/>
        </w:rPr>
      </w:pPr>
    </w:p>
    <w:p w14:paraId="56ACE26F">
      <w:pPr>
        <w:spacing w:line="480" w:lineRule="auto"/>
        <w:ind w:left="2400" w:leftChars="1000" w:firstLine="2160" w:firstLineChars="900"/>
        <w:rPr>
          <w:rFonts w:cs="宋体"/>
          <w:color w:val="auto"/>
          <w:szCs w:val="21"/>
          <w:highlight w:val="none"/>
        </w:rPr>
      </w:pPr>
    </w:p>
    <w:p w14:paraId="3F69DFEB">
      <w:pPr>
        <w:spacing w:line="480" w:lineRule="auto"/>
        <w:ind w:firstLine="4080" w:firstLineChars="1700"/>
        <w:rPr>
          <w:color w:val="auto"/>
          <w:highlight w:val="none"/>
          <w:u w:val="single"/>
        </w:rPr>
      </w:pPr>
      <w:r>
        <w:rPr>
          <w:rFonts w:hint="eastAsia"/>
          <w:color w:val="auto"/>
          <w:highlight w:val="none"/>
        </w:rPr>
        <w:t>投标人全称：</w:t>
      </w:r>
      <w:r>
        <w:rPr>
          <w:rFonts w:hint="eastAsia"/>
          <w:color w:val="auto"/>
          <w:highlight w:val="none"/>
          <w:u w:val="single"/>
        </w:rPr>
        <w:t xml:space="preserve">               （公章）</w:t>
      </w:r>
    </w:p>
    <w:p w14:paraId="59336095">
      <w:pPr>
        <w:spacing w:line="480" w:lineRule="auto"/>
        <w:ind w:firstLine="960" w:firstLineChars="400"/>
        <w:jc w:val="right"/>
        <w:rPr>
          <w:color w:val="auto"/>
          <w:highlight w:val="none"/>
          <w:u w:val="single"/>
        </w:rPr>
      </w:pPr>
      <w:r>
        <w:rPr>
          <w:rFonts w:hint="eastAsia"/>
          <w:color w:val="auto"/>
          <w:highlight w:val="none"/>
        </w:rPr>
        <w:t>法定代表人或委托代理人：</w:t>
      </w:r>
      <w:r>
        <w:rPr>
          <w:rFonts w:hint="eastAsia"/>
          <w:color w:val="auto"/>
          <w:highlight w:val="none"/>
          <w:u w:val="single"/>
        </w:rPr>
        <w:t xml:space="preserve">         （签字或盖章）</w:t>
      </w:r>
      <w:r>
        <w:rPr>
          <w:rFonts w:hint="eastAsia"/>
          <w:color w:val="auto"/>
          <w:highlight w:val="none"/>
        </w:rPr>
        <w:t xml:space="preserve">                                   </w:t>
      </w:r>
    </w:p>
    <w:p w14:paraId="7446327B">
      <w:pPr>
        <w:pStyle w:val="34"/>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000" w:firstLineChars="2000"/>
        <w:rPr>
          <w:rFonts w:cs="宋体"/>
          <w:color w:val="auto"/>
          <w:sz w:val="21"/>
          <w:szCs w:val="21"/>
          <w:highlight w:val="none"/>
        </w:rPr>
      </w:pPr>
      <w:r>
        <w:rPr>
          <w:rFonts w:hint="eastAsia"/>
          <w:color w:val="auto"/>
          <w:highlight w:val="none"/>
        </w:rPr>
        <w:t xml:space="preserve">  </w:t>
      </w:r>
      <w:r>
        <w:rPr>
          <w:rFonts w:hint="eastAsia"/>
          <w:color w:val="auto"/>
          <w:sz w:val="24"/>
          <w:highlight w:val="none"/>
        </w:rPr>
        <w:t xml:space="preserve"> 日    期：     年   月   日</w:t>
      </w:r>
    </w:p>
    <w:p w14:paraId="63AF1918">
      <w:pPr>
        <w:keepNext/>
        <w:tabs>
          <w:tab w:val="left" w:pos="4000"/>
        </w:tabs>
        <w:overflowPunct w:val="0"/>
        <w:topLinePunct/>
        <w:autoSpaceDN w:val="0"/>
        <w:adjustRightInd w:val="0"/>
        <w:snapToGrid w:val="0"/>
        <w:ind w:firstLine="562"/>
        <w:jc w:val="center"/>
        <w:rPr>
          <w:rFonts w:cs="宋体"/>
          <w:b/>
          <w:color w:val="auto"/>
          <w:sz w:val="28"/>
          <w:szCs w:val="28"/>
          <w:highlight w:val="none"/>
        </w:rPr>
      </w:pPr>
    </w:p>
    <w:p w14:paraId="1F485BF4">
      <w:pPr>
        <w:pStyle w:val="15"/>
        <w:rPr>
          <w:rFonts w:ascii="宋体" w:hAnsi="宋体" w:cs="宋体"/>
          <w:b/>
          <w:color w:val="auto"/>
          <w:sz w:val="28"/>
          <w:szCs w:val="28"/>
          <w:highlight w:val="none"/>
        </w:rPr>
      </w:pPr>
    </w:p>
    <w:p w14:paraId="49D87CB8">
      <w:pPr>
        <w:ind w:firstLine="0" w:firstLineChars="0"/>
        <w:jc w:val="center"/>
        <w:rPr>
          <w:rFonts w:cs="宋体"/>
          <w:b/>
          <w:color w:val="auto"/>
          <w:sz w:val="28"/>
          <w:szCs w:val="28"/>
          <w:highlight w:val="none"/>
        </w:rPr>
      </w:pPr>
      <w:r>
        <w:rPr>
          <w:rFonts w:cs="宋体"/>
          <w:b/>
          <w:color w:val="auto"/>
          <w:sz w:val="28"/>
          <w:szCs w:val="28"/>
          <w:highlight w:val="none"/>
        </w:rPr>
        <w:br w:type="page"/>
      </w:r>
    </w:p>
    <w:p w14:paraId="2E895413">
      <w:pPr>
        <w:overflowPunct w:val="0"/>
        <w:topLinePunct/>
        <w:autoSpaceDN w:val="0"/>
        <w:adjustRightInd w:val="0"/>
        <w:snapToGrid w:val="0"/>
        <w:ind w:firstLine="562"/>
        <w:jc w:val="center"/>
        <w:rPr>
          <w:rFonts w:hint="eastAsia" w:ascii="宋体" w:hAnsi="宋体" w:eastAsia="宋体" w:cs="Times New Roman"/>
          <w:b/>
          <w:snapToGrid w:val="0"/>
          <w:color w:val="auto"/>
          <w:kern w:val="0"/>
          <w:sz w:val="28"/>
          <w:szCs w:val="28"/>
          <w:highlight w:val="none"/>
        </w:rPr>
      </w:pPr>
      <w:r>
        <w:rPr>
          <w:rFonts w:hint="eastAsia" w:ascii="宋体" w:hAnsi="宋体" w:eastAsia="宋体" w:cs="Times New Roman"/>
          <w:b/>
          <w:snapToGrid w:val="0"/>
          <w:color w:val="auto"/>
          <w:kern w:val="0"/>
          <w:sz w:val="28"/>
          <w:szCs w:val="28"/>
          <w:highlight w:val="none"/>
          <w:lang w:eastAsia="zh-CN"/>
        </w:rPr>
        <w:t>（</w:t>
      </w:r>
      <w:r>
        <w:rPr>
          <w:rFonts w:hint="eastAsia" w:ascii="宋体" w:hAnsi="宋体" w:eastAsia="宋体" w:cs="Times New Roman"/>
          <w:b/>
          <w:snapToGrid w:val="0"/>
          <w:color w:val="auto"/>
          <w:kern w:val="0"/>
          <w:sz w:val="28"/>
          <w:szCs w:val="28"/>
          <w:highlight w:val="none"/>
          <w:lang w:val="en-US" w:eastAsia="zh-CN"/>
        </w:rPr>
        <w:t>四</w:t>
      </w:r>
      <w:r>
        <w:rPr>
          <w:rFonts w:hint="eastAsia" w:ascii="宋体" w:hAnsi="宋体" w:eastAsia="宋体" w:cs="Times New Roman"/>
          <w:b/>
          <w:snapToGrid w:val="0"/>
          <w:color w:val="auto"/>
          <w:kern w:val="0"/>
          <w:sz w:val="28"/>
          <w:szCs w:val="28"/>
          <w:highlight w:val="none"/>
          <w:lang w:eastAsia="zh-CN"/>
        </w:rPr>
        <w:t>）</w:t>
      </w:r>
      <w:r>
        <w:rPr>
          <w:rFonts w:hint="eastAsia" w:ascii="宋体" w:hAnsi="宋体" w:eastAsia="宋体" w:cs="Times New Roman"/>
          <w:b/>
          <w:snapToGrid w:val="0"/>
          <w:color w:val="auto"/>
          <w:kern w:val="0"/>
          <w:sz w:val="28"/>
          <w:szCs w:val="28"/>
          <w:highlight w:val="none"/>
          <w:lang w:val="en-US" w:eastAsia="zh-CN"/>
        </w:rPr>
        <w:t>投标人</w:t>
      </w:r>
      <w:r>
        <w:rPr>
          <w:rFonts w:hint="eastAsia" w:ascii="宋体" w:hAnsi="宋体" w:eastAsia="宋体" w:cs="Times New Roman"/>
          <w:b/>
          <w:snapToGrid w:val="0"/>
          <w:color w:val="auto"/>
          <w:kern w:val="0"/>
          <w:sz w:val="28"/>
          <w:szCs w:val="28"/>
          <w:highlight w:val="none"/>
        </w:rPr>
        <w:t>认为需要提供的其他技术部分文件</w:t>
      </w:r>
    </w:p>
    <w:p w14:paraId="4EEFFE44">
      <w:pPr>
        <w:numPr>
          <w:ilvl w:val="0"/>
          <w:numId w:val="0"/>
        </w:numPr>
        <w:ind w:left="4560" w:leftChars="0"/>
        <w:jc w:val="both"/>
        <w:rPr>
          <w:rFonts w:cs="宋体"/>
          <w:b/>
          <w:color w:val="auto"/>
          <w:sz w:val="28"/>
          <w:szCs w:val="28"/>
          <w:highlight w:val="none"/>
        </w:rPr>
      </w:pPr>
    </w:p>
    <w:p w14:paraId="0302CB62">
      <w:pPr>
        <w:widowControl w:val="0"/>
        <w:numPr>
          <w:ilvl w:val="0"/>
          <w:numId w:val="0"/>
        </w:numPr>
        <w:spacing w:line="240" w:lineRule="auto"/>
        <w:jc w:val="left"/>
        <w:rPr>
          <w:rFonts w:cs="宋体"/>
          <w:b/>
          <w:color w:val="auto"/>
          <w:sz w:val="28"/>
          <w:szCs w:val="28"/>
          <w:highlight w:val="none"/>
        </w:rPr>
      </w:pPr>
    </w:p>
    <w:p w14:paraId="383D866A">
      <w:pPr>
        <w:overflowPunct w:val="0"/>
        <w:topLinePunct/>
        <w:autoSpaceDN w:val="0"/>
        <w:adjustRightInd w:val="0"/>
        <w:snapToGrid w:val="0"/>
        <w:ind w:firstLine="482"/>
        <w:jc w:val="center"/>
        <w:rPr>
          <w:b/>
          <w:color w:val="auto"/>
          <w:highlight w:val="none"/>
        </w:rPr>
      </w:pPr>
    </w:p>
    <w:p w14:paraId="0741A7C2">
      <w:pPr>
        <w:overflowPunct w:val="0"/>
        <w:topLinePunct/>
        <w:autoSpaceDN w:val="0"/>
        <w:adjustRightInd w:val="0"/>
        <w:snapToGrid w:val="0"/>
        <w:ind w:firstLine="482"/>
        <w:jc w:val="center"/>
        <w:rPr>
          <w:b/>
          <w:color w:val="auto"/>
          <w:highlight w:val="none"/>
        </w:rPr>
      </w:pPr>
    </w:p>
    <w:p w14:paraId="34AC9EDE">
      <w:pPr>
        <w:overflowPunct w:val="0"/>
        <w:topLinePunct/>
        <w:autoSpaceDN w:val="0"/>
        <w:adjustRightInd w:val="0"/>
        <w:snapToGrid w:val="0"/>
        <w:ind w:firstLine="482"/>
        <w:jc w:val="center"/>
        <w:rPr>
          <w:b/>
          <w:color w:val="auto"/>
          <w:highlight w:val="none"/>
        </w:rPr>
      </w:pPr>
    </w:p>
    <w:p w14:paraId="5AD85358">
      <w:pPr>
        <w:overflowPunct w:val="0"/>
        <w:topLinePunct/>
        <w:autoSpaceDN w:val="0"/>
        <w:adjustRightInd w:val="0"/>
        <w:snapToGrid w:val="0"/>
        <w:ind w:firstLine="482"/>
        <w:jc w:val="center"/>
        <w:rPr>
          <w:b/>
          <w:color w:val="auto"/>
          <w:highlight w:val="none"/>
        </w:rPr>
      </w:pPr>
    </w:p>
    <w:p w14:paraId="64E85929">
      <w:pPr>
        <w:overflowPunct w:val="0"/>
        <w:topLinePunct/>
        <w:autoSpaceDN w:val="0"/>
        <w:adjustRightInd w:val="0"/>
        <w:snapToGrid w:val="0"/>
        <w:ind w:firstLine="482"/>
        <w:jc w:val="center"/>
        <w:rPr>
          <w:b/>
          <w:color w:val="auto"/>
          <w:highlight w:val="none"/>
        </w:rPr>
      </w:pPr>
    </w:p>
    <w:p w14:paraId="5F917185">
      <w:pPr>
        <w:overflowPunct w:val="0"/>
        <w:topLinePunct/>
        <w:autoSpaceDN w:val="0"/>
        <w:adjustRightInd w:val="0"/>
        <w:snapToGrid w:val="0"/>
        <w:ind w:firstLine="482"/>
        <w:jc w:val="center"/>
        <w:rPr>
          <w:b/>
          <w:color w:val="auto"/>
          <w:highlight w:val="none"/>
        </w:rPr>
      </w:pPr>
    </w:p>
    <w:p w14:paraId="37DCF16A">
      <w:pPr>
        <w:overflowPunct w:val="0"/>
        <w:topLinePunct/>
        <w:autoSpaceDN w:val="0"/>
        <w:adjustRightInd w:val="0"/>
        <w:snapToGrid w:val="0"/>
        <w:ind w:firstLine="482"/>
        <w:jc w:val="center"/>
        <w:rPr>
          <w:b/>
          <w:color w:val="auto"/>
          <w:highlight w:val="none"/>
        </w:rPr>
      </w:pPr>
    </w:p>
    <w:p w14:paraId="38C2A2B3">
      <w:pPr>
        <w:overflowPunct w:val="0"/>
        <w:topLinePunct/>
        <w:autoSpaceDN w:val="0"/>
        <w:adjustRightInd w:val="0"/>
        <w:snapToGrid w:val="0"/>
        <w:ind w:firstLine="482"/>
        <w:jc w:val="center"/>
        <w:rPr>
          <w:b/>
          <w:color w:val="auto"/>
          <w:highlight w:val="none"/>
        </w:rPr>
      </w:pPr>
    </w:p>
    <w:p w14:paraId="5D29330B">
      <w:pPr>
        <w:overflowPunct w:val="0"/>
        <w:topLinePunct/>
        <w:autoSpaceDN w:val="0"/>
        <w:adjustRightInd w:val="0"/>
        <w:snapToGrid w:val="0"/>
        <w:ind w:firstLine="482"/>
        <w:jc w:val="center"/>
        <w:rPr>
          <w:b/>
          <w:color w:val="auto"/>
          <w:highlight w:val="none"/>
        </w:rPr>
      </w:pPr>
    </w:p>
    <w:p w14:paraId="7EE89576">
      <w:pPr>
        <w:overflowPunct w:val="0"/>
        <w:topLinePunct/>
        <w:autoSpaceDN w:val="0"/>
        <w:adjustRightInd w:val="0"/>
        <w:snapToGrid w:val="0"/>
        <w:ind w:firstLine="482"/>
        <w:jc w:val="center"/>
        <w:rPr>
          <w:b/>
          <w:color w:val="auto"/>
          <w:highlight w:val="none"/>
        </w:rPr>
      </w:pPr>
    </w:p>
    <w:p w14:paraId="6B318A2A">
      <w:pPr>
        <w:overflowPunct w:val="0"/>
        <w:topLinePunct/>
        <w:autoSpaceDN w:val="0"/>
        <w:adjustRightInd w:val="0"/>
        <w:snapToGrid w:val="0"/>
        <w:ind w:firstLine="482"/>
        <w:jc w:val="center"/>
        <w:rPr>
          <w:b/>
          <w:color w:val="auto"/>
          <w:highlight w:val="none"/>
        </w:rPr>
      </w:pPr>
    </w:p>
    <w:p w14:paraId="18707F00">
      <w:pPr>
        <w:overflowPunct w:val="0"/>
        <w:topLinePunct/>
        <w:autoSpaceDN w:val="0"/>
        <w:adjustRightInd w:val="0"/>
        <w:snapToGrid w:val="0"/>
        <w:ind w:firstLine="482"/>
        <w:jc w:val="center"/>
        <w:rPr>
          <w:b/>
          <w:color w:val="auto"/>
          <w:highlight w:val="none"/>
        </w:rPr>
      </w:pPr>
    </w:p>
    <w:p w14:paraId="0AC70E4D">
      <w:pPr>
        <w:overflowPunct w:val="0"/>
        <w:topLinePunct/>
        <w:autoSpaceDN w:val="0"/>
        <w:adjustRightInd w:val="0"/>
        <w:snapToGrid w:val="0"/>
        <w:ind w:firstLine="482"/>
        <w:jc w:val="center"/>
        <w:rPr>
          <w:b/>
          <w:color w:val="auto"/>
          <w:highlight w:val="none"/>
        </w:rPr>
      </w:pPr>
    </w:p>
    <w:p w14:paraId="3C655EE3">
      <w:pPr>
        <w:overflowPunct w:val="0"/>
        <w:topLinePunct/>
        <w:autoSpaceDN w:val="0"/>
        <w:adjustRightInd w:val="0"/>
        <w:snapToGrid w:val="0"/>
        <w:ind w:firstLine="482"/>
        <w:jc w:val="center"/>
        <w:rPr>
          <w:b/>
          <w:color w:val="auto"/>
          <w:highlight w:val="none"/>
        </w:rPr>
      </w:pPr>
    </w:p>
    <w:p w14:paraId="7FF92EC1">
      <w:pPr>
        <w:overflowPunct w:val="0"/>
        <w:topLinePunct/>
        <w:autoSpaceDN w:val="0"/>
        <w:adjustRightInd w:val="0"/>
        <w:snapToGrid w:val="0"/>
        <w:ind w:firstLine="482"/>
        <w:jc w:val="center"/>
        <w:rPr>
          <w:b/>
          <w:color w:val="auto"/>
          <w:highlight w:val="none"/>
        </w:rPr>
      </w:pPr>
    </w:p>
    <w:p w14:paraId="56FD9DE8">
      <w:pPr>
        <w:overflowPunct w:val="0"/>
        <w:topLinePunct/>
        <w:autoSpaceDN w:val="0"/>
        <w:adjustRightInd w:val="0"/>
        <w:snapToGrid w:val="0"/>
        <w:ind w:firstLine="482"/>
        <w:jc w:val="center"/>
        <w:rPr>
          <w:b/>
          <w:color w:val="auto"/>
          <w:highlight w:val="none"/>
        </w:rPr>
      </w:pPr>
    </w:p>
    <w:p w14:paraId="36FA7AE7">
      <w:pPr>
        <w:overflowPunct w:val="0"/>
        <w:topLinePunct/>
        <w:autoSpaceDN w:val="0"/>
        <w:adjustRightInd w:val="0"/>
        <w:snapToGrid w:val="0"/>
        <w:ind w:firstLine="482"/>
        <w:jc w:val="center"/>
        <w:rPr>
          <w:b/>
          <w:color w:val="auto"/>
          <w:highlight w:val="none"/>
        </w:rPr>
      </w:pPr>
    </w:p>
    <w:p w14:paraId="289D72A7">
      <w:pPr>
        <w:overflowPunct w:val="0"/>
        <w:topLinePunct/>
        <w:autoSpaceDN w:val="0"/>
        <w:adjustRightInd w:val="0"/>
        <w:snapToGrid w:val="0"/>
        <w:ind w:firstLine="482"/>
        <w:jc w:val="center"/>
        <w:rPr>
          <w:b/>
          <w:color w:val="auto"/>
          <w:highlight w:val="none"/>
        </w:rPr>
      </w:pPr>
    </w:p>
    <w:p w14:paraId="4FD1FBAC">
      <w:pPr>
        <w:overflowPunct w:val="0"/>
        <w:topLinePunct/>
        <w:autoSpaceDN w:val="0"/>
        <w:adjustRightInd w:val="0"/>
        <w:snapToGrid w:val="0"/>
        <w:ind w:firstLine="482"/>
        <w:jc w:val="center"/>
        <w:rPr>
          <w:b/>
          <w:color w:val="auto"/>
          <w:highlight w:val="none"/>
        </w:rPr>
      </w:pPr>
    </w:p>
    <w:p w14:paraId="7B18031E">
      <w:pPr>
        <w:overflowPunct w:val="0"/>
        <w:topLinePunct/>
        <w:autoSpaceDN w:val="0"/>
        <w:adjustRightInd w:val="0"/>
        <w:snapToGrid w:val="0"/>
        <w:ind w:firstLine="482"/>
        <w:jc w:val="center"/>
        <w:rPr>
          <w:b/>
          <w:color w:val="auto"/>
          <w:highlight w:val="none"/>
        </w:rPr>
      </w:pPr>
    </w:p>
    <w:p w14:paraId="24A8C135">
      <w:pPr>
        <w:overflowPunct w:val="0"/>
        <w:topLinePunct/>
        <w:autoSpaceDN w:val="0"/>
        <w:adjustRightInd w:val="0"/>
        <w:snapToGrid w:val="0"/>
        <w:ind w:firstLine="482"/>
        <w:jc w:val="center"/>
        <w:rPr>
          <w:b/>
          <w:color w:val="auto"/>
          <w:highlight w:val="none"/>
        </w:rPr>
      </w:pPr>
    </w:p>
    <w:p w14:paraId="4F9370CE">
      <w:pPr>
        <w:overflowPunct w:val="0"/>
        <w:topLinePunct/>
        <w:autoSpaceDN w:val="0"/>
        <w:adjustRightInd w:val="0"/>
        <w:snapToGrid w:val="0"/>
        <w:ind w:firstLine="482"/>
        <w:jc w:val="center"/>
        <w:rPr>
          <w:b/>
          <w:color w:val="auto"/>
          <w:highlight w:val="none"/>
        </w:rPr>
      </w:pPr>
    </w:p>
    <w:p w14:paraId="118F06C6">
      <w:pPr>
        <w:overflowPunct w:val="0"/>
        <w:topLinePunct/>
        <w:autoSpaceDN w:val="0"/>
        <w:adjustRightInd w:val="0"/>
        <w:snapToGrid w:val="0"/>
        <w:ind w:firstLine="482"/>
        <w:jc w:val="center"/>
        <w:rPr>
          <w:b/>
          <w:color w:val="auto"/>
          <w:highlight w:val="none"/>
        </w:rPr>
      </w:pPr>
    </w:p>
    <w:p w14:paraId="51841966">
      <w:pPr>
        <w:overflowPunct w:val="0"/>
        <w:topLinePunct/>
        <w:autoSpaceDN w:val="0"/>
        <w:adjustRightInd w:val="0"/>
        <w:snapToGrid w:val="0"/>
        <w:ind w:firstLine="482"/>
        <w:jc w:val="center"/>
        <w:rPr>
          <w:b/>
          <w:color w:val="auto"/>
          <w:highlight w:val="none"/>
        </w:rPr>
      </w:pPr>
    </w:p>
    <w:p w14:paraId="428A3447">
      <w:pPr>
        <w:overflowPunct w:val="0"/>
        <w:topLinePunct/>
        <w:autoSpaceDN w:val="0"/>
        <w:adjustRightInd w:val="0"/>
        <w:snapToGrid w:val="0"/>
        <w:ind w:firstLine="482"/>
        <w:jc w:val="center"/>
        <w:rPr>
          <w:b/>
          <w:color w:val="auto"/>
          <w:highlight w:val="none"/>
        </w:rPr>
      </w:pPr>
    </w:p>
    <w:p w14:paraId="391ACF41">
      <w:pPr>
        <w:overflowPunct w:val="0"/>
        <w:topLinePunct/>
        <w:autoSpaceDN w:val="0"/>
        <w:adjustRightInd w:val="0"/>
        <w:snapToGrid w:val="0"/>
        <w:ind w:firstLine="0" w:firstLineChars="0"/>
        <w:jc w:val="center"/>
        <w:rPr>
          <w:b/>
          <w:snapToGrid w:val="0"/>
          <w:color w:val="auto"/>
          <w:kern w:val="0"/>
          <w:sz w:val="84"/>
          <w:highlight w:val="none"/>
        </w:rPr>
      </w:pPr>
    </w:p>
    <w:p w14:paraId="4C57211E">
      <w:pPr>
        <w:overflowPunct w:val="0"/>
        <w:topLinePunct/>
        <w:autoSpaceDN w:val="0"/>
        <w:adjustRightInd w:val="0"/>
        <w:snapToGrid w:val="0"/>
        <w:ind w:firstLine="0" w:firstLineChars="0"/>
        <w:jc w:val="center"/>
        <w:rPr>
          <w:b/>
          <w:snapToGrid w:val="0"/>
          <w:color w:val="auto"/>
          <w:kern w:val="0"/>
          <w:sz w:val="84"/>
          <w:highlight w:val="none"/>
        </w:rPr>
      </w:pPr>
    </w:p>
    <w:p w14:paraId="2DD26454">
      <w:pPr>
        <w:overflowPunct w:val="0"/>
        <w:topLinePunct/>
        <w:autoSpaceDN w:val="0"/>
        <w:adjustRightInd w:val="0"/>
        <w:snapToGrid w:val="0"/>
        <w:ind w:firstLine="0" w:firstLineChars="0"/>
        <w:jc w:val="center"/>
        <w:rPr>
          <w:b/>
          <w:snapToGrid w:val="0"/>
          <w:color w:val="auto"/>
          <w:kern w:val="0"/>
          <w:sz w:val="84"/>
          <w:highlight w:val="none"/>
        </w:rPr>
      </w:pPr>
      <w:r>
        <w:rPr>
          <w:b/>
          <w:snapToGrid w:val="0"/>
          <w:color w:val="auto"/>
          <w:kern w:val="0"/>
          <w:sz w:val="84"/>
          <w:highlight w:val="none"/>
        </w:rPr>
        <w:t>政府采购政策性</w:t>
      </w:r>
    </w:p>
    <w:p w14:paraId="451C6D01">
      <w:pPr>
        <w:overflowPunct w:val="0"/>
        <w:topLinePunct/>
        <w:autoSpaceDN w:val="0"/>
        <w:adjustRightInd w:val="0"/>
        <w:snapToGrid w:val="0"/>
        <w:ind w:firstLine="0" w:firstLineChars="0"/>
        <w:jc w:val="center"/>
        <w:rPr>
          <w:b/>
          <w:color w:val="auto"/>
          <w:sz w:val="32"/>
          <w:highlight w:val="none"/>
        </w:rPr>
      </w:pPr>
      <w:r>
        <w:rPr>
          <w:b/>
          <w:snapToGrid w:val="0"/>
          <w:color w:val="auto"/>
          <w:kern w:val="0"/>
          <w:sz w:val="84"/>
          <w:highlight w:val="none"/>
        </w:rPr>
        <w:t>要求部分</w:t>
      </w:r>
    </w:p>
    <w:p w14:paraId="6108E7B3">
      <w:pPr>
        <w:pStyle w:val="36"/>
        <w:tabs>
          <w:tab w:val="left" w:pos="3780"/>
        </w:tabs>
        <w:ind w:firstLine="422"/>
        <w:rPr>
          <w:rFonts w:ascii="宋体" w:hAnsi="宋体"/>
          <w:color w:val="auto"/>
          <w:highlight w:val="none"/>
        </w:rPr>
      </w:pPr>
      <w:r>
        <w:rPr>
          <w:rFonts w:ascii="宋体" w:hAnsi="宋体"/>
          <w:color w:val="auto"/>
          <w:kern w:val="0"/>
          <w:sz w:val="21"/>
          <w:szCs w:val="21"/>
          <w:highlight w:val="none"/>
        </w:rPr>
        <w:br w:type="page"/>
      </w:r>
    </w:p>
    <w:p w14:paraId="3AA6B2EE">
      <w:pPr>
        <w:tabs>
          <w:tab w:val="left" w:pos="1680"/>
        </w:tabs>
        <w:snapToGrid w:val="0"/>
        <w:ind w:firstLine="562"/>
        <w:jc w:val="center"/>
        <w:rPr>
          <w:b/>
          <w:color w:val="auto"/>
          <w:kern w:val="0"/>
          <w:sz w:val="28"/>
          <w:szCs w:val="28"/>
          <w:highlight w:val="none"/>
        </w:rPr>
      </w:pPr>
    </w:p>
    <w:p w14:paraId="725FD080">
      <w:pPr>
        <w:tabs>
          <w:tab w:val="left" w:pos="1680"/>
        </w:tabs>
        <w:snapToGrid w:val="0"/>
        <w:ind w:firstLine="562"/>
        <w:jc w:val="center"/>
        <w:rPr>
          <w:b/>
          <w:color w:val="auto"/>
          <w:sz w:val="28"/>
          <w:szCs w:val="28"/>
          <w:highlight w:val="none"/>
        </w:rPr>
      </w:pPr>
      <w:r>
        <w:rPr>
          <w:b/>
          <w:color w:val="auto"/>
          <w:kern w:val="0"/>
          <w:sz w:val="28"/>
          <w:szCs w:val="28"/>
          <w:highlight w:val="none"/>
        </w:rPr>
        <w:t>（一）节能产品政府采购品目清单（如不涉及，可不提供）</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812"/>
        <w:gridCol w:w="2551"/>
        <w:gridCol w:w="1276"/>
        <w:gridCol w:w="2126"/>
        <w:gridCol w:w="1629"/>
      </w:tblGrid>
      <w:tr w14:paraId="02AF2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7CBF00DE">
            <w:pPr>
              <w:keepNext/>
              <w:snapToGrid w:val="0"/>
              <w:ind w:firstLine="0" w:firstLineChars="0"/>
              <w:jc w:val="center"/>
              <w:rPr>
                <w:b/>
                <w:color w:val="auto"/>
                <w:szCs w:val="21"/>
                <w:highlight w:val="none"/>
              </w:rPr>
            </w:pPr>
            <w:r>
              <w:rPr>
                <w:b/>
                <w:color w:val="auto"/>
                <w:szCs w:val="21"/>
                <w:highlight w:val="none"/>
              </w:rPr>
              <w:t>序号</w:t>
            </w:r>
          </w:p>
        </w:tc>
        <w:tc>
          <w:tcPr>
            <w:tcW w:w="812" w:type="dxa"/>
            <w:tcBorders>
              <w:top w:val="single" w:color="auto" w:sz="4" w:space="0"/>
              <w:left w:val="single" w:color="auto" w:sz="4" w:space="0"/>
              <w:bottom w:val="single" w:color="auto" w:sz="4" w:space="0"/>
              <w:right w:val="single" w:color="auto" w:sz="4" w:space="0"/>
            </w:tcBorders>
            <w:vAlign w:val="center"/>
          </w:tcPr>
          <w:p w14:paraId="6BAE25FB">
            <w:pPr>
              <w:keepNext/>
              <w:snapToGrid w:val="0"/>
              <w:ind w:firstLine="0" w:firstLineChars="0"/>
              <w:jc w:val="center"/>
              <w:rPr>
                <w:b/>
                <w:color w:val="auto"/>
                <w:szCs w:val="21"/>
                <w:highlight w:val="none"/>
              </w:rPr>
            </w:pPr>
            <w:r>
              <w:rPr>
                <w:b/>
                <w:color w:val="auto"/>
                <w:szCs w:val="21"/>
                <w:highlight w:val="none"/>
              </w:rPr>
              <w:t>产品名称</w:t>
            </w:r>
          </w:p>
        </w:tc>
        <w:tc>
          <w:tcPr>
            <w:tcW w:w="2551" w:type="dxa"/>
            <w:tcBorders>
              <w:top w:val="single" w:color="auto" w:sz="4" w:space="0"/>
              <w:left w:val="single" w:color="auto" w:sz="4" w:space="0"/>
              <w:bottom w:val="single" w:color="auto" w:sz="4" w:space="0"/>
              <w:right w:val="single" w:color="auto" w:sz="4" w:space="0"/>
            </w:tcBorders>
            <w:vAlign w:val="center"/>
          </w:tcPr>
          <w:p w14:paraId="60B43156">
            <w:pPr>
              <w:keepNext/>
              <w:snapToGrid w:val="0"/>
              <w:ind w:firstLine="0" w:firstLineChars="0"/>
              <w:jc w:val="center"/>
              <w:rPr>
                <w:b/>
                <w:color w:val="auto"/>
                <w:szCs w:val="21"/>
                <w:highlight w:val="none"/>
              </w:rPr>
            </w:pPr>
            <w:r>
              <w:rPr>
                <w:b/>
                <w:color w:val="auto"/>
                <w:szCs w:val="21"/>
                <w:highlight w:val="none"/>
              </w:rPr>
              <w:t>制造商</w:t>
            </w:r>
          </w:p>
        </w:tc>
        <w:tc>
          <w:tcPr>
            <w:tcW w:w="1276" w:type="dxa"/>
            <w:tcBorders>
              <w:top w:val="single" w:color="auto" w:sz="4" w:space="0"/>
              <w:left w:val="single" w:color="auto" w:sz="4" w:space="0"/>
              <w:bottom w:val="single" w:color="auto" w:sz="4" w:space="0"/>
              <w:right w:val="single" w:color="auto" w:sz="4" w:space="0"/>
            </w:tcBorders>
            <w:vAlign w:val="center"/>
          </w:tcPr>
          <w:p w14:paraId="0264D7F8">
            <w:pPr>
              <w:keepNext/>
              <w:snapToGrid w:val="0"/>
              <w:ind w:firstLine="0" w:firstLineChars="0"/>
              <w:jc w:val="center"/>
              <w:rPr>
                <w:b/>
                <w:color w:val="auto"/>
                <w:szCs w:val="21"/>
                <w:highlight w:val="none"/>
              </w:rPr>
            </w:pPr>
            <w:r>
              <w:rPr>
                <w:b/>
                <w:color w:val="auto"/>
                <w:szCs w:val="21"/>
                <w:highlight w:val="none"/>
              </w:rPr>
              <w:t>产品型号</w:t>
            </w:r>
          </w:p>
        </w:tc>
        <w:tc>
          <w:tcPr>
            <w:tcW w:w="2126" w:type="dxa"/>
            <w:tcBorders>
              <w:top w:val="single" w:color="auto" w:sz="4" w:space="0"/>
              <w:left w:val="single" w:color="auto" w:sz="4" w:space="0"/>
              <w:bottom w:val="single" w:color="auto" w:sz="4" w:space="0"/>
              <w:right w:val="single" w:color="auto" w:sz="4" w:space="0"/>
            </w:tcBorders>
            <w:vAlign w:val="center"/>
          </w:tcPr>
          <w:p w14:paraId="185377F5">
            <w:pPr>
              <w:keepNext/>
              <w:snapToGrid w:val="0"/>
              <w:ind w:firstLine="0" w:firstLineChars="0"/>
              <w:jc w:val="center"/>
              <w:rPr>
                <w:b/>
                <w:color w:val="auto"/>
                <w:szCs w:val="21"/>
                <w:highlight w:val="none"/>
              </w:rPr>
            </w:pPr>
            <w:r>
              <w:rPr>
                <w:b/>
                <w:color w:val="auto"/>
                <w:szCs w:val="21"/>
                <w:highlight w:val="none"/>
              </w:rPr>
              <w:t>节能产品认证</w:t>
            </w:r>
          </w:p>
          <w:p w14:paraId="06CDF9DF">
            <w:pPr>
              <w:keepNext/>
              <w:snapToGrid w:val="0"/>
              <w:ind w:firstLine="0" w:firstLineChars="0"/>
              <w:jc w:val="center"/>
              <w:rPr>
                <w:b/>
                <w:color w:val="auto"/>
                <w:szCs w:val="21"/>
                <w:highlight w:val="none"/>
              </w:rPr>
            </w:pPr>
            <w:r>
              <w:rPr>
                <w:b/>
                <w:color w:val="auto"/>
                <w:szCs w:val="21"/>
                <w:highlight w:val="none"/>
              </w:rPr>
              <w:t>证书号</w:t>
            </w:r>
          </w:p>
        </w:tc>
        <w:tc>
          <w:tcPr>
            <w:tcW w:w="1629" w:type="dxa"/>
            <w:tcBorders>
              <w:top w:val="single" w:color="auto" w:sz="4" w:space="0"/>
              <w:left w:val="single" w:color="auto" w:sz="4" w:space="0"/>
              <w:bottom w:val="single" w:color="auto" w:sz="4" w:space="0"/>
              <w:right w:val="single" w:color="auto" w:sz="4" w:space="0"/>
            </w:tcBorders>
            <w:vAlign w:val="center"/>
          </w:tcPr>
          <w:p w14:paraId="55246E95">
            <w:pPr>
              <w:keepNext/>
              <w:snapToGrid w:val="0"/>
              <w:ind w:firstLine="0" w:firstLineChars="0"/>
              <w:jc w:val="center"/>
              <w:rPr>
                <w:b/>
                <w:color w:val="auto"/>
                <w:szCs w:val="21"/>
                <w:highlight w:val="none"/>
              </w:rPr>
            </w:pPr>
            <w:r>
              <w:rPr>
                <w:b/>
                <w:color w:val="auto"/>
                <w:szCs w:val="21"/>
                <w:highlight w:val="none"/>
              </w:rPr>
              <w:t>认证证书有效截止日期</w:t>
            </w:r>
          </w:p>
        </w:tc>
      </w:tr>
      <w:tr w14:paraId="4A144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820" w:type="dxa"/>
            <w:tcBorders>
              <w:top w:val="single" w:color="auto" w:sz="4" w:space="0"/>
              <w:left w:val="single" w:color="auto" w:sz="4" w:space="0"/>
              <w:bottom w:val="single" w:color="auto" w:sz="4" w:space="0"/>
              <w:right w:val="single" w:color="auto" w:sz="4" w:space="0"/>
            </w:tcBorders>
          </w:tcPr>
          <w:p w14:paraId="009BC3D3">
            <w:pPr>
              <w:keepNext/>
              <w:snapToGrid w:val="0"/>
              <w:ind w:firstLine="480"/>
              <w:jc w:val="center"/>
              <w:rPr>
                <w:color w:val="auto"/>
                <w:szCs w:val="21"/>
                <w:highlight w:val="none"/>
              </w:rPr>
            </w:pPr>
          </w:p>
        </w:tc>
        <w:tc>
          <w:tcPr>
            <w:tcW w:w="812" w:type="dxa"/>
            <w:tcBorders>
              <w:top w:val="single" w:color="auto" w:sz="4" w:space="0"/>
              <w:left w:val="single" w:color="auto" w:sz="4" w:space="0"/>
              <w:bottom w:val="single" w:color="auto" w:sz="4" w:space="0"/>
              <w:right w:val="single" w:color="auto" w:sz="4" w:space="0"/>
            </w:tcBorders>
          </w:tcPr>
          <w:p w14:paraId="09C78EB9">
            <w:pPr>
              <w:keepNext/>
              <w:snapToGrid w:val="0"/>
              <w:ind w:firstLine="480"/>
              <w:jc w:val="center"/>
              <w:rPr>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tcPr>
          <w:p w14:paraId="2C716C90">
            <w:pPr>
              <w:keepNext/>
              <w:snapToGrid w:val="0"/>
              <w:ind w:firstLine="480"/>
              <w:jc w:val="center"/>
              <w:rPr>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73E1924D">
            <w:pPr>
              <w:keepNext/>
              <w:snapToGrid w:val="0"/>
              <w:ind w:firstLine="480"/>
              <w:jc w:val="center"/>
              <w:rPr>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tcPr>
          <w:p w14:paraId="68C549B3">
            <w:pPr>
              <w:keepNext/>
              <w:snapToGrid w:val="0"/>
              <w:ind w:firstLine="480"/>
              <w:jc w:val="center"/>
              <w:rPr>
                <w:color w:val="auto"/>
                <w:szCs w:val="21"/>
                <w:highlight w:val="none"/>
              </w:rPr>
            </w:pPr>
          </w:p>
        </w:tc>
        <w:tc>
          <w:tcPr>
            <w:tcW w:w="1629" w:type="dxa"/>
            <w:tcBorders>
              <w:top w:val="single" w:color="auto" w:sz="4" w:space="0"/>
              <w:left w:val="single" w:color="auto" w:sz="4" w:space="0"/>
              <w:bottom w:val="single" w:color="auto" w:sz="4" w:space="0"/>
              <w:right w:val="single" w:color="auto" w:sz="4" w:space="0"/>
            </w:tcBorders>
          </w:tcPr>
          <w:p w14:paraId="1ACFA5A4">
            <w:pPr>
              <w:keepNext/>
              <w:snapToGrid w:val="0"/>
              <w:ind w:firstLine="480"/>
              <w:jc w:val="center"/>
              <w:rPr>
                <w:color w:val="auto"/>
                <w:szCs w:val="21"/>
                <w:highlight w:val="none"/>
              </w:rPr>
            </w:pPr>
          </w:p>
        </w:tc>
      </w:tr>
      <w:tr w14:paraId="58D33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20" w:type="dxa"/>
            <w:tcBorders>
              <w:top w:val="single" w:color="auto" w:sz="4" w:space="0"/>
              <w:left w:val="single" w:color="auto" w:sz="4" w:space="0"/>
              <w:bottom w:val="single" w:color="auto" w:sz="4" w:space="0"/>
              <w:right w:val="single" w:color="auto" w:sz="4" w:space="0"/>
            </w:tcBorders>
          </w:tcPr>
          <w:p w14:paraId="0137CA01">
            <w:pPr>
              <w:keepNext/>
              <w:snapToGrid w:val="0"/>
              <w:ind w:firstLine="480"/>
              <w:jc w:val="center"/>
              <w:rPr>
                <w:color w:val="auto"/>
                <w:szCs w:val="21"/>
                <w:highlight w:val="none"/>
              </w:rPr>
            </w:pPr>
          </w:p>
        </w:tc>
        <w:tc>
          <w:tcPr>
            <w:tcW w:w="812" w:type="dxa"/>
            <w:tcBorders>
              <w:top w:val="single" w:color="auto" w:sz="4" w:space="0"/>
              <w:left w:val="single" w:color="auto" w:sz="4" w:space="0"/>
              <w:bottom w:val="single" w:color="auto" w:sz="4" w:space="0"/>
              <w:right w:val="single" w:color="auto" w:sz="4" w:space="0"/>
            </w:tcBorders>
          </w:tcPr>
          <w:p w14:paraId="100B7A57">
            <w:pPr>
              <w:keepNext/>
              <w:snapToGrid w:val="0"/>
              <w:ind w:firstLine="480"/>
              <w:jc w:val="center"/>
              <w:rPr>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tcPr>
          <w:p w14:paraId="46F8E7C7">
            <w:pPr>
              <w:keepNext/>
              <w:snapToGrid w:val="0"/>
              <w:ind w:firstLine="480"/>
              <w:jc w:val="center"/>
              <w:rPr>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71BA6087">
            <w:pPr>
              <w:keepNext/>
              <w:snapToGrid w:val="0"/>
              <w:ind w:firstLine="480"/>
              <w:jc w:val="center"/>
              <w:rPr>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tcPr>
          <w:p w14:paraId="6DD90AD5">
            <w:pPr>
              <w:keepNext/>
              <w:snapToGrid w:val="0"/>
              <w:ind w:firstLine="480"/>
              <w:jc w:val="center"/>
              <w:rPr>
                <w:color w:val="auto"/>
                <w:szCs w:val="21"/>
                <w:highlight w:val="none"/>
              </w:rPr>
            </w:pPr>
          </w:p>
        </w:tc>
        <w:tc>
          <w:tcPr>
            <w:tcW w:w="1629" w:type="dxa"/>
            <w:tcBorders>
              <w:top w:val="single" w:color="auto" w:sz="4" w:space="0"/>
              <w:left w:val="single" w:color="auto" w:sz="4" w:space="0"/>
              <w:bottom w:val="single" w:color="auto" w:sz="4" w:space="0"/>
              <w:right w:val="single" w:color="auto" w:sz="4" w:space="0"/>
            </w:tcBorders>
          </w:tcPr>
          <w:p w14:paraId="1FBB7A67">
            <w:pPr>
              <w:keepNext/>
              <w:snapToGrid w:val="0"/>
              <w:ind w:firstLine="480"/>
              <w:jc w:val="center"/>
              <w:rPr>
                <w:color w:val="auto"/>
                <w:szCs w:val="21"/>
                <w:highlight w:val="none"/>
              </w:rPr>
            </w:pPr>
          </w:p>
        </w:tc>
      </w:tr>
    </w:tbl>
    <w:p w14:paraId="26AF71CD">
      <w:pPr>
        <w:spacing w:line="480" w:lineRule="exact"/>
        <w:ind w:firstLine="480"/>
        <w:rPr>
          <w:b/>
          <w:color w:val="auto"/>
          <w:szCs w:val="21"/>
          <w:highlight w:val="none"/>
        </w:rPr>
      </w:pPr>
      <w:r>
        <w:rPr>
          <w:rFonts w:cs="Arial"/>
          <w:snapToGrid w:val="0"/>
          <w:color w:val="auto"/>
          <w:szCs w:val="21"/>
          <w:highlight w:val="none"/>
        </w:rPr>
        <w:t>提供国家确定的认证机构出具的、处于有效期之内的节能产品认证证书的复印件（或扫描件）</w:t>
      </w:r>
      <w:r>
        <w:rPr>
          <w:color w:val="auto"/>
          <w:szCs w:val="21"/>
          <w:highlight w:val="none"/>
        </w:rPr>
        <w:t>。</w:t>
      </w:r>
    </w:p>
    <w:p w14:paraId="1A954262">
      <w:pPr>
        <w:pStyle w:val="79"/>
        <w:adjustRightInd w:val="0"/>
        <w:snapToGrid w:val="0"/>
        <w:spacing w:line="360" w:lineRule="auto"/>
        <w:jc w:val="both"/>
        <w:rPr>
          <w:rFonts w:hint="default" w:ascii="宋体" w:hAnsi="宋体" w:cs="宋体"/>
          <w:bCs/>
          <w:color w:val="auto"/>
          <w:kern w:val="2"/>
          <w:sz w:val="21"/>
          <w:szCs w:val="21"/>
          <w:highlight w:val="none"/>
        </w:rPr>
      </w:pPr>
    </w:p>
    <w:p w14:paraId="76CF05F6">
      <w:pPr>
        <w:tabs>
          <w:tab w:val="left" w:pos="1680"/>
        </w:tabs>
        <w:snapToGrid w:val="0"/>
        <w:ind w:firstLine="562"/>
        <w:jc w:val="center"/>
        <w:rPr>
          <w:b/>
          <w:color w:val="auto"/>
          <w:kern w:val="0"/>
          <w:sz w:val="28"/>
          <w:szCs w:val="28"/>
          <w:highlight w:val="none"/>
        </w:rPr>
      </w:pPr>
    </w:p>
    <w:p w14:paraId="3B241025">
      <w:pPr>
        <w:tabs>
          <w:tab w:val="left" w:pos="1680"/>
        </w:tabs>
        <w:snapToGrid w:val="0"/>
        <w:ind w:firstLine="562"/>
        <w:jc w:val="center"/>
        <w:rPr>
          <w:b/>
          <w:color w:val="auto"/>
          <w:kern w:val="0"/>
          <w:sz w:val="28"/>
          <w:szCs w:val="28"/>
          <w:highlight w:val="none"/>
        </w:rPr>
      </w:pPr>
      <w:r>
        <w:rPr>
          <w:b/>
          <w:color w:val="auto"/>
          <w:kern w:val="0"/>
          <w:sz w:val="28"/>
          <w:szCs w:val="28"/>
          <w:highlight w:val="none"/>
        </w:rPr>
        <w:t>（二）环境标志产品政府采购品目清单（如不涉及，可不提供）</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812"/>
        <w:gridCol w:w="1701"/>
        <w:gridCol w:w="850"/>
        <w:gridCol w:w="1276"/>
        <w:gridCol w:w="2126"/>
        <w:gridCol w:w="1595"/>
      </w:tblGrid>
      <w:tr w14:paraId="5A1E9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2F6AC1EC">
            <w:pPr>
              <w:keepNext/>
              <w:snapToGrid w:val="0"/>
              <w:ind w:firstLine="0" w:firstLineChars="0"/>
              <w:jc w:val="center"/>
              <w:rPr>
                <w:b/>
                <w:color w:val="auto"/>
                <w:szCs w:val="21"/>
                <w:highlight w:val="none"/>
              </w:rPr>
            </w:pPr>
            <w:r>
              <w:rPr>
                <w:b/>
                <w:color w:val="auto"/>
                <w:szCs w:val="21"/>
                <w:highlight w:val="none"/>
              </w:rPr>
              <w:t>序号</w:t>
            </w:r>
          </w:p>
        </w:tc>
        <w:tc>
          <w:tcPr>
            <w:tcW w:w="812" w:type="dxa"/>
            <w:tcBorders>
              <w:top w:val="single" w:color="auto" w:sz="4" w:space="0"/>
              <w:left w:val="single" w:color="auto" w:sz="4" w:space="0"/>
              <w:bottom w:val="single" w:color="auto" w:sz="4" w:space="0"/>
              <w:right w:val="single" w:color="auto" w:sz="4" w:space="0"/>
            </w:tcBorders>
            <w:vAlign w:val="center"/>
          </w:tcPr>
          <w:p w14:paraId="59040E7E">
            <w:pPr>
              <w:keepNext/>
              <w:snapToGrid w:val="0"/>
              <w:ind w:firstLine="0" w:firstLineChars="0"/>
              <w:jc w:val="center"/>
              <w:rPr>
                <w:b/>
                <w:color w:val="auto"/>
                <w:szCs w:val="21"/>
                <w:highlight w:val="none"/>
              </w:rPr>
            </w:pPr>
            <w:r>
              <w:rPr>
                <w:b/>
                <w:color w:val="auto"/>
                <w:szCs w:val="21"/>
                <w:highlight w:val="none"/>
              </w:rPr>
              <w:t>产品</w:t>
            </w:r>
          </w:p>
          <w:p w14:paraId="17E29382">
            <w:pPr>
              <w:keepNext/>
              <w:snapToGrid w:val="0"/>
              <w:ind w:firstLine="0" w:firstLineChars="0"/>
              <w:jc w:val="center"/>
              <w:rPr>
                <w:b/>
                <w:color w:val="auto"/>
                <w:szCs w:val="21"/>
                <w:highlight w:val="none"/>
              </w:rPr>
            </w:pPr>
            <w:r>
              <w:rPr>
                <w:b/>
                <w:color w:val="auto"/>
                <w:szCs w:val="21"/>
                <w:highlight w:val="none"/>
              </w:rPr>
              <w:t>名称</w:t>
            </w:r>
          </w:p>
        </w:tc>
        <w:tc>
          <w:tcPr>
            <w:tcW w:w="1701" w:type="dxa"/>
            <w:tcBorders>
              <w:top w:val="single" w:color="auto" w:sz="4" w:space="0"/>
              <w:left w:val="single" w:color="auto" w:sz="4" w:space="0"/>
              <w:bottom w:val="single" w:color="auto" w:sz="4" w:space="0"/>
              <w:right w:val="single" w:color="auto" w:sz="4" w:space="0"/>
            </w:tcBorders>
            <w:vAlign w:val="center"/>
          </w:tcPr>
          <w:p w14:paraId="50FDFC04">
            <w:pPr>
              <w:keepNext/>
              <w:snapToGrid w:val="0"/>
              <w:ind w:firstLine="0" w:firstLineChars="0"/>
              <w:jc w:val="center"/>
              <w:rPr>
                <w:b/>
                <w:color w:val="auto"/>
                <w:szCs w:val="21"/>
                <w:highlight w:val="none"/>
              </w:rPr>
            </w:pPr>
            <w:r>
              <w:rPr>
                <w:b/>
                <w:color w:val="auto"/>
                <w:szCs w:val="21"/>
                <w:highlight w:val="none"/>
              </w:rPr>
              <w:t>制造商</w:t>
            </w:r>
          </w:p>
        </w:tc>
        <w:tc>
          <w:tcPr>
            <w:tcW w:w="850" w:type="dxa"/>
            <w:tcBorders>
              <w:top w:val="single" w:color="auto" w:sz="4" w:space="0"/>
              <w:left w:val="single" w:color="auto" w:sz="4" w:space="0"/>
              <w:bottom w:val="single" w:color="auto" w:sz="4" w:space="0"/>
              <w:right w:val="single" w:color="auto" w:sz="4" w:space="0"/>
            </w:tcBorders>
            <w:vAlign w:val="center"/>
          </w:tcPr>
          <w:p w14:paraId="5317B1F2">
            <w:pPr>
              <w:keepNext/>
              <w:snapToGrid w:val="0"/>
              <w:ind w:firstLine="0" w:firstLineChars="0"/>
              <w:jc w:val="center"/>
              <w:rPr>
                <w:b/>
                <w:color w:val="auto"/>
                <w:szCs w:val="21"/>
                <w:highlight w:val="none"/>
              </w:rPr>
            </w:pPr>
            <w:r>
              <w:rPr>
                <w:b/>
                <w:color w:val="auto"/>
                <w:szCs w:val="21"/>
                <w:highlight w:val="none"/>
              </w:rPr>
              <w:t>注册</w:t>
            </w:r>
          </w:p>
          <w:p w14:paraId="2A7B151C">
            <w:pPr>
              <w:keepNext/>
              <w:snapToGrid w:val="0"/>
              <w:ind w:firstLine="0" w:firstLineChars="0"/>
              <w:jc w:val="center"/>
              <w:rPr>
                <w:b/>
                <w:color w:val="auto"/>
                <w:szCs w:val="21"/>
                <w:highlight w:val="none"/>
              </w:rPr>
            </w:pPr>
            <w:r>
              <w:rPr>
                <w:b/>
                <w:color w:val="auto"/>
                <w:szCs w:val="21"/>
                <w:highlight w:val="none"/>
              </w:rPr>
              <w:t>商标</w:t>
            </w:r>
          </w:p>
        </w:tc>
        <w:tc>
          <w:tcPr>
            <w:tcW w:w="1276" w:type="dxa"/>
            <w:tcBorders>
              <w:top w:val="single" w:color="auto" w:sz="4" w:space="0"/>
              <w:left w:val="single" w:color="auto" w:sz="4" w:space="0"/>
              <w:bottom w:val="single" w:color="auto" w:sz="4" w:space="0"/>
              <w:right w:val="single" w:color="auto" w:sz="4" w:space="0"/>
            </w:tcBorders>
            <w:vAlign w:val="center"/>
          </w:tcPr>
          <w:p w14:paraId="7D969F85">
            <w:pPr>
              <w:keepNext/>
              <w:snapToGrid w:val="0"/>
              <w:ind w:firstLine="0" w:firstLineChars="0"/>
              <w:jc w:val="center"/>
              <w:rPr>
                <w:b/>
                <w:color w:val="auto"/>
                <w:szCs w:val="21"/>
                <w:highlight w:val="none"/>
              </w:rPr>
            </w:pPr>
            <w:r>
              <w:rPr>
                <w:b/>
                <w:color w:val="auto"/>
                <w:szCs w:val="21"/>
                <w:highlight w:val="none"/>
              </w:rPr>
              <w:t>产品型号</w:t>
            </w:r>
          </w:p>
        </w:tc>
        <w:tc>
          <w:tcPr>
            <w:tcW w:w="2126" w:type="dxa"/>
            <w:tcBorders>
              <w:top w:val="single" w:color="auto" w:sz="4" w:space="0"/>
              <w:left w:val="single" w:color="auto" w:sz="4" w:space="0"/>
              <w:bottom w:val="single" w:color="auto" w:sz="4" w:space="0"/>
              <w:right w:val="single" w:color="auto" w:sz="4" w:space="0"/>
            </w:tcBorders>
            <w:vAlign w:val="center"/>
          </w:tcPr>
          <w:p w14:paraId="39EB68C0">
            <w:pPr>
              <w:keepNext/>
              <w:snapToGrid w:val="0"/>
              <w:ind w:firstLine="0" w:firstLineChars="0"/>
              <w:jc w:val="center"/>
              <w:rPr>
                <w:b/>
                <w:color w:val="auto"/>
                <w:szCs w:val="21"/>
                <w:highlight w:val="none"/>
              </w:rPr>
            </w:pPr>
            <w:r>
              <w:rPr>
                <w:b/>
                <w:color w:val="auto"/>
                <w:szCs w:val="21"/>
                <w:highlight w:val="none"/>
              </w:rPr>
              <w:t>环境标志产品认证证书号</w:t>
            </w:r>
          </w:p>
        </w:tc>
        <w:tc>
          <w:tcPr>
            <w:tcW w:w="1595" w:type="dxa"/>
            <w:tcBorders>
              <w:top w:val="single" w:color="auto" w:sz="4" w:space="0"/>
              <w:left w:val="single" w:color="auto" w:sz="4" w:space="0"/>
              <w:bottom w:val="single" w:color="auto" w:sz="4" w:space="0"/>
              <w:right w:val="single" w:color="auto" w:sz="4" w:space="0"/>
            </w:tcBorders>
            <w:vAlign w:val="center"/>
          </w:tcPr>
          <w:p w14:paraId="3FE7E337">
            <w:pPr>
              <w:keepNext/>
              <w:snapToGrid w:val="0"/>
              <w:ind w:firstLine="0" w:firstLineChars="0"/>
              <w:jc w:val="center"/>
              <w:rPr>
                <w:b/>
                <w:color w:val="auto"/>
                <w:szCs w:val="21"/>
                <w:highlight w:val="none"/>
              </w:rPr>
            </w:pPr>
            <w:r>
              <w:rPr>
                <w:b/>
                <w:color w:val="auto"/>
                <w:szCs w:val="21"/>
                <w:highlight w:val="none"/>
              </w:rPr>
              <w:t>认证证书有效截止日期</w:t>
            </w:r>
          </w:p>
        </w:tc>
      </w:tr>
      <w:tr w14:paraId="01155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87" w:type="dxa"/>
            <w:tcBorders>
              <w:top w:val="single" w:color="auto" w:sz="4" w:space="0"/>
              <w:left w:val="single" w:color="auto" w:sz="4" w:space="0"/>
              <w:bottom w:val="single" w:color="auto" w:sz="4" w:space="0"/>
              <w:right w:val="single" w:color="auto" w:sz="4" w:space="0"/>
            </w:tcBorders>
          </w:tcPr>
          <w:p w14:paraId="4F07AB9E">
            <w:pPr>
              <w:keepNext/>
              <w:snapToGrid w:val="0"/>
              <w:ind w:firstLine="480"/>
              <w:jc w:val="center"/>
              <w:rPr>
                <w:color w:val="auto"/>
                <w:szCs w:val="21"/>
                <w:highlight w:val="none"/>
              </w:rPr>
            </w:pPr>
          </w:p>
        </w:tc>
        <w:tc>
          <w:tcPr>
            <w:tcW w:w="812" w:type="dxa"/>
            <w:tcBorders>
              <w:top w:val="single" w:color="auto" w:sz="4" w:space="0"/>
              <w:left w:val="single" w:color="auto" w:sz="4" w:space="0"/>
              <w:bottom w:val="single" w:color="auto" w:sz="4" w:space="0"/>
              <w:right w:val="single" w:color="auto" w:sz="4" w:space="0"/>
            </w:tcBorders>
          </w:tcPr>
          <w:p w14:paraId="115BFF9D">
            <w:pPr>
              <w:keepNext/>
              <w:snapToGrid w:val="0"/>
              <w:ind w:firstLine="480"/>
              <w:jc w:val="center"/>
              <w:rPr>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tcPr>
          <w:p w14:paraId="14969173">
            <w:pPr>
              <w:keepNext/>
              <w:snapToGrid w:val="0"/>
              <w:ind w:firstLine="480"/>
              <w:jc w:val="center"/>
              <w:rPr>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tcPr>
          <w:p w14:paraId="2845B471">
            <w:pPr>
              <w:keepNext/>
              <w:snapToGrid w:val="0"/>
              <w:ind w:firstLine="480"/>
              <w:jc w:val="center"/>
              <w:rPr>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798B81B6">
            <w:pPr>
              <w:keepNext/>
              <w:snapToGrid w:val="0"/>
              <w:ind w:firstLine="480"/>
              <w:jc w:val="center"/>
              <w:rPr>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tcPr>
          <w:p w14:paraId="5F415C6B">
            <w:pPr>
              <w:keepNext/>
              <w:snapToGrid w:val="0"/>
              <w:ind w:firstLine="480"/>
              <w:jc w:val="center"/>
              <w:rPr>
                <w:color w:val="auto"/>
                <w:szCs w:val="21"/>
                <w:highlight w:val="none"/>
              </w:rPr>
            </w:pPr>
          </w:p>
        </w:tc>
        <w:tc>
          <w:tcPr>
            <w:tcW w:w="1595" w:type="dxa"/>
            <w:tcBorders>
              <w:top w:val="single" w:color="auto" w:sz="4" w:space="0"/>
              <w:left w:val="single" w:color="auto" w:sz="4" w:space="0"/>
              <w:bottom w:val="single" w:color="auto" w:sz="4" w:space="0"/>
              <w:right w:val="single" w:color="auto" w:sz="4" w:space="0"/>
            </w:tcBorders>
          </w:tcPr>
          <w:p w14:paraId="04BBD924">
            <w:pPr>
              <w:keepNext/>
              <w:snapToGrid w:val="0"/>
              <w:ind w:firstLine="480"/>
              <w:rPr>
                <w:color w:val="auto"/>
                <w:szCs w:val="21"/>
                <w:highlight w:val="none"/>
              </w:rPr>
            </w:pPr>
          </w:p>
        </w:tc>
      </w:tr>
      <w:tr w14:paraId="71E99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87" w:type="dxa"/>
            <w:tcBorders>
              <w:top w:val="single" w:color="auto" w:sz="4" w:space="0"/>
              <w:left w:val="single" w:color="auto" w:sz="4" w:space="0"/>
              <w:bottom w:val="single" w:color="auto" w:sz="4" w:space="0"/>
              <w:right w:val="single" w:color="auto" w:sz="4" w:space="0"/>
            </w:tcBorders>
          </w:tcPr>
          <w:p w14:paraId="7D8CBB79">
            <w:pPr>
              <w:keepNext/>
              <w:snapToGrid w:val="0"/>
              <w:ind w:firstLine="480"/>
              <w:jc w:val="center"/>
              <w:rPr>
                <w:color w:val="auto"/>
                <w:szCs w:val="21"/>
                <w:highlight w:val="none"/>
              </w:rPr>
            </w:pPr>
          </w:p>
        </w:tc>
        <w:tc>
          <w:tcPr>
            <w:tcW w:w="812" w:type="dxa"/>
            <w:tcBorders>
              <w:top w:val="single" w:color="auto" w:sz="4" w:space="0"/>
              <w:left w:val="single" w:color="auto" w:sz="4" w:space="0"/>
              <w:bottom w:val="single" w:color="auto" w:sz="4" w:space="0"/>
              <w:right w:val="single" w:color="auto" w:sz="4" w:space="0"/>
            </w:tcBorders>
          </w:tcPr>
          <w:p w14:paraId="0416172D">
            <w:pPr>
              <w:keepNext/>
              <w:snapToGrid w:val="0"/>
              <w:ind w:firstLine="480"/>
              <w:jc w:val="center"/>
              <w:rPr>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tcPr>
          <w:p w14:paraId="7E6598F6">
            <w:pPr>
              <w:keepNext/>
              <w:snapToGrid w:val="0"/>
              <w:ind w:firstLine="480"/>
              <w:jc w:val="center"/>
              <w:rPr>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tcPr>
          <w:p w14:paraId="2F734F9D">
            <w:pPr>
              <w:keepNext/>
              <w:snapToGrid w:val="0"/>
              <w:ind w:firstLine="480"/>
              <w:jc w:val="center"/>
              <w:rPr>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290CB6D0">
            <w:pPr>
              <w:keepNext/>
              <w:snapToGrid w:val="0"/>
              <w:ind w:firstLine="480"/>
              <w:jc w:val="center"/>
              <w:rPr>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tcPr>
          <w:p w14:paraId="391CB3A4">
            <w:pPr>
              <w:keepNext/>
              <w:snapToGrid w:val="0"/>
              <w:ind w:firstLine="480"/>
              <w:jc w:val="center"/>
              <w:rPr>
                <w:color w:val="auto"/>
                <w:szCs w:val="21"/>
                <w:highlight w:val="none"/>
              </w:rPr>
            </w:pPr>
          </w:p>
        </w:tc>
        <w:tc>
          <w:tcPr>
            <w:tcW w:w="1595" w:type="dxa"/>
            <w:tcBorders>
              <w:top w:val="single" w:color="auto" w:sz="4" w:space="0"/>
              <w:left w:val="single" w:color="auto" w:sz="4" w:space="0"/>
              <w:bottom w:val="single" w:color="auto" w:sz="4" w:space="0"/>
              <w:right w:val="single" w:color="auto" w:sz="4" w:space="0"/>
            </w:tcBorders>
          </w:tcPr>
          <w:p w14:paraId="2FAC9934">
            <w:pPr>
              <w:keepNext/>
              <w:snapToGrid w:val="0"/>
              <w:ind w:firstLine="480"/>
              <w:rPr>
                <w:color w:val="auto"/>
                <w:szCs w:val="21"/>
                <w:highlight w:val="none"/>
              </w:rPr>
            </w:pPr>
          </w:p>
        </w:tc>
      </w:tr>
    </w:tbl>
    <w:p w14:paraId="15D765E0">
      <w:pPr>
        <w:spacing w:line="480" w:lineRule="exact"/>
        <w:ind w:firstLine="480"/>
        <w:rPr>
          <w:rFonts w:cs="Arial"/>
          <w:snapToGrid w:val="0"/>
          <w:color w:val="auto"/>
          <w:szCs w:val="21"/>
          <w:highlight w:val="none"/>
        </w:rPr>
      </w:pPr>
      <w:r>
        <w:rPr>
          <w:rFonts w:cs="Arial"/>
          <w:snapToGrid w:val="0"/>
          <w:color w:val="auto"/>
          <w:szCs w:val="21"/>
          <w:highlight w:val="none"/>
        </w:rPr>
        <w:t>提供国家确定的认证机构出具的、处于有效期之内的环境标志产品认证证书的复印件（或扫描件）。</w:t>
      </w:r>
    </w:p>
    <w:p w14:paraId="7140B0DB">
      <w:pPr>
        <w:pStyle w:val="79"/>
        <w:adjustRightInd w:val="0"/>
        <w:snapToGrid w:val="0"/>
        <w:spacing w:line="360" w:lineRule="auto"/>
        <w:jc w:val="both"/>
        <w:rPr>
          <w:rFonts w:hint="default" w:ascii="宋体" w:hAnsi="宋体" w:cs="宋体"/>
          <w:color w:val="auto"/>
          <w:sz w:val="21"/>
          <w:szCs w:val="21"/>
          <w:highlight w:val="none"/>
        </w:rPr>
      </w:pPr>
    </w:p>
    <w:p w14:paraId="5F42064E">
      <w:pPr>
        <w:tabs>
          <w:tab w:val="left" w:pos="1680"/>
        </w:tabs>
        <w:snapToGrid w:val="0"/>
        <w:ind w:firstLine="562"/>
        <w:jc w:val="center"/>
        <w:rPr>
          <w:b/>
          <w:color w:val="auto"/>
          <w:kern w:val="0"/>
          <w:sz w:val="28"/>
          <w:szCs w:val="28"/>
          <w:highlight w:val="none"/>
        </w:rPr>
      </w:pPr>
    </w:p>
    <w:p w14:paraId="0A0FD07F">
      <w:pPr>
        <w:tabs>
          <w:tab w:val="left" w:pos="1680"/>
        </w:tabs>
        <w:snapToGrid w:val="0"/>
        <w:ind w:firstLine="562"/>
        <w:jc w:val="center"/>
        <w:rPr>
          <w:b/>
          <w:color w:val="auto"/>
          <w:kern w:val="0"/>
          <w:sz w:val="28"/>
          <w:szCs w:val="28"/>
          <w:highlight w:val="none"/>
        </w:rPr>
      </w:pPr>
      <w:r>
        <w:rPr>
          <w:b/>
          <w:color w:val="auto"/>
          <w:kern w:val="0"/>
          <w:sz w:val="28"/>
          <w:szCs w:val="28"/>
          <w:highlight w:val="none"/>
        </w:rPr>
        <w:t>（三）所投报的计算机</w:t>
      </w:r>
      <w:r>
        <w:rPr>
          <w:rFonts w:hint="eastAsia"/>
          <w:b/>
          <w:color w:val="auto"/>
          <w:kern w:val="0"/>
          <w:sz w:val="28"/>
          <w:szCs w:val="28"/>
          <w:highlight w:val="none"/>
          <w:lang w:val="en-US" w:eastAsia="zh-CN"/>
        </w:rPr>
        <w:t>或</w:t>
      </w:r>
      <w:r>
        <w:rPr>
          <w:b/>
          <w:color w:val="auto"/>
          <w:kern w:val="0"/>
          <w:sz w:val="28"/>
          <w:szCs w:val="28"/>
          <w:highlight w:val="none"/>
        </w:rPr>
        <w:t>硬件</w:t>
      </w:r>
      <w:r>
        <w:rPr>
          <w:rFonts w:hint="eastAsia"/>
          <w:b/>
          <w:color w:val="auto"/>
          <w:kern w:val="0"/>
          <w:sz w:val="28"/>
          <w:szCs w:val="28"/>
          <w:highlight w:val="none"/>
          <w:lang w:val="en-US" w:eastAsia="zh-CN"/>
        </w:rPr>
        <w:t>产品</w:t>
      </w:r>
      <w:r>
        <w:rPr>
          <w:b/>
          <w:color w:val="auto"/>
          <w:kern w:val="0"/>
          <w:sz w:val="28"/>
          <w:szCs w:val="28"/>
          <w:highlight w:val="none"/>
        </w:rPr>
        <w:t>预装正版操作系统，</w:t>
      </w:r>
    </w:p>
    <w:p w14:paraId="497ADB6A">
      <w:pPr>
        <w:tabs>
          <w:tab w:val="left" w:pos="1680"/>
        </w:tabs>
        <w:snapToGrid w:val="0"/>
        <w:ind w:firstLine="562"/>
        <w:jc w:val="center"/>
        <w:rPr>
          <w:b/>
          <w:color w:val="auto"/>
          <w:kern w:val="0"/>
          <w:sz w:val="28"/>
          <w:szCs w:val="28"/>
          <w:highlight w:val="none"/>
        </w:rPr>
      </w:pPr>
      <w:r>
        <w:rPr>
          <w:b/>
          <w:color w:val="auto"/>
          <w:kern w:val="0"/>
          <w:sz w:val="28"/>
          <w:szCs w:val="28"/>
          <w:highlight w:val="none"/>
        </w:rPr>
        <w:t>软件产品为正版软件（如不涉及，可不提供）</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812"/>
        <w:gridCol w:w="1701"/>
        <w:gridCol w:w="850"/>
        <w:gridCol w:w="1276"/>
        <w:gridCol w:w="3721"/>
      </w:tblGrid>
      <w:tr w14:paraId="2B6B9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72505CEC">
            <w:pPr>
              <w:keepNext/>
              <w:snapToGrid w:val="0"/>
              <w:ind w:firstLine="0" w:firstLineChars="0"/>
              <w:jc w:val="center"/>
              <w:rPr>
                <w:b/>
                <w:color w:val="auto"/>
                <w:szCs w:val="21"/>
                <w:highlight w:val="none"/>
              </w:rPr>
            </w:pPr>
            <w:r>
              <w:rPr>
                <w:b/>
                <w:color w:val="auto"/>
                <w:szCs w:val="21"/>
                <w:highlight w:val="none"/>
              </w:rPr>
              <w:t>序号</w:t>
            </w:r>
          </w:p>
        </w:tc>
        <w:tc>
          <w:tcPr>
            <w:tcW w:w="812" w:type="dxa"/>
            <w:tcBorders>
              <w:top w:val="single" w:color="auto" w:sz="4" w:space="0"/>
              <w:left w:val="single" w:color="auto" w:sz="4" w:space="0"/>
              <w:bottom w:val="single" w:color="auto" w:sz="4" w:space="0"/>
              <w:right w:val="single" w:color="auto" w:sz="4" w:space="0"/>
            </w:tcBorders>
            <w:vAlign w:val="center"/>
          </w:tcPr>
          <w:p w14:paraId="0A3918A9">
            <w:pPr>
              <w:keepNext/>
              <w:snapToGrid w:val="0"/>
              <w:ind w:firstLine="0" w:firstLineChars="0"/>
              <w:jc w:val="center"/>
              <w:rPr>
                <w:b/>
                <w:color w:val="auto"/>
                <w:szCs w:val="21"/>
                <w:highlight w:val="none"/>
              </w:rPr>
            </w:pPr>
            <w:r>
              <w:rPr>
                <w:b/>
                <w:color w:val="auto"/>
                <w:szCs w:val="21"/>
                <w:highlight w:val="none"/>
              </w:rPr>
              <w:t>软件</w:t>
            </w:r>
          </w:p>
          <w:p w14:paraId="09ED76B0">
            <w:pPr>
              <w:keepNext/>
              <w:snapToGrid w:val="0"/>
              <w:ind w:firstLine="0" w:firstLineChars="0"/>
              <w:jc w:val="center"/>
              <w:rPr>
                <w:b/>
                <w:color w:val="auto"/>
                <w:szCs w:val="21"/>
                <w:highlight w:val="none"/>
              </w:rPr>
            </w:pPr>
            <w:r>
              <w:rPr>
                <w:b/>
                <w:color w:val="auto"/>
                <w:szCs w:val="21"/>
                <w:highlight w:val="none"/>
              </w:rPr>
              <w:t>名称</w:t>
            </w:r>
          </w:p>
        </w:tc>
        <w:tc>
          <w:tcPr>
            <w:tcW w:w="1701" w:type="dxa"/>
            <w:tcBorders>
              <w:top w:val="single" w:color="auto" w:sz="4" w:space="0"/>
              <w:left w:val="single" w:color="auto" w:sz="4" w:space="0"/>
              <w:bottom w:val="single" w:color="auto" w:sz="4" w:space="0"/>
              <w:right w:val="single" w:color="auto" w:sz="4" w:space="0"/>
            </w:tcBorders>
            <w:vAlign w:val="center"/>
          </w:tcPr>
          <w:p w14:paraId="689341E3">
            <w:pPr>
              <w:keepNext/>
              <w:snapToGrid w:val="0"/>
              <w:ind w:firstLine="0" w:firstLineChars="0"/>
              <w:jc w:val="center"/>
              <w:rPr>
                <w:b/>
                <w:color w:val="auto"/>
                <w:szCs w:val="21"/>
                <w:highlight w:val="none"/>
              </w:rPr>
            </w:pPr>
            <w:r>
              <w:rPr>
                <w:b/>
                <w:color w:val="auto"/>
                <w:szCs w:val="21"/>
                <w:highlight w:val="none"/>
              </w:rPr>
              <w:t>开发商</w:t>
            </w:r>
          </w:p>
        </w:tc>
        <w:tc>
          <w:tcPr>
            <w:tcW w:w="850" w:type="dxa"/>
            <w:tcBorders>
              <w:top w:val="single" w:color="auto" w:sz="4" w:space="0"/>
              <w:left w:val="single" w:color="auto" w:sz="4" w:space="0"/>
              <w:bottom w:val="single" w:color="auto" w:sz="4" w:space="0"/>
              <w:right w:val="single" w:color="auto" w:sz="4" w:space="0"/>
            </w:tcBorders>
            <w:vAlign w:val="center"/>
          </w:tcPr>
          <w:p w14:paraId="43EF3C3C">
            <w:pPr>
              <w:keepNext/>
              <w:snapToGrid w:val="0"/>
              <w:ind w:firstLine="0" w:firstLineChars="0"/>
              <w:jc w:val="center"/>
              <w:rPr>
                <w:b/>
                <w:color w:val="auto"/>
                <w:szCs w:val="21"/>
                <w:highlight w:val="none"/>
              </w:rPr>
            </w:pPr>
            <w:r>
              <w:rPr>
                <w:b/>
                <w:color w:val="auto"/>
                <w:szCs w:val="21"/>
                <w:highlight w:val="none"/>
              </w:rPr>
              <w:t>注册</w:t>
            </w:r>
          </w:p>
          <w:p w14:paraId="1B69A056">
            <w:pPr>
              <w:keepNext/>
              <w:snapToGrid w:val="0"/>
              <w:ind w:firstLine="0" w:firstLineChars="0"/>
              <w:jc w:val="center"/>
              <w:rPr>
                <w:b/>
                <w:color w:val="auto"/>
                <w:szCs w:val="21"/>
                <w:highlight w:val="none"/>
              </w:rPr>
            </w:pPr>
            <w:r>
              <w:rPr>
                <w:b/>
                <w:color w:val="auto"/>
                <w:szCs w:val="21"/>
                <w:highlight w:val="none"/>
              </w:rPr>
              <w:t>商标</w:t>
            </w:r>
          </w:p>
        </w:tc>
        <w:tc>
          <w:tcPr>
            <w:tcW w:w="1276" w:type="dxa"/>
            <w:tcBorders>
              <w:top w:val="single" w:color="auto" w:sz="4" w:space="0"/>
              <w:left w:val="single" w:color="auto" w:sz="4" w:space="0"/>
              <w:bottom w:val="single" w:color="auto" w:sz="4" w:space="0"/>
              <w:right w:val="single" w:color="auto" w:sz="4" w:space="0"/>
            </w:tcBorders>
            <w:vAlign w:val="center"/>
          </w:tcPr>
          <w:p w14:paraId="0E1522EB">
            <w:pPr>
              <w:keepNext/>
              <w:snapToGrid w:val="0"/>
              <w:ind w:firstLine="0" w:firstLineChars="0"/>
              <w:jc w:val="center"/>
              <w:rPr>
                <w:b/>
                <w:color w:val="auto"/>
                <w:szCs w:val="21"/>
                <w:highlight w:val="none"/>
              </w:rPr>
            </w:pPr>
            <w:r>
              <w:rPr>
                <w:b/>
                <w:color w:val="auto"/>
                <w:szCs w:val="21"/>
                <w:highlight w:val="none"/>
              </w:rPr>
              <w:t>版本号</w:t>
            </w:r>
          </w:p>
        </w:tc>
        <w:tc>
          <w:tcPr>
            <w:tcW w:w="3721" w:type="dxa"/>
            <w:tcBorders>
              <w:top w:val="single" w:color="auto" w:sz="4" w:space="0"/>
              <w:left w:val="single" w:color="auto" w:sz="4" w:space="0"/>
              <w:bottom w:val="single" w:color="auto" w:sz="4" w:space="0"/>
              <w:right w:val="single" w:color="auto" w:sz="4" w:space="0"/>
            </w:tcBorders>
            <w:vAlign w:val="center"/>
          </w:tcPr>
          <w:p w14:paraId="732D7844">
            <w:pPr>
              <w:keepNext/>
              <w:snapToGrid w:val="0"/>
              <w:ind w:firstLine="0" w:firstLineChars="0"/>
              <w:jc w:val="center"/>
              <w:rPr>
                <w:b/>
                <w:color w:val="auto"/>
                <w:szCs w:val="21"/>
                <w:highlight w:val="none"/>
              </w:rPr>
            </w:pPr>
            <w:r>
              <w:rPr>
                <w:b/>
                <w:color w:val="auto"/>
                <w:szCs w:val="21"/>
                <w:highlight w:val="none"/>
              </w:rPr>
              <w:t>备注</w:t>
            </w:r>
          </w:p>
        </w:tc>
      </w:tr>
      <w:tr w14:paraId="102DF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87" w:type="dxa"/>
            <w:tcBorders>
              <w:top w:val="single" w:color="auto" w:sz="4" w:space="0"/>
              <w:left w:val="single" w:color="auto" w:sz="4" w:space="0"/>
              <w:bottom w:val="single" w:color="auto" w:sz="4" w:space="0"/>
              <w:right w:val="single" w:color="auto" w:sz="4" w:space="0"/>
            </w:tcBorders>
          </w:tcPr>
          <w:p w14:paraId="752A3773">
            <w:pPr>
              <w:keepNext/>
              <w:snapToGrid w:val="0"/>
              <w:ind w:firstLine="480"/>
              <w:jc w:val="center"/>
              <w:rPr>
                <w:color w:val="auto"/>
                <w:szCs w:val="21"/>
                <w:highlight w:val="none"/>
              </w:rPr>
            </w:pPr>
          </w:p>
        </w:tc>
        <w:tc>
          <w:tcPr>
            <w:tcW w:w="812" w:type="dxa"/>
            <w:tcBorders>
              <w:top w:val="single" w:color="auto" w:sz="4" w:space="0"/>
              <w:left w:val="single" w:color="auto" w:sz="4" w:space="0"/>
              <w:bottom w:val="single" w:color="auto" w:sz="4" w:space="0"/>
              <w:right w:val="single" w:color="auto" w:sz="4" w:space="0"/>
            </w:tcBorders>
          </w:tcPr>
          <w:p w14:paraId="32CF2A72">
            <w:pPr>
              <w:keepNext/>
              <w:snapToGrid w:val="0"/>
              <w:ind w:firstLine="480"/>
              <w:jc w:val="center"/>
              <w:rPr>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tcPr>
          <w:p w14:paraId="5B23219B">
            <w:pPr>
              <w:keepNext/>
              <w:snapToGrid w:val="0"/>
              <w:ind w:firstLine="480"/>
              <w:jc w:val="center"/>
              <w:rPr>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tcPr>
          <w:p w14:paraId="11463FEE">
            <w:pPr>
              <w:keepNext/>
              <w:snapToGrid w:val="0"/>
              <w:ind w:firstLine="480"/>
              <w:jc w:val="center"/>
              <w:rPr>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2BFFF72C">
            <w:pPr>
              <w:keepNext/>
              <w:snapToGrid w:val="0"/>
              <w:ind w:firstLine="480"/>
              <w:jc w:val="center"/>
              <w:rPr>
                <w:color w:val="auto"/>
                <w:szCs w:val="21"/>
                <w:highlight w:val="none"/>
              </w:rPr>
            </w:pPr>
          </w:p>
        </w:tc>
        <w:tc>
          <w:tcPr>
            <w:tcW w:w="3721" w:type="dxa"/>
            <w:tcBorders>
              <w:top w:val="single" w:color="auto" w:sz="4" w:space="0"/>
              <w:left w:val="single" w:color="auto" w:sz="4" w:space="0"/>
              <w:bottom w:val="single" w:color="auto" w:sz="4" w:space="0"/>
              <w:right w:val="single" w:color="auto" w:sz="4" w:space="0"/>
            </w:tcBorders>
          </w:tcPr>
          <w:p w14:paraId="72E39FBC">
            <w:pPr>
              <w:keepNext/>
              <w:snapToGrid w:val="0"/>
              <w:ind w:firstLine="480"/>
              <w:rPr>
                <w:color w:val="auto"/>
                <w:szCs w:val="21"/>
                <w:highlight w:val="none"/>
              </w:rPr>
            </w:pPr>
          </w:p>
        </w:tc>
      </w:tr>
      <w:tr w14:paraId="132F0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87" w:type="dxa"/>
            <w:tcBorders>
              <w:top w:val="single" w:color="auto" w:sz="4" w:space="0"/>
              <w:left w:val="single" w:color="auto" w:sz="4" w:space="0"/>
              <w:bottom w:val="single" w:color="auto" w:sz="4" w:space="0"/>
              <w:right w:val="single" w:color="auto" w:sz="4" w:space="0"/>
            </w:tcBorders>
          </w:tcPr>
          <w:p w14:paraId="2D42A2DF">
            <w:pPr>
              <w:keepNext/>
              <w:snapToGrid w:val="0"/>
              <w:ind w:firstLine="480"/>
              <w:jc w:val="center"/>
              <w:rPr>
                <w:color w:val="auto"/>
                <w:szCs w:val="21"/>
                <w:highlight w:val="none"/>
              </w:rPr>
            </w:pPr>
          </w:p>
        </w:tc>
        <w:tc>
          <w:tcPr>
            <w:tcW w:w="812" w:type="dxa"/>
            <w:tcBorders>
              <w:top w:val="single" w:color="auto" w:sz="4" w:space="0"/>
              <w:left w:val="single" w:color="auto" w:sz="4" w:space="0"/>
              <w:bottom w:val="single" w:color="auto" w:sz="4" w:space="0"/>
              <w:right w:val="single" w:color="auto" w:sz="4" w:space="0"/>
            </w:tcBorders>
          </w:tcPr>
          <w:p w14:paraId="2FE7BCBD">
            <w:pPr>
              <w:keepNext/>
              <w:snapToGrid w:val="0"/>
              <w:ind w:firstLine="480"/>
              <w:jc w:val="center"/>
              <w:rPr>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tcPr>
          <w:p w14:paraId="137FDFB4">
            <w:pPr>
              <w:keepNext/>
              <w:snapToGrid w:val="0"/>
              <w:ind w:firstLine="480"/>
              <w:jc w:val="center"/>
              <w:rPr>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tcPr>
          <w:p w14:paraId="44FAEB15">
            <w:pPr>
              <w:keepNext/>
              <w:snapToGrid w:val="0"/>
              <w:ind w:firstLine="480"/>
              <w:jc w:val="center"/>
              <w:rPr>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2F6DE790">
            <w:pPr>
              <w:keepNext/>
              <w:snapToGrid w:val="0"/>
              <w:ind w:firstLine="480"/>
              <w:jc w:val="center"/>
              <w:rPr>
                <w:color w:val="auto"/>
                <w:szCs w:val="21"/>
                <w:highlight w:val="none"/>
              </w:rPr>
            </w:pPr>
          </w:p>
        </w:tc>
        <w:tc>
          <w:tcPr>
            <w:tcW w:w="3721" w:type="dxa"/>
            <w:tcBorders>
              <w:top w:val="single" w:color="auto" w:sz="4" w:space="0"/>
              <w:left w:val="single" w:color="auto" w:sz="4" w:space="0"/>
              <w:bottom w:val="single" w:color="auto" w:sz="4" w:space="0"/>
              <w:right w:val="single" w:color="auto" w:sz="4" w:space="0"/>
            </w:tcBorders>
          </w:tcPr>
          <w:p w14:paraId="19896AA3">
            <w:pPr>
              <w:keepNext/>
              <w:snapToGrid w:val="0"/>
              <w:ind w:firstLine="480"/>
              <w:rPr>
                <w:color w:val="auto"/>
                <w:szCs w:val="21"/>
                <w:highlight w:val="none"/>
              </w:rPr>
            </w:pPr>
          </w:p>
        </w:tc>
      </w:tr>
    </w:tbl>
    <w:p w14:paraId="746A53B6">
      <w:pPr>
        <w:pStyle w:val="12"/>
        <w:ind w:left="0" w:leftChars="0" w:firstLine="480"/>
        <w:rPr>
          <w:rFonts w:hint="default"/>
          <w:color w:val="auto"/>
          <w:highlight w:val="none"/>
        </w:rPr>
      </w:pPr>
    </w:p>
    <w:p w14:paraId="524CC4B0">
      <w:pPr>
        <w:tabs>
          <w:tab w:val="left" w:pos="1680"/>
        </w:tabs>
        <w:snapToGrid w:val="0"/>
        <w:ind w:firstLine="562"/>
        <w:jc w:val="center"/>
        <w:rPr>
          <w:b/>
          <w:color w:val="auto"/>
          <w:kern w:val="0"/>
          <w:sz w:val="28"/>
          <w:szCs w:val="28"/>
          <w:highlight w:val="none"/>
        </w:rPr>
      </w:pPr>
    </w:p>
    <w:p w14:paraId="301056AE">
      <w:pPr>
        <w:tabs>
          <w:tab w:val="left" w:pos="1680"/>
        </w:tabs>
        <w:snapToGrid w:val="0"/>
        <w:ind w:firstLine="0" w:firstLineChars="0"/>
        <w:jc w:val="center"/>
        <w:rPr>
          <w:b/>
          <w:color w:val="auto"/>
          <w:kern w:val="0"/>
          <w:sz w:val="28"/>
          <w:szCs w:val="28"/>
          <w:highlight w:val="none"/>
        </w:rPr>
      </w:pPr>
      <w:r>
        <w:rPr>
          <w:b/>
          <w:color w:val="auto"/>
          <w:kern w:val="0"/>
          <w:sz w:val="28"/>
          <w:szCs w:val="28"/>
          <w:highlight w:val="none"/>
        </w:rPr>
        <w:t>（四）所响应信息安全产品属于</w:t>
      </w:r>
    </w:p>
    <w:p w14:paraId="2FE07D5E">
      <w:pPr>
        <w:tabs>
          <w:tab w:val="left" w:pos="1680"/>
        </w:tabs>
        <w:snapToGrid w:val="0"/>
        <w:ind w:firstLine="0" w:firstLineChars="0"/>
        <w:jc w:val="center"/>
        <w:rPr>
          <w:b/>
          <w:color w:val="auto"/>
          <w:kern w:val="0"/>
          <w:sz w:val="24"/>
          <w:szCs w:val="24"/>
          <w:highlight w:val="none"/>
        </w:rPr>
      </w:pPr>
      <w:r>
        <w:rPr>
          <w:b/>
          <w:color w:val="auto"/>
          <w:kern w:val="0"/>
          <w:sz w:val="24"/>
          <w:szCs w:val="24"/>
          <w:highlight w:val="none"/>
        </w:rPr>
        <w:t>《</w:t>
      </w:r>
      <w:r>
        <w:rPr>
          <w:rFonts w:hint="eastAsia"/>
          <w:b/>
          <w:color w:val="auto"/>
          <w:kern w:val="0"/>
          <w:sz w:val="24"/>
          <w:szCs w:val="24"/>
          <w:highlight w:val="none"/>
        </w:rPr>
        <w:t>网络关键设备和网络安全专用产品目录</w:t>
      </w:r>
      <w:r>
        <w:rPr>
          <w:b/>
          <w:color w:val="auto"/>
          <w:kern w:val="0"/>
          <w:sz w:val="24"/>
          <w:szCs w:val="24"/>
          <w:highlight w:val="none"/>
        </w:rPr>
        <w:t>》中的产品（如不涉及，可不提供）</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812"/>
        <w:gridCol w:w="1701"/>
        <w:gridCol w:w="850"/>
        <w:gridCol w:w="1276"/>
        <w:gridCol w:w="2126"/>
        <w:gridCol w:w="1595"/>
      </w:tblGrid>
      <w:tr w14:paraId="0E889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4DC7082C">
            <w:pPr>
              <w:keepNext/>
              <w:snapToGrid w:val="0"/>
              <w:ind w:firstLine="0" w:firstLineChars="0"/>
              <w:jc w:val="center"/>
              <w:rPr>
                <w:b/>
                <w:color w:val="auto"/>
                <w:szCs w:val="21"/>
                <w:highlight w:val="none"/>
              </w:rPr>
            </w:pPr>
            <w:r>
              <w:rPr>
                <w:b/>
                <w:color w:val="auto"/>
                <w:szCs w:val="21"/>
                <w:highlight w:val="none"/>
              </w:rPr>
              <w:t>序号</w:t>
            </w:r>
          </w:p>
        </w:tc>
        <w:tc>
          <w:tcPr>
            <w:tcW w:w="812" w:type="dxa"/>
            <w:tcBorders>
              <w:top w:val="single" w:color="auto" w:sz="4" w:space="0"/>
              <w:left w:val="single" w:color="auto" w:sz="4" w:space="0"/>
              <w:bottom w:val="single" w:color="auto" w:sz="4" w:space="0"/>
              <w:right w:val="single" w:color="auto" w:sz="4" w:space="0"/>
            </w:tcBorders>
            <w:vAlign w:val="center"/>
          </w:tcPr>
          <w:p w14:paraId="3F160053">
            <w:pPr>
              <w:keepNext/>
              <w:snapToGrid w:val="0"/>
              <w:ind w:firstLine="0" w:firstLineChars="0"/>
              <w:jc w:val="center"/>
              <w:rPr>
                <w:b/>
                <w:color w:val="auto"/>
                <w:szCs w:val="21"/>
                <w:highlight w:val="none"/>
              </w:rPr>
            </w:pPr>
            <w:r>
              <w:rPr>
                <w:b/>
                <w:color w:val="auto"/>
                <w:szCs w:val="21"/>
                <w:highlight w:val="none"/>
              </w:rPr>
              <w:t>产品</w:t>
            </w:r>
          </w:p>
          <w:p w14:paraId="213D1BCD">
            <w:pPr>
              <w:keepNext/>
              <w:snapToGrid w:val="0"/>
              <w:ind w:firstLine="0" w:firstLineChars="0"/>
              <w:jc w:val="center"/>
              <w:rPr>
                <w:b/>
                <w:color w:val="auto"/>
                <w:szCs w:val="21"/>
                <w:highlight w:val="none"/>
              </w:rPr>
            </w:pPr>
            <w:r>
              <w:rPr>
                <w:b/>
                <w:color w:val="auto"/>
                <w:szCs w:val="21"/>
                <w:highlight w:val="none"/>
              </w:rPr>
              <w:t>名称</w:t>
            </w:r>
          </w:p>
        </w:tc>
        <w:tc>
          <w:tcPr>
            <w:tcW w:w="1701" w:type="dxa"/>
            <w:tcBorders>
              <w:top w:val="single" w:color="auto" w:sz="4" w:space="0"/>
              <w:left w:val="single" w:color="auto" w:sz="4" w:space="0"/>
              <w:bottom w:val="single" w:color="auto" w:sz="4" w:space="0"/>
              <w:right w:val="single" w:color="auto" w:sz="4" w:space="0"/>
            </w:tcBorders>
            <w:vAlign w:val="center"/>
          </w:tcPr>
          <w:p w14:paraId="2F690E03">
            <w:pPr>
              <w:keepNext/>
              <w:snapToGrid w:val="0"/>
              <w:ind w:firstLine="0" w:firstLineChars="0"/>
              <w:jc w:val="center"/>
              <w:rPr>
                <w:b/>
                <w:color w:val="auto"/>
                <w:szCs w:val="21"/>
                <w:highlight w:val="none"/>
              </w:rPr>
            </w:pPr>
            <w:r>
              <w:rPr>
                <w:b/>
                <w:color w:val="auto"/>
                <w:szCs w:val="21"/>
                <w:highlight w:val="none"/>
              </w:rPr>
              <w:t>制造商</w:t>
            </w:r>
          </w:p>
        </w:tc>
        <w:tc>
          <w:tcPr>
            <w:tcW w:w="850" w:type="dxa"/>
            <w:tcBorders>
              <w:top w:val="single" w:color="auto" w:sz="4" w:space="0"/>
              <w:left w:val="single" w:color="auto" w:sz="4" w:space="0"/>
              <w:bottom w:val="single" w:color="auto" w:sz="4" w:space="0"/>
              <w:right w:val="single" w:color="auto" w:sz="4" w:space="0"/>
            </w:tcBorders>
            <w:vAlign w:val="center"/>
          </w:tcPr>
          <w:p w14:paraId="4F0C3A73">
            <w:pPr>
              <w:keepNext/>
              <w:snapToGrid w:val="0"/>
              <w:ind w:firstLine="0" w:firstLineChars="0"/>
              <w:jc w:val="center"/>
              <w:rPr>
                <w:b/>
                <w:color w:val="auto"/>
                <w:szCs w:val="21"/>
                <w:highlight w:val="none"/>
              </w:rPr>
            </w:pPr>
            <w:r>
              <w:rPr>
                <w:b/>
                <w:color w:val="auto"/>
                <w:szCs w:val="21"/>
                <w:highlight w:val="none"/>
              </w:rPr>
              <w:t>注册</w:t>
            </w:r>
          </w:p>
          <w:p w14:paraId="415A69BE">
            <w:pPr>
              <w:keepNext/>
              <w:snapToGrid w:val="0"/>
              <w:ind w:firstLine="0" w:firstLineChars="0"/>
              <w:jc w:val="center"/>
              <w:rPr>
                <w:b/>
                <w:color w:val="auto"/>
                <w:szCs w:val="21"/>
                <w:highlight w:val="none"/>
              </w:rPr>
            </w:pPr>
            <w:r>
              <w:rPr>
                <w:b/>
                <w:color w:val="auto"/>
                <w:szCs w:val="21"/>
                <w:highlight w:val="none"/>
              </w:rPr>
              <w:t>商标</w:t>
            </w:r>
          </w:p>
        </w:tc>
        <w:tc>
          <w:tcPr>
            <w:tcW w:w="1276" w:type="dxa"/>
            <w:tcBorders>
              <w:top w:val="single" w:color="auto" w:sz="4" w:space="0"/>
              <w:left w:val="single" w:color="auto" w:sz="4" w:space="0"/>
              <w:bottom w:val="single" w:color="auto" w:sz="4" w:space="0"/>
              <w:right w:val="single" w:color="auto" w:sz="4" w:space="0"/>
            </w:tcBorders>
            <w:vAlign w:val="center"/>
          </w:tcPr>
          <w:p w14:paraId="198F9D6B">
            <w:pPr>
              <w:keepNext/>
              <w:snapToGrid w:val="0"/>
              <w:ind w:firstLine="0" w:firstLineChars="0"/>
              <w:jc w:val="center"/>
              <w:rPr>
                <w:b/>
                <w:color w:val="auto"/>
                <w:szCs w:val="21"/>
                <w:highlight w:val="none"/>
              </w:rPr>
            </w:pPr>
            <w:r>
              <w:rPr>
                <w:b/>
                <w:color w:val="auto"/>
                <w:szCs w:val="21"/>
                <w:highlight w:val="none"/>
              </w:rPr>
              <w:t>产品型号</w:t>
            </w:r>
          </w:p>
        </w:tc>
        <w:tc>
          <w:tcPr>
            <w:tcW w:w="2126" w:type="dxa"/>
            <w:tcBorders>
              <w:top w:val="single" w:color="auto" w:sz="4" w:space="0"/>
              <w:left w:val="single" w:color="auto" w:sz="4" w:space="0"/>
              <w:bottom w:val="single" w:color="auto" w:sz="4" w:space="0"/>
              <w:right w:val="single" w:color="auto" w:sz="4" w:space="0"/>
            </w:tcBorders>
            <w:vAlign w:val="center"/>
          </w:tcPr>
          <w:p w14:paraId="5035B4C6">
            <w:pPr>
              <w:keepNext/>
              <w:snapToGrid w:val="0"/>
              <w:ind w:firstLine="0" w:firstLineChars="0"/>
              <w:jc w:val="center"/>
              <w:rPr>
                <w:b/>
                <w:color w:val="auto"/>
                <w:szCs w:val="21"/>
                <w:highlight w:val="none"/>
              </w:rPr>
            </w:pPr>
            <w:r>
              <w:rPr>
                <w:b/>
                <w:color w:val="auto"/>
                <w:szCs w:val="21"/>
                <w:highlight w:val="none"/>
              </w:rPr>
              <w:t>认证证书证书号</w:t>
            </w:r>
          </w:p>
        </w:tc>
        <w:tc>
          <w:tcPr>
            <w:tcW w:w="1595" w:type="dxa"/>
            <w:tcBorders>
              <w:top w:val="single" w:color="auto" w:sz="4" w:space="0"/>
              <w:left w:val="single" w:color="auto" w:sz="4" w:space="0"/>
              <w:bottom w:val="single" w:color="auto" w:sz="4" w:space="0"/>
              <w:right w:val="single" w:color="auto" w:sz="4" w:space="0"/>
            </w:tcBorders>
            <w:vAlign w:val="center"/>
          </w:tcPr>
          <w:p w14:paraId="69F890BF">
            <w:pPr>
              <w:keepNext/>
              <w:snapToGrid w:val="0"/>
              <w:ind w:firstLine="0" w:firstLineChars="0"/>
              <w:jc w:val="center"/>
              <w:rPr>
                <w:b/>
                <w:color w:val="auto"/>
                <w:szCs w:val="21"/>
                <w:highlight w:val="none"/>
              </w:rPr>
            </w:pPr>
            <w:r>
              <w:rPr>
                <w:b/>
                <w:color w:val="auto"/>
                <w:szCs w:val="21"/>
                <w:highlight w:val="none"/>
              </w:rPr>
              <w:t>认证证书有效截止日期</w:t>
            </w:r>
          </w:p>
        </w:tc>
      </w:tr>
      <w:tr w14:paraId="7DD41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87" w:type="dxa"/>
            <w:tcBorders>
              <w:top w:val="single" w:color="auto" w:sz="4" w:space="0"/>
              <w:left w:val="single" w:color="auto" w:sz="4" w:space="0"/>
              <w:bottom w:val="single" w:color="auto" w:sz="4" w:space="0"/>
              <w:right w:val="single" w:color="auto" w:sz="4" w:space="0"/>
            </w:tcBorders>
          </w:tcPr>
          <w:p w14:paraId="5DC46AEC">
            <w:pPr>
              <w:keepNext/>
              <w:snapToGrid w:val="0"/>
              <w:ind w:firstLine="480"/>
              <w:jc w:val="center"/>
              <w:rPr>
                <w:color w:val="auto"/>
                <w:szCs w:val="21"/>
                <w:highlight w:val="none"/>
              </w:rPr>
            </w:pPr>
          </w:p>
        </w:tc>
        <w:tc>
          <w:tcPr>
            <w:tcW w:w="812" w:type="dxa"/>
            <w:tcBorders>
              <w:top w:val="single" w:color="auto" w:sz="4" w:space="0"/>
              <w:left w:val="single" w:color="auto" w:sz="4" w:space="0"/>
              <w:bottom w:val="single" w:color="auto" w:sz="4" w:space="0"/>
              <w:right w:val="single" w:color="auto" w:sz="4" w:space="0"/>
            </w:tcBorders>
          </w:tcPr>
          <w:p w14:paraId="09FFB154">
            <w:pPr>
              <w:keepNext/>
              <w:snapToGrid w:val="0"/>
              <w:ind w:firstLine="480"/>
              <w:jc w:val="center"/>
              <w:rPr>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tcPr>
          <w:p w14:paraId="72D71EA7">
            <w:pPr>
              <w:keepNext/>
              <w:snapToGrid w:val="0"/>
              <w:ind w:firstLine="480"/>
              <w:jc w:val="center"/>
              <w:rPr>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tcPr>
          <w:p w14:paraId="3B332C7B">
            <w:pPr>
              <w:keepNext/>
              <w:snapToGrid w:val="0"/>
              <w:ind w:firstLine="480"/>
              <w:jc w:val="center"/>
              <w:rPr>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7117D7AB">
            <w:pPr>
              <w:keepNext/>
              <w:snapToGrid w:val="0"/>
              <w:ind w:firstLine="480"/>
              <w:jc w:val="center"/>
              <w:rPr>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tcPr>
          <w:p w14:paraId="7A0D756B">
            <w:pPr>
              <w:keepNext/>
              <w:snapToGrid w:val="0"/>
              <w:ind w:firstLine="480"/>
              <w:jc w:val="center"/>
              <w:rPr>
                <w:color w:val="auto"/>
                <w:szCs w:val="21"/>
                <w:highlight w:val="none"/>
              </w:rPr>
            </w:pPr>
          </w:p>
        </w:tc>
        <w:tc>
          <w:tcPr>
            <w:tcW w:w="1595" w:type="dxa"/>
            <w:tcBorders>
              <w:top w:val="single" w:color="auto" w:sz="4" w:space="0"/>
              <w:left w:val="single" w:color="auto" w:sz="4" w:space="0"/>
              <w:bottom w:val="single" w:color="auto" w:sz="4" w:space="0"/>
              <w:right w:val="single" w:color="auto" w:sz="4" w:space="0"/>
            </w:tcBorders>
          </w:tcPr>
          <w:p w14:paraId="390CC9B4">
            <w:pPr>
              <w:keepNext/>
              <w:snapToGrid w:val="0"/>
              <w:ind w:firstLine="480"/>
              <w:rPr>
                <w:color w:val="auto"/>
                <w:szCs w:val="21"/>
                <w:highlight w:val="none"/>
              </w:rPr>
            </w:pPr>
          </w:p>
        </w:tc>
      </w:tr>
      <w:tr w14:paraId="0BAE0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87" w:type="dxa"/>
            <w:tcBorders>
              <w:top w:val="single" w:color="auto" w:sz="4" w:space="0"/>
              <w:left w:val="single" w:color="auto" w:sz="4" w:space="0"/>
              <w:bottom w:val="single" w:color="auto" w:sz="4" w:space="0"/>
              <w:right w:val="single" w:color="auto" w:sz="4" w:space="0"/>
            </w:tcBorders>
          </w:tcPr>
          <w:p w14:paraId="34BADDE6">
            <w:pPr>
              <w:keepNext/>
              <w:snapToGrid w:val="0"/>
              <w:ind w:firstLine="480"/>
              <w:jc w:val="center"/>
              <w:rPr>
                <w:color w:val="auto"/>
                <w:szCs w:val="21"/>
                <w:highlight w:val="none"/>
              </w:rPr>
            </w:pPr>
          </w:p>
        </w:tc>
        <w:tc>
          <w:tcPr>
            <w:tcW w:w="812" w:type="dxa"/>
            <w:tcBorders>
              <w:top w:val="single" w:color="auto" w:sz="4" w:space="0"/>
              <w:left w:val="single" w:color="auto" w:sz="4" w:space="0"/>
              <w:bottom w:val="single" w:color="auto" w:sz="4" w:space="0"/>
              <w:right w:val="single" w:color="auto" w:sz="4" w:space="0"/>
            </w:tcBorders>
          </w:tcPr>
          <w:p w14:paraId="788F7E23">
            <w:pPr>
              <w:keepNext/>
              <w:snapToGrid w:val="0"/>
              <w:ind w:firstLine="480"/>
              <w:jc w:val="center"/>
              <w:rPr>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tcPr>
          <w:p w14:paraId="38263E5F">
            <w:pPr>
              <w:keepNext/>
              <w:snapToGrid w:val="0"/>
              <w:ind w:firstLine="480"/>
              <w:jc w:val="center"/>
              <w:rPr>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tcPr>
          <w:p w14:paraId="1580B4FC">
            <w:pPr>
              <w:keepNext/>
              <w:snapToGrid w:val="0"/>
              <w:ind w:firstLine="480"/>
              <w:jc w:val="center"/>
              <w:rPr>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20BFC2D6">
            <w:pPr>
              <w:keepNext/>
              <w:snapToGrid w:val="0"/>
              <w:ind w:firstLine="480"/>
              <w:jc w:val="center"/>
              <w:rPr>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tcPr>
          <w:p w14:paraId="0E5C94B9">
            <w:pPr>
              <w:keepNext/>
              <w:snapToGrid w:val="0"/>
              <w:ind w:firstLine="480"/>
              <w:jc w:val="center"/>
              <w:rPr>
                <w:color w:val="auto"/>
                <w:szCs w:val="21"/>
                <w:highlight w:val="none"/>
              </w:rPr>
            </w:pPr>
          </w:p>
        </w:tc>
        <w:tc>
          <w:tcPr>
            <w:tcW w:w="1595" w:type="dxa"/>
            <w:tcBorders>
              <w:top w:val="single" w:color="auto" w:sz="4" w:space="0"/>
              <w:left w:val="single" w:color="auto" w:sz="4" w:space="0"/>
              <w:bottom w:val="single" w:color="auto" w:sz="4" w:space="0"/>
              <w:right w:val="single" w:color="auto" w:sz="4" w:space="0"/>
            </w:tcBorders>
          </w:tcPr>
          <w:p w14:paraId="0262A0AE">
            <w:pPr>
              <w:keepNext/>
              <w:snapToGrid w:val="0"/>
              <w:ind w:firstLine="480"/>
              <w:rPr>
                <w:color w:val="auto"/>
                <w:szCs w:val="21"/>
                <w:highlight w:val="none"/>
              </w:rPr>
            </w:pPr>
          </w:p>
        </w:tc>
      </w:tr>
    </w:tbl>
    <w:p w14:paraId="44BD014C">
      <w:pPr>
        <w:spacing w:line="480" w:lineRule="exact"/>
        <w:ind w:firstLine="480"/>
        <w:rPr>
          <w:rFonts w:cs="宋体"/>
          <w:color w:val="auto"/>
          <w:szCs w:val="21"/>
          <w:highlight w:val="none"/>
        </w:rPr>
      </w:pPr>
      <w:r>
        <w:rPr>
          <w:rFonts w:cs="Arial"/>
          <w:snapToGrid w:val="0"/>
          <w:color w:val="auto"/>
          <w:szCs w:val="21"/>
          <w:highlight w:val="none"/>
        </w:rPr>
        <w:t>提供有效认证证书复印件（或扫描件）。</w:t>
      </w:r>
    </w:p>
    <w:p w14:paraId="4EBC91D0">
      <w:pPr>
        <w:adjustRightInd w:val="0"/>
        <w:snapToGrid w:val="0"/>
        <w:ind w:firstLine="480"/>
        <w:rPr>
          <w:color w:val="auto"/>
          <w:szCs w:val="21"/>
          <w:highlight w:val="none"/>
        </w:rPr>
      </w:pPr>
      <w:r>
        <w:rPr>
          <w:color w:val="auto"/>
          <w:szCs w:val="21"/>
          <w:highlight w:val="none"/>
        </w:rPr>
        <w:br w:type="page"/>
      </w:r>
    </w:p>
    <w:p w14:paraId="096750B8">
      <w:pPr>
        <w:adjustRightInd w:val="0"/>
        <w:snapToGrid w:val="0"/>
        <w:ind w:firstLine="562"/>
        <w:jc w:val="center"/>
        <w:rPr>
          <w:b/>
          <w:color w:val="auto"/>
          <w:kern w:val="0"/>
          <w:sz w:val="28"/>
          <w:szCs w:val="28"/>
          <w:highlight w:val="none"/>
        </w:rPr>
      </w:pPr>
      <w:r>
        <w:rPr>
          <w:b/>
          <w:color w:val="auto"/>
          <w:kern w:val="0"/>
          <w:sz w:val="28"/>
          <w:szCs w:val="28"/>
          <w:highlight w:val="none"/>
        </w:rPr>
        <w:t>（五）中小企业声明函（格式）</w:t>
      </w:r>
    </w:p>
    <w:p w14:paraId="6E651A51">
      <w:pPr>
        <w:adjustRightInd w:val="0"/>
        <w:snapToGrid w:val="0"/>
        <w:ind w:firstLine="562"/>
        <w:jc w:val="center"/>
        <w:rPr>
          <w:b/>
          <w:color w:val="auto"/>
          <w:kern w:val="0"/>
          <w:sz w:val="28"/>
          <w:szCs w:val="28"/>
          <w:highlight w:val="none"/>
        </w:rPr>
      </w:pPr>
    </w:p>
    <w:p w14:paraId="362F18B0">
      <w:pPr>
        <w:spacing w:line="42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本公司（联合体）郑重声明，根据《政府采购促进中小企业发展管理办法》 (财库（2020) 46号）的规定，本公司（联合体）参加</w:t>
      </w:r>
      <w:r>
        <w:rPr>
          <w:rFonts w:hint="eastAsia" w:ascii="宋体" w:hAnsi="宋体" w:eastAsia="宋体" w:cs="宋体"/>
          <w:color w:val="auto"/>
          <w:highlight w:val="none"/>
          <w:u w:val="single"/>
        </w:rPr>
        <w:t>（单位名称）</w:t>
      </w:r>
      <w:r>
        <w:rPr>
          <w:rFonts w:hint="eastAsia" w:ascii="宋体" w:hAnsi="宋体" w:eastAsia="宋体" w:cs="宋体"/>
          <w:color w:val="auto"/>
          <w:highlight w:val="none"/>
        </w:rPr>
        <w:t>的</w:t>
      </w:r>
      <w:r>
        <w:rPr>
          <w:rFonts w:hint="eastAsia" w:ascii="宋体" w:hAnsi="宋体" w:eastAsia="宋体" w:cs="宋体"/>
          <w:color w:val="auto"/>
          <w:highlight w:val="none"/>
          <w:u w:val="single"/>
        </w:rPr>
        <w:t>（项目名称）</w:t>
      </w:r>
      <w:r>
        <w:rPr>
          <w:rFonts w:hint="eastAsia" w:ascii="宋体" w:hAnsi="宋体" w:eastAsia="宋体" w:cs="宋体"/>
          <w:color w:val="auto"/>
          <w:highlight w:val="none"/>
        </w:rPr>
        <w:t>采购活动，提供的货物全部由符合政策要求的中小企业制造。相关企业（含联合体中的中小企业、签订分包意向协议的中小企业）的具体情况如下：</w:t>
      </w:r>
    </w:p>
    <w:p w14:paraId="30C5653F">
      <w:pPr>
        <w:spacing w:line="42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u w:val="single"/>
        </w:rPr>
        <w:t xml:space="preserve">  (标的名称） </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 xml:space="preserve"> （采购文件中明确的所属行业） </w:t>
      </w:r>
      <w:r>
        <w:rPr>
          <w:rFonts w:hint="eastAsia" w:ascii="宋体" w:hAnsi="宋体" w:eastAsia="宋体" w:cs="宋体"/>
          <w:color w:val="auto"/>
          <w:highlight w:val="none"/>
        </w:rPr>
        <w:t>行业；制造商为</w:t>
      </w:r>
      <w:r>
        <w:rPr>
          <w:rFonts w:hint="eastAsia" w:ascii="宋体" w:hAnsi="宋体" w:eastAsia="宋体" w:cs="宋体"/>
          <w:color w:val="auto"/>
          <w:highlight w:val="none"/>
          <w:u w:val="single"/>
        </w:rPr>
        <w:t xml:space="preserve">（企业名称） </w:t>
      </w:r>
      <w:r>
        <w:rPr>
          <w:rFonts w:hint="eastAsia" w:ascii="宋体" w:hAnsi="宋体" w:eastAsia="宋体" w:cs="宋体"/>
          <w:color w:val="auto"/>
          <w:highlight w:val="none"/>
        </w:rPr>
        <w:t>，从业人员</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万元，资产总额为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万元</w:t>
      </w:r>
      <w:r>
        <w:rPr>
          <w:rFonts w:hint="eastAsia" w:ascii="宋体" w:hAnsi="宋体" w:eastAsia="宋体" w:cs="宋体"/>
          <w:color w:val="auto"/>
          <w:highlight w:val="none"/>
          <w:vertAlign w:val="superscript"/>
        </w:rPr>
        <w:t>①</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 xml:space="preserve"> （中型企业、小型企业、微型企业） </w:t>
      </w:r>
      <w:r>
        <w:rPr>
          <w:rFonts w:hint="eastAsia" w:ascii="宋体" w:hAnsi="宋体" w:eastAsia="宋体" w:cs="宋体"/>
          <w:color w:val="auto"/>
          <w:highlight w:val="none"/>
        </w:rPr>
        <w:t>；</w:t>
      </w:r>
    </w:p>
    <w:p w14:paraId="2979A79B">
      <w:pPr>
        <w:spacing w:line="42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u w:val="single"/>
        </w:rPr>
        <w:t xml:space="preserve">  (标的名称） </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 xml:space="preserve"> （采购文件中明确的所属行业） </w:t>
      </w:r>
      <w:r>
        <w:rPr>
          <w:rFonts w:hint="eastAsia" w:ascii="宋体" w:hAnsi="宋体" w:eastAsia="宋体" w:cs="宋体"/>
          <w:color w:val="auto"/>
          <w:highlight w:val="none"/>
        </w:rPr>
        <w:t>行业；制造商为</w:t>
      </w:r>
      <w:r>
        <w:rPr>
          <w:rFonts w:hint="eastAsia" w:ascii="宋体" w:hAnsi="宋体" w:eastAsia="宋体" w:cs="宋体"/>
          <w:color w:val="auto"/>
          <w:highlight w:val="none"/>
          <w:u w:val="single"/>
        </w:rPr>
        <w:t xml:space="preserve">（企业名称） </w:t>
      </w:r>
      <w:r>
        <w:rPr>
          <w:rFonts w:hint="eastAsia" w:ascii="宋体" w:hAnsi="宋体" w:eastAsia="宋体" w:cs="宋体"/>
          <w:color w:val="auto"/>
          <w:highlight w:val="none"/>
        </w:rPr>
        <w:t>，从业人员</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万元，资产总额为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万元，属于</w:t>
      </w:r>
      <w:r>
        <w:rPr>
          <w:rFonts w:hint="eastAsia" w:ascii="宋体" w:hAnsi="宋体" w:eastAsia="宋体" w:cs="宋体"/>
          <w:color w:val="auto"/>
          <w:highlight w:val="none"/>
          <w:u w:val="single"/>
        </w:rPr>
        <w:t xml:space="preserve"> （中型企业、小型企业、微型企业） </w:t>
      </w:r>
      <w:r>
        <w:rPr>
          <w:rFonts w:hint="eastAsia" w:ascii="宋体" w:hAnsi="宋体" w:eastAsia="宋体" w:cs="宋体"/>
          <w:color w:val="auto"/>
          <w:highlight w:val="none"/>
        </w:rPr>
        <w:t>；</w:t>
      </w:r>
    </w:p>
    <w:p w14:paraId="17D97F4A">
      <w:pPr>
        <w:pStyle w:val="31"/>
        <w:spacing w:line="420" w:lineRule="auto"/>
        <w:ind w:left="480" w:firstLine="480"/>
        <w:rPr>
          <w:color w:val="auto"/>
          <w:highlight w:val="none"/>
        </w:rPr>
      </w:pPr>
      <w:r>
        <w:rPr>
          <w:rFonts w:cs="宋体"/>
          <w:color w:val="auto"/>
          <w:highlight w:val="none"/>
        </w:rPr>
        <w:t>……</w:t>
      </w:r>
    </w:p>
    <w:p w14:paraId="29585E7B">
      <w:pPr>
        <w:spacing w:line="420" w:lineRule="auto"/>
        <w:ind w:firstLine="480"/>
        <w:rPr>
          <w:rFonts w:cs="宋体"/>
          <w:color w:val="auto"/>
          <w:highlight w:val="none"/>
        </w:rPr>
      </w:pPr>
      <w:r>
        <w:rPr>
          <w:rFonts w:cs="宋体"/>
          <w:color w:val="auto"/>
          <w:highlight w:val="none"/>
        </w:rPr>
        <w:t>以上企业，不属于大企业的分支机构，不存在控股股东为大企业的情形，也不存在与大企业的负责人为同一人的情形。</w:t>
      </w:r>
    </w:p>
    <w:p w14:paraId="7C5C693A">
      <w:pPr>
        <w:spacing w:line="420" w:lineRule="auto"/>
        <w:ind w:firstLine="480"/>
        <w:rPr>
          <w:rFonts w:cs="宋体"/>
          <w:color w:val="auto"/>
          <w:highlight w:val="none"/>
        </w:rPr>
      </w:pPr>
      <w:r>
        <w:rPr>
          <w:rFonts w:cs="宋体"/>
          <w:color w:val="auto"/>
          <w:highlight w:val="none"/>
        </w:rPr>
        <w:t>本企业对上述声明内容的真实性负责。如有虚假，将依法承担相应责任。</w:t>
      </w:r>
    </w:p>
    <w:p w14:paraId="1A67259B">
      <w:pPr>
        <w:ind w:firstLine="480"/>
        <w:rPr>
          <w:color w:val="auto"/>
          <w:highlight w:val="none"/>
        </w:rPr>
      </w:pPr>
    </w:p>
    <w:p w14:paraId="17C2BA4A">
      <w:pPr>
        <w:spacing w:line="480" w:lineRule="auto"/>
        <w:rPr>
          <w:color w:val="auto"/>
          <w:highlight w:val="none"/>
          <w:u w:val="single"/>
        </w:rPr>
      </w:pPr>
      <w:r>
        <w:rPr>
          <w:rFonts w:cs="宋体"/>
          <w:color w:val="auto"/>
          <w:highlight w:val="none"/>
        </w:rPr>
        <w:t xml:space="preserve"> </w:t>
      </w:r>
      <w:r>
        <w:rPr>
          <w:rFonts w:hint="eastAsia" w:cs="宋体"/>
          <w:color w:val="auto"/>
          <w:highlight w:val="none"/>
          <w:lang w:val="en-US" w:eastAsia="zh-CN"/>
        </w:rPr>
        <w:t xml:space="preserve">                               </w:t>
      </w:r>
      <w:r>
        <w:rPr>
          <w:rFonts w:hint="eastAsia"/>
          <w:color w:val="auto"/>
          <w:highlight w:val="none"/>
          <w:lang w:val="en-US" w:eastAsia="zh-CN"/>
        </w:rPr>
        <w:t>供应商</w:t>
      </w:r>
      <w:r>
        <w:rPr>
          <w:rFonts w:hint="eastAsia"/>
          <w:color w:val="auto"/>
          <w:highlight w:val="none"/>
        </w:rPr>
        <w:t>全称：</w:t>
      </w:r>
      <w:r>
        <w:rPr>
          <w:rFonts w:hint="eastAsia"/>
          <w:color w:val="auto"/>
          <w:highlight w:val="none"/>
          <w:u w:val="single"/>
        </w:rPr>
        <w:t xml:space="preserve">               （公章）</w:t>
      </w:r>
      <w:r>
        <w:rPr>
          <w:rFonts w:hint="eastAsia"/>
          <w:color w:val="auto"/>
          <w:highlight w:val="none"/>
        </w:rPr>
        <w:t xml:space="preserve">                                  </w:t>
      </w:r>
    </w:p>
    <w:p w14:paraId="7B0CE345">
      <w:pPr>
        <w:pStyle w:val="34"/>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20" w:firstLineChars="1800"/>
        <w:rPr>
          <w:rFonts w:cs="宋体"/>
          <w:color w:val="auto"/>
          <w:sz w:val="24"/>
          <w:highlight w:val="none"/>
        </w:rPr>
      </w:pPr>
      <w:r>
        <w:rPr>
          <w:rFonts w:hint="eastAsia"/>
          <w:color w:val="auto"/>
          <w:sz w:val="24"/>
          <w:highlight w:val="none"/>
        </w:rPr>
        <w:t xml:space="preserve"> 日     期：     年   月   日</w:t>
      </w:r>
    </w:p>
    <w:p w14:paraId="453BEBF1">
      <w:pPr>
        <w:ind w:firstLine="480"/>
        <w:rPr>
          <w:color w:val="auto"/>
          <w:highlight w:val="none"/>
        </w:rPr>
      </w:pPr>
    </w:p>
    <w:p w14:paraId="0B82AF0F">
      <w:pPr>
        <w:ind w:firstLine="480"/>
        <w:jc w:val="center"/>
        <w:rPr>
          <w:rFonts w:cs="宋体"/>
          <w:bCs/>
          <w:color w:val="auto"/>
          <w:szCs w:val="21"/>
          <w:highlight w:val="none"/>
        </w:rPr>
      </w:pPr>
    </w:p>
    <w:p w14:paraId="074168EA">
      <w:pPr>
        <w:ind w:firstLine="480"/>
        <w:jc w:val="center"/>
        <w:rPr>
          <w:rFonts w:cs="宋体"/>
          <w:b/>
          <w:bCs/>
          <w:color w:val="auto"/>
          <w:szCs w:val="21"/>
          <w:highlight w:val="none"/>
        </w:rPr>
      </w:pPr>
      <w:r>
        <w:rPr>
          <w:rFonts w:cs="宋体"/>
          <w:bCs/>
          <w:color w:val="auto"/>
          <w:szCs w:val="21"/>
          <w:highlight w:val="none"/>
        </w:rPr>
        <w:br w:type="page"/>
      </w:r>
    </w:p>
    <w:p w14:paraId="04A85F4B">
      <w:pPr>
        <w:tabs>
          <w:tab w:val="left" w:pos="1680"/>
        </w:tabs>
        <w:snapToGrid w:val="0"/>
        <w:spacing w:line="480" w:lineRule="exact"/>
        <w:ind w:firstLine="562"/>
        <w:jc w:val="center"/>
        <w:rPr>
          <w:b/>
          <w:color w:val="auto"/>
          <w:kern w:val="0"/>
          <w:sz w:val="28"/>
          <w:szCs w:val="28"/>
          <w:highlight w:val="none"/>
        </w:rPr>
      </w:pPr>
      <w:r>
        <w:rPr>
          <w:b/>
          <w:color w:val="auto"/>
          <w:kern w:val="0"/>
          <w:sz w:val="28"/>
          <w:szCs w:val="28"/>
          <w:highlight w:val="none"/>
        </w:rPr>
        <w:t>（六）残疾人福利性单位声明函（如不涉及，可不提供）</w:t>
      </w:r>
    </w:p>
    <w:p w14:paraId="5AA0AC07">
      <w:pPr>
        <w:tabs>
          <w:tab w:val="left" w:pos="1680"/>
        </w:tabs>
        <w:snapToGrid w:val="0"/>
        <w:ind w:firstLine="482"/>
        <w:jc w:val="center"/>
        <w:rPr>
          <w:rFonts w:cs="宋体"/>
          <w:b/>
          <w:color w:val="auto"/>
          <w:szCs w:val="21"/>
          <w:highlight w:val="none"/>
        </w:rPr>
      </w:pPr>
    </w:p>
    <w:p w14:paraId="28A6D984">
      <w:pPr>
        <w:ind w:firstLine="504"/>
        <w:rPr>
          <w:rFonts w:cs="宋体"/>
          <w:color w:val="auto"/>
          <w:spacing w:val="6"/>
          <w:szCs w:val="21"/>
          <w:highlight w:val="none"/>
        </w:rPr>
      </w:pPr>
      <w:r>
        <w:rPr>
          <w:rFonts w:cs="宋体"/>
          <w:color w:val="auto"/>
          <w:spacing w:val="6"/>
          <w:szCs w:val="21"/>
          <w:highlight w:val="none"/>
        </w:rPr>
        <w:t>本单位郑重声明，根据《财政部 民政部 中国残疾人联合会关于促进残疾人就业政府采购政策的通知》（财库</w:t>
      </w:r>
      <w:r>
        <w:rPr>
          <w:rFonts w:cs="宋体"/>
          <w:color w:val="auto"/>
          <w:szCs w:val="21"/>
          <w:highlight w:val="none"/>
        </w:rPr>
        <w:t>〔2017〕 141</w:t>
      </w:r>
      <w:r>
        <w:rPr>
          <w:rFonts w:cs="宋体"/>
          <w:color w:val="auto"/>
          <w:spacing w:val="6"/>
          <w:szCs w:val="21"/>
          <w:highlight w:val="none"/>
        </w:rPr>
        <w:t>号）的规定，本单位为符合条件的残疾人福利性单位，且本单位参加</w:t>
      </w:r>
      <w:r>
        <w:rPr>
          <w:rFonts w:cs="宋体"/>
          <w:color w:val="auto"/>
          <w:spacing w:val="6"/>
          <w:szCs w:val="21"/>
          <w:highlight w:val="none"/>
          <w:u w:val="single"/>
        </w:rPr>
        <w:t xml:space="preserve">           </w:t>
      </w:r>
      <w:r>
        <w:rPr>
          <w:rFonts w:cs="宋体"/>
          <w:color w:val="auto"/>
          <w:spacing w:val="6"/>
          <w:szCs w:val="21"/>
          <w:highlight w:val="none"/>
        </w:rPr>
        <w:t>单位的</w:t>
      </w:r>
      <w:r>
        <w:rPr>
          <w:rFonts w:cs="宋体"/>
          <w:color w:val="auto"/>
          <w:spacing w:val="6"/>
          <w:szCs w:val="21"/>
          <w:highlight w:val="none"/>
          <w:u w:val="single"/>
        </w:rPr>
        <w:t xml:space="preserve">              </w:t>
      </w:r>
      <w:r>
        <w:rPr>
          <w:rFonts w:cs="宋体"/>
          <w:color w:val="auto"/>
          <w:spacing w:val="6"/>
          <w:szCs w:val="21"/>
          <w:highlight w:val="none"/>
        </w:rPr>
        <w:t>项目（项目编号：</w:t>
      </w:r>
      <w:r>
        <w:rPr>
          <w:rFonts w:cs="宋体"/>
          <w:color w:val="auto"/>
          <w:spacing w:val="6"/>
          <w:szCs w:val="21"/>
          <w:highlight w:val="none"/>
          <w:u w:val="single"/>
        </w:rPr>
        <w:t xml:space="preserve">         </w:t>
      </w:r>
      <w:r>
        <w:rPr>
          <w:rFonts w:cs="宋体"/>
          <w:color w:val="auto"/>
          <w:spacing w:val="6"/>
          <w:szCs w:val="21"/>
          <w:highlight w:val="none"/>
        </w:rPr>
        <w:t>）采购活动提供本单位制造的货物（由本单位承担工程/提供服务），或者提供其他残疾人福利性单位制造的货物（不包括使用非残疾人福利性单位注册商标的货物）。</w:t>
      </w:r>
    </w:p>
    <w:p w14:paraId="64D86D2C">
      <w:pPr>
        <w:ind w:firstLine="504"/>
        <w:rPr>
          <w:rFonts w:cs="宋体"/>
          <w:color w:val="auto"/>
          <w:spacing w:val="6"/>
          <w:szCs w:val="21"/>
          <w:highlight w:val="none"/>
        </w:rPr>
      </w:pPr>
      <w:r>
        <w:rPr>
          <w:rFonts w:cs="宋体"/>
          <w:color w:val="auto"/>
          <w:spacing w:val="6"/>
          <w:szCs w:val="21"/>
          <w:highlight w:val="none"/>
        </w:rPr>
        <w:t>本单位对上述声明的真实性负责。如有虚假，将依法承担相应责任。</w:t>
      </w:r>
    </w:p>
    <w:p w14:paraId="6F134154">
      <w:pPr>
        <w:ind w:firstLine="504"/>
        <w:rPr>
          <w:rFonts w:cs="宋体"/>
          <w:color w:val="auto"/>
          <w:spacing w:val="6"/>
          <w:szCs w:val="21"/>
          <w:highlight w:val="none"/>
        </w:rPr>
      </w:pPr>
    </w:p>
    <w:p w14:paraId="1BB672CC">
      <w:pPr>
        <w:ind w:firstLine="504"/>
        <w:rPr>
          <w:rFonts w:cs="宋体"/>
          <w:color w:val="auto"/>
          <w:spacing w:val="6"/>
          <w:szCs w:val="21"/>
          <w:highlight w:val="none"/>
        </w:rPr>
      </w:pPr>
    </w:p>
    <w:p w14:paraId="2960D5B9">
      <w:pPr>
        <w:spacing w:line="480" w:lineRule="auto"/>
        <w:ind w:firstLine="4080" w:firstLineChars="1700"/>
        <w:rPr>
          <w:color w:val="auto"/>
          <w:highlight w:val="none"/>
          <w:u w:val="single"/>
        </w:rPr>
      </w:pPr>
      <w:r>
        <w:rPr>
          <w:rFonts w:hint="eastAsia"/>
          <w:color w:val="auto"/>
          <w:highlight w:val="none"/>
        </w:rPr>
        <w:t>投标人全称：</w:t>
      </w:r>
      <w:r>
        <w:rPr>
          <w:rFonts w:hint="eastAsia"/>
          <w:color w:val="auto"/>
          <w:highlight w:val="none"/>
          <w:u w:val="single"/>
        </w:rPr>
        <w:t xml:space="preserve">               （公章）</w:t>
      </w:r>
      <w:r>
        <w:rPr>
          <w:rFonts w:hint="eastAsia"/>
          <w:color w:val="auto"/>
          <w:highlight w:val="none"/>
        </w:rPr>
        <w:t xml:space="preserve">                                  </w:t>
      </w:r>
    </w:p>
    <w:p w14:paraId="7B6569BA">
      <w:pPr>
        <w:ind w:firstLine="480"/>
        <w:jc w:val="center"/>
        <w:rPr>
          <w:rFonts w:cs="宋体"/>
          <w:b/>
          <w:bCs/>
          <w:color w:val="auto"/>
          <w:szCs w:val="21"/>
          <w:highlight w:val="none"/>
        </w:rPr>
      </w:pPr>
      <w:r>
        <w:rPr>
          <w:rFonts w:hint="eastAsia"/>
          <w:color w:val="auto"/>
          <w:highlight w:val="none"/>
        </w:rPr>
        <w:t xml:space="preserve">                                      日     期：     年   月   日</w:t>
      </w:r>
      <w:r>
        <w:rPr>
          <w:rFonts w:cs="宋体"/>
          <w:bCs/>
          <w:color w:val="auto"/>
          <w:szCs w:val="21"/>
          <w:highlight w:val="none"/>
        </w:rPr>
        <w:br w:type="page"/>
      </w:r>
    </w:p>
    <w:p w14:paraId="2D1E036F">
      <w:pPr>
        <w:ind w:firstLine="0" w:firstLineChars="0"/>
        <w:jc w:val="center"/>
        <w:rPr>
          <w:b/>
          <w:color w:val="auto"/>
          <w:spacing w:val="6"/>
          <w:sz w:val="28"/>
          <w:szCs w:val="28"/>
          <w:highlight w:val="none"/>
        </w:rPr>
      </w:pPr>
      <w:r>
        <w:rPr>
          <w:b/>
          <w:color w:val="auto"/>
          <w:spacing w:val="6"/>
          <w:sz w:val="28"/>
          <w:szCs w:val="28"/>
          <w:highlight w:val="none"/>
        </w:rPr>
        <w:t>（七）属于监狱企业的证明文件</w:t>
      </w:r>
      <w:r>
        <w:rPr>
          <w:b/>
          <w:color w:val="auto"/>
          <w:kern w:val="0"/>
          <w:sz w:val="28"/>
          <w:szCs w:val="28"/>
          <w:highlight w:val="none"/>
        </w:rPr>
        <w:t>（如不涉及，可不提供）</w:t>
      </w:r>
    </w:p>
    <w:p w14:paraId="3009128B">
      <w:pPr>
        <w:ind w:firstLine="584"/>
        <w:jc w:val="center"/>
        <w:rPr>
          <w:color w:val="auto"/>
          <w:spacing w:val="6"/>
          <w:sz w:val="28"/>
          <w:szCs w:val="28"/>
          <w:highlight w:val="none"/>
        </w:rPr>
      </w:pPr>
    </w:p>
    <w:p w14:paraId="4A8B98A1">
      <w:pPr>
        <w:ind w:firstLine="0" w:firstLineChars="0"/>
        <w:jc w:val="center"/>
        <w:rPr>
          <w:color w:val="auto"/>
          <w:spacing w:val="6"/>
          <w:sz w:val="28"/>
          <w:szCs w:val="28"/>
          <w:highlight w:val="none"/>
        </w:rPr>
      </w:pPr>
      <w:r>
        <w:rPr>
          <w:color w:val="auto"/>
          <w:spacing w:val="6"/>
          <w:sz w:val="28"/>
          <w:szCs w:val="28"/>
          <w:highlight w:val="none"/>
        </w:rPr>
        <w:t>监狱企业声明函</w:t>
      </w:r>
    </w:p>
    <w:p w14:paraId="2EDB23AC">
      <w:pPr>
        <w:ind w:firstLine="0" w:firstLineChars="0"/>
        <w:jc w:val="center"/>
        <w:rPr>
          <w:color w:val="auto"/>
          <w:spacing w:val="6"/>
          <w:sz w:val="28"/>
          <w:szCs w:val="28"/>
          <w:highlight w:val="none"/>
        </w:rPr>
      </w:pPr>
    </w:p>
    <w:p w14:paraId="2CD79089">
      <w:pPr>
        <w:jc w:val="left"/>
        <w:rPr>
          <w:rFonts w:hint="eastAsia"/>
          <w:color w:val="auto"/>
          <w:highlight w:val="none"/>
        </w:rPr>
      </w:pPr>
      <w:r>
        <w:rPr>
          <w:rFonts w:hint="eastAsia"/>
          <w:color w:val="auto"/>
          <w:spacing w:val="20"/>
          <w:sz w:val="24"/>
          <w:highlight w:val="none"/>
        </w:rPr>
        <w:t xml:space="preserve">本单位郑重声明，根据《关于政府采购支持监狱企业发展有关问题的通知》（财库〔2014〕68号）的规定，本单位为符合条件的监狱企业，且本单位参加 </w:t>
      </w:r>
      <w:r>
        <w:rPr>
          <w:rFonts w:hint="eastAsia"/>
          <w:color w:val="auto"/>
          <w:spacing w:val="20"/>
          <w:sz w:val="24"/>
          <w:highlight w:val="none"/>
          <w:u w:val="single"/>
        </w:rPr>
        <w:t xml:space="preserve">              </w:t>
      </w:r>
      <w:r>
        <w:rPr>
          <w:rFonts w:hint="eastAsia"/>
          <w:color w:val="auto"/>
          <w:spacing w:val="20"/>
          <w:sz w:val="24"/>
          <w:highlight w:val="none"/>
        </w:rPr>
        <w:t xml:space="preserve"> 单位的</w:t>
      </w:r>
      <w:r>
        <w:rPr>
          <w:rFonts w:hint="eastAsia"/>
          <w:color w:val="auto"/>
          <w:spacing w:val="20"/>
          <w:sz w:val="24"/>
          <w:highlight w:val="none"/>
          <w:u w:val="single"/>
        </w:rPr>
        <w:t xml:space="preserve">              </w:t>
      </w:r>
      <w:r>
        <w:rPr>
          <w:rFonts w:hint="eastAsia"/>
          <w:color w:val="auto"/>
          <w:spacing w:val="20"/>
          <w:sz w:val="24"/>
          <w:highlight w:val="none"/>
        </w:rPr>
        <w:t>项目采购活动提供本单位制</w:t>
      </w:r>
      <w:r>
        <w:rPr>
          <w:rFonts w:hint="eastAsia"/>
          <w:color w:val="auto"/>
          <w:highlight w:val="none"/>
        </w:rPr>
        <w:t>造的货物。</w:t>
      </w:r>
    </w:p>
    <w:p w14:paraId="1BF09A11">
      <w:pPr>
        <w:rPr>
          <w:rFonts w:hint="eastAsia"/>
          <w:color w:val="auto"/>
          <w:highlight w:val="none"/>
        </w:rPr>
      </w:pPr>
      <w:r>
        <w:rPr>
          <w:rFonts w:hint="eastAsia"/>
          <w:color w:val="auto"/>
          <w:highlight w:val="none"/>
        </w:rPr>
        <w:t>本单位对上述声明的真实性负责。如有虚假，将依法承担相应责任。</w:t>
      </w:r>
    </w:p>
    <w:p w14:paraId="0172BBDA">
      <w:pPr>
        <w:ind w:firstLine="0" w:firstLineChars="0"/>
        <w:jc w:val="center"/>
        <w:rPr>
          <w:color w:val="auto"/>
          <w:spacing w:val="6"/>
          <w:sz w:val="28"/>
          <w:szCs w:val="28"/>
          <w:highlight w:val="none"/>
        </w:rPr>
      </w:pPr>
    </w:p>
    <w:p w14:paraId="443F0B8D">
      <w:pPr>
        <w:tabs>
          <w:tab w:val="left" w:pos="1680"/>
        </w:tabs>
        <w:snapToGrid w:val="0"/>
        <w:spacing w:line="480" w:lineRule="exact"/>
        <w:ind w:firstLine="480"/>
        <w:rPr>
          <w:color w:val="auto"/>
          <w:szCs w:val="21"/>
          <w:highlight w:val="none"/>
        </w:rPr>
      </w:pPr>
    </w:p>
    <w:p w14:paraId="5E4DC59D">
      <w:pPr>
        <w:adjustRightInd w:val="0"/>
        <w:snapToGrid w:val="0"/>
        <w:ind w:firstLine="480"/>
        <w:rPr>
          <w:color w:val="auto"/>
          <w:szCs w:val="21"/>
          <w:highlight w:val="none"/>
        </w:rPr>
      </w:pPr>
    </w:p>
    <w:p w14:paraId="306D4EC5">
      <w:pPr>
        <w:spacing w:line="480" w:lineRule="auto"/>
        <w:ind w:firstLine="3840" w:firstLineChars="1600"/>
        <w:rPr>
          <w:color w:val="auto"/>
          <w:highlight w:val="none"/>
          <w:u w:val="single"/>
        </w:rPr>
      </w:pPr>
      <w:r>
        <w:rPr>
          <w:rFonts w:cs="宋体"/>
          <w:color w:val="auto"/>
          <w:highlight w:val="none"/>
        </w:rPr>
        <w:t xml:space="preserve"> </w:t>
      </w:r>
      <w:r>
        <w:rPr>
          <w:rFonts w:hint="eastAsia"/>
          <w:color w:val="auto"/>
          <w:highlight w:val="none"/>
        </w:rPr>
        <w:t>投标人全称：</w:t>
      </w:r>
      <w:r>
        <w:rPr>
          <w:rFonts w:hint="eastAsia"/>
          <w:color w:val="auto"/>
          <w:highlight w:val="none"/>
          <w:u w:val="single"/>
        </w:rPr>
        <w:t xml:space="preserve">               （公章）</w:t>
      </w:r>
    </w:p>
    <w:p w14:paraId="24AF570C">
      <w:pPr>
        <w:spacing w:line="480" w:lineRule="auto"/>
        <w:ind w:firstLine="1440" w:firstLineChars="600"/>
        <w:rPr>
          <w:color w:val="auto"/>
          <w:highlight w:val="none"/>
          <w:u w:val="single"/>
        </w:rPr>
      </w:pPr>
      <w:r>
        <w:rPr>
          <w:rFonts w:hint="eastAsia"/>
          <w:color w:val="auto"/>
          <w:highlight w:val="none"/>
        </w:rPr>
        <w:t>法定代表人（或单位负责人）或委托代理人：</w:t>
      </w:r>
      <w:r>
        <w:rPr>
          <w:rFonts w:hint="eastAsia"/>
          <w:color w:val="auto"/>
          <w:highlight w:val="none"/>
          <w:u w:val="single"/>
        </w:rPr>
        <w:t xml:space="preserve">      （签字或盖章）</w:t>
      </w:r>
      <w:r>
        <w:rPr>
          <w:rFonts w:hint="eastAsia"/>
          <w:color w:val="auto"/>
          <w:highlight w:val="none"/>
        </w:rPr>
        <w:t xml:space="preserve">                                   </w:t>
      </w:r>
    </w:p>
    <w:p w14:paraId="7EC5C3BB">
      <w:pPr>
        <w:tabs>
          <w:tab w:val="left" w:pos="3378"/>
        </w:tabs>
        <w:overflowPunct w:val="0"/>
        <w:topLinePunct/>
        <w:autoSpaceDN w:val="0"/>
        <w:adjustRightInd w:val="0"/>
        <w:snapToGrid w:val="0"/>
        <w:ind w:firstLine="2160" w:firstLineChars="900"/>
        <w:rPr>
          <w:snapToGrid w:val="0"/>
          <w:color w:val="auto"/>
          <w:kern w:val="0"/>
          <w:szCs w:val="21"/>
          <w:highlight w:val="none"/>
          <w:u w:val="single"/>
        </w:rPr>
      </w:pPr>
      <w:r>
        <w:rPr>
          <w:rFonts w:hint="eastAsia"/>
          <w:color w:val="auto"/>
          <w:highlight w:val="none"/>
        </w:rPr>
        <w:t xml:space="preserve">                      日      期：     年   月   日</w:t>
      </w:r>
    </w:p>
    <w:p w14:paraId="08E05275">
      <w:pPr>
        <w:pStyle w:val="48"/>
        <w:pBdr>
          <w:top w:val="none" w:color="auto" w:sz="0" w:space="1"/>
          <w:left w:val="none" w:color="auto" w:sz="0" w:space="4"/>
          <w:bottom w:val="none" w:color="auto" w:sz="0" w:space="1"/>
          <w:right w:val="none" w:color="auto" w:sz="0" w:space="4"/>
          <w:between w:val="none" w:color="auto" w:sz="0" w:space="0"/>
        </w:pBdr>
        <w:snapToGrid w:val="0"/>
        <w:spacing w:line="480" w:lineRule="exact"/>
        <w:rPr>
          <w:b/>
          <w:color w:val="auto"/>
          <w:sz w:val="21"/>
          <w:highlight w:val="none"/>
        </w:rPr>
      </w:pPr>
    </w:p>
    <w:p w14:paraId="6BEF2EF4">
      <w:pPr>
        <w:pStyle w:val="48"/>
        <w:pBdr>
          <w:top w:val="none" w:color="auto" w:sz="0" w:space="1"/>
          <w:left w:val="none" w:color="auto" w:sz="0" w:space="4"/>
          <w:bottom w:val="none" w:color="auto" w:sz="0" w:space="1"/>
          <w:right w:val="none" w:color="auto" w:sz="0" w:space="4"/>
          <w:between w:val="none" w:color="auto" w:sz="0" w:space="0"/>
        </w:pBdr>
        <w:snapToGrid w:val="0"/>
        <w:spacing w:line="480" w:lineRule="exact"/>
        <w:ind w:firstLine="422"/>
        <w:rPr>
          <w:b/>
          <w:color w:val="auto"/>
          <w:sz w:val="21"/>
          <w:highlight w:val="none"/>
        </w:rPr>
      </w:pPr>
      <w:r>
        <w:rPr>
          <w:b/>
          <w:color w:val="auto"/>
          <w:sz w:val="21"/>
          <w:highlight w:val="none"/>
        </w:rPr>
        <w:t>附：由省级以上监狱管理局、戒毒管理局（含新疆生产建设兵团）出具的属于监狱企业的证明文件的复印件（或扫描件）。</w:t>
      </w:r>
    </w:p>
    <w:p w14:paraId="3C6A9BA7">
      <w:pPr>
        <w:rPr>
          <w:rFonts w:cs="宋体"/>
          <w:color w:val="auto"/>
          <w:szCs w:val="21"/>
          <w:highlight w:val="none"/>
        </w:rPr>
      </w:pPr>
      <w:r>
        <w:rPr>
          <w:rFonts w:cs="宋体"/>
          <w:color w:val="auto"/>
          <w:szCs w:val="21"/>
          <w:highlight w:val="none"/>
        </w:rPr>
        <w:br w:type="page"/>
      </w:r>
    </w:p>
    <w:p w14:paraId="00B30A51">
      <w:pPr>
        <w:pStyle w:val="6"/>
        <w:tabs>
          <w:tab w:val="left" w:pos="780"/>
        </w:tabs>
        <w:spacing w:before="234" w:after="46"/>
        <w:jc w:val="both"/>
        <w:rPr>
          <w:color w:val="auto"/>
          <w:spacing w:val="6"/>
          <w:sz w:val="28"/>
          <w:szCs w:val="28"/>
          <w:highlight w:val="none"/>
        </w:rPr>
      </w:pPr>
      <w:r>
        <w:rPr>
          <w:rFonts w:hint="eastAsia"/>
          <w:color w:val="auto"/>
          <w:spacing w:val="6"/>
          <w:sz w:val="28"/>
          <w:szCs w:val="28"/>
          <w:highlight w:val="none"/>
        </w:rPr>
        <w:t>（八）商品包装符合《商品包装政府采购需求标准（试行）》，快递包装符合《快递包装政府采购需求标准（试行）》</w:t>
      </w:r>
      <w:r>
        <w:rPr>
          <w:rFonts w:hint="eastAsia"/>
          <w:color w:val="auto"/>
          <w:sz w:val="28"/>
          <w:szCs w:val="28"/>
          <w:highlight w:val="none"/>
        </w:rPr>
        <w:t>（如不涉及，可不提供）</w:t>
      </w:r>
    </w:p>
    <w:p w14:paraId="405E2085">
      <w:pPr>
        <w:spacing w:line="480" w:lineRule="exact"/>
        <w:jc w:val="center"/>
        <w:rPr>
          <w:b/>
          <w:color w:val="auto"/>
          <w:sz w:val="24"/>
          <w:highlight w:val="none"/>
        </w:rPr>
      </w:pPr>
    </w:p>
    <w:p w14:paraId="10F95126">
      <w:pPr>
        <w:spacing w:line="480" w:lineRule="exact"/>
        <w:jc w:val="center"/>
        <w:rPr>
          <w:b/>
          <w:color w:val="auto"/>
          <w:sz w:val="24"/>
          <w:highlight w:val="none"/>
        </w:rPr>
      </w:pPr>
      <w:r>
        <w:rPr>
          <w:b/>
          <w:color w:val="auto"/>
          <w:sz w:val="24"/>
          <w:highlight w:val="none"/>
        </w:rPr>
        <w:t>商 品 包 装 和 快 递 包 装 承 诺</w:t>
      </w:r>
    </w:p>
    <w:p w14:paraId="47AAEBE8">
      <w:pPr>
        <w:pStyle w:val="35"/>
        <w:widowControl w:val="0"/>
        <w:adjustRightInd w:val="0"/>
        <w:snapToGrid w:val="0"/>
        <w:spacing w:before="0" w:beforeAutospacing="0" w:after="0" w:afterAutospacing="0" w:line="480" w:lineRule="exact"/>
        <w:ind w:firstLine="420" w:firstLineChars="200"/>
        <w:jc w:val="both"/>
        <w:rPr>
          <w:rFonts w:ascii="Times New Roman" w:hAnsi="Times New Roman" w:cs="Times New Roman"/>
          <w:color w:val="auto"/>
          <w:sz w:val="21"/>
          <w:szCs w:val="21"/>
          <w:highlight w:val="none"/>
        </w:rPr>
      </w:pPr>
    </w:p>
    <w:p w14:paraId="0328F99A">
      <w:pPr>
        <w:spacing w:line="360" w:lineRule="auto"/>
        <w:ind w:firstLine="480" w:firstLineChars="200"/>
        <w:rPr>
          <w:color w:val="auto"/>
          <w:kern w:val="0"/>
          <w:szCs w:val="21"/>
          <w:highlight w:val="none"/>
        </w:rPr>
      </w:pPr>
      <w:r>
        <w:rPr>
          <w:color w:val="auto"/>
          <w:szCs w:val="21"/>
          <w:highlight w:val="none"/>
        </w:rPr>
        <w:t>本供应商现参与</w:t>
      </w:r>
      <w:r>
        <w:rPr>
          <w:rFonts w:hint="eastAsia"/>
          <w:color w:val="auto"/>
          <w:szCs w:val="21"/>
          <w:highlight w:val="none"/>
          <w:u w:val="single"/>
          <w:lang w:val="en-US" w:eastAsia="zh-CN"/>
        </w:rPr>
        <w:t xml:space="preserve">         </w:t>
      </w:r>
      <w:r>
        <w:rPr>
          <w:rFonts w:hint="eastAsia"/>
          <w:color w:val="auto"/>
          <w:szCs w:val="21"/>
          <w:highlight w:val="none"/>
        </w:rPr>
        <w:t>（项目名称）</w:t>
      </w:r>
      <w:r>
        <w:rPr>
          <w:color w:val="auto"/>
          <w:szCs w:val="21"/>
          <w:highlight w:val="none"/>
        </w:rPr>
        <w:t>、</w:t>
      </w:r>
      <w:r>
        <w:rPr>
          <w:rFonts w:hint="eastAsia"/>
          <w:color w:val="auto"/>
          <w:szCs w:val="21"/>
          <w:highlight w:val="none"/>
          <w:u w:val="single"/>
          <w:lang w:val="en-US" w:eastAsia="zh-CN"/>
        </w:rPr>
        <w:t xml:space="preserve">          </w:t>
      </w:r>
      <w:r>
        <w:rPr>
          <w:rFonts w:hint="eastAsia"/>
          <w:color w:val="auto"/>
          <w:szCs w:val="21"/>
          <w:highlight w:val="none"/>
        </w:rPr>
        <w:t>（项目编号）、</w:t>
      </w:r>
      <w:r>
        <w:rPr>
          <w:rFonts w:hint="eastAsia"/>
          <w:color w:val="auto"/>
          <w:szCs w:val="21"/>
          <w:highlight w:val="none"/>
          <w:u w:val="single"/>
          <w:lang w:val="en-US" w:eastAsia="zh-CN"/>
        </w:rPr>
        <w:t xml:space="preserve">     </w:t>
      </w:r>
      <w:r>
        <w:rPr>
          <w:rFonts w:hint="eastAsia"/>
          <w:color w:val="auto"/>
          <w:szCs w:val="21"/>
          <w:highlight w:val="none"/>
        </w:rPr>
        <w:t>（包号）项目</w:t>
      </w:r>
      <w:r>
        <w:rPr>
          <w:color w:val="auto"/>
          <w:kern w:val="0"/>
          <w:szCs w:val="21"/>
          <w:highlight w:val="none"/>
        </w:rPr>
        <w:t>的采购活动，本公司承诺所供商品包装符合《商品包装政府采购需求标准（试行）》，快递包装符合《快递包装政府采购需求标准（试行）》。</w:t>
      </w:r>
    </w:p>
    <w:p w14:paraId="55FC4603">
      <w:pPr>
        <w:pStyle w:val="35"/>
        <w:widowControl w:val="0"/>
        <w:adjustRightInd w:val="0"/>
        <w:snapToGrid w:val="0"/>
        <w:spacing w:before="0" w:beforeAutospacing="0" w:after="0" w:afterAutospacing="0" w:line="480" w:lineRule="exact"/>
        <w:ind w:firstLine="420" w:firstLineChars="200"/>
        <w:jc w:val="both"/>
        <w:rPr>
          <w:rFonts w:ascii="Times New Roman" w:hAnsi="Times New Roman" w:cs="Times New Roman"/>
          <w:color w:val="auto"/>
          <w:sz w:val="21"/>
          <w:szCs w:val="21"/>
          <w:highlight w:val="none"/>
        </w:rPr>
      </w:pPr>
    </w:p>
    <w:p w14:paraId="4A16BC5B">
      <w:pPr>
        <w:pStyle w:val="35"/>
        <w:widowControl w:val="0"/>
        <w:adjustRightInd w:val="0"/>
        <w:snapToGrid w:val="0"/>
        <w:spacing w:before="0" w:beforeAutospacing="0" w:after="0" w:afterAutospacing="0" w:line="480" w:lineRule="exact"/>
        <w:ind w:firstLine="420" w:firstLineChars="200"/>
        <w:jc w:val="both"/>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如上述声明不真实，愿意按照政府采购有关法律法规的规定接受处罚。</w:t>
      </w:r>
    </w:p>
    <w:p w14:paraId="6544C2AD">
      <w:pPr>
        <w:pStyle w:val="35"/>
        <w:widowControl w:val="0"/>
        <w:adjustRightInd w:val="0"/>
        <w:snapToGrid w:val="0"/>
        <w:spacing w:before="0" w:beforeAutospacing="0" w:after="0" w:afterAutospacing="0" w:line="480" w:lineRule="exact"/>
        <w:ind w:firstLine="420" w:firstLineChars="200"/>
        <w:jc w:val="both"/>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特此声明</w:t>
      </w:r>
    </w:p>
    <w:p w14:paraId="19ED5BF7">
      <w:pPr>
        <w:snapToGrid w:val="0"/>
        <w:spacing w:line="360" w:lineRule="auto"/>
        <w:ind w:firstLine="3600" w:firstLineChars="1500"/>
        <w:jc w:val="left"/>
        <w:rPr>
          <w:color w:val="auto"/>
          <w:szCs w:val="21"/>
          <w:highlight w:val="none"/>
        </w:rPr>
      </w:pPr>
    </w:p>
    <w:p w14:paraId="5C29E11E">
      <w:pPr>
        <w:spacing w:line="480" w:lineRule="auto"/>
        <w:ind w:firstLine="4080" w:firstLineChars="1700"/>
        <w:rPr>
          <w:color w:val="auto"/>
          <w:highlight w:val="none"/>
          <w:u w:val="single"/>
        </w:rPr>
      </w:pPr>
      <w:r>
        <w:rPr>
          <w:rFonts w:hint="eastAsia"/>
          <w:color w:val="auto"/>
          <w:highlight w:val="none"/>
        </w:rPr>
        <w:t>投标人全称：</w:t>
      </w:r>
      <w:r>
        <w:rPr>
          <w:rFonts w:hint="eastAsia"/>
          <w:color w:val="auto"/>
          <w:highlight w:val="none"/>
          <w:u w:val="single"/>
        </w:rPr>
        <w:t xml:space="preserve">               （公章）</w:t>
      </w:r>
    </w:p>
    <w:p w14:paraId="18D347E6">
      <w:pPr>
        <w:spacing w:line="480" w:lineRule="auto"/>
        <w:ind w:firstLine="1440" w:firstLineChars="600"/>
        <w:rPr>
          <w:color w:val="auto"/>
          <w:highlight w:val="none"/>
          <w:u w:val="single"/>
        </w:rPr>
      </w:pPr>
      <w:r>
        <w:rPr>
          <w:rFonts w:hint="eastAsia"/>
          <w:color w:val="auto"/>
          <w:highlight w:val="none"/>
        </w:rPr>
        <w:t>法定代表人（或单位负责人）或委托代理人：</w:t>
      </w:r>
      <w:r>
        <w:rPr>
          <w:rFonts w:hint="eastAsia"/>
          <w:color w:val="auto"/>
          <w:highlight w:val="none"/>
          <w:u w:val="single"/>
        </w:rPr>
        <w:t xml:space="preserve">      （签字或盖章）</w:t>
      </w:r>
      <w:r>
        <w:rPr>
          <w:rFonts w:hint="eastAsia"/>
          <w:color w:val="auto"/>
          <w:highlight w:val="none"/>
        </w:rPr>
        <w:t xml:space="preserve">                                   </w:t>
      </w:r>
    </w:p>
    <w:p w14:paraId="6F1D0AC1">
      <w:pPr>
        <w:tabs>
          <w:tab w:val="left" w:pos="3378"/>
        </w:tabs>
        <w:overflowPunct w:val="0"/>
        <w:topLinePunct/>
        <w:autoSpaceDN w:val="0"/>
        <w:adjustRightInd w:val="0"/>
        <w:snapToGrid w:val="0"/>
        <w:ind w:firstLine="2160" w:firstLineChars="900"/>
        <w:rPr>
          <w:snapToGrid w:val="0"/>
          <w:color w:val="auto"/>
          <w:kern w:val="0"/>
          <w:szCs w:val="21"/>
          <w:highlight w:val="none"/>
          <w:u w:val="single"/>
        </w:rPr>
      </w:pPr>
      <w:r>
        <w:rPr>
          <w:rFonts w:hint="eastAsia"/>
          <w:color w:val="auto"/>
          <w:highlight w:val="none"/>
        </w:rPr>
        <w:t xml:space="preserve">                      日      期：     年   月   日</w:t>
      </w:r>
    </w:p>
    <w:p w14:paraId="5C5C7CEE">
      <w:pPr>
        <w:rPr>
          <w:color w:val="auto"/>
          <w:sz w:val="21"/>
          <w:highlight w:val="none"/>
        </w:rPr>
      </w:pPr>
      <w:r>
        <w:rPr>
          <w:color w:val="auto"/>
          <w:sz w:val="21"/>
          <w:highlight w:val="none"/>
        </w:rPr>
        <w:br w:type="page"/>
      </w:r>
    </w:p>
    <w:p w14:paraId="430AEB85">
      <w:pPr>
        <w:numPr>
          <w:ilvl w:val="0"/>
          <w:numId w:val="13"/>
        </w:numPr>
        <w:ind w:firstLine="586"/>
        <w:jc w:val="center"/>
        <w:rPr>
          <w:b/>
          <w:color w:val="auto"/>
          <w:spacing w:val="6"/>
          <w:sz w:val="28"/>
          <w:szCs w:val="28"/>
          <w:highlight w:val="none"/>
        </w:rPr>
      </w:pPr>
      <w:r>
        <w:rPr>
          <w:rFonts w:hint="eastAsia"/>
          <w:b/>
          <w:color w:val="auto"/>
          <w:spacing w:val="6"/>
          <w:sz w:val="28"/>
          <w:szCs w:val="28"/>
          <w:highlight w:val="none"/>
        </w:rPr>
        <w:t>创新产品或创新服务明细表格式 (若有的话， 以包为单位分别填写)</w:t>
      </w:r>
    </w:p>
    <w:p w14:paraId="1E30935E">
      <w:pPr>
        <w:spacing w:before="186" w:line="227" w:lineRule="auto"/>
        <w:jc w:val="center"/>
        <w:rPr>
          <w:rFonts w:cs="宋体"/>
          <w:color w:val="auto"/>
          <w:spacing w:val="9"/>
          <w:sz w:val="23"/>
          <w:szCs w:val="23"/>
          <w:highlight w:val="none"/>
        </w:rPr>
      </w:pPr>
      <w:r>
        <w:rPr>
          <w:rFonts w:cs="宋体"/>
          <w:color w:val="auto"/>
          <w:spacing w:val="11"/>
          <w:sz w:val="23"/>
          <w:szCs w:val="23"/>
          <w:highlight w:val="none"/>
        </w:rPr>
        <w:t>创</w:t>
      </w:r>
      <w:r>
        <w:rPr>
          <w:rFonts w:cs="宋体"/>
          <w:color w:val="auto"/>
          <w:spacing w:val="9"/>
          <w:sz w:val="23"/>
          <w:szCs w:val="23"/>
          <w:highlight w:val="none"/>
        </w:rPr>
        <w:t>新产品或创新服务明细表</w:t>
      </w:r>
    </w:p>
    <w:p w14:paraId="399B8CE5">
      <w:pPr>
        <w:spacing w:before="186" w:line="227" w:lineRule="auto"/>
        <w:jc w:val="center"/>
        <w:rPr>
          <w:rFonts w:cs="宋体"/>
          <w:color w:val="auto"/>
          <w:spacing w:val="9"/>
          <w:sz w:val="23"/>
          <w:szCs w:val="23"/>
          <w:highlight w:val="none"/>
        </w:rPr>
      </w:pPr>
    </w:p>
    <w:p w14:paraId="7971547E">
      <w:pPr>
        <w:spacing w:before="184" w:line="376" w:lineRule="auto"/>
        <w:ind w:left="121" w:firstLine="484"/>
        <w:rPr>
          <w:rFonts w:cs="宋体"/>
          <w:color w:val="auto"/>
          <w:sz w:val="23"/>
          <w:szCs w:val="23"/>
          <w:highlight w:val="none"/>
        </w:rPr>
      </w:pPr>
      <w:r>
        <w:rPr>
          <w:rFonts w:cs="宋体"/>
          <w:color w:val="auto"/>
          <w:spacing w:val="6"/>
          <w:sz w:val="23"/>
          <w:szCs w:val="23"/>
          <w:highlight w:val="none"/>
        </w:rPr>
        <w:t>项</w:t>
      </w:r>
      <w:r>
        <w:rPr>
          <w:rFonts w:cs="宋体"/>
          <w:color w:val="auto"/>
          <w:spacing w:val="5"/>
          <w:sz w:val="23"/>
          <w:szCs w:val="23"/>
          <w:highlight w:val="none"/>
        </w:rPr>
        <w:t>目名称：</w:t>
      </w:r>
      <w:r>
        <w:rPr>
          <w:rFonts w:cs="宋体"/>
          <w:color w:val="auto"/>
          <w:sz w:val="23"/>
          <w:szCs w:val="23"/>
          <w:highlight w:val="none"/>
          <w:u w:val="single"/>
        </w:rPr>
        <w:t xml:space="preserve">                  </w:t>
      </w:r>
    </w:p>
    <w:p w14:paraId="6AE94496">
      <w:pPr>
        <w:spacing w:line="227" w:lineRule="auto"/>
        <w:ind w:left="121" w:firstLine="484"/>
        <w:rPr>
          <w:rFonts w:cs="宋体"/>
          <w:color w:val="auto"/>
          <w:sz w:val="23"/>
          <w:szCs w:val="23"/>
          <w:highlight w:val="none"/>
        </w:rPr>
      </w:pPr>
      <w:r>
        <w:rPr>
          <w:rFonts w:cs="宋体"/>
          <w:color w:val="auto"/>
          <w:spacing w:val="6"/>
          <w:sz w:val="23"/>
          <w:szCs w:val="23"/>
          <w:highlight w:val="none"/>
        </w:rPr>
        <w:t>项</w:t>
      </w:r>
      <w:r>
        <w:rPr>
          <w:rFonts w:cs="宋体"/>
          <w:color w:val="auto"/>
          <w:spacing w:val="5"/>
          <w:sz w:val="23"/>
          <w:szCs w:val="23"/>
          <w:highlight w:val="none"/>
        </w:rPr>
        <w:t>目编号：</w:t>
      </w:r>
      <w:r>
        <w:rPr>
          <w:rFonts w:cs="宋体"/>
          <w:color w:val="auto"/>
          <w:sz w:val="23"/>
          <w:szCs w:val="23"/>
          <w:highlight w:val="none"/>
          <w:u w:val="single"/>
        </w:rPr>
        <w:t xml:space="preserve">                  </w:t>
      </w:r>
    </w:p>
    <w:p w14:paraId="4F0AE62C">
      <w:pPr>
        <w:spacing w:before="185" w:line="228" w:lineRule="auto"/>
        <w:ind w:left="120" w:firstLine="488"/>
        <w:rPr>
          <w:rFonts w:cs="宋体"/>
          <w:color w:val="auto"/>
          <w:sz w:val="23"/>
          <w:szCs w:val="23"/>
          <w:highlight w:val="none"/>
        </w:rPr>
      </w:pPr>
      <w:r>
        <w:rPr>
          <w:rFonts w:cs="宋体"/>
          <w:color w:val="auto"/>
          <w:spacing w:val="7"/>
          <w:sz w:val="23"/>
          <w:szCs w:val="23"/>
          <w:highlight w:val="none"/>
        </w:rPr>
        <w:t>投</w:t>
      </w:r>
      <w:r>
        <w:rPr>
          <w:rFonts w:cs="宋体"/>
          <w:color w:val="auto"/>
          <w:spacing w:val="6"/>
          <w:sz w:val="23"/>
          <w:szCs w:val="23"/>
          <w:highlight w:val="none"/>
        </w:rPr>
        <w:t>标人名称：</w:t>
      </w:r>
      <w:r>
        <w:rPr>
          <w:rFonts w:cs="宋体"/>
          <w:color w:val="auto"/>
          <w:sz w:val="23"/>
          <w:szCs w:val="23"/>
          <w:highlight w:val="none"/>
          <w:u w:val="single"/>
        </w:rPr>
        <w:t xml:space="preserve">                </w:t>
      </w:r>
    </w:p>
    <w:p w14:paraId="0D0A05A1">
      <w:pPr>
        <w:spacing w:before="184" w:line="227" w:lineRule="auto"/>
        <w:ind w:left="117" w:firstLine="464"/>
        <w:rPr>
          <w:rFonts w:cs="宋体"/>
          <w:color w:val="auto"/>
          <w:sz w:val="23"/>
          <w:szCs w:val="23"/>
          <w:highlight w:val="none"/>
        </w:rPr>
      </w:pPr>
      <w:r>
        <w:rPr>
          <w:rFonts w:cs="宋体"/>
          <w:color w:val="auto"/>
          <w:spacing w:val="1"/>
          <w:sz w:val="23"/>
          <w:szCs w:val="23"/>
          <w:highlight w:val="none"/>
        </w:rPr>
        <w:t>第</w:t>
      </w:r>
      <w:r>
        <w:rPr>
          <w:rFonts w:cs="宋体"/>
          <w:color w:val="auto"/>
          <w:spacing w:val="1"/>
          <w:sz w:val="23"/>
          <w:szCs w:val="23"/>
          <w:highlight w:val="none"/>
          <w:u w:val="single"/>
        </w:rPr>
        <w:t xml:space="preserve">    </w:t>
      </w:r>
      <w:r>
        <w:rPr>
          <w:rFonts w:cs="宋体"/>
          <w:color w:val="auto"/>
          <w:sz w:val="23"/>
          <w:szCs w:val="23"/>
          <w:highlight w:val="none"/>
        </w:rPr>
        <w:t xml:space="preserve"> 包                                           货币：人民币/元</w:t>
      </w:r>
    </w:p>
    <w:p w14:paraId="333907C8">
      <w:pPr>
        <w:spacing w:line="71" w:lineRule="exact"/>
        <w:ind w:firstLine="480"/>
        <w:rPr>
          <w:color w:val="auto"/>
          <w:highlight w:val="none"/>
        </w:rPr>
      </w:pPr>
    </w:p>
    <w:tbl>
      <w:tblPr>
        <w:tblStyle w:val="84"/>
        <w:tblW w:w="92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3"/>
        <w:gridCol w:w="1601"/>
        <w:gridCol w:w="1098"/>
        <w:gridCol w:w="1254"/>
        <w:gridCol w:w="1414"/>
        <w:gridCol w:w="783"/>
        <w:gridCol w:w="1254"/>
        <w:gridCol w:w="1073"/>
      </w:tblGrid>
      <w:tr w14:paraId="30B58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743" w:type="dxa"/>
          </w:tcPr>
          <w:p w14:paraId="14A5AC75">
            <w:pPr>
              <w:spacing w:before="229" w:line="229" w:lineRule="auto"/>
              <w:ind w:firstLine="0" w:firstLineChars="0"/>
              <w:jc w:val="center"/>
              <w:rPr>
                <w:rFonts w:cs="宋体"/>
                <w:color w:val="auto"/>
                <w:sz w:val="20"/>
                <w:szCs w:val="20"/>
                <w:highlight w:val="none"/>
              </w:rPr>
            </w:pPr>
            <w:r>
              <w:rPr>
                <w:rFonts w:cs="宋体"/>
                <w:color w:val="auto"/>
                <w:spacing w:val="5"/>
                <w:sz w:val="20"/>
                <w:szCs w:val="20"/>
                <w:highlight w:val="none"/>
              </w:rPr>
              <w:t>序号</w:t>
            </w:r>
          </w:p>
        </w:tc>
        <w:tc>
          <w:tcPr>
            <w:tcW w:w="1601" w:type="dxa"/>
          </w:tcPr>
          <w:p w14:paraId="0A086C62">
            <w:pPr>
              <w:spacing w:before="229" w:line="227" w:lineRule="auto"/>
              <w:ind w:firstLine="0" w:firstLineChars="0"/>
              <w:jc w:val="center"/>
              <w:rPr>
                <w:rFonts w:cs="宋体"/>
                <w:color w:val="auto"/>
                <w:sz w:val="20"/>
                <w:szCs w:val="20"/>
                <w:highlight w:val="none"/>
              </w:rPr>
            </w:pPr>
            <w:r>
              <w:rPr>
                <w:rFonts w:cs="宋体"/>
                <w:color w:val="auto"/>
                <w:spacing w:val="6"/>
                <w:sz w:val="20"/>
                <w:szCs w:val="20"/>
                <w:highlight w:val="none"/>
              </w:rPr>
              <w:t>货物名称</w:t>
            </w:r>
          </w:p>
        </w:tc>
        <w:tc>
          <w:tcPr>
            <w:tcW w:w="1098" w:type="dxa"/>
          </w:tcPr>
          <w:p w14:paraId="32D29FC3">
            <w:pPr>
              <w:spacing w:before="229" w:line="228" w:lineRule="auto"/>
              <w:ind w:firstLine="0" w:firstLineChars="0"/>
              <w:jc w:val="center"/>
              <w:rPr>
                <w:rFonts w:cs="宋体"/>
                <w:color w:val="auto"/>
                <w:sz w:val="20"/>
                <w:szCs w:val="20"/>
                <w:highlight w:val="none"/>
              </w:rPr>
            </w:pPr>
            <w:r>
              <w:rPr>
                <w:rFonts w:cs="宋体"/>
                <w:color w:val="auto"/>
                <w:spacing w:val="-5"/>
                <w:sz w:val="20"/>
                <w:szCs w:val="20"/>
                <w:highlight w:val="none"/>
              </w:rPr>
              <w:t>品</w:t>
            </w:r>
            <w:r>
              <w:rPr>
                <w:rFonts w:cs="宋体"/>
                <w:color w:val="auto"/>
                <w:spacing w:val="-3"/>
                <w:sz w:val="20"/>
                <w:szCs w:val="20"/>
                <w:highlight w:val="none"/>
              </w:rPr>
              <w:t>牌</w:t>
            </w:r>
          </w:p>
        </w:tc>
        <w:tc>
          <w:tcPr>
            <w:tcW w:w="1254" w:type="dxa"/>
          </w:tcPr>
          <w:p w14:paraId="32C80AD0">
            <w:pPr>
              <w:spacing w:before="229" w:line="228" w:lineRule="auto"/>
              <w:ind w:firstLine="0" w:firstLineChars="0"/>
              <w:jc w:val="center"/>
              <w:rPr>
                <w:rFonts w:cs="宋体"/>
                <w:color w:val="auto"/>
                <w:sz w:val="20"/>
                <w:szCs w:val="20"/>
                <w:highlight w:val="none"/>
              </w:rPr>
            </w:pPr>
            <w:r>
              <w:rPr>
                <w:rFonts w:cs="宋体"/>
                <w:color w:val="auto"/>
                <w:spacing w:val="7"/>
                <w:sz w:val="20"/>
                <w:szCs w:val="20"/>
                <w:highlight w:val="none"/>
              </w:rPr>
              <w:t>规格型号</w:t>
            </w:r>
          </w:p>
        </w:tc>
        <w:tc>
          <w:tcPr>
            <w:tcW w:w="1414" w:type="dxa"/>
          </w:tcPr>
          <w:p w14:paraId="53B4E289">
            <w:pPr>
              <w:spacing w:before="229" w:line="228" w:lineRule="auto"/>
              <w:ind w:firstLine="0" w:firstLineChars="0"/>
              <w:jc w:val="center"/>
              <w:rPr>
                <w:rFonts w:cs="宋体"/>
                <w:color w:val="auto"/>
                <w:sz w:val="20"/>
                <w:szCs w:val="20"/>
                <w:highlight w:val="none"/>
              </w:rPr>
            </w:pPr>
            <w:r>
              <w:rPr>
                <w:rFonts w:cs="宋体"/>
                <w:color w:val="auto"/>
                <w:spacing w:val="8"/>
                <w:sz w:val="20"/>
                <w:szCs w:val="20"/>
                <w:highlight w:val="none"/>
              </w:rPr>
              <w:t>产地及厂家</w:t>
            </w:r>
          </w:p>
        </w:tc>
        <w:tc>
          <w:tcPr>
            <w:tcW w:w="783" w:type="dxa"/>
          </w:tcPr>
          <w:p w14:paraId="2313AB42">
            <w:pPr>
              <w:spacing w:before="229" w:line="228" w:lineRule="auto"/>
              <w:ind w:firstLine="0" w:firstLineChars="0"/>
              <w:jc w:val="center"/>
              <w:rPr>
                <w:rFonts w:cs="宋体"/>
                <w:color w:val="auto"/>
                <w:sz w:val="20"/>
                <w:szCs w:val="20"/>
                <w:highlight w:val="none"/>
              </w:rPr>
            </w:pPr>
            <w:r>
              <w:rPr>
                <w:rFonts w:cs="宋体"/>
                <w:color w:val="auto"/>
                <w:spacing w:val="4"/>
                <w:sz w:val="20"/>
                <w:szCs w:val="20"/>
                <w:highlight w:val="none"/>
              </w:rPr>
              <w:t>数</w:t>
            </w:r>
            <w:r>
              <w:rPr>
                <w:rFonts w:cs="宋体"/>
                <w:color w:val="auto"/>
                <w:spacing w:val="3"/>
                <w:sz w:val="20"/>
                <w:szCs w:val="20"/>
                <w:highlight w:val="none"/>
              </w:rPr>
              <w:t>量</w:t>
            </w:r>
          </w:p>
        </w:tc>
        <w:tc>
          <w:tcPr>
            <w:tcW w:w="1254" w:type="dxa"/>
          </w:tcPr>
          <w:p w14:paraId="0020B98C">
            <w:pPr>
              <w:spacing w:before="229" w:line="226" w:lineRule="auto"/>
              <w:ind w:firstLine="0" w:firstLineChars="0"/>
              <w:jc w:val="center"/>
              <w:rPr>
                <w:rFonts w:cs="宋体"/>
                <w:color w:val="auto"/>
                <w:sz w:val="20"/>
                <w:szCs w:val="20"/>
                <w:highlight w:val="none"/>
              </w:rPr>
            </w:pPr>
            <w:r>
              <w:rPr>
                <w:rFonts w:cs="宋体"/>
                <w:color w:val="auto"/>
                <w:spacing w:val="4"/>
                <w:sz w:val="20"/>
                <w:szCs w:val="20"/>
                <w:highlight w:val="none"/>
              </w:rPr>
              <w:t>单</w:t>
            </w:r>
            <w:r>
              <w:rPr>
                <w:rFonts w:cs="宋体"/>
                <w:color w:val="auto"/>
                <w:spacing w:val="3"/>
                <w:sz w:val="20"/>
                <w:szCs w:val="20"/>
                <w:highlight w:val="none"/>
              </w:rPr>
              <w:t>价</w:t>
            </w:r>
          </w:p>
        </w:tc>
        <w:tc>
          <w:tcPr>
            <w:tcW w:w="1073" w:type="dxa"/>
          </w:tcPr>
          <w:p w14:paraId="50E9F9E5">
            <w:pPr>
              <w:spacing w:before="229" w:line="226" w:lineRule="auto"/>
              <w:ind w:firstLine="0" w:firstLineChars="0"/>
              <w:jc w:val="center"/>
              <w:rPr>
                <w:rFonts w:cs="宋体"/>
                <w:color w:val="auto"/>
                <w:sz w:val="20"/>
                <w:szCs w:val="20"/>
                <w:highlight w:val="none"/>
              </w:rPr>
            </w:pPr>
            <w:r>
              <w:rPr>
                <w:rFonts w:cs="宋体"/>
                <w:color w:val="auto"/>
                <w:spacing w:val="2"/>
                <w:sz w:val="20"/>
                <w:szCs w:val="20"/>
                <w:highlight w:val="none"/>
              </w:rPr>
              <w:t>总价</w:t>
            </w:r>
          </w:p>
        </w:tc>
      </w:tr>
      <w:tr w14:paraId="2C0BB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743" w:type="dxa"/>
          </w:tcPr>
          <w:p w14:paraId="794EF513">
            <w:pPr>
              <w:rPr>
                <w:rFonts w:ascii="Arial"/>
                <w:color w:val="auto"/>
                <w:sz w:val="21"/>
                <w:highlight w:val="none"/>
              </w:rPr>
            </w:pPr>
          </w:p>
        </w:tc>
        <w:tc>
          <w:tcPr>
            <w:tcW w:w="1601" w:type="dxa"/>
          </w:tcPr>
          <w:p w14:paraId="21A0FB44">
            <w:pPr>
              <w:rPr>
                <w:rFonts w:ascii="Arial"/>
                <w:color w:val="auto"/>
                <w:sz w:val="21"/>
                <w:highlight w:val="none"/>
              </w:rPr>
            </w:pPr>
          </w:p>
        </w:tc>
        <w:tc>
          <w:tcPr>
            <w:tcW w:w="1098" w:type="dxa"/>
          </w:tcPr>
          <w:p w14:paraId="4CADA773">
            <w:pPr>
              <w:rPr>
                <w:rFonts w:ascii="Arial"/>
                <w:color w:val="auto"/>
                <w:sz w:val="21"/>
                <w:highlight w:val="none"/>
              </w:rPr>
            </w:pPr>
          </w:p>
        </w:tc>
        <w:tc>
          <w:tcPr>
            <w:tcW w:w="1254" w:type="dxa"/>
          </w:tcPr>
          <w:p w14:paraId="60B7E2CF">
            <w:pPr>
              <w:rPr>
                <w:rFonts w:ascii="Arial"/>
                <w:color w:val="auto"/>
                <w:sz w:val="21"/>
                <w:highlight w:val="none"/>
              </w:rPr>
            </w:pPr>
          </w:p>
        </w:tc>
        <w:tc>
          <w:tcPr>
            <w:tcW w:w="1414" w:type="dxa"/>
          </w:tcPr>
          <w:p w14:paraId="1182A5DF">
            <w:pPr>
              <w:rPr>
                <w:rFonts w:ascii="Arial"/>
                <w:color w:val="auto"/>
                <w:sz w:val="21"/>
                <w:highlight w:val="none"/>
              </w:rPr>
            </w:pPr>
          </w:p>
        </w:tc>
        <w:tc>
          <w:tcPr>
            <w:tcW w:w="783" w:type="dxa"/>
          </w:tcPr>
          <w:p w14:paraId="631C301F">
            <w:pPr>
              <w:rPr>
                <w:rFonts w:ascii="Arial"/>
                <w:color w:val="auto"/>
                <w:sz w:val="21"/>
                <w:highlight w:val="none"/>
              </w:rPr>
            </w:pPr>
          </w:p>
        </w:tc>
        <w:tc>
          <w:tcPr>
            <w:tcW w:w="1254" w:type="dxa"/>
          </w:tcPr>
          <w:p w14:paraId="71DB6ADA">
            <w:pPr>
              <w:rPr>
                <w:rFonts w:ascii="Arial"/>
                <w:color w:val="auto"/>
                <w:sz w:val="21"/>
                <w:highlight w:val="none"/>
              </w:rPr>
            </w:pPr>
          </w:p>
        </w:tc>
        <w:tc>
          <w:tcPr>
            <w:tcW w:w="1073" w:type="dxa"/>
          </w:tcPr>
          <w:p w14:paraId="159487EB">
            <w:pPr>
              <w:rPr>
                <w:rFonts w:ascii="Arial"/>
                <w:color w:val="auto"/>
                <w:sz w:val="21"/>
                <w:highlight w:val="none"/>
              </w:rPr>
            </w:pPr>
          </w:p>
        </w:tc>
      </w:tr>
      <w:tr w14:paraId="46DBD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743" w:type="dxa"/>
          </w:tcPr>
          <w:p w14:paraId="0BAFF6FE">
            <w:pPr>
              <w:rPr>
                <w:rFonts w:ascii="Arial"/>
                <w:color w:val="auto"/>
                <w:sz w:val="21"/>
                <w:highlight w:val="none"/>
              </w:rPr>
            </w:pPr>
          </w:p>
        </w:tc>
        <w:tc>
          <w:tcPr>
            <w:tcW w:w="1601" w:type="dxa"/>
          </w:tcPr>
          <w:p w14:paraId="66FF05DA">
            <w:pPr>
              <w:rPr>
                <w:rFonts w:ascii="Arial"/>
                <w:color w:val="auto"/>
                <w:sz w:val="21"/>
                <w:highlight w:val="none"/>
              </w:rPr>
            </w:pPr>
          </w:p>
        </w:tc>
        <w:tc>
          <w:tcPr>
            <w:tcW w:w="1098" w:type="dxa"/>
          </w:tcPr>
          <w:p w14:paraId="3B447DC0">
            <w:pPr>
              <w:rPr>
                <w:rFonts w:ascii="Arial"/>
                <w:color w:val="auto"/>
                <w:sz w:val="21"/>
                <w:highlight w:val="none"/>
              </w:rPr>
            </w:pPr>
          </w:p>
        </w:tc>
        <w:tc>
          <w:tcPr>
            <w:tcW w:w="1254" w:type="dxa"/>
          </w:tcPr>
          <w:p w14:paraId="5F84B573">
            <w:pPr>
              <w:rPr>
                <w:rFonts w:ascii="Arial"/>
                <w:color w:val="auto"/>
                <w:sz w:val="21"/>
                <w:highlight w:val="none"/>
              </w:rPr>
            </w:pPr>
          </w:p>
        </w:tc>
        <w:tc>
          <w:tcPr>
            <w:tcW w:w="1414" w:type="dxa"/>
          </w:tcPr>
          <w:p w14:paraId="401B5E90">
            <w:pPr>
              <w:rPr>
                <w:rFonts w:ascii="Arial"/>
                <w:color w:val="auto"/>
                <w:sz w:val="21"/>
                <w:highlight w:val="none"/>
              </w:rPr>
            </w:pPr>
          </w:p>
        </w:tc>
        <w:tc>
          <w:tcPr>
            <w:tcW w:w="783" w:type="dxa"/>
          </w:tcPr>
          <w:p w14:paraId="64D3D463">
            <w:pPr>
              <w:rPr>
                <w:rFonts w:ascii="Arial"/>
                <w:color w:val="auto"/>
                <w:sz w:val="21"/>
                <w:highlight w:val="none"/>
              </w:rPr>
            </w:pPr>
          </w:p>
        </w:tc>
        <w:tc>
          <w:tcPr>
            <w:tcW w:w="1254" w:type="dxa"/>
          </w:tcPr>
          <w:p w14:paraId="07AB1106">
            <w:pPr>
              <w:rPr>
                <w:rFonts w:ascii="Arial"/>
                <w:color w:val="auto"/>
                <w:sz w:val="21"/>
                <w:highlight w:val="none"/>
              </w:rPr>
            </w:pPr>
          </w:p>
        </w:tc>
        <w:tc>
          <w:tcPr>
            <w:tcW w:w="1073" w:type="dxa"/>
          </w:tcPr>
          <w:p w14:paraId="0F02F31E">
            <w:pPr>
              <w:rPr>
                <w:rFonts w:ascii="Arial"/>
                <w:color w:val="auto"/>
                <w:sz w:val="21"/>
                <w:highlight w:val="none"/>
              </w:rPr>
            </w:pPr>
          </w:p>
        </w:tc>
      </w:tr>
      <w:tr w14:paraId="66BB5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9220" w:type="dxa"/>
            <w:gridSpan w:val="8"/>
          </w:tcPr>
          <w:p w14:paraId="3389754D">
            <w:pPr>
              <w:ind w:left="0" w:leftChars="0" w:firstLine="0" w:firstLineChars="0"/>
              <w:rPr>
                <w:rFonts w:cs="宋体"/>
                <w:color w:val="auto"/>
                <w:spacing w:val="16"/>
                <w:sz w:val="20"/>
                <w:szCs w:val="20"/>
                <w:highlight w:val="none"/>
              </w:rPr>
            </w:pPr>
          </w:p>
          <w:p w14:paraId="0677A0E2">
            <w:pPr>
              <w:ind w:left="0" w:leftChars="0" w:firstLine="0" w:firstLineChars="0"/>
              <w:rPr>
                <w:rFonts w:ascii="Arial"/>
                <w:color w:val="auto"/>
                <w:sz w:val="21"/>
                <w:highlight w:val="none"/>
              </w:rPr>
            </w:pPr>
            <w:r>
              <w:rPr>
                <w:rFonts w:cs="宋体"/>
                <w:color w:val="auto"/>
                <w:spacing w:val="16"/>
                <w:sz w:val="20"/>
                <w:szCs w:val="20"/>
                <w:highlight w:val="none"/>
              </w:rPr>
              <w:t>创</w:t>
            </w:r>
            <w:r>
              <w:rPr>
                <w:rFonts w:cs="宋体"/>
                <w:color w:val="auto"/>
                <w:spacing w:val="8"/>
                <w:sz w:val="20"/>
                <w:szCs w:val="20"/>
                <w:highlight w:val="none"/>
              </w:rPr>
              <w:t>新产品或创新服务价格合计：</w:t>
            </w:r>
          </w:p>
        </w:tc>
      </w:tr>
    </w:tbl>
    <w:p w14:paraId="3C937093">
      <w:pPr>
        <w:spacing w:line="236" w:lineRule="exact"/>
        <w:ind w:firstLine="480"/>
        <w:rPr>
          <w:color w:val="auto"/>
          <w:highlight w:val="none"/>
        </w:rPr>
      </w:pPr>
    </w:p>
    <w:p w14:paraId="23016165">
      <w:pPr>
        <w:spacing w:before="114" w:line="227" w:lineRule="auto"/>
        <w:rPr>
          <w:rFonts w:cs="宋体"/>
          <w:color w:val="auto"/>
          <w:sz w:val="23"/>
          <w:szCs w:val="23"/>
          <w:highlight w:val="none"/>
        </w:rPr>
      </w:pPr>
      <w:r>
        <w:rPr>
          <w:rFonts w:cs="宋体"/>
          <w:color w:val="auto"/>
          <w:spacing w:val="3"/>
          <w:sz w:val="23"/>
          <w:szCs w:val="23"/>
          <w:highlight w:val="none"/>
        </w:rPr>
        <w:t>说</w:t>
      </w:r>
      <w:r>
        <w:rPr>
          <w:rFonts w:cs="宋体"/>
          <w:color w:val="auto"/>
          <w:spacing w:val="2"/>
          <w:sz w:val="23"/>
          <w:szCs w:val="23"/>
          <w:highlight w:val="none"/>
        </w:rPr>
        <w:t>明：</w:t>
      </w:r>
    </w:p>
    <w:p w14:paraId="3CFC9685">
      <w:pPr>
        <w:spacing w:before="185" w:line="227" w:lineRule="auto"/>
        <w:rPr>
          <w:rFonts w:cs="宋体"/>
          <w:color w:val="auto"/>
          <w:sz w:val="23"/>
          <w:szCs w:val="23"/>
          <w:highlight w:val="none"/>
        </w:rPr>
      </w:pPr>
      <w:r>
        <w:rPr>
          <w:rFonts w:cs="宋体"/>
          <w:color w:val="auto"/>
          <w:spacing w:val="20"/>
          <w:sz w:val="23"/>
          <w:szCs w:val="23"/>
          <w:highlight w:val="none"/>
        </w:rPr>
        <w:t>(</w:t>
      </w:r>
      <w:r>
        <w:rPr>
          <w:rFonts w:cs="宋体"/>
          <w:color w:val="auto"/>
          <w:spacing w:val="19"/>
          <w:sz w:val="23"/>
          <w:szCs w:val="23"/>
          <w:highlight w:val="none"/>
        </w:rPr>
        <w:t>1</w:t>
      </w:r>
      <w:r>
        <w:rPr>
          <w:rFonts w:cs="宋体"/>
          <w:color w:val="auto"/>
          <w:spacing w:val="10"/>
          <w:sz w:val="23"/>
          <w:szCs w:val="23"/>
          <w:highlight w:val="none"/>
        </w:rPr>
        <w:t>)投标人如实填写表格，无相应内容可填的，填写“无”、“未测试”、“没有相应</w:t>
      </w:r>
      <w:r>
        <w:rPr>
          <w:rFonts w:cs="宋体"/>
          <w:color w:val="auto"/>
          <w:spacing w:val="16"/>
          <w:sz w:val="23"/>
          <w:szCs w:val="23"/>
          <w:highlight w:val="none"/>
        </w:rPr>
        <w:t>指</w:t>
      </w:r>
      <w:r>
        <w:rPr>
          <w:rFonts w:cs="宋体"/>
          <w:color w:val="auto"/>
          <w:spacing w:val="14"/>
          <w:sz w:val="23"/>
          <w:szCs w:val="23"/>
          <w:highlight w:val="none"/>
        </w:rPr>
        <w:t>标</w:t>
      </w:r>
      <w:r>
        <w:rPr>
          <w:rFonts w:cs="宋体"/>
          <w:color w:val="auto"/>
          <w:spacing w:val="8"/>
          <w:sz w:val="23"/>
          <w:szCs w:val="23"/>
          <w:highlight w:val="none"/>
        </w:rPr>
        <w:t>”等明确的回答文字，或用“/”来表示。</w:t>
      </w:r>
    </w:p>
    <w:p w14:paraId="0957A2BD">
      <w:pPr>
        <w:spacing w:before="185" w:line="227" w:lineRule="auto"/>
        <w:rPr>
          <w:rFonts w:cs="宋体"/>
          <w:color w:val="auto"/>
          <w:sz w:val="23"/>
          <w:szCs w:val="23"/>
          <w:highlight w:val="none"/>
        </w:rPr>
      </w:pPr>
      <w:r>
        <w:rPr>
          <w:rFonts w:cs="宋体"/>
          <w:color w:val="auto"/>
          <w:spacing w:val="20"/>
          <w:sz w:val="23"/>
          <w:szCs w:val="23"/>
          <w:highlight w:val="none"/>
        </w:rPr>
        <w:t>(2</w:t>
      </w:r>
      <w:r>
        <w:rPr>
          <w:rFonts w:cs="宋体"/>
          <w:color w:val="auto"/>
          <w:spacing w:val="11"/>
          <w:sz w:val="23"/>
          <w:szCs w:val="23"/>
          <w:highlight w:val="none"/>
        </w:rPr>
        <w:t>)</w:t>
      </w:r>
      <w:r>
        <w:rPr>
          <w:rFonts w:cs="宋体"/>
          <w:color w:val="auto"/>
          <w:spacing w:val="10"/>
          <w:sz w:val="23"/>
          <w:szCs w:val="23"/>
          <w:highlight w:val="none"/>
        </w:rPr>
        <w:t>投标人投标产品包含创新产品或创新服务，需填写此表</w:t>
      </w:r>
      <w:r>
        <w:rPr>
          <w:rFonts w:cs="宋体"/>
          <w:color w:val="auto"/>
          <w:spacing w:val="6"/>
          <w:sz w:val="23"/>
          <w:szCs w:val="23"/>
          <w:highlight w:val="none"/>
        </w:rPr>
        <w:t>。</w:t>
      </w:r>
    </w:p>
    <w:p w14:paraId="4DA45F3D">
      <w:pPr>
        <w:spacing w:before="185" w:line="227" w:lineRule="auto"/>
        <w:ind w:right="175" w:firstLine="500"/>
        <w:jc w:val="right"/>
        <w:rPr>
          <w:rFonts w:cs="宋体"/>
          <w:color w:val="auto"/>
          <w:spacing w:val="10"/>
          <w:sz w:val="23"/>
          <w:szCs w:val="23"/>
          <w:highlight w:val="none"/>
        </w:rPr>
      </w:pPr>
    </w:p>
    <w:p w14:paraId="1C94A6EC">
      <w:pPr>
        <w:spacing w:before="185" w:line="227" w:lineRule="auto"/>
        <w:ind w:firstLine="3000" w:firstLineChars="1200"/>
        <w:rPr>
          <w:rFonts w:ascii="宋体" w:hAnsi="宋体" w:eastAsia="宋体" w:cs="宋体"/>
          <w:color w:val="auto"/>
          <w:spacing w:val="10"/>
          <w:sz w:val="23"/>
          <w:szCs w:val="23"/>
          <w:highlight w:val="none"/>
        </w:rPr>
      </w:pPr>
      <w:r>
        <w:rPr>
          <w:rFonts w:ascii="宋体" w:hAnsi="宋体" w:eastAsia="宋体" w:cs="宋体"/>
          <w:color w:val="auto"/>
          <w:spacing w:val="10"/>
          <w:sz w:val="23"/>
          <w:szCs w:val="23"/>
          <w:highlight w:val="none"/>
        </w:rPr>
        <w:t>投标人：</w:t>
      </w:r>
      <w:r>
        <w:rPr>
          <w:rFonts w:hint="eastAsia" w:ascii="宋体" w:hAnsi="宋体" w:eastAsia="宋体" w:cs="宋体"/>
          <w:color w:val="auto"/>
          <w:spacing w:val="10"/>
          <w:sz w:val="23"/>
          <w:szCs w:val="23"/>
          <w:highlight w:val="none"/>
          <w:lang w:val="en-US" w:eastAsia="zh-CN"/>
        </w:rPr>
        <w:t xml:space="preserve"> </w:t>
      </w:r>
      <w:r>
        <w:rPr>
          <w:rFonts w:hint="eastAsia" w:ascii="宋体" w:hAnsi="宋体" w:eastAsia="宋体" w:cs="宋体"/>
          <w:color w:val="auto"/>
          <w:spacing w:val="10"/>
          <w:sz w:val="23"/>
          <w:szCs w:val="23"/>
          <w:highlight w:val="none"/>
          <w:u w:val="single"/>
          <w:lang w:val="en-US" w:eastAsia="zh-CN"/>
        </w:rPr>
        <w:t xml:space="preserve">           </w:t>
      </w:r>
      <w:r>
        <w:rPr>
          <w:rFonts w:hint="eastAsia" w:ascii="宋体" w:hAnsi="宋体" w:eastAsia="宋体" w:cs="宋体"/>
          <w:color w:val="auto"/>
          <w:spacing w:val="10"/>
          <w:sz w:val="23"/>
          <w:szCs w:val="23"/>
          <w:highlight w:val="none"/>
          <w:lang w:val="en-US" w:eastAsia="zh-CN"/>
        </w:rPr>
        <w:t xml:space="preserve"> </w:t>
      </w:r>
      <w:r>
        <w:rPr>
          <w:rFonts w:ascii="宋体" w:hAnsi="宋体" w:eastAsia="宋体" w:cs="宋体"/>
          <w:color w:val="auto"/>
          <w:spacing w:val="10"/>
          <w:sz w:val="23"/>
          <w:szCs w:val="23"/>
          <w:highlight w:val="none"/>
        </w:rPr>
        <w:t>(法 人 电 子 签 章 )</w:t>
      </w:r>
    </w:p>
    <w:p w14:paraId="1AC02ECC">
      <w:pPr>
        <w:spacing w:before="185" w:line="227" w:lineRule="auto"/>
        <w:rPr>
          <w:rFonts w:ascii="宋体" w:hAnsi="宋体" w:eastAsia="宋体" w:cs="宋体"/>
          <w:color w:val="auto"/>
          <w:spacing w:val="10"/>
          <w:sz w:val="23"/>
          <w:szCs w:val="23"/>
          <w:highlight w:val="none"/>
        </w:rPr>
      </w:pPr>
      <w:r>
        <w:rPr>
          <w:rFonts w:hint="eastAsia" w:ascii="宋体" w:hAnsi="宋体" w:eastAsia="宋体" w:cs="宋体"/>
          <w:color w:val="auto"/>
          <w:spacing w:val="10"/>
          <w:sz w:val="23"/>
          <w:szCs w:val="23"/>
          <w:highlight w:val="none"/>
        </w:rPr>
        <w:t xml:space="preserve">                                   </w:t>
      </w:r>
      <w:r>
        <w:rPr>
          <w:rFonts w:ascii="宋体" w:hAnsi="宋体" w:eastAsia="宋体" w:cs="宋体"/>
          <w:color w:val="auto"/>
          <w:spacing w:val="10"/>
          <w:sz w:val="23"/>
          <w:szCs w:val="23"/>
          <w:highlight w:val="none"/>
        </w:rPr>
        <w:t>年   月   日</w:t>
      </w:r>
    </w:p>
    <w:p w14:paraId="12ED787F">
      <w:pPr>
        <w:pStyle w:val="34"/>
        <w:ind w:firstLine="0" w:firstLineChars="0"/>
        <w:rPr>
          <w:color w:val="auto"/>
          <w:highlight w:val="none"/>
        </w:rPr>
      </w:pPr>
    </w:p>
    <w:p w14:paraId="2DC30BE2">
      <w:pPr>
        <w:rPr>
          <w:rFonts w:hint="eastAsia" w:ascii="Times New Roman" w:hAnsi="Times New Roman"/>
          <w:color w:val="auto"/>
          <w:spacing w:val="20"/>
          <w:sz w:val="24"/>
          <w:highlight w:val="none"/>
          <w:lang w:eastAsia="zh-CN"/>
        </w:rPr>
      </w:pPr>
      <w:bookmarkStart w:id="47" w:name="_Toc113785283"/>
      <w:bookmarkStart w:id="48" w:name="_Toc113805074"/>
      <w:bookmarkStart w:id="49" w:name="_Toc113807673"/>
      <w:bookmarkStart w:id="50" w:name="_Toc113807813"/>
      <w:bookmarkStart w:id="51" w:name="_Toc113807250"/>
      <w:r>
        <w:rPr>
          <w:rFonts w:hint="eastAsia" w:ascii="Times New Roman" w:hAnsi="Times New Roman"/>
          <w:color w:val="auto"/>
          <w:spacing w:val="20"/>
          <w:sz w:val="24"/>
          <w:highlight w:val="none"/>
          <w:lang w:eastAsia="zh-CN"/>
        </w:rPr>
        <w:br w:type="page"/>
      </w:r>
    </w:p>
    <w:p w14:paraId="61ED15BE">
      <w:pPr>
        <w:pStyle w:val="8"/>
        <w:numPr>
          <w:ilvl w:val="0"/>
          <w:numId w:val="0"/>
        </w:numPr>
        <w:ind w:leftChars="0"/>
        <w:jc w:val="center"/>
        <w:rPr>
          <w:rFonts w:ascii="Times New Roman" w:hAnsi="Times New Roman"/>
          <w:color w:val="auto"/>
          <w:spacing w:val="20"/>
          <w:sz w:val="24"/>
          <w:highlight w:val="none"/>
        </w:rPr>
      </w:pPr>
      <w:r>
        <w:rPr>
          <w:rFonts w:hint="eastAsia" w:ascii="Times New Roman" w:hAnsi="Times New Roman"/>
          <w:color w:val="auto"/>
          <w:spacing w:val="20"/>
          <w:sz w:val="24"/>
          <w:highlight w:val="none"/>
          <w:lang w:eastAsia="zh-CN"/>
        </w:rPr>
        <w:t>（</w:t>
      </w:r>
      <w:r>
        <w:rPr>
          <w:rFonts w:hint="eastAsia" w:ascii="Times New Roman" w:hAnsi="Times New Roman"/>
          <w:color w:val="auto"/>
          <w:spacing w:val="20"/>
          <w:sz w:val="24"/>
          <w:highlight w:val="none"/>
          <w:lang w:val="en-US" w:eastAsia="zh-CN"/>
        </w:rPr>
        <w:t>十</w:t>
      </w:r>
      <w:r>
        <w:rPr>
          <w:rFonts w:hint="eastAsia" w:ascii="Times New Roman" w:hAnsi="Times New Roman"/>
          <w:color w:val="auto"/>
          <w:spacing w:val="20"/>
          <w:sz w:val="24"/>
          <w:highlight w:val="none"/>
          <w:lang w:eastAsia="zh-CN"/>
        </w:rPr>
        <w:t>）</w:t>
      </w:r>
      <w:r>
        <w:rPr>
          <w:rFonts w:ascii="Times New Roman" w:hAnsi="Times New Roman"/>
          <w:color w:val="auto"/>
          <w:spacing w:val="20"/>
          <w:sz w:val="28"/>
          <w:szCs w:val="28"/>
          <w:highlight w:val="none"/>
        </w:rPr>
        <w:fldChar w:fldCharType="begin"/>
      </w:r>
      <w:r>
        <w:rPr>
          <w:rFonts w:ascii="Times New Roman" w:hAnsi="Times New Roman"/>
          <w:color w:val="auto"/>
          <w:spacing w:val="20"/>
          <w:sz w:val="28"/>
          <w:szCs w:val="28"/>
          <w:highlight w:val="none"/>
        </w:rPr>
        <w:instrText xml:space="preserve"> TC  "</w:instrText>
      </w:r>
      <w:bookmarkStart w:id="52" w:name="_Toc113870196"/>
      <w:bookmarkStart w:id="53" w:name="_Toc166831191"/>
      <w:bookmarkStart w:id="54" w:name="_Toc113872641"/>
      <w:r>
        <w:rPr>
          <w:rFonts w:ascii="Times New Roman" w:hAnsi="Times New Roman"/>
          <w:color w:val="auto"/>
          <w:spacing w:val="20"/>
          <w:sz w:val="28"/>
          <w:szCs w:val="28"/>
          <w:highlight w:val="none"/>
        </w:rPr>
        <w:instrText xml:space="preserve">（五）对非实质性要求的响应内容</w:instrText>
      </w:r>
      <w:bookmarkEnd w:id="52"/>
      <w:bookmarkEnd w:id="53"/>
      <w:bookmarkEnd w:id="54"/>
      <w:r>
        <w:rPr>
          <w:rFonts w:ascii="Times New Roman" w:hAnsi="Times New Roman"/>
          <w:color w:val="auto"/>
          <w:spacing w:val="20"/>
          <w:sz w:val="28"/>
          <w:szCs w:val="28"/>
          <w:highlight w:val="none"/>
        </w:rPr>
        <w:instrText xml:space="preserve">" \f x\l 1 </w:instrText>
      </w:r>
      <w:r>
        <w:rPr>
          <w:rFonts w:ascii="Times New Roman" w:hAnsi="Times New Roman"/>
          <w:color w:val="auto"/>
          <w:spacing w:val="20"/>
          <w:sz w:val="28"/>
          <w:szCs w:val="28"/>
          <w:highlight w:val="none"/>
        </w:rPr>
        <w:fldChar w:fldCharType="end"/>
      </w:r>
      <w:r>
        <w:rPr>
          <w:rFonts w:ascii="Times New Roman" w:hAnsi="Times New Roman"/>
          <w:color w:val="auto"/>
          <w:spacing w:val="20"/>
          <w:sz w:val="28"/>
          <w:szCs w:val="28"/>
          <w:highlight w:val="none"/>
        </w:rPr>
        <w:t>对非实质性要求的响应内容</w:t>
      </w:r>
      <w:bookmarkEnd w:id="47"/>
      <w:bookmarkEnd w:id="48"/>
      <w:bookmarkEnd w:id="49"/>
      <w:bookmarkEnd w:id="50"/>
      <w:bookmarkEnd w:id="51"/>
    </w:p>
    <w:p w14:paraId="5F6801B9">
      <w:pPr>
        <w:spacing w:line="360" w:lineRule="exact"/>
        <w:ind w:left="0" w:leftChars="0" w:firstLine="0" w:firstLineChars="0"/>
        <w:rPr>
          <w:b/>
          <w:color w:val="auto"/>
          <w:szCs w:val="21"/>
          <w:highlight w:val="none"/>
        </w:rPr>
      </w:pPr>
      <w:r>
        <w:rPr>
          <w:color w:val="auto"/>
          <w:szCs w:val="21"/>
          <w:highlight w:val="none"/>
        </w:rPr>
        <w:t>根据本文件第四部分非实质性要求中的内容进行响应。</w:t>
      </w:r>
    </w:p>
    <w:p w14:paraId="3416FF08">
      <w:pPr>
        <w:spacing w:line="360" w:lineRule="exact"/>
        <w:ind w:left="0" w:leftChars="0" w:firstLine="0" w:firstLineChars="0"/>
        <w:rPr>
          <w:color w:val="auto"/>
          <w:szCs w:val="21"/>
          <w:highlight w:val="none"/>
        </w:rPr>
      </w:pPr>
      <w:r>
        <w:rPr>
          <w:color w:val="auto"/>
          <w:szCs w:val="21"/>
          <w:highlight w:val="none"/>
        </w:rPr>
        <w:t>非政府强制采购产品明细表格式（若有的话，以包为单位分别填写）</w:t>
      </w:r>
    </w:p>
    <w:p w14:paraId="7142B42A">
      <w:pPr>
        <w:spacing w:line="360" w:lineRule="auto"/>
        <w:ind w:left="2100" w:firstLine="420"/>
        <w:rPr>
          <w:b/>
          <w:color w:val="auto"/>
          <w:sz w:val="24"/>
          <w:highlight w:val="none"/>
        </w:rPr>
      </w:pPr>
    </w:p>
    <w:p w14:paraId="27069C6E">
      <w:pPr>
        <w:spacing w:line="360" w:lineRule="auto"/>
        <w:jc w:val="center"/>
        <w:outlineLvl w:val="4"/>
        <w:rPr>
          <w:b/>
          <w:color w:val="auto"/>
          <w:sz w:val="24"/>
          <w:highlight w:val="none"/>
        </w:rPr>
      </w:pPr>
      <w:r>
        <w:rPr>
          <w:b/>
          <w:color w:val="auto"/>
          <w:sz w:val="24"/>
          <w:highlight w:val="none"/>
        </w:rPr>
        <w:fldChar w:fldCharType="begin"/>
      </w:r>
      <w:r>
        <w:rPr>
          <w:b/>
          <w:color w:val="auto"/>
          <w:sz w:val="24"/>
          <w:highlight w:val="none"/>
        </w:rPr>
        <w:instrText xml:space="preserve"> TC  </w:instrText>
      </w:r>
      <w:bookmarkStart w:id="55" w:name="_Toc166831192"/>
      <w:r>
        <w:rPr>
          <w:b/>
          <w:color w:val="auto"/>
          <w:sz w:val="24"/>
          <w:highlight w:val="none"/>
        </w:rPr>
        <w:instrText xml:space="preserve">非政府强制采购产品明细表</w:instrText>
      </w:r>
      <w:bookmarkEnd w:id="55"/>
      <w:r>
        <w:rPr>
          <w:b/>
          <w:color w:val="auto"/>
          <w:sz w:val="24"/>
          <w:highlight w:val="none"/>
        </w:rPr>
        <w:instrText xml:space="preserve"> \f x\l </w:instrText>
      </w:r>
      <w:r>
        <w:rPr>
          <w:rFonts w:hint="eastAsia"/>
          <w:b/>
          <w:color w:val="auto"/>
          <w:sz w:val="24"/>
          <w:highlight w:val="none"/>
        </w:rPr>
        <w:instrText xml:space="preserve">2</w:instrText>
      </w:r>
      <w:r>
        <w:rPr>
          <w:b/>
          <w:color w:val="auto"/>
          <w:sz w:val="24"/>
          <w:highlight w:val="none"/>
        </w:rPr>
        <w:instrText xml:space="preserve"> \n </w:instrText>
      </w:r>
      <w:r>
        <w:rPr>
          <w:b/>
          <w:color w:val="auto"/>
          <w:sz w:val="24"/>
          <w:highlight w:val="none"/>
        </w:rPr>
        <w:fldChar w:fldCharType="end"/>
      </w:r>
      <w:r>
        <w:rPr>
          <w:b/>
          <w:color w:val="auto"/>
          <w:sz w:val="24"/>
          <w:highlight w:val="none"/>
        </w:rPr>
        <w:t>非政府强制采购产品明细表</w:t>
      </w:r>
    </w:p>
    <w:p w14:paraId="43ABF476">
      <w:pPr>
        <w:spacing w:line="360" w:lineRule="auto"/>
        <w:ind w:left="2100" w:firstLine="420"/>
        <w:rPr>
          <w:b/>
          <w:color w:val="auto"/>
          <w:sz w:val="24"/>
          <w:highlight w:val="none"/>
        </w:rPr>
      </w:pPr>
    </w:p>
    <w:tbl>
      <w:tblPr>
        <w:tblStyle w:val="40"/>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199"/>
        <w:gridCol w:w="1199"/>
        <w:gridCol w:w="1199"/>
        <w:gridCol w:w="2068"/>
        <w:gridCol w:w="2622"/>
      </w:tblGrid>
      <w:tr w14:paraId="06345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vAlign w:val="center"/>
          </w:tcPr>
          <w:p w14:paraId="36CE3E2A">
            <w:pPr>
              <w:spacing w:line="360" w:lineRule="auto"/>
              <w:ind w:left="0" w:leftChars="0" w:firstLine="0" w:firstLineChars="0"/>
              <w:jc w:val="both"/>
              <w:rPr>
                <w:color w:val="auto"/>
                <w:szCs w:val="21"/>
                <w:highlight w:val="none"/>
              </w:rPr>
            </w:pPr>
            <w:r>
              <w:rPr>
                <w:color w:val="auto"/>
                <w:szCs w:val="21"/>
                <w:highlight w:val="none"/>
              </w:rPr>
              <w:t>包号</w:t>
            </w: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14:paraId="2133AF4C">
            <w:pPr>
              <w:spacing w:line="360" w:lineRule="auto"/>
              <w:ind w:left="0" w:leftChars="0" w:firstLine="0" w:firstLineChars="0"/>
              <w:jc w:val="both"/>
              <w:rPr>
                <w:color w:val="auto"/>
                <w:szCs w:val="21"/>
                <w:highlight w:val="none"/>
              </w:rPr>
            </w:pPr>
            <w:r>
              <w:rPr>
                <w:color w:val="auto"/>
                <w:szCs w:val="21"/>
                <w:highlight w:val="none"/>
              </w:rPr>
              <w:t>产品名称</w:t>
            </w: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14:paraId="56D8A883">
            <w:pPr>
              <w:spacing w:line="360" w:lineRule="auto"/>
              <w:ind w:left="0" w:leftChars="0" w:firstLine="240" w:firstLineChars="100"/>
              <w:jc w:val="both"/>
              <w:rPr>
                <w:rFonts w:ascii="宋体" w:hAnsi="宋体" w:eastAsia="宋体"/>
                <w:color w:val="auto"/>
                <w:szCs w:val="21"/>
                <w:highlight w:val="none"/>
              </w:rPr>
            </w:pPr>
            <w:r>
              <w:rPr>
                <w:rFonts w:ascii="宋体" w:hAnsi="宋体" w:eastAsia="宋体"/>
                <w:color w:val="auto"/>
                <w:szCs w:val="21"/>
                <w:highlight w:val="none"/>
              </w:rPr>
              <w:t>制造商</w:t>
            </w: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14:paraId="50C58261">
            <w:pPr>
              <w:spacing w:line="360" w:lineRule="auto"/>
              <w:ind w:left="0" w:leftChars="0" w:firstLine="0" w:firstLineChars="0"/>
              <w:jc w:val="both"/>
              <w:rPr>
                <w:rFonts w:ascii="宋体" w:hAnsi="宋体" w:eastAsia="宋体"/>
                <w:color w:val="auto"/>
                <w:szCs w:val="21"/>
                <w:highlight w:val="none"/>
              </w:rPr>
            </w:pPr>
            <w:r>
              <w:rPr>
                <w:rFonts w:ascii="宋体" w:hAnsi="宋体" w:eastAsia="宋体"/>
                <w:color w:val="auto"/>
                <w:szCs w:val="21"/>
                <w:highlight w:val="none"/>
              </w:rPr>
              <w:t>产品型号</w:t>
            </w:r>
          </w:p>
        </w:tc>
        <w:tc>
          <w:tcPr>
            <w:tcW w:w="2068" w:type="dxa"/>
            <w:tcBorders>
              <w:top w:val="single" w:color="auto" w:sz="4" w:space="0"/>
              <w:left w:val="single" w:color="auto" w:sz="4" w:space="0"/>
              <w:bottom w:val="single" w:color="auto" w:sz="4" w:space="0"/>
              <w:right w:val="single" w:color="auto" w:sz="4" w:space="0"/>
            </w:tcBorders>
            <w:shd w:val="clear" w:color="auto" w:fill="auto"/>
            <w:vAlign w:val="center"/>
          </w:tcPr>
          <w:p w14:paraId="4427A672">
            <w:pPr>
              <w:spacing w:line="360" w:lineRule="auto"/>
              <w:ind w:left="0" w:leftChars="0" w:firstLine="0" w:firstLineChars="0"/>
              <w:jc w:val="center"/>
              <w:rPr>
                <w:color w:val="auto"/>
                <w:szCs w:val="21"/>
                <w:highlight w:val="none"/>
              </w:rPr>
            </w:pPr>
            <w:r>
              <w:rPr>
                <w:color w:val="auto"/>
                <w:szCs w:val="21"/>
                <w:highlight w:val="none"/>
              </w:rPr>
              <w:t>产品认证证书号</w:t>
            </w:r>
          </w:p>
        </w:tc>
        <w:tc>
          <w:tcPr>
            <w:tcW w:w="2622" w:type="dxa"/>
            <w:tcBorders>
              <w:top w:val="single" w:color="auto" w:sz="4" w:space="0"/>
              <w:left w:val="single" w:color="auto" w:sz="4" w:space="0"/>
              <w:bottom w:val="single" w:color="auto" w:sz="4" w:space="0"/>
              <w:right w:val="single" w:color="auto" w:sz="4" w:space="0"/>
            </w:tcBorders>
            <w:shd w:val="clear" w:color="auto" w:fill="auto"/>
            <w:vAlign w:val="center"/>
          </w:tcPr>
          <w:p w14:paraId="402929C6">
            <w:pPr>
              <w:spacing w:line="360" w:lineRule="auto"/>
              <w:ind w:left="0" w:leftChars="0" w:firstLine="0" w:firstLineChars="0"/>
              <w:jc w:val="both"/>
              <w:rPr>
                <w:color w:val="auto"/>
                <w:szCs w:val="21"/>
                <w:highlight w:val="none"/>
              </w:rPr>
            </w:pPr>
            <w:r>
              <w:rPr>
                <w:color w:val="auto"/>
                <w:szCs w:val="21"/>
                <w:highlight w:val="none"/>
              </w:rPr>
              <w:t>认证证书有效截止日期</w:t>
            </w:r>
          </w:p>
        </w:tc>
      </w:tr>
      <w:sdt>
        <w:sdtPr>
          <w:rPr>
            <w:color w:val="auto"/>
            <w:szCs w:val="21"/>
            <w:highlight w:val="none"/>
          </w:rPr>
          <w:alias w:val="需要增加行，点击右下角“+”"/>
          <w:tag w:val="需要增加行，点击右下角“+”"/>
          <w:id w:val="-1275391270"/>
          <w15:repeatingSection/>
        </w:sdtPr>
        <w:sdtEndPr>
          <w:rPr>
            <w:color w:val="auto"/>
            <w:szCs w:val="21"/>
            <w:highlight w:val="none"/>
          </w:rPr>
        </w:sdtEndPr>
        <w:sdtContent>
          <w:sdt>
            <w:sdtPr>
              <w:rPr>
                <w:color w:val="auto"/>
                <w:szCs w:val="21"/>
                <w:highlight w:val="none"/>
              </w:rPr>
              <w:id w:val="430238851"/>
              <w:placeholder>
                <w:docPart w:val="{b2e307ab-b4c8-46bd-93dc-1e787e27a9b1}"/>
              </w:placeholder>
              <w15:repeatingSectionItem/>
            </w:sdtPr>
            <w:sdtEndPr>
              <w:rPr>
                <w:color w:val="auto"/>
                <w:szCs w:val="21"/>
                <w:highlight w:val="none"/>
              </w:rPr>
            </w:sdtEndPr>
            <w:sdtContent>
              <w:tr w14:paraId="03350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216A1657">
                    <w:pPr>
                      <w:spacing w:line="360" w:lineRule="auto"/>
                      <w:rPr>
                        <w:color w:val="auto"/>
                        <w:szCs w:val="21"/>
                        <w:highlight w:val="none"/>
                      </w:rPr>
                    </w:pPr>
                  </w:p>
                </w:tc>
                <w:tc>
                  <w:tcPr>
                    <w:tcW w:w="1199" w:type="dxa"/>
                    <w:tcBorders>
                      <w:top w:val="single" w:color="auto" w:sz="4" w:space="0"/>
                      <w:left w:val="single" w:color="auto" w:sz="4" w:space="0"/>
                      <w:bottom w:val="single" w:color="auto" w:sz="4" w:space="0"/>
                      <w:right w:val="single" w:color="auto" w:sz="4" w:space="0"/>
                    </w:tcBorders>
                    <w:shd w:val="clear" w:color="auto" w:fill="auto"/>
                  </w:tcPr>
                  <w:p w14:paraId="7DE7C126">
                    <w:pPr>
                      <w:spacing w:line="360" w:lineRule="auto"/>
                      <w:rPr>
                        <w:color w:val="auto"/>
                        <w:szCs w:val="21"/>
                        <w:highlight w:val="none"/>
                      </w:rPr>
                    </w:pPr>
                  </w:p>
                </w:tc>
                <w:tc>
                  <w:tcPr>
                    <w:tcW w:w="1199" w:type="dxa"/>
                    <w:tcBorders>
                      <w:top w:val="single" w:color="auto" w:sz="4" w:space="0"/>
                      <w:left w:val="single" w:color="auto" w:sz="4" w:space="0"/>
                      <w:bottom w:val="single" w:color="auto" w:sz="4" w:space="0"/>
                      <w:right w:val="single" w:color="auto" w:sz="4" w:space="0"/>
                    </w:tcBorders>
                    <w:shd w:val="clear" w:color="auto" w:fill="auto"/>
                  </w:tcPr>
                  <w:p w14:paraId="3EE9BBD3">
                    <w:pPr>
                      <w:spacing w:line="360" w:lineRule="auto"/>
                      <w:rPr>
                        <w:color w:val="auto"/>
                        <w:szCs w:val="21"/>
                        <w:highlight w:val="none"/>
                      </w:rPr>
                    </w:pPr>
                  </w:p>
                </w:tc>
                <w:tc>
                  <w:tcPr>
                    <w:tcW w:w="1199" w:type="dxa"/>
                    <w:tcBorders>
                      <w:top w:val="single" w:color="auto" w:sz="4" w:space="0"/>
                      <w:left w:val="single" w:color="auto" w:sz="4" w:space="0"/>
                      <w:bottom w:val="single" w:color="auto" w:sz="4" w:space="0"/>
                      <w:right w:val="single" w:color="auto" w:sz="4" w:space="0"/>
                    </w:tcBorders>
                    <w:shd w:val="clear" w:color="auto" w:fill="auto"/>
                  </w:tcPr>
                  <w:p w14:paraId="27D77295">
                    <w:pPr>
                      <w:spacing w:line="360" w:lineRule="auto"/>
                      <w:rPr>
                        <w:color w:val="auto"/>
                        <w:szCs w:val="21"/>
                        <w:highlight w:val="none"/>
                      </w:rPr>
                    </w:pPr>
                  </w:p>
                </w:tc>
                <w:tc>
                  <w:tcPr>
                    <w:tcW w:w="2068" w:type="dxa"/>
                    <w:tcBorders>
                      <w:top w:val="single" w:color="auto" w:sz="4" w:space="0"/>
                      <w:left w:val="single" w:color="auto" w:sz="4" w:space="0"/>
                      <w:bottom w:val="single" w:color="auto" w:sz="4" w:space="0"/>
                      <w:right w:val="single" w:color="auto" w:sz="4" w:space="0"/>
                    </w:tcBorders>
                    <w:shd w:val="clear" w:color="auto" w:fill="auto"/>
                  </w:tcPr>
                  <w:p w14:paraId="0F538B4F">
                    <w:pPr>
                      <w:spacing w:line="360" w:lineRule="auto"/>
                      <w:rPr>
                        <w:color w:val="auto"/>
                        <w:szCs w:val="21"/>
                        <w:highlight w:val="none"/>
                      </w:rPr>
                    </w:pPr>
                  </w:p>
                </w:tc>
                <w:tc>
                  <w:tcPr>
                    <w:tcW w:w="2622" w:type="dxa"/>
                    <w:tcBorders>
                      <w:top w:val="single" w:color="auto" w:sz="4" w:space="0"/>
                      <w:left w:val="single" w:color="auto" w:sz="4" w:space="0"/>
                      <w:bottom w:val="single" w:color="auto" w:sz="4" w:space="0"/>
                      <w:right w:val="single" w:color="auto" w:sz="4" w:space="0"/>
                    </w:tcBorders>
                    <w:shd w:val="clear" w:color="auto" w:fill="auto"/>
                  </w:tcPr>
                  <w:p w14:paraId="13140CA0">
                    <w:pPr>
                      <w:spacing w:line="360" w:lineRule="auto"/>
                      <w:rPr>
                        <w:color w:val="auto"/>
                        <w:szCs w:val="21"/>
                        <w:highlight w:val="none"/>
                      </w:rPr>
                    </w:pPr>
                  </w:p>
                </w:tc>
              </w:tr>
            </w:sdtContent>
          </w:sdt>
          <w:sdt>
            <w:sdtPr>
              <w:rPr>
                <w:color w:val="auto"/>
                <w:szCs w:val="21"/>
                <w:highlight w:val="none"/>
              </w:rPr>
              <w:id w:val="1067304110"/>
              <w:placeholder>
                <w:docPart w:val="{8fa5801c-7bbc-48a8-98d0-4511ba0696dd}"/>
              </w:placeholder>
              <w15:repeatingSectionItem/>
            </w:sdtPr>
            <w:sdtEndPr>
              <w:rPr>
                <w:color w:val="auto"/>
                <w:szCs w:val="21"/>
                <w:highlight w:val="none"/>
              </w:rPr>
            </w:sdtEndPr>
            <w:sdtContent>
              <w:tr w14:paraId="4C9B1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2590012E">
                    <w:pPr>
                      <w:spacing w:line="360" w:lineRule="auto"/>
                      <w:rPr>
                        <w:color w:val="auto"/>
                        <w:szCs w:val="21"/>
                        <w:highlight w:val="none"/>
                      </w:rPr>
                    </w:pPr>
                  </w:p>
                </w:tc>
                <w:tc>
                  <w:tcPr>
                    <w:tcW w:w="1199" w:type="dxa"/>
                    <w:tcBorders>
                      <w:top w:val="single" w:color="auto" w:sz="4" w:space="0"/>
                      <w:left w:val="single" w:color="auto" w:sz="4" w:space="0"/>
                      <w:bottom w:val="single" w:color="auto" w:sz="4" w:space="0"/>
                      <w:right w:val="single" w:color="auto" w:sz="4" w:space="0"/>
                    </w:tcBorders>
                    <w:shd w:val="clear" w:color="auto" w:fill="auto"/>
                  </w:tcPr>
                  <w:p w14:paraId="2089FAD0">
                    <w:pPr>
                      <w:spacing w:line="360" w:lineRule="auto"/>
                      <w:rPr>
                        <w:color w:val="auto"/>
                        <w:szCs w:val="21"/>
                        <w:highlight w:val="none"/>
                      </w:rPr>
                    </w:pPr>
                  </w:p>
                </w:tc>
                <w:tc>
                  <w:tcPr>
                    <w:tcW w:w="1199" w:type="dxa"/>
                    <w:tcBorders>
                      <w:top w:val="single" w:color="auto" w:sz="4" w:space="0"/>
                      <w:left w:val="single" w:color="auto" w:sz="4" w:space="0"/>
                      <w:bottom w:val="single" w:color="auto" w:sz="4" w:space="0"/>
                      <w:right w:val="single" w:color="auto" w:sz="4" w:space="0"/>
                    </w:tcBorders>
                    <w:shd w:val="clear" w:color="auto" w:fill="auto"/>
                  </w:tcPr>
                  <w:p w14:paraId="6867B169">
                    <w:pPr>
                      <w:spacing w:line="360" w:lineRule="auto"/>
                      <w:rPr>
                        <w:color w:val="auto"/>
                        <w:szCs w:val="21"/>
                        <w:highlight w:val="none"/>
                      </w:rPr>
                    </w:pPr>
                  </w:p>
                </w:tc>
                <w:tc>
                  <w:tcPr>
                    <w:tcW w:w="1199" w:type="dxa"/>
                    <w:tcBorders>
                      <w:top w:val="single" w:color="auto" w:sz="4" w:space="0"/>
                      <w:left w:val="single" w:color="auto" w:sz="4" w:space="0"/>
                      <w:bottom w:val="single" w:color="auto" w:sz="4" w:space="0"/>
                      <w:right w:val="single" w:color="auto" w:sz="4" w:space="0"/>
                    </w:tcBorders>
                    <w:shd w:val="clear" w:color="auto" w:fill="auto"/>
                  </w:tcPr>
                  <w:p w14:paraId="6D0DFDA8">
                    <w:pPr>
                      <w:spacing w:line="360" w:lineRule="auto"/>
                      <w:rPr>
                        <w:color w:val="auto"/>
                        <w:szCs w:val="21"/>
                        <w:highlight w:val="none"/>
                      </w:rPr>
                    </w:pPr>
                  </w:p>
                </w:tc>
                <w:tc>
                  <w:tcPr>
                    <w:tcW w:w="2068" w:type="dxa"/>
                    <w:tcBorders>
                      <w:top w:val="single" w:color="auto" w:sz="4" w:space="0"/>
                      <w:left w:val="single" w:color="auto" w:sz="4" w:space="0"/>
                      <w:bottom w:val="single" w:color="auto" w:sz="4" w:space="0"/>
                      <w:right w:val="single" w:color="auto" w:sz="4" w:space="0"/>
                    </w:tcBorders>
                    <w:shd w:val="clear" w:color="auto" w:fill="auto"/>
                  </w:tcPr>
                  <w:p w14:paraId="4CC9012E">
                    <w:pPr>
                      <w:spacing w:line="360" w:lineRule="auto"/>
                      <w:rPr>
                        <w:color w:val="auto"/>
                        <w:szCs w:val="21"/>
                        <w:highlight w:val="none"/>
                      </w:rPr>
                    </w:pPr>
                  </w:p>
                </w:tc>
                <w:tc>
                  <w:tcPr>
                    <w:tcW w:w="2622" w:type="dxa"/>
                    <w:tcBorders>
                      <w:top w:val="single" w:color="auto" w:sz="4" w:space="0"/>
                      <w:left w:val="single" w:color="auto" w:sz="4" w:space="0"/>
                      <w:bottom w:val="single" w:color="auto" w:sz="4" w:space="0"/>
                      <w:right w:val="single" w:color="auto" w:sz="4" w:space="0"/>
                    </w:tcBorders>
                    <w:shd w:val="clear" w:color="auto" w:fill="auto"/>
                  </w:tcPr>
                  <w:p w14:paraId="563F11CF">
                    <w:pPr>
                      <w:spacing w:line="360" w:lineRule="auto"/>
                      <w:rPr>
                        <w:color w:val="auto"/>
                        <w:szCs w:val="21"/>
                        <w:highlight w:val="none"/>
                      </w:rPr>
                    </w:pPr>
                  </w:p>
                </w:tc>
              </w:tr>
            </w:sdtContent>
          </w:sdt>
        </w:sdtContent>
      </w:sdt>
    </w:tbl>
    <w:p w14:paraId="742981CB">
      <w:pPr>
        <w:pStyle w:val="35"/>
        <w:widowControl w:val="0"/>
        <w:numPr>
          <w:ilvl w:val="0"/>
          <w:numId w:val="14"/>
        </w:numPr>
        <w:adjustRightInd w:val="0"/>
        <w:snapToGrid w:val="0"/>
        <w:spacing w:before="0" w:beforeAutospacing="0" w:after="0" w:afterAutospacing="0" w:line="480" w:lineRule="exact"/>
        <w:rPr>
          <w:rFonts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lang w:eastAsia="zh-CN"/>
        </w:rPr>
        <w:t>投标</w:t>
      </w:r>
      <w:r>
        <w:rPr>
          <w:rFonts w:ascii="Times New Roman" w:hAnsi="Times New Roman" w:cs="Times New Roman"/>
          <w:color w:val="auto"/>
          <w:sz w:val="21"/>
          <w:szCs w:val="21"/>
          <w:highlight w:val="none"/>
        </w:rPr>
        <w:t>响应</w:t>
      </w:r>
      <w:r>
        <w:rPr>
          <w:rFonts w:cs="Times New Roman"/>
          <w:color w:val="auto"/>
          <w:sz w:val="21"/>
          <w:szCs w:val="21"/>
          <w:highlight w:val="none"/>
        </w:rPr>
        <w:t>“品目清单”</w:t>
      </w:r>
      <w:r>
        <w:rPr>
          <w:rFonts w:ascii="Times New Roman" w:hAnsi="Times New Roman" w:cs="Times New Roman"/>
          <w:color w:val="auto"/>
          <w:sz w:val="21"/>
          <w:szCs w:val="21"/>
          <w:highlight w:val="none"/>
        </w:rPr>
        <w:t>中非政府强制采购产品的将给予适当加分</w:t>
      </w:r>
      <w:r>
        <w:rPr>
          <w:rFonts w:hint="eastAsia" w:ascii="Times New Roman" w:hAnsi="Times New Roman" w:cs="Times New Roman"/>
          <w:color w:val="auto"/>
          <w:sz w:val="21"/>
          <w:szCs w:val="21"/>
          <w:highlight w:val="none"/>
          <w:lang w:eastAsia="zh-CN"/>
        </w:rPr>
        <w:t>。</w:t>
      </w:r>
    </w:p>
    <w:p w14:paraId="776532FE">
      <w:pPr>
        <w:pStyle w:val="35"/>
        <w:widowControl w:val="0"/>
        <w:numPr>
          <w:ilvl w:val="0"/>
          <w:numId w:val="14"/>
        </w:numPr>
        <w:adjustRightInd w:val="0"/>
        <w:snapToGrid w:val="0"/>
        <w:spacing w:before="0" w:beforeAutospacing="0" w:after="0" w:afterAutospacing="0" w:line="480" w:lineRule="exact"/>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认证证书附后（有效期之内的节能产品</w:t>
      </w:r>
      <w:r>
        <w:rPr>
          <w:rFonts w:hint="eastAsia" w:ascii="Times New Roman" w:hAnsi="Times New Roman" w:cs="Times New Roman"/>
          <w:color w:val="auto"/>
          <w:sz w:val="21"/>
          <w:szCs w:val="21"/>
          <w:highlight w:val="none"/>
        </w:rPr>
        <w:t>认证证书</w:t>
      </w:r>
      <w:r>
        <w:rPr>
          <w:rFonts w:ascii="Times New Roman" w:hAnsi="Times New Roman" w:cs="Times New Roman"/>
          <w:color w:val="auto"/>
          <w:sz w:val="21"/>
          <w:szCs w:val="21"/>
          <w:highlight w:val="none"/>
        </w:rPr>
        <w:t>、环境标志产品</w:t>
      </w:r>
      <w:r>
        <w:rPr>
          <w:rFonts w:hint="eastAsia" w:ascii="Times New Roman" w:hAnsi="Times New Roman" w:cs="Times New Roman"/>
          <w:color w:val="auto"/>
          <w:sz w:val="21"/>
          <w:szCs w:val="21"/>
          <w:highlight w:val="none"/>
        </w:rPr>
        <w:t>认证</w:t>
      </w:r>
      <w:r>
        <w:rPr>
          <w:rFonts w:ascii="Times New Roman" w:hAnsi="Times New Roman" w:cs="Times New Roman"/>
          <w:color w:val="auto"/>
          <w:sz w:val="21"/>
          <w:szCs w:val="21"/>
          <w:highlight w:val="none"/>
        </w:rPr>
        <w:t>证书</w:t>
      </w:r>
      <w:r>
        <w:rPr>
          <w:rFonts w:hint="eastAsia" w:ascii="Times New Roman" w:hAnsi="Times New Roman" w:cs="Times New Roman"/>
          <w:color w:val="auto"/>
          <w:sz w:val="21"/>
          <w:szCs w:val="21"/>
          <w:highlight w:val="none"/>
        </w:rPr>
        <w:t>扫描件</w:t>
      </w:r>
      <w:r>
        <w:rPr>
          <w:rFonts w:ascii="Times New Roman" w:hAnsi="Times New Roman" w:cs="Times New Roman"/>
          <w:color w:val="auto"/>
          <w:sz w:val="21"/>
          <w:szCs w:val="21"/>
          <w:highlight w:val="none"/>
        </w:rPr>
        <w:t>）。</w:t>
      </w:r>
    </w:p>
    <w:p w14:paraId="006229D9">
      <w:pPr>
        <w:pStyle w:val="35"/>
        <w:widowControl w:val="0"/>
        <w:adjustRightInd w:val="0"/>
        <w:snapToGrid w:val="0"/>
        <w:spacing w:before="0" w:beforeAutospacing="0" w:after="0" w:afterAutospacing="0" w:line="480" w:lineRule="exact"/>
        <w:rPr>
          <w:rFonts w:ascii="Times New Roman" w:hAnsi="Times New Roman" w:cs="Times New Roman"/>
          <w:color w:val="auto"/>
          <w:sz w:val="21"/>
          <w:szCs w:val="21"/>
          <w:highlight w:val="none"/>
        </w:rPr>
      </w:pPr>
    </w:p>
    <w:p w14:paraId="50EC08C7">
      <w:pPr>
        <w:snapToGrid w:val="0"/>
        <w:spacing w:line="360" w:lineRule="auto"/>
        <w:ind w:firstLine="3600" w:firstLineChars="1500"/>
        <w:jc w:val="left"/>
        <w:rPr>
          <w:color w:val="auto"/>
          <w:szCs w:val="21"/>
          <w:highlight w:val="none"/>
        </w:rPr>
      </w:pPr>
    </w:p>
    <w:p w14:paraId="58044763">
      <w:pPr>
        <w:spacing w:line="480" w:lineRule="auto"/>
        <w:ind w:firstLine="4080" w:firstLineChars="1700"/>
        <w:rPr>
          <w:color w:val="auto"/>
          <w:highlight w:val="none"/>
          <w:u w:val="single"/>
        </w:rPr>
      </w:pPr>
      <w:r>
        <w:rPr>
          <w:rFonts w:hint="eastAsia"/>
          <w:color w:val="auto"/>
          <w:highlight w:val="none"/>
        </w:rPr>
        <w:t>投标人全称：</w:t>
      </w:r>
      <w:r>
        <w:rPr>
          <w:rFonts w:hint="eastAsia"/>
          <w:color w:val="auto"/>
          <w:highlight w:val="none"/>
          <w:u w:val="single"/>
        </w:rPr>
        <w:t xml:space="preserve">               （公章）</w:t>
      </w:r>
    </w:p>
    <w:p w14:paraId="1B6AA989">
      <w:pPr>
        <w:spacing w:line="480" w:lineRule="auto"/>
        <w:ind w:firstLine="1440" w:firstLineChars="600"/>
        <w:rPr>
          <w:color w:val="auto"/>
          <w:highlight w:val="none"/>
          <w:u w:val="single"/>
        </w:rPr>
      </w:pPr>
      <w:r>
        <w:rPr>
          <w:rFonts w:hint="eastAsia"/>
          <w:color w:val="auto"/>
          <w:highlight w:val="none"/>
        </w:rPr>
        <w:t>法定代表人（或单位负责人）或委托代理人：</w:t>
      </w:r>
      <w:r>
        <w:rPr>
          <w:rFonts w:hint="eastAsia"/>
          <w:color w:val="auto"/>
          <w:highlight w:val="none"/>
          <w:u w:val="single"/>
        </w:rPr>
        <w:t xml:space="preserve">      （签字或盖章）</w:t>
      </w:r>
      <w:r>
        <w:rPr>
          <w:rFonts w:hint="eastAsia"/>
          <w:color w:val="auto"/>
          <w:highlight w:val="none"/>
        </w:rPr>
        <w:t xml:space="preserve">                                   </w:t>
      </w:r>
    </w:p>
    <w:p w14:paraId="785AE505">
      <w:pPr>
        <w:tabs>
          <w:tab w:val="left" w:pos="3378"/>
        </w:tabs>
        <w:overflowPunct w:val="0"/>
        <w:topLinePunct/>
        <w:autoSpaceDN w:val="0"/>
        <w:adjustRightInd w:val="0"/>
        <w:snapToGrid w:val="0"/>
        <w:ind w:firstLine="2160" w:firstLineChars="900"/>
        <w:rPr>
          <w:snapToGrid w:val="0"/>
          <w:color w:val="auto"/>
          <w:kern w:val="0"/>
          <w:szCs w:val="21"/>
          <w:highlight w:val="none"/>
          <w:u w:val="single"/>
        </w:rPr>
      </w:pPr>
      <w:r>
        <w:rPr>
          <w:rFonts w:hint="eastAsia"/>
          <w:color w:val="auto"/>
          <w:highlight w:val="none"/>
        </w:rPr>
        <w:t xml:space="preserve">                      日      期：     年   月   日</w:t>
      </w:r>
    </w:p>
    <w:p w14:paraId="3F76840A">
      <w:pPr>
        <w:pStyle w:val="35"/>
        <w:widowControl w:val="0"/>
        <w:adjustRightInd w:val="0"/>
        <w:snapToGrid w:val="0"/>
        <w:spacing w:before="0" w:beforeAutospacing="0" w:after="0" w:afterAutospacing="0" w:line="480" w:lineRule="exact"/>
        <w:rPr>
          <w:rFonts w:ascii="Times New Roman" w:hAnsi="Times New Roman" w:cs="Times New Roman"/>
          <w:color w:val="auto"/>
          <w:sz w:val="21"/>
          <w:szCs w:val="21"/>
          <w:highlight w:val="none"/>
        </w:rPr>
      </w:pPr>
    </w:p>
    <w:p w14:paraId="1EC50EFF">
      <w:pPr>
        <w:pStyle w:val="35"/>
        <w:widowControl w:val="0"/>
        <w:adjustRightInd w:val="0"/>
        <w:snapToGrid w:val="0"/>
        <w:spacing w:before="0" w:beforeAutospacing="0" w:after="0" w:afterAutospacing="0" w:line="480" w:lineRule="exact"/>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br w:type="page"/>
      </w:r>
    </w:p>
    <w:p w14:paraId="08DD042A">
      <w:pPr>
        <w:spacing w:line="360" w:lineRule="auto"/>
        <w:jc w:val="center"/>
        <w:outlineLvl w:val="4"/>
        <w:rPr>
          <w:b/>
          <w:color w:val="auto"/>
          <w:sz w:val="24"/>
          <w:highlight w:val="none"/>
        </w:rPr>
      </w:pPr>
      <w:r>
        <w:rPr>
          <w:b/>
          <w:color w:val="auto"/>
          <w:sz w:val="24"/>
          <w:highlight w:val="none"/>
        </w:rPr>
        <w:fldChar w:fldCharType="begin"/>
      </w:r>
      <w:r>
        <w:rPr>
          <w:b/>
          <w:color w:val="auto"/>
          <w:sz w:val="24"/>
          <w:highlight w:val="none"/>
        </w:rPr>
        <w:instrText xml:space="preserve"> TC  </w:instrText>
      </w:r>
      <w:bookmarkStart w:id="56" w:name="_Toc166831193"/>
      <w:r>
        <w:rPr>
          <w:b/>
          <w:color w:val="auto"/>
          <w:sz w:val="24"/>
          <w:highlight w:val="none"/>
        </w:rPr>
        <w:instrText xml:space="preserve">政府</w:instrText>
      </w:r>
      <w:r>
        <w:rPr>
          <w:rFonts w:hint="eastAsia"/>
          <w:b/>
          <w:color w:val="auto"/>
          <w:sz w:val="24"/>
          <w:highlight w:val="none"/>
        </w:rPr>
        <w:instrText xml:space="preserve">优先</w:instrText>
      </w:r>
      <w:r>
        <w:rPr>
          <w:b/>
          <w:color w:val="auto"/>
          <w:sz w:val="24"/>
          <w:highlight w:val="none"/>
        </w:rPr>
        <w:instrText xml:space="preserve">采购产品明细表</w:instrText>
      </w:r>
      <w:bookmarkEnd w:id="56"/>
      <w:r>
        <w:rPr>
          <w:b/>
          <w:color w:val="auto"/>
          <w:sz w:val="24"/>
          <w:highlight w:val="none"/>
        </w:rPr>
        <w:instrText xml:space="preserve"> \f x\l </w:instrText>
      </w:r>
      <w:r>
        <w:rPr>
          <w:rFonts w:hint="eastAsia"/>
          <w:b/>
          <w:color w:val="auto"/>
          <w:sz w:val="24"/>
          <w:highlight w:val="none"/>
        </w:rPr>
        <w:instrText xml:space="preserve">2</w:instrText>
      </w:r>
      <w:r>
        <w:rPr>
          <w:b/>
          <w:color w:val="auto"/>
          <w:sz w:val="24"/>
          <w:highlight w:val="none"/>
        </w:rPr>
        <w:instrText xml:space="preserve"> \n </w:instrText>
      </w:r>
      <w:r>
        <w:rPr>
          <w:b/>
          <w:color w:val="auto"/>
          <w:sz w:val="24"/>
          <w:highlight w:val="none"/>
        </w:rPr>
        <w:fldChar w:fldCharType="end"/>
      </w:r>
      <w:r>
        <w:rPr>
          <w:b/>
          <w:color w:val="auto"/>
          <w:sz w:val="24"/>
          <w:highlight w:val="none"/>
        </w:rPr>
        <w:t>政府</w:t>
      </w:r>
      <w:r>
        <w:rPr>
          <w:rFonts w:hint="eastAsia"/>
          <w:b/>
          <w:color w:val="auto"/>
          <w:sz w:val="24"/>
          <w:highlight w:val="none"/>
        </w:rPr>
        <w:t>优先</w:t>
      </w:r>
      <w:r>
        <w:rPr>
          <w:b/>
          <w:color w:val="auto"/>
          <w:sz w:val="24"/>
          <w:highlight w:val="none"/>
        </w:rPr>
        <w:t>采购产品明细表</w:t>
      </w:r>
    </w:p>
    <w:p w14:paraId="21F5633A">
      <w:pPr>
        <w:spacing w:line="360" w:lineRule="auto"/>
        <w:ind w:left="2100" w:firstLine="420"/>
        <w:rPr>
          <w:b/>
          <w:color w:val="auto"/>
          <w:sz w:val="24"/>
          <w:highlight w:val="none"/>
        </w:rPr>
      </w:pPr>
    </w:p>
    <w:tbl>
      <w:tblPr>
        <w:tblStyle w:val="40"/>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199"/>
        <w:gridCol w:w="1199"/>
        <w:gridCol w:w="1199"/>
        <w:gridCol w:w="2068"/>
        <w:gridCol w:w="2622"/>
      </w:tblGrid>
      <w:tr w14:paraId="29CDC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vAlign w:val="center"/>
          </w:tcPr>
          <w:p w14:paraId="5DEC62BD">
            <w:pPr>
              <w:spacing w:line="360" w:lineRule="auto"/>
              <w:ind w:left="0" w:leftChars="0" w:firstLine="0" w:firstLineChars="0"/>
              <w:jc w:val="both"/>
              <w:rPr>
                <w:color w:val="auto"/>
                <w:szCs w:val="21"/>
                <w:highlight w:val="none"/>
              </w:rPr>
            </w:pPr>
            <w:r>
              <w:rPr>
                <w:color w:val="auto"/>
                <w:szCs w:val="21"/>
                <w:highlight w:val="none"/>
              </w:rPr>
              <w:t>包号</w:t>
            </w: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14:paraId="5094CF1E">
            <w:pPr>
              <w:spacing w:line="360" w:lineRule="auto"/>
              <w:ind w:left="0" w:leftChars="0" w:firstLine="0" w:firstLineChars="0"/>
              <w:jc w:val="both"/>
              <w:rPr>
                <w:color w:val="auto"/>
                <w:szCs w:val="21"/>
                <w:highlight w:val="none"/>
              </w:rPr>
            </w:pPr>
            <w:r>
              <w:rPr>
                <w:color w:val="auto"/>
                <w:szCs w:val="21"/>
                <w:highlight w:val="none"/>
              </w:rPr>
              <w:t>产品名称</w:t>
            </w: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14:paraId="77DA7F4C">
            <w:pPr>
              <w:spacing w:line="360" w:lineRule="auto"/>
              <w:ind w:left="0" w:leftChars="0" w:firstLine="0" w:firstLineChars="0"/>
              <w:jc w:val="both"/>
              <w:rPr>
                <w:color w:val="auto"/>
                <w:szCs w:val="21"/>
                <w:highlight w:val="none"/>
              </w:rPr>
            </w:pPr>
            <w:r>
              <w:rPr>
                <w:color w:val="auto"/>
                <w:szCs w:val="21"/>
                <w:highlight w:val="none"/>
              </w:rPr>
              <w:t>制造商</w:t>
            </w: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14:paraId="145278CE">
            <w:pPr>
              <w:spacing w:line="360" w:lineRule="auto"/>
              <w:ind w:left="0" w:leftChars="0" w:firstLine="0" w:firstLineChars="0"/>
              <w:jc w:val="both"/>
              <w:rPr>
                <w:color w:val="auto"/>
                <w:szCs w:val="21"/>
                <w:highlight w:val="none"/>
              </w:rPr>
            </w:pPr>
            <w:r>
              <w:rPr>
                <w:color w:val="auto"/>
                <w:szCs w:val="21"/>
                <w:highlight w:val="none"/>
              </w:rPr>
              <w:t>产品型号</w:t>
            </w:r>
          </w:p>
        </w:tc>
        <w:tc>
          <w:tcPr>
            <w:tcW w:w="2068" w:type="dxa"/>
            <w:tcBorders>
              <w:top w:val="single" w:color="auto" w:sz="4" w:space="0"/>
              <w:left w:val="single" w:color="auto" w:sz="4" w:space="0"/>
              <w:bottom w:val="single" w:color="auto" w:sz="4" w:space="0"/>
              <w:right w:val="single" w:color="auto" w:sz="4" w:space="0"/>
            </w:tcBorders>
            <w:shd w:val="clear" w:color="auto" w:fill="auto"/>
            <w:vAlign w:val="center"/>
          </w:tcPr>
          <w:p w14:paraId="3AF1236B">
            <w:pPr>
              <w:spacing w:line="360" w:lineRule="auto"/>
              <w:ind w:left="0" w:leftChars="0" w:firstLine="0" w:firstLineChars="0"/>
              <w:jc w:val="both"/>
              <w:rPr>
                <w:color w:val="auto"/>
                <w:szCs w:val="21"/>
                <w:highlight w:val="none"/>
              </w:rPr>
            </w:pPr>
            <w:r>
              <w:rPr>
                <w:color w:val="auto"/>
                <w:szCs w:val="21"/>
                <w:highlight w:val="none"/>
              </w:rPr>
              <w:t>产品认证证书号</w:t>
            </w:r>
          </w:p>
        </w:tc>
        <w:tc>
          <w:tcPr>
            <w:tcW w:w="2622" w:type="dxa"/>
            <w:tcBorders>
              <w:top w:val="single" w:color="auto" w:sz="4" w:space="0"/>
              <w:left w:val="single" w:color="auto" w:sz="4" w:space="0"/>
              <w:bottom w:val="single" w:color="auto" w:sz="4" w:space="0"/>
              <w:right w:val="single" w:color="auto" w:sz="4" w:space="0"/>
            </w:tcBorders>
            <w:shd w:val="clear" w:color="auto" w:fill="auto"/>
            <w:vAlign w:val="center"/>
          </w:tcPr>
          <w:p w14:paraId="4FE89CA2">
            <w:pPr>
              <w:spacing w:line="360" w:lineRule="auto"/>
              <w:ind w:left="0" w:leftChars="0" w:firstLine="0" w:firstLineChars="0"/>
              <w:jc w:val="both"/>
              <w:rPr>
                <w:color w:val="auto"/>
                <w:szCs w:val="21"/>
                <w:highlight w:val="none"/>
              </w:rPr>
            </w:pPr>
            <w:r>
              <w:rPr>
                <w:color w:val="auto"/>
                <w:szCs w:val="21"/>
                <w:highlight w:val="none"/>
              </w:rPr>
              <w:t>认证证书有效截止日期</w:t>
            </w:r>
          </w:p>
        </w:tc>
      </w:tr>
      <w:sdt>
        <w:sdtPr>
          <w:rPr>
            <w:color w:val="auto"/>
            <w:szCs w:val="21"/>
            <w:highlight w:val="none"/>
          </w:rPr>
          <w:alias w:val="需要增加行，点击右下角“+”"/>
          <w:tag w:val="需要增加行，点击右下角“+”"/>
          <w:id w:val="1628199365"/>
          <w15:repeatingSection/>
        </w:sdtPr>
        <w:sdtEndPr>
          <w:rPr>
            <w:color w:val="auto"/>
            <w:szCs w:val="21"/>
            <w:highlight w:val="none"/>
          </w:rPr>
        </w:sdtEndPr>
        <w:sdtContent>
          <w:sdt>
            <w:sdtPr>
              <w:rPr>
                <w:color w:val="auto"/>
                <w:szCs w:val="21"/>
                <w:highlight w:val="none"/>
              </w:rPr>
              <w:id w:val="908812534"/>
              <w:placeholder>
                <w:docPart w:val="{a97ee030-d951-4b31-83f3-3c35dec02419}"/>
              </w:placeholder>
              <w15:repeatingSectionItem/>
            </w:sdtPr>
            <w:sdtEndPr>
              <w:rPr>
                <w:color w:val="auto"/>
                <w:szCs w:val="21"/>
                <w:highlight w:val="none"/>
              </w:rPr>
            </w:sdtEndPr>
            <w:sdtContent>
              <w:tr w14:paraId="21720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5674BC82">
                    <w:pPr>
                      <w:spacing w:line="360" w:lineRule="auto"/>
                      <w:rPr>
                        <w:color w:val="auto"/>
                        <w:szCs w:val="21"/>
                        <w:highlight w:val="none"/>
                      </w:rPr>
                    </w:pPr>
                  </w:p>
                </w:tc>
                <w:tc>
                  <w:tcPr>
                    <w:tcW w:w="1199" w:type="dxa"/>
                    <w:tcBorders>
                      <w:top w:val="single" w:color="auto" w:sz="4" w:space="0"/>
                      <w:left w:val="single" w:color="auto" w:sz="4" w:space="0"/>
                      <w:bottom w:val="single" w:color="auto" w:sz="4" w:space="0"/>
                      <w:right w:val="single" w:color="auto" w:sz="4" w:space="0"/>
                    </w:tcBorders>
                    <w:shd w:val="clear" w:color="auto" w:fill="auto"/>
                  </w:tcPr>
                  <w:p w14:paraId="5770A410">
                    <w:pPr>
                      <w:spacing w:line="360" w:lineRule="auto"/>
                      <w:rPr>
                        <w:color w:val="auto"/>
                        <w:szCs w:val="21"/>
                        <w:highlight w:val="none"/>
                      </w:rPr>
                    </w:pPr>
                  </w:p>
                </w:tc>
                <w:tc>
                  <w:tcPr>
                    <w:tcW w:w="1199" w:type="dxa"/>
                    <w:tcBorders>
                      <w:top w:val="single" w:color="auto" w:sz="4" w:space="0"/>
                      <w:left w:val="single" w:color="auto" w:sz="4" w:space="0"/>
                      <w:bottom w:val="single" w:color="auto" w:sz="4" w:space="0"/>
                      <w:right w:val="single" w:color="auto" w:sz="4" w:space="0"/>
                    </w:tcBorders>
                    <w:shd w:val="clear" w:color="auto" w:fill="auto"/>
                  </w:tcPr>
                  <w:p w14:paraId="1752D5AD">
                    <w:pPr>
                      <w:spacing w:line="360" w:lineRule="auto"/>
                      <w:rPr>
                        <w:color w:val="auto"/>
                        <w:szCs w:val="21"/>
                        <w:highlight w:val="none"/>
                      </w:rPr>
                    </w:pPr>
                  </w:p>
                </w:tc>
                <w:tc>
                  <w:tcPr>
                    <w:tcW w:w="1199" w:type="dxa"/>
                    <w:tcBorders>
                      <w:top w:val="single" w:color="auto" w:sz="4" w:space="0"/>
                      <w:left w:val="single" w:color="auto" w:sz="4" w:space="0"/>
                      <w:bottom w:val="single" w:color="auto" w:sz="4" w:space="0"/>
                      <w:right w:val="single" w:color="auto" w:sz="4" w:space="0"/>
                    </w:tcBorders>
                    <w:shd w:val="clear" w:color="auto" w:fill="auto"/>
                  </w:tcPr>
                  <w:p w14:paraId="5FDC1BD9">
                    <w:pPr>
                      <w:spacing w:line="360" w:lineRule="auto"/>
                      <w:rPr>
                        <w:color w:val="auto"/>
                        <w:szCs w:val="21"/>
                        <w:highlight w:val="none"/>
                      </w:rPr>
                    </w:pPr>
                  </w:p>
                </w:tc>
                <w:tc>
                  <w:tcPr>
                    <w:tcW w:w="2068" w:type="dxa"/>
                    <w:tcBorders>
                      <w:top w:val="single" w:color="auto" w:sz="4" w:space="0"/>
                      <w:left w:val="single" w:color="auto" w:sz="4" w:space="0"/>
                      <w:bottom w:val="single" w:color="auto" w:sz="4" w:space="0"/>
                      <w:right w:val="single" w:color="auto" w:sz="4" w:space="0"/>
                    </w:tcBorders>
                    <w:shd w:val="clear" w:color="auto" w:fill="auto"/>
                  </w:tcPr>
                  <w:p w14:paraId="1A25310C">
                    <w:pPr>
                      <w:spacing w:line="360" w:lineRule="auto"/>
                      <w:rPr>
                        <w:color w:val="auto"/>
                        <w:szCs w:val="21"/>
                        <w:highlight w:val="none"/>
                      </w:rPr>
                    </w:pPr>
                  </w:p>
                </w:tc>
                <w:tc>
                  <w:tcPr>
                    <w:tcW w:w="2622" w:type="dxa"/>
                    <w:tcBorders>
                      <w:top w:val="single" w:color="auto" w:sz="4" w:space="0"/>
                      <w:left w:val="single" w:color="auto" w:sz="4" w:space="0"/>
                      <w:bottom w:val="single" w:color="auto" w:sz="4" w:space="0"/>
                      <w:right w:val="single" w:color="auto" w:sz="4" w:space="0"/>
                    </w:tcBorders>
                    <w:shd w:val="clear" w:color="auto" w:fill="auto"/>
                  </w:tcPr>
                  <w:p w14:paraId="1FD74B57">
                    <w:pPr>
                      <w:spacing w:line="360" w:lineRule="auto"/>
                      <w:rPr>
                        <w:color w:val="auto"/>
                        <w:szCs w:val="21"/>
                        <w:highlight w:val="none"/>
                      </w:rPr>
                    </w:pPr>
                  </w:p>
                </w:tc>
              </w:tr>
            </w:sdtContent>
          </w:sdt>
          <w:sdt>
            <w:sdtPr>
              <w:rPr>
                <w:color w:val="auto"/>
                <w:szCs w:val="21"/>
                <w:highlight w:val="none"/>
              </w:rPr>
              <w:id w:val="76329492"/>
              <w:placeholder>
                <w:docPart w:val="{1541f5dc-1ee8-48c5-bd91-ab430f171c46}"/>
              </w:placeholder>
              <w15:repeatingSectionItem/>
            </w:sdtPr>
            <w:sdtEndPr>
              <w:rPr>
                <w:color w:val="auto"/>
                <w:szCs w:val="21"/>
                <w:highlight w:val="none"/>
              </w:rPr>
            </w:sdtEndPr>
            <w:sdtContent>
              <w:tr w14:paraId="566AB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2DC39916">
                    <w:pPr>
                      <w:spacing w:line="360" w:lineRule="auto"/>
                      <w:rPr>
                        <w:color w:val="auto"/>
                        <w:szCs w:val="21"/>
                        <w:highlight w:val="none"/>
                      </w:rPr>
                    </w:pPr>
                  </w:p>
                </w:tc>
                <w:tc>
                  <w:tcPr>
                    <w:tcW w:w="1199" w:type="dxa"/>
                    <w:tcBorders>
                      <w:top w:val="single" w:color="auto" w:sz="4" w:space="0"/>
                      <w:left w:val="single" w:color="auto" w:sz="4" w:space="0"/>
                      <w:bottom w:val="single" w:color="auto" w:sz="4" w:space="0"/>
                      <w:right w:val="single" w:color="auto" w:sz="4" w:space="0"/>
                    </w:tcBorders>
                    <w:shd w:val="clear" w:color="auto" w:fill="auto"/>
                  </w:tcPr>
                  <w:p w14:paraId="43D4A7B9">
                    <w:pPr>
                      <w:spacing w:line="360" w:lineRule="auto"/>
                      <w:rPr>
                        <w:color w:val="auto"/>
                        <w:szCs w:val="21"/>
                        <w:highlight w:val="none"/>
                      </w:rPr>
                    </w:pPr>
                  </w:p>
                </w:tc>
                <w:tc>
                  <w:tcPr>
                    <w:tcW w:w="1199" w:type="dxa"/>
                    <w:tcBorders>
                      <w:top w:val="single" w:color="auto" w:sz="4" w:space="0"/>
                      <w:left w:val="single" w:color="auto" w:sz="4" w:space="0"/>
                      <w:bottom w:val="single" w:color="auto" w:sz="4" w:space="0"/>
                      <w:right w:val="single" w:color="auto" w:sz="4" w:space="0"/>
                    </w:tcBorders>
                    <w:shd w:val="clear" w:color="auto" w:fill="auto"/>
                  </w:tcPr>
                  <w:p w14:paraId="50335007">
                    <w:pPr>
                      <w:spacing w:line="360" w:lineRule="auto"/>
                      <w:rPr>
                        <w:color w:val="auto"/>
                        <w:szCs w:val="21"/>
                        <w:highlight w:val="none"/>
                      </w:rPr>
                    </w:pPr>
                  </w:p>
                </w:tc>
                <w:tc>
                  <w:tcPr>
                    <w:tcW w:w="1199" w:type="dxa"/>
                    <w:tcBorders>
                      <w:top w:val="single" w:color="auto" w:sz="4" w:space="0"/>
                      <w:left w:val="single" w:color="auto" w:sz="4" w:space="0"/>
                      <w:bottom w:val="single" w:color="auto" w:sz="4" w:space="0"/>
                      <w:right w:val="single" w:color="auto" w:sz="4" w:space="0"/>
                    </w:tcBorders>
                    <w:shd w:val="clear" w:color="auto" w:fill="auto"/>
                  </w:tcPr>
                  <w:p w14:paraId="5B9204FE">
                    <w:pPr>
                      <w:spacing w:line="360" w:lineRule="auto"/>
                      <w:rPr>
                        <w:color w:val="auto"/>
                        <w:szCs w:val="21"/>
                        <w:highlight w:val="none"/>
                      </w:rPr>
                    </w:pPr>
                  </w:p>
                </w:tc>
                <w:tc>
                  <w:tcPr>
                    <w:tcW w:w="2068" w:type="dxa"/>
                    <w:tcBorders>
                      <w:top w:val="single" w:color="auto" w:sz="4" w:space="0"/>
                      <w:left w:val="single" w:color="auto" w:sz="4" w:space="0"/>
                      <w:bottom w:val="single" w:color="auto" w:sz="4" w:space="0"/>
                      <w:right w:val="single" w:color="auto" w:sz="4" w:space="0"/>
                    </w:tcBorders>
                    <w:shd w:val="clear" w:color="auto" w:fill="auto"/>
                  </w:tcPr>
                  <w:p w14:paraId="0BD6660F">
                    <w:pPr>
                      <w:spacing w:line="360" w:lineRule="auto"/>
                      <w:rPr>
                        <w:color w:val="auto"/>
                        <w:szCs w:val="21"/>
                        <w:highlight w:val="none"/>
                      </w:rPr>
                    </w:pPr>
                  </w:p>
                </w:tc>
                <w:tc>
                  <w:tcPr>
                    <w:tcW w:w="2622" w:type="dxa"/>
                    <w:tcBorders>
                      <w:top w:val="single" w:color="auto" w:sz="4" w:space="0"/>
                      <w:left w:val="single" w:color="auto" w:sz="4" w:space="0"/>
                      <w:bottom w:val="single" w:color="auto" w:sz="4" w:space="0"/>
                      <w:right w:val="single" w:color="auto" w:sz="4" w:space="0"/>
                    </w:tcBorders>
                    <w:shd w:val="clear" w:color="auto" w:fill="auto"/>
                  </w:tcPr>
                  <w:p w14:paraId="3B160280">
                    <w:pPr>
                      <w:spacing w:line="360" w:lineRule="auto"/>
                      <w:rPr>
                        <w:color w:val="auto"/>
                        <w:szCs w:val="21"/>
                        <w:highlight w:val="none"/>
                      </w:rPr>
                    </w:pPr>
                  </w:p>
                </w:tc>
              </w:tr>
            </w:sdtContent>
          </w:sdt>
        </w:sdtContent>
      </w:sdt>
    </w:tbl>
    <w:p w14:paraId="5663EFA9">
      <w:pPr>
        <w:pStyle w:val="35"/>
        <w:widowControl w:val="0"/>
        <w:numPr>
          <w:ilvl w:val="0"/>
          <w:numId w:val="15"/>
        </w:numPr>
        <w:adjustRightInd w:val="0"/>
        <w:snapToGrid w:val="0"/>
        <w:spacing w:before="0" w:beforeAutospacing="0" w:after="0" w:afterAutospacing="0" w:line="480" w:lineRule="exact"/>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投标响应“品目清单”中政府优先采购产品的将给予适当加分。</w:t>
      </w:r>
    </w:p>
    <w:p w14:paraId="52EDFC7C">
      <w:pPr>
        <w:pStyle w:val="35"/>
        <w:widowControl w:val="0"/>
        <w:numPr>
          <w:ilvl w:val="0"/>
          <w:numId w:val="15"/>
        </w:numPr>
        <w:adjustRightInd w:val="0"/>
        <w:snapToGrid w:val="0"/>
        <w:spacing w:before="0" w:beforeAutospacing="0" w:after="0" w:afterAutospacing="0" w:line="480" w:lineRule="exact"/>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认证证书附后（有效期之内的产品认证证书扫描件）。</w:t>
      </w:r>
    </w:p>
    <w:p w14:paraId="0EFC15F0">
      <w:pPr>
        <w:pStyle w:val="35"/>
        <w:widowControl w:val="0"/>
        <w:adjustRightInd w:val="0"/>
        <w:snapToGrid w:val="0"/>
        <w:spacing w:before="0" w:beforeAutospacing="0" w:after="0" w:afterAutospacing="0" w:line="480" w:lineRule="exact"/>
        <w:rPr>
          <w:rFonts w:hint="eastAsia" w:ascii="宋体" w:hAnsi="宋体" w:eastAsia="宋体" w:cs="Times New Roman"/>
          <w:color w:val="auto"/>
          <w:kern w:val="2"/>
          <w:sz w:val="24"/>
          <w:szCs w:val="24"/>
          <w:highlight w:val="none"/>
          <w:lang w:val="en-US" w:eastAsia="zh-CN" w:bidi="ar-SA"/>
        </w:rPr>
      </w:pPr>
    </w:p>
    <w:p w14:paraId="77E25972">
      <w:pPr>
        <w:snapToGrid w:val="0"/>
        <w:spacing w:line="360" w:lineRule="auto"/>
        <w:ind w:firstLine="3600" w:firstLineChars="1500"/>
        <w:jc w:val="left"/>
        <w:rPr>
          <w:color w:val="auto"/>
          <w:szCs w:val="21"/>
          <w:highlight w:val="none"/>
        </w:rPr>
      </w:pPr>
    </w:p>
    <w:p w14:paraId="57BF9915">
      <w:pPr>
        <w:spacing w:line="480" w:lineRule="auto"/>
        <w:ind w:firstLine="4080" w:firstLineChars="1700"/>
        <w:rPr>
          <w:color w:val="auto"/>
          <w:highlight w:val="none"/>
          <w:u w:val="single"/>
        </w:rPr>
      </w:pPr>
      <w:r>
        <w:rPr>
          <w:rFonts w:hint="eastAsia"/>
          <w:color w:val="auto"/>
          <w:highlight w:val="none"/>
        </w:rPr>
        <w:t>投标人全称：</w:t>
      </w:r>
      <w:r>
        <w:rPr>
          <w:rFonts w:hint="eastAsia"/>
          <w:color w:val="auto"/>
          <w:highlight w:val="none"/>
          <w:u w:val="single"/>
        </w:rPr>
        <w:t xml:space="preserve">               （公章）</w:t>
      </w:r>
    </w:p>
    <w:p w14:paraId="0AA73E8C">
      <w:pPr>
        <w:spacing w:line="480" w:lineRule="auto"/>
        <w:ind w:firstLine="1440" w:firstLineChars="600"/>
        <w:rPr>
          <w:color w:val="auto"/>
          <w:highlight w:val="none"/>
          <w:u w:val="single"/>
        </w:rPr>
      </w:pPr>
      <w:r>
        <w:rPr>
          <w:rFonts w:hint="eastAsia"/>
          <w:color w:val="auto"/>
          <w:highlight w:val="none"/>
        </w:rPr>
        <w:t>法定代表人（或单位负责人）或委托代理人：</w:t>
      </w:r>
      <w:r>
        <w:rPr>
          <w:rFonts w:hint="eastAsia"/>
          <w:color w:val="auto"/>
          <w:highlight w:val="none"/>
          <w:u w:val="single"/>
        </w:rPr>
        <w:t xml:space="preserve">      （签字或盖章）</w:t>
      </w:r>
      <w:r>
        <w:rPr>
          <w:rFonts w:hint="eastAsia"/>
          <w:color w:val="auto"/>
          <w:highlight w:val="none"/>
        </w:rPr>
        <w:t xml:space="preserve">                                   </w:t>
      </w:r>
    </w:p>
    <w:p w14:paraId="3CD17600">
      <w:pPr>
        <w:tabs>
          <w:tab w:val="left" w:pos="3378"/>
        </w:tabs>
        <w:overflowPunct w:val="0"/>
        <w:topLinePunct/>
        <w:autoSpaceDN w:val="0"/>
        <w:adjustRightInd w:val="0"/>
        <w:snapToGrid w:val="0"/>
        <w:ind w:firstLine="2160" w:firstLineChars="900"/>
        <w:rPr>
          <w:snapToGrid w:val="0"/>
          <w:color w:val="auto"/>
          <w:kern w:val="0"/>
          <w:szCs w:val="21"/>
          <w:highlight w:val="none"/>
          <w:u w:val="single"/>
        </w:rPr>
      </w:pPr>
      <w:r>
        <w:rPr>
          <w:rFonts w:hint="eastAsia"/>
          <w:color w:val="auto"/>
          <w:highlight w:val="none"/>
        </w:rPr>
        <w:t xml:space="preserve">                      日      期：     年   月   日</w:t>
      </w:r>
    </w:p>
    <w:p w14:paraId="05DE6DB6">
      <w:pPr>
        <w:pStyle w:val="35"/>
        <w:widowControl w:val="0"/>
        <w:adjustRightInd w:val="0"/>
        <w:snapToGrid w:val="0"/>
        <w:spacing w:before="0" w:beforeAutospacing="0" w:after="0" w:afterAutospacing="0" w:line="480" w:lineRule="exact"/>
        <w:rPr>
          <w:rFonts w:ascii="Times New Roman" w:hAnsi="Times New Roman" w:cs="Times New Roman"/>
          <w:color w:val="auto"/>
          <w:sz w:val="21"/>
          <w:szCs w:val="21"/>
          <w:highlight w:val="none"/>
        </w:rPr>
      </w:pPr>
    </w:p>
    <w:p w14:paraId="1F98C721">
      <w:pPr>
        <w:pStyle w:val="6"/>
        <w:tabs>
          <w:tab w:val="left" w:pos="780"/>
        </w:tabs>
        <w:spacing w:before="234" w:after="46"/>
        <w:jc w:val="both"/>
        <w:rPr>
          <w:rFonts w:hint="eastAsia"/>
          <w:color w:val="auto"/>
          <w:spacing w:val="6"/>
          <w:sz w:val="28"/>
          <w:szCs w:val="28"/>
          <w:highlight w:val="none"/>
        </w:rPr>
      </w:pPr>
    </w:p>
    <w:p w14:paraId="7FE0B522">
      <w:pPr>
        <w:pStyle w:val="6"/>
        <w:tabs>
          <w:tab w:val="left" w:pos="780"/>
        </w:tabs>
        <w:spacing w:before="234" w:after="46"/>
        <w:jc w:val="both"/>
        <w:rPr>
          <w:rFonts w:hint="eastAsia"/>
          <w:color w:val="auto"/>
          <w:spacing w:val="6"/>
          <w:sz w:val="28"/>
          <w:szCs w:val="28"/>
          <w:highlight w:val="none"/>
        </w:rPr>
      </w:pPr>
    </w:p>
    <w:p w14:paraId="448B9581">
      <w:pPr>
        <w:pStyle w:val="6"/>
        <w:tabs>
          <w:tab w:val="left" w:pos="780"/>
        </w:tabs>
        <w:spacing w:before="234" w:after="46"/>
        <w:jc w:val="both"/>
        <w:rPr>
          <w:rFonts w:hint="eastAsia"/>
          <w:color w:val="auto"/>
          <w:spacing w:val="6"/>
          <w:sz w:val="28"/>
          <w:szCs w:val="28"/>
          <w:highlight w:val="none"/>
        </w:rPr>
      </w:pPr>
    </w:p>
    <w:p w14:paraId="51811A69">
      <w:pPr>
        <w:pStyle w:val="6"/>
        <w:tabs>
          <w:tab w:val="left" w:pos="780"/>
        </w:tabs>
        <w:spacing w:before="234" w:after="46"/>
        <w:jc w:val="both"/>
        <w:rPr>
          <w:rFonts w:hint="eastAsia"/>
          <w:color w:val="auto"/>
          <w:spacing w:val="6"/>
          <w:sz w:val="28"/>
          <w:szCs w:val="28"/>
          <w:highlight w:val="none"/>
        </w:rPr>
      </w:pPr>
    </w:p>
    <w:p w14:paraId="44208537">
      <w:pPr>
        <w:pStyle w:val="6"/>
        <w:tabs>
          <w:tab w:val="left" w:pos="780"/>
        </w:tabs>
        <w:spacing w:before="234" w:after="46"/>
        <w:jc w:val="both"/>
        <w:rPr>
          <w:rFonts w:hint="eastAsia"/>
          <w:color w:val="auto"/>
          <w:spacing w:val="6"/>
          <w:sz w:val="28"/>
          <w:szCs w:val="28"/>
          <w:highlight w:val="none"/>
        </w:rPr>
      </w:pPr>
    </w:p>
    <w:p w14:paraId="6D074E21">
      <w:pPr>
        <w:pStyle w:val="6"/>
        <w:tabs>
          <w:tab w:val="left" w:pos="780"/>
        </w:tabs>
        <w:spacing w:before="234" w:after="46"/>
        <w:jc w:val="both"/>
        <w:rPr>
          <w:rFonts w:hint="eastAsia"/>
          <w:color w:val="auto"/>
          <w:spacing w:val="6"/>
          <w:sz w:val="28"/>
          <w:szCs w:val="28"/>
          <w:highlight w:val="none"/>
        </w:rPr>
      </w:pPr>
    </w:p>
    <w:p w14:paraId="42F6620E">
      <w:pPr>
        <w:pStyle w:val="6"/>
        <w:tabs>
          <w:tab w:val="left" w:pos="780"/>
        </w:tabs>
        <w:spacing w:before="234" w:after="46"/>
        <w:jc w:val="both"/>
        <w:rPr>
          <w:rFonts w:hint="eastAsia"/>
          <w:color w:val="auto"/>
          <w:spacing w:val="6"/>
          <w:sz w:val="28"/>
          <w:szCs w:val="28"/>
          <w:highlight w:val="none"/>
        </w:rPr>
      </w:pPr>
    </w:p>
    <w:p w14:paraId="7AA8EA94">
      <w:pPr>
        <w:keepNext w:val="0"/>
        <w:keepLines w:val="0"/>
        <w:pageBreakBefore w:val="0"/>
        <w:widowControl/>
        <w:kinsoku w:val="0"/>
        <w:wordWrap/>
        <w:overflowPunct/>
        <w:topLinePunct w:val="0"/>
        <w:autoSpaceDE w:val="0"/>
        <w:autoSpaceDN w:val="0"/>
        <w:bidi w:val="0"/>
        <w:adjustRightInd w:val="0"/>
        <w:snapToGrid w:val="0"/>
        <w:spacing w:before="262" w:line="360" w:lineRule="auto"/>
        <w:ind w:left="23" w:firstLine="482"/>
        <w:jc w:val="left"/>
        <w:textAlignment w:val="baseline"/>
        <w:rPr>
          <w:rFonts w:hint="eastAsia"/>
          <w:color w:val="auto"/>
          <w:spacing w:val="6"/>
          <w:sz w:val="28"/>
          <w:szCs w:val="28"/>
          <w:highlight w:val="none"/>
        </w:rPr>
      </w:pPr>
    </w:p>
    <w:p w14:paraId="00393F8C">
      <w:pPr>
        <w:keepNext w:val="0"/>
        <w:keepLines w:val="0"/>
        <w:pageBreakBefore w:val="0"/>
        <w:widowControl/>
        <w:kinsoku w:val="0"/>
        <w:wordWrap/>
        <w:overflowPunct/>
        <w:topLinePunct w:val="0"/>
        <w:autoSpaceDE w:val="0"/>
        <w:autoSpaceDN w:val="0"/>
        <w:bidi w:val="0"/>
        <w:adjustRightInd w:val="0"/>
        <w:snapToGrid w:val="0"/>
        <w:spacing w:before="262" w:line="360" w:lineRule="auto"/>
        <w:ind w:left="0" w:leftChars="0" w:firstLine="0" w:firstLineChars="0"/>
        <w:jc w:val="center"/>
        <w:textAlignment w:val="baseline"/>
        <w:rPr>
          <w:rFonts w:hint="eastAsia"/>
          <w:b/>
          <w:bCs/>
          <w:color w:val="auto"/>
          <w:spacing w:val="6"/>
          <w:sz w:val="28"/>
          <w:szCs w:val="28"/>
          <w:highlight w:val="none"/>
        </w:rPr>
      </w:pPr>
    </w:p>
    <w:p w14:paraId="3AB75F3C">
      <w:pPr>
        <w:keepNext w:val="0"/>
        <w:keepLines w:val="0"/>
        <w:pageBreakBefore w:val="0"/>
        <w:widowControl/>
        <w:kinsoku w:val="0"/>
        <w:wordWrap/>
        <w:overflowPunct/>
        <w:topLinePunct w:val="0"/>
        <w:autoSpaceDE w:val="0"/>
        <w:autoSpaceDN w:val="0"/>
        <w:bidi w:val="0"/>
        <w:adjustRightInd w:val="0"/>
        <w:snapToGrid w:val="0"/>
        <w:spacing w:before="262" w:line="360" w:lineRule="auto"/>
        <w:ind w:left="0" w:leftChars="0" w:firstLine="0" w:firstLineChars="0"/>
        <w:jc w:val="center"/>
        <w:textAlignment w:val="baseline"/>
        <w:rPr>
          <w:b/>
          <w:bCs/>
          <w:color w:val="auto"/>
          <w:sz w:val="24"/>
          <w:szCs w:val="24"/>
          <w:highlight w:val="none"/>
        </w:rPr>
      </w:pPr>
      <w:r>
        <w:rPr>
          <w:rFonts w:hint="eastAsia"/>
          <w:b/>
          <w:bCs/>
          <w:color w:val="auto"/>
          <w:spacing w:val="6"/>
          <w:sz w:val="28"/>
          <w:szCs w:val="28"/>
          <w:highlight w:val="none"/>
        </w:rPr>
        <w:t>（十</w:t>
      </w:r>
      <w:r>
        <w:rPr>
          <w:rFonts w:hint="eastAsia"/>
          <w:b/>
          <w:bCs/>
          <w:color w:val="auto"/>
          <w:spacing w:val="6"/>
          <w:sz w:val="28"/>
          <w:szCs w:val="28"/>
          <w:highlight w:val="none"/>
          <w:lang w:val="en-US" w:eastAsia="zh-CN"/>
        </w:rPr>
        <w:t>一</w:t>
      </w:r>
      <w:r>
        <w:rPr>
          <w:rFonts w:hint="eastAsia"/>
          <w:b/>
          <w:bCs/>
          <w:color w:val="auto"/>
          <w:spacing w:val="6"/>
          <w:sz w:val="28"/>
          <w:szCs w:val="28"/>
          <w:highlight w:val="none"/>
        </w:rPr>
        <w:t>）</w:t>
      </w:r>
      <w:r>
        <w:rPr>
          <w:rFonts w:hint="eastAsia" w:ascii="宋体" w:hAnsi="宋体" w:eastAsia="宋体" w:cs="Times New Roman"/>
          <w:b/>
          <w:bCs/>
          <w:color w:val="auto"/>
          <w:spacing w:val="6"/>
          <w:sz w:val="28"/>
          <w:szCs w:val="28"/>
          <w:highlight w:val="none"/>
        </w:rPr>
        <w:t>关于符合本国产品标准的声明函</w:t>
      </w:r>
    </w:p>
    <w:p w14:paraId="764B850A">
      <w:pPr>
        <w:pStyle w:val="16"/>
        <w:spacing w:before="136" w:line="368" w:lineRule="auto"/>
        <w:ind w:left="45" w:right="60" w:firstLine="401"/>
        <w:jc w:val="both"/>
        <w:rPr>
          <w:color w:val="auto"/>
          <w:sz w:val="24"/>
          <w:szCs w:val="24"/>
          <w:highlight w:val="none"/>
        </w:rPr>
      </w:pPr>
      <w:r>
        <w:rPr>
          <w:color w:val="auto"/>
          <w:sz w:val="24"/>
          <w:szCs w:val="24"/>
          <w:highlight w:val="none"/>
        </w:rPr>
        <w:t>本公司（单位）郑重声明，根据《国务院办公厅关</w:t>
      </w:r>
      <w:r>
        <w:rPr>
          <w:color w:val="auto"/>
          <w:spacing w:val="-1"/>
          <w:sz w:val="24"/>
          <w:szCs w:val="24"/>
          <w:highlight w:val="none"/>
        </w:rPr>
        <w:t>于在政府采购中实施本国产</w:t>
      </w:r>
      <w:r>
        <w:rPr>
          <w:color w:val="auto"/>
          <w:spacing w:val="-3"/>
          <w:sz w:val="24"/>
          <w:szCs w:val="24"/>
          <w:highlight w:val="none"/>
        </w:rPr>
        <w:t>品标准及相关政策的通知》（国办发〔2025〕34</w:t>
      </w:r>
      <w:r>
        <w:rPr>
          <w:color w:val="auto"/>
          <w:spacing w:val="-45"/>
          <w:sz w:val="24"/>
          <w:szCs w:val="24"/>
          <w:highlight w:val="none"/>
        </w:rPr>
        <w:t xml:space="preserve"> </w:t>
      </w:r>
      <w:r>
        <w:rPr>
          <w:color w:val="auto"/>
          <w:spacing w:val="-3"/>
          <w:sz w:val="24"/>
          <w:szCs w:val="24"/>
          <w:highlight w:val="none"/>
        </w:rPr>
        <w:t>号）的规定</w:t>
      </w:r>
      <w:r>
        <w:rPr>
          <w:color w:val="auto"/>
          <w:spacing w:val="-4"/>
          <w:sz w:val="24"/>
          <w:szCs w:val="24"/>
          <w:highlight w:val="none"/>
        </w:rPr>
        <w:t>，本公司（单位）提供</w:t>
      </w:r>
      <w:r>
        <w:rPr>
          <w:color w:val="auto"/>
          <w:spacing w:val="-2"/>
          <w:sz w:val="24"/>
          <w:szCs w:val="24"/>
          <w:highlight w:val="none"/>
        </w:rPr>
        <w:t>的以下产品属于本国产品。具体情况如下：</w:t>
      </w:r>
    </w:p>
    <w:p w14:paraId="2DCF943C">
      <w:pPr>
        <w:pStyle w:val="16"/>
        <w:spacing w:before="22" w:line="317" w:lineRule="auto"/>
        <w:ind w:left="25" w:firstLine="438"/>
        <w:rPr>
          <w:color w:val="auto"/>
          <w:sz w:val="24"/>
          <w:szCs w:val="24"/>
          <w:highlight w:val="none"/>
        </w:rPr>
      </w:pPr>
      <w:r>
        <w:rPr>
          <w:color w:val="auto"/>
          <w:spacing w:val="-4"/>
          <w:sz w:val="24"/>
          <w:szCs w:val="24"/>
          <w:highlight w:val="none"/>
        </w:rPr>
        <w:t>1.</w:t>
      </w:r>
      <w:r>
        <w:rPr>
          <w:color w:val="auto"/>
          <w:spacing w:val="-4"/>
          <w:sz w:val="24"/>
          <w:szCs w:val="24"/>
          <w:highlight w:val="none"/>
          <w:u w:val="single" w:color="auto"/>
        </w:rPr>
        <w:t>（产品名称</w:t>
      </w:r>
      <w:r>
        <w:rPr>
          <w:color w:val="auto"/>
          <w:spacing w:val="-33"/>
          <w:sz w:val="24"/>
          <w:szCs w:val="24"/>
          <w:highlight w:val="none"/>
          <w:u w:val="single" w:color="auto"/>
        </w:rPr>
        <w:t xml:space="preserve"> </w:t>
      </w:r>
      <w:r>
        <w:rPr>
          <w:color w:val="auto"/>
          <w:spacing w:val="-4"/>
          <w:sz w:val="24"/>
          <w:szCs w:val="24"/>
          <w:highlight w:val="none"/>
          <w:u w:val="single" w:color="auto"/>
        </w:rPr>
        <w:t>1</w:t>
      </w:r>
      <w:r>
        <w:rPr>
          <w:color w:val="auto"/>
          <w:spacing w:val="6"/>
          <w:sz w:val="24"/>
          <w:szCs w:val="24"/>
          <w:highlight w:val="none"/>
          <w:u w:val="single" w:color="auto"/>
        </w:rPr>
        <w:t>）</w:t>
      </w:r>
      <w:r>
        <w:rPr>
          <w:color w:val="auto"/>
          <w:spacing w:val="6"/>
          <w:sz w:val="24"/>
          <w:szCs w:val="24"/>
          <w:highlight w:val="none"/>
        </w:rPr>
        <w:t>，</w:t>
      </w:r>
      <w:r>
        <w:rPr>
          <w:color w:val="auto"/>
          <w:spacing w:val="-4"/>
          <w:sz w:val="24"/>
          <w:szCs w:val="24"/>
          <w:highlight w:val="none"/>
        </w:rPr>
        <w:t>生产厂为</w:t>
      </w:r>
      <w:r>
        <w:rPr>
          <w:color w:val="auto"/>
          <w:spacing w:val="-4"/>
          <w:sz w:val="24"/>
          <w:szCs w:val="24"/>
          <w:highlight w:val="none"/>
          <w:u w:val="single" w:color="auto"/>
        </w:rPr>
        <w:t>（厂名</w:t>
      </w:r>
      <w:r>
        <w:rPr>
          <w:color w:val="auto"/>
          <w:spacing w:val="6"/>
          <w:sz w:val="24"/>
          <w:szCs w:val="24"/>
          <w:highlight w:val="none"/>
          <w:u w:val="single" w:color="auto"/>
        </w:rPr>
        <w:t>）</w:t>
      </w:r>
      <w:r>
        <w:rPr>
          <w:color w:val="auto"/>
          <w:spacing w:val="6"/>
          <w:sz w:val="24"/>
          <w:szCs w:val="24"/>
          <w:highlight w:val="none"/>
        </w:rPr>
        <w:t>，</w:t>
      </w:r>
      <w:r>
        <w:rPr>
          <w:color w:val="auto"/>
          <w:spacing w:val="-4"/>
          <w:sz w:val="24"/>
          <w:szCs w:val="24"/>
          <w:highlight w:val="none"/>
        </w:rPr>
        <w:t>厂址为</w:t>
      </w:r>
      <w:r>
        <w:rPr>
          <w:color w:val="auto"/>
          <w:spacing w:val="-4"/>
          <w:sz w:val="24"/>
          <w:szCs w:val="24"/>
          <w:highlight w:val="none"/>
          <w:u w:val="single" w:color="auto"/>
        </w:rPr>
        <w:t>（生产厂址）</w:t>
      </w:r>
      <w:r>
        <w:rPr>
          <w:color w:val="auto"/>
          <w:spacing w:val="-4"/>
          <w:sz w:val="24"/>
          <w:szCs w:val="24"/>
          <w:highlight w:val="none"/>
        </w:rPr>
        <w:t>。</w:t>
      </w:r>
      <w:r>
        <w:rPr>
          <w:color w:val="auto"/>
          <w:spacing w:val="-4"/>
          <w:sz w:val="24"/>
          <w:szCs w:val="24"/>
          <w:highlight w:val="none"/>
          <w:u w:val="single" w:color="auto"/>
        </w:rPr>
        <w:t>（产品名称</w:t>
      </w:r>
      <w:r>
        <w:rPr>
          <w:color w:val="auto"/>
          <w:spacing w:val="-32"/>
          <w:sz w:val="24"/>
          <w:szCs w:val="24"/>
          <w:highlight w:val="none"/>
          <w:u w:val="single" w:color="auto"/>
        </w:rPr>
        <w:t xml:space="preserve"> </w:t>
      </w:r>
      <w:r>
        <w:rPr>
          <w:color w:val="auto"/>
          <w:spacing w:val="-4"/>
          <w:sz w:val="24"/>
          <w:szCs w:val="24"/>
          <w:highlight w:val="none"/>
          <w:u w:val="single" w:color="auto"/>
        </w:rPr>
        <w:t>1）</w:t>
      </w:r>
      <w:r>
        <w:rPr>
          <w:color w:val="auto"/>
          <w:spacing w:val="-1"/>
          <w:sz w:val="24"/>
          <w:szCs w:val="24"/>
          <w:highlight w:val="none"/>
        </w:rPr>
        <w:t>的中国境内生产的组件成本占比≥</w:t>
      </w:r>
      <w:r>
        <w:rPr>
          <w:color w:val="auto"/>
          <w:spacing w:val="-1"/>
          <w:sz w:val="24"/>
          <w:szCs w:val="24"/>
          <w:highlight w:val="none"/>
          <w:u w:val="single" w:color="auto"/>
        </w:rPr>
        <w:t>（规定比例）</w:t>
      </w:r>
      <w:r>
        <w:rPr>
          <w:color w:val="auto"/>
          <w:spacing w:val="-1"/>
          <w:sz w:val="24"/>
          <w:szCs w:val="24"/>
          <w:highlight w:val="none"/>
        </w:rPr>
        <w:t>。</w:t>
      </w:r>
      <w:r>
        <w:rPr>
          <w:color w:val="auto"/>
          <w:spacing w:val="-1"/>
          <w:sz w:val="24"/>
          <w:szCs w:val="24"/>
          <w:highlight w:val="none"/>
          <w:u w:val="single" w:color="auto"/>
        </w:rPr>
        <w:t>（产品名称</w:t>
      </w:r>
      <w:r>
        <w:rPr>
          <w:color w:val="auto"/>
          <w:spacing w:val="-33"/>
          <w:sz w:val="24"/>
          <w:szCs w:val="24"/>
          <w:highlight w:val="none"/>
          <w:u w:val="single" w:color="auto"/>
        </w:rPr>
        <w:t xml:space="preserve"> </w:t>
      </w:r>
      <w:r>
        <w:rPr>
          <w:color w:val="auto"/>
          <w:spacing w:val="-1"/>
          <w:sz w:val="24"/>
          <w:szCs w:val="24"/>
          <w:highlight w:val="none"/>
          <w:u w:val="single" w:color="auto"/>
        </w:rPr>
        <w:t>1）</w:t>
      </w:r>
      <w:r>
        <w:rPr>
          <w:color w:val="auto"/>
          <w:spacing w:val="-1"/>
          <w:sz w:val="24"/>
          <w:szCs w:val="24"/>
          <w:highlight w:val="none"/>
        </w:rPr>
        <w:t>的</w:t>
      </w:r>
      <w:r>
        <w:rPr>
          <w:color w:val="auto"/>
          <w:spacing w:val="-1"/>
          <w:sz w:val="24"/>
          <w:szCs w:val="24"/>
          <w:highlight w:val="none"/>
          <w:u w:val="single" w:color="auto"/>
        </w:rPr>
        <w:t>（关键组件）</w:t>
      </w:r>
      <w:r>
        <w:rPr>
          <w:color w:val="auto"/>
          <w:spacing w:val="-1"/>
          <w:sz w:val="24"/>
          <w:szCs w:val="24"/>
          <w:highlight w:val="none"/>
        </w:rPr>
        <w:t>在中国境内生产。</w:t>
      </w:r>
      <w:r>
        <w:rPr>
          <w:color w:val="auto"/>
          <w:spacing w:val="-1"/>
          <w:sz w:val="24"/>
          <w:szCs w:val="24"/>
          <w:highlight w:val="none"/>
          <w:u w:val="single" w:color="auto"/>
        </w:rPr>
        <w:t>（产品名称</w:t>
      </w:r>
      <w:r>
        <w:rPr>
          <w:color w:val="auto"/>
          <w:spacing w:val="-33"/>
          <w:sz w:val="24"/>
          <w:szCs w:val="24"/>
          <w:highlight w:val="none"/>
          <w:u w:val="single" w:color="auto"/>
        </w:rPr>
        <w:t xml:space="preserve"> </w:t>
      </w:r>
      <w:r>
        <w:rPr>
          <w:color w:val="auto"/>
          <w:spacing w:val="-1"/>
          <w:sz w:val="24"/>
          <w:szCs w:val="24"/>
          <w:highlight w:val="none"/>
          <w:u w:val="single" w:color="auto"/>
        </w:rPr>
        <w:t>1）</w:t>
      </w:r>
      <w:r>
        <w:rPr>
          <w:color w:val="auto"/>
          <w:spacing w:val="-1"/>
          <w:sz w:val="24"/>
          <w:szCs w:val="24"/>
          <w:highlight w:val="none"/>
        </w:rPr>
        <w:t>的</w:t>
      </w:r>
      <w:r>
        <w:rPr>
          <w:color w:val="auto"/>
          <w:spacing w:val="-1"/>
          <w:sz w:val="24"/>
          <w:szCs w:val="24"/>
          <w:highlight w:val="none"/>
          <w:u w:val="single" w:color="auto"/>
        </w:rPr>
        <w:t>（关键工序）</w:t>
      </w:r>
      <w:r>
        <w:rPr>
          <w:color w:val="auto"/>
          <w:spacing w:val="-1"/>
          <w:sz w:val="24"/>
          <w:szCs w:val="24"/>
          <w:highlight w:val="none"/>
        </w:rPr>
        <w:t>在</w:t>
      </w:r>
      <w:r>
        <w:rPr>
          <w:color w:val="auto"/>
          <w:spacing w:val="-2"/>
          <w:sz w:val="24"/>
          <w:szCs w:val="24"/>
          <w:highlight w:val="none"/>
        </w:rPr>
        <w:t>中国境内完成。</w:t>
      </w:r>
    </w:p>
    <w:p w14:paraId="2BE88545">
      <w:pPr>
        <w:pStyle w:val="16"/>
        <w:spacing w:before="220" w:line="317" w:lineRule="auto"/>
        <w:ind w:left="25" w:firstLine="423"/>
        <w:rPr>
          <w:color w:val="auto"/>
          <w:sz w:val="24"/>
          <w:szCs w:val="24"/>
          <w:highlight w:val="none"/>
        </w:rPr>
      </w:pPr>
      <w:r>
        <w:rPr>
          <w:color w:val="auto"/>
          <w:spacing w:val="-3"/>
          <w:sz w:val="24"/>
          <w:szCs w:val="24"/>
          <w:highlight w:val="none"/>
        </w:rPr>
        <w:t>2.</w:t>
      </w:r>
      <w:r>
        <w:rPr>
          <w:color w:val="auto"/>
          <w:spacing w:val="-3"/>
          <w:sz w:val="24"/>
          <w:szCs w:val="24"/>
          <w:highlight w:val="none"/>
          <w:u w:val="single" w:color="auto"/>
        </w:rPr>
        <w:t>（产品名称</w:t>
      </w:r>
      <w:r>
        <w:rPr>
          <w:color w:val="auto"/>
          <w:spacing w:val="-47"/>
          <w:sz w:val="24"/>
          <w:szCs w:val="24"/>
          <w:highlight w:val="none"/>
          <w:u w:val="single" w:color="auto"/>
        </w:rPr>
        <w:t xml:space="preserve"> </w:t>
      </w:r>
      <w:r>
        <w:rPr>
          <w:color w:val="auto"/>
          <w:spacing w:val="-3"/>
          <w:sz w:val="24"/>
          <w:szCs w:val="24"/>
          <w:highlight w:val="none"/>
          <w:u w:val="single" w:color="auto"/>
        </w:rPr>
        <w:t>2</w:t>
      </w:r>
      <w:r>
        <w:rPr>
          <w:color w:val="auto"/>
          <w:spacing w:val="9"/>
          <w:sz w:val="24"/>
          <w:szCs w:val="24"/>
          <w:highlight w:val="none"/>
          <w:u w:val="single" w:color="auto"/>
        </w:rPr>
        <w:t>）</w:t>
      </w:r>
      <w:r>
        <w:rPr>
          <w:color w:val="auto"/>
          <w:spacing w:val="9"/>
          <w:sz w:val="24"/>
          <w:szCs w:val="24"/>
          <w:highlight w:val="none"/>
        </w:rPr>
        <w:t>，</w:t>
      </w:r>
      <w:r>
        <w:rPr>
          <w:color w:val="auto"/>
          <w:spacing w:val="-3"/>
          <w:sz w:val="24"/>
          <w:szCs w:val="24"/>
          <w:highlight w:val="none"/>
        </w:rPr>
        <w:t>生产厂为</w:t>
      </w:r>
      <w:r>
        <w:rPr>
          <w:color w:val="auto"/>
          <w:spacing w:val="-3"/>
          <w:sz w:val="24"/>
          <w:szCs w:val="24"/>
          <w:highlight w:val="none"/>
          <w:u w:val="single" w:color="auto"/>
        </w:rPr>
        <w:t>（厂名</w:t>
      </w:r>
      <w:r>
        <w:rPr>
          <w:color w:val="auto"/>
          <w:spacing w:val="9"/>
          <w:sz w:val="24"/>
          <w:szCs w:val="24"/>
          <w:highlight w:val="none"/>
          <w:u w:val="single" w:color="auto"/>
        </w:rPr>
        <w:t>）</w:t>
      </w:r>
      <w:r>
        <w:rPr>
          <w:color w:val="auto"/>
          <w:spacing w:val="9"/>
          <w:sz w:val="24"/>
          <w:szCs w:val="24"/>
          <w:highlight w:val="none"/>
        </w:rPr>
        <w:t>，</w:t>
      </w:r>
      <w:r>
        <w:rPr>
          <w:color w:val="auto"/>
          <w:spacing w:val="-3"/>
          <w:sz w:val="24"/>
          <w:szCs w:val="24"/>
          <w:highlight w:val="none"/>
        </w:rPr>
        <w:t>厂址为</w:t>
      </w:r>
      <w:r>
        <w:rPr>
          <w:color w:val="auto"/>
          <w:spacing w:val="-3"/>
          <w:sz w:val="24"/>
          <w:szCs w:val="24"/>
          <w:highlight w:val="none"/>
          <w:u w:val="single" w:color="auto"/>
        </w:rPr>
        <w:t>（生产厂址）</w:t>
      </w:r>
      <w:r>
        <w:rPr>
          <w:color w:val="auto"/>
          <w:spacing w:val="-3"/>
          <w:sz w:val="24"/>
          <w:szCs w:val="24"/>
          <w:highlight w:val="none"/>
        </w:rPr>
        <w:t>。</w:t>
      </w:r>
      <w:r>
        <w:rPr>
          <w:color w:val="auto"/>
          <w:spacing w:val="-3"/>
          <w:sz w:val="24"/>
          <w:szCs w:val="24"/>
          <w:highlight w:val="none"/>
          <w:u w:val="single" w:color="auto"/>
        </w:rPr>
        <w:t>（产品名称</w:t>
      </w:r>
      <w:r>
        <w:rPr>
          <w:color w:val="auto"/>
          <w:spacing w:val="-48"/>
          <w:sz w:val="24"/>
          <w:szCs w:val="24"/>
          <w:highlight w:val="none"/>
          <w:u w:val="single" w:color="auto"/>
        </w:rPr>
        <w:t xml:space="preserve"> </w:t>
      </w:r>
      <w:r>
        <w:rPr>
          <w:color w:val="auto"/>
          <w:spacing w:val="-3"/>
          <w:sz w:val="24"/>
          <w:szCs w:val="24"/>
          <w:highlight w:val="none"/>
          <w:u w:val="single" w:color="auto"/>
        </w:rPr>
        <w:t>2）</w:t>
      </w:r>
      <w:r>
        <w:rPr>
          <w:color w:val="auto"/>
          <w:spacing w:val="-1"/>
          <w:sz w:val="24"/>
          <w:szCs w:val="24"/>
          <w:highlight w:val="none"/>
        </w:rPr>
        <w:t>的中国境内生产的组件成本占比≥</w:t>
      </w:r>
      <w:r>
        <w:rPr>
          <w:color w:val="auto"/>
          <w:spacing w:val="-1"/>
          <w:sz w:val="24"/>
          <w:szCs w:val="24"/>
          <w:highlight w:val="none"/>
          <w:u w:val="single" w:color="auto"/>
        </w:rPr>
        <w:t>（规定比例）</w:t>
      </w:r>
      <w:r>
        <w:rPr>
          <w:color w:val="auto"/>
          <w:spacing w:val="-1"/>
          <w:sz w:val="24"/>
          <w:szCs w:val="24"/>
          <w:highlight w:val="none"/>
        </w:rPr>
        <w:t>。</w:t>
      </w:r>
      <w:r>
        <w:rPr>
          <w:color w:val="auto"/>
          <w:spacing w:val="-1"/>
          <w:sz w:val="24"/>
          <w:szCs w:val="24"/>
          <w:highlight w:val="none"/>
          <w:u w:val="single" w:color="auto"/>
        </w:rPr>
        <w:t>（产品名称</w:t>
      </w:r>
      <w:r>
        <w:rPr>
          <w:color w:val="auto"/>
          <w:spacing w:val="-34"/>
          <w:sz w:val="24"/>
          <w:szCs w:val="24"/>
          <w:highlight w:val="none"/>
          <w:u w:val="single" w:color="auto"/>
        </w:rPr>
        <w:t xml:space="preserve"> </w:t>
      </w:r>
      <w:r>
        <w:rPr>
          <w:color w:val="auto"/>
          <w:spacing w:val="-1"/>
          <w:sz w:val="24"/>
          <w:szCs w:val="24"/>
          <w:highlight w:val="none"/>
          <w:u w:val="single" w:color="auto"/>
        </w:rPr>
        <w:t>2）</w:t>
      </w:r>
      <w:r>
        <w:rPr>
          <w:color w:val="auto"/>
          <w:spacing w:val="-1"/>
          <w:sz w:val="24"/>
          <w:szCs w:val="24"/>
          <w:highlight w:val="none"/>
        </w:rPr>
        <w:t>的</w:t>
      </w:r>
      <w:r>
        <w:rPr>
          <w:color w:val="auto"/>
          <w:spacing w:val="-1"/>
          <w:sz w:val="24"/>
          <w:szCs w:val="24"/>
          <w:highlight w:val="none"/>
          <w:u w:val="single" w:color="auto"/>
        </w:rPr>
        <w:t>（关键组件）</w:t>
      </w:r>
      <w:r>
        <w:rPr>
          <w:color w:val="auto"/>
          <w:spacing w:val="-1"/>
          <w:sz w:val="24"/>
          <w:szCs w:val="24"/>
          <w:highlight w:val="none"/>
        </w:rPr>
        <w:t>在中国境内生产。</w:t>
      </w:r>
      <w:r>
        <w:rPr>
          <w:color w:val="auto"/>
          <w:spacing w:val="-1"/>
          <w:sz w:val="24"/>
          <w:szCs w:val="24"/>
          <w:highlight w:val="none"/>
          <w:u w:val="single" w:color="auto"/>
        </w:rPr>
        <w:t>（产品名称</w:t>
      </w:r>
      <w:r>
        <w:rPr>
          <w:color w:val="auto"/>
          <w:spacing w:val="-40"/>
          <w:sz w:val="24"/>
          <w:szCs w:val="24"/>
          <w:highlight w:val="none"/>
          <w:u w:val="single" w:color="auto"/>
        </w:rPr>
        <w:t xml:space="preserve"> </w:t>
      </w:r>
      <w:r>
        <w:rPr>
          <w:color w:val="auto"/>
          <w:spacing w:val="-1"/>
          <w:sz w:val="24"/>
          <w:szCs w:val="24"/>
          <w:highlight w:val="none"/>
          <w:u w:val="single" w:color="auto"/>
        </w:rPr>
        <w:t>2）</w:t>
      </w:r>
      <w:r>
        <w:rPr>
          <w:color w:val="auto"/>
          <w:spacing w:val="-1"/>
          <w:sz w:val="24"/>
          <w:szCs w:val="24"/>
          <w:highlight w:val="none"/>
        </w:rPr>
        <w:t>的</w:t>
      </w:r>
      <w:r>
        <w:rPr>
          <w:color w:val="auto"/>
          <w:spacing w:val="-1"/>
          <w:sz w:val="24"/>
          <w:szCs w:val="24"/>
          <w:highlight w:val="none"/>
          <w:u w:val="single" w:color="auto"/>
        </w:rPr>
        <w:t>（关键工序）</w:t>
      </w:r>
      <w:r>
        <w:rPr>
          <w:color w:val="auto"/>
          <w:spacing w:val="-1"/>
          <w:sz w:val="24"/>
          <w:szCs w:val="24"/>
          <w:highlight w:val="none"/>
        </w:rPr>
        <w:t>在中国境内完成。</w:t>
      </w:r>
    </w:p>
    <w:p w14:paraId="6353A877">
      <w:pPr>
        <w:pStyle w:val="16"/>
        <w:spacing w:before="221" w:line="378" w:lineRule="exact"/>
        <w:ind w:left="461"/>
        <w:rPr>
          <w:color w:val="auto"/>
          <w:sz w:val="24"/>
          <w:szCs w:val="24"/>
          <w:highlight w:val="none"/>
        </w:rPr>
      </w:pPr>
      <w:r>
        <w:rPr>
          <w:color w:val="auto"/>
          <w:spacing w:val="-13"/>
          <w:position w:val="3"/>
          <w:sz w:val="24"/>
          <w:szCs w:val="24"/>
          <w:highlight w:val="none"/>
        </w:rPr>
        <w:t>……</w:t>
      </w:r>
    </w:p>
    <w:p w14:paraId="7BD60790">
      <w:pPr>
        <w:pStyle w:val="16"/>
        <w:spacing w:before="127" w:line="366" w:lineRule="auto"/>
        <w:ind w:left="25" w:right="99" w:firstLine="421"/>
        <w:rPr>
          <w:color w:val="auto"/>
          <w:sz w:val="24"/>
          <w:szCs w:val="24"/>
          <w:highlight w:val="none"/>
        </w:rPr>
      </w:pPr>
      <w:r>
        <w:rPr>
          <w:color w:val="auto"/>
          <w:sz w:val="24"/>
          <w:szCs w:val="24"/>
          <w:highlight w:val="none"/>
        </w:rPr>
        <w:t>本公司（单位）对上述声明内容的真实性负责。如</w:t>
      </w:r>
      <w:r>
        <w:rPr>
          <w:color w:val="auto"/>
          <w:spacing w:val="-1"/>
          <w:sz w:val="24"/>
          <w:szCs w:val="24"/>
          <w:highlight w:val="none"/>
        </w:rPr>
        <w:t>有虚假，愿承担相应法律责</w:t>
      </w:r>
      <w:r>
        <w:rPr>
          <w:color w:val="auto"/>
          <w:spacing w:val="-5"/>
          <w:sz w:val="24"/>
          <w:szCs w:val="24"/>
          <w:highlight w:val="none"/>
        </w:rPr>
        <w:t>任。</w:t>
      </w:r>
    </w:p>
    <w:p w14:paraId="17EE6500">
      <w:pPr>
        <w:spacing w:line="453" w:lineRule="auto"/>
        <w:rPr>
          <w:rFonts w:ascii="Arial"/>
          <w:color w:val="auto"/>
          <w:sz w:val="21"/>
          <w:highlight w:val="none"/>
        </w:rPr>
      </w:pPr>
    </w:p>
    <w:p w14:paraId="53604D45">
      <w:pPr>
        <w:pStyle w:val="16"/>
        <w:spacing w:before="79" w:line="219" w:lineRule="auto"/>
        <w:ind w:left="2673" w:firstLine="708" w:firstLineChars="300"/>
        <w:rPr>
          <w:rFonts w:hint="eastAsia"/>
          <w:color w:val="auto"/>
          <w:sz w:val="24"/>
          <w:szCs w:val="24"/>
          <w:highlight w:val="none"/>
          <w:u w:val="single"/>
          <w:lang w:val="en-US" w:eastAsia="zh-CN"/>
        </w:rPr>
      </w:pPr>
      <w:r>
        <w:rPr>
          <w:color w:val="auto"/>
          <w:spacing w:val="-2"/>
          <w:sz w:val="24"/>
          <w:szCs w:val="24"/>
          <w:highlight w:val="none"/>
        </w:rPr>
        <w:t>公司单位名称（盖章</w:t>
      </w:r>
      <w:r>
        <w:rPr>
          <w:color w:val="auto"/>
          <w:spacing w:val="2"/>
          <w:sz w:val="24"/>
          <w:szCs w:val="24"/>
          <w:highlight w:val="none"/>
        </w:rPr>
        <w:t>）：</w:t>
      </w:r>
      <w:r>
        <w:rPr>
          <w:rFonts w:hint="eastAsia"/>
          <w:color w:val="auto"/>
          <w:sz w:val="24"/>
          <w:szCs w:val="24"/>
          <w:highlight w:val="none"/>
          <w:lang w:val="en-US" w:eastAsia="zh-CN"/>
        </w:rPr>
        <w:t xml:space="preserve"> </w:t>
      </w:r>
      <w:r>
        <w:rPr>
          <w:rFonts w:hint="eastAsia"/>
          <w:color w:val="auto"/>
          <w:sz w:val="24"/>
          <w:szCs w:val="24"/>
          <w:highlight w:val="none"/>
          <w:u w:val="single"/>
          <w:lang w:val="en-US" w:eastAsia="zh-CN"/>
        </w:rPr>
        <w:t xml:space="preserve">               </w:t>
      </w:r>
    </w:p>
    <w:p w14:paraId="756F976C">
      <w:pPr>
        <w:pStyle w:val="16"/>
        <w:spacing w:before="79" w:line="219" w:lineRule="auto"/>
        <w:ind w:left="2673" w:firstLine="642" w:firstLineChars="300"/>
        <w:rPr>
          <w:color w:val="auto"/>
          <w:spacing w:val="-13"/>
          <w:sz w:val="24"/>
          <w:szCs w:val="24"/>
          <w:highlight w:val="none"/>
        </w:rPr>
      </w:pPr>
    </w:p>
    <w:p w14:paraId="1D8F6CCD">
      <w:pPr>
        <w:pStyle w:val="16"/>
        <w:spacing w:before="79" w:line="219" w:lineRule="auto"/>
        <w:ind w:left="2673" w:firstLine="708" w:firstLineChars="300"/>
        <w:rPr>
          <w:rFonts w:ascii="宋体" w:hAnsi="宋体" w:eastAsia="宋体"/>
          <w:color w:val="auto"/>
          <w:spacing w:val="-2"/>
          <w:sz w:val="24"/>
          <w:szCs w:val="24"/>
          <w:highlight w:val="none"/>
        </w:rPr>
      </w:pPr>
      <w:r>
        <w:rPr>
          <w:rFonts w:ascii="宋体" w:hAnsi="宋体" w:eastAsia="宋体"/>
          <w:color w:val="auto"/>
          <w:spacing w:val="-2"/>
          <w:sz w:val="24"/>
          <w:szCs w:val="24"/>
          <w:highlight w:val="none"/>
        </w:rPr>
        <w:t>日</w:t>
      </w:r>
      <w:r>
        <w:rPr>
          <w:rFonts w:hint="eastAsia" w:ascii="宋体" w:hAnsi="宋体" w:eastAsia="宋体"/>
          <w:color w:val="auto"/>
          <w:spacing w:val="-2"/>
          <w:sz w:val="24"/>
          <w:szCs w:val="24"/>
          <w:highlight w:val="none"/>
          <w:lang w:val="en-US" w:eastAsia="zh-CN"/>
        </w:rPr>
        <w:t xml:space="preserve">  </w:t>
      </w:r>
      <w:r>
        <w:rPr>
          <w:rFonts w:ascii="宋体" w:hAnsi="宋体" w:eastAsia="宋体"/>
          <w:color w:val="auto"/>
          <w:spacing w:val="-2"/>
          <w:sz w:val="24"/>
          <w:szCs w:val="24"/>
          <w:highlight w:val="none"/>
        </w:rPr>
        <w:t>期：  年    月     日</w:t>
      </w:r>
    </w:p>
    <w:p w14:paraId="5B02E146">
      <w:pPr>
        <w:spacing w:line="285" w:lineRule="auto"/>
        <w:rPr>
          <w:rFonts w:ascii="Arial"/>
          <w:color w:val="auto"/>
          <w:sz w:val="21"/>
          <w:highlight w:val="none"/>
        </w:rPr>
      </w:pPr>
    </w:p>
    <w:p w14:paraId="31ED862A">
      <w:pPr>
        <w:spacing w:line="286" w:lineRule="auto"/>
        <w:rPr>
          <w:rFonts w:ascii="Arial"/>
          <w:color w:val="auto"/>
          <w:sz w:val="21"/>
          <w:highlight w:val="none"/>
        </w:rPr>
      </w:pPr>
    </w:p>
    <w:p w14:paraId="03D16A00">
      <w:pPr>
        <w:spacing w:line="286" w:lineRule="auto"/>
        <w:rPr>
          <w:rFonts w:ascii="Arial"/>
          <w:color w:val="auto"/>
          <w:sz w:val="21"/>
          <w:highlight w:val="none"/>
        </w:rPr>
      </w:pPr>
    </w:p>
    <w:p w14:paraId="4CAD86BC">
      <w:pPr>
        <w:spacing w:line="286" w:lineRule="auto"/>
        <w:rPr>
          <w:rFonts w:ascii="Arial"/>
          <w:color w:val="auto"/>
          <w:sz w:val="21"/>
          <w:highlight w:val="none"/>
        </w:rPr>
      </w:pPr>
    </w:p>
    <w:p w14:paraId="012B9796">
      <w:pPr>
        <w:pStyle w:val="16"/>
        <w:keepNext w:val="0"/>
        <w:keepLines w:val="0"/>
        <w:pageBreakBefore w:val="0"/>
        <w:widowControl w:val="0"/>
        <w:kinsoku/>
        <w:wordWrap/>
        <w:overflowPunct/>
        <w:topLinePunct w:val="0"/>
        <w:autoSpaceDE/>
        <w:autoSpaceDN/>
        <w:bidi w:val="0"/>
        <w:adjustRightInd/>
        <w:snapToGrid/>
        <w:spacing w:before="79" w:line="400" w:lineRule="exact"/>
        <w:ind w:left="0" w:leftChars="0" w:firstLine="0" w:firstLineChars="0"/>
        <w:textAlignment w:val="auto"/>
        <w:rPr>
          <w:color w:val="auto"/>
          <w:sz w:val="24"/>
          <w:szCs w:val="24"/>
          <w:highlight w:val="none"/>
        </w:rPr>
      </w:pPr>
      <w:r>
        <w:rPr>
          <w:color w:val="auto"/>
          <w:spacing w:val="-5"/>
          <w:sz w:val="24"/>
          <w:szCs w:val="24"/>
          <w:highlight w:val="none"/>
        </w:rPr>
        <w:t>注：</w:t>
      </w:r>
    </w:p>
    <w:p w14:paraId="1D0A98E5">
      <w:pPr>
        <w:pStyle w:val="16"/>
        <w:keepNext w:val="0"/>
        <w:keepLines w:val="0"/>
        <w:pageBreakBefore w:val="0"/>
        <w:widowControl w:val="0"/>
        <w:kinsoku/>
        <w:wordWrap/>
        <w:overflowPunct/>
        <w:topLinePunct w:val="0"/>
        <w:autoSpaceDE/>
        <w:autoSpaceDN/>
        <w:bidi w:val="0"/>
        <w:adjustRightInd/>
        <w:snapToGrid/>
        <w:spacing w:before="216" w:line="400" w:lineRule="exact"/>
        <w:ind w:left="0" w:leftChars="0" w:firstLine="468" w:firstLineChars="200"/>
        <w:jc w:val="left"/>
        <w:textAlignment w:val="auto"/>
        <w:rPr>
          <w:color w:val="auto"/>
          <w:sz w:val="24"/>
          <w:szCs w:val="24"/>
          <w:highlight w:val="none"/>
        </w:rPr>
      </w:pPr>
      <w:r>
        <w:rPr>
          <w:color w:val="auto"/>
          <w:spacing w:val="-3"/>
          <w:sz w:val="24"/>
          <w:szCs w:val="24"/>
          <w:highlight w:val="none"/>
        </w:rPr>
        <w:t>1.产品如有型号，请在“产品名称</w:t>
      </w:r>
      <w:r>
        <w:rPr>
          <w:color w:val="auto"/>
          <w:spacing w:val="-80"/>
          <w:sz w:val="24"/>
          <w:szCs w:val="24"/>
          <w:highlight w:val="none"/>
        </w:rPr>
        <w:t xml:space="preserve"> </w:t>
      </w:r>
      <w:r>
        <w:rPr>
          <w:color w:val="auto"/>
          <w:spacing w:val="-3"/>
          <w:sz w:val="24"/>
          <w:szCs w:val="24"/>
          <w:highlight w:val="none"/>
        </w:rPr>
        <w:t>”栏一并填写。</w:t>
      </w:r>
    </w:p>
    <w:p w14:paraId="07272B00">
      <w:pPr>
        <w:pStyle w:val="16"/>
        <w:keepNext w:val="0"/>
        <w:keepLines w:val="0"/>
        <w:pageBreakBefore w:val="0"/>
        <w:widowControl w:val="0"/>
        <w:kinsoku/>
        <w:wordWrap/>
        <w:overflowPunct/>
        <w:topLinePunct w:val="0"/>
        <w:autoSpaceDE/>
        <w:autoSpaceDN/>
        <w:bidi w:val="0"/>
        <w:adjustRightInd/>
        <w:snapToGrid/>
        <w:spacing w:before="219" w:line="400" w:lineRule="exact"/>
        <w:ind w:left="0" w:leftChars="0" w:firstLine="476" w:firstLineChars="200"/>
        <w:jc w:val="left"/>
        <w:textAlignment w:val="auto"/>
        <w:rPr>
          <w:color w:val="auto"/>
          <w:sz w:val="24"/>
          <w:szCs w:val="24"/>
          <w:highlight w:val="none"/>
        </w:rPr>
      </w:pPr>
      <w:r>
        <w:rPr>
          <w:color w:val="auto"/>
          <w:spacing w:val="-1"/>
          <w:sz w:val="24"/>
          <w:szCs w:val="24"/>
          <w:highlight w:val="none"/>
        </w:rPr>
        <w:t>2.生产厂名与厂址应与生产厂营业执照载明的相关信息保持一致。</w:t>
      </w:r>
    </w:p>
    <w:p w14:paraId="4A519CDA">
      <w:pPr>
        <w:pStyle w:val="16"/>
        <w:keepNext w:val="0"/>
        <w:keepLines w:val="0"/>
        <w:pageBreakBefore w:val="0"/>
        <w:widowControl w:val="0"/>
        <w:kinsoku/>
        <w:wordWrap/>
        <w:overflowPunct/>
        <w:topLinePunct w:val="0"/>
        <w:autoSpaceDE/>
        <w:autoSpaceDN/>
        <w:bidi w:val="0"/>
        <w:adjustRightInd/>
        <w:snapToGrid/>
        <w:spacing w:before="221" w:line="400" w:lineRule="exact"/>
        <w:ind w:left="0" w:leftChars="0" w:right="96" w:firstLine="476" w:firstLineChars="200"/>
        <w:jc w:val="both"/>
        <w:textAlignment w:val="auto"/>
        <w:rPr>
          <w:color w:val="auto"/>
          <w:sz w:val="24"/>
          <w:szCs w:val="24"/>
          <w:highlight w:val="none"/>
        </w:rPr>
      </w:pPr>
      <w:r>
        <w:rPr>
          <w:color w:val="auto"/>
          <w:spacing w:val="-1"/>
          <w:sz w:val="24"/>
          <w:szCs w:val="24"/>
          <w:highlight w:val="none"/>
        </w:rPr>
        <w:t>3.该产品的中国境内生产的组件成本占比相关要</w:t>
      </w:r>
      <w:r>
        <w:rPr>
          <w:color w:val="auto"/>
          <w:spacing w:val="-2"/>
          <w:sz w:val="24"/>
          <w:szCs w:val="24"/>
          <w:highlight w:val="none"/>
        </w:rPr>
        <w:t>求实施前，“规定比例</w:t>
      </w:r>
      <w:r>
        <w:rPr>
          <w:color w:val="auto"/>
          <w:spacing w:val="-88"/>
          <w:sz w:val="24"/>
          <w:szCs w:val="24"/>
          <w:highlight w:val="none"/>
        </w:rPr>
        <w:t xml:space="preserve"> </w:t>
      </w:r>
      <w:r>
        <w:rPr>
          <w:color w:val="auto"/>
          <w:spacing w:val="-2"/>
          <w:sz w:val="24"/>
          <w:szCs w:val="24"/>
          <w:highlight w:val="none"/>
        </w:rPr>
        <w:t>”栏可</w:t>
      </w:r>
      <w:r>
        <w:rPr>
          <w:color w:val="auto"/>
          <w:spacing w:val="-3"/>
          <w:sz w:val="24"/>
          <w:szCs w:val="24"/>
          <w:highlight w:val="none"/>
        </w:rPr>
        <w:t>不填，下同。</w:t>
      </w:r>
    </w:p>
    <w:p w14:paraId="7FD67349">
      <w:pPr>
        <w:pStyle w:val="16"/>
        <w:keepNext w:val="0"/>
        <w:keepLines w:val="0"/>
        <w:pageBreakBefore w:val="0"/>
        <w:widowControl w:val="0"/>
        <w:kinsoku/>
        <w:wordWrap/>
        <w:overflowPunct/>
        <w:topLinePunct w:val="0"/>
        <w:autoSpaceDE/>
        <w:autoSpaceDN/>
        <w:bidi w:val="0"/>
        <w:adjustRightInd/>
        <w:snapToGrid/>
        <w:spacing w:before="221" w:line="400" w:lineRule="exact"/>
        <w:ind w:left="0" w:leftChars="0" w:firstLine="472" w:firstLineChars="200"/>
        <w:jc w:val="left"/>
        <w:textAlignment w:val="auto"/>
        <w:rPr>
          <w:color w:val="auto"/>
          <w:spacing w:val="-2"/>
          <w:sz w:val="24"/>
          <w:szCs w:val="24"/>
          <w:highlight w:val="none"/>
        </w:rPr>
      </w:pPr>
      <w:r>
        <w:rPr>
          <w:color w:val="auto"/>
          <w:spacing w:val="-2"/>
          <w:sz w:val="24"/>
          <w:szCs w:val="24"/>
          <w:highlight w:val="none"/>
        </w:rPr>
        <w:t>4.该产品的关键组件要求实施前，“关键组件</w:t>
      </w:r>
      <w:r>
        <w:rPr>
          <w:color w:val="auto"/>
          <w:spacing w:val="-70"/>
          <w:sz w:val="24"/>
          <w:szCs w:val="24"/>
          <w:highlight w:val="none"/>
        </w:rPr>
        <w:t xml:space="preserve"> </w:t>
      </w:r>
      <w:r>
        <w:rPr>
          <w:color w:val="auto"/>
          <w:spacing w:val="-2"/>
          <w:sz w:val="24"/>
          <w:szCs w:val="24"/>
          <w:highlight w:val="none"/>
        </w:rPr>
        <w:t>”栏可不填，下同。</w:t>
      </w:r>
    </w:p>
    <w:p w14:paraId="028DD406">
      <w:pPr>
        <w:pStyle w:val="16"/>
        <w:keepNext w:val="0"/>
        <w:keepLines w:val="0"/>
        <w:pageBreakBefore w:val="0"/>
        <w:widowControl w:val="0"/>
        <w:kinsoku/>
        <w:wordWrap/>
        <w:overflowPunct/>
        <w:topLinePunct w:val="0"/>
        <w:autoSpaceDE/>
        <w:autoSpaceDN/>
        <w:bidi w:val="0"/>
        <w:adjustRightInd/>
        <w:snapToGrid/>
        <w:spacing w:before="221" w:line="400" w:lineRule="exact"/>
        <w:ind w:left="0" w:leftChars="0" w:firstLine="472" w:firstLineChars="200"/>
        <w:textAlignment w:val="auto"/>
        <w:rPr>
          <w:rFonts w:hint="eastAsia" w:ascii="宋体" w:hAnsi="宋体" w:eastAsia="宋体" w:cs="宋体"/>
          <w:color w:val="auto"/>
          <w:spacing w:val="-3"/>
          <w:sz w:val="24"/>
          <w:szCs w:val="24"/>
          <w:highlight w:val="none"/>
          <w:lang w:eastAsia="zh-CN"/>
        </w:rPr>
        <w:sectPr>
          <w:pgSz w:w="11906" w:h="16839"/>
          <w:pgMar w:top="1440" w:right="1800" w:bottom="1440" w:left="1800" w:header="0" w:footer="971" w:gutter="0"/>
          <w:pgNumType w:fmt="decimal"/>
          <w:cols w:space="720" w:num="1"/>
        </w:sectPr>
      </w:pPr>
      <w:r>
        <w:rPr>
          <w:color w:val="auto"/>
          <w:spacing w:val="-2"/>
          <w:sz w:val="24"/>
          <w:szCs w:val="24"/>
          <w:highlight w:val="none"/>
        </w:rPr>
        <w:t>5.该产品的关键工序要求实施前，“关键工序</w:t>
      </w:r>
      <w:r>
        <w:rPr>
          <w:color w:val="auto"/>
          <w:spacing w:val="-76"/>
          <w:sz w:val="24"/>
          <w:szCs w:val="24"/>
          <w:highlight w:val="none"/>
        </w:rPr>
        <w:t xml:space="preserve"> </w:t>
      </w:r>
      <w:r>
        <w:rPr>
          <w:color w:val="auto"/>
          <w:spacing w:val="-2"/>
          <w:sz w:val="24"/>
          <w:szCs w:val="24"/>
          <w:highlight w:val="none"/>
        </w:rPr>
        <w:t>”栏可不填，下同</w:t>
      </w:r>
    </w:p>
    <w:p w14:paraId="3199F8BB">
      <w:pPr>
        <w:pStyle w:val="6"/>
        <w:tabs>
          <w:tab w:val="left" w:pos="780"/>
        </w:tabs>
        <w:spacing w:before="234" w:after="46"/>
        <w:jc w:val="center"/>
        <w:rPr>
          <w:color w:val="auto"/>
          <w:spacing w:val="6"/>
          <w:sz w:val="28"/>
          <w:szCs w:val="28"/>
          <w:highlight w:val="none"/>
        </w:rPr>
      </w:pPr>
      <w:r>
        <w:rPr>
          <w:rFonts w:hint="eastAsia"/>
          <w:color w:val="auto"/>
          <w:spacing w:val="6"/>
          <w:sz w:val="28"/>
          <w:szCs w:val="28"/>
          <w:highlight w:val="none"/>
          <w:lang w:eastAsia="zh-CN"/>
        </w:rPr>
        <w:t>（</w:t>
      </w:r>
      <w:r>
        <w:rPr>
          <w:rFonts w:hint="eastAsia"/>
          <w:color w:val="auto"/>
          <w:spacing w:val="6"/>
          <w:sz w:val="28"/>
          <w:szCs w:val="28"/>
          <w:highlight w:val="none"/>
          <w:lang w:val="en-US" w:eastAsia="zh-CN"/>
        </w:rPr>
        <w:t>十二</w:t>
      </w:r>
      <w:r>
        <w:rPr>
          <w:rFonts w:hint="eastAsia"/>
          <w:color w:val="auto"/>
          <w:spacing w:val="6"/>
          <w:sz w:val="28"/>
          <w:szCs w:val="28"/>
          <w:highlight w:val="none"/>
          <w:lang w:eastAsia="zh-CN"/>
        </w:rPr>
        <w:t>）</w:t>
      </w:r>
      <w:r>
        <w:rPr>
          <w:rFonts w:hint="eastAsia"/>
          <w:color w:val="auto"/>
          <w:spacing w:val="6"/>
          <w:sz w:val="28"/>
          <w:szCs w:val="28"/>
          <w:highlight w:val="none"/>
        </w:rPr>
        <w:t>政府采购其他政策要求</w:t>
      </w:r>
    </w:p>
    <w:p w14:paraId="348B55BC">
      <w:pPr>
        <w:ind w:firstLine="480"/>
        <w:rPr>
          <w:color w:val="auto"/>
          <w:highlight w:val="none"/>
        </w:rPr>
      </w:pPr>
    </w:p>
    <w:sectPr>
      <w:headerReference r:id="rId19" w:type="default"/>
      <w:footerReference r:id="rId20" w:type="default"/>
      <w:pgSz w:w="11905" w:h="16838"/>
      <w:pgMar w:top="1587" w:right="1417" w:bottom="1417" w:left="1417" w:header="850" w:footer="992" w:gutter="85"/>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85830">
    <w:pPr>
      <w:pStyle w:val="23"/>
      <w:pBdr>
        <w:top w:val="none" w:color="auto" w:sz="0" w:space="1"/>
      </w:pBdr>
      <w:spacing w:before="60"/>
      <w:jc w:val="lef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B820B">
    <w:pPr>
      <w:pStyle w:val="23"/>
      <w:pBdr>
        <w:top w:val="none" w:color="auto" w:sz="0" w:space="1"/>
        <w:left w:val="none" w:color="auto" w:sz="0" w:space="4"/>
        <w:bottom w:val="none" w:color="auto" w:sz="0" w:space="1"/>
        <w:right w:val="none" w:color="auto" w:sz="0" w:space="4"/>
        <w:between w:val="none" w:color="auto" w:sz="0" w:space="0"/>
      </w:pBdr>
      <w:tabs>
        <w:tab w:val="right" w:pos="8986"/>
        <w:tab w:val="clear" w:pos="4153"/>
      </w:tabs>
      <w:spacing w:before="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3A293D">
                          <w:pPr>
                            <w:pStyle w:val="65"/>
                            <w:spacing w:before="6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186</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23A293D">
                    <w:pPr>
                      <w:pStyle w:val="65"/>
                      <w:spacing w:before="6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186</w:t>
                    </w:r>
                    <w:r>
                      <w:rPr>
                        <w:rFonts w:hint="eastAsia"/>
                      </w:rPr>
                      <w:fldChar w:fldCharType="end"/>
                    </w:r>
                    <w:r>
                      <w:rPr>
                        <w:rFonts w:hint="eastAsia"/>
                      </w:rPr>
                      <w:t xml:space="preserve"> 页</w:t>
                    </w:r>
                  </w:p>
                </w:txbxContent>
              </v:textbox>
            </v:shape>
          </w:pict>
        </mc:Fallback>
      </mc:AlternateContent>
    </w:r>
    <w:r>
      <w:rPr>
        <w:rFonts w:hint="eastAsia"/>
        <w:lang w:eastAsia="zh-CN"/>
      </w:rPr>
      <w:tab/>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B2BA7">
    <w:pPr>
      <w:pStyle w:val="23"/>
      <w:spacing w:before="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27C34">
    <w:pPr>
      <w:pStyle w:val="23"/>
      <w:spacing w:before="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C015C">
    <w:pPr>
      <w:pStyle w:val="23"/>
      <w:pBdr>
        <w:top w:val="none" w:color="auto" w:sz="0" w:space="1"/>
        <w:left w:val="none" w:color="auto" w:sz="0" w:space="4"/>
        <w:bottom w:val="none" w:color="auto" w:sz="0" w:space="1"/>
        <w:right w:val="none" w:color="auto" w:sz="0" w:space="4"/>
        <w:between w:val="none" w:color="auto" w:sz="0" w:space="0"/>
      </w:pBd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F8205">
    <w:pPr>
      <w:pStyle w:val="23"/>
      <w:pBdr>
        <w:top w:val="none" w:color="auto" w:sz="0" w:space="1"/>
        <w:left w:val="none" w:color="auto" w:sz="0" w:space="4"/>
        <w:bottom w:val="none" w:color="auto" w:sz="0" w:space="1"/>
        <w:right w:val="none" w:color="auto" w:sz="0" w:space="4"/>
        <w:between w:val="none" w:color="auto" w:sz="0" w:space="0"/>
      </w:pBdr>
      <w:adjustRightInd w:val="0"/>
      <w:spacing w:before="60" w:line="240" w:lineRule="atLeast"/>
      <w:textAlignment w:val="baseline"/>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65CB5">
                          <w:pPr>
                            <w:pStyle w:val="65"/>
                            <w:spacing w:before="6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150</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2465CB5">
                    <w:pPr>
                      <w:pStyle w:val="65"/>
                      <w:spacing w:before="6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150</w:t>
                    </w:r>
                    <w:r>
                      <w:rPr>
                        <w:rFonts w:hint="eastAsia"/>
                      </w:rPr>
                      <w:fldChar w:fldCharType="end"/>
                    </w:r>
                    <w:r>
                      <w:rPr>
                        <w:rFonts w:hint="eastAsia"/>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1589A">
    <w:pPr>
      <w:pStyle w:val="23"/>
      <w:pBdr>
        <w:top w:val="none" w:color="auto" w:sz="0" w:space="1"/>
        <w:left w:val="none" w:color="auto" w:sz="0" w:space="4"/>
        <w:bottom w:val="none" w:color="auto" w:sz="0" w:space="1"/>
        <w:right w:val="none" w:color="auto" w:sz="0" w:space="4"/>
        <w:between w:val="none" w:color="auto" w:sz="0" w:space="0"/>
      </w:pBdr>
      <w:tabs>
        <w:tab w:val="left" w:pos="6586"/>
        <w:tab w:val="clear" w:pos="4153"/>
      </w:tabs>
      <w:spacing w:before="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9C320D">
                          <w:pPr>
                            <w:pStyle w:val="23"/>
                            <w:pBdr>
                              <w:top w:val="none" w:color="auto" w:sz="0" w:space="1"/>
                              <w:left w:val="none" w:color="auto" w:sz="0" w:space="4"/>
                              <w:bottom w:val="none" w:color="auto" w:sz="0" w:space="1"/>
                              <w:right w:val="none" w:color="auto" w:sz="0" w:space="4"/>
                              <w:between w:val="none" w:color="auto" w:sz="0" w:space="0"/>
                            </w:pBdr>
                            <w:spacing w:before="60"/>
                          </w:pPr>
                          <w:r>
                            <w:fldChar w:fldCharType="begin"/>
                          </w:r>
                          <w:r>
                            <w:instrText xml:space="preserve"> PAGE  \* MERGEFORMAT </w:instrText>
                          </w:r>
                          <w:r>
                            <w:fldChar w:fldCharType="separate"/>
                          </w:r>
                          <w:r>
                            <w:t>184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2E9C320D">
                    <w:pPr>
                      <w:pStyle w:val="23"/>
                      <w:pBdr>
                        <w:top w:val="none" w:color="auto" w:sz="0" w:space="1"/>
                        <w:left w:val="none" w:color="auto" w:sz="0" w:space="4"/>
                        <w:bottom w:val="none" w:color="auto" w:sz="0" w:space="1"/>
                        <w:right w:val="none" w:color="auto" w:sz="0" w:space="4"/>
                        <w:between w:val="none" w:color="auto" w:sz="0" w:space="0"/>
                      </w:pBdr>
                      <w:spacing w:before="60"/>
                    </w:pPr>
                    <w:r>
                      <w:fldChar w:fldCharType="begin"/>
                    </w:r>
                    <w:r>
                      <w:instrText xml:space="preserve"> PAGE  \* MERGEFORMAT </w:instrText>
                    </w:r>
                    <w:r>
                      <w:fldChar w:fldCharType="separate"/>
                    </w:r>
                    <w:r>
                      <w:t>184</w:t>
                    </w:r>
                    <w:r>
                      <w:fldChar w:fldCharType="end"/>
                    </w:r>
                  </w:p>
                </w:txbxContent>
              </v:textbox>
            </v:shape>
          </w:pict>
        </mc:Fallback>
      </mc:AlternateContent>
    </w:r>
    <w:r>
      <w:rPr>
        <w:rFonts w:hint="eastAsia"/>
        <w:lang w:eastAsia="zh-CN"/>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96FE7">
    <w:pPr>
      <w:pStyle w:val="23"/>
      <w:pBdr>
        <w:top w:val="none" w:color="auto" w:sz="0" w:space="1"/>
        <w:left w:val="none" w:color="auto" w:sz="0" w:space="4"/>
        <w:bottom w:val="none" w:color="auto" w:sz="0" w:space="1"/>
        <w:right w:val="none" w:color="auto" w:sz="0" w:space="4"/>
        <w:between w:val="none" w:color="auto" w:sz="0" w:space="0"/>
      </w:pBdr>
      <w:tabs>
        <w:tab w:val="left" w:pos="5919"/>
        <w:tab w:val="right" w:pos="9071"/>
        <w:tab w:val="clear" w:pos="4153"/>
        <w:tab w:val="clear" w:pos="8306"/>
      </w:tabs>
      <w:spacing w:before="60"/>
      <w:rPr>
        <w:rFonts w:ascii="仿宋_GB2312" w:eastAsia="仿宋_GB2312"/>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C6B553">
                          <w:pPr>
                            <w:pStyle w:val="23"/>
                            <w:pBdr>
                              <w:top w:val="none" w:color="auto" w:sz="0" w:space="1"/>
                              <w:left w:val="none" w:color="auto" w:sz="0" w:space="4"/>
                              <w:bottom w:val="none" w:color="auto" w:sz="0" w:space="1"/>
                              <w:right w:val="none" w:color="auto" w:sz="0" w:space="4"/>
                              <w:between w:val="none" w:color="auto" w:sz="0" w:space="0"/>
                            </w:pBdr>
                            <w:spacing w:before="60"/>
                          </w:pPr>
                          <w:r>
                            <w:fldChar w:fldCharType="begin"/>
                          </w:r>
                          <w:r>
                            <w:instrText xml:space="preserve"> PAGE  \* MERGEFORMAT </w:instrText>
                          </w:r>
                          <w:r>
                            <w:fldChar w:fldCharType="separate"/>
                          </w:r>
                          <w:r>
                            <w:t>181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00C6B553">
                    <w:pPr>
                      <w:pStyle w:val="23"/>
                      <w:pBdr>
                        <w:top w:val="none" w:color="auto" w:sz="0" w:space="1"/>
                        <w:left w:val="none" w:color="auto" w:sz="0" w:space="4"/>
                        <w:bottom w:val="none" w:color="auto" w:sz="0" w:space="1"/>
                        <w:right w:val="none" w:color="auto" w:sz="0" w:space="4"/>
                        <w:between w:val="none" w:color="auto" w:sz="0" w:space="0"/>
                      </w:pBdr>
                      <w:spacing w:before="60"/>
                    </w:pPr>
                    <w:r>
                      <w:fldChar w:fldCharType="begin"/>
                    </w:r>
                    <w:r>
                      <w:instrText xml:space="preserve"> PAGE  \* MERGEFORMAT </w:instrText>
                    </w:r>
                    <w:r>
                      <w:fldChar w:fldCharType="separate"/>
                    </w:r>
                    <w:r>
                      <w:t>181</w:t>
                    </w:r>
                    <w:r>
                      <w:fldChar w:fldCharType="end"/>
                    </w:r>
                  </w:p>
                </w:txbxContent>
              </v:textbox>
            </v:shape>
          </w:pict>
        </mc:Fallback>
      </mc:AlternateContent>
    </w:r>
    <w:r>
      <w:rPr>
        <w:rFonts w:hint="eastAsia" w:ascii="仿宋_GB2312" w:eastAsia="仿宋_GB2312"/>
        <w:sz w:val="21"/>
        <w:szCs w:val="21"/>
        <w:lang w:eastAsia="zh-CN"/>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D11A5">
    <w:pPr>
      <w:pStyle w:val="23"/>
      <w:pBdr>
        <w:top w:val="none" w:color="auto" w:sz="0" w:space="1"/>
        <w:left w:val="none" w:color="auto" w:sz="0" w:space="4"/>
        <w:bottom w:val="none" w:color="auto" w:sz="0" w:space="1"/>
        <w:right w:val="none" w:color="auto" w:sz="0" w:space="4"/>
        <w:between w:val="none" w:color="auto" w:sz="0" w:space="0"/>
      </w:pBdr>
      <w:tabs>
        <w:tab w:val="left" w:pos="6586"/>
        <w:tab w:val="clear" w:pos="4153"/>
      </w:tabs>
      <w:spacing w:before="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9F90E0">
                          <w:pPr>
                            <w:pStyle w:val="23"/>
                            <w:pBdr>
                              <w:top w:val="none" w:color="auto" w:sz="0" w:space="1"/>
                              <w:left w:val="none" w:color="auto" w:sz="0" w:space="4"/>
                              <w:bottom w:val="none" w:color="auto" w:sz="0" w:space="1"/>
                              <w:right w:val="none" w:color="auto" w:sz="0" w:space="4"/>
                              <w:between w:val="none" w:color="auto" w:sz="0" w:space="0"/>
                            </w:pBdr>
                            <w:spacing w:before="60"/>
                          </w:pPr>
                          <w:r>
                            <w:fldChar w:fldCharType="begin"/>
                          </w:r>
                          <w:r>
                            <w:instrText xml:space="preserve"> PAGE  \* MERGEFORMAT </w:instrText>
                          </w:r>
                          <w:r>
                            <w:fldChar w:fldCharType="separate"/>
                          </w:r>
                          <w:r>
                            <w:t>184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119F90E0">
                    <w:pPr>
                      <w:pStyle w:val="23"/>
                      <w:pBdr>
                        <w:top w:val="none" w:color="auto" w:sz="0" w:space="1"/>
                        <w:left w:val="none" w:color="auto" w:sz="0" w:space="4"/>
                        <w:bottom w:val="none" w:color="auto" w:sz="0" w:space="1"/>
                        <w:right w:val="none" w:color="auto" w:sz="0" w:space="4"/>
                        <w:between w:val="none" w:color="auto" w:sz="0" w:space="0"/>
                      </w:pBdr>
                      <w:spacing w:before="60"/>
                    </w:pPr>
                    <w:r>
                      <w:fldChar w:fldCharType="begin"/>
                    </w:r>
                    <w:r>
                      <w:instrText xml:space="preserve"> PAGE  \* MERGEFORMAT </w:instrText>
                    </w:r>
                    <w:r>
                      <w:fldChar w:fldCharType="separate"/>
                    </w:r>
                    <w:r>
                      <w:t>184</w:t>
                    </w:r>
                    <w:r>
                      <w:fldChar w:fldCharType="end"/>
                    </w:r>
                  </w:p>
                </w:txbxContent>
              </v:textbox>
            </v:shape>
          </w:pict>
        </mc:Fallback>
      </mc:AlternateContent>
    </w:r>
    <w:r>
      <w:rPr>
        <w:rFonts w:hint="eastAsia"/>
        <w:lang w:eastAsia="zh-CN"/>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4A86B">
    <w:pPr>
      <w:pStyle w:val="23"/>
      <w:pBdr>
        <w:top w:val="none" w:color="auto" w:sz="0" w:space="1"/>
        <w:left w:val="none" w:color="auto" w:sz="0" w:space="4"/>
        <w:bottom w:val="none" w:color="auto" w:sz="0" w:space="1"/>
        <w:right w:val="none" w:color="auto" w:sz="0" w:space="4"/>
        <w:between w:val="none" w:color="auto" w:sz="0" w:space="0"/>
      </w:pBdr>
      <w:tabs>
        <w:tab w:val="left" w:pos="5919"/>
        <w:tab w:val="right" w:pos="9071"/>
        <w:tab w:val="clear" w:pos="4153"/>
        <w:tab w:val="clear" w:pos="8306"/>
      </w:tabs>
      <w:spacing w:before="60"/>
      <w:rPr>
        <w:rFonts w:ascii="仿宋_GB2312" w:eastAsia="仿宋_GB2312"/>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B04A15">
                          <w:pPr>
                            <w:pStyle w:val="23"/>
                            <w:pBdr>
                              <w:top w:val="none" w:color="auto" w:sz="0" w:space="1"/>
                              <w:left w:val="none" w:color="auto" w:sz="0" w:space="4"/>
                              <w:bottom w:val="none" w:color="auto" w:sz="0" w:space="1"/>
                              <w:right w:val="none" w:color="auto" w:sz="0" w:space="4"/>
                              <w:between w:val="none" w:color="auto" w:sz="0" w:space="0"/>
                            </w:pBdr>
                            <w:spacing w:before="60"/>
                          </w:pPr>
                          <w:r>
                            <w:fldChar w:fldCharType="begin"/>
                          </w:r>
                          <w:r>
                            <w:instrText xml:space="preserve"> PAGE  \* MERGEFORMAT </w:instrText>
                          </w:r>
                          <w:r>
                            <w:fldChar w:fldCharType="separate"/>
                          </w:r>
                          <w:r>
                            <w:t>181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75B04A15">
                    <w:pPr>
                      <w:pStyle w:val="23"/>
                      <w:pBdr>
                        <w:top w:val="none" w:color="auto" w:sz="0" w:space="1"/>
                        <w:left w:val="none" w:color="auto" w:sz="0" w:space="4"/>
                        <w:bottom w:val="none" w:color="auto" w:sz="0" w:space="1"/>
                        <w:right w:val="none" w:color="auto" w:sz="0" w:space="4"/>
                        <w:between w:val="none" w:color="auto" w:sz="0" w:space="0"/>
                      </w:pBdr>
                      <w:spacing w:before="60"/>
                    </w:pPr>
                    <w:r>
                      <w:fldChar w:fldCharType="begin"/>
                    </w:r>
                    <w:r>
                      <w:instrText xml:space="preserve"> PAGE  \* MERGEFORMAT </w:instrText>
                    </w:r>
                    <w:r>
                      <w:fldChar w:fldCharType="separate"/>
                    </w:r>
                    <w:r>
                      <w:t>181</w:t>
                    </w:r>
                    <w:r>
                      <w:fldChar w:fldCharType="end"/>
                    </w:r>
                  </w:p>
                </w:txbxContent>
              </v:textbox>
            </v:shape>
          </w:pict>
        </mc:Fallback>
      </mc:AlternateContent>
    </w:r>
    <w:r>
      <w:rPr>
        <w:rFonts w:hint="eastAsia" w:ascii="仿宋_GB2312" w:eastAsia="仿宋_GB2312"/>
        <w:sz w:val="21"/>
        <w:szCs w:val="21"/>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65A75">
    <w:pPr>
      <w:pStyle w:val="24"/>
      <w:pBdr>
        <w:bottom w:val="none" w:color="auto" w:sz="0" w:space="1"/>
      </w:pBdr>
      <w:tabs>
        <w:tab w:val="left" w:pos="9660"/>
      </w:tabs>
      <w:spacing w:after="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EB5D2">
    <w:pPr>
      <w:pStyle w:val="24"/>
      <w:spacing w:after="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8C585">
    <w:pPr>
      <w:pStyle w:val="24"/>
      <w:pBdr>
        <w:top w:val="none" w:color="auto" w:sz="0" w:space="1"/>
        <w:left w:val="none" w:color="auto" w:sz="0" w:space="4"/>
        <w:bottom w:val="none" w:color="auto" w:sz="0" w:space="1"/>
        <w:right w:val="none" w:color="auto" w:sz="0" w:space="4"/>
        <w:between w:val="none" w:color="auto" w:sz="0" w:space="0"/>
      </w:pBdr>
      <w:spacing w:after="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736AF">
    <w:pPr>
      <w:pStyle w:val="24"/>
      <w:pBdr>
        <w:top w:val="none" w:color="auto" w:sz="0" w:space="1"/>
        <w:left w:val="none" w:color="auto" w:sz="0" w:space="4"/>
        <w:bottom w:val="none" w:color="auto" w:sz="0" w:space="1"/>
        <w:right w:val="none" w:color="auto" w:sz="0" w:space="4"/>
        <w:between w:val="none" w:color="auto" w:sz="0" w:space="0"/>
      </w:pBdr>
      <w:spacing w:after="60"/>
      <w:rPr>
        <w:lang w:val="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3BD03">
    <w:pPr>
      <w:pStyle w:val="24"/>
      <w:pBdr>
        <w:bottom w:val="none" w:color="auto" w:sz="0" w:space="1"/>
      </w:pBdr>
      <w:spacing w:after="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88E82">
    <w:pPr>
      <w:pStyle w:val="24"/>
      <w:pBdr>
        <w:bottom w:val="none" w:color="auto" w:sz="0" w:space="1"/>
      </w:pBdr>
      <w:tabs>
        <w:tab w:val="left" w:pos="1643"/>
      </w:tabs>
      <w:spacing w:after="60"/>
      <w:jc w:val="left"/>
    </w:pPr>
    <w:r>
      <w:rPr>
        <w:rFonts w:hint="eastAsia"/>
      </w:rPr>
      <w:tab/>
    </w:r>
    <w:r>
      <w:rPr>
        <w:rFonts w:hint="eastAsia"/>
      </w:rPr>
      <w:tab/>
    </w: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F41D21"/>
    <w:multiLevelType w:val="singleLevel"/>
    <w:tmpl w:val="95F41D21"/>
    <w:lvl w:ilvl="0" w:tentative="0">
      <w:start w:val="1"/>
      <w:numFmt w:val="decimal"/>
      <w:suff w:val="nothing"/>
      <w:lvlText w:val="%1、"/>
      <w:lvlJc w:val="left"/>
    </w:lvl>
  </w:abstractNum>
  <w:abstractNum w:abstractNumId="1">
    <w:nsid w:val="B0336C9E"/>
    <w:multiLevelType w:val="singleLevel"/>
    <w:tmpl w:val="B0336C9E"/>
    <w:lvl w:ilvl="0" w:tentative="0">
      <w:start w:val="9"/>
      <w:numFmt w:val="chineseCounting"/>
      <w:suff w:val="nothing"/>
      <w:lvlText w:val="（%1）"/>
      <w:lvlJc w:val="left"/>
      <w:rPr>
        <w:rFonts w:hint="eastAsia"/>
      </w:rPr>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D873E0FA"/>
    <w:multiLevelType w:val="singleLevel"/>
    <w:tmpl w:val="D873E0FA"/>
    <w:lvl w:ilvl="0" w:tentative="0">
      <w:start w:val="2"/>
      <w:numFmt w:val="decimal"/>
      <w:lvlText w:val="%1."/>
      <w:lvlJc w:val="left"/>
      <w:pPr>
        <w:tabs>
          <w:tab w:val="left" w:pos="312"/>
        </w:tabs>
      </w:pPr>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EDA954F8"/>
    <w:multiLevelType w:val="singleLevel"/>
    <w:tmpl w:val="EDA954F8"/>
    <w:lvl w:ilvl="0" w:tentative="0">
      <w:start w:val="4"/>
      <w:numFmt w:val="chineseCounting"/>
      <w:suff w:val="space"/>
      <w:lvlText w:val="第%1章"/>
      <w:lvlJc w:val="left"/>
      <w:rPr>
        <w:rFonts w:hint="eastAsia"/>
      </w:rPr>
    </w:lvl>
  </w:abstractNum>
  <w:abstractNum w:abstractNumId="8">
    <w:nsid w:val="F49864A1"/>
    <w:multiLevelType w:val="singleLevel"/>
    <w:tmpl w:val="F49864A1"/>
    <w:lvl w:ilvl="0" w:tentative="0">
      <w:start w:val="5"/>
      <w:numFmt w:val="chineseCounting"/>
      <w:suff w:val="space"/>
      <w:lvlText w:val="第%1章"/>
      <w:lvlJc w:val="left"/>
      <w:rPr>
        <w:rFonts w:hint="eastAsia"/>
      </w:rPr>
    </w:lvl>
  </w:abstractNum>
  <w:abstractNum w:abstractNumId="9">
    <w:nsid w:val="1BE1319D"/>
    <w:multiLevelType w:val="singleLevel"/>
    <w:tmpl w:val="1BE1319D"/>
    <w:lvl w:ilvl="0" w:tentative="0">
      <w:start w:val="1"/>
      <w:numFmt w:val="chineseCounting"/>
      <w:suff w:val="nothing"/>
      <w:lvlText w:val="%1、"/>
      <w:lvlJc w:val="left"/>
      <w:rPr>
        <w:rFonts w:hint="eastAsia"/>
      </w:rPr>
    </w:lvl>
  </w:abstractNum>
  <w:abstractNum w:abstractNumId="10">
    <w:nsid w:val="243C3D36"/>
    <w:multiLevelType w:val="multilevel"/>
    <w:tmpl w:val="243C3D36"/>
    <w:lvl w:ilvl="0" w:tentative="0">
      <w:start w:val="1"/>
      <w:numFmt w:val="decimal"/>
      <w:suff w:val="space"/>
      <w:lvlText w:val="%1."/>
      <w:lvlJc w:val="center"/>
      <w:pPr>
        <w:ind w:left="0" w:firstLine="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1">
    <w:nsid w:val="51239AF2"/>
    <w:multiLevelType w:val="singleLevel"/>
    <w:tmpl w:val="51239AF2"/>
    <w:lvl w:ilvl="0" w:tentative="0">
      <w:start w:val="1"/>
      <w:numFmt w:val="chineseCounting"/>
      <w:suff w:val="space"/>
      <w:lvlText w:val="第%1章"/>
      <w:lvlJc w:val="left"/>
      <w:rPr>
        <w:rFonts w:hint="eastAsia"/>
      </w:rPr>
    </w:lvl>
  </w:abstractNum>
  <w:abstractNum w:abstractNumId="12">
    <w:nsid w:val="55625B0C"/>
    <w:multiLevelType w:val="multilevel"/>
    <w:tmpl w:val="55625B0C"/>
    <w:lvl w:ilvl="0" w:tentative="0">
      <w:start w:val="1"/>
      <w:numFmt w:val="decimal"/>
      <w:suff w:val="space"/>
      <w:lvlText w:val="%1."/>
      <w:lvlJc w:val="center"/>
      <w:pPr>
        <w:ind w:left="0" w:firstLine="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3">
    <w:nsid w:val="6697B68A"/>
    <w:multiLevelType w:val="multilevel"/>
    <w:tmpl w:val="6697B68A"/>
    <w:lvl w:ilvl="0" w:tentative="0">
      <w:start w:val="1"/>
      <w:numFmt w:val="chineseCountingThousand"/>
      <w:suff w:val="space"/>
      <w:lvlText w:val="第%1章"/>
      <w:lvlJc w:val="left"/>
      <w:pPr>
        <w:ind w:left="0" w:firstLine="0"/>
      </w:pPr>
      <w:rPr>
        <w:rFonts w:hint="eastAsia" w:ascii="黑体" w:hAnsi="黑体" w:eastAsia="黑体" w:cs="黑体"/>
        <w:sz w:val="44"/>
        <w:szCs w:val="44"/>
      </w:rPr>
    </w:lvl>
    <w:lvl w:ilvl="1" w:tentative="0">
      <w:start w:val="1"/>
      <w:numFmt w:val="decimal"/>
      <w:isLgl/>
      <w:suff w:val="nothing"/>
      <w:lvlText w:val="%1.%2."/>
      <w:lvlJc w:val="left"/>
      <w:pPr>
        <w:ind w:left="0" w:firstLine="0"/>
      </w:pPr>
      <w:rPr>
        <w:rFonts w:hint="default" w:ascii="黑体" w:hAnsi="黑体" w:eastAsia="黑体" w:cs="黑体"/>
        <w:sz w:val="36"/>
        <w:szCs w:val="36"/>
      </w:rPr>
    </w:lvl>
    <w:lvl w:ilvl="2" w:tentative="0">
      <w:start w:val="1"/>
      <w:numFmt w:val="decimal"/>
      <w:isLgl/>
      <w:suff w:val="nothing"/>
      <w:lvlText w:val="%1.%2.%3."/>
      <w:lvlJc w:val="left"/>
      <w:pPr>
        <w:ind w:left="0" w:firstLine="0"/>
      </w:pPr>
      <w:rPr>
        <w:rFonts w:hint="default" w:ascii="黑体" w:hAnsi="黑体" w:eastAsia="黑体" w:cs="黑体"/>
        <w:sz w:val="36"/>
        <w:szCs w:val="36"/>
      </w:rPr>
    </w:lvl>
    <w:lvl w:ilvl="3" w:tentative="0">
      <w:start w:val="1"/>
      <w:numFmt w:val="decimal"/>
      <w:isLgl/>
      <w:suff w:val="nothing"/>
      <w:lvlText w:val="%1.%2.%3.%4."/>
      <w:lvlJc w:val="left"/>
      <w:pPr>
        <w:ind w:left="568" w:firstLine="0"/>
      </w:pPr>
      <w:rPr>
        <w:rFonts w:hint="default" w:ascii="宋体" w:hAnsi="宋体" w:eastAsia="宋体" w:cs="宋体"/>
        <w:b/>
        <w:bCs/>
        <w:sz w:val="28"/>
        <w:szCs w:val="28"/>
      </w:rPr>
    </w:lvl>
    <w:lvl w:ilvl="4" w:tentative="0">
      <w:start w:val="1"/>
      <w:numFmt w:val="decimal"/>
      <w:isLgl/>
      <w:suff w:val="nothing"/>
      <w:lvlText w:val="%1.%2.%3.%4.%5."/>
      <w:lvlJc w:val="left"/>
      <w:pPr>
        <w:ind w:left="0" w:firstLine="0"/>
      </w:pPr>
      <w:rPr>
        <w:rFonts w:hint="eastAsia"/>
      </w:rPr>
    </w:lvl>
    <w:lvl w:ilvl="5" w:tentative="0">
      <w:start w:val="1"/>
      <w:numFmt w:val="decimal"/>
      <w:pStyle w:val="10"/>
      <w:isLgl/>
      <w:suff w:val="nothing"/>
      <w:lvlText w:val="%1.%2.%3.%4.%5.%6."/>
      <w:lvlJc w:val="left"/>
      <w:pPr>
        <w:ind w:left="0" w:firstLine="0"/>
      </w:pPr>
      <w:rPr>
        <w:rFonts w:hint="eastAsia"/>
      </w:rPr>
    </w:lvl>
    <w:lvl w:ilvl="6" w:tentative="0">
      <w:start w:val="1"/>
      <w:numFmt w:val="decimal"/>
      <w:isLgl/>
      <w:suff w:val="nothing"/>
      <w:lvlText w:val="%1.%2.%3.%4.%5.%6.%7."/>
      <w:lvlJc w:val="left"/>
      <w:pPr>
        <w:ind w:left="2268" w:firstLine="0"/>
      </w:pPr>
      <w:rPr>
        <w:rFonts w:hint="eastAsia" w:ascii="宋体" w:hAnsi="宋体" w:eastAsia="宋体"/>
        <w:b/>
        <w:bCs w:val="0"/>
      </w:rPr>
    </w:lvl>
    <w:lvl w:ilvl="7" w:tentative="0">
      <w:start w:val="1"/>
      <w:numFmt w:val="decimal"/>
      <w:isLgl/>
      <w:suff w:val="nothing"/>
      <w:lvlText w:val="%1.%2.%3.%4.%5.%6.%7.%8."/>
      <w:lvlJc w:val="left"/>
      <w:pPr>
        <w:ind w:left="0" w:firstLine="0"/>
      </w:pPr>
      <w:rPr>
        <w:rFonts w:hint="eastAsia"/>
      </w:rPr>
    </w:lvl>
    <w:lvl w:ilvl="8" w:tentative="0">
      <w:start w:val="1"/>
      <w:numFmt w:val="decimal"/>
      <w:isLgl/>
      <w:suff w:val="nothing"/>
      <w:lvlText w:val="%1.%2.%3.%4.%5.%6.%7.%8.%9."/>
      <w:lvlJc w:val="left"/>
      <w:pPr>
        <w:ind w:left="0" w:firstLine="0"/>
      </w:pPr>
      <w:rPr>
        <w:rFonts w:hint="eastAsia"/>
      </w:rPr>
    </w:lvl>
  </w:abstractNum>
  <w:abstractNum w:abstractNumId="14">
    <w:nsid w:val="7C465C5B"/>
    <w:multiLevelType w:val="singleLevel"/>
    <w:tmpl w:val="7C465C5B"/>
    <w:lvl w:ilvl="0" w:tentative="0">
      <w:start w:val="1"/>
      <w:numFmt w:val="decimal"/>
      <w:pStyle w:val="92"/>
      <w:lvlText w:val="图 %1 "/>
      <w:lvlJc w:val="left"/>
      <w:pPr>
        <w:ind w:left="440" w:hanging="440"/>
      </w:pPr>
    </w:lvl>
  </w:abstractNum>
  <w:num w:numId="1">
    <w:abstractNumId w:val="13"/>
  </w:num>
  <w:num w:numId="2">
    <w:abstractNumId w:val="14"/>
  </w:num>
  <w:num w:numId="3">
    <w:abstractNumId w:val="11"/>
  </w:num>
  <w:num w:numId="4">
    <w:abstractNumId w:val="3"/>
  </w:num>
  <w:num w:numId="5">
    <w:abstractNumId w:val="7"/>
  </w:num>
  <w:num w:numId="6">
    <w:abstractNumId w:val="9"/>
  </w:num>
  <w:num w:numId="7">
    <w:abstractNumId w:val="0"/>
  </w:num>
  <w:num w:numId="8">
    <w:abstractNumId w:val="8"/>
  </w:num>
  <w:num w:numId="9">
    <w:abstractNumId w:val="5"/>
  </w:num>
  <w:num w:numId="10">
    <w:abstractNumId w:val="4"/>
  </w:num>
  <w:num w:numId="11">
    <w:abstractNumId w:val="2"/>
  </w:num>
  <w:num w:numId="12">
    <w:abstractNumId w:val="6"/>
  </w:num>
  <w:num w:numId="13">
    <w:abstractNumId w:val="1"/>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2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3ODQ1YTc2ODA0N2YxMDlhYTM3MjFhMWJmMWQ2NTMifQ=="/>
  </w:docVars>
  <w:rsids>
    <w:rsidRoot w:val="37B90FB0"/>
    <w:rsid w:val="00013AAD"/>
    <w:rsid w:val="0002301E"/>
    <w:rsid w:val="00023605"/>
    <w:rsid w:val="00081387"/>
    <w:rsid w:val="00081758"/>
    <w:rsid w:val="00083159"/>
    <w:rsid w:val="0009195C"/>
    <w:rsid w:val="0009295A"/>
    <w:rsid w:val="000A7F1B"/>
    <w:rsid w:val="000B6097"/>
    <w:rsid w:val="000F1742"/>
    <w:rsid w:val="00110128"/>
    <w:rsid w:val="00127A84"/>
    <w:rsid w:val="00131336"/>
    <w:rsid w:val="001363C8"/>
    <w:rsid w:val="001363C9"/>
    <w:rsid w:val="00140EF0"/>
    <w:rsid w:val="00142CBB"/>
    <w:rsid w:val="0014634D"/>
    <w:rsid w:val="0015136C"/>
    <w:rsid w:val="001578AC"/>
    <w:rsid w:val="00167CE3"/>
    <w:rsid w:val="0017028C"/>
    <w:rsid w:val="0017090F"/>
    <w:rsid w:val="00183732"/>
    <w:rsid w:val="00184ABB"/>
    <w:rsid w:val="00195F37"/>
    <w:rsid w:val="001A1D70"/>
    <w:rsid w:val="001B1E59"/>
    <w:rsid w:val="001B334F"/>
    <w:rsid w:val="001C6971"/>
    <w:rsid w:val="001E0FF0"/>
    <w:rsid w:val="002136D6"/>
    <w:rsid w:val="00220B0F"/>
    <w:rsid w:val="00222040"/>
    <w:rsid w:val="00225DB5"/>
    <w:rsid w:val="00234BDD"/>
    <w:rsid w:val="00242CE1"/>
    <w:rsid w:val="00251EC1"/>
    <w:rsid w:val="00252131"/>
    <w:rsid w:val="00274E2B"/>
    <w:rsid w:val="00282E78"/>
    <w:rsid w:val="00291BDE"/>
    <w:rsid w:val="002A01F9"/>
    <w:rsid w:val="002C72B2"/>
    <w:rsid w:val="002D46C0"/>
    <w:rsid w:val="002D6E22"/>
    <w:rsid w:val="002E33F5"/>
    <w:rsid w:val="002E4442"/>
    <w:rsid w:val="002F0CF6"/>
    <w:rsid w:val="00312B75"/>
    <w:rsid w:val="00316200"/>
    <w:rsid w:val="003166F1"/>
    <w:rsid w:val="00332823"/>
    <w:rsid w:val="0033555E"/>
    <w:rsid w:val="00342613"/>
    <w:rsid w:val="00354ECE"/>
    <w:rsid w:val="00357ED6"/>
    <w:rsid w:val="00365FF9"/>
    <w:rsid w:val="00397BC4"/>
    <w:rsid w:val="003B0F3A"/>
    <w:rsid w:val="003B2153"/>
    <w:rsid w:val="003B7C71"/>
    <w:rsid w:val="003C2F47"/>
    <w:rsid w:val="003C5E27"/>
    <w:rsid w:val="003E0538"/>
    <w:rsid w:val="003F080D"/>
    <w:rsid w:val="003F0AEE"/>
    <w:rsid w:val="003F1C47"/>
    <w:rsid w:val="00421CD3"/>
    <w:rsid w:val="004249C6"/>
    <w:rsid w:val="004359D3"/>
    <w:rsid w:val="00435AF7"/>
    <w:rsid w:val="00440D65"/>
    <w:rsid w:val="00451F61"/>
    <w:rsid w:val="00462204"/>
    <w:rsid w:val="0047557B"/>
    <w:rsid w:val="004B4BAF"/>
    <w:rsid w:val="004C4F5F"/>
    <w:rsid w:val="004D37A7"/>
    <w:rsid w:val="004E616D"/>
    <w:rsid w:val="004E79A8"/>
    <w:rsid w:val="004F53AF"/>
    <w:rsid w:val="004F6283"/>
    <w:rsid w:val="005178B3"/>
    <w:rsid w:val="00534EF1"/>
    <w:rsid w:val="005361C9"/>
    <w:rsid w:val="00550FD3"/>
    <w:rsid w:val="0056146D"/>
    <w:rsid w:val="005973C1"/>
    <w:rsid w:val="005A4B01"/>
    <w:rsid w:val="005B3AF3"/>
    <w:rsid w:val="005D39BD"/>
    <w:rsid w:val="005D40E1"/>
    <w:rsid w:val="005D6C0F"/>
    <w:rsid w:val="005D6DEC"/>
    <w:rsid w:val="005E48D7"/>
    <w:rsid w:val="00623B63"/>
    <w:rsid w:val="00631A9B"/>
    <w:rsid w:val="00637963"/>
    <w:rsid w:val="00676EF7"/>
    <w:rsid w:val="00697FF8"/>
    <w:rsid w:val="006D37BC"/>
    <w:rsid w:val="006D55C8"/>
    <w:rsid w:val="006E2BEF"/>
    <w:rsid w:val="006F7DFB"/>
    <w:rsid w:val="007042BD"/>
    <w:rsid w:val="007104C4"/>
    <w:rsid w:val="00712C4F"/>
    <w:rsid w:val="00716A2C"/>
    <w:rsid w:val="007225F4"/>
    <w:rsid w:val="007250F6"/>
    <w:rsid w:val="007465BC"/>
    <w:rsid w:val="00762A30"/>
    <w:rsid w:val="00773699"/>
    <w:rsid w:val="00782DBA"/>
    <w:rsid w:val="00794DD4"/>
    <w:rsid w:val="007A6CFC"/>
    <w:rsid w:val="007C717F"/>
    <w:rsid w:val="007C7B5D"/>
    <w:rsid w:val="007E04B6"/>
    <w:rsid w:val="007E06F6"/>
    <w:rsid w:val="007E214F"/>
    <w:rsid w:val="007E2EF7"/>
    <w:rsid w:val="007F7F47"/>
    <w:rsid w:val="0081177B"/>
    <w:rsid w:val="00813E9B"/>
    <w:rsid w:val="008158B6"/>
    <w:rsid w:val="00837E56"/>
    <w:rsid w:val="0085457B"/>
    <w:rsid w:val="008577B5"/>
    <w:rsid w:val="008821D2"/>
    <w:rsid w:val="00885F9C"/>
    <w:rsid w:val="008B6142"/>
    <w:rsid w:val="008D1DBC"/>
    <w:rsid w:val="00904F81"/>
    <w:rsid w:val="0092203F"/>
    <w:rsid w:val="00925E6C"/>
    <w:rsid w:val="00930024"/>
    <w:rsid w:val="009348F0"/>
    <w:rsid w:val="00943DF0"/>
    <w:rsid w:val="009638EE"/>
    <w:rsid w:val="00964F09"/>
    <w:rsid w:val="009675DF"/>
    <w:rsid w:val="009807D9"/>
    <w:rsid w:val="00993D29"/>
    <w:rsid w:val="009948D8"/>
    <w:rsid w:val="009962C8"/>
    <w:rsid w:val="009C4B9E"/>
    <w:rsid w:val="009D0F9C"/>
    <w:rsid w:val="009D1F8A"/>
    <w:rsid w:val="009F41A2"/>
    <w:rsid w:val="00A02249"/>
    <w:rsid w:val="00A03B18"/>
    <w:rsid w:val="00A17C29"/>
    <w:rsid w:val="00A356C7"/>
    <w:rsid w:val="00A43BE8"/>
    <w:rsid w:val="00A47550"/>
    <w:rsid w:val="00A60E55"/>
    <w:rsid w:val="00A630B8"/>
    <w:rsid w:val="00A75CCD"/>
    <w:rsid w:val="00A77A02"/>
    <w:rsid w:val="00A91DAB"/>
    <w:rsid w:val="00A9452E"/>
    <w:rsid w:val="00AB3778"/>
    <w:rsid w:val="00AC3330"/>
    <w:rsid w:val="00AE1E37"/>
    <w:rsid w:val="00AE3A44"/>
    <w:rsid w:val="00AE50F9"/>
    <w:rsid w:val="00AF1E03"/>
    <w:rsid w:val="00B17F18"/>
    <w:rsid w:val="00B2329E"/>
    <w:rsid w:val="00B327DA"/>
    <w:rsid w:val="00B54949"/>
    <w:rsid w:val="00B56C05"/>
    <w:rsid w:val="00B722EF"/>
    <w:rsid w:val="00B75368"/>
    <w:rsid w:val="00B85306"/>
    <w:rsid w:val="00B96906"/>
    <w:rsid w:val="00BA34F5"/>
    <w:rsid w:val="00BA652E"/>
    <w:rsid w:val="00BA7310"/>
    <w:rsid w:val="00BB7BB1"/>
    <w:rsid w:val="00BC0299"/>
    <w:rsid w:val="00BC12BF"/>
    <w:rsid w:val="00BC3D5A"/>
    <w:rsid w:val="00BD6339"/>
    <w:rsid w:val="00BF5EC3"/>
    <w:rsid w:val="00C11387"/>
    <w:rsid w:val="00C21C99"/>
    <w:rsid w:val="00C233EE"/>
    <w:rsid w:val="00C25D66"/>
    <w:rsid w:val="00C40250"/>
    <w:rsid w:val="00C433DC"/>
    <w:rsid w:val="00C67C4F"/>
    <w:rsid w:val="00C727EA"/>
    <w:rsid w:val="00CA1638"/>
    <w:rsid w:val="00CB3C35"/>
    <w:rsid w:val="00CB664F"/>
    <w:rsid w:val="00CC3931"/>
    <w:rsid w:val="00CC4431"/>
    <w:rsid w:val="00CD0345"/>
    <w:rsid w:val="00CD6037"/>
    <w:rsid w:val="00CE0093"/>
    <w:rsid w:val="00CF01F1"/>
    <w:rsid w:val="00D028D6"/>
    <w:rsid w:val="00D126A3"/>
    <w:rsid w:val="00D14556"/>
    <w:rsid w:val="00D14C52"/>
    <w:rsid w:val="00D24657"/>
    <w:rsid w:val="00D333B1"/>
    <w:rsid w:val="00D52691"/>
    <w:rsid w:val="00D53515"/>
    <w:rsid w:val="00D5500D"/>
    <w:rsid w:val="00D77E7A"/>
    <w:rsid w:val="00D97A83"/>
    <w:rsid w:val="00DA4461"/>
    <w:rsid w:val="00DC019D"/>
    <w:rsid w:val="00DD2CE9"/>
    <w:rsid w:val="00DD3155"/>
    <w:rsid w:val="00DD647E"/>
    <w:rsid w:val="00DE1EC2"/>
    <w:rsid w:val="00DE30D9"/>
    <w:rsid w:val="00E0038E"/>
    <w:rsid w:val="00E20923"/>
    <w:rsid w:val="00E232D6"/>
    <w:rsid w:val="00E42BE8"/>
    <w:rsid w:val="00E46335"/>
    <w:rsid w:val="00E56A18"/>
    <w:rsid w:val="00E62F16"/>
    <w:rsid w:val="00E64D8F"/>
    <w:rsid w:val="00E65E64"/>
    <w:rsid w:val="00EA7D1E"/>
    <w:rsid w:val="00ED7352"/>
    <w:rsid w:val="00EE139C"/>
    <w:rsid w:val="00F02938"/>
    <w:rsid w:val="00F23389"/>
    <w:rsid w:val="00F234D3"/>
    <w:rsid w:val="00F527DD"/>
    <w:rsid w:val="00F5384C"/>
    <w:rsid w:val="00F72F21"/>
    <w:rsid w:val="00F87982"/>
    <w:rsid w:val="00F9251D"/>
    <w:rsid w:val="00F97425"/>
    <w:rsid w:val="00FA1789"/>
    <w:rsid w:val="00FA5389"/>
    <w:rsid w:val="00FC20F9"/>
    <w:rsid w:val="00FC5308"/>
    <w:rsid w:val="00FE6D49"/>
    <w:rsid w:val="010D3379"/>
    <w:rsid w:val="010D5A67"/>
    <w:rsid w:val="010E6E22"/>
    <w:rsid w:val="01202ADB"/>
    <w:rsid w:val="01370149"/>
    <w:rsid w:val="013871CC"/>
    <w:rsid w:val="01391EED"/>
    <w:rsid w:val="01415934"/>
    <w:rsid w:val="01431D66"/>
    <w:rsid w:val="01473FFA"/>
    <w:rsid w:val="014E6441"/>
    <w:rsid w:val="01551D9F"/>
    <w:rsid w:val="015A1BF7"/>
    <w:rsid w:val="015E4105"/>
    <w:rsid w:val="017118DE"/>
    <w:rsid w:val="01807EC2"/>
    <w:rsid w:val="01814321"/>
    <w:rsid w:val="01852063"/>
    <w:rsid w:val="018A765E"/>
    <w:rsid w:val="01A524EB"/>
    <w:rsid w:val="01A923A3"/>
    <w:rsid w:val="01AA6913"/>
    <w:rsid w:val="01B52E59"/>
    <w:rsid w:val="01C15027"/>
    <w:rsid w:val="01D314B7"/>
    <w:rsid w:val="01EE7322"/>
    <w:rsid w:val="01F30876"/>
    <w:rsid w:val="02005684"/>
    <w:rsid w:val="0200793B"/>
    <w:rsid w:val="020104CF"/>
    <w:rsid w:val="02022B0D"/>
    <w:rsid w:val="02032FBD"/>
    <w:rsid w:val="02044965"/>
    <w:rsid w:val="020B4FB8"/>
    <w:rsid w:val="0213405F"/>
    <w:rsid w:val="02245102"/>
    <w:rsid w:val="022A49B8"/>
    <w:rsid w:val="022E6A11"/>
    <w:rsid w:val="02322372"/>
    <w:rsid w:val="02331ABF"/>
    <w:rsid w:val="023A0172"/>
    <w:rsid w:val="023A0842"/>
    <w:rsid w:val="0252104B"/>
    <w:rsid w:val="026B4B7E"/>
    <w:rsid w:val="026C6FEE"/>
    <w:rsid w:val="02712562"/>
    <w:rsid w:val="027620E7"/>
    <w:rsid w:val="02783976"/>
    <w:rsid w:val="02785863"/>
    <w:rsid w:val="027C5214"/>
    <w:rsid w:val="027D3313"/>
    <w:rsid w:val="028D762B"/>
    <w:rsid w:val="02956D72"/>
    <w:rsid w:val="02972EF9"/>
    <w:rsid w:val="02A170FE"/>
    <w:rsid w:val="02A33BDD"/>
    <w:rsid w:val="02A55249"/>
    <w:rsid w:val="02AE0DD6"/>
    <w:rsid w:val="02B64C24"/>
    <w:rsid w:val="02BC3F9A"/>
    <w:rsid w:val="02BD7FD6"/>
    <w:rsid w:val="02C12C9A"/>
    <w:rsid w:val="02CC5FAF"/>
    <w:rsid w:val="02CF694C"/>
    <w:rsid w:val="02D212D8"/>
    <w:rsid w:val="02DA4A5D"/>
    <w:rsid w:val="02DC2156"/>
    <w:rsid w:val="02F05C02"/>
    <w:rsid w:val="02F06BC4"/>
    <w:rsid w:val="02FD713A"/>
    <w:rsid w:val="03003154"/>
    <w:rsid w:val="030B0C4F"/>
    <w:rsid w:val="030D2310"/>
    <w:rsid w:val="03155C15"/>
    <w:rsid w:val="031A565D"/>
    <w:rsid w:val="031F030D"/>
    <w:rsid w:val="032001E7"/>
    <w:rsid w:val="03465822"/>
    <w:rsid w:val="034A2277"/>
    <w:rsid w:val="035634AE"/>
    <w:rsid w:val="036E45BC"/>
    <w:rsid w:val="0377693B"/>
    <w:rsid w:val="038D16A3"/>
    <w:rsid w:val="0398650B"/>
    <w:rsid w:val="03997665"/>
    <w:rsid w:val="03A301C5"/>
    <w:rsid w:val="03A762C0"/>
    <w:rsid w:val="03AD04BF"/>
    <w:rsid w:val="03AD5E6A"/>
    <w:rsid w:val="03BE0F66"/>
    <w:rsid w:val="03C635CB"/>
    <w:rsid w:val="03CC0846"/>
    <w:rsid w:val="03D01AE9"/>
    <w:rsid w:val="03DD0E97"/>
    <w:rsid w:val="03DE5A0A"/>
    <w:rsid w:val="03E151B6"/>
    <w:rsid w:val="03EF4E39"/>
    <w:rsid w:val="03F129F7"/>
    <w:rsid w:val="03F439B6"/>
    <w:rsid w:val="03F62DA4"/>
    <w:rsid w:val="03FE7EAB"/>
    <w:rsid w:val="040A35ED"/>
    <w:rsid w:val="040A3EE7"/>
    <w:rsid w:val="041437EA"/>
    <w:rsid w:val="041A2F36"/>
    <w:rsid w:val="041C0425"/>
    <w:rsid w:val="042438C0"/>
    <w:rsid w:val="0425273C"/>
    <w:rsid w:val="04267B2D"/>
    <w:rsid w:val="04313C58"/>
    <w:rsid w:val="04320B46"/>
    <w:rsid w:val="04320ED1"/>
    <w:rsid w:val="0438160E"/>
    <w:rsid w:val="043A76B2"/>
    <w:rsid w:val="04447FB3"/>
    <w:rsid w:val="04496633"/>
    <w:rsid w:val="04497378"/>
    <w:rsid w:val="044A534F"/>
    <w:rsid w:val="04567CE7"/>
    <w:rsid w:val="04612BFA"/>
    <w:rsid w:val="046C6317"/>
    <w:rsid w:val="04767863"/>
    <w:rsid w:val="047A2485"/>
    <w:rsid w:val="0484335F"/>
    <w:rsid w:val="0492604B"/>
    <w:rsid w:val="04933581"/>
    <w:rsid w:val="04945FC3"/>
    <w:rsid w:val="049F7431"/>
    <w:rsid w:val="04A578B3"/>
    <w:rsid w:val="04AC075D"/>
    <w:rsid w:val="04AD4A08"/>
    <w:rsid w:val="04C04959"/>
    <w:rsid w:val="04D41475"/>
    <w:rsid w:val="04D84907"/>
    <w:rsid w:val="04E16372"/>
    <w:rsid w:val="04F13142"/>
    <w:rsid w:val="04F932B1"/>
    <w:rsid w:val="04F93F14"/>
    <w:rsid w:val="05052BF8"/>
    <w:rsid w:val="05063004"/>
    <w:rsid w:val="05090680"/>
    <w:rsid w:val="050A3543"/>
    <w:rsid w:val="051B2E38"/>
    <w:rsid w:val="05242EFB"/>
    <w:rsid w:val="052B4966"/>
    <w:rsid w:val="05301437"/>
    <w:rsid w:val="053D46C8"/>
    <w:rsid w:val="053D7BD0"/>
    <w:rsid w:val="05480A75"/>
    <w:rsid w:val="05684979"/>
    <w:rsid w:val="05684E7E"/>
    <w:rsid w:val="056C50D7"/>
    <w:rsid w:val="056F2EC0"/>
    <w:rsid w:val="057A5FA2"/>
    <w:rsid w:val="05887392"/>
    <w:rsid w:val="059B4198"/>
    <w:rsid w:val="05B15AA8"/>
    <w:rsid w:val="05BB3438"/>
    <w:rsid w:val="05C92BDA"/>
    <w:rsid w:val="05CB66F3"/>
    <w:rsid w:val="05E0793F"/>
    <w:rsid w:val="05E26D91"/>
    <w:rsid w:val="05E6073B"/>
    <w:rsid w:val="05ED32BD"/>
    <w:rsid w:val="05F53EB2"/>
    <w:rsid w:val="05F93CAD"/>
    <w:rsid w:val="05FA552E"/>
    <w:rsid w:val="05FB2D45"/>
    <w:rsid w:val="061010EA"/>
    <w:rsid w:val="062D54B6"/>
    <w:rsid w:val="063F6F5D"/>
    <w:rsid w:val="06457CEA"/>
    <w:rsid w:val="064C7F08"/>
    <w:rsid w:val="065B6E18"/>
    <w:rsid w:val="06643FF5"/>
    <w:rsid w:val="06795991"/>
    <w:rsid w:val="067D285F"/>
    <w:rsid w:val="06895A5C"/>
    <w:rsid w:val="06952FD7"/>
    <w:rsid w:val="06955BBD"/>
    <w:rsid w:val="06A63BC3"/>
    <w:rsid w:val="06AE1BE0"/>
    <w:rsid w:val="06AF7DB6"/>
    <w:rsid w:val="06B4625B"/>
    <w:rsid w:val="06C40FCF"/>
    <w:rsid w:val="06C74DD1"/>
    <w:rsid w:val="06CE0BDB"/>
    <w:rsid w:val="06E55E2B"/>
    <w:rsid w:val="06F670B2"/>
    <w:rsid w:val="06FB3A80"/>
    <w:rsid w:val="06FC1B50"/>
    <w:rsid w:val="070158F8"/>
    <w:rsid w:val="07026A80"/>
    <w:rsid w:val="0707426E"/>
    <w:rsid w:val="070B2AD0"/>
    <w:rsid w:val="070B5709"/>
    <w:rsid w:val="070B5F00"/>
    <w:rsid w:val="070B6B66"/>
    <w:rsid w:val="07100B68"/>
    <w:rsid w:val="071676BE"/>
    <w:rsid w:val="07173C60"/>
    <w:rsid w:val="07177C01"/>
    <w:rsid w:val="071C4E60"/>
    <w:rsid w:val="071D7723"/>
    <w:rsid w:val="072204A2"/>
    <w:rsid w:val="07306098"/>
    <w:rsid w:val="07337458"/>
    <w:rsid w:val="0737533E"/>
    <w:rsid w:val="07381717"/>
    <w:rsid w:val="073B0F31"/>
    <w:rsid w:val="073E66B4"/>
    <w:rsid w:val="07415C19"/>
    <w:rsid w:val="0743449C"/>
    <w:rsid w:val="07507C32"/>
    <w:rsid w:val="07612C2A"/>
    <w:rsid w:val="07625A09"/>
    <w:rsid w:val="07670652"/>
    <w:rsid w:val="07710E91"/>
    <w:rsid w:val="078017C9"/>
    <w:rsid w:val="078A5487"/>
    <w:rsid w:val="07922158"/>
    <w:rsid w:val="07B864AF"/>
    <w:rsid w:val="07BE6D0D"/>
    <w:rsid w:val="07C37441"/>
    <w:rsid w:val="07CB3DB9"/>
    <w:rsid w:val="07CC7AA1"/>
    <w:rsid w:val="07D84A35"/>
    <w:rsid w:val="07E83214"/>
    <w:rsid w:val="07EF2147"/>
    <w:rsid w:val="07F94286"/>
    <w:rsid w:val="07FB6BDB"/>
    <w:rsid w:val="08033F24"/>
    <w:rsid w:val="08101E85"/>
    <w:rsid w:val="08193505"/>
    <w:rsid w:val="08234FC3"/>
    <w:rsid w:val="082717B6"/>
    <w:rsid w:val="082C148A"/>
    <w:rsid w:val="083E11BD"/>
    <w:rsid w:val="083E307E"/>
    <w:rsid w:val="08616343"/>
    <w:rsid w:val="08662CB6"/>
    <w:rsid w:val="086D0C89"/>
    <w:rsid w:val="08856BAA"/>
    <w:rsid w:val="088938CC"/>
    <w:rsid w:val="08936D99"/>
    <w:rsid w:val="089A53F1"/>
    <w:rsid w:val="089B072F"/>
    <w:rsid w:val="08AB608C"/>
    <w:rsid w:val="08AF2BA2"/>
    <w:rsid w:val="08C270C4"/>
    <w:rsid w:val="08CA5F55"/>
    <w:rsid w:val="08CE693D"/>
    <w:rsid w:val="08D76A86"/>
    <w:rsid w:val="08DB39C3"/>
    <w:rsid w:val="08EB5AFD"/>
    <w:rsid w:val="08EB66EA"/>
    <w:rsid w:val="08F93154"/>
    <w:rsid w:val="08FA19A2"/>
    <w:rsid w:val="08FA6D01"/>
    <w:rsid w:val="08FD5C59"/>
    <w:rsid w:val="09033ED5"/>
    <w:rsid w:val="091464D0"/>
    <w:rsid w:val="093122A0"/>
    <w:rsid w:val="09352277"/>
    <w:rsid w:val="09490455"/>
    <w:rsid w:val="09495AF5"/>
    <w:rsid w:val="094D421B"/>
    <w:rsid w:val="09510A7C"/>
    <w:rsid w:val="09531F9D"/>
    <w:rsid w:val="09542A79"/>
    <w:rsid w:val="095B5246"/>
    <w:rsid w:val="09665EED"/>
    <w:rsid w:val="096A0DB7"/>
    <w:rsid w:val="096D0E82"/>
    <w:rsid w:val="096E5B90"/>
    <w:rsid w:val="096F07A6"/>
    <w:rsid w:val="09797E4C"/>
    <w:rsid w:val="097E5011"/>
    <w:rsid w:val="098175B4"/>
    <w:rsid w:val="09836324"/>
    <w:rsid w:val="098403FE"/>
    <w:rsid w:val="099468D1"/>
    <w:rsid w:val="099F545A"/>
    <w:rsid w:val="09A25EE8"/>
    <w:rsid w:val="09A71BF5"/>
    <w:rsid w:val="09B11775"/>
    <w:rsid w:val="09B21DCB"/>
    <w:rsid w:val="09B441D9"/>
    <w:rsid w:val="09B932DB"/>
    <w:rsid w:val="09BC05EC"/>
    <w:rsid w:val="09C15C02"/>
    <w:rsid w:val="09CF6847"/>
    <w:rsid w:val="09D440F2"/>
    <w:rsid w:val="09DD252A"/>
    <w:rsid w:val="09E03CCD"/>
    <w:rsid w:val="09E155A5"/>
    <w:rsid w:val="09EF4845"/>
    <w:rsid w:val="09F00295"/>
    <w:rsid w:val="09F178F4"/>
    <w:rsid w:val="09F6017C"/>
    <w:rsid w:val="09F64C36"/>
    <w:rsid w:val="09F67A74"/>
    <w:rsid w:val="0A041FA9"/>
    <w:rsid w:val="0A1638AA"/>
    <w:rsid w:val="0A1A54BB"/>
    <w:rsid w:val="0A2B7AF6"/>
    <w:rsid w:val="0A3E35DE"/>
    <w:rsid w:val="0A414EC3"/>
    <w:rsid w:val="0A433999"/>
    <w:rsid w:val="0A5706D1"/>
    <w:rsid w:val="0A5B6057"/>
    <w:rsid w:val="0A623AD6"/>
    <w:rsid w:val="0A6D6019"/>
    <w:rsid w:val="0A800E9C"/>
    <w:rsid w:val="0A9D5FF9"/>
    <w:rsid w:val="0AA12AC2"/>
    <w:rsid w:val="0AA13CF5"/>
    <w:rsid w:val="0AAB7D46"/>
    <w:rsid w:val="0AAF6719"/>
    <w:rsid w:val="0ABB47A4"/>
    <w:rsid w:val="0ABC77CE"/>
    <w:rsid w:val="0AC03729"/>
    <w:rsid w:val="0ACD39C6"/>
    <w:rsid w:val="0ACF298D"/>
    <w:rsid w:val="0AD11AD9"/>
    <w:rsid w:val="0ADF287E"/>
    <w:rsid w:val="0AE827FB"/>
    <w:rsid w:val="0AEB05E8"/>
    <w:rsid w:val="0B02167B"/>
    <w:rsid w:val="0B136908"/>
    <w:rsid w:val="0B173592"/>
    <w:rsid w:val="0B1911B0"/>
    <w:rsid w:val="0B2B6408"/>
    <w:rsid w:val="0B2C4B64"/>
    <w:rsid w:val="0B325009"/>
    <w:rsid w:val="0B3E616C"/>
    <w:rsid w:val="0B507DEF"/>
    <w:rsid w:val="0B58638C"/>
    <w:rsid w:val="0B6227BA"/>
    <w:rsid w:val="0B696551"/>
    <w:rsid w:val="0B800C08"/>
    <w:rsid w:val="0B815978"/>
    <w:rsid w:val="0B82527D"/>
    <w:rsid w:val="0B892304"/>
    <w:rsid w:val="0B9E5B61"/>
    <w:rsid w:val="0B9F473A"/>
    <w:rsid w:val="0BAE3C1B"/>
    <w:rsid w:val="0BB53545"/>
    <w:rsid w:val="0BB91E2E"/>
    <w:rsid w:val="0BC37852"/>
    <w:rsid w:val="0BE81B6C"/>
    <w:rsid w:val="0BE94B55"/>
    <w:rsid w:val="0BF72F7D"/>
    <w:rsid w:val="0C1212B7"/>
    <w:rsid w:val="0C121CB8"/>
    <w:rsid w:val="0C141451"/>
    <w:rsid w:val="0C1525C2"/>
    <w:rsid w:val="0C152FCB"/>
    <w:rsid w:val="0C1B5A9E"/>
    <w:rsid w:val="0C1E0BAA"/>
    <w:rsid w:val="0C243310"/>
    <w:rsid w:val="0C2C4A5E"/>
    <w:rsid w:val="0C3152C1"/>
    <w:rsid w:val="0C3E67E8"/>
    <w:rsid w:val="0C663CC2"/>
    <w:rsid w:val="0C70620A"/>
    <w:rsid w:val="0C825B1D"/>
    <w:rsid w:val="0C85560D"/>
    <w:rsid w:val="0C86144B"/>
    <w:rsid w:val="0C864F02"/>
    <w:rsid w:val="0C8A3287"/>
    <w:rsid w:val="0C9D4705"/>
    <w:rsid w:val="0CA25846"/>
    <w:rsid w:val="0CA84157"/>
    <w:rsid w:val="0CAB0590"/>
    <w:rsid w:val="0CB35E64"/>
    <w:rsid w:val="0CB832EC"/>
    <w:rsid w:val="0CC32725"/>
    <w:rsid w:val="0CD45C4C"/>
    <w:rsid w:val="0CEA024F"/>
    <w:rsid w:val="0CFB5231"/>
    <w:rsid w:val="0CFE13A5"/>
    <w:rsid w:val="0D05183D"/>
    <w:rsid w:val="0D057A1B"/>
    <w:rsid w:val="0D0B5B12"/>
    <w:rsid w:val="0D0E4531"/>
    <w:rsid w:val="0D0F4ED6"/>
    <w:rsid w:val="0D130B8D"/>
    <w:rsid w:val="0D164018"/>
    <w:rsid w:val="0D177794"/>
    <w:rsid w:val="0D1C563A"/>
    <w:rsid w:val="0D270247"/>
    <w:rsid w:val="0D2A533F"/>
    <w:rsid w:val="0D2B61B4"/>
    <w:rsid w:val="0D2F5AF7"/>
    <w:rsid w:val="0D314E4D"/>
    <w:rsid w:val="0D401582"/>
    <w:rsid w:val="0D49384E"/>
    <w:rsid w:val="0D4A73AD"/>
    <w:rsid w:val="0D4E3D55"/>
    <w:rsid w:val="0D530F04"/>
    <w:rsid w:val="0D5A7D54"/>
    <w:rsid w:val="0D691E9D"/>
    <w:rsid w:val="0D771FF1"/>
    <w:rsid w:val="0D7A4A46"/>
    <w:rsid w:val="0D7E12B7"/>
    <w:rsid w:val="0D7F02AE"/>
    <w:rsid w:val="0D8A7AC8"/>
    <w:rsid w:val="0D8B0402"/>
    <w:rsid w:val="0D913FB9"/>
    <w:rsid w:val="0D94176E"/>
    <w:rsid w:val="0D95319B"/>
    <w:rsid w:val="0DA12C64"/>
    <w:rsid w:val="0DA1438C"/>
    <w:rsid w:val="0DB770B2"/>
    <w:rsid w:val="0DC436EA"/>
    <w:rsid w:val="0DC50C27"/>
    <w:rsid w:val="0DD304A0"/>
    <w:rsid w:val="0DEA2B34"/>
    <w:rsid w:val="0DED4693"/>
    <w:rsid w:val="0DEF39C4"/>
    <w:rsid w:val="0DF31C8A"/>
    <w:rsid w:val="0DF476ED"/>
    <w:rsid w:val="0DF7484C"/>
    <w:rsid w:val="0DFC5AEA"/>
    <w:rsid w:val="0E013D84"/>
    <w:rsid w:val="0E02098A"/>
    <w:rsid w:val="0E047F13"/>
    <w:rsid w:val="0E054689"/>
    <w:rsid w:val="0E06277D"/>
    <w:rsid w:val="0E073F1F"/>
    <w:rsid w:val="0E085BB9"/>
    <w:rsid w:val="0E1142A2"/>
    <w:rsid w:val="0E1F6833"/>
    <w:rsid w:val="0E410C96"/>
    <w:rsid w:val="0E4614B1"/>
    <w:rsid w:val="0E4C2090"/>
    <w:rsid w:val="0E4C4F73"/>
    <w:rsid w:val="0E4F7526"/>
    <w:rsid w:val="0E5803B0"/>
    <w:rsid w:val="0E611762"/>
    <w:rsid w:val="0E71409B"/>
    <w:rsid w:val="0E73561C"/>
    <w:rsid w:val="0E806B26"/>
    <w:rsid w:val="0E9306C9"/>
    <w:rsid w:val="0E9C09D5"/>
    <w:rsid w:val="0E9C608C"/>
    <w:rsid w:val="0EA67918"/>
    <w:rsid w:val="0EB10347"/>
    <w:rsid w:val="0EB14497"/>
    <w:rsid w:val="0EB860D1"/>
    <w:rsid w:val="0EC9550B"/>
    <w:rsid w:val="0EDC5CA2"/>
    <w:rsid w:val="0EE1298D"/>
    <w:rsid w:val="0EE22243"/>
    <w:rsid w:val="0EE91DAC"/>
    <w:rsid w:val="0EE97122"/>
    <w:rsid w:val="0EF834CF"/>
    <w:rsid w:val="0EFF1C46"/>
    <w:rsid w:val="0F065A8B"/>
    <w:rsid w:val="0F0728E2"/>
    <w:rsid w:val="0F090215"/>
    <w:rsid w:val="0F0A3BA7"/>
    <w:rsid w:val="0F0B68D6"/>
    <w:rsid w:val="0F0F777F"/>
    <w:rsid w:val="0F1051BA"/>
    <w:rsid w:val="0F1312E8"/>
    <w:rsid w:val="0F1D38DB"/>
    <w:rsid w:val="0F2F791A"/>
    <w:rsid w:val="0F396750"/>
    <w:rsid w:val="0F3C7110"/>
    <w:rsid w:val="0F4603B1"/>
    <w:rsid w:val="0F482CE9"/>
    <w:rsid w:val="0F587216"/>
    <w:rsid w:val="0F6F7F34"/>
    <w:rsid w:val="0F8B2336"/>
    <w:rsid w:val="0F901AF5"/>
    <w:rsid w:val="0FA30172"/>
    <w:rsid w:val="0FAB062A"/>
    <w:rsid w:val="0FAF0BB0"/>
    <w:rsid w:val="0FBC3510"/>
    <w:rsid w:val="0FBE7311"/>
    <w:rsid w:val="0FC50066"/>
    <w:rsid w:val="0FC65C8D"/>
    <w:rsid w:val="0FC91ACA"/>
    <w:rsid w:val="0FCF0A93"/>
    <w:rsid w:val="0FD31B10"/>
    <w:rsid w:val="0FDC3796"/>
    <w:rsid w:val="0FE55E7D"/>
    <w:rsid w:val="0FEC461E"/>
    <w:rsid w:val="0FEF0A71"/>
    <w:rsid w:val="0FF81C28"/>
    <w:rsid w:val="0FFC3DC7"/>
    <w:rsid w:val="100C50FE"/>
    <w:rsid w:val="10147E53"/>
    <w:rsid w:val="10156893"/>
    <w:rsid w:val="10161C2A"/>
    <w:rsid w:val="101735E2"/>
    <w:rsid w:val="101F3682"/>
    <w:rsid w:val="102446EA"/>
    <w:rsid w:val="102765CA"/>
    <w:rsid w:val="102A6B46"/>
    <w:rsid w:val="102F6F55"/>
    <w:rsid w:val="1052176E"/>
    <w:rsid w:val="10574DED"/>
    <w:rsid w:val="10623C38"/>
    <w:rsid w:val="106B1A59"/>
    <w:rsid w:val="107B0883"/>
    <w:rsid w:val="10893CEF"/>
    <w:rsid w:val="108E1515"/>
    <w:rsid w:val="109857FC"/>
    <w:rsid w:val="10997342"/>
    <w:rsid w:val="10A53F4F"/>
    <w:rsid w:val="10AE29C5"/>
    <w:rsid w:val="10AE3E8E"/>
    <w:rsid w:val="10B70B73"/>
    <w:rsid w:val="10C80AA1"/>
    <w:rsid w:val="10CC5B78"/>
    <w:rsid w:val="10D4575A"/>
    <w:rsid w:val="10D62674"/>
    <w:rsid w:val="10D96A66"/>
    <w:rsid w:val="10DF6155"/>
    <w:rsid w:val="10E061AE"/>
    <w:rsid w:val="10E135EA"/>
    <w:rsid w:val="10E5218A"/>
    <w:rsid w:val="10F90377"/>
    <w:rsid w:val="10FE1EBA"/>
    <w:rsid w:val="10FF2B96"/>
    <w:rsid w:val="1108093F"/>
    <w:rsid w:val="110D3A4B"/>
    <w:rsid w:val="111A229E"/>
    <w:rsid w:val="111E329A"/>
    <w:rsid w:val="11210FBA"/>
    <w:rsid w:val="11231890"/>
    <w:rsid w:val="11264633"/>
    <w:rsid w:val="11360A24"/>
    <w:rsid w:val="113935A6"/>
    <w:rsid w:val="113F6BE7"/>
    <w:rsid w:val="114F281E"/>
    <w:rsid w:val="115A0E16"/>
    <w:rsid w:val="116913B1"/>
    <w:rsid w:val="11832286"/>
    <w:rsid w:val="11847E60"/>
    <w:rsid w:val="11856462"/>
    <w:rsid w:val="118C6B2A"/>
    <w:rsid w:val="1199341C"/>
    <w:rsid w:val="119B47F6"/>
    <w:rsid w:val="119D0D03"/>
    <w:rsid w:val="119E43CD"/>
    <w:rsid w:val="11A23C97"/>
    <w:rsid w:val="11AC0F46"/>
    <w:rsid w:val="11AD63B7"/>
    <w:rsid w:val="11BB21D0"/>
    <w:rsid w:val="11BB562D"/>
    <w:rsid w:val="11CF3CC7"/>
    <w:rsid w:val="11E27FD8"/>
    <w:rsid w:val="11F15FBF"/>
    <w:rsid w:val="120555D3"/>
    <w:rsid w:val="121865DB"/>
    <w:rsid w:val="12192039"/>
    <w:rsid w:val="121F5BBC"/>
    <w:rsid w:val="121F5C02"/>
    <w:rsid w:val="12284696"/>
    <w:rsid w:val="12331667"/>
    <w:rsid w:val="123A0C48"/>
    <w:rsid w:val="124044C8"/>
    <w:rsid w:val="12423149"/>
    <w:rsid w:val="12425A41"/>
    <w:rsid w:val="12481667"/>
    <w:rsid w:val="12485112"/>
    <w:rsid w:val="12496D0B"/>
    <w:rsid w:val="12612198"/>
    <w:rsid w:val="12626A13"/>
    <w:rsid w:val="12631F4C"/>
    <w:rsid w:val="12661FBA"/>
    <w:rsid w:val="126B2BAF"/>
    <w:rsid w:val="12802536"/>
    <w:rsid w:val="1280515A"/>
    <w:rsid w:val="12845450"/>
    <w:rsid w:val="128B311F"/>
    <w:rsid w:val="12904D9F"/>
    <w:rsid w:val="129F2177"/>
    <w:rsid w:val="12A17AC2"/>
    <w:rsid w:val="12AB67D1"/>
    <w:rsid w:val="12AE0B08"/>
    <w:rsid w:val="12B422BC"/>
    <w:rsid w:val="12C27CF4"/>
    <w:rsid w:val="12CF7808"/>
    <w:rsid w:val="12D73547"/>
    <w:rsid w:val="12DC0416"/>
    <w:rsid w:val="12DE246F"/>
    <w:rsid w:val="12E4474A"/>
    <w:rsid w:val="12EB4B4A"/>
    <w:rsid w:val="12F021ED"/>
    <w:rsid w:val="12F11306"/>
    <w:rsid w:val="12F21042"/>
    <w:rsid w:val="13024CCC"/>
    <w:rsid w:val="130C6BD8"/>
    <w:rsid w:val="130D5DCE"/>
    <w:rsid w:val="1320281F"/>
    <w:rsid w:val="13286183"/>
    <w:rsid w:val="13320735"/>
    <w:rsid w:val="13334105"/>
    <w:rsid w:val="135E7399"/>
    <w:rsid w:val="1362236A"/>
    <w:rsid w:val="136846E0"/>
    <w:rsid w:val="13746C32"/>
    <w:rsid w:val="137813C0"/>
    <w:rsid w:val="138E4DAE"/>
    <w:rsid w:val="139874DE"/>
    <w:rsid w:val="139D4CF2"/>
    <w:rsid w:val="13A97E33"/>
    <w:rsid w:val="13B26E46"/>
    <w:rsid w:val="13BE6620"/>
    <w:rsid w:val="13C36787"/>
    <w:rsid w:val="13D44784"/>
    <w:rsid w:val="13D518C5"/>
    <w:rsid w:val="13DD5D2E"/>
    <w:rsid w:val="13E75604"/>
    <w:rsid w:val="13EA2530"/>
    <w:rsid w:val="13F24D35"/>
    <w:rsid w:val="13F95EF9"/>
    <w:rsid w:val="141F7A8B"/>
    <w:rsid w:val="142C73C4"/>
    <w:rsid w:val="14303DBD"/>
    <w:rsid w:val="14363996"/>
    <w:rsid w:val="145E02E8"/>
    <w:rsid w:val="146104AB"/>
    <w:rsid w:val="14665699"/>
    <w:rsid w:val="146D70B2"/>
    <w:rsid w:val="146E4A1C"/>
    <w:rsid w:val="14730CB3"/>
    <w:rsid w:val="147336C4"/>
    <w:rsid w:val="147B5671"/>
    <w:rsid w:val="14852F2A"/>
    <w:rsid w:val="148F05BA"/>
    <w:rsid w:val="149744F7"/>
    <w:rsid w:val="14A029FA"/>
    <w:rsid w:val="14A2550E"/>
    <w:rsid w:val="14A47E18"/>
    <w:rsid w:val="14AC5FC9"/>
    <w:rsid w:val="14AC740F"/>
    <w:rsid w:val="14AD1C4E"/>
    <w:rsid w:val="14BA1BCC"/>
    <w:rsid w:val="14BD29AA"/>
    <w:rsid w:val="14CE318B"/>
    <w:rsid w:val="14CF7F3A"/>
    <w:rsid w:val="14D162F1"/>
    <w:rsid w:val="14DC5FE6"/>
    <w:rsid w:val="14DC65B8"/>
    <w:rsid w:val="14E012CB"/>
    <w:rsid w:val="14E3009B"/>
    <w:rsid w:val="14E745D0"/>
    <w:rsid w:val="14E84928"/>
    <w:rsid w:val="14EE0DE0"/>
    <w:rsid w:val="14EE6698"/>
    <w:rsid w:val="14F05705"/>
    <w:rsid w:val="14F14FAE"/>
    <w:rsid w:val="15117F0F"/>
    <w:rsid w:val="151349EC"/>
    <w:rsid w:val="15145F10"/>
    <w:rsid w:val="151E4E31"/>
    <w:rsid w:val="1525798D"/>
    <w:rsid w:val="152867BB"/>
    <w:rsid w:val="152F6712"/>
    <w:rsid w:val="153A50D7"/>
    <w:rsid w:val="15417AB2"/>
    <w:rsid w:val="1542409B"/>
    <w:rsid w:val="15493AE1"/>
    <w:rsid w:val="15495310"/>
    <w:rsid w:val="15546C01"/>
    <w:rsid w:val="15597637"/>
    <w:rsid w:val="15635504"/>
    <w:rsid w:val="156D6C3E"/>
    <w:rsid w:val="156E3FDC"/>
    <w:rsid w:val="15737266"/>
    <w:rsid w:val="15742B63"/>
    <w:rsid w:val="157601E9"/>
    <w:rsid w:val="15787DD9"/>
    <w:rsid w:val="157D2288"/>
    <w:rsid w:val="15885B2D"/>
    <w:rsid w:val="158A5A42"/>
    <w:rsid w:val="158B4AD3"/>
    <w:rsid w:val="15944585"/>
    <w:rsid w:val="159C7644"/>
    <w:rsid w:val="15A41BF5"/>
    <w:rsid w:val="15B86A5F"/>
    <w:rsid w:val="15C13355"/>
    <w:rsid w:val="15C30436"/>
    <w:rsid w:val="15C43B8C"/>
    <w:rsid w:val="15D16E5D"/>
    <w:rsid w:val="15DD69BD"/>
    <w:rsid w:val="15EA1334"/>
    <w:rsid w:val="15FF5FAD"/>
    <w:rsid w:val="16074AE1"/>
    <w:rsid w:val="160B0931"/>
    <w:rsid w:val="16190197"/>
    <w:rsid w:val="161A08FE"/>
    <w:rsid w:val="161B275F"/>
    <w:rsid w:val="16215B56"/>
    <w:rsid w:val="16223ECC"/>
    <w:rsid w:val="163E461C"/>
    <w:rsid w:val="16416EDF"/>
    <w:rsid w:val="164B243E"/>
    <w:rsid w:val="164F24FE"/>
    <w:rsid w:val="165036B7"/>
    <w:rsid w:val="16533E81"/>
    <w:rsid w:val="165542BE"/>
    <w:rsid w:val="1656500D"/>
    <w:rsid w:val="16591AF7"/>
    <w:rsid w:val="16595103"/>
    <w:rsid w:val="16646293"/>
    <w:rsid w:val="166549E0"/>
    <w:rsid w:val="16704C38"/>
    <w:rsid w:val="16723360"/>
    <w:rsid w:val="16797566"/>
    <w:rsid w:val="16832BAA"/>
    <w:rsid w:val="16847618"/>
    <w:rsid w:val="168F5B76"/>
    <w:rsid w:val="1692398B"/>
    <w:rsid w:val="169A1BCE"/>
    <w:rsid w:val="16A27798"/>
    <w:rsid w:val="16A42B33"/>
    <w:rsid w:val="16A7036B"/>
    <w:rsid w:val="16B02785"/>
    <w:rsid w:val="16B143A3"/>
    <w:rsid w:val="16C64858"/>
    <w:rsid w:val="16D90A2F"/>
    <w:rsid w:val="16DF3B20"/>
    <w:rsid w:val="16EA4D38"/>
    <w:rsid w:val="16EB095E"/>
    <w:rsid w:val="16F643D6"/>
    <w:rsid w:val="16F824C3"/>
    <w:rsid w:val="16F9080B"/>
    <w:rsid w:val="17091412"/>
    <w:rsid w:val="170E5E1B"/>
    <w:rsid w:val="1712319E"/>
    <w:rsid w:val="1723614E"/>
    <w:rsid w:val="172A66B9"/>
    <w:rsid w:val="1747655F"/>
    <w:rsid w:val="17485BB5"/>
    <w:rsid w:val="175A7D66"/>
    <w:rsid w:val="175D17AD"/>
    <w:rsid w:val="17671C52"/>
    <w:rsid w:val="176D73C9"/>
    <w:rsid w:val="17721DE4"/>
    <w:rsid w:val="1778161B"/>
    <w:rsid w:val="177B3894"/>
    <w:rsid w:val="17814783"/>
    <w:rsid w:val="17822BE9"/>
    <w:rsid w:val="17900D32"/>
    <w:rsid w:val="17946704"/>
    <w:rsid w:val="179C6C2A"/>
    <w:rsid w:val="17A018F8"/>
    <w:rsid w:val="17A7690E"/>
    <w:rsid w:val="17AE3C6A"/>
    <w:rsid w:val="17B629EB"/>
    <w:rsid w:val="17B732D0"/>
    <w:rsid w:val="17B86896"/>
    <w:rsid w:val="17B97566"/>
    <w:rsid w:val="17BC35C0"/>
    <w:rsid w:val="17BD5C5B"/>
    <w:rsid w:val="17BF07E2"/>
    <w:rsid w:val="17C26363"/>
    <w:rsid w:val="17C41379"/>
    <w:rsid w:val="17CF189F"/>
    <w:rsid w:val="17D02AC5"/>
    <w:rsid w:val="17DC2098"/>
    <w:rsid w:val="17E91C51"/>
    <w:rsid w:val="17EB794E"/>
    <w:rsid w:val="17F13B56"/>
    <w:rsid w:val="17F7715F"/>
    <w:rsid w:val="17F87305"/>
    <w:rsid w:val="17FD074D"/>
    <w:rsid w:val="18075575"/>
    <w:rsid w:val="18080951"/>
    <w:rsid w:val="18192DE1"/>
    <w:rsid w:val="18194E5B"/>
    <w:rsid w:val="181A7FEC"/>
    <w:rsid w:val="182413D5"/>
    <w:rsid w:val="182D4AE0"/>
    <w:rsid w:val="183A20D2"/>
    <w:rsid w:val="18544752"/>
    <w:rsid w:val="185F7012"/>
    <w:rsid w:val="18610323"/>
    <w:rsid w:val="18617779"/>
    <w:rsid w:val="187304B9"/>
    <w:rsid w:val="1886338E"/>
    <w:rsid w:val="18895F05"/>
    <w:rsid w:val="188A4B1C"/>
    <w:rsid w:val="18924A48"/>
    <w:rsid w:val="189746FE"/>
    <w:rsid w:val="189D40D8"/>
    <w:rsid w:val="189E3CDE"/>
    <w:rsid w:val="18A11A52"/>
    <w:rsid w:val="18AA040E"/>
    <w:rsid w:val="18B51028"/>
    <w:rsid w:val="18BF67D7"/>
    <w:rsid w:val="18C23849"/>
    <w:rsid w:val="18C30A03"/>
    <w:rsid w:val="18C34A33"/>
    <w:rsid w:val="18C367C4"/>
    <w:rsid w:val="18DA283C"/>
    <w:rsid w:val="18DC19BB"/>
    <w:rsid w:val="18E077F1"/>
    <w:rsid w:val="18E225D1"/>
    <w:rsid w:val="18E85096"/>
    <w:rsid w:val="18ED431E"/>
    <w:rsid w:val="18F13EB7"/>
    <w:rsid w:val="18F37004"/>
    <w:rsid w:val="18F57676"/>
    <w:rsid w:val="18FB11EC"/>
    <w:rsid w:val="18FE7A20"/>
    <w:rsid w:val="19286773"/>
    <w:rsid w:val="19393A03"/>
    <w:rsid w:val="19456C85"/>
    <w:rsid w:val="194859F8"/>
    <w:rsid w:val="194C2D7D"/>
    <w:rsid w:val="19527C5D"/>
    <w:rsid w:val="19535910"/>
    <w:rsid w:val="1957395D"/>
    <w:rsid w:val="1969580A"/>
    <w:rsid w:val="19706890"/>
    <w:rsid w:val="19726F19"/>
    <w:rsid w:val="197E1182"/>
    <w:rsid w:val="19941C04"/>
    <w:rsid w:val="199450E1"/>
    <w:rsid w:val="199A1269"/>
    <w:rsid w:val="199B1CB6"/>
    <w:rsid w:val="19B00B89"/>
    <w:rsid w:val="19B94B48"/>
    <w:rsid w:val="19C605A6"/>
    <w:rsid w:val="19C927B4"/>
    <w:rsid w:val="19D20D27"/>
    <w:rsid w:val="19D43730"/>
    <w:rsid w:val="19D45976"/>
    <w:rsid w:val="19E23223"/>
    <w:rsid w:val="19EF056A"/>
    <w:rsid w:val="19F03718"/>
    <w:rsid w:val="19F67B09"/>
    <w:rsid w:val="19FD77C5"/>
    <w:rsid w:val="1A116732"/>
    <w:rsid w:val="1A1F28E4"/>
    <w:rsid w:val="1A2B2DAE"/>
    <w:rsid w:val="1A41103D"/>
    <w:rsid w:val="1A4D0B47"/>
    <w:rsid w:val="1A50030F"/>
    <w:rsid w:val="1A547325"/>
    <w:rsid w:val="1A714EA3"/>
    <w:rsid w:val="1A726C78"/>
    <w:rsid w:val="1A796715"/>
    <w:rsid w:val="1A872550"/>
    <w:rsid w:val="1A8D526B"/>
    <w:rsid w:val="1A95107A"/>
    <w:rsid w:val="1A992334"/>
    <w:rsid w:val="1A9B5FFB"/>
    <w:rsid w:val="1AAA0199"/>
    <w:rsid w:val="1AB4588F"/>
    <w:rsid w:val="1AB8486F"/>
    <w:rsid w:val="1AC57933"/>
    <w:rsid w:val="1AD226A0"/>
    <w:rsid w:val="1AE011DC"/>
    <w:rsid w:val="1AEC61E4"/>
    <w:rsid w:val="1AF923AD"/>
    <w:rsid w:val="1AFA71C6"/>
    <w:rsid w:val="1B03692A"/>
    <w:rsid w:val="1B0470E1"/>
    <w:rsid w:val="1B0867AA"/>
    <w:rsid w:val="1B0F410E"/>
    <w:rsid w:val="1B122762"/>
    <w:rsid w:val="1B163C96"/>
    <w:rsid w:val="1B1778D6"/>
    <w:rsid w:val="1B1C740F"/>
    <w:rsid w:val="1B206397"/>
    <w:rsid w:val="1B3A342C"/>
    <w:rsid w:val="1B3B0B54"/>
    <w:rsid w:val="1B3E77C2"/>
    <w:rsid w:val="1B4164CF"/>
    <w:rsid w:val="1B460AA8"/>
    <w:rsid w:val="1B4A6D5F"/>
    <w:rsid w:val="1B4C4BFA"/>
    <w:rsid w:val="1B793920"/>
    <w:rsid w:val="1B7C43E1"/>
    <w:rsid w:val="1B890E42"/>
    <w:rsid w:val="1B9060ED"/>
    <w:rsid w:val="1B9D5DED"/>
    <w:rsid w:val="1B9E29CA"/>
    <w:rsid w:val="1BA0144B"/>
    <w:rsid w:val="1BA52CAF"/>
    <w:rsid w:val="1BA80BA8"/>
    <w:rsid w:val="1BAC490D"/>
    <w:rsid w:val="1BB6501E"/>
    <w:rsid w:val="1BBF2BCA"/>
    <w:rsid w:val="1BC1760D"/>
    <w:rsid w:val="1BCD7A9E"/>
    <w:rsid w:val="1BD42A40"/>
    <w:rsid w:val="1BE54E30"/>
    <w:rsid w:val="1BF63E31"/>
    <w:rsid w:val="1BFB6472"/>
    <w:rsid w:val="1BFD601C"/>
    <w:rsid w:val="1C041D1B"/>
    <w:rsid w:val="1C0903D1"/>
    <w:rsid w:val="1C1974A1"/>
    <w:rsid w:val="1C1B5646"/>
    <w:rsid w:val="1C1B73F4"/>
    <w:rsid w:val="1C1C7CA2"/>
    <w:rsid w:val="1C1E296D"/>
    <w:rsid w:val="1C1F5136"/>
    <w:rsid w:val="1C253D59"/>
    <w:rsid w:val="1C320DD7"/>
    <w:rsid w:val="1C461942"/>
    <w:rsid w:val="1C4F709D"/>
    <w:rsid w:val="1C553C22"/>
    <w:rsid w:val="1C5579D2"/>
    <w:rsid w:val="1C641ACB"/>
    <w:rsid w:val="1C66566C"/>
    <w:rsid w:val="1C79027D"/>
    <w:rsid w:val="1C89545C"/>
    <w:rsid w:val="1C8C7318"/>
    <w:rsid w:val="1C930DE5"/>
    <w:rsid w:val="1CBD2EB9"/>
    <w:rsid w:val="1CC56961"/>
    <w:rsid w:val="1CD22CB1"/>
    <w:rsid w:val="1CDF56E1"/>
    <w:rsid w:val="1CF701E9"/>
    <w:rsid w:val="1CF73B93"/>
    <w:rsid w:val="1CFB2338"/>
    <w:rsid w:val="1D0C04FF"/>
    <w:rsid w:val="1D1139AF"/>
    <w:rsid w:val="1D1478E3"/>
    <w:rsid w:val="1D173561"/>
    <w:rsid w:val="1D217110"/>
    <w:rsid w:val="1D241337"/>
    <w:rsid w:val="1D2422D8"/>
    <w:rsid w:val="1D27063D"/>
    <w:rsid w:val="1D352BF5"/>
    <w:rsid w:val="1D470122"/>
    <w:rsid w:val="1D4A010C"/>
    <w:rsid w:val="1D4B3D09"/>
    <w:rsid w:val="1D4C2874"/>
    <w:rsid w:val="1D6E1A31"/>
    <w:rsid w:val="1D70551D"/>
    <w:rsid w:val="1D73089A"/>
    <w:rsid w:val="1D8005FE"/>
    <w:rsid w:val="1D805A75"/>
    <w:rsid w:val="1D8D1FED"/>
    <w:rsid w:val="1D8F6148"/>
    <w:rsid w:val="1D9303D6"/>
    <w:rsid w:val="1D9E5EB5"/>
    <w:rsid w:val="1DA174A2"/>
    <w:rsid w:val="1DB20DD4"/>
    <w:rsid w:val="1DB36FB4"/>
    <w:rsid w:val="1DBE097F"/>
    <w:rsid w:val="1DBE2674"/>
    <w:rsid w:val="1DCE0040"/>
    <w:rsid w:val="1DD51824"/>
    <w:rsid w:val="1DE853C8"/>
    <w:rsid w:val="1DF10AB3"/>
    <w:rsid w:val="1E013E97"/>
    <w:rsid w:val="1E080C03"/>
    <w:rsid w:val="1E0A39AB"/>
    <w:rsid w:val="1E1C76E0"/>
    <w:rsid w:val="1E2C50F2"/>
    <w:rsid w:val="1E313A77"/>
    <w:rsid w:val="1E37717A"/>
    <w:rsid w:val="1E5135A1"/>
    <w:rsid w:val="1E5C2254"/>
    <w:rsid w:val="1E760C91"/>
    <w:rsid w:val="1E9307D5"/>
    <w:rsid w:val="1E9A0651"/>
    <w:rsid w:val="1E9C049F"/>
    <w:rsid w:val="1EA9518B"/>
    <w:rsid w:val="1EB00ECD"/>
    <w:rsid w:val="1EB23BFE"/>
    <w:rsid w:val="1EB36E31"/>
    <w:rsid w:val="1EB4768C"/>
    <w:rsid w:val="1EB80A11"/>
    <w:rsid w:val="1EC93137"/>
    <w:rsid w:val="1ED77163"/>
    <w:rsid w:val="1EDB44F6"/>
    <w:rsid w:val="1EDE5535"/>
    <w:rsid w:val="1EE91702"/>
    <w:rsid w:val="1EEB1601"/>
    <w:rsid w:val="1EF34658"/>
    <w:rsid w:val="1EF353C0"/>
    <w:rsid w:val="1EF43EC0"/>
    <w:rsid w:val="1F006403"/>
    <w:rsid w:val="1F05301C"/>
    <w:rsid w:val="1F074479"/>
    <w:rsid w:val="1F084729"/>
    <w:rsid w:val="1F0D3477"/>
    <w:rsid w:val="1F132AAF"/>
    <w:rsid w:val="1F150E63"/>
    <w:rsid w:val="1F213E7C"/>
    <w:rsid w:val="1F2715EC"/>
    <w:rsid w:val="1F273BBB"/>
    <w:rsid w:val="1F3D22D2"/>
    <w:rsid w:val="1F4570D0"/>
    <w:rsid w:val="1F552C1D"/>
    <w:rsid w:val="1F5A0233"/>
    <w:rsid w:val="1F5B2FFF"/>
    <w:rsid w:val="1F6046DA"/>
    <w:rsid w:val="1F630F35"/>
    <w:rsid w:val="1F717838"/>
    <w:rsid w:val="1F792252"/>
    <w:rsid w:val="1F7D3F22"/>
    <w:rsid w:val="1F7F46D3"/>
    <w:rsid w:val="1F8728FC"/>
    <w:rsid w:val="1F8C15B7"/>
    <w:rsid w:val="1F8F0179"/>
    <w:rsid w:val="1FB56C99"/>
    <w:rsid w:val="1FCC681B"/>
    <w:rsid w:val="1FE52024"/>
    <w:rsid w:val="1FE5372F"/>
    <w:rsid w:val="1FF33952"/>
    <w:rsid w:val="2003485B"/>
    <w:rsid w:val="200A3D5F"/>
    <w:rsid w:val="2013415F"/>
    <w:rsid w:val="201A70E6"/>
    <w:rsid w:val="201B2D27"/>
    <w:rsid w:val="201E6997"/>
    <w:rsid w:val="201E6FC3"/>
    <w:rsid w:val="20204B40"/>
    <w:rsid w:val="20241F47"/>
    <w:rsid w:val="20262893"/>
    <w:rsid w:val="20375334"/>
    <w:rsid w:val="203B62B7"/>
    <w:rsid w:val="204D1B46"/>
    <w:rsid w:val="20531EA1"/>
    <w:rsid w:val="20584289"/>
    <w:rsid w:val="205F01F1"/>
    <w:rsid w:val="20625883"/>
    <w:rsid w:val="207E409D"/>
    <w:rsid w:val="208133F9"/>
    <w:rsid w:val="20896C94"/>
    <w:rsid w:val="208B2073"/>
    <w:rsid w:val="20906772"/>
    <w:rsid w:val="209127D6"/>
    <w:rsid w:val="20924822"/>
    <w:rsid w:val="209A4B9D"/>
    <w:rsid w:val="209D1D39"/>
    <w:rsid w:val="20A0611A"/>
    <w:rsid w:val="20A77C18"/>
    <w:rsid w:val="20AB059B"/>
    <w:rsid w:val="20BA5B57"/>
    <w:rsid w:val="20C70E53"/>
    <w:rsid w:val="20C80601"/>
    <w:rsid w:val="20E03FD9"/>
    <w:rsid w:val="20E13596"/>
    <w:rsid w:val="20FE7B51"/>
    <w:rsid w:val="21005DC9"/>
    <w:rsid w:val="210D7C29"/>
    <w:rsid w:val="212B256E"/>
    <w:rsid w:val="212D43AF"/>
    <w:rsid w:val="213017EE"/>
    <w:rsid w:val="21395DF7"/>
    <w:rsid w:val="213C7256"/>
    <w:rsid w:val="21442F49"/>
    <w:rsid w:val="214E201A"/>
    <w:rsid w:val="215C4736"/>
    <w:rsid w:val="216A7C4F"/>
    <w:rsid w:val="216E5F48"/>
    <w:rsid w:val="21844290"/>
    <w:rsid w:val="218F35A4"/>
    <w:rsid w:val="219F506B"/>
    <w:rsid w:val="21A3033E"/>
    <w:rsid w:val="21B93D8E"/>
    <w:rsid w:val="21C4307F"/>
    <w:rsid w:val="21C67E02"/>
    <w:rsid w:val="21CB1D55"/>
    <w:rsid w:val="21CE6CB6"/>
    <w:rsid w:val="21DC52CC"/>
    <w:rsid w:val="21EA2993"/>
    <w:rsid w:val="21F709A4"/>
    <w:rsid w:val="2205092A"/>
    <w:rsid w:val="2210107D"/>
    <w:rsid w:val="22125E45"/>
    <w:rsid w:val="221D54E3"/>
    <w:rsid w:val="22214403"/>
    <w:rsid w:val="222E5639"/>
    <w:rsid w:val="22356576"/>
    <w:rsid w:val="22415C03"/>
    <w:rsid w:val="225414CB"/>
    <w:rsid w:val="225A37F8"/>
    <w:rsid w:val="225C65D4"/>
    <w:rsid w:val="225F7454"/>
    <w:rsid w:val="22621661"/>
    <w:rsid w:val="226E2C96"/>
    <w:rsid w:val="226F32D7"/>
    <w:rsid w:val="22853819"/>
    <w:rsid w:val="22853F11"/>
    <w:rsid w:val="22926321"/>
    <w:rsid w:val="22A50AED"/>
    <w:rsid w:val="22B42350"/>
    <w:rsid w:val="22BE4F7D"/>
    <w:rsid w:val="22BF5B8A"/>
    <w:rsid w:val="22C52398"/>
    <w:rsid w:val="22C7528E"/>
    <w:rsid w:val="22DA7472"/>
    <w:rsid w:val="22E74D52"/>
    <w:rsid w:val="22F547E2"/>
    <w:rsid w:val="22FF3508"/>
    <w:rsid w:val="230E4094"/>
    <w:rsid w:val="232673AD"/>
    <w:rsid w:val="232C24AD"/>
    <w:rsid w:val="232D2225"/>
    <w:rsid w:val="233751FA"/>
    <w:rsid w:val="233967D6"/>
    <w:rsid w:val="233A0AA7"/>
    <w:rsid w:val="233E3BEA"/>
    <w:rsid w:val="235122B7"/>
    <w:rsid w:val="23587673"/>
    <w:rsid w:val="23681BB9"/>
    <w:rsid w:val="236A2746"/>
    <w:rsid w:val="23706B17"/>
    <w:rsid w:val="237203D9"/>
    <w:rsid w:val="237E1920"/>
    <w:rsid w:val="23877AB6"/>
    <w:rsid w:val="23880778"/>
    <w:rsid w:val="238F6C1C"/>
    <w:rsid w:val="23930A16"/>
    <w:rsid w:val="23983977"/>
    <w:rsid w:val="23991313"/>
    <w:rsid w:val="23A06D0E"/>
    <w:rsid w:val="23C021E0"/>
    <w:rsid w:val="23DB1F82"/>
    <w:rsid w:val="23E12EB5"/>
    <w:rsid w:val="24015121"/>
    <w:rsid w:val="24057F8A"/>
    <w:rsid w:val="240771DF"/>
    <w:rsid w:val="24077797"/>
    <w:rsid w:val="24114CD9"/>
    <w:rsid w:val="241430A6"/>
    <w:rsid w:val="24191D89"/>
    <w:rsid w:val="242A42C4"/>
    <w:rsid w:val="243B72F6"/>
    <w:rsid w:val="24420A0A"/>
    <w:rsid w:val="24484775"/>
    <w:rsid w:val="2448611E"/>
    <w:rsid w:val="244C79A4"/>
    <w:rsid w:val="245A637E"/>
    <w:rsid w:val="246E0ADF"/>
    <w:rsid w:val="24725FBD"/>
    <w:rsid w:val="24897CE7"/>
    <w:rsid w:val="248B43BB"/>
    <w:rsid w:val="24912D05"/>
    <w:rsid w:val="24A31EAF"/>
    <w:rsid w:val="24AF204F"/>
    <w:rsid w:val="24C77BAF"/>
    <w:rsid w:val="24D31BC2"/>
    <w:rsid w:val="24D4790D"/>
    <w:rsid w:val="24D93CC4"/>
    <w:rsid w:val="24E91D64"/>
    <w:rsid w:val="24FC6ABF"/>
    <w:rsid w:val="24FC7BA0"/>
    <w:rsid w:val="250956D0"/>
    <w:rsid w:val="250E47E7"/>
    <w:rsid w:val="250E69FA"/>
    <w:rsid w:val="251A2606"/>
    <w:rsid w:val="2520616B"/>
    <w:rsid w:val="252A1183"/>
    <w:rsid w:val="25315E69"/>
    <w:rsid w:val="25373201"/>
    <w:rsid w:val="25387BCB"/>
    <w:rsid w:val="25401ED9"/>
    <w:rsid w:val="254A3C14"/>
    <w:rsid w:val="25512117"/>
    <w:rsid w:val="2564005E"/>
    <w:rsid w:val="25657E6C"/>
    <w:rsid w:val="25762EAC"/>
    <w:rsid w:val="257F3E55"/>
    <w:rsid w:val="258A0909"/>
    <w:rsid w:val="259C14E3"/>
    <w:rsid w:val="25AD0684"/>
    <w:rsid w:val="25B36F43"/>
    <w:rsid w:val="25B70CD9"/>
    <w:rsid w:val="25BF1C55"/>
    <w:rsid w:val="25C91C6F"/>
    <w:rsid w:val="25CA4A3C"/>
    <w:rsid w:val="25CF398C"/>
    <w:rsid w:val="25E87B35"/>
    <w:rsid w:val="25EC1E12"/>
    <w:rsid w:val="25EE294B"/>
    <w:rsid w:val="25FD65FE"/>
    <w:rsid w:val="2601765A"/>
    <w:rsid w:val="260A1077"/>
    <w:rsid w:val="260C2764"/>
    <w:rsid w:val="2611715D"/>
    <w:rsid w:val="26244182"/>
    <w:rsid w:val="262F46CB"/>
    <w:rsid w:val="263059B9"/>
    <w:rsid w:val="26317886"/>
    <w:rsid w:val="26382433"/>
    <w:rsid w:val="263B5FB4"/>
    <w:rsid w:val="263F3C96"/>
    <w:rsid w:val="26414DFC"/>
    <w:rsid w:val="26456961"/>
    <w:rsid w:val="265F76A8"/>
    <w:rsid w:val="26795443"/>
    <w:rsid w:val="267F6338"/>
    <w:rsid w:val="2698078D"/>
    <w:rsid w:val="26AF65A0"/>
    <w:rsid w:val="26B63B5D"/>
    <w:rsid w:val="26C1503C"/>
    <w:rsid w:val="26C41670"/>
    <w:rsid w:val="26C56229"/>
    <w:rsid w:val="26CF3B03"/>
    <w:rsid w:val="26D83FCF"/>
    <w:rsid w:val="26D92385"/>
    <w:rsid w:val="26D925DD"/>
    <w:rsid w:val="26F8016C"/>
    <w:rsid w:val="26F859C2"/>
    <w:rsid w:val="27026B7C"/>
    <w:rsid w:val="270E417C"/>
    <w:rsid w:val="270E7B1D"/>
    <w:rsid w:val="27147861"/>
    <w:rsid w:val="27165A45"/>
    <w:rsid w:val="27173B11"/>
    <w:rsid w:val="273038C9"/>
    <w:rsid w:val="27411EE4"/>
    <w:rsid w:val="274409F1"/>
    <w:rsid w:val="27474CAD"/>
    <w:rsid w:val="27481BDD"/>
    <w:rsid w:val="27554208"/>
    <w:rsid w:val="27596D7B"/>
    <w:rsid w:val="275F11D4"/>
    <w:rsid w:val="27651918"/>
    <w:rsid w:val="27686A74"/>
    <w:rsid w:val="27686FE3"/>
    <w:rsid w:val="2779603A"/>
    <w:rsid w:val="277C5D39"/>
    <w:rsid w:val="277E57F2"/>
    <w:rsid w:val="27813A91"/>
    <w:rsid w:val="27884AA6"/>
    <w:rsid w:val="279522EC"/>
    <w:rsid w:val="279A4ED2"/>
    <w:rsid w:val="27A16D77"/>
    <w:rsid w:val="27BE4BAD"/>
    <w:rsid w:val="27C923FA"/>
    <w:rsid w:val="27D36706"/>
    <w:rsid w:val="27D86885"/>
    <w:rsid w:val="27E14AD4"/>
    <w:rsid w:val="27E234BC"/>
    <w:rsid w:val="27E45486"/>
    <w:rsid w:val="27EE7C91"/>
    <w:rsid w:val="27FB3249"/>
    <w:rsid w:val="280F394D"/>
    <w:rsid w:val="28100403"/>
    <w:rsid w:val="281A0EA7"/>
    <w:rsid w:val="281E16FD"/>
    <w:rsid w:val="28243099"/>
    <w:rsid w:val="28284149"/>
    <w:rsid w:val="282E0D12"/>
    <w:rsid w:val="28456DF2"/>
    <w:rsid w:val="28466D7E"/>
    <w:rsid w:val="28594AC9"/>
    <w:rsid w:val="285B59FC"/>
    <w:rsid w:val="285E3578"/>
    <w:rsid w:val="285F7732"/>
    <w:rsid w:val="286C26F3"/>
    <w:rsid w:val="28721D0B"/>
    <w:rsid w:val="2875253D"/>
    <w:rsid w:val="28771E56"/>
    <w:rsid w:val="287E2A8D"/>
    <w:rsid w:val="288661AE"/>
    <w:rsid w:val="288B673D"/>
    <w:rsid w:val="28991D05"/>
    <w:rsid w:val="289C7B0E"/>
    <w:rsid w:val="28A46D01"/>
    <w:rsid w:val="28BA44A9"/>
    <w:rsid w:val="28CF39BF"/>
    <w:rsid w:val="28ED16A6"/>
    <w:rsid w:val="28EF5097"/>
    <w:rsid w:val="28F42521"/>
    <w:rsid w:val="29014B7A"/>
    <w:rsid w:val="29026566"/>
    <w:rsid w:val="292031A4"/>
    <w:rsid w:val="292506DA"/>
    <w:rsid w:val="29277E87"/>
    <w:rsid w:val="292B6B63"/>
    <w:rsid w:val="2935785D"/>
    <w:rsid w:val="293A2897"/>
    <w:rsid w:val="293F7347"/>
    <w:rsid w:val="29430178"/>
    <w:rsid w:val="294C6181"/>
    <w:rsid w:val="296543A4"/>
    <w:rsid w:val="298251F6"/>
    <w:rsid w:val="298A40CC"/>
    <w:rsid w:val="299627B0"/>
    <w:rsid w:val="299A7727"/>
    <w:rsid w:val="29AB0FEC"/>
    <w:rsid w:val="29AF0ED3"/>
    <w:rsid w:val="29BA2310"/>
    <w:rsid w:val="29BB59BF"/>
    <w:rsid w:val="29BE717E"/>
    <w:rsid w:val="29C62858"/>
    <w:rsid w:val="29C803F7"/>
    <w:rsid w:val="29CE03A5"/>
    <w:rsid w:val="29D62BAC"/>
    <w:rsid w:val="29F5090D"/>
    <w:rsid w:val="2A046CF9"/>
    <w:rsid w:val="2A11483B"/>
    <w:rsid w:val="2A1262DA"/>
    <w:rsid w:val="2A1617B1"/>
    <w:rsid w:val="2A1A7A9F"/>
    <w:rsid w:val="2A1F07E8"/>
    <w:rsid w:val="2A222672"/>
    <w:rsid w:val="2A273ACD"/>
    <w:rsid w:val="2A2A04ED"/>
    <w:rsid w:val="2A3F4773"/>
    <w:rsid w:val="2A4569D8"/>
    <w:rsid w:val="2A706C09"/>
    <w:rsid w:val="2A79145A"/>
    <w:rsid w:val="2A7E3002"/>
    <w:rsid w:val="2A84747E"/>
    <w:rsid w:val="2A937AB1"/>
    <w:rsid w:val="2AA470C4"/>
    <w:rsid w:val="2AB34B12"/>
    <w:rsid w:val="2AB7503E"/>
    <w:rsid w:val="2ACA4523"/>
    <w:rsid w:val="2ADD4F2E"/>
    <w:rsid w:val="2AE26396"/>
    <w:rsid w:val="2AEC5F79"/>
    <w:rsid w:val="2AF25A05"/>
    <w:rsid w:val="2AF263E9"/>
    <w:rsid w:val="2B036354"/>
    <w:rsid w:val="2B0910B4"/>
    <w:rsid w:val="2B0971E3"/>
    <w:rsid w:val="2B252A91"/>
    <w:rsid w:val="2B2A45AC"/>
    <w:rsid w:val="2B481B24"/>
    <w:rsid w:val="2B72503C"/>
    <w:rsid w:val="2B75265B"/>
    <w:rsid w:val="2B7C005C"/>
    <w:rsid w:val="2B8027A2"/>
    <w:rsid w:val="2B8C5491"/>
    <w:rsid w:val="2B8E368E"/>
    <w:rsid w:val="2B9475CE"/>
    <w:rsid w:val="2B973A2A"/>
    <w:rsid w:val="2B980A61"/>
    <w:rsid w:val="2B9960A8"/>
    <w:rsid w:val="2B9A6D40"/>
    <w:rsid w:val="2BA07916"/>
    <w:rsid w:val="2BA364FC"/>
    <w:rsid w:val="2BA81B2D"/>
    <w:rsid w:val="2BA93B04"/>
    <w:rsid w:val="2BAC0068"/>
    <w:rsid w:val="2BAC05A4"/>
    <w:rsid w:val="2BAC66EA"/>
    <w:rsid w:val="2BC23921"/>
    <w:rsid w:val="2BC53A12"/>
    <w:rsid w:val="2BC8189E"/>
    <w:rsid w:val="2BE04690"/>
    <w:rsid w:val="2BE42AD8"/>
    <w:rsid w:val="2BEF5135"/>
    <w:rsid w:val="2BF37A45"/>
    <w:rsid w:val="2BFA3C80"/>
    <w:rsid w:val="2C034304"/>
    <w:rsid w:val="2C1005F7"/>
    <w:rsid w:val="2C2C6B23"/>
    <w:rsid w:val="2C2E47C1"/>
    <w:rsid w:val="2C35005E"/>
    <w:rsid w:val="2C350A37"/>
    <w:rsid w:val="2C372F55"/>
    <w:rsid w:val="2C3C5759"/>
    <w:rsid w:val="2C605AC0"/>
    <w:rsid w:val="2C684A78"/>
    <w:rsid w:val="2C724043"/>
    <w:rsid w:val="2C7F752B"/>
    <w:rsid w:val="2C8608B9"/>
    <w:rsid w:val="2C8624BE"/>
    <w:rsid w:val="2C9058A4"/>
    <w:rsid w:val="2C92725E"/>
    <w:rsid w:val="2C9A6113"/>
    <w:rsid w:val="2C9B4455"/>
    <w:rsid w:val="2C9C5047"/>
    <w:rsid w:val="2C9E04DD"/>
    <w:rsid w:val="2CA005D9"/>
    <w:rsid w:val="2CA7655F"/>
    <w:rsid w:val="2CAD72D0"/>
    <w:rsid w:val="2CB216AE"/>
    <w:rsid w:val="2CB371D5"/>
    <w:rsid w:val="2CB43EAD"/>
    <w:rsid w:val="2CB64B14"/>
    <w:rsid w:val="2CB84F86"/>
    <w:rsid w:val="2CC55405"/>
    <w:rsid w:val="2CC87124"/>
    <w:rsid w:val="2CCF5C8A"/>
    <w:rsid w:val="2CD51134"/>
    <w:rsid w:val="2CDF7C05"/>
    <w:rsid w:val="2CE908D7"/>
    <w:rsid w:val="2CED3FCE"/>
    <w:rsid w:val="2CF00429"/>
    <w:rsid w:val="2CF5670A"/>
    <w:rsid w:val="2D1C6E96"/>
    <w:rsid w:val="2D1E50E6"/>
    <w:rsid w:val="2D2510C1"/>
    <w:rsid w:val="2D2E10EE"/>
    <w:rsid w:val="2D320A41"/>
    <w:rsid w:val="2D326CFE"/>
    <w:rsid w:val="2D56715B"/>
    <w:rsid w:val="2D580096"/>
    <w:rsid w:val="2D6230D5"/>
    <w:rsid w:val="2D6452CD"/>
    <w:rsid w:val="2D653722"/>
    <w:rsid w:val="2D6E48F4"/>
    <w:rsid w:val="2D757B9F"/>
    <w:rsid w:val="2D8556CB"/>
    <w:rsid w:val="2D8E211C"/>
    <w:rsid w:val="2D8E798F"/>
    <w:rsid w:val="2D9D0157"/>
    <w:rsid w:val="2DA56A64"/>
    <w:rsid w:val="2DAB4077"/>
    <w:rsid w:val="2DAE631A"/>
    <w:rsid w:val="2DB95629"/>
    <w:rsid w:val="2DBD5F00"/>
    <w:rsid w:val="2DBF6B3D"/>
    <w:rsid w:val="2DC64928"/>
    <w:rsid w:val="2DCE2515"/>
    <w:rsid w:val="2DE63F6B"/>
    <w:rsid w:val="2DF46D5D"/>
    <w:rsid w:val="2DF50230"/>
    <w:rsid w:val="2DF71638"/>
    <w:rsid w:val="2DFE3341"/>
    <w:rsid w:val="2E0037EA"/>
    <w:rsid w:val="2E055203"/>
    <w:rsid w:val="2E05524D"/>
    <w:rsid w:val="2E113D9C"/>
    <w:rsid w:val="2E1C7B7C"/>
    <w:rsid w:val="2E2351E8"/>
    <w:rsid w:val="2E282404"/>
    <w:rsid w:val="2E2A5002"/>
    <w:rsid w:val="2E2B4822"/>
    <w:rsid w:val="2E2E52AE"/>
    <w:rsid w:val="2E320113"/>
    <w:rsid w:val="2E361D6D"/>
    <w:rsid w:val="2E3A3F24"/>
    <w:rsid w:val="2E4164EE"/>
    <w:rsid w:val="2E4916DB"/>
    <w:rsid w:val="2E4B1B23"/>
    <w:rsid w:val="2E58599B"/>
    <w:rsid w:val="2E5F4FB0"/>
    <w:rsid w:val="2E603D63"/>
    <w:rsid w:val="2E6315F3"/>
    <w:rsid w:val="2E651B6D"/>
    <w:rsid w:val="2E652751"/>
    <w:rsid w:val="2E653F35"/>
    <w:rsid w:val="2E6C0E9A"/>
    <w:rsid w:val="2E703DCD"/>
    <w:rsid w:val="2E706E7F"/>
    <w:rsid w:val="2E755C8A"/>
    <w:rsid w:val="2E960E78"/>
    <w:rsid w:val="2E961291"/>
    <w:rsid w:val="2E9715F5"/>
    <w:rsid w:val="2E9B2FF3"/>
    <w:rsid w:val="2E9F395D"/>
    <w:rsid w:val="2EA26523"/>
    <w:rsid w:val="2EB325B3"/>
    <w:rsid w:val="2EB33283"/>
    <w:rsid w:val="2EB54BAC"/>
    <w:rsid w:val="2EBD1562"/>
    <w:rsid w:val="2EC009FF"/>
    <w:rsid w:val="2EC05889"/>
    <w:rsid w:val="2ED33B5E"/>
    <w:rsid w:val="2ED55F0E"/>
    <w:rsid w:val="2EE040E6"/>
    <w:rsid w:val="2EE10A5D"/>
    <w:rsid w:val="2EED1563"/>
    <w:rsid w:val="2EF51D26"/>
    <w:rsid w:val="2F0800DC"/>
    <w:rsid w:val="2F0D1361"/>
    <w:rsid w:val="2F2A7C22"/>
    <w:rsid w:val="2F2E7B4F"/>
    <w:rsid w:val="2F345405"/>
    <w:rsid w:val="2F363A28"/>
    <w:rsid w:val="2F413C94"/>
    <w:rsid w:val="2F596DF2"/>
    <w:rsid w:val="2F612649"/>
    <w:rsid w:val="2F6558DC"/>
    <w:rsid w:val="2F6F7600"/>
    <w:rsid w:val="2F7B222C"/>
    <w:rsid w:val="2F7B2D1D"/>
    <w:rsid w:val="2F824A2A"/>
    <w:rsid w:val="2F832633"/>
    <w:rsid w:val="2F844AD6"/>
    <w:rsid w:val="2F896756"/>
    <w:rsid w:val="2F8A2144"/>
    <w:rsid w:val="2F8C26F2"/>
    <w:rsid w:val="2F8F3846"/>
    <w:rsid w:val="2F9F5A68"/>
    <w:rsid w:val="2FA1446A"/>
    <w:rsid w:val="2FA8139B"/>
    <w:rsid w:val="2FAF0127"/>
    <w:rsid w:val="2FB36048"/>
    <w:rsid w:val="2FB539C0"/>
    <w:rsid w:val="2FD00D28"/>
    <w:rsid w:val="2FDD5981"/>
    <w:rsid w:val="2FED44B5"/>
    <w:rsid w:val="300B11C1"/>
    <w:rsid w:val="300E7383"/>
    <w:rsid w:val="30100801"/>
    <w:rsid w:val="301214B7"/>
    <w:rsid w:val="30143571"/>
    <w:rsid w:val="301618A4"/>
    <w:rsid w:val="301663F8"/>
    <w:rsid w:val="301C0483"/>
    <w:rsid w:val="302C0669"/>
    <w:rsid w:val="302D0FD5"/>
    <w:rsid w:val="302D59FC"/>
    <w:rsid w:val="30315EF2"/>
    <w:rsid w:val="30373C5A"/>
    <w:rsid w:val="303E2409"/>
    <w:rsid w:val="304A32DA"/>
    <w:rsid w:val="30522D1E"/>
    <w:rsid w:val="305A047A"/>
    <w:rsid w:val="30613A46"/>
    <w:rsid w:val="306378B4"/>
    <w:rsid w:val="30675C3D"/>
    <w:rsid w:val="30773E97"/>
    <w:rsid w:val="307D31E1"/>
    <w:rsid w:val="308838C6"/>
    <w:rsid w:val="309D341A"/>
    <w:rsid w:val="30AD13CD"/>
    <w:rsid w:val="30B85438"/>
    <w:rsid w:val="30BA687E"/>
    <w:rsid w:val="30D136C0"/>
    <w:rsid w:val="30D37F5D"/>
    <w:rsid w:val="30D96D0F"/>
    <w:rsid w:val="30DA11D4"/>
    <w:rsid w:val="30DA462C"/>
    <w:rsid w:val="30E046E2"/>
    <w:rsid w:val="30F10FA3"/>
    <w:rsid w:val="30FE230E"/>
    <w:rsid w:val="31080039"/>
    <w:rsid w:val="310E0E7D"/>
    <w:rsid w:val="311E4916"/>
    <w:rsid w:val="312039C9"/>
    <w:rsid w:val="31226FE3"/>
    <w:rsid w:val="31350E94"/>
    <w:rsid w:val="31452038"/>
    <w:rsid w:val="31482697"/>
    <w:rsid w:val="314B3ED8"/>
    <w:rsid w:val="314E6AAA"/>
    <w:rsid w:val="31546E0C"/>
    <w:rsid w:val="31577999"/>
    <w:rsid w:val="31583894"/>
    <w:rsid w:val="31690A0C"/>
    <w:rsid w:val="31820102"/>
    <w:rsid w:val="3191100C"/>
    <w:rsid w:val="3194017B"/>
    <w:rsid w:val="319448C7"/>
    <w:rsid w:val="319B75AF"/>
    <w:rsid w:val="31A62668"/>
    <w:rsid w:val="31CC596C"/>
    <w:rsid w:val="31CE1CD6"/>
    <w:rsid w:val="31D05C1A"/>
    <w:rsid w:val="31D13279"/>
    <w:rsid w:val="31D668A4"/>
    <w:rsid w:val="31DD28EB"/>
    <w:rsid w:val="31DE4CF4"/>
    <w:rsid w:val="31E35C4C"/>
    <w:rsid w:val="31F248AE"/>
    <w:rsid w:val="32024303"/>
    <w:rsid w:val="320615EB"/>
    <w:rsid w:val="320732B1"/>
    <w:rsid w:val="32155305"/>
    <w:rsid w:val="3220329C"/>
    <w:rsid w:val="32282B57"/>
    <w:rsid w:val="322E2381"/>
    <w:rsid w:val="322F4783"/>
    <w:rsid w:val="324F38EE"/>
    <w:rsid w:val="325E7BE0"/>
    <w:rsid w:val="32626B6E"/>
    <w:rsid w:val="32764A78"/>
    <w:rsid w:val="328C29A2"/>
    <w:rsid w:val="329201BA"/>
    <w:rsid w:val="329223E2"/>
    <w:rsid w:val="32951856"/>
    <w:rsid w:val="32AA5062"/>
    <w:rsid w:val="32B13CB1"/>
    <w:rsid w:val="32D754D7"/>
    <w:rsid w:val="32DB7A5F"/>
    <w:rsid w:val="32DC6DF0"/>
    <w:rsid w:val="32EB5B5D"/>
    <w:rsid w:val="32F024F3"/>
    <w:rsid w:val="32F322D0"/>
    <w:rsid w:val="3307027A"/>
    <w:rsid w:val="331C1F78"/>
    <w:rsid w:val="33240E2C"/>
    <w:rsid w:val="33245B58"/>
    <w:rsid w:val="332859A9"/>
    <w:rsid w:val="333902E2"/>
    <w:rsid w:val="33537E1B"/>
    <w:rsid w:val="335A44BE"/>
    <w:rsid w:val="33673813"/>
    <w:rsid w:val="336C001E"/>
    <w:rsid w:val="337066EC"/>
    <w:rsid w:val="337A13E1"/>
    <w:rsid w:val="33831A4B"/>
    <w:rsid w:val="33863895"/>
    <w:rsid w:val="33903B2B"/>
    <w:rsid w:val="339077D0"/>
    <w:rsid w:val="33925D96"/>
    <w:rsid w:val="339C6CC6"/>
    <w:rsid w:val="33A35ECB"/>
    <w:rsid w:val="33A579ED"/>
    <w:rsid w:val="33B03D8E"/>
    <w:rsid w:val="33F26834"/>
    <w:rsid w:val="33FF2D40"/>
    <w:rsid w:val="340D18C0"/>
    <w:rsid w:val="34190265"/>
    <w:rsid w:val="341F30FA"/>
    <w:rsid w:val="342B718B"/>
    <w:rsid w:val="343A51A8"/>
    <w:rsid w:val="345E42EB"/>
    <w:rsid w:val="346D1EB8"/>
    <w:rsid w:val="346D7191"/>
    <w:rsid w:val="346F1DF4"/>
    <w:rsid w:val="347B10D2"/>
    <w:rsid w:val="34831B82"/>
    <w:rsid w:val="34857FFE"/>
    <w:rsid w:val="349908AE"/>
    <w:rsid w:val="34A35D81"/>
    <w:rsid w:val="34AF3E02"/>
    <w:rsid w:val="34B64EDC"/>
    <w:rsid w:val="34BD5966"/>
    <w:rsid w:val="34C24459"/>
    <w:rsid w:val="34CF7803"/>
    <w:rsid w:val="34D9197A"/>
    <w:rsid w:val="34DB19BE"/>
    <w:rsid w:val="34DE3482"/>
    <w:rsid w:val="34E16443"/>
    <w:rsid w:val="34E62E0E"/>
    <w:rsid w:val="34F152C0"/>
    <w:rsid w:val="35033653"/>
    <w:rsid w:val="35042CC3"/>
    <w:rsid w:val="35044072"/>
    <w:rsid w:val="350C1B78"/>
    <w:rsid w:val="350E79F6"/>
    <w:rsid w:val="351132A0"/>
    <w:rsid w:val="352200D9"/>
    <w:rsid w:val="3527379F"/>
    <w:rsid w:val="352A73C9"/>
    <w:rsid w:val="352B0250"/>
    <w:rsid w:val="35393A48"/>
    <w:rsid w:val="35462A3F"/>
    <w:rsid w:val="35574074"/>
    <w:rsid w:val="35650039"/>
    <w:rsid w:val="35746EA8"/>
    <w:rsid w:val="357C0932"/>
    <w:rsid w:val="357E3BE1"/>
    <w:rsid w:val="35820F12"/>
    <w:rsid w:val="35880BC3"/>
    <w:rsid w:val="358E2F7C"/>
    <w:rsid w:val="359B48EF"/>
    <w:rsid w:val="35A06AD6"/>
    <w:rsid w:val="35B33AEA"/>
    <w:rsid w:val="35B81424"/>
    <w:rsid w:val="35B967CB"/>
    <w:rsid w:val="35CF32D1"/>
    <w:rsid w:val="35D76987"/>
    <w:rsid w:val="35DE1766"/>
    <w:rsid w:val="35E500D7"/>
    <w:rsid w:val="35E729EC"/>
    <w:rsid w:val="35EE65EE"/>
    <w:rsid w:val="35F83F56"/>
    <w:rsid w:val="36032F7B"/>
    <w:rsid w:val="360A60BB"/>
    <w:rsid w:val="360C2ADF"/>
    <w:rsid w:val="36121AA8"/>
    <w:rsid w:val="36175222"/>
    <w:rsid w:val="363B12D0"/>
    <w:rsid w:val="36590DED"/>
    <w:rsid w:val="36736D8F"/>
    <w:rsid w:val="3677508A"/>
    <w:rsid w:val="367C23A2"/>
    <w:rsid w:val="368C4D8D"/>
    <w:rsid w:val="368E6721"/>
    <w:rsid w:val="369F61B1"/>
    <w:rsid w:val="36A66952"/>
    <w:rsid w:val="36AD434C"/>
    <w:rsid w:val="36B4756F"/>
    <w:rsid w:val="36B97ADD"/>
    <w:rsid w:val="36BC5048"/>
    <w:rsid w:val="36C33AA3"/>
    <w:rsid w:val="36C520C2"/>
    <w:rsid w:val="36D57329"/>
    <w:rsid w:val="36D70F7D"/>
    <w:rsid w:val="36DB566F"/>
    <w:rsid w:val="36E07508"/>
    <w:rsid w:val="36E81A7D"/>
    <w:rsid w:val="36F5646C"/>
    <w:rsid w:val="36F84882"/>
    <w:rsid w:val="36FD3270"/>
    <w:rsid w:val="37074CED"/>
    <w:rsid w:val="37135868"/>
    <w:rsid w:val="372A2257"/>
    <w:rsid w:val="372D47A7"/>
    <w:rsid w:val="37370CAE"/>
    <w:rsid w:val="373F69DF"/>
    <w:rsid w:val="37435432"/>
    <w:rsid w:val="374B349C"/>
    <w:rsid w:val="37601F54"/>
    <w:rsid w:val="3776365B"/>
    <w:rsid w:val="378E28C4"/>
    <w:rsid w:val="37A36D8B"/>
    <w:rsid w:val="37A67CD7"/>
    <w:rsid w:val="37AE0BBE"/>
    <w:rsid w:val="37B15B4F"/>
    <w:rsid w:val="37B90FB0"/>
    <w:rsid w:val="37B94BB2"/>
    <w:rsid w:val="37C14E9C"/>
    <w:rsid w:val="37E154B2"/>
    <w:rsid w:val="37E65929"/>
    <w:rsid w:val="37EE0FF8"/>
    <w:rsid w:val="37F4701F"/>
    <w:rsid w:val="37FA3FFE"/>
    <w:rsid w:val="380A642E"/>
    <w:rsid w:val="38155536"/>
    <w:rsid w:val="38193CE1"/>
    <w:rsid w:val="381A2B94"/>
    <w:rsid w:val="381B35AF"/>
    <w:rsid w:val="381C2B15"/>
    <w:rsid w:val="382471D8"/>
    <w:rsid w:val="382C0192"/>
    <w:rsid w:val="382D688A"/>
    <w:rsid w:val="383513E6"/>
    <w:rsid w:val="3837360B"/>
    <w:rsid w:val="383F5BE7"/>
    <w:rsid w:val="38547FA2"/>
    <w:rsid w:val="385A52CF"/>
    <w:rsid w:val="38680322"/>
    <w:rsid w:val="3888687F"/>
    <w:rsid w:val="388A177A"/>
    <w:rsid w:val="388C2D28"/>
    <w:rsid w:val="389B2742"/>
    <w:rsid w:val="38A011B0"/>
    <w:rsid w:val="38A15415"/>
    <w:rsid w:val="38A95871"/>
    <w:rsid w:val="38AF51BE"/>
    <w:rsid w:val="38B30C88"/>
    <w:rsid w:val="38C30300"/>
    <w:rsid w:val="38C64F0C"/>
    <w:rsid w:val="38CA0C4A"/>
    <w:rsid w:val="38CA5E93"/>
    <w:rsid w:val="38D339C2"/>
    <w:rsid w:val="38D531F2"/>
    <w:rsid w:val="38E86C88"/>
    <w:rsid w:val="38EA6674"/>
    <w:rsid w:val="38F84269"/>
    <w:rsid w:val="39007D65"/>
    <w:rsid w:val="39022A42"/>
    <w:rsid w:val="39027CEE"/>
    <w:rsid w:val="39045B5A"/>
    <w:rsid w:val="390E1ED4"/>
    <w:rsid w:val="39125A94"/>
    <w:rsid w:val="391A0D07"/>
    <w:rsid w:val="39305548"/>
    <w:rsid w:val="39352C59"/>
    <w:rsid w:val="393624E0"/>
    <w:rsid w:val="39395D40"/>
    <w:rsid w:val="39472726"/>
    <w:rsid w:val="3949785A"/>
    <w:rsid w:val="395742C8"/>
    <w:rsid w:val="39574772"/>
    <w:rsid w:val="396310C5"/>
    <w:rsid w:val="39644BDE"/>
    <w:rsid w:val="396745DC"/>
    <w:rsid w:val="39764E76"/>
    <w:rsid w:val="3984486C"/>
    <w:rsid w:val="398D2242"/>
    <w:rsid w:val="39A0441F"/>
    <w:rsid w:val="39A24859"/>
    <w:rsid w:val="39AE0673"/>
    <w:rsid w:val="39AF5257"/>
    <w:rsid w:val="39B94579"/>
    <w:rsid w:val="39C71689"/>
    <w:rsid w:val="39C8758C"/>
    <w:rsid w:val="39F10274"/>
    <w:rsid w:val="39F9463A"/>
    <w:rsid w:val="3A014D39"/>
    <w:rsid w:val="3A0A3ABB"/>
    <w:rsid w:val="3A0A6CD5"/>
    <w:rsid w:val="3A0D2814"/>
    <w:rsid w:val="3A1E073A"/>
    <w:rsid w:val="3A1F310B"/>
    <w:rsid w:val="3A213C12"/>
    <w:rsid w:val="3A460636"/>
    <w:rsid w:val="3A6B10EF"/>
    <w:rsid w:val="3A6C7E20"/>
    <w:rsid w:val="3A6E5FCB"/>
    <w:rsid w:val="3A7510D3"/>
    <w:rsid w:val="3A8619BE"/>
    <w:rsid w:val="3A886145"/>
    <w:rsid w:val="3A956BAF"/>
    <w:rsid w:val="3A9E7716"/>
    <w:rsid w:val="3AAB3071"/>
    <w:rsid w:val="3AAF40BD"/>
    <w:rsid w:val="3AAF48BA"/>
    <w:rsid w:val="3AB64A60"/>
    <w:rsid w:val="3AE84047"/>
    <w:rsid w:val="3AEC7D2A"/>
    <w:rsid w:val="3AEE079D"/>
    <w:rsid w:val="3AF575D7"/>
    <w:rsid w:val="3AF57F24"/>
    <w:rsid w:val="3AF97E4C"/>
    <w:rsid w:val="3B061B8F"/>
    <w:rsid w:val="3B0B56D9"/>
    <w:rsid w:val="3B172E96"/>
    <w:rsid w:val="3B262E8C"/>
    <w:rsid w:val="3B2E32AA"/>
    <w:rsid w:val="3B346E2F"/>
    <w:rsid w:val="3B380765"/>
    <w:rsid w:val="3B3A6A96"/>
    <w:rsid w:val="3B43072C"/>
    <w:rsid w:val="3B4714BE"/>
    <w:rsid w:val="3B580EF0"/>
    <w:rsid w:val="3B620668"/>
    <w:rsid w:val="3B6A4AC8"/>
    <w:rsid w:val="3B7408A7"/>
    <w:rsid w:val="3B791E93"/>
    <w:rsid w:val="3B795F11"/>
    <w:rsid w:val="3B796025"/>
    <w:rsid w:val="3B7D7DF9"/>
    <w:rsid w:val="3B831851"/>
    <w:rsid w:val="3B8561E0"/>
    <w:rsid w:val="3B86522B"/>
    <w:rsid w:val="3B867987"/>
    <w:rsid w:val="3B8873B9"/>
    <w:rsid w:val="3B97203F"/>
    <w:rsid w:val="3B9E6CA7"/>
    <w:rsid w:val="3BA932F2"/>
    <w:rsid w:val="3BB075EF"/>
    <w:rsid w:val="3BB43EB0"/>
    <w:rsid w:val="3BB62FD2"/>
    <w:rsid w:val="3BB80C36"/>
    <w:rsid w:val="3BBA0659"/>
    <w:rsid w:val="3BBB2DEF"/>
    <w:rsid w:val="3BCB1450"/>
    <w:rsid w:val="3BD57167"/>
    <w:rsid w:val="3BDE4FB3"/>
    <w:rsid w:val="3BE236BF"/>
    <w:rsid w:val="3BE82445"/>
    <w:rsid w:val="3BEE0835"/>
    <w:rsid w:val="3BF07AFD"/>
    <w:rsid w:val="3BF33A92"/>
    <w:rsid w:val="3BFA254C"/>
    <w:rsid w:val="3C027786"/>
    <w:rsid w:val="3C14738B"/>
    <w:rsid w:val="3C1E23F3"/>
    <w:rsid w:val="3C241C21"/>
    <w:rsid w:val="3C2E319B"/>
    <w:rsid w:val="3C3F3114"/>
    <w:rsid w:val="3C4120DA"/>
    <w:rsid w:val="3C4C027B"/>
    <w:rsid w:val="3C577B7C"/>
    <w:rsid w:val="3C5B515C"/>
    <w:rsid w:val="3C5D6D00"/>
    <w:rsid w:val="3C6338B6"/>
    <w:rsid w:val="3C636521"/>
    <w:rsid w:val="3C6C7560"/>
    <w:rsid w:val="3C752F1C"/>
    <w:rsid w:val="3C815690"/>
    <w:rsid w:val="3C825E82"/>
    <w:rsid w:val="3C844B95"/>
    <w:rsid w:val="3C860462"/>
    <w:rsid w:val="3C8D7E3A"/>
    <w:rsid w:val="3C8F2237"/>
    <w:rsid w:val="3C9568F7"/>
    <w:rsid w:val="3C99484E"/>
    <w:rsid w:val="3C997AE5"/>
    <w:rsid w:val="3CA00E03"/>
    <w:rsid w:val="3CA75871"/>
    <w:rsid w:val="3CAB661C"/>
    <w:rsid w:val="3CCD78BB"/>
    <w:rsid w:val="3CE64AA0"/>
    <w:rsid w:val="3CE81AB2"/>
    <w:rsid w:val="3CED4C9F"/>
    <w:rsid w:val="3D0A7C90"/>
    <w:rsid w:val="3D0E5DA4"/>
    <w:rsid w:val="3D10650D"/>
    <w:rsid w:val="3D167A38"/>
    <w:rsid w:val="3D1A3DC8"/>
    <w:rsid w:val="3D1D0007"/>
    <w:rsid w:val="3D1D2B74"/>
    <w:rsid w:val="3D2B0162"/>
    <w:rsid w:val="3D345001"/>
    <w:rsid w:val="3D4360CE"/>
    <w:rsid w:val="3D5D4A07"/>
    <w:rsid w:val="3D63786D"/>
    <w:rsid w:val="3D6942CE"/>
    <w:rsid w:val="3D793819"/>
    <w:rsid w:val="3D7B3DDE"/>
    <w:rsid w:val="3D7E15E5"/>
    <w:rsid w:val="3D8250CD"/>
    <w:rsid w:val="3D862874"/>
    <w:rsid w:val="3D8C60FB"/>
    <w:rsid w:val="3D99796E"/>
    <w:rsid w:val="3D9B0573"/>
    <w:rsid w:val="3D9C7248"/>
    <w:rsid w:val="3D9E6D16"/>
    <w:rsid w:val="3DA3007C"/>
    <w:rsid w:val="3DAA147F"/>
    <w:rsid w:val="3DAC6C1D"/>
    <w:rsid w:val="3DB14ED8"/>
    <w:rsid w:val="3DC132D5"/>
    <w:rsid w:val="3DC4442C"/>
    <w:rsid w:val="3DCB2DA5"/>
    <w:rsid w:val="3DD1091C"/>
    <w:rsid w:val="3DD44CAB"/>
    <w:rsid w:val="3DDC77B6"/>
    <w:rsid w:val="3DF40D76"/>
    <w:rsid w:val="3DFD7A79"/>
    <w:rsid w:val="3DFD7D15"/>
    <w:rsid w:val="3E15275A"/>
    <w:rsid w:val="3E1C06C1"/>
    <w:rsid w:val="3E243F69"/>
    <w:rsid w:val="3E2D2174"/>
    <w:rsid w:val="3E330175"/>
    <w:rsid w:val="3E383001"/>
    <w:rsid w:val="3E3A4A1E"/>
    <w:rsid w:val="3E40777B"/>
    <w:rsid w:val="3E5B2379"/>
    <w:rsid w:val="3E5E576C"/>
    <w:rsid w:val="3E630EEB"/>
    <w:rsid w:val="3E642A25"/>
    <w:rsid w:val="3E6671E3"/>
    <w:rsid w:val="3E686B07"/>
    <w:rsid w:val="3E691DE9"/>
    <w:rsid w:val="3E6E004F"/>
    <w:rsid w:val="3E7374C8"/>
    <w:rsid w:val="3E7964D0"/>
    <w:rsid w:val="3E9125D0"/>
    <w:rsid w:val="3E917CAE"/>
    <w:rsid w:val="3EA813D9"/>
    <w:rsid w:val="3EAF2945"/>
    <w:rsid w:val="3EB56DDC"/>
    <w:rsid w:val="3EB63CD3"/>
    <w:rsid w:val="3EC0386C"/>
    <w:rsid w:val="3EC70078"/>
    <w:rsid w:val="3ECA695C"/>
    <w:rsid w:val="3EE1687A"/>
    <w:rsid w:val="3EFD07CC"/>
    <w:rsid w:val="3EFD33C8"/>
    <w:rsid w:val="3EFD75C2"/>
    <w:rsid w:val="3EFF5C17"/>
    <w:rsid w:val="3F165ACD"/>
    <w:rsid w:val="3F1A66C0"/>
    <w:rsid w:val="3F1E36DD"/>
    <w:rsid w:val="3F237A6E"/>
    <w:rsid w:val="3F243F14"/>
    <w:rsid w:val="3F2700F9"/>
    <w:rsid w:val="3F28013D"/>
    <w:rsid w:val="3F2A3CF2"/>
    <w:rsid w:val="3F2A6973"/>
    <w:rsid w:val="3F2A7A9E"/>
    <w:rsid w:val="3F3816B8"/>
    <w:rsid w:val="3F39370C"/>
    <w:rsid w:val="3F43088C"/>
    <w:rsid w:val="3F481BC1"/>
    <w:rsid w:val="3F4E20AD"/>
    <w:rsid w:val="3F512E02"/>
    <w:rsid w:val="3F536583"/>
    <w:rsid w:val="3F5543D8"/>
    <w:rsid w:val="3F6A66BE"/>
    <w:rsid w:val="3F6D4F87"/>
    <w:rsid w:val="3F70151F"/>
    <w:rsid w:val="3F826A24"/>
    <w:rsid w:val="3F8278B7"/>
    <w:rsid w:val="3F8951C8"/>
    <w:rsid w:val="3F9721BB"/>
    <w:rsid w:val="3F9B06C8"/>
    <w:rsid w:val="3FA36AFF"/>
    <w:rsid w:val="3FA70B17"/>
    <w:rsid w:val="3FA77D26"/>
    <w:rsid w:val="3FB77B04"/>
    <w:rsid w:val="3FBE55A0"/>
    <w:rsid w:val="3FC264A8"/>
    <w:rsid w:val="3FC52F9D"/>
    <w:rsid w:val="3FF04570"/>
    <w:rsid w:val="3FF144AF"/>
    <w:rsid w:val="3FF62716"/>
    <w:rsid w:val="3FF74895"/>
    <w:rsid w:val="4018669D"/>
    <w:rsid w:val="401F2221"/>
    <w:rsid w:val="40281723"/>
    <w:rsid w:val="404B1AEA"/>
    <w:rsid w:val="405377AA"/>
    <w:rsid w:val="40610FCA"/>
    <w:rsid w:val="40611797"/>
    <w:rsid w:val="40634ECC"/>
    <w:rsid w:val="406843B9"/>
    <w:rsid w:val="406A30DC"/>
    <w:rsid w:val="406A681D"/>
    <w:rsid w:val="406E36C0"/>
    <w:rsid w:val="40722568"/>
    <w:rsid w:val="40742C65"/>
    <w:rsid w:val="40791DA2"/>
    <w:rsid w:val="408D3E80"/>
    <w:rsid w:val="409116EA"/>
    <w:rsid w:val="40A34C82"/>
    <w:rsid w:val="40A43FE1"/>
    <w:rsid w:val="40A83B1E"/>
    <w:rsid w:val="40C34BD8"/>
    <w:rsid w:val="40CE47E2"/>
    <w:rsid w:val="40D13030"/>
    <w:rsid w:val="40D93256"/>
    <w:rsid w:val="40D9688C"/>
    <w:rsid w:val="40DB1FE6"/>
    <w:rsid w:val="40E31351"/>
    <w:rsid w:val="40EC6E66"/>
    <w:rsid w:val="40F302B7"/>
    <w:rsid w:val="4104684E"/>
    <w:rsid w:val="410755F9"/>
    <w:rsid w:val="410F49D4"/>
    <w:rsid w:val="411114C8"/>
    <w:rsid w:val="4119678C"/>
    <w:rsid w:val="41347008"/>
    <w:rsid w:val="41391F47"/>
    <w:rsid w:val="41393C65"/>
    <w:rsid w:val="413971A5"/>
    <w:rsid w:val="413F4E7F"/>
    <w:rsid w:val="4145192B"/>
    <w:rsid w:val="41482341"/>
    <w:rsid w:val="414B1EF4"/>
    <w:rsid w:val="415B5029"/>
    <w:rsid w:val="415B7FF5"/>
    <w:rsid w:val="417148FA"/>
    <w:rsid w:val="41755FA3"/>
    <w:rsid w:val="41771595"/>
    <w:rsid w:val="41804905"/>
    <w:rsid w:val="41884551"/>
    <w:rsid w:val="418C0A60"/>
    <w:rsid w:val="419378A9"/>
    <w:rsid w:val="41957388"/>
    <w:rsid w:val="41A72195"/>
    <w:rsid w:val="41AE6E4B"/>
    <w:rsid w:val="41B24A7B"/>
    <w:rsid w:val="41B468DE"/>
    <w:rsid w:val="41BB3CE8"/>
    <w:rsid w:val="41DB7BD7"/>
    <w:rsid w:val="41E30A3B"/>
    <w:rsid w:val="41F231F5"/>
    <w:rsid w:val="41F36599"/>
    <w:rsid w:val="41F40494"/>
    <w:rsid w:val="41F6001D"/>
    <w:rsid w:val="42002A64"/>
    <w:rsid w:val="42093900"/>
    <w:rsid w:val="420A7883"/>
    <w:rsid w:val="4210751D"/>
    <w:rsid w:val="422A188F"/>
    <w:rsid w:val="42380AE0"/>
    <w:rsid w:val="423C4087"/>
    <w:rsid w:val="423F4D7A"/>
    <w:rsid w:val="42405ABD"/>
    <w:rsid w:val="424138A8"/>
    <w:rsid w:val="42563313"/>
    <w:rsid w:val="4257097C"/>
    <w:rsid w:val="42596E05"/>
    <w:rsid w:val="4267417A"/>
    <w:rsid w:val="4268798D"/>
    <w:rsid w:val="428502CC"/>
    <w:rsid w:val="428B4A24"/>
    <w:rsid w:val="42995A3F"/>
    <w:rsid w:val="42A0120B"/>
    <w:rsid w:val="42A11FCD"/>
    <w:rsid w:val="42B212F4"/>
    <w:rsid w:val="42B478DD"/>
    <w:rsid w:val="42B90FDF"/>
    <w:rsid w:val="42BD0A76"/>
    <w:rsid w:val="42CA39CC"/>
    <w:rsid w:val="42CE4CFD"/>
    <w:rsid w:val="42CF4571"/>
    <w:rsid w:val="42D2280E"/>
    <w:rsid w:val="42D46B3E"/>
    <w:rsid w:val="42D87799"/>
    <w:rsid w:val="42E87780"/>
    <w:rsid w:val="42EB560F"/>
    <w:rsid w:val="42EE5315"/>
    <w:rsid w:val="42FF604A"/>
    <w:rsid w:val="43005CF3"/>
    <w:rsid w:val="432307B8"/>
    <w:rsid w:val="432C5234"/>
    <w:rsid w:val="433504EC"/>
    <w:rsid w:val="43484D94"/>
    <w:rsid w:val="434A2A99"/>
    <w:rsid w:val="434C69BA"/>
    <w:rsid w:val="435E4D66"/>
    <w:rsid w:val="43747266"/>
    <w:rsid w:val="439C0E22"/>
    <w:rsid w:val="43A85312"/>
    <w:rsid w:val="43AA79A0"/>
    <w:rsid w:val="43AB43BB"/>
    <w:rsid w:val="43AB619F"/>
    <w:rsid w:val="43B04A11"/>
    <w:rsid w:val="43B34A14"/>
    <w:rsid w:val="43C11135"/>
    <w:rsid w:val="43C44684"/>
    <w:rsid w:val="43CC44BC"/>
    <w:rsid w:val="43CF52C1"/>
    <w:rsid w:val="43E50164"/>
    <w:rsid w:val="43E8720C"/>
    <w:rsid w:val="43F0237E"/>
    <w:rsid w:val="43F17A3F"/>
    <w:rsid w:val="43F37463"/>
    <w:rsid w:val="44015D5A"/>
    <w:rsid w:val="440B6F56"/>
    <w:rsid w:val="441E193A"/>
    <w:rsid w:val="442C6060"/>
    <w:rsid w:val="44564F18"/>
    <w:rsid w:val="445B3487"/>
    <w:rsid w:val="446D6D8C"/>
    <w:rsid w:val="446F72EB"/>
    <w:rsid w:val="4471268A"/>
    <w:rsid w:val="447200DB"/>
    <w:rsid w:val="4474621F"/>
    <w:rsid w:val="447A4D50"/>
    <w:rsid w:val="4497746C"/>
    <w:rsid w:val="44BB0728"/>
    <w:rsid w:val="44CF4F13"/>
    <w:rsid w:val="44D53D34"/>
    <w:rsid w:val="44FE5FCC"/>
    <w:rsid w:val="4504461A"/>
    <w:rsid w:val="450665E4"/>
    <w:rsid w:val="451970F2"/>
    <w:rsid w:val="451C6731"/>
    <w:rsid w:val="452151CC"/>
    <w:rsid w:val="452C1E85"/>
    <w:rsid w:val="454A6B04"/>
    <w:rsid w:val="45591557"/>
    <w:rsid w:val="456D6663"/>
    <w:rsid w:val="457113D5"/>
    <w:rsid w:val="457350AD"/>
    <w:rsid w:val="45855428"/>
    <w:rsid w:val="458F482B"/>
    <w:rsid w:val="45927E77"/>
    <w:rsid w:val="459F7B97"/>
    <w:rsid w:val="45A35BE1"/>
    <w:rsid w:val="45A77973"/>
    <w:rsid w:val="45A85EC5"/>
    <w:rsid w:val="45BC4EF4"/>
    <w:rsid w:val="45BF48E3"/>
    <w:rsid w:val="45CC5D38"/>
    <w:rsid w:val="45E834D9"/>
    <w:rsid w:val="45EC40EF"/>
    <w:rsid w:val="45ED70D7"/>
    <w:rsid w:val="45F865C3"/>
    <w:rsid w:val="45F941AD"/>
    <w:rsid w:val="4600101B"/>
    <w:rsid w:val="46054AED"/>
    <w:rsid w:val="460752BF"/>
    <w:rsid w:val="460A7B01"/>
    <w:rsid w:val="460E0826"/>
    <w:rsid w:val="460F04D1"/>
    <w:rsid w:val="4614088C"/>
    <w:rsid w:val="461A005D"/>
    <w:rsid w:val="46276842"/>
    <w:rsid w:val="462B55DF"/>
    <w:rsid w:val="464B364C"/>
    <w:rsid w:val="465024ED"/>
    <w:rsid w:val="46561E73"/>
    <w:rsid w:val="46603AD2"/>
    <w:rsid w:val="46613A18"/>
    <w:rsid w:val="466249C1"/>
    <w:rsid w:val="466845DF"/>
    <w:rsid w:val="466B2BA2"/>
    <w:rsid w:val="466B5C17"/>
    <w:rsid w:val="46750B87"/>
    <w:rsid w:val="467D53CC"/>
    <w:rsid w:val="4684519D"/>
    <w:rsid w:val="469B6176"/>
    <w:rsid w:val="46A31F69"/>
    <w:rsid w:val="46AB0F2E"/>
    <w:rsid w:val="46BA0AE4"/>
    <w:rsid w:val="46C652B5"/>
    <w:rsid w:val="46CF0511"/>
    <w:rsid w:val="46D67190"/>
    <w:rsid w:val="46D77695"/>
    <w:rsid w:val="46E2638A"/>
    <w:rsid w:val="46EE05BA"/>
    <w:rsid w:val="46F275B1"/>
    <w:rsid w:val="46F426A6"/>
    <w:rsid w:val="46F74432"/>
    <w:rsid w:val="46FF1765"/>
    <w:rsid w:val="47057016"/>
    <w:rsid w:val="470A4C83"/>
    <w:rsid w:val="470B229E"/>
    <w:rsid w:val="470D1D50"/>
    <w:rsid w:val="471950D2"/>
    <w:rsid w:val="471E6D67"/>
    <w:rsid w:val="471F5A51"/>
    <w:rsid w:val="472D1983"/>
    <w:rsid w:val="47311A17"/>
    <w:rsid w:val="474030EF"/>
    <w:rsid w:val="47420C20"/>
    <w:rsid w:val="47617B01"/>
    <w:rsid w:val="47622DDA"/>
    <w:rsid w:val="47830D88"/>
    <w:rsid w:val="47903C12"/>
    <w:rsid w:val="47952CBA"/>
    <w:rsid w:val="479563F9"/>
    <w:rsid w:val="479954ED"/>
    <w:rsid w:val="479A538E"/>
    <w:rsid w:val="47B9714D"/>
    <w:rsid w:val="47C375FF"/>
    <w:rsid w:val="47C53AD9"/>
    <w:rsid w:val="47EC1AC1"/>
    <w:rsid w:val="47F04581"/>
    <w:rsid w:val="47F06201"/>
    <w:rsid w:val="47F57539"/>
    <w:rsid w:val="47FD41F8"/>
    <w:rsid w:val="47FE044E"/>
    <w:rsid w:val="481A7D3C"/>
    <w:rsid w:val="482821D7"/>
    <w:rsid w:val="48295D4D"/>
    <w:rsid w:val="48385359"/>
    <w:rsid w:val="4840706E"/>
    <w:rsid w:val="485A2803"/>
    <w:rsid w:val="4860040C"/>
    <w:rsid w:val="486E7947"/>
    <w:rsid w:val="48737F8D"/>
    <w:rsid w:val="487A2EB8"/>
    <w:rsid w:val="487B1097"/>
    <w:rsid w:val="488229AD"/>
    <w:rsid w:val="488368E6"/>
    <w:rsid w:val="489B5CC4"/>
    <w:rsid w:val="489D11EF"/>
    <w:rsid w:val="489D2DBB"/>
    <w:rsid w:val="48CC25EA"/>
    <w:rsid w:val="48D76F3B"/>
    <w:rsid w:val="48DA7B6B"/>
    <w:rsid w:val="48DC7D87"/>
    <w:rsid w:val="48E94252"/>
    <w:rsid w:val="48EE1812"/>
    <w:rsid w:val="48F54838"/>
    <w:rsid w:val="48F73C08"/>
    <w:rsid w:val="49025FD5"/>
    <w:rsid w:val="491A08B0"/>
    <w:rsid w:val="491A1574"/>
    <w:rsid w:val="491A5601"/>
    <w:rsid w:val="491F1768"/>
    <w:rsid w:val="491F7D43"/>
    <w:rsid w:val="4921579A"/>
    <w:rsid w:val="492F6C0B"/>
    <w:rsid w:val="495327EC"/>
    <w:rsid w:val="49542C6C"/>
    <w:rsid w:val="495530D6"/>
    <w:rsid w:val="495F7043"/>
    <w:rsid w:val="49607886"/>
    <w:rsid w:val="496E6C2A"/>
    <w:rsid w:val="49736344"/>
    <w:rsid w:val="49871C60"/>
    <w:rsid w:val="49885819"/>
    <w:rsid w:val="498A6E18"/>
    <w:rsid w:val="499B7CE5"/>
    <w:rsid w:val="49AE6947"/>
    <w:rsid w:val="49B167F4"/>
    <w:rsid w:val="49B2690A"/>
    <w:rsid w:val="49B8464B"/>
    <w:rsid w:val="49BF5A16"/>
    <w:rsid w:val="49C314D8"/>
    <w:rsid w:val="49C74BA5"/>
    <w:rsid w:val="49CA4084"/>
    <w:rsid w:val="49D036BB"/>
    <w:rsid w:val="49E14DBC"/>
    <w:rsid w:val="49E946FD"/>
    <w:rsid w:val="49EC6DF5"/>
    <w:rsid w:val="49F64E79"/>
    <w:rsid w:val="4A0965A4"/>
    <w:rsid w:val="4A1B4CA1"/>
    <w:rsid w:val="4A1D01EE"/>
    <w:rsid w:val="4A2D7E9A"/>
    <w:rsid w:val="4A2E7F67"/>
    <w:rsid w:val="4A496A0D"/>
    <w:rsid w:val="4A4D0B37"/>
    <w:rsid w:val="4A5539C2"/>
    <w:rsid w:val="4A574CDF"/>
    <w:rsid w:val="4A5F7B46"/>
    <w:rsid w:val="4A653438"/>
    <w:rsid w:val="4A691907"/>
    <w:rsid w:val="4A6C1751"/>
    <w:rsid w:val="4A7851B9"/>
    <w:rsid w:val="4A7C7D52"/>
    <w:rsid w:val="4A8A6F14"/>
    <w:rsid w:val="4A966F56"/>
    <w:rsid w:val="4A9767E0"/>
    <w:rsid w:val="4A9B351E"/>
    <w:rsid w:val="4A9D675E"/>
    <w:rsid w:val="4AA76173"/>
    <w:rsid w:val="4AAE77BC"/>
    <w:rsid w:val="4AC767D0"/>
    <w:rsid w:val="4AD07A74"/>
    <w:rsid w:val="4AD277B7"/>
    <w:rsid w:val="4ADF7E93"/>
    <w:rsid w:val="4AEE2EE5"/>
    <w:rsid w:val="4AF13714"/>
    <w:rsid w:val="4AF34F14"/>
    <w:rsid w:val="4AF409A8"/>
    <w:rsid w:val="4AF82AE8"/>
    <w:rsid w:val="4AFA4F53"/>
    <w:rsid w:val="4B054607"/>
    <w:rsid w:val="4B152511"/>
    <w:rsid w:val="4B164EE0"/>
    <w:rsid w:val="4B180E1F"/>
    <w:rsid w:val="4B1D6F30"/>
    <w:rsid w:val="4B206E4C"/>
    <w:rsid w:val="4B226BBF"/>
    <w:rsid w:val="4B2B56C8"/>
    <w:rsid w:val="4B354FA4"/>
    <w:rsid w:val="4B3660BD"/>
    <w:rsid w:val="4B3D06FE"/>
    <w:rsid w:val="4B3F12E1"/>
    <w:rsid w:val="4B417ACE"/>
    <w:rsid w:val="4B4732B4"/>
    <w:rsid w:val="4B4B7ED3"/>
    <w:rsid w:val="4B4E758E"/>
    <w:rsid w:val="4B555BCF"/>
    <w:rsid w:val="4B5856BF"/>
    <w:rsid w:val="4B5A424D"/>
    <w:rsid w:val="4B6B53F2"/>
    <w:rsid w:val="4B7D0E01"/>
    <w:rsid w:val="4B7E1E6F"/>
    <w:rsid w:val="4B7F457A"/>
    <w:rsid w:val="4B894F4C"/>
    <w:rsid w:val="4B8A43BC"/>
    <w:rsid w:val="4B956778"/>
    <w:rsid w:val="4B99076C"/>
    <w:rsid w:val="4B996A69"/>
    <w:rsid w:val="4B9D68D1"/>
    <w:rsid w:val="4BA10E7D"/>
    <w:rsid w:val="4BA31A6D"/>
    <w:rsid w:val="4BAC58B0"/>
    <w:rsid w:val="4BB317B3"/>
    <w:rsid w:val="4BC31D75"/>
    <w:rsid w:val="4BC63C7A"/>
    <w:rsid w:val="4BCA078C"/>
    <w:rsid w:val="4BCE0048"/>
    <w:rsid w:val="4BD05154"/>
    <w:rsid w:val="4BEC63F7"/>
    <w:rsid w:val="4BF10BD1"/>
    <w:rsid w:val="4BF4023C"/>
    <w:rsid w:val="4BF807F0"/>
    <w:rsid w:val="4C11084C"/>
    <w:rsid w:val="4C1438B5"/>
    <w:rsid w:val="4C156DA6"/>
    <w:rsid w:val="4C16772C"/>
    <w:rsid w:val="4C1E06B7"/>
    <w:rsid w:val="4C1E2886"/>
    <w:rsid w:val="4C312198"/>
    <w:rsid w:val="4C3351E5"/>
    <w:rsid w:val="4C3420FA"/>
    <w:rsid w:val="4C365B39"/>
    <w:rsid w:val="4C3A37FA"/>
    <w:rsid w:val="4C3E6C4F"/>
    <w:rsid w:val="4C421BFD"/>
    <w:rsid w:val="4C4938BF"/>
    <w:rsid w:val="4C543864"/>
    <w:rsid w:val="4C5B71D8"/>
    <w:rsid w:val="4C664118"/>
    <w:rsid w:val="4C6F179A"/>
    <w:rsid w:val="4C720D9C"/>
    <w:rsid w:val="4C751772"/>
    <w:rsid w:val="4C792BCA"/>
    <w:rsid w:val="4C7E4CB1"/>
    <w:rsid w:val="4C8A72B7"/>
    <w:rsid w:val="4C8F0BFD"/>
    <w:rsid w:val="4C904A90"/>
    <w:rsid w:val="4C97708B"/>
    <w:rsid w:val="4CA03C8F"/>
    <w:rsid w:val="4CB727EE"/>
    <w:rsid w:val="4CBA05DC"/>
    <w:rsid w:val="4CBE1982"/>
    <w:rsid w:val="4CBE503D"/>
    <w:rsid w:val="4CBE6E22"/>
    <w:rsid w:val="4CBF1B81"/>
    <w:rsid w:val="4CC86840"/>
    <w:rsid w:val="4CD40875"/>
    <w:rsid w:val="4CD85B68"/>
    <w:rsid w:val="4CE247B5"/>
    <w:rsid w:val="4CE90CC5"/>
    <w:rsid w:val="4CF23438"/>
    <w:rsid w:val="4CF86ECB"/>
    <w:rsid w:val="4CFD720B"/>
    <w:rsid w:val="4D2073A6"/>
    <w:rsid w:val="4D253A5C"/>
    <w:rsid w:val="4D261C4E"/>
    <w:rsid w:val="4D286140"/>
    <w:rsid w:val="4D2A0C44"/>
    <w:rsid w:val="4D2C6E03"/>
    <w:rsid w:val="4D2D39E4"/>
    <w:rsid w:val="4D3101B5"/>
    <w:rsid w:val="4D4C3002"/>
    <w:rsid w:val="4D5530C3"/>
    <w:rsid w:val="4D650837"/>
    <w:rsid w:val="4D744CE9"/>
    <w:rsid w:val="4D8D3197"/>
    <w:rsid w:val="4D9041B3"/>
    <w:rsid w:val="4D9E385D"/>
    <w:rsid w:val="4D9F07FA"/>
    <w:rsid w:val="4DA00167"/>
    <w:rsid w:val="4DAA7A14"/>
    <w:rsid w:val="4DAB5028"/>
    <w:rsid w:val="4DB34559"/>
    <w:rsid w:val="4DB766CD"/>
    <w:rsid w:val="4DB8756B"/>
    <w:rsid w:val="4DC154CC"/>
    <w:rsid w:val="4DC15D1F"/>
    <w:rsid w:val="4DCB18C1"/>
    <w:rsid w:val="4DD439A7"/>
    <w:rsid w:val="4DE04AE6"/>
    <w:rsid w:val="4DE1374A"/>
    <w:rsid w:val="4DEB51B5"/>
    <w:rsid w:val="4DF668B2"/>
    <w:rsid w:val="4DFF09A0"/>
    <w:rsid w:val="4E07493D"/>
    <w:rsid w:val="4E0776F6"/>
    <w:rsid w:val="4E096529"/>
    <w:rsid w:val="4E0D2791"/>
    <w:rsid w:val="4E186470"/>
    <w:rsid w:val="4E1A0209"/>
    <w:rsid w:val="4E1A5FFB"/>
    <w:rsid w:val="4E1C751C"/>
    <w:rsid w:val="4E1E4B25"/>
    <w:rsid w:val="4E2C5FDF"/>
    <w:rsid w:val="4E370188"/>
    <w:rsid w:val="4E430115"/>
    <w:rsid w:val="4E507DD1"/>
    <w:rsid w:val="4E514C58"/>
    <w:rsid w:val="4E573A0C"/>
    <w:rsid w:val="4E5D3B61"/>
    <w:rsid w:val="4E646C2D"/>
    <w:rsid w:val="4E71191B"/>
    <w:rsid w:val="4E802F63"/>
    <w:rsid w:val="4E876EB9"/>
    <w:rsid w:val="4E93713A"/>
    <w:rsid w:val="4E944C60"/>
    <w:rsid w:val="4E9C6CE6"/>
    <w:rsid w:val="4EAA7FE0"/>
    <w:rsid w:val="4EB22368"/>
    <w:rsid w:val="4EB51FA9"/>
    <w:rsid w:val="4EB676AE"/>
    <w:rsid w:val="4ED34537"/>
    <w:rsid w:val="4EDA3A74"/>
    <w:rsid w:val="4EDC0CE8"/>
    <w:rsid w:val="4EE26A6E"/>
    <w:rsid w:val="4EE2777A"/>
    <w:rsid w:val="4EE71234"/>
    <w:rsid w:val="4EE95C6E"/>
    <w:rsid w:val="4EF645BF"/>
    <w:rsid w:val="4EFE20DA"/>
    <w:rsid w:val="4F0562C9"/>
    <w:rsid w:val="4F10619D"/>
    <w:rsid w:val="4F1E20DE"/>
    <w:rsid w:val="4F2146E2"/>
    <w:rsid w:val="4F2B366E"/>
    <w:rsid w:val="4F2E0BD3"/>
    <w:rsid w:val="4F3C27E5"/>
    <w:rsid w:val="4F400944"/>
    <w:rsid w:val="4F5E18FC"/>
    <w:rsid w:val="4F5F7D60"/>
    <w:rsid w:val="4F6071FE"/>
    <w:rsid w:val="4F7912A9"/>
    <w:rsid w:val="4F8226B3"/>
    <w:rsid w:val="4F992EEB"/>
    <w:rsid w:val="4FA52D06"/>
    <w:rsid w:val="4FA8016D"/>
    <w:rsid w:val="4FB0267F"/>
    <w:rsid w:val="4FB43B3C"/>
    <w:rsid w:val="4FB664DE"/>
    <w:rsid w:val="4FBA0F18"/>
    <w:rsid w:val="4FC26522"/>
    <w:rsid w:val="4FC80CAE"/>
    <w:rsid w:val="4FD50C78"/>
    <w:rsid w:val="4FDB3136"/>
    <w:rsid w:val="4FDC68BF"/>
    <w:rsid w:val="4FDD7642"/>
    <w:rsid w:val="4FE33CB0"/>
    <w:rsid w:val="4FE739DA"/>
    <w:rsid w:val="4FEB3DAF"/>
    <w:rsid w:val="4FEF52AC"/>
    <w:rsid w:val="4FF1781F"/>
    <w:rsid w:val="4FF477E2"/>
    <w:rsid w:val="4FFC4AC4"/>
    <w:rsid w:val="50027E7F"/>
    <w:rsid w:val="501016C4"/>
    <w:rsid w:val="5014611F"/>
    <w:rsid w:val="503E5621"/>
    <w:rsid w:val="5042076E"/>
    <w:rsid w:val="504804ED"/>
    <w:rsid w:val="50506965"/>
    <w:rsid w:val="50574197"/>
    <w:rsid w:val="5062495F"/>
    <w:rsid w:val="506B4F24"/>
    <w:rsid w:val="5074523D"/>
    <w:rsid w:val="50812FC2"/>
    <w:rsid w:val="508F1684"/>
    <w:rsid w:val="5092001C"/>
    <w:rsid w:val="50AA5763"/>
    <w:rsid w:val="50AF3C55"/>
    <w:rsid w:val="50B07949"/>
    <w:rsid w:val="50C7080D"/>
    <w:rsid w:val="50C73878"/>
    <w:rsid w:val="50CB3DC7"/>
    <w:rsid w:val="50CC7C35"/>
    <w:rsid w:val="50D10000"/>
    <w:rsid w:val="50D47596"/>
    <w:rsid w:val="50D85476"/>
    <w:rsid w:val="50D94F2A"/>
    <w:rsid w:val="50E079F5"/>
    <w:rsid w:val="50E9760B"/>
    <w:rsid w:val="50F02F6A"/>
    <w:rsid w:val="50F3008B"/>
    <w:rsid w:val="50FF1647"/>
    <w:rsid w:val="5108605D"/>
    <w:rsid w:val="510D2032"/>
    <w:rsid w:val="511539E0"/>
    <w:rsid w:val="5116362F"/>
    <w:rsid w:val="51255162"/>
    <w:rsid w:val="51265EB2"/>
    <w:rsid w:val="512A50F8"/>
    <w:rsid w:val="513C020D"/>
    <w:rsid w:val="513D4CD6"/>
    <w:rsid w:val="51474276"/>
    <w:rsid w:val="514C2E78"/>
    <w:rsid w:val="514C46DF"/>
    <w:rsid w:val="515A51CD"/>
    <w:rsid w:val="51634089"/>
    <w:rsid w:val="51671CAC"/>
    <w:rsid w:val="51792648"/>
    <w:rsid w:val="517E166E"/>
    <w:rsid w:val="518014CC"/>
    <w:rsid w:val="518A33B1"/>
    <w:rsid w:val="518B7BF7"/>
    <w:rsid w:val="518C24BA"/>
    <w:rsid w:val="51925273"/>
    <w:rsid w:val="5196484B"/>
    <w:rsid w:val="51976803"/>
    <w:rsid w:val="51991216"/>
    <w:rsid w:val="519A7F5E"/>
    <w:rsid w:val="51A32213"/>
    <w:rsid w:val="51AA4FCF"/>
    <w:rsid w:val="51C01125"/>
    <w:rsid w:val="51C25640"/>
    <w:rsid w:val="51CB1F68"/>
    <w:rsid w:val="51D4086D"/>
    <w:rsid w:val="51D80CF5"/>
    <w:rsid w:val="51D92F0B"/>
    <w:rsid w:val="51DE48E4"/>
    <w:rsid w:val="51E036FC"/>
    <w:rsid w:val="51E643BE"/>
    <w:rsid w:val="51EC62B4"/>
    <w:rsid w:val="51ED6B61"/>
    <w:rsid w:val="51F003FF"/>
    <w:rsid w:val="51F726AE"/>
    <w:rsid w:val="51FD7537"/>
    <w:rsid w:val="52060538"/>
    <w:rsid w:val="520666B5"/>
    <w:rsid w:val="52101F48"/>
    <w:rsid w:val="52155260"/>
    <w:rsid w:val="52187BB5"/>
    <w:rsid w:val="521B05E4"/>
    <w:rsid w:val="5223209C"/>
    <w:rsid w:val="522633D6"/>
    <w:rsid w:val="52334EC8"/>
    <w:rsid w:val="523773BE"/>
    <w:rsid w:val="52514524"/>
    <w:rsid w:val="525318BD"/>
    <w:rsid w:val="52535CEB"/>
    <w:rsid w:val="525440CA"/>
    <w:rsid w:val="528A0854"/>
    <w:rsid w:val="52AE13BB"/>
    <w:rsid w:val="52AF066A"/>
    <w:rsid w:val="52B50C16"/>
    <w:rsid w:val="52E06BD9"/>
    <w:rsid w:val="53017BB3"/>
    <w:rsid w:val="53042CC0"/>
    <w:rsid w:val="532144EF"/>
    <w:rsid w:val="53241072"/>
    <w:rsid w:val="53311227"/>
    <w:rsid w:val="533B5BC1"/>
    <w:rsid w:val="533C3676"/>
    <w:rsid w:val="533C7C57"/>
    <w:rsid w:val="534170E9"/>
    <w:rsid w:val="53724C6E"/>
    <w:rsid w:val="53733096"/>
    <w:rsid w:val="5375284D"/>
    <w:rsid w:val="5383458F"/>
    <w:rsid w:val="53837051"/>
    <w:rsid w:val="53912319"/>
    <w:rsid w:val="5397404D"/>
    <w:rsid w:val="53983F1E"/>
    <w:rsid w:val="53986FA3"/>
    <w:rsid w:val="53A72C0C"/>
    <w:rsid w:val="53AD7236"/>
    <w:rsid w:val="53B37933"/>
    <w:rsid w:val="53BB67EB"/>
    <w:rsid w:val="53BC2C40"/>
    <w:rsid w:val="53C320F1"/>
    <w:rsid w:val="53C71341"/>
    <w:rsid w:val="53D157EF"/>
    <w:rsid w:val="53DC0DD4"/>
    <w:rsid w:val="53DF5906"/>
    <w:rsid w:val="53E82CC7"/>
    <w:rsid w:val="53F31933"/>
    <w:rsid w:val="53F36646"/>
    <w:rsid w:val="53FD6091"/>
    <w:rsid w:val="53FF0DCE"/>
    <w:rsid w:val="540503C7"/>
    <w:rsid w:val="54175D93"/>
    <w:rsid w:val="541F18C1"/>
    <w:rsid w:val="54277358"/>
    <w:rsid w:val="543D7401"/>
    <w:rsid w:val="544A24A5"/>
    <w:rsid w:val="545729B8"/>
    <w:rsid w:val="545B76BA"/>
    <w:rsid w:val="54602645"/>
    <w:rsid w:val="546E3F61"/>
    <w:rsid w:val="54703ABE"/>
    <w:rsid w:val="547970B4"/>
    <w:rsid w:val="5494384C"/>
    <w:rsid w:val="54AC7A9E"/>
    <w:rsid w:val="54B95A12"/>
    <w:rsid w:val="54BA1871"/>
    <w:rsid w:val="54BD5DEB"/>
    <w:rsid w:val="54CB581D"/>
    <w:rsid w:val="54D2259C"/>
    <w:rsid w:val="54D50CC7"/>
    <w:rsid w:val="54D81A1F"/>
    <w:rsid w:val="54DE328A"/>
    <w:rsid w:val="54E12D13"/>
    <w:rsid w:val="54F7393C"/>
    <w:rsid w:val="54F8422C"/>
    <w:rsid w:val="54FA540D"/>
    <w:rsid w:val="54FA56F8"/>
    <w:rsid w:val="54FC3AEF"/>
    <w:rsid w:val="54FC53FB"/>
    <w:rsid w:val="54FE4DAE"/>
    <w:rsid w:val="550F2CAD"/>
    <w:rsid w:val="55170E34"/>
    <w:rsid w:val="551968FD"/>
    <w:rsid w:val="551B5793"/>
    <w:rsid w:val="551D5953"/>
    <w:rsid w:val="551E34D6"/>
    <w:rsid w:val="55235204"/>
    <w:rsid w:val="55282DCE"/>
    <w:rsid w:val="552A4083"/>
    <w:rsid w:val="5531145B"/>
    <w:rsid w:val="553920BD"/>
    <w:rsid w:val="553D5EA3"/>
    <w:rsid w:val="554A42CC"/>
    <w:rsid w:val="55527FE4"/>
    <w:rsid w:val="55557499"/>
    <w:rsid w:val="555B248C"/>
    <w:rsid w:val="555E1762"/>
    <w:rsid w:val="555E4C1C"/>
    <w:rsid w:val="5563446F"/>
    <w:rsid w:val="55675697"/>
    <w:rsid w:val="55690BF5"/>
    <w:rsid w:val="55710E0C"/>
    <w:rsid w:val="5572445E"/>
    <w:rsid w:val="55940B41"/>
    <w:rsid w:val="55AF0131"/>
    <w:rsid w:val="55B7583C"/>
    <w:rsid w:val="55BA540A"/>
    <w:rsid w:val="55BD4A9D"/>
    <w:rsid w:val="55BE059B"/>
    <w:rsid w:val="55C37B68"/>
    <w:rsid w:val="55C37BD9"/>
    <w:rsid w:val="55C42948"/>
    <w:rsid w:val="55CB15D0"/>
    <w:rsid w:val="55D12E4D"/>
    <w:rsid w:val="55D77EC0"/>
    <w:rsid w:val="55D85F9C"/>
    <w:rsid w:val="55E63719"/>
    <w:rsid w:val="55EB096A"/>
    <w:rsid w:val="55EE3164"/>
    <w:rsid w:val="55F02B1B"/>
    <w:rsid w:val="55F26B71"/>
    <w:rsid w:val="55FA60E7"/>
    <w:rsid w:val="55FE003A"/>
    <w:rsid w:val="55FE3217"/>
    <w:rsid w:val="56016513"/>
    <w:rsid w:val="56054B46"/>
    <w:rsid w:val="560829B1"/>
    <w:rsid w:val="561E73D9"/>
    <w:rsid w:val="561F7C5A"/>
    <w:rsid w:val="562616EF"/>
    <w:rsid w:val="562D590B"/>
    <w:rsid w:val="563C1E65"/>
    <w:rsid w:val="563C2B40"/>
    <w:rsid w:val="56505911"/>
    <w:rsid w:val="5655705C"/>
    <w:rsid w:val="56575B85"/>
    <w:rsid w:val="56592415"/>
    <w:rsid w:val="566252A5"/>
    <w:rsid w:val="566E6115"/>
    <w:rsid w:val="56741395"/>
    <w:rsid w:val="567A6551"/>
    <w:rsid w:val="56837DE7"/>
    <w:rsid w:val="5684077E"/>
    <w:rsid w:val="56994EDB"/>
    <w:rsid w:val="569A06BD"/>
    <w:rsid w:val="56A57450"/>
    <w:rsid w:val="56A66ED4"/>
    <w:rsid w:val="56AF279A"/>
    <w:rsid w:val="56B7773E"/>
    <w:rsid w:val="56BE5A85"/>
    <w:rsid w:val="56C42475"/>
    <w:rsid w:val="56C97471"/>
    <w:rsid w:val="56CC0D77"/>
    <w:rsid w:val="56CC4583"/>
    <w:rsid w:val="56D115EA"/>
    <w:rsid w:val="56D15B20"/>
    <w:rsid w:val="56DD28E7"/>
    <w:rsid w:val="56DE55A3"/>
    <w:rsid w:val="56E97697"/>
    <w:rsid w:val="56EB00BB"/>
    <w:rsid w:val="56F17B70"/>
    <w:rsid w:val="56F22D87"/>
    <w:rsid w:val="56FA7D67"/>
    <w:rsid w:val="57154464"/>
    <w:rsid w:val="57167612"/>
    <w:rsid w:val="571B5F1F"/>
    <w:rsid w:val="571E33B2"/>
    <w:rsid w:val="5725723E"/>
    <w:rsid w:val="572D3B16"/>
    <w:rsid w:val="572D45AE"/>
    <w:rsid w:val="572E1691"/>
    <w:rsid w:val="573174F0"/>
    <w:rsid w:val="57336E0B"/>
    <w:rsid w:val="57394BE1"/>
    <w:rsid w:val="573B211D"/>
    <w:rsid w:val="57452EDD"/>
    <w:rsid w:val="574A4B92"/>
    <w:rsid w:val="57504462"/>
    <w:rsid w:val="57525376"/>
    <w:rsid w:val="57635D00"/>
    <w:rsid w:val="5765719A"/>
    <w:rsid w:val="576D0832"/>
    <w:rsid w:val="576D59A2"/>
    <w:rsid w:val="576F7652"/>
    <w:rsid w:val="5777520F"/>
    <w:rsid w:val="57783371"/>
    <w:rsid w:val="577F5972"/>
    <w:rsid w:val="57997B0A"/>
    <w:rsid w:val="579B129B"/>
    <w:rsid w:val="579C1A81"/>
    <w:rsid w:val="57BC1738"/>
    <w:rsid w:val="57C54B1E"/>
    <w:rsid w:val="57C82097"/>
    <w:rsid w:val="57CC73B6"/>
    <w:rsid w:val="57D315DD"/>
    <w:rsid w:val="57D63D09"/>
    <w:rsid w:val="57D85482"/>
    <w:rsid w:val="57DB56AE"/>
    <w:rsid w:val="57DC26CC"/>
    <w:rsid w:val="57FA3EAC"/>
    <w:rsid w:val="580C3AB9"/>
    <w:rsid w:val="580C43F2"/>
    <w:rsid w:val="580D17DC"/>
    <w:rsid w:val="58136BF6"/>
    <w:rsid w:val="58225F2B"/>
    <w:rsid w:val="582708F3"/>
    <w:rsid w:val="582B1737"/>
    <w:rsid w:val="582C6BB5"/>
    <w:rsid w:val="582E5A01"/>
    <w:rsid w:val="58397219"/>
    <w:rsid w:val="584277F9"/>
    <w:rsid w:val="58430786"/>
    <w:rsid w:val="58454499"/>
    <w:rsid w:val="584C33DE"/>
    <w:rsid w:val="584F1216"/>
    <w:rsid w:val="585D2E35"/>
    <w:rsid w:val="585F0EA1"/>
    <w:rsid w:val="586378E3"/>
    <w:rsid w:val="588335D2"/>
    <w:rsid w:val="58863999"/>
    <w:rsid w:val="588A208F"/>
    <w:rsid w:val="58916E1F"/>
    <w:rsid w:val="58952461"/>
    <w:rsid w:val="58952522"/>
    <w:rsid w:val="58A07806"/>
    <w:rsid w:val="58A40033"/>
    <w:rsid w:val="58A75590"/>
    <w:rsid w:val="58A81A71"/>
    <w:rsid w:val="58B947B0"/>
    <w:rsid w:val="58C0450A"/>
    <w:rsid w:val="58C310BC"/>
    <w:rsid w:val="58CA31D0"/>
    <w:rsid w:val="58CB023E"/>
    <w:rsid w:val="58D15812"/>
    <w:rsid w:val="58DA0067"/>
    <w:rsid w:val="58DA1BC5"/>
    <w:rsid w:val="58DA69C9"/>
    <w:rsid w:val="58DB477F"/>
    <w:rsid w:val="58EB4BF5"/>
    <w:rsid w:val="58ED517E"/>
    <w:rsid w:val="58F20963"/>
    <w:rsid w:val="58F97CCA"/>
    <w:rsid w:val="59056162"/>
    <w:rsid w:val="590A7F85"/>
    <w:rsid w:val="59237DBE"/>
    <w:rsid w:val="59242588"/>
    <w:rsid w:val="592B360F"/>
    <w:rsid w:val="59321F8E"/>
    <w:rsid w:val="59462EA0"/>
    <w:rsid w:val="594D25DB"/>
    <w:rsid w:val="59511A41"/>
    <w:rsid w:val="595B55AC"/>
    <w:rsid w:val="59607143"/>
    <w:rsid w:val="59677498"/>
    <w:rsid w:val="5975743C"/>
    <w:rsid w:val="597A30A0"/>
    <w:rsid w:val="59905B77"/>
    <w:rsid w:val="59942417"/>
    <w:rsid w:val="59A76237"/>
    <w:rsid w:val="59B55FE0"/>
    <w:rsid w:val="59BB30E3"/>
    <w:rsid w:val="59BC5F5A"/>
    <w:rsid w:val="59C52172"/>
    <w:rsid w:val="59C91C30"/>
    <w:rsid w:val="59D744E4"/>
    <w:rsid w:val="59DE2D2E"/>
    <w:rsid w:val="59EA7E2A"/>
    <w:rsid w:val="5A0819C2"/>
    <w:rsid w:val="5A094B17"/>
    <w:rsid w:val="5A0F209A"/>
    <w:rsid w:val="5A0F54DB"/>
    <w:rsid w:val="5A1B3DCD"/>
    <w:rsid w:val="5A1C0899"/>
    <w:rsid w:val="5A2E1969"/>
    <w:rsid w:val="5A384716"/>
    <w:rsid w:val="5A49172D"/>
    <w:rsid w:val="5A4B5243"/>
    <w:rsid w:val="5A5160F3"/>
    <w:rsid w:val="5A5B2AD6"/>
    <w:rsid w:val="5A617AC1"/>
    <w:rsid w:val="5A640DB2"/>
    <w:rsid w:val="5A8B1F6C"/>
    <w:rsid w:val="5A8F7A02"/>
    <w:rsid w:val="5AA176E8"/>
    <w:rsid w:val="5AAF3135"/>
    <w:rsid w:val="5AB3646E"/>
    <w:rsid w:val="5AB67D0C"/>
    <w:rsid w:val="5AB75C93"/>
    <w:rsid w:val="5AC32BE9"/>
    <w:rsid w:val="5AC661A1"/>
    <w:rsid w:val="5AD725EC"/>
    <w:rsid w:val="5AD75814"/>
    <w:rsid w:val="5AE44879"/>
    <w:rsid w:val="5AE61428"/>
    <w:rsid w:val="5AE623A0"/>
    <w:rsid w:val="5AEE56F8"/>
    <w:rsid w:val="5AFE4851"/>
    <w:rsid w:val="5B117D33"/>
    <w:rsid w:val="5B1B7814"/>
    <w:rsid w:val="5B246E07"/>
    <w:rsid w:val="5B3062C7"/>
    <w:rsid w:val="5B344779"/>
    <w:rsid w:val="5B346BEA"/>
    <w:rsid w:val="5B395ACA"/>
    <w:rsid w:val="5B463091"/>
    <w:rsid w:val="5B5D7EB0"/>
    <w:rsid w:val="5B6769CB"/>
    <w:rsid w:val="5B69694B"/>
    <w:rsid w:val="5B6E1F21"/>
    <w:rsid w:val="5B6F5C18"/>
    <w:rsid w:val="5B705034"/>
    <w:rsid w:val="5B7420A1"/>
    <w:rsid w:val="5B743ED1"/>
    <w:rsid w:val="5B87180D"/>
    <w:rsid w:val="5B890D56"/>
    <w:rsid w:val="5B8B15FA"/>
    <w:rsid w:val="5B9E711E"/>
    <w:rsid w:val="5BA11F89"/>
    <w:rsid w:val="5BA55976"/>
    <w:rsid w:val="5BB70D21"/>
    <w:rsid w:val="5BC21E58"/>
    <w:rsid w:val="5BC621D1"/>
    <w:rsid w:val="5BD169F4"/>
    <w:rsid w:val="5BE30723"/>
    <w:rsid w:val="5BE74621"/>
    <w:rsid w:val="5BE80399"/>
    <w:rsid w:val="5BEA1500"/>
    <w:rsid w:val="5BED20A1"/>
    <w:rsid w:val="5BEE64E7"/>
    <w:rsid w:val="5C020221"/>
    <w:rsid w:val="5C0A6D0B"/>
    <w:rsid w:val="5C171449"/>
    <w:rsid w:val="5C18338E"/>
    <w:rsid w:val="5C1B4323"/>
    <w:rsid w:val="5C216B86"/>
    <w:rsid w:val="5C2F2D92"/>
    <w:rsid w:val="5C402083"/>
    <w:rsid w:val="5C486D38"/>
    <w:rsid w:val="5C4B3A08"/>
    <w:rsid w:val="5C567273"/>
    <w:rsid w:val="5C586AE8"/>
    <w:rsid w:val="5C6A4582"/>
    <w:rsid w:val="5C8702FA"/>
    <w:rsid w:val="5C91458D"/>
    <w:rsid w:val="5C915D94"/>
    <w:rsid w:val="5C9475B0"/>
    <w:rsid w:val="5C957514"/>
    <w:rsid w:val="5CB56F9B"/>
    <w:rsid w:val="5CBB4B1C"/>
    <w:rsid w:val="5CBD2F14"/>
    <w:rsid w:val="5CBD6C0C"/>
    <w:rsid w:val="5CC72E32"/>
    <w:rsid w:val="5CC75B29"/>
    <w:rsid w:val="5CC832D7"/>
    <w:rsid w:val="5CD00312"/>
    <w:rsid w:val="5CD44A7A"/>
    <w:rsid w:val="5CE172C2"/>
    <w:rsid w:val="5CEB06A7"/>
    <w:rsid w:val="5CFB4CE6"/>
    <w:rsid w:val="5CFC7D64"/>
    <w:rsid w:val="5D010070"/>
    <w:rsid w:val="5D0E2EB6"/>
    <w:rsid w:val="5D1A2182"/>
    <w:rsid w:val="5D287F0F"/>
    <w:rsid w:val="5D292C80"/>
    <w:rsid w:val="5D2A02EE"/>
    <w:rsid w:val="5D37364F"/>
    <w:rsid w:val="5D3D1015"/>
    <w:rsid w:val="5D497A65"/>
    <w:rsid w:val="5D4B5084"/>
    <w:rsid w:val="5D5201C0"/>
    <w:rsid w:val="5D604D7D"/>
    <w:rsid w:val="5D6D3893"/>
    <w:rsid w:val="5D740137"/>
    <w:rsid w:val="5D7A51A5"/>
    <w:rsid w:val="5D891005"/>
    <w:rsid w:val="5D934C87"/>
    <w:rsid w:val="5D942587"/>
    <w:rsid w:val="5DA11AE2"/>
    <w:rsid w:val="5DA12EF6"/>
    <w:rsid w:val="5DA65FB3"/>
    <w:rsid w:val="5DAA390E"/>
    <w:rsid w:val="5DAC5F4C"/>
    <w:rsid w:val="5DAE2BEC"/>
    <w:rsid w:val="5DD27539"/>
    <w:rsid w:val="5DDA4044"/>
    <w:rsid w:val="5DDC51D5"/>
    <w:rsid w:val="5DE502FA"/>
    <w:rsid w:val="5DE654EB"/>
    <w:rsid w:val="5DEC555E"/>
    <w:rsid w:val="5DEE37F5"/>
    <w:rsid w:val="5DF133FF"/>
    <w:rsid w:val="5DF13F32"/>
    <w:rsid w:val="5DF60574"/>
    <w:rsid w:val="5DF87088"/>
    <w:rsid w:val="5E08087F"/>
    <w:rsid w:val="5E097106"/>
    <w:rsid w:val="5E1B6804"/>
    <w:rsid w:val="5E2B04A0"/>
    <w:rsid w:val="5E355B65"/>
    <w:rsid w:val="5E46533D"/>
    <w:rsid w:val="5E4D2795"/>
    <w:rsid w:val="5E503EED"/>
    <w:rsid w:val="5E545BAA"/>
    <w:rsid w:val="5E6123CE"/>
    <w:rsid w:val="5E6462F5"/>
    <w:rsid w:val="5E904D4E"/>
    <w:rsid w:val="5E912E57"/>
    <w:rsid w:val="5E9F3782"/>
    <w:rsid w:val="5EA76944"/>
    <w:rsid w:val="5EA85A7B"/>
    <w:rsid w:val="5EB427B5"/>
    <w:rsid w:val="5ED02417"/>
    <w:rsid w:val="5ED0253D"/>
    <w:rsid w:val="5ED06887"/>
    <w:rsid w:val="5EEA68B6"/>
    <w:rsid w:val="5EFC6A5A"/>
    <w:rsid w:val="5F031398"/>
    <w:rsid w:val="5F055E29"/>
    <w:rsid w:val="5F2D5AF9"/>
    <w:rsid w:val="5F302B25"/>
    <w:rsid w:val="5F395746"/>
    <w:rsid w:val="5F396060"/>
    <w:rsid w:val="5F3C57A9"/>
    <w:rsid w:val="5F3E0D25"/>
    <w:rsid w:val="5F4F3B85"/>
    <w:rsid w:val="5F541E1E"/>
    <w:rsid w:val="5F594E8D"/>
    <w:rsid w:val="5F6371C9"/>
    <w:rsid w:val="5F723370"/>
    <w:rsid w:val="5F7408C2"/>
    <w:rsid w:val="5F7A5DCD"/>
    <w:rsid w:val="5F7C32AE"/>
    <w:rsid w:val="5F7E322A"/>
    <w:rsid w:val="5FA27632"/>
    <w:rsid w:val="5FAC410C"/>
    <w:rsid w:val="5FBB4160"/>
    <w:rsid w:val="5FCB2915"/>
    <w:rsid w:val="5FD45C59"/>
    <w:rsid w:val="5FD75BE5"/>
    <w:rsid w:val="5FE875DA"/>
    <w:rsid w:val="5FEA0B84"/>
    <w:rsid w:val="5FED2283"/>
    <w:rsid w:val="5FF50BE3"/>
    <w:rsid w:val="60042F9C"/>
    <w:rsid w:val="60243AEA"/>
    <w:rsid w:val="6034736C"/>
    <w:rsid w:val="6038206F"/>
    <w:rsid w:val="603F11B6"/>
    <w:rsid w:val="60453F69"/>
    <w:rsid w:val="605129B1"/>
    <w:rsid w:val="6062429D"/>
    <w:rsid w:val="60723C0E"/>
    <w:rsid w:val="60776139"/>
    <w:rsid w:val="60831364"/>
    <w:rsid w:val="60953B43"/>
    <w:rsid w:val="609F1EAA"/>
    <w:rsid w:val="60A54AAB"/>
    <w:rsid w:val="60AF6B88"/>
    <w:rsid w:val="60B54A30"/>
    <w:rsid w:val="60C018E5"/>
    <w:rsid w:val="60C767CF"/>
    <w:rsid w:val="60C92423"/>
    <w:rsid w:val="60CA5E9B"/>
    <w:rsid w:val="60CF1A00"/>
    <w:rsid w:val="60D82466"/>
    <w:rsid w:val="60DB4EE6"/>
    <w:rsid w:val="60E21371"/>
    <w:rsid w:val="60E55DC4"/>
    <w:rsid w:val="60E857A0"/>
    <w:rsid w:val="60F5016F"/>
    <w:rsid w:val="61141D8A"/>
    <w:rsid w:val="611B74F1"/>
    <w:rsid w:val="611F2AAF"/>
    <w:rsid w:val="612D0086"/>
    <w:rsid w:val="612E1ACE"/>
    <w:rsid w:val="612E1C23"/>
    <w:rsid w:val="612F09A4"/>
    <w:rsid w:val="61406361"/>
    <w:rsid w:val="61464868"/>
    <w:rsid w:val="614C3DC7"/>
    <w:rsid w:val="614C78FC"/>
    <w:rsid w:val="6155202D"/>
    <w:rsid w:val="615E411B"/>
    <w:rsid w:val="615F4C5A"/>
    <w:rsid w:val="6166131D"/>
    <w:rsid w:val="616827AE"/>
    <w:rsid w:val="6168713F"/>
    <w:rsid w:val="616F4CB1"/>
    <w:rsid w:val="617B2B5B"/>
    <w:rsid w:val="61831DD5"/>
    <w:rsid w:val="6198016C"/>
    <w:rsid w:val="61991954"/>
    <w:rsid w:val="61992EEA"/>
    <w:rsid w:val="61A51597"/>
    <w:rsid w:val="61A70DAE"/>
    <w:rsid w:val="61AA106F"/>
    <w:rsid w:val="61AA315A"/>
    <w:rsid w:val="61CB3C98"/>
    <w:rsid w:val="61D31A81"/>
    <w:rsid w:val="61D37CEB"/>
    <w:rsid w:val="61DA69D6"/>
    <w:rsid w:val="61E513CA"/>
    <w:rsid w:val="61F343DB"/>
    <w:rsid w:val="61FB5314"/>
    <w:rsid w:val="61FB6259"/>
    <w:rsid w:val="61FD0823"/>
    <w:rsid w:val="62034E5D"/>
    <w:rsid w:val="62041F1D"/>
    <w:rsid w:val="621D4BB5"/>
    <w:rsid w:val="62242828"/>
    <w:rsid w:val="62255EA3"/>
    <w:rsid w:val="622B526D"/>
    <w:rsid w:val="622B5D64"/>
    <w:rsid w:val="623161EC"/>
    <w:rsid w:val="62337C27"/>
    <w:rsid w:val="623F61A5"/>
    <w:rsid w:val="62444ADF"/>
    <w:rsid w:val="62555B47"/>
    <w:rsid w:val="62570027"/>
    <w:rsid w:val="625772BE"/>
    <w:rsid w:val="625C763C"/>
    <w:rsid w:val="62620EA5"/>
    <w:rsid w:val="627E75FE"/>
    <w:rsid w:val="62820207"/>
    <w:rsid w:val="62832956"/>
    <w:rsid w:val="62A80BC9"/>
    <w:rsid w:val="62A910AD"/>
    <w:rsid w:val="62AD2324"/>
    <w:rsid w:val="62BE1A76"/>
    <w:rsid w:val="62C03E1E"/>
    <w:rsid w:val="62C12D12"/>
    <w:rsid w:val="62C80ED3"/>
    <w:rsid w:val="62CA2DFD"/>
    <w:rsid w:val="63185A08"/>
    <w:rsid w:val="63186548"/>
    <w:rsid w:val="63316359"/>
    <w:rsid w:val="63351E54"/>
    <w:rsid w:val="633924BF"/>
    <w:rsid w:val="633D13A9"/>
    <w:rsid w:val="63416D0D"/>
    <w:rsid w:val="635130EC"/>
    <w:rsid w:val="635B2744"/>
    <w:rsid w:val="638B1069"/>
    <w:rsid w:val="638E7A78"/>
    <w:rsid w:val="63922903"/>
    <w:rsid w:val="63927568"/>
    <w:rsid w:val="63A31776"/>
    <w:rsid w:val="63A4056B"/>
    <w:rsid w:val="63B3128D"/>
    <w:rsid w:val="63CC3833"/>
    <w:rsid w:val="63D556A7"/>
    <w:rsid w:val="63DA087A"/>
    <w:rsid w:val="63F00E8B"/>
    <w:rsid w:val="63F504C0"/>
    <w:rsid w:val="63FD60F9"/>
    <w:rsid w:val="64066336"/>
    <w:rsid w:val="64095516"/>
    <w:rsid w:val="64102519"/>
    <w:rsid w:val="6415352D"/>
    <w:rsid w:val="642907DD"/>
    <w:rsid w:val="642A0B61"/>
    <w:rsid w:val="64386D1B"/>
    <w:rsid w:val="64467535"/>
    <w:rsid w:val="644E0D68"/>
    <w:rsid w:val="6450353B"/>
    <w:rsid w:val="64504D2E"/>
    <w:rsid w:val="64506FB0"/>
    <w:rsid w:val="645619CF"/>
    <w:rsid w:val="6457137E"/>
    <w:rsid w:val="64620472"/>
    <w:rsid w:val="64670728"/>
    <w:rsid w:val="6473749D"/>
    <w:rsid w:val="647C5A4E"/>
    <w:rsid w:val="648543C8"/>
    <w:rsid w:val="648621CA"/>
    <w:rsid w:val="648C0FFA"/>
    <w:rsid w:val="648D0186"/>
    <w:rsid w:val="64903FD4"/>
    <w:rsid w:val="649308CE"/>
    <w:rsid w:val="64AF6317"/>
    <w:rsid w:val="64B85B46"/>
    <w:rsid w:val="64CF523E"/>
    <w:rsid w:val="64D01E4F"/>
    <w:rsid w:val="64D221FE"/>
    <w:rsid w:val="64D929AE"/>
    <w:rsid w:val="64DB4F3F"/>
    <w:rsid w:val="64DC0100"/>
    <w:rsid w:val="64E902B1"/>
    <w:rsid w:val="64E92FB1"/>
    <w:rsid w:val="64E9511F"/>
    <w:rsid w:val="64EE5643"/>
    <w:rsid w:val="64F77DDD"/>
    <w:rsid w:val="6503528C"/>
    <w:rsid w:val="650606DC"/>
    <w:rsid w:val="650635F5"/>
    <w:rsid w:val="651554AF"/>
    <w:rsid w:val="651803C7"/>
    <w:rsid w:val="651D10B4"/>
    <w:rsid w:val="65233210"/>
    <w:rsid w:val="65271455"/>
    <w:rsid w:val="652C3034"/>
    <w:rsid w:val="6530399E"/>
    <w:rsid w:val="6538187B"/>
    <w:rsid w:val="65383A7E"/>
    <w:rsid w:val="65443DAD"/>
    <w:rsid w:val="65531B79"/>
    <w:rsid w:val="65540D87"/>
    <w:rsid w:val="6558033E"/>
    <w:rsid w:val="65585BEC"/>
    <w:rsid w:val="655A36E3"/>
    <w:rsid w:val="656E204E"/>
    <w:rsid w:val="656E47A4"/>
    <w:rsid w:val="657A102B"/>
    <w:rsid w:val="658839D1"/>
    <w:rsid w:val="658D6813"/>
    <w:rsid w:val="659D79F7"/>
    <w:rsid w:val="65A94EC6"/>
    <w:rsid w:val="65AD68DC"/>
    <w:rsid w:val="65AF6503"/>
    <w:rsid w:val="65B23ABA"/>
    <w:rsid w:val="65B4524F"/>
    <w:rsid w:val="65B512EC"/>
    <w:rsid w:val="65B52E0D"/>
    <w:rsid w:val="65DB7BA4"/>
    <w:rsid w:val="65E0533C"/>
    <w:rsid w:val="65F10827"/>
    <w:rsid w:val="65F31E15"/>
    <w:rsid w:val="660673FA"/>
    <w:rsid w:val="660A6ED1"/>
    <w:rsid w:val="660B1854"/>
    <w:rsid w:val="660E3533"/>
    <w:rsid w:val="6620264F"/>
    <w:rsid w:val="662915C4"/>
    <w:rsid w:val="663927A9"/>
    <w:rsid w:val="66423A93"/>
    <w:rsid w:val="668E1BEF"/>
    <w:rsid w:val="66A06EEF"/>
    <w:rsid w:val="66A4410C"/>
    <w:rsid w:val="66BF0013"/>
    <w:rsid w:val="66C23F58"/>
    <w:rsid w:val="66C51A03"/>
    <w:rsid w:val="66CF08A4"/>
    <w:rsid w:val="66D578D8"/>
    <w:rsid w:val="66D729D5"/>
    <w:rsid w:val="66DB5A49"/>
    <w:rsid w:val="66E30073"/>
    <w:rsid w:val="66F862AF"/>
    <w:rsid w:val="66FE3BA0"/>
    <w:rsid w:val="670564AA"/>
    <w:rsid w:val="672F2147"/>
    <w:rsid w:val="67344D3A"/>
    <w:rsid w:val="6744501E"/>
    <w:rsid w:val="67587F9B"/>
    <w:rsid w:val="67606DA3"/>
    <w:rsid w:val="67634DA2"/>
    <w:rsid w:val="67642416"/>
    <w:rsid w:val="676B25D1"/>
    <w:rsid w:val="676B7378"/>
    <w:rsid w:val="67784CCA"/>
    <w:rsid w:val="677853F0"/>
    <w:rsid w:val="67874F0A"/>
    <w:rsid w:val="678E5FB8"/>
    <w:rsid w:val="67A1278A"/>
    <w:rsid w:val="67A86E70"/>
    <w:rsid w:val="67AA2DDC"/>
    <w:rsid w:val="67C24A82"/>
    <w:rsid w:val="67E11E4A"/>
    <w:rsid w:val="67EE47D2"/>
    <w:rsid w:val="67F33C40"/>
    <w:rsid w:val="67F7534A"/>
    <w:rsid w:val="67FB51A4"/>
    <w:rsid w:val="68015C62"/>
    <w:rsid w:val="6807443A"/>
    <w:rsid w:val="68091DC3"/>
    <w:rsid w:val="680E55E3"/>
    <w:rsid w:val="681E1F63"/>
    <w:rsid w:val="68285BB0"/>
    <w:rsid w:val="682A2F0A"/>
    <w:rsid w:val="68354160"/>
    <w:rsid w:val="68364C81"/>
    <w:rsid w:val="68451E3E"/>
    <w:rsid w:val="684B1943"/>
    <w:rsid w:val="684D1CB0"/>
    <w:rsid w:val="684E7193"/>
    <w:rsid w:val="684F66B1"/>
    <w:rsid w:val="68534DEC"/>
    <w:rsid w:val="685B0A71"/>
    <w:rsid w:val="6861575B"/>
    <w:rsid w:val="68670DBC"/>
    <w:rsid w:val="688A1A7C"/>
    <w:rsid w:val="688A7F21"/>
    <w:rsid w:val="688D068E"/>
    <w:rsid w:val="688D6C57"/>
    <w:rsid w:val="68925915"/>
    <w:rsid w:val="68950368"/>
    <w:rsid w:val="689B5FE4"/>
    <w:rsid w:val="689C6793"/>
    <w:rsid w:val="68AE6053"/>
    <w:rsid w:val="68B06CFE"/>
    <w:rsid w:val="68B26EFE"/>
    <w:rsid w:val="68B626EB"/>
    <w:rsid w:val="68B914AE"/>
    <w:rsid w:val="68B94B94"/>
    <w:rsid w:val="68BA4E6C"/>
    <w:rsid w:val="68BE4D6F"/>
    <w:rsid w:val="68C10F54"/>
    <w:rsid w:val="68C2749B"/>
    <w:rsid w:val="68CF5EAD"/>
    <w:rsid w:val="68DF67F6"/>
    <w:rsid w:val="68E61FD8"/>
    <w:rsid w:val="68EA39A3"/>
    <w:rsid w:val="68EB407B"/>
    <w:rsid w:val="68EE5AB7"/>
    <w:rsid w:val="68F3535B"/>
    <w:rsid w:val="69001123"/>
    <w:rsid w:val="69005D64"/>
    <w:rsid w:val="69065E47"/>
    <w:rsid w:val="690B2995"/>
    <w:rsid w:val="692D5309"/>
    <w:rsid w:val="69400AF9"/>
    <w:rsid w:val="69452D3F"/>
    <w:rsid w:val="695554D5"/>
    <w:rsid w:val="695E19C0"/>
    <w:rsid w:val="6988792E"/>
    <w:rsid w:val="698B7D2E"/>
    <w:rsid w:val="698C6808"/>
    <w:rsid w:val="699B462E"/>
    <w:rsid w:val="69A03036"/>
    <w:rsid w:val="69A96B19"/>
    <w:rsid w:val="69AE2E4A"/>
    <w:rsid w:val="69AE5704"/>
    <w:rsid w:val="69B35B87"/>
    <w:rsid w:val="69BF0E5E"/>
    <w:rsid w:val="69D7690E"/>
    <w:rsid w:val="69D94DC7"/>
    <w:rsid w:val="69DA2F56"/>
    <w:rsid w:val="69EA1E2F"/>
    <w:rsid w:val="69F428FC"/>
    <w:rsid w:val="69F57129"/>
    <w:rsid w:val="69F633D9"/>
    <w:rsid w:val="69FB6CA6"/>
    <w:rsid w:val="6A0126D9"/>
    <w:rsid w:val="6A056E59"/>
    <w:rsid w:val="6A0D3571"/>
    <w:rsid w:val="6A0E1982"/>
    <w:rsid w:val="6A113410"/>
    <w:rsid w:val="6A144D67"/>
    <w:rsid w:val="6A18009C"/>
    <w:rsid w:val="6A1A2066"/>
    <w:rsid w:val="6A223798"/>
    <w:rsid w:val="6A2B046A"/>
    <w:rsid w:val="6A396C1E"/>
    <w:rsid w:val="6A48652C"/>
    <w:rsid w:val="6A505A87"/>
    <w:rsid w:val="6A61050B"/>
    <w:rsid w:val="6A6848B6"/>
    <w:rsid w:val="6A6F66DD"/>
    <w:rsid w:val="6A766C12"/>
    <w:rsid w:val="6A813F80"/>
    <w:rsid w:val="6A8342D7"/>
    <w:rsid w:val="6A896566"/>
    <w:rsid w:val="6A8E3B3F"/>
    <w:rsid w:val="6A930C06"/>
    <w:rsid w:val="6A961667"/>
    <w:rsid w:val="6A991F35"/>
    <w:rsid w:val="6A9A1694"/>
    <w:rsid w:val="6AA43F84"/>
    <w:rsid w:val="6AA96E7B"/>
    <w:rsid w:val="6AB1458F"/>
    <w:rsid w:val="6AB21818"/>
    <w:rsid w:val="6AC30B71"/>
    <w:rsid w:val="6AC66A6D"/>
    <w:rsid w:val="6ACD398F"/>
    <w:rsid w:val="6AD60696"/>
    <w:rsid w:val="6AE47D53"/>
    <w:rsid w:val="6AEB3A02"/>
    <w:rsid w:val="6AF40B09"/>
    <w:rsid w:val="6AF51643"/>
    <w:rsid w:val="6AF55A10"/>
    <w:rsid w:val="6B1450DC"/>
    <w:rsid w:val="6B245E07"/>
    <w:rsid w:val="6B2C484D"/>
    <w:rsid w:val="6B2F73C6"/>
    <w:rsid w:val="6B390512"/>
    <w:rsid w:val="6B3A720F"/>
    <w:rsid w:val="6B3B6D19"/>
    <w:rsid w:val="6B3F67B3"/>
    <w:rsid w:val="6B425715"/>
    <w:rsid w:val="6B446834"/>
    <w:rsid w:val="6B4F3D84"/>
    <w:rsid w:val="6B4F5B38"/>
    <w:rsid w:val="6B5109D7"/>
    <w:rsid w:val="6B543AAB"/>
    <w:rsid w:val="6B6405B1"/>
    <w:rsid w:val="6B6F2B33"/>
    <w:rsid w:val="6B7E6F80"/>
    <w:rsid w:val="6B875430"/>
    <w:rsid w:val="6B8E7C30"/>
    <w:rsid w:val="6B91543A"/>
    <w:rsid w:val="6B920B14"/>
    <w:rsid w:val="6BA22313"/>
    <w:rsid w:val="6BA63519"/>
    <w:rsid w:val="6BA67B4C"/>
    <w:rsid w:val="6BA746D4"/>
    <w:rsid w:val="6BAB6D7B"/>
    <w:rsid w:val="6BAD18C2"/>
    <w:rsid w:val="6BB97762"/>
    <w:rsid w:val="6BCE1613"/>
    <w:rsid w:val="6BDA7DF9"/>
    <w:rsid w:val="6BDD63A2"/>
    <w:rsid w:val="6BE36B99"/>
    <w:rsid w:val="6BE84F67"/>
    <w:rsid w:val="6BF57CEC"/>
    <w:rsid w:val="6BFB6555"/>
    <w:rsid w:val="6BFC615B"/>
    <w:rsid w:val="6BFE25DF"/>
    <w:rsid w:val="6C004CBE"/>
    <w:rsid w:val="6C0665D1"/>
    <w:rsid w:val="6C174694"/>
    <w:rsid w:val="6C240C66"/>
    <w:rsid w:val="6C260EA3"/>
    <w:rsid w:val="6C2948D0"/>
    <w:rsid w:val="6C2D5CE6"/>
    <w:rsid w:val="6C3276EA"/>
    <w:rsid w:val="6C3D028D"/>
    <w:rsid w:val="6C3E721C"/>
    <w:rsid w:val="6C472EBA"/>
    <w:rsid w:val="6C48312C"/>
    <w:rsid w:val="6C733A43"/>
    <w:rsid w:val="6C757A27"/>
    <w:rsid w:val="6C763BAA"/>
    <w:rsid w:val="6C77341E"/>
    <w:rsid w:val="6C77554D"/>
    <w:rsid w:val="6C9101AC"/>
    <w:rsid w:val="6C9F3160"/>
    <w:rsid w:val="6CA15372"/>
    <w:rsid w:val="6CA24A13"/>
    <w:rsid w:val="6CA35A96"/>
    <w:rsid w:val="6CAD5492"/>
    <w:rsid w:val="6CB0514C"/>
    <w:rsid w:val="6CB25AEA"/>
    <w:rsid w:val="6CB77951"/>
    <w:rsid w:val="6CB945E8"/>
    <w:rsid w:val="6CC536C0"/>
    <w:rsid w:val="6CCB5899"/>
    <w:rsid w:val="6CD641E4"/>
    <w:rsid w:val="6CDE786D"/>
    <w:rsid w:val="6CF50B68"/>
    <w:rsid w:val="6CF539A8"/>
    <w:rsid w:val="6CF5745F"/>
    <w:rsid w:val="6D01750D"/>
    <w:rsid w:val="6D0278A8"/>
    <w:rsid w:val="6D040A10"/>
    <w:rsid w:val="6D06567F"/>
    <w:rsid w:val="6D1714C1"/>
    <w:rsid w:val="6D3047FA"/>
    <w:rsid w:val="6D436FB0"/>
    <w:rsid w:val="6D437FA8"/>
    <w:rsid w:val="6D4756B1"/>
    <w:rsid w:val="6D56794B"/>
    <w:rsid w:val="6D5B0FAC"/>
    <w:rsid w:val="6D675E8A"/>
    <w:rsid w:val="6D70336F"/>
    <w:rsid w:val="6D737DA4"/>
    <w:rsid w:val="6D8D4585"/>
    <w:rsid w:val="6DA742D7"/>
    <w:rsid w:val="6DA8616D"/>
    <w:rsid w:val="6DA96D07"/>
    <w:rsid w:val="6DAA4DAE"/>
    <w:rsid w:val="6DB77BCC"/>
    <w:rsid w:val="6DB92F06"/>
    <w:rsid w:val="6DDA643C"/>
    <w:rsid w:val="6DE74878"/>
    <w:rsid w:val="6DF115E9"/>
    <w:rsid w:val="6E016304"/>
    <w:rsid w:val="6E11327E"/>
    <w:rsid w:val="6E131998"/>
    <w:rsid w:val="6E137F9E"/>
    <w:rsid w:val="6E144C91"/>
    <w:rsid w:val="6E146DCC"/>
    <w:rsid w:val="6E296140"/>
    <w:rsid w:val="6E2E7E8E"/>
    <w:rsid w:val="6E31144B"/>
    <w:rsid w:val="6E375118"/>
    <w:rsid w:val="6E3A23A7"/>
    <w:rsid w:val="6E412ADD"/>
    <w:rsid w:val="6E427166"/>
    <w:rsid w:val="6E460D91"/>
    <w:rsid w:val="6E4A757D"/>
    <w:rsid w:val="6E5433DA"/>
    <w:rsid w:val="6E5D6FB1"/>
    <w:rsid w:val="6E5E755C"/>
    <w:rsid w:val="6E652B3A"/>
    <w:rsid w:val="6E676D75"/>
    <w:rsid w:val="6E6933A5"/>
    <w:rsid w:val="6E703A48"/>
    <w:rsid w:val="6E731525"/>
    <w:rsid w:val="6E774E65"/>
    <w:rsid w:val="6E787941"/>
    <w:rsid w:val="6E7B665E"/>
    <w:rsid w:val="6E845B24"/>
    <w:rsid w:val="6E894310"/>
    <w:rsid w:val="6E8D1ABC"/>
    <w:rsid w:val="6E8F624C"/>
    <w:rsid w:val="6E943AC9"/>
    <w:rsid w:val="6E9B3E8E"/>
    <w:rsid w:val="6E9B4A58"/>
    <w:rsid w:val="6EA052B1"/>
    <w:rsid w:val="6EA50950"/>
    <w:rsid w:val="6EA515E9"/>
    <w:rsid w:val="6EAE7221"/>
    <w:rsid w:val="6EB877B0"/>
    <w:rsid w:val="6EC407F2"/>
    <w:rsid w:val="6ECD3A35"/>
    <w:rsid w:val="6EDD18B4"/>
    <w:rsid w:val="6EF67080"/>
    <w:rsid w:val="6EF802A9"/>
    <w:rsid w:val="6F014CFA"/>
    <w:rsid w:val="6F022F28"/>
    <w:rsid w:val="6F1D5ACC"/>
    <w:rsid w:val="6F205D0B"/>
    <w:rsid w:val="6F215C44"/>
    <w:rsid w:val="6F2D283B"/>
    <w:rsid w:val="6F3024AB"/>
    <w:rsid w:val="6F3109E1"/>
    <w:rsid w:val="6F3C482C"/>
    <w:rsid w:val="6F445007"/>
    <w:rsid w:val="6F571666"/>
    <w:rsid w:val="6F5C63F2"/>
    <w:rsid w:val="6F6B1935"/>
    <w:rsid w:val="6F6D50F8"/>
    <w:rsid w:val="6F86603B"/>
    <w:rsid w:val="6F8742F7"/>
    <w:rsid w:val="6F8C3778"/>
    <w:rsid w:val="6F8D43B5"/>
    <w:rsid w:val="6F9413E8"/>
    <w:rsid w:val="6F992CB0"/>
    <w:rsid w:val="6FAF50A7"/>
    <w:rsid w:val="6FE17E8F"/>
    <w:rsid w:val="6FF26F42"/>
    <w:rsid w:val="70045139"/>
    <w:rsid w:val="70093121"/>
    <w:rsid w:val="7010038A"/>
    <w:rsid w:val="70157BEE"/>
    <w:rsid w:val="7020301F"/>
    <w:rsid w:val="7023145E"/>
    <w:rsid w:val="702863B3"/>
    <w:rsid w:val="70304366"/>
    <w:rsid w:val="70366D04"/>
    <w:rsid w:val="703A5210"/>
    <w:rsid w:val="703D1BBB"/>
    <w:rsid w:val="703D50BA"/>
    <w:rsid w:val="704378D9"/>
    <w:rsid w:val="70585696"/>
    <w:rsid w:val="7064403B"/>
    <w:rsid w:val="706966C0"/>
    <w:rsid w:val="70696F10"/>
    <w:rsid w:val="706C6759"/>
    <w:rsid w:val="706D6BBA"/>
    <w:rsid w:val="70787A21"/>
    <w:rsid w:val="707F09F9"/>
    <w:rsid w:val="70807DFF"/>
    <w:rsid w:val="708956B0"/>
    <w:rsid w:val="70AE5D10"/>
    <w:rsid w:val="70B1097C"/>
    <w:rsid w:val="70B34FC2"/>
    <w:rsid w:val="70B56644"/>
    <w:rsid w:val="70B62E0E"/>
    <w:rsid w:val="70B84386"/>
    <w:rsid w:val="70C20621"/>
    <w:rsid w:val="70C607C8"/>
    <w:rsid w:val="70DE06E3"/>
    <w:rsid w:val="70DE65E0"/>
    <w:rsid w:val="70DF6BB5"/>
    <w:rsid w:val="70ED2B2B"/>
    <w:rsid w:val="70EF5A25"/>
    <w:rsid w:val="70F6270F"/>
    <w:rsid w:val="70F7219F"/>
    <w:rsid w:val="70FD3FE2"/>
    <w:rsid w:val="7104581E"/>
    <w:rsid w:val="71126D37"/>
    <w:rsid w:val="711405BE"/>
    <w:rsid w:val="7114193D"/>
    <w:rsid w:val="71264AD0"/>
    <w:rsid w:val="712F3EAD"/>
    <w:rsid w:val="7132286C"/>
    <w:rsid w:val="71347EB1"/>
    <w:rsid w:val="71392E6E"/>
    <w:rsid w:val="713E0718"/>
    <w:rsid w:val="714464DD"/>
    <w:rsid w:val="71476A5C"/>
    <w:rsid w:val="714972F5"/>
    <w:rsid w:val="714A4223"/>
    <w:rsid w:val="71501BB1"/>
    <w:rsid w:val="7154616E"/>
    <w:rsid w:val="715776FB"/>
    <w:rsid w:val="715F5214"/>
    <w:rsid w:val="71611EC6"/>
    <w:rsid w:val="716305F1"/>
    <w:rsid w:val="716A444A"/>
    <w:rsid w:val="716B764B"/>
    <w:rsid w:val="716F6E63"/>
    <w:rsid w:val="717958C4"/>
    <w:rsid w:val="717C1AD0"/>
    <w:rsid w:val="717C3606"/>
    <w:rsid w:val="717F7332"/>
    <w:rsid w:val="71A11F42"/>
    <w:rsid w:val="71A462ED"/>
    <w:rsid w:val="71A817A6"/>
    <w:rsid w:val="71B03527"/>
    <w:rsid w:val="71CC4859"/>
    <w:rsid w:val="71CF7BDA"/>
    <w:rsid w:val="71DC6492"/>
    <w:rsid w:val="71E0167E"/>
    <w:rsid w:val="71E907DF"/>
    <w:rsid w:val="71E91828"/>
    <w:rsid w:val="72004E62"/>
    <w:rsid w:val="721B697B"/>
    <w:rsid w:val="721C4E0A"/>
    <w:rsid w:val="72276C6C"/>
    <w:rsid w:val="722B7421"/>
    <w:rsid w:val="72306EC0"/>
    <w:rsid w:val="723422C3"/>
    <w:rsid w:val="723766D2"/>
    <w:rsid w:val="7238577F"/>
    <w:rsid w:val="723D7E05"/>
    <w:rsid w:val="7244250E"/>
    <w:rsid w:val="72465EC6"/>
    <w:rsid w:val="72481418"/>
    <w:rsid w:val="724C4D86"/>
    <w:rsid w:val="724C7FF7"/>
    <w:rsid w:val="724D7F12"/>
    <w:rsid w:val="72566D0A"/>
    <w:rsid w:val="726562F6"/>
    <w:rsid w:val="72690C1E"/>
    <w:rsid w:val="72746954"/>
    <w:rsid w:val="72772FEB"/>
    <w:rsid w:val="72996575"/>
    <w:rsid w:val="729A7E1D"/>
    <w:rsid w:val="729E65B9"/>
    <w:rsid w:val="72A4068B"/>
    <w:rsid w:val="72A539A9"/>
    <w:rsid w:val="72B262F2"/>
    <w:rsid w:val="72C10C6A"/>
    <w:rsid w:val="72C2773E"/>
    <w:rsid w:val="72C67AD2"/>
    <w:rsid w:val="72D21BD3"/>
    <w:rsid w:val="72FE4B5A"/>
    <w:rsid w:val="7307730D"/>
    <w:rsid w:val="730F7C0F"/>
    <w:rsid w:val="73264707"/>
    <w:rsid w:val="732B0BB0"/>
    <w:rsid w:val="732F2D73"/>
    <w:rsid w:val="733169E9"/>
    <w:rsid w:val="73527FF9"/>
    <w:rsid w:val="73536E55"/>
    <w:rsid w:val="735662C2"/>
    <w:rsid w:val="73777F78"/>
    <w:rsid w:val="73795BB3"/>
    <w:rsid w:val="737F73DD"/>
    <w:rsid w:val="73A345A5"/>
    <w:rsid w:val="73A742F2"/>
    <w:rsid w:val="73AB0D01"/>
    <w:rsid w:val="73AF52A2"/>
    <w:rsid w:val="73BB32A6"/>
    <w:rsid w:val="73C3311E"/>
    <w:rsid w:val="73CE029F"/>
    <w:rsid w:val="73D56CD1"/>
    <w:rsid w:val="73E7679F"/>
    <w:rsid w:val="73EC31C2"/>
    <w:rsid w:val="73EE1452"/>
    <w:rsid w:val="740630C5"/>
    <w:rsid w:val="7410502F"/>
    <w:rsid w:val="741E4320"/>
    <w:rsid w:val="74294D04"/>
    <w:rsid w:val="7431246F"/>
    <w:rsid w:val="74366AA4"/>
    <w:rsid w:val="743D458F"/>
    <w:rsid w:val="74443557"/>
    <w:rsid w:val="744E5517"/>
    <w:rsid w:val="745A2056"/>
    <w:rsid w:val="746744EF"/>
    <w:rsid w:val="747B4785"/>
    <w:rsid w:val="749609AC"/>
    <w:rsid w:val="749871F4"/>
    <w:rsid w:val="74991075"/>
    <w:rsid w:val="749E1052"/>
    <w:rsid w:val="74A356DA"/>
    <w:rsid w:val="74B52A16"/>
    <w:rsid w:val="74B530B7"/>
    <w:rsid w:val="74B551F6"/>
    <w:rsid w:val="74C57072"/>
    <w:rsid w:val="74C572BF"/>
    <w:rsid w:val="74D1749C"/>
    <w:rsid w:val="74D406D0"/>
    <w:rsid w:val="74DA0873"/>
    <w:rsid w:val="74DF0134"/>
    <w:rsid w:val="74E653BC"/>
    <w:rsid w:val="74F0120D"/>
    <w:rsid w:val="74F97FFA"/>
    <w:rsid w:val="75034C7B"/>
    <w:rsid w:val="75090236"/>
    <w:rsid w:val="75150736"/>
    <w:rsid w:val="751B7EF8"/>
    <w:rsid w:val="751C59D2"/>
    <w:rsid w:val="751D2A0A"/>
    <w:rsid w:val="75242D1B"/>
    <w:rsid w:val="752A1671"/>
    <w:rsid w:val="75314A34"/>
    <w:rsid w:val="75395B4E"/>
    <w:rsid w:val="753B4704"/>
    <w:rsid w:val="753D6F92"/>
    <w:rsid w:val="753F6E24"/>
    <w:rsid w:val="75437FC1"/>
    <w:rsid w:val="7548217D"/>
    <w:rsid w:val="754A2034"/>
    <w:rsid w:val="754B147B"/>
    <w:rsid w:val="755C34FC"/>
    <w:rsid w:val="755D0CE7"/>
    <w:rsid w:val="75632E74"/>
    <w:rsid w:val="757631E7"/>
    <w:rsid w:val="75767E9F"/>
    <w:rsid w:val="758814E5"/>
    <w:rsid w:val="758B06A0"/>
    <w:rsid w:val="758B32F3"/>
    <w:rsid w:val="758B4AA5"/>
    <w:rsid w:val="759427A5"/>
    <w:rsid w:val="75973CBA"/>
    <w:rsid w:val="759C5F65"/>
    <w:rsid w:val="759F514E"/>
    <w:rsid w:val="75A42DD9"/>
    <w:rsid w:val="75A74A96"/>
    <w:rsid w:val="75AC0E06"/>
    <w:rsid w:val="75BD08CA"/>
    <w:rsid w:val="75CE7455"/>
    <w:rsid w:val="75CF17A4"/>
    <w:rsid w:val="75DE0DA4"/>
    <w:rsid w:val="75E35B89"/>
    <w:rsid w:val="75E4177A"/>
    <w:rsid w:val="75F1440F"/>
    <w:rsid w:val="75F145C2"/>
    <w:rsid w:val="75FB28A9"/>
    <w:rsid w:val="75FE2420"/>
    <w:rsid w:val="76151DB6"/>
    <w:rsid w:val="76221CE5"/>
    <w:rsid w:val="76261DE0"/>
    <w:rsid w:val="7629578D"/>
    <w:rsid w:val="76301422"/>
    <w:rsid w:val="76302106"/>
    <w:rsid w:val="763102E2"/>
    <w:rsid w:val="76483730"/>
    <w:rsid w:val="76485896"/>
    <w:rsid w:val="76493F76"/>
    <w:rsid w:val="76522B87"/>
    <w:rsid w:val="76656BF6"/>
    <w:rsid w:val="768350FA"/>
    <w:rsid w:val="768507A4"/>
    <w:rsid w:val="76852F5D"/>
    <w:rsid w:val="7698105B"/>
    <w:rsid w:val="76996AEA"/>
    <w:rsid w:val="769B75B9"/>
    <w:rsid w:val="76B56C73"/>
    <w:rsid w:val="76C0056B"/>
    <w:rsid w:val="76D27E7C"/>
    <w:rsid w:val="76E04D4F"/>
    <w:rsid w:val="76E971E8"/>
    <w:rsid w:val="76EA6ED3"/>
    <w:rsid w:val="76FA2380"/>
    <w:rsid w:val="771A7823"/>
    <w:rsid w:val="7720214E"/>
    <w:rsid w:val="77314130"/>
    <w:rsid w:val="77321566"/>
    <w:rsid w:val="77326A1C"/>
    <w:rsid w:val="77366719"/>
    <w:rsid w:val="77387FCF"/>
    <w:rsid w:val="7739390B"/>
    <w:rsid w:val="773F4EBA"/>
    <w:rsid w:val="77403FB4"/>
    <w:rsid w:val="774E0AE4"/>
    <w:rsid w:val="77510273"/>
    <w:rsid w:val="7752009E"/>
    <w:rsid w:val="776C78B7"/>
    <w:rsid w:val="77706567"/>
    <w:rsid w:val="77715C58"/>
    <w:rsid w:val="77C466DF"/>
    <w:rsid w:val="77C76630"/>
    <w:rsid w:val="77C77C90"/>
    <w:rsid w:val="77C85961"/>
    <w:rsid w:val="77D540E9"/>
    <w:rsid w:val="77DD5C26"/>
    <w:rsid w:val="77E77892"/>
    <w:rsid w:val="77EB4BA3"/>
    <w:rsid w:val="77EB5925"/>
    <w:rsid w:val="77F85958"/>
    <w:rsid w:val="7802069D"/>
    <w:rsid w:val="78033B8E"/>
    <w:rsid w:val="781A64BB"/>
    <w:rsid w:val="781E56FB"/>
    <w:rsid w:val="78216CB5"/>
    <w:rsid w:val="78234E82"/>
    <w:rsid w:val="78262F10"/>
    <w:rsid w:val="78301BDB"/>
    <w:rsid w:val="783D4EB7"/>
    <w:rsid w:val="783F34CF"/>
    <w:rsid w:val="785378F3"/>
    <w:rsid w:val="785653D2"/>
    <w:rsid w:val="785B749F"/>
    <w:rsid w:val="786A3F07"/>
    <w:rsid w:val="78736472"/>
    <w:rsid w:val="78840674"/>
    <w:rsid w:val="78B31D3A"/>
    <w:rsid w:val="78B3736E"/>
    <w:rsid w:val="78CC0870"/>
    <w:rsid w:val="78CD43B8"/>
    <w:rsid w:val="78D150D4"/>
    <w:rsid w:val="78DD1BB7"/>
    <w:rsid w:val="78E67675"/>
    <w:rsid w:val="78ED4D61"/>
    <w:rsid w:val="78EE74F7"/>
    <w:rsid w:val="78F23C27"/>
    <w:rsid w:val="78F32400"/>
    <w:rsid w:val="78FD1A19"/>
    <w:rsid w:val="79042E60"/>
    <w:rsid w:val="79093576"/>
    <w:rsid w:val="790A14F7"/>
    <w:rsid w:val="792230C3"/>
    <w:rsid w:val="792F1E03"/>
    <w:rsid w:val="7943600B"/>
    <w:rsid w:val="794C4D57"/>
    <w:rsid w:val="7957552D"/>
    <w:rsid w:val="795A7190"/>
    <w:rsid w:val="795D5F9F"/>
    <w:rsid w:val="7960749A"/>
    <w:rsid w:val="796F4B46"/>
    <w:rsid w:val="79796874"/>
    <w:rsid w:val="797C3851"/>
    <w:rsid w:val="799F4335"/>
    <w:rsid w:val="79AF1385"/>
    <w:rsid w:val="79C12300"/>
    <w:rsid w:val="79C145F3"/>
    <w:rsid w:val="79C47F5D"/>
    <w:rsid w:val="79CD77CC"/>
    <w:rsid w:val="79CE0D06"/>
    <w:rsid w:val="79E44BA6"/>
    <w:rsid w:val="79E9577E"/>
    <w:rsid w:val="79F52D0B"/>
    <w:rsid w:val="79F532FD"/>
    <w:rsid w:val="7A0128FA"/>
    <w:rsid w:val="7A0838A9"/>
    <w:rsid w:val="7A145122"/>
    <w:rsid w:val="7A173C55"/>
    <w:rsid w:val="7A2A03AE"/>
    <w:rsid w:val="7A464C42"/>
    <w:rsid w:val="7A543372"/>
    <w:rsid w:val="7A60777D"/>
    <w:rsid w:val="7A65123D"/>
    <w:rsid w:val="7A720BDD"/>
    <w:rsid w:val="7A8366E2"/>
    <w:rsid w:val="7AB931D5"/>
    <w:rsid w:val="7ABB3D14"/>
    <w:rsid w:val="7ABD3BBD"/>
    <w:rsid w:val="7AC8166A"/>
    <w:rsid w:val="7AD413AA"/>
    <w:rsid w:val="7ADA10AC"/>
    <w:rsid w:val="7ADC39ED"/>
    <w:rsid w:val="7AE11F11"/>
    <w:rsid w:val="7AE83DE0"/>
    <w:rsid w:val="7AEB78AA"/>
    <w:rsid w:val="7AF97A75"/>
    <w:rsid w:val="7AFE32DE"/>
    <w:rsid w:val="7B001361"/>
    <w:rsid w:val="7B0E03A7"/>
    <w:rsid w:val="7B1A21F4"/>
    <w:rsid w:val="7B2006D4"/>
    <w:rsid w:val="7B221A7C"/>
    <w:rsid w:val="7B284679"/>
    <w:rsid w:val="7B2A5CF7"/>
    <w:rsid w:val="7B310F19"/>
    <w:rsid w:val="7B44761E"/>
    <w:rsid w:val="7B52023E"/>
    <w:rsid w:val="7B5673FC"/>
    <w:rsid w:val="7B6F4D47"/>
    <w:rsid w:val="7B7479A8"/>
    <w:rsid w:val="7B7E0CAC"/>
    <w:rsid w:val="7B7E3DDE"/>
    <w:rsid w:val="7B8313E1"/>
    <w:rsid w:val="7B884F8A"/>
    <w:rsid w:val="7B8A55CD"/>
    <w:rsid w:val="7B8B0621"/>
    <w:rsid w:val="7B8C42FC"/>
    <w:rsid w:val="7B901D32"/>
    <w:rsid w:val="7B986240"/>
    <w:rsid w:val="7B9912F0"/>
    <w:rsid w:val="7B9D0498"/>
    <w:rsid w:val="7BA2010D"/>
    <w:rsid w:val="7BA747A9"/>
    <w:rsid w:val="7BA94CAB"/>
    <w:rsid w:val="7BB56A63"/>
    <w:rsid w:val="7BB86608"/>
    <w:rsid w:val="7BC15F78"/>
    <w:rsid w:val="7BD1441C"/>
    <w:rsid w:val="7BD44483"/>
    <w:rsid w:val="7BE30EBF"/>
    <w:rsid w:val="7BEA6C4D"/>
    <w:rsid w:val="7BF565D8"/>
    <w:rsid w:val="7BF8357C"/>
    <w:rsid w:val="7BFA1E25"/>
    <w:rsid w:val="7C0B5081"/>
    <w:rsid w:val="7C110797"/>
    <w:rsid w:val="7C156C69"/>
    <w:rsid w:val="7C1A4147"/>
    <w:rsid w:val="7C215058"/>
    <w:rsid w:val="7C261BC6"/>
    <w:rsid w:val="7C2622ED"/>
    <w:rsid w:val="7C3E2B62"/>
    <w:rsid w:val="7C4B7546"/>
    <w:rsid w:val="7C4D3443"/>
    <w:rsid w:val="7C522A02"/>
    <w:rsid w:val="7C594753"/>
    <w:rsid w:val="7C775754"/>
    <w:rsid w:val="7C7D6203"/>
    <w:rsid w:val="7C816135"/>
    <w:rsid w:val="7C8623DD"/>
    <w:rsid w:val="7CAD495E"/>
    <w:rsid w:val="7CB078E0"/>
    <w:rsid w:val="7CB94C0E"/>
    <w:rsid w:val="7CD2057E"/>
    <w:rsid w:val="7CD76495"/>
    <w:rsid w:val="7CD97401"/>
    <w:rsid w:val="7CDB3E18"/>
    <w:rsid w:val="7CE24C65"/>
    <w:rsid w:val="7CF00660"/>
    <w:rsid w:val="7D110E09"/>
    <w:rsid w:val="7D272678"/>
    <w:rsid w:val="7D2A0A22"/>
    <w:rsid w:val="7D3C7F6A"/>
    <w:rsid w:val="7D447D05"/>
    <w:rsid w:val="7D471EC0"/>
    <w:rsid w:val="7D663057"/>
    <w:rsid w:val="7D6D09A9"/>
    <w:rsid w:val="7D6D0E15"/>
    <w:rsid w:val="7D6E5232"/>
    <w:rsid w:val="7D6F5820"/>
    <w:rsid w:val="7D712403"/>
    <w:rsid w:val="7D7B0C16"/>
    <w:rsid w:val="7D8F672F"/>
    <w:rsid w:val="7DB14637"/>
    <w:rsid w:val="7DB60481"/>
    <w:rsid w:val="7DC15F81"/>
    <w:rsid w:val="7DCF2B6E"/>
    <w:rsid w:val="7DDF24D4"/>
    <w:rsid w:val="7DDF5989"/>
    <w:rsid w:val="7DEE2A25"/>
    <w:rsid w:val="7DF41417"/>
    <w:rsid w:val="7DF43BEB"/>
    <w:rsid w:val="7DFD787D"/>
    <w:rsid w:val="7E0724A9"/>
    <w:rsid w:val="7E0F083E"/>
    <w:rsid w:val="7E141A1F"/>
    <w:rsid w:val="7E1B3D60"/>
    <w:rsid w:val="7E2412AD"/>
    <w:rsid w:val="7E4054C8"/>
    <w:rsid w:val="7E41371D"/>
    <w:rsid w:val="7E5260F7"/>
    <w:rsid w:val="7E5E2C78"/>
    <w:rsid w:val="7E631B50"/>
    <w:rsid w:val="7E6450DE"/>
    <w:rsid w:val="7E6E2228"/>
    <w:rsid w:val="7E7A2C7B"/>
    <w:rsid w:val="7E837D82"/>
    <w:rsid w:val="7E8A517E"/>
    <w:rsid w:val="7E9119F5"/>
    <w:rsid w:val="7E933D3D"/>
    <w:rsid w:val="7EAF1794"/>
    <w:rsid w:val="7EB313EF"/>
    <w:rsid w:val="7EB451CD"/>
    <w:rsid w:val="7EC13A2B"/>
    <w:rsid w:val="7EC36855"/>
    <w:rsid w:val="7EC44FF0"/>
    <w:rsid w:val="7EC605D0"/>
    <w:rsid w:val="7EC7673F"/>
    <w:rsid w:val="7ECA1398"/>
    <w:rsid w:val="7ECE2DE8"/>
    <w:rsid w:val="7ED033F9"/>
    <w:rsid w:val="7ED07995"/>
    <w:rsid w:val="7EE8580A"/>
    <w:rsid w:val="7EEA5AAE"/>
    <w:rsid w:val="7EF57F63"/>
    <w:rsid w:val="7EF66C2F"/>
    <w:rsid w:val="7EFC0F6D"/>
    <w:rsid w:val="7EFE1A5A"/>
    <w:rsid w:val="7F001472"/>
    <w:rsid w:val="7F010F70"/>
    <w:rsid w:val="7F012D1A"/>
    <w:rsid w:val="7F067F32"/>
    <w:rsid w:val="7F0709B3"/>
    <w:rsid w:val="7F141D13"/>
    <w:rsid w:val="7F4018C2"/>
    <w:rsid w:val="7F545032"/>
    <w:rsid w:val="7F545068"/>
    <w:rsid w:val="7F594024"/>
    <w:rsid w:val="7F706A1E"/>
    <w:rsid w:val="7F755EDC"/>
    <w:rsid w:val="7F7A3062"/>
    <w:rsid w:val="7F8C57D4"/>
    <w:rsid w:val="7F8D0AFF"/>
    <w:rsid w:val="7F97386C"/>
    <w:rsid w:val="7F98211C"/>
    <w:rsid w:val="7FA75420"/>
    <w:rsid w:val="7FA90B9F"/>
    <w:rsid w:val="7FAC66D0"/>
    <w:rsid w:val="7FAF23D4"/>
    <w:rsid w:val="7FB01175"/>
    <w:rsid w:val="7FB16B71"/>
    <w:rsid w:val="7FB439A0"/>
    <w:rsid w:val="7FB965A7"/>
    <w:rsid w:val="7FBA7C23"/>
    <w:rsid w:val="7FBE6AEA"/>
    <w:rsid w:val="7FC34C26"/>
    <w:rsid w:val="7FCC5C5D"/>
    <w:rsid w:val="7FD366C9"/>
    <w:rsid w:val="7FF41C06"/>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9" w:semiHidden="0" w:name="heading 4"/>
    <w:lsdException w:qFormat="1" w:uiPriority="9"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qFormat="1" w:unhideWhenUsed="0" w:uiPriority="0" w:semiHidden="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iPriority="99" w:semiHidden="0" w:name="table of authorities"/>
    <w:lsdException w:uiPriority="0" w:name="macro"/>
    <w:lsdException w:qFormat="1" w:uiPriority="99" w:semiHidden="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99" w:name="Body Text 2"/>
    <w:lsdException w:uiPriority="0" w:name="Body Text 3"/>
    <w:lsdException w:uiPriority="0" w:name="Body Text Indent 2"/>
    <w:lsdException w:qFormat="1" w:uiPriority="99"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qFormat="1"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firstLine="420" w:firstLineChars="200"/>
      <w:jc w:val="both"/>
    </w:pPr>
    <w:rPr>
      <w:rFonts w:ascii="宋体" w:hAnsi="宋体" w:eastAsia="宋体" w:cs="Times New Roman"/>
      <w:kern w:val="2"/>
      <w:sz w:val="24"/>
      <w:szCs w:val="24"/>
      <w:lang w:val="en-US" w:eastAsia="zh-CN" w:bidi="ar-SA"/>
    </w:rPr>
  </w:style>
  <w:style w:type="paragraph" w:styleId="4">
    <w:name w:val="heading 1"/>
    <w:basedOn w:val="5"/>
    <w:next w:val="1"/>
    <w:link w:val="49"/>
    <w:autoRedefine/>
    <w:qFormat/>
    <w:uiPriority w:val="0"/>
    <w:pPr>
      <w:keepNext/>
      <w:spacing w:after="100" w:afterLines="100"/>
      <w:ind w:firstLine="0" w:firstLineChars="0"/>
      <w:jc w:val="center"/>
      <w:outlineLvl w:val="0"/>
    </w:pPr>
    <w:rPr>
      <w:b/>
      <w:sz w:val="32"/>
      <w:szCs w:val="20"/>
    </w:rPr>
  </w:style>
  <w:style w:type="paragraph" w:styleId="6">
    <w:name w:val="heading 2"/>
    <w:basedOn w:val="1"/>
    <w:next w:val="1"/>
    <w:link w:val="50"/>
    <w:autoRedefine/>
    <w:unhideWhenUsed/>
    <w:qFormat/>
    <w:uiPriority w:val="0"/>
    <w:pPr>
      <w:keepNext/>
      <w:keepLines/>
      <w:spacing w:beforeLines="75" w:afterLines="15"/>
      <w:ind w:firstLine="0" w:firstLineChars="0"/>
      <w:jc w:val="center"/>
      <w:outlineLvl w:val="1"/>
    </w:pPr>
    <w:rPr>
      <w:b/>
    </w:rPr>
  </w:style>
  <w:style w:type="paragraph" w:styleId="7">
    <w:name w:val="heading 3"/>
    <w:basedOn w:val="1"/>
    <w:next w:val="1"/>
    <w:link w:val="51"/>
    <w:autoRedefine/>
    <w:qFormat/>
    <w:uiPriority w:val="0"/>
    <w:pPr>
      <w:keepNext/>
      <w:keepLines/>
      <w:widowControl/>
      <w:spacing w:beforeLines="50" w:afterLines="10"/>
      <w:ind w:firstLine="480"/>
      <w:jc w:val="left"/>
      <w:outlineLvl w:val="2"/>
    </w:pPr>
    <w:rPr>
      <w:b/>
      <w:szCs w:val="32"/>
    </w:rPr>
  </w:style>
  <w:style w:type="paragraph" w:styleId="8">
    <w:name w:val="heading 4"/>
    <w:basedOn w:val="1"/>
    <w:next w:val="1"/>
    <w:link w:val="52"/>
    <w:autoRedefine/>
    <w:unhideWhenUsed/>
    <w:qFormat/>
    <w:uiPriority w:val="9"/>
    <w:pPr>
      <w:keepNext/>
      <w:keepLines/>
      <w:widowControl/>
      <w:spacing w:before="280" w:after="290" w:line="376" w:lineRule="auto"/>
      <w:ind w:firstLine="0" w:firstLineChars="0"/>
      <w:jc w:val="left"/>
      <w:outlineLvl w:val="3"/>
    </w:pPr>
    <w:rPr>
      <w:rFonts w:ascii="Calibri Light" w:hAnsi="Calibri Light"/>
      <w:b/>
      <w:bCs/>
      <w:kern w:val="0"/>
      <w:sz w:val="28"/>
      <w:szCs w:val="28"/>
    </w:rPr>
  </w:style>
  <w:style w:type="paragraph" w:styleId="9">
    <w:name w:val="heading 5"/>
    <w:basedOn w:val="1"/>
    <w:next w:val="1"/>
    <w:link w:val="53"/>
    <w:autoRedefine/>
    <w:unhideWhenUsed/>
    <w:qFormat/>
    <w:uiPriority w:val="9"/>
    <w:pPr>
      <w:keepNext/>
      <w:keepLines/>
      <w:widowControl/>
      <w:spacing w:before="280" w:after="290" w:line="376" w:lineRule="auto"/>
      <w:ind w:firstLine="0" w:firstLineChars="0"/>
      <w:jc w:val="left"/>
      <w:outlineLvl w:val="4"/>
    </w:pPr>
    <w:rPr>
      <w:rFonts w:ascii="Calibri" w:hAnsi="Calibri"/>
      <w:b/>
      <w:bCs/>
      <w:kern w:val="0"/>
      <w:sz w:val="28"/>
      <w:szCs w:val="28"/>
    </w:rPr>
  </w:style>
  <w:style w:type="paragraph" w:styleId="10">
    <w:name w:val="heading 6"/>
    <w:basedOn w:val="1"/>
    <w:next w:val="1"/>
    <w:qFormat/>
    <w:uiPriority w:val="0"/>
    <w:pPr>
      <w:keepNext/>
      <w:keepLines/>
      <w:numPr>
        <w:ilvl w:val="5"/>
        <w:numId w:val="1"/>
      </w:numPr>
      <w:ind w:firstLineChars="0"/>
      <w:outlineLvl w:val="5"/>
    </w:pPr>
    <w:rPr>
      <w:rFonts w:hAnsi="宋体" w:cstheme="minorBidi"/>
      <w:b/>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3"/>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Plain Text"/>
    <w:basedOn w:val="1"/>
    <w:next w:val="1"/>
    <w:link w:val="56"/>
    <w:autoRedefine/>
    <w:qFormat/>
    <w:uiPriority w:val="0"/>
    <w:rPr>
      <w:rFonts w:hAnsi="Courier New"/>
      <w:szCs w:val="20"/>
    </w:rPr>
  </w:style>
  <w:style w:type="paragraph" w:styleId="5">
    <w:name w:val="List Paragraph"/>
    <w:basedOn w:val="1"/>
    <w:autoRedefine/>
    <w:unhideWhenUsed/>
    <w:qFormat/>
    <w:uiPriority w:val="34"/>
  </w:style>
  <w:style w:type="paragraph" w:styleId="11">
    <w:name w:val="toc 7"/>
    <w:basedOn w:val="1"/>
    <w:next w:val="1"/>
    <w:autoRedefine/>
    <w:unhideWhenUsed/>
    <w:qFormat/>
    <w:uiPriority w:val="39"/>
    <w:pPr>
      <w:widowControl/>
      <w:ind w:left="1440" w:firstLine="0" w:firstLineChars="0"/>
      <w:jc w:val="left"/>
    </w:pPr>
    <w:rPr>
      <w:rFonts w:ascii="Calibri" w:hAnsi="Calibri" w:cs="Calibri"/>
      <w:kern w:val="0"/>
      <w:sz w:val="18"/>
      <w:szCs w:val="18"/>
    </w:rPr>
  </w:style>
  <w:style w:type="paragraph" w:styleId="12">
    <w:name w:val="table of authorities"/>
    <w:basedOn w:val="1"/>
    <w:next w:val="1"/>
    <w:autoRedefine/>
    <w:unhideWhenUsed/>
    <w:qFormat/>
    <w:uiPriority w:val="99"/>
    <w:pPr>
      <w:ind w:left="420" w:leftChars="200"/>
    </w:pPr>
    <w:rPr>
      <w:rFonts w:hint="eastAsia"/>
    </w:rPr>
  </w:style>
  <w:style w:type="paragraph" w:styleId="13">
    <w:name w:val="Normal Indent"/>
    <w:basedOn w:val="1"/>
    <w:autoRedefine/>
    <w:qFormat/>
    <w:uiPriority w:val="0"/>
  </w:style>
  <w:style w:type="paragraph" w:styleId="14">
    <w:name w:val="toa heading"/>
    <w:basedOn w:val="1"/>
    <w:next w:val="1"/>
    <w:autoRedefine/>
    <w:unhideWhenUsed/>
    <w:qFormat/>
    <w:uiPriority w:val="99"/>
    <w:pPr>
      <w:spacing w:before="120"/>
      <w:ind w:firstLine="480"/>
    </w:pPr>
    <w:rPr>
      <w:rFonts w:ascii="Arial" w:hAnsi="Arial"/>
    </w:rPr>
  </w:style>
  <w:style w:type="paragraph" w:styleId="15">
    <w:name w:val="annotation text"/>
    <w:basedOn w:val="1"/>
    <w:next w:val="1"/>
    <w:link w:val="54"/>
    <w:autoRedefine/>
    <w:qFormat/>
    <w:uiPriority w:val="0"/>
    <w:pPr>
      <w:spacing w:line="240" w:lineRule="auto"/>
      <w:ind w:firstLine="0" w:firstLineChars="0"/>
      <w:jc w:val="left"/>
    </w:pPr>
    <w:rPr>
      <w:rFonts w:ascii="Calibri" w:hAnsi="Calibri"/>
      <w:sz w:val="21"/>
      <w:szCs w:val="22"/>
    </w:rPr>
  </w:style>
  <w:style w:type="paragraph" w:styleId="16">
    <w:name w:val="Body Text"/>
    <w:basedOn w:val="1"/>
    <w:link w:val="66"/>
    <w:autoRedefine/>
    <w:qFormat/>
    <w:uiPriority w:val="0"/>
  </w:style>
  <w:style w:type="paragraph" w:styleId="17">
    <w:name w:val="Body Text Indent"/>
    <w:basedOn w:val="1"/>
    <w:next w:val="1"/>
    <w:link w:val="55"/>
    <w:autoRedefine/>
    <w:qFormat/>
    <w:uiPriority w:val="0"/>
    <w:pPr>
      <w:spacing w:after="120"/>
      <w:ind w:left="420" w:leftChars="200"/>
    </w:pPr>
  </w:style>
  <w:style w:type="paragraph" w:styleId="18">
    <w:name w:val="toc 5"/>
    <w:basedOn w:val="1"/>
    <w:next w:val="1"/>
    <w:autoRedefine/>
    <w:unhideWhenUsed/>
    <w:qFormat/>
    <w:uiPriority w:val="39"/>
    <w:pPr>
      <w:widowControl/>
      <w:ind w:left="960" w:firstLine="0" w:firstLineChars="0"/>
      <w:jc w:val="left"/>
    </w:pPr>
    <w:rPr>
      <w:rFonts w:ascii="Calibri" w:hAnsi="Calibri" w:cs="Calibri"/>
      <w:kern w:val="0"/>
      <w:sz w:val="18"/>
      <w:szCs w:val="18"/>
    </w:rPr>
  </w:style>
  <w:style w:type="paragraph" w:styleId="19">
    <w:name w:val="toc 3"/>
    <w:basedOn w:val="1"/>
    <w:next w:val="1"/>
    <w:autoRedefine/>
    <w:unhideWhenUsed/>
    <w:qFormat/>
    <w:uiPriority w:val="39"/>
    <w:pPr>
      <w:widowControl/>
      <w:ind w:left="480" w:firstLine="0" w:firstLineChars="0"/>
      <w:jc w:val="left"/>
    </w:pPr>
    <w:rPr>
      <w:rFonts w:ascii="Calibri" w:hAnsi="Calibri" w:cs="Calibri"/>
      <w:i/>
      <w:iCs/>
      <w:kern w:val="0"/>
      <w:sz w:val="20"/>
      <w:szCs w:val="20"/>
    </w:rPr>
  </w:style>
  <w:style w:type="paragraph" w:styleId="20">
    <w:name w:val="toc 8"/>
    <w:basedOn w:val="1"/>
    <w:next w:val="1"/>
    <w:autoRedefine/>
    <w:unhideWhenUsed/>
    <w:qFormat/>
    <w:uiPriority w:val="39"/>
    <w:pPr>
      <w:widowControl/>
      <w:ind w:left="1680" w:firstLine="0" w:firstLineChars="0"/>
      <w:jc w:val="left"/>
    </w:pPr>
    <w:rPr>
      <w:rFonts w:ascii="Calibri" w:hAnsi="Calibri" w:cs="Calibri"/>
      <w:kern w:val="0"/>
      <w:sz w:val="18"/>
      <w:szCs w:val="18"/>
    </w:rPr>
  </w:style>
  <w:style w:type="paragraph" w:styleId="21">
    <w:name w:val="Date"/>
    <w:basedOn w:val="1"/>
    <w:next w:val="1"/>
    <w:link w:val="57"/>
    <w:autoRedefine/>
    <w:unhideWhenUsed/>
    <w:qFormat/>
    <w:uiPriority w:val="99"/>
    <w:pPr>
      <w:widowControl/>
      <w:ind w:left="100" w:leftChars="2500" w:firstLine="0" w:firstLineChars="0"/>
      <w:jc w:val="left"/>
    </w:pPr>
    <w:rPr>
      <w:rFonts w:ascii="Calibri" w:hAnsi="Calibri"/>
      <w:kern w:val="0"/>
    </w:rPr>
  </w:style>
  <w:style w:type="paragraph" w:styleId="22">
    <w:name w:val="Balloon Text"/>
    <w:basedOn w:val="1"/>
    <w:link w:val="58"/>
    <w:autoRedefine/>
    <w:qFormat/>
    <w:uiPriority w:val="99"/>
    <w:pPr>
      <w:spacing w:line="240" w:lineRule="auto"/>
    </w:pPr>
    <w:rPr>
      <w:sz w:val="18"/>
      <w:szCs w:val="18"/>
    </w:rPr>
  </w:style>
  <w:style w:type="paragraph" w:styleId="23">
    <w:name w:val="footer"/>
    <w:basedOn w:val="1"/>
    <w:link w:val="59"/>
    <w:autoRedefine/>
    <w:qFormat/>
    <w:uiPriority w:val="99"/>
    <w:pPr>
      <w:pBdr>
        <w:top w:val="thickThinMediumGap" w:color="auto" w:sz="18" w:space="1"/>
        <w:left w:val="none" w:color="auto" w:sz="0" w:space="4"/>
        <w:bottom w:val="none" w:color="auto" w:sz="0" w:space="1"/>
        <w:right w:val="none" w:color="auto" w:sz="0" w:space="4"/>
      </w:pBdr>
      <w:tabs>
        <w:tab w:val="center" w:pos="4153"/>
        <w:tab w:val="right" w:pos="8306"/>
      </w:tabs>
      <w:snapToGrid w:val="0"/>
      <w:spacing w:beforeLines="25"/>
      <w:ind w:firstLine="0" w:firstLineChars="0"/>
    </w:pPr>
    <w:rPr>
      <w:b/>
      <w:sz w:val="18"/>
      <w:szCs w:val="18"/>
    </w:rPr>
  </w:style>
  <w:style w:type="paragraph" w:styleId="24">
    <w:name w:val="header"/>
    <w:basedOn w:val="1"/>
    <w:link w:val="60"/>
    <w:autoRedefine/>
    <w:qFormat/>
    <w:uiPriority w:val="99"/>
    <w:pPr>
      <w:pBdr>
        <w:top w:val="none" w:color="auto" w:sz="0" w:space="1"/>
        <w:left w:val="none" w:color="auto" w:sz="0" w:space="4"/>
        <w:bottom w:val="thinThickMediumGap" w:color="auto" w:sz="18" w:space="1"/>
        <w:right w:val="none" w:color="auto" w:sz="0" w:space="4"/>
      </w:pBdr>
      <w:tabs>
        <w:tab w:val="center" w:pos="4153"/>
        <w:tab w:val="right" w:pos="8306"/>
      </w:tabs>
      <w:snapToGrid w:val="0"/>
      <w:spacing w:afterLines="25" w:line="240" w:lineRule="auto"/>
      <w:ind w:firstLine="0" w:firstLineChars="0"/>
      <w:jc w:val="right"/>
    </w:pPr>
    <w:rPr>
      <w:b/>
      <w:sz w:val="18"/>
    </w:rPr>
  </w:style>
  <w:style w:type="paragraph" w:styleId="25">
    <w:name w:val="toc 1"/>
    <w:basedOn w:val="1"/>
    <w:next w:val="1"/>
    <w:autoRedefine/>
    <w:qFormat/>
    <w:uiPriority w:val="39"/>
  </w:style>
  <w:style w:type="paragraph" w:styleId="26">
    <w:name w:val="toc 4"/>
    <w:basedOn w:val="1"/>
    <w:next w:val="1"/>
    <w:autoRedefine/>
    <w:unhideWhenUsed/>
    <w:qFormat/>
    <w:uiPriority w:val="39"/>
    <w:pPr>
      <w:widowControl/>
      <w:ind w:left="720" w:firstLine="0" w:firstLineChars="0"/>
      <w:jc w:val="left"/>
    </w:pPr>
    <w:rPr>
      <w:rFonts w:ascii="Calibri" w:hAnsi="Calibri" w:cs="Calibri"/>
      <w:kern w:val="0"/>
      <w:sz w:val="18"/>
      <w:szCs w:val="18"/>
    </w:rPr>
  </w:style>
  <w:style w:type="paragraph" w:styleId="27">
    <w:name w:val="Subtitle"/>
    <w:basedOn w:val="1"/>
    <w:next w:val="1"/>
    <w:link w:val="68"/>
    <w:autoRedefine/>
    <w:qFormat/>
    <w:uiPriority w:val="0"/>
    <w:pPr>
      <w:widowControl/>
      <w:spacing w:before="240" w:after="60" w:line="312" w:lineRule="auto"/>
      <w:jc w:val="center"/>
      <w:outlineLvl w:val="1"/>
    </w:pPr>
    <w:rPr>
      <w:rFonts w:ascii="Cambria" w:hAnsi="Cambria"/>
      <w:b/>
      <w:kern w:val="28"/>
      <w:sz w:val="32"/>
      <w:szCs w:val="32"/>
    </w:rPr>
  </w:style>
  <w:style w:type="paragraph" w:styleId="28">
    <w:name w:val="toc 6"/>
    <w:basedOn w:val="1"/>
    <w:next w:val="1"/>
    <w:autoRedefine/>
    <w:unhideWhenUsed/>
    <w:qFormat/>
    <w:uiPriority w:val="39"/>
    <w:pPr>
      <w:widowControl/>
      <w:ind w:left="1200" w:firstLine="0" w:firstLineChars="0"/>
      <w:jc w:val="left"/>
    </w:pPr>
    <w:rPr>
      <w:rFonts w:ascii="Calibri" w:hAnsi="Calibri" w:cs="Calibri"/>
      <w:kern w:val="0"/>
      <w:sz w:val="18"/>
      <w:szCs w:val="18"/>
    </w:rPr>
  </w:style>
  <w:style w:type="paragraph" w:styleId="29">
    <w:name w:val="Body Text Indent 3"/>
    <w:basedOn w:val="1"/>
    <w:link w:val="61"/>
    <w:autoRedefine/>
    <w:unhideWhenUsed/>
    <w:qFormat/>
    <w:uiPriority w:val="99"/>
    <w:pPr>
      <w:widowControl/>
      <w:spacing w:after="120"/>
      <w:ind w:left="420" w:leftChars="200" w:firstLine="0" w:firstLineChars="0"/>
      <w:jc w:val="left"/>
    </w:pPr>
    <w:rPr>
      <w:rFonts w:ascii="Calibri" w:hAnsi="Calibri"/>
      <w:kern w:val="0"/>
      <w:sz w:val="16"/>
      <w:szCs w:val="16"/>
    </w:rPr>
  </w:style>
  <w:style w:type="paragraph" w:styleId="30">
    <w:name w:val="table of figures"/>
    <w:basedOn w:val="1"/>
    <w:next w:val="1"/>
    <w:autoRedefine/>
    <w:qFormat/>
    <w:uiPriority w:val="0"/>
    <w:pPr>
      <w:spacing w:line="240" w:lineRule="auto"/>
      <w:ind w:firstLine="0" w:firstLineChars="0"/>
      <w:jc w:val="center"/>
    </w:pPr>
    <w:rPr>
      <w:sz w:val="21"/>
    </w:rPr>
  </w:style>
  <w:style w:type="paragraph" w:styleId="31">
    <w:name w:val="toc 2"/>
    <w:basedOn w:val="1"/>
    <w:next w:val="1"/>
    <w:autoRedefine/>
    <w:unhideWhenUsed/>
    <w:qFormat/>
    <w:uiPriority w:val="39"/>
    <w:pPr>
      <w:ind w:left="420" w:leftChars="200"/>
    </w:pPr>
  </w:style>
  <w:style w:type="paragraph" w:styleId="32">
    <w:name w:val="toc 9"/>
    <w:basedOn w:val="1"/>
    <w:next w:val="1"/>
    <w:autoRedefine/>
    <w:unhideWhenUsed/>
    <w:qFormat/>
    <w:uiPriority w:val="39"/>
    <w:pPr>
      <w:widowControl/>
      <w:ind w:left="1920" w:firstLine="0" w:firstLineChars="0"/>
      <w:jc w:val="left"/>
    </w:pPr>
    <w:rPr>
      <w:rFonts w:ascii="Calibri" w:hAnsi="Calibri" w:cs="Calibri"/>
      <w:kern w:val="0"/>
      <w:sz w:val="18"/>
      <w:szCs w:val="18"/>
    </w:rPr>
  </w:style>
  <w:style w:type="paragraph" w:styleId="33">
    <w:name w:val="Body Text 2"/>
    <w:basedOn w:val="1"/>
    <w:semiHidden/>
    <w:qFormat/>
    <w:uiPriority w:val="99"/>
    <w:pPr>
      <w:spacing w:after="120" w:line="480" w:lineRule="auto"/>
    </w:pPr>
  </w:style>
  <w:style w:type="paragraph" w:styleId="34">
    <w:name w:val="HTML Preformatted"/>
    <w:basedOn w:val="1"/>
    <w:link w:val="62"/>
    <w:autoRedefine/>
    <w:qFormat/>
    <w:uiPriority w:val="0"/>
    <w:rPr>
      <w:rFonts w:ascii="Courier New" w:hAnsi="Courier New"/>
      <w:sz w:val="20"/>
    </w:rPr>
  </w:style>
  <w:style w:type="paragraph" w:styleId="35">
    <w:name w:val="Normal (Web)"/>
    <w:basedOn w:val="1"/>
    <w:autoRedefine/>
    <w:qFormat/>
    <w:uiPriority w:val="0"/>
    <w:pPr>
      <w:widowControl/>
      <w:spacing w:before="100" w:beforeAutospacing="1" w:after="100" w:afterAutospacing="1"/>
      <w:jc w:val="left"/>
    </w:pPr>
    <w:rPr>
      <w:kern w:val="0"/>
    </w:rPr>
  </w:style>
  <w:style w:type="paragraph" w:styleId="36">
    <w:name w:val="Title"/>
    <w:basedOn w:val="1"/>
    <w:next w:val="1"/>
    <w:link w:val="69"/>
    <w:autoRedefine/>
    <w:qFormat/>
    <w:uiPriority w:val="0"/>
    <w:pPr>
      <w:widowControl/>
      <w:spacing w:before="240" w:after="60"/>
      <w:jc w:val="center"/>
      <w:outlineLvl w:val="0"/>
    </w:pPr>
    <w:rPr>
      <w:rFonts w:ascii="Cambria" w:hAnsi="Cambria"/>
      <w:b/>
      <w:sz w:val="32"/>
      <w:szCs w:val="32"/>
    </w:rPr>
  </w:style>
  <w:style w:type="paragraph" w:styleId="37">
    <w:name w:val="annotation subject"/>
    <w:basedOn w:val="15"/>
    <w:next w:val="15"/>
    <w:link w:val="63"/>
    <w:autoRedefine/>
    <w:qFormat/>
    <w:uiPriority w:val="0"/>
    <w:pPr>
      <w:spacing w:line="360" w:lineRule="auto"/>
      <w:ind w:firstLine="420" w:firstLineChars="200"/>
    </w:pPr>
    <w:rPr>
      <w:rFonts w:ascii="宋体" w:hAnsi="宋体"/>
      <w:b/>
      <w:bCs/>
      <w:sz w:val="24"/>
      <w:szCs w:val="24"/>
    </w:rPr>
  </w:style>
  <w:style w:type="paragraph" w:styleId="38">
    <w:name w:val="Body Text First Indent"/>
    <w:basedOn w:val="16"/>
    <w:next w:val="1"/>
    <w:link w:val="67"/>
    <w:autoRedefine/>
    <w:qFormat/>
    <w:uiPriority w:val="0"/>
    <w:pPr>
      <w:ind w:firstLine="100" w:firstLineChars="100"/>
    </w:pPr>
    <w:rPr>
      <w:sz w:val="28"/>
    </w:rPr>
  </w:style>
  <w:style w:type="paragraph" w:styleId="39">
    <w:name w:val="Body Text First Indent 2"/>
    <w:basedOn w:val="17"/>
    <w:next w:val="1"/>
    <w:qFormat/>
    <w:uiPriority w:val="0"/>
    <w:pPr>
      <w:ind w:firstLine="420" w:firstLineChars="200"/>
    </w:pPr>
  </w:style>
  <w:style w:type="table" w:styleId="41">
    <w:name w:val="Table Grid"/>
    <w:basedOn w:val="40"/>
    <w:autoRedefine/>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Strong"/>
    <w:basedOn w:val="42"/>
    <w:qFormat/>
    <w:uiPriority w:val="0"/>
    <w:rPr>
      <w:b/>
    </w:rPr>
  </w:style>
  <w:style w:type="character" w:styleId="44">
    <w:name w:val="page number"/>
    <w:autoRedefine/>
    <w:qFormat/>
    <w:uiPriority w:val="0"/>
    <w:rPr>
      <w:rFonts w:eastAsia="宋体"/>
      <w:sz w:val="24"/>
      <w:szCs w:val="24"/>
      <w:lang w:val="en-US" w:eastAsia="zh-CN" w:bidi="ar-SA"/>
    </w:rPr>
  </w:style>
  <w:style w:type="character" w:styleId="45">
    <w:name w:val="Hyperlink"/>
    <w:basedOn w:val="42"/>
    <w:autoRedefine/>
    <w:qFormat/>
    <w:uiPriority w:val="99"/>
    <w:rPr>
      <w:rFonts w:eastAsia="宋体"/>
      <w:color w:val="0000FF"/>
      <w:sz w:val="24"/>
      <w:szCs w:val="24"/>
      <w:u w:val="single"/>
      <w:lang w:val="en-US" w:eastAsia="zh-CN" w:bidi="ar-SA"/>
    </w:rPr>
  </w:style>
  <w:style w:type="character" w:styleId="46">
    <w:name w:val="annotation reference"/>
    <w:basedOn w:val="42"/>
    <w:autoRedefine/>
    <w:qFormat/>
    <w:uiPriority w:val="0"/>
    <w:rPr>
      <w:sz w:val="21"/>
      <w:szCs w:val="21"/>
    </w:rPr>
  </w:style>
  <w:style w:type="character" w:styleId="47">
    <w:name w:val="HTML Sample"/>
    <w:basedOn w:val="42"/>
    <w:semiHidden/>
    <w:unhideWhenUsed/>
    <w:qFormat/>
    <w:uiPriority w:val="0"/>
    <w:rPr>
      <w:rFonts w:ascii="Courier New" w:hAnsi="Courier New"/>
    </w:rPr>
  </w:style>
  <w:style w:type="paragraph" w:customStyle="1" w:styleId="48">
    <w:name w:val="样式1"/>
    <w:basedOn w:val="23"/>
    <w:autoRedefine/>
    <w:qFormat/>
    <w:uiPriority w:val="0"/>
    <w:pPr>
      <w:adjustRightInd w:val="0"/>
      <w:textAlignment w:val="baseline"/>
    </w:pPr>
    <w:rPr>
      <w:kern w:val="0"/>
      <w:szCs w:val="21"/>
    </w:rPr>
  </w:style>
  <w:style w:type="character" w:customStyle="1" w:styleId="49">
    <w:name w:val="标题 1 Char"/>
    <w:link w:val="4"/>
    <w:autoRedefine/>
    <w:qFormat/>
    <w:locked/>
    <w:uiPriority w:val="0"/>
    <w:rPr>
      <w:rFonts w:ascii="宋体" w:hAnsi="宋体" w:eastAsia="宋体"/>
      <w:b/>
      <w:sz w:val="32"/>
      <w:szCs w:val="20"/>
    </w:rPr>
  </w:style>
  <w:style w:type="character" w:customStyle="1" w:styleId="50">
    <w:name w:val="标题 2 Char"/>
    <w:link w:val="6"/>
    <w:autoRedefine/>
    <w:qFormat/>
    <w:uiPriority w:val="0"/>
    <w:rPr>
      <w:rFonts w:ascii="宋体" w:hAnsi="宋体" w:eastAsia="宋体"/>
      <w:b/>
      <w:sz w:val="24"/>
      <w:szCs w:val="24"/>
    </w:rPr>
  </w:style>
  <w:style w:type="character" w:customStyle="1" w:styleId="51">
    <w:name w:val="标题 3 Char"/>
    <w:link w:val="7"/>
    <w:autoRedefine/>
    <w:qFormat/>
    <w:uiPriority w:val="0"/>
    <w:rPr>
      <w:rFonts w:eastAsia="宋体"/>
      <w:b/>
      <w:sz w:val="24"/>
      <w:szCs w:val="32"/>
    </w:rPr>
  </w:style>
  <w:style w:type="character" w:customStyle="1" w:styleId="52">
    <w:name w:val="标题 4 Char"/>
    <w:basedOn w:val="42"/>
    <w:link w:val="8"/>
    <w:autoRedefine/>
    <w:qFormat/>
    <w:uiPriority w:val="9"/>
    <w:rPr>
      <w:rFonts w:ascii="Calibri Light" w:hAnsi="Calibri Light" w:eastAsia="宋体" w:cs="Times New Roman"/>
      <w:b/>
      <w:bCs/>
      <w:sz w:val="28"/>
      <w:szCs w:val="28"/>
    </w:rPr>
  </w:style>
  <w:style w:type="character" w:customStyle="1" w:styleId="53">
    <w:name w:val="标题 5 Char"/>
    <w:basedOn w:val="42"/>
    <w:link w:val="9"/>
    <w:autoRedefine/>
    <w:qFormat/>
    <w:uiPriority w:val="9"/>
    <w:rPr>
      <w:rFonts w:ascii="Calibri" w:hAnsi="Calibri"/>
      <w:b/>
      <w:bCs/>
      <w:sz w:val="28"/>
      <w:szCs w:val="28"/>
    </w:rPr>
  </w:style>
  <w:style w:type="character" w:customStyle="1" w:styleId="54">
    <w:name w:val="批注文字 Char"/>
    <w:basedOn w:val="42"/>
    <w:link w:val="15"/>
    <w:autoRedefine/>
    <w:qFormat/>
    <w:uiPriority w:val="0"/>
    <w:rPr>
      <w:rFonts w:ascii="Calibri" w:hAnsi="Calibri"/>
      <w:kern w:val="2"/>
      <w:sz w:val="21"/>
      <w:szCs w:val="22"/>
    </w:rPr>
  </w:style>
  <w:style w:type="character" w:customStyle="1" w:styleId="55">
    <w:name w:val="正文文本缩进 Char"/>
    <w:basedOn w:val="42"/>
    <w:link w:val="17"/>
    <w:autoRedefine/>
    <w:qFormat/>
    <w:uiPriority w:val="0"/>
    <w:rPr>
      <w:rFonts w:ascii="宋体" w:hAnsi="宋体"/>
      <w:kern w:val="2"/>
      <w:sz w:val="24"/>
      <w:szCs w:val="24"/>
    </w:rPr>
  </w:style>
  <w:style w:type="character" w:customStyle="1" w:styleId="56">
    <w:name w:val="纯文本 Char"/>
    <w:basedOn w:val="42"/>
    <w:link w:val="3"/>
    <w:autoRedefine/>
    <w:qFormat/>
    <w:uiPriority w:val="0"/>
    <w:rPr>
      <w:rFonts w:ascii="宋体" w:hAnsi="Courier New"/>
      <w:kern w:val="2"/>
      <w:sz w:val="24"/>
    </w:rPr>
  </w:style>
  <w:style w:type="character" w:customStyle="1" w:styleId="57">
    <w:name w:val="日期 Char"/>
    <w:basedOn w:val="42"/>
    <w:link w:val="21"/>
    <w:autoRedefine/>
    <w:qFormat/>
    <w:uiPriority w:val="99"/>
    <w:rPr>
      <w:rFonts w:ascii="Calibri" w:hAnsi="Calibri"/>
      <w:sz w:val="24"/>
      <w:szCs w:val="24"/>
    </w:rPr>
  </w:style>
  <w:style w:type="character" w:customStyle="1" w:styleId="58">
    <w:name w:val="批注框文本 Char"/>
    <w:basedOn w:val="42"/>
    <w:link w:val="22"/>
    <w:autoRedefine/>
    <w:qFormat/>
    <w:uiPriority w:val="99"/>
    <w:rPr>
      <w:rFonts w:ascii="宋体" w:hAnsi="宋体"/>
      <w:kern w:val="2"/>
      <w:sz w:val="18"/>
      <w:szCs w:val="18"/>
    </w:rPr>
  </w:style>
  <w:style w:type="character" w:customStyle="1" w:styleId="59">
    <w:name w:val="页脚 Char"/>
    <w:link w:val="23"/>
    <w:autoRedefine/>
    <w:qFormat/>
    <w:uiPriority w:val="99"/>
    <w:rPr>
      <w:b/>
      <w:sz w:val="18"/>
      <w:szCs w:val="18"/>
    </w:rPr>
  </w:style>
  <w:style w:type="character" w:customStyle="1" w:styleId="60">
    <w:name w:val="页眉 Char"/>
    <w:link w:val="24"/>
    <w:autoRedefine/>
    <w:qFormat/>
    <w:uiPriority w:val="99"/>
    <w:rPr>
      <w:b/>
      <w:sz w:val="18"/>
    </w:rPr>
  </w:style>
  <w:style w:type="character" w:customStyle="1" w:styleId="61">
    <w:name w:val="正文文本缩进 3 Char"/>
    <w:basedOn w:val="42"/>
    <w:link w:val="29"/>
    <w:autoRedefine/>
    <w:qFormat/>
    <w:uiPriority w:val="99"/>
    <w:rPr>
      <w:rFonts w:ascii="Calibri" w:hAnsi="Calibri"/>
      <w:sz w:val="16"/>
      <w:szCs w:val="16"/>
    </w:rPr>
  </w:style>
  <w:style w:type="character" w:customStyle="1" w:styleId="62">
    <w:name w:val="HTML 预设格式 Char"/>
    <w:basedOn w:val="42"/>
    <w:link w:val="34"/>
    <w:autoRedefine/>
    <w:qFormat/>
    <w:uiPriority w:val="0"/>
    <w:rPr>
      <w:rFonts w:ascii="Courier New" w:hAnsi="Courier New"/>
      <w:kern w:val="2"/>
      <w:szCs w:val="24"/>
    </w:rPr>
  </w:style>
  <w:style w:type="character" w:customStyle="1" w:styleId="63">
    <w:name w:val="批注主题 Char"/>
    <w:basedOn w:val="54"/>
    <w:link w:val="37"/>
    <w:autoRedefine/>
    <w:qFormat/>
    <w:uiPriority w:val="0"/>
    <w:rPr>
      <w:rFonts w:ascii="宋体" w:hAnsi="宋体"/>
      <w:b/>
      <w:bCs/>
      <w:kern w:val="2"/>
      <w:sz w:val="24"/>
      <w:szCs w:val="24"/>
    </w:rPr>
  </w:style>
  <w:style w:type="character" w:customStyle="1" w:styleId="64">
    <w:name w:val="表文"/>
    <w:basedOn w:val="42"/>
    <w:autoRedefine/>
    <w:qFormat/>
    <w:uiPriority w:val="0"/>
    <w:rPr>
      <w:rFonts w:ascii="宋体" w:hAnsi="宋体" w:eastAsia="宋体"/>
      <w:sz w:val="21"/>
      <w:szCs w:val="21"/>
    </w:rPr>
  </w:style>
  <w:style w:type="paragraph" w:customStyle="1" w:styleId="65">
    <w:name w:val="页脚页码"/>
    <w:basedOn w:val="1"/>
    <w:autoRedefine/>
    <w:qFormat/>
    <w:uiPriority w:val="0"/>
    <w:pPr>
      <w:pBdr>
        <w:top w:val="none" w:color="auto" w:sz="0" w:space="1"/>
        <w:left w:val="none" w:color="auto" w:sz="0" w:space="4"/>
        <w:bottom w:val="none" w:color="auto" w:sz="0" w:space="1"/>
        <w:right w:val="none" w:color="auto" w:sz="0" w:space="4"/>
      </w:pBdr>
      <w:autoSpaceDE w:val="0"/>
      <w:autoSpaceDN w:val="0"/>
      <w:spacing w:beforeLines="25"/>
      <w:ind w:firstLine="0" w:firstLineChars="0"/>
      <w:jc w:val="center"/>
    </w:pPr>
    <w:rPr>
      <w:rFonts w:ascii="Times New Roman" w:hAnsi="Times New Roman"/>
      <w:kern w:val="0"/>
      <w:sz w:val="18"/>
      <w:szCs w:val="20"/>
    </w:rPr>
  </w:style>
  <w:style w:type="character" w:customStyle="1" w:styleId="66">
    <w:name w:val="正文文本 Char"/>
    <w:basedOn w:val="42"/>
    <w:link w:val="16"/>
    <w:autoRedefine/>
    <w:qFormat/>
    <w:uiPriority w:val="0"/>
    <w:rPr>
      <w:rFonts w:ascii="宋体" w:hAnsi="宋体"/>
      <w:kern w:val="2"/>
      <w:sz w:val="24"/>
      <w:szCs w:val="24"/>
    </w:rPr>
  </w:style>
  <w:style w:type="character" w:customStyle="1" w:styleId="67">
    <w:name w:val="正文首行缩进 Char"/>
    <w:basedOn w:val="66"/>
    <w:link w:val="38"/>
    <w:autoRedefine/>
    <w:qFormat/>
    <w:uiPriority w:val="0"/>
    <w:rPr>
      <w:rFonts w:ascii="宋体" w:hAnsi="宋体"/>
      <w:kern w:val="2"/>
      <w:sz w:val="28"/>
      <w:szCs w:val="24"/>
    </w:rPr>
  </w:style>
  <w:style w:type="character" w:customStyle="1" w:styleId="68">
    <w:name w:val="副标题 Char"/>
    <w:basedOn w:val="42"/>
    <w:link w:val="27"/>
    <w:autoRedefine/>
    <w:qFormat/>
    <w:uiPriority w:val="0"/>
    <w:rPr>
      <w:rFonts w:ascii="Cambria" w:hAnsi="Cambria"/>
      <w:b/>
      <w:kern w:val="28"/>
      <w:sz w:val="32"/>
      <w:szCs w:val="32"/>
    </w:rPr>
  </w:style>
  <w:style w:type="character" w:customStyle="1" w:styleId="69">
    <w:name w:val="标题 Char"/>
    <w:basedOn w:val="42"/>
    <w:link w:val="36"/>
    <w:autoRedefine/>
    <w:qFormat/>
    <w:uiPriority w:val="0"/>
    <w:rPr>
      <w:rFonts w:ascii="Cambria" w:hAnsi="Cambria"/>
      <w:b/>
      <w:kern w:val="2"/>
      <w:sz w:val="32"/>
      <w:szCs w:val="32"/>
    </w:rPr>
  </w:style>
  <w:style w:type="character" w:customStyle="1" w:styleId="70">
    <w:name w:val="NormalCharacter"/>
    <w:autoRedefine/>
    <w:qFormat/>
    <w:locked/>
    <w:uiPriority w:val="0"/>
  </w:style>
  <w:style w:type="paragraph" w:customStyle="1" w:styleId="71">
    <w:name w:val="Char Char Char"/>
    <w:basedOn w:val="1"/>
    <w:autoRedefine/>
    <w:qFormat/>
    <w:uiPriority w:val="0"/>
    <w:rPr>
      <w:rFonts w:ascii="Tahoma" w:hAnsi="Tahoma"/>
      <w:szCs w:val="20"/>
    </w:rPr>
  </w:style>
  <w:style w:type="paragraph" w:customStyle="1" w:styleId="72">
    <w:name w:val="样式 标题 1 + 四号 居中 段前: 12 磅 段后: 12 磅 行距: 单倍行距"/>
    <w:basedOn w:val="4"/>
    <w:autoRedefine/>
    <w:qFormat/>
    <w:uiPriority w:val="0"/>
    <w:pPr>
      <w:spacing w:before="240" w:after="240" w:line="240" w:lineRule="auto"/>
    </w:pPr>
    <w:rPr>
      <w:rFonts w:cs="宋体"/>
      <w:sz w:val="28"/>
    </w:rPr>
  </w:style>
  <w:style w:type="character" w:customStyle="1" w:styleId="73">
    <w:name w:val="font31"/>
    <w:basedOn w:val="42"/>
    <w:autoRedefine/>
    <w:qFormat/>
    <w:uiPriority w:val="0"/>
    <w:rPr>
      <w:rFonts w:hint="eastAsia" w:ascii="宋体" w:hAnsi="宋体" w:eastAsia="宋体" w:cs="宋体"/>
      <w:color w:val="000000"/>
      <w:sz w:val="21"/>
      <w:szCs w:val="21"/>
      <w:u w:val="none"/>
    </w:rPr>
  </w:style>
  <w:style w:type="character" w:customStyle="1" w:styleId="74">
    <w:name w:val="font01"/>
    <w:basedOn w:val="42"/>
    <w:autoRedefine/>
    <w:qFormat/>
    <w:uiPriority w:val="0"/>
    <w:rPr>
      <w:rFonts w:ascii="Calibri" w:hAnsi="Calibri" w:cs="Calibri"/>
      <w:color w:val="000000"/>
      <w:sz w:val="21"/>
      <w:szCs w:val="21"/>
      <w:u w:val="none"/>
    </w:rPr>
  </w:style>
  <w:style w:type="character" w:customStyle="1" w:styleId="75">
    <w:name w:val="font51"/>
    <w:basedOn w:val="42"/>
    <w:autoRedefine/>
    <w:qFormat/>
    <w:uiPriority w:val="0"/>
    <w:rPr>
      <w:rFonts w:hint="eastAsia" w:ascii="宋体" w:hAnsi="宋体" w:eastAsia="宋体" w:cs="宋体"/>
      <w:color w:val="FF0000"/>
      <w:sz w:val="21"/>
      <w:szCs w:val="21"/>
      <w:u w:val="none"/>
    </w:rPr>
  </w:style>
  <w:style w:type="character" w:customStyle="1" w:styleId="76">
    <w:name w:val="font41"/>
    <w:basedOn w:val="42"/>
    <w:autoRedefine/>
    <w:qFormat/>
    <w:uiPriority w:val="0"/>
    <w:rPr>
      <w:rFonts w:hint="eastAsia" w:ascii="宋体" w:hAnsi="宋体" w:eastAsia="宋体" w:cs="宋体"/>
      <w:color w:val="000000"/>
      <w:sz w:val="21"/>
      <w:szCs w:val="21"/>
      <w:u w:val="none"/>
    </w:rPr>
  </w:style>
  <w:style w:type="character" w:customStyle="1" w:styleId="77">
    <w:name w:val="font61"/>
    <w:basedOn w:val="42"/>
    <w:autoRedefine/>
    <w:qFormat/>
    <w:uiPriority w:val="0"/>
    <w:rPr>
      <w:rFonts w:hint="default" w:ascii="Calibri" w:hAnsi="Calibri" w:cs="Calibri"/>
      <w:color w:val="000000"/>
      <w:sz w:val="21"/>
      <w:szCs w:val="21"/>
      <w:u w:val="none"/>
    </w:rPr>
  </w:style>
  <w:style w:type="paragraph" w:customStyle="1" w:styleId="78">
    <w:name w:val="样式 标题 2 + 宋体 五号 非加粗 黑色"/>
    <w:basedOn w:val="6"/>
    <w:autoRedefine/>
    <w:qFormat/>
    <w:uiPriority w:val="0"/>
    <w:pPr>
      <w:tabs>
        <w:tab w:val="left" w:pos="780"/>
      </w:tabs>
      <w:spacing w:line="416" w:lineRule="atLeast"/>
    </w:pPr>
    <w:rPr>
      <w:b w:val="0"/>
      <w:color w:val="000000"/>
      <w:sz w:val="21"/>
      <w:szCs w:val="32"/>
    </w:rPr>
  </w:style>
  <w:style w:type="paragraph" w:customStyle="1" w:styleId="79">
    <w:name w:val="样式"/>
    <w:autoRedefine/>
    <w:unhideWhenUsed/>
    <w:qFormat/>
    <w:uiPriority w:val="0"/>
    <w:pPr>
      <w:widowControl w:val="0"/>
      <w:autoSpaceDE w:val="0"/>
      <w:autoSpaceDN w:val="0"/>
    </w:pPr>
    <w:rPr>
      <w:rFonts w:hint="eastAsia" w:ascii="Times New Roman" w:hAnsi="Times New Roman" w:eastAsia="宋体" w:cs="Times New Roman"/>
      <w:sz w:val="24"/>
      <w:lang w:val="en-US" w:eastAsia="zh-CN" w:bidi="ar-SA"/>
    </w:rPr>
  </w:style>
  <w:style w:type="paragraph" w:customStyle="1" w:styleId="80">
    <w:name w:val="普通正文"/>
    <w:basedOn w:val="1"/>
    <w:autoRedefine/>
    <w:qFormat/>
    <w:uiPriority w:val="0"/>
    <w:pPr>
      <w:spacing w:before="120" w:after="120"/>
      <w:ind w:firstLine="480"/>
      <w:jc w:val="left"/>
    </w:pPr>
    <w:rPr>
      <w:rFonts w:ascii="Arial" w:hAnsi="Arial"/>
    </w:rPr>
  </w:style>
  <w:style w:type="paragraph" w:customStyle="1" w:styleId="81">
    <w:name w:val="列出段落1"/>
    <w:basedOn w:val="1"/>
    <w:autoRedefine/>
    <w:qFormat/>
    <w:uiPriority w:val="0"/>
    <w:rPr>
      <w:rFonts w:ascii="Times New Roman" w:hAnsi="Times New Roman"/>
    </w:rPr>
  </w:style>
  <w:style w:type="paragraph" w:customStyle="1" w:styleId="82">
    <w:name w:val="cjk"/>
    <w:basedOn w:val="1"/>
    <w:autoRedefine/>
    <w:qFormat/>
    <w:uiPriority w:val="0"/>
    <w:pPr>
      <w:jc w:val="left"/>
    </w:pPr>
    <w:rPr>
      <w:rFonts w:hint="eastAsia"/>
      <w:kern w:val="0"/>
      <w:sz w:val="20"/>
      <w:szCs w:val="20"/>
    </w:rPr>
  </w:style>
  <w:style w:type="paragraph" w:customStyle="1" w:styleId="83">
    <w:name w:val="正文 缩进2"/>
    <w:basedOn w:val="1"/>
    <w:autoRedefine/>
    <w:qFormat/>
    <w:uiPriority w:val="99"/>
    <w:pPr>
      <w:ind w:firstLine="480"/>
    </w:pPr>
    <w:rPr>
      <w:rFonts w:eastAsia="仿宋_GB2312"/>
      <w:szCs w:val="20"/>
    </w:rPr>
  </w:style>
  <w:style w:type="table" w:customStyle="1" w:styleId="84">
    <w:name w:val="Table Normal"/>
    <w:autoRedefine/>
    <w:semiHidden/>
    <w:unhideWhenUsed/>
    <w:qFormat/>
    <w:uiPriority w:val="0"/>
    <w:tblPr>
      <w:tblCellMar>
        <w:top w:w="0" w:type="dxa"/>
        <w:left w:w="0" w:type="dxa"/>
        <w:bottom w:w="0" w:type="dxa"/>
        <w:right w:w="0" w:type="dxa"/>
      </w:tblCellMar>
    </w:tblPr>
  </w:style>
  <w:style w:type="paragraph" w:customStyle="1" w:styleId="85">
    <w:name w:val="Table Text"/>
    <w:basedOn w:val="1"/>
    <w:autoRedefine/>
    <w:semiHidden/>
    <w:qFormat/>
    <w:uiPriority w:val="0"/>
    <w:rPr>
      <w:rFonts w:cs="宋体"/>
      <w:sz w:val="20"/>
      <w:szCs w:val="20"/>
      <w:lang w:eastAsia="en-US"/>
    </w:rPr>
  </w:style>
  <w:style w:type="paragraph" w:customStyle="1" w:styleId="86">
    <w:name w:val="Body Text 21"/>
    <w:basedOn w:val="1"/>
    <w:qFormat/>
    <w:uiPriority w:val="0"/>
    <w:pPr>
      <w:spacing w:line="480" w:lineRule="auto"/>
    </w:pPr>
    <w:rPr>
      <w:sz w:val="20"/>
    </w:rPr>
  </w:style>
  <w:style w:type="paragraph" w:customStyle="1" w:styleId="87">
    <w:name w:val="表格"/>
    <w:basedOn w:val="1"/>
    <w:qFormat/>
    <w:uiPriority w:val="0"/>
    <w:pPr>
      <w:spacing w:line="240" w:lineRule="auto"/>
      <w:ind w:firstLine="0" w:firstLineChars="0"/>
      <w:jc w:val="center"/>
    </w:pPr>
    <w:rPr>
      <w:rFonts w:hint="eastAsia"/>
      <w:spacing w:val="-7"/>
      <w:sz w:val="21"/>
      <w:szCs w:val="21"/>
    </w:rPr>
  </w:style>
  <w:style w:type="paragraph" w:customStyle="1" w:styleId="88">
    <w:name w:val="*正文"/>
    <w:basedOn w:val="1"/>
    <w:autoRedefine/>
    <w:qFormat/>
    <w:uiPriority w:val="0"/>
    <w:pPr>
      <w:ind w:firstLine="0" w:firstLineChars="0"/>
    </w:pPr>
    <w:rPr>
      <w:b/>
      <w:bCs/>
    </w:rPr>
  </w:style>
  <w:style w:type="paragraph" w:customStyle="1" w:styleId="89">
    <w:name w:val="WPSOffice手动目录 2"/>
    <w:autoRedefine/>
    <w:qFormat/>
    <w:uiPriority w:val="0"/>
    <w:pPr>
      <w:ind w:left="200" w:leftChars="200"/>
    </w:pPr>
    <w:rPr>
      <w:rFonts w:asciiTheme="minorHAnsi" w:hAnsiTheme="minorHAnsi" w:eastAsiaTheme="minorEastAsia" w:cstheme="minorBidi"/>
      <w:lang w:val="en-US" w:eastAsia="zh-CN" w:bidi="ar-SA"/>
    </w:rPr>
  </w:style>
  <w:style w:type="paragraph" w:customStyle="1" w:styleId="90">
    <w:name w:val="正文1"/>
    <w:basedOn w:val="1"/>
    <w:autoRedefine/>
    <w:qFormat/>
    <w:uiPriority w:val="0"/>
    <w:pPr>
      <w:ind w:firstLine="0" w:firstLineChars="0"/>
      <w:jc w:val="center"/>
    </w:pPr>
    <w:rPr>
      <w:rFonts w:ascii="Arial" w:hAnsi="Arial"/>
      <w:color w:val="000000"/>
      <w:szCs w:val="20"/>
    </w:rPr>
  </w:style>
  <w:style w:type="paragraph" w:customStyle="1" w:styleId="91">
    <w:name w:val="样式 Times New Roman 首行缩进:  2 字符"/>
    <w:basedOn w:val="1"/>
    <w:autoRedefine/>
    <w:qFormat/>
    <w:uiPriority w:val="0"/>
    <w:rPr>
      <w:rFonts w:cs="宋体"/>
      <w:color w:val="000000" w:themeColor="text1"/>
      <w:szCs w:val="20"/>
      <w14:textFill>
        <w14:solidFill>
          <w14:schemeClr w14:val="tx1"/>
        </w14:solidFill>
      </w14:textFill>
      <w14:ligatures w14:val="standardContextual"/>
    </w:rPr>
  </w:style>
  <w:style w:type="paragraph" w:customStyle="1" w:styleId="92">
    <w:name w:val="tu1"/>
    <w:basedOn w:val="1"/>
    <w:next w:val="1"/>
    <w:autoRedefine/>
    <w:qFormat/>
    <w:uiPriority w:val="0"/>
    <w:pPr>
      <w:numPr>
        <w:ilvl w:val="0"/>
        <w:numId w:val="2"/>
      </w:numPr>
      <w:tabs>
        <w:tab w:val="left" w:pos="425"/>
      </w:tabs>
      <w:autoSpaceDE w:val="0"/>
      <w:autoSpaceDN w:val="0"/>
      <w:adjustRightInd w:val="0"/>
      <w:snapToGrid w:val="0"/>
      <w:spacing w:before="190" w:beforeLines="50"/>
      <w:ind w:firstLine="0" w:firstLineChars="0"/>
      <w:jc w:val="center"/>
      <w:textAlignment w:val="baseline"/>
    </w:pPr>
    <w:rPr>
      <w:rFonts w:ascii="Arial"/>
      <w:kern w:val="0"/>
      <w:sz w:val="21"/>
      <w:szCs w:val="21"/>
    </w:rPr>
  </w:style>
  <w:style w:type="paragraph" w:customStyle="1" w:styleId="93">
    <w:name w:val="表格文本居左"/>
    <w:basedOn w:val="1"/>
    <w:qFormat/>
    <w:uiPriority w:val="0"/>
    <w:pPr>
      <w:spacing w:line="360" w:lineRule="auto"/>
      <w:jc w:val="center"/>
    </w:pPr>
    <w:rPr>
      <w:rFonts w:ascii="宋体" w:hAnsi="宋体" w:eastAsia="宋体"/>
    </w:rPr>
  </w:style>
  <w:style w:type="paragraph" w:customStyle="1" w:styleId="9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glossaryDocument" Target="glossary/document.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6.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94e2ce4-9db8-454e-a69a-ba1f019d843e}"/>
        <w:style w:val=""/>
        <w:category>
          <w:name w:val="常规"/>
          <w:gallery w:val="placeholder"/>
        </w:category>
        <w:types>
          <w:type w:val="bbPlcHdr"/>
        </w:types>
        <w:behaviors>
          <w:behavior w:val="content"/>
        </w:behaviors>
        <w:description w:val=""/>
        <w:guid w:val="{b94e2ce4-9db8-454e-a69a-ba1f019d843e}"/>
      </w:docPartPr>
      <w:docPartBody>
        <w:p w14:paraId="7A5291E9">
          <w:pPr>
            <w:pStyle w:val="3"/>
            <w:rPr>
              <w:rFonts w:hint="eastAsia"/>
            </w:rPr>
          </w:pPr>
          <w:r>
            <w:rPr>
              <w:rStyle w:val="4"/>
              <w:rFonts w:hint="eastAsia"/>
            </w:rPr>
            <w:t>单击或点击此处输入文字。</w:t>
          </w:r>
        </w:p>
      </w:docPartBody>
    </w:docPart>
    <w:docPart>
      <w:docPartPr>
        <w:name w:val="{b2e307ab-b4c8-46bd-93dc-1e787e27a9b1}"/>
        <w:style w:val=""/>
        <w:category>
          <w:name w:val="常规"/>
          <w:gallery w:val="placeholder"/>
        </w:category>
        <w:types>
          <w:type w:val="bbPlcHdr"/>
        </w:types>
        <w:behaviors>
          <w:behavior w:val="content"/>
        </w:behaviors>
        <w:description w:val=""/>
        <w:guid w:val="{b2e307ab-b4c8-46bd-93dc-1e787e27a9b1}"/>
      </w:docPartPr>
      <w:docPartBody>
        <w:p w14:paraId="459E0A31">
          <w:pPr>
            <w:pStyle w:val="5"/>
            <w:rPr>
              <w:rFonts w:hint="eastAsia"/>
            </w:rPr>
          </w:pPr>
          <w:r>
            <w:rPr>
              <w:rStyle w:val="4"/>
              <w:rFonts w:hint="eastAsia"/>
            </w:rPr>
            <w:t>输入要重复的任何内容(包括其他内容控件)。您也可以在表格行周围插入此控件，以便重复部分表格。</w:t>
          </w:r>
        </w:p>
      </w:docPartBody>
    </w:docPart>
    <w:docPart>
      <w:docPartPr>
        <w:name w:val="{8fa5801c-7bbc-48a8-98d0-4511ba0696dd}"/>
        <w:style w:val=""/>
        <w:category>
          <w:name w:val="常规"/>
          <w:gallery w:val="placeholder"/>
        </w:category>
        <w:types>
          <w:type w:val="bbPlcHdr"/>
        </w:types>
        <w:behaviors>
          <w:behavior w:val="content"/>
        </w:behaviors>
        <w:description w:val=""/>
        <w:guid w:val="{8fa5801c-7bbc-48a8-98d0-4511ba0696dd}"/>
      </w:docPartPr>
      <w:docPartBody>
        <w:p w14:paraId="3E6B9339">
          <w:pPr>
            <w:pStyle w:val="6"/>
            <w:rPr>
              <w:rFonts w:hint="eastAsia"/>
            </w:rPr>
          </w:pPr>
          <w:r>
            <w:rPr>
              <w:rStyle w:val="4"/>
              <w:rFonts w:hint="eastAsia"/>
            </w:rPr>
            <w:t>输入要重复的任何内容(包括其他内容控件)。您也可以在表格行周围插入此控件，以便重复部分表格。</w:t>
          </w:r>
        </w:p>
      </w:docPartBody>
    </w:docPart>
    <w:docPart>
      <w:docPartPr>
        <w:name w:val="{a97ee030-d951-4b31-83f3-3c35dec02419}"/>
        <w:style w:val=""/>
        <w:category>
          <w:name w:val="常规"/>
          <w:gallery w:val="placeholder"/>
        </w:category>
        <w:types>
          <w:type w:val="bbPlcHdr"/>
        </w:types>
        <w:behaviors>
          <w:behavior w:val="content"/>
        </w:behaviors>
        <w:description w:val=""/>
        <w:guid w:val="{a97ee030-d951-4b31-83f3-3c35dec02419}"/>
      </w:docPartPr>
      <w:docPartBody>
        <w:p w14:paraId="78DA353B">
          <w:pPr>
            <w:pStyle w:val="7"/>
            <w:rPr>
              <w:rFonts w:hint="eastAsia"/>
            </w:rPr>
          </w:pPr>
          <w:r>
            <w:rPr>
              <w:rStyle w:val="4"/>
              <w:rFonts w:hint="eastAsia"/>
            </w:rPr>
            <w:t>输入要重复的任何内容(包括其他内容控件)。您也可以在表格行周围插入此控件，以便重复部分表格。</w:t>
          </w:r>
        </w:p>
      </w:docPartBody>
    </w:docPart>
    <w:docPart>
      <w:docPartPr>
        <w:name w:val="{1541f5dc-1ee8-48c5-bd91-ab430f171c46}"/>
        <w:style w:val=""/>
        <w:category>
          <w:name w:val="常规"/>
          <w:gallery w:val="placeholder"/>
        </w:category>
        <w:types>
          <w:type w:val="bbPlcHdr"/>
        </w:types>
        <w:behaviors>
          <w:behavior w:val="content"/>
        </w:behaviors>
        <w:description w:val=""/>
        <w:guid w:val="{1541f5dc-1ee8-48c5-bd91-ab430f171c46}"/>
      </w:docPartPr>
      <w:docPartBody>
        <w:p w14:paraId="1E1C8ADF">
          <w:pPr>
            <w:pStyle w:val="8"/>
            <w:rPr>
              <w:rFonts w:hint="eastAsia"/>
            </w:rPr>
          </w:pPr>
          <w:r>
            <w:rPr>
              <w:rStyle w:val="4"/>
              <w:rFonts w:hint="eastAsia"/>
            </w:rPr>
            <w:t>输入要重复的任何内容(包括其他内容控件)。您也可以在表格行周围插入此控件，以便重复部分表格。</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footnotePr>
    <w:footnote w:id="0"/>
    <w:footnote w:id="1"/>
  </w:footnotePr>
  <w:endnotePr>
    <w:endnote w:id="0"/>
    <w:endnote w:id="1"/>
  </w:endnotePr>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99" w:semiHidden="0" w:name="footer"/>
    <w:lsdException w:qFormat="1" w:uiPriority="1" w:name="Default Paragraph Font"/>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paragraph" w:customStyle="1" w:styleId="3">
    <w:name w:val="D7D23338FCAFF248A79279BA5358DF13"/>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styleId="4">
    <w:name w:val="Placeholder Text"/>
    <w:basedOn w:val="2"/>
    <w:semiHidden/>
    <w:qFormat/>
    <w:uiPriority w:val="99"/>
    <w:rPr>
      <w:color w:val="808080"/>
    </w:rPr>
  </w:style>
  <w:style w:type="paragraph" w:customStyle="1" w:styleId="5">
    <w:name w:val="44E6E1F796EE2243A0989A6D7A53F7DE"/>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F88A19BE55071442A1CF2895C1C8F764"/>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14CF46D32D76DE4CBBFDA97EE49413C7"/>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8">
    <w:name w:val="75BA3F0A58C15F41AE392B4F82300F66"/>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9">
    <w:name w:val="footer"/>
    <w:basedOn w:val="1"/>
    <w:unhideWhenUsed/>
    <w:qFormat/>
    <w:uiPriority w:val="99"/>
    <w:pPr>
      <w:tabs>
        <w:tab w:val="center" w:pos="4153"/>
        <w:tab w:val="right" w:pos="8306"/>
      </w:tabs>
      <w:snapToGrid w:val="0"/>
      <w:spacing w:line="240" w:lineRule="auto"/>
    </w:pPr>
    <w:rPr>
      <w:rFonts w:ascii="微软雅黑" w:hAnsi="微软雅黑" w:eastAsia="微软雅黑" w:cs="微软雅黑"/>
      <w:color w:val="000000" w:themeColor="text1"/>
      <w:sz w:val="18"/>
      <w:szCs w:val="18"/>
      <w14:textFill>
        <w14:solidFill>
          <w14:schemeClr w14:val="tx1"/>
        </w14:solidFill>
      </w14:textFill>
    </w:rPr>
  </w:style>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123</Pages>
  <Words>22514</Words>
  <Characters>23473</Characters>
  <Lines>802</Lines>
  <Paragraphs>225</Paragraphs>
  <TotalTime>10</TotalTime>
  <ScaleCrop>false</ScaleCrop>
  <LinksUpToDate>false</LinksUpToDate>
  <CharactersWithSpaces>23680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2023-08-16T09:08:00Z</dcterms:created>
  <dc:creator>Administrator</dc:creator>
  <cp:lastModifiedBy>k</cp:lastModifiedBy>
  <cp:lastPrinted>2025-09-25T07:36:00Z</cp:lastPrinted>
  <dcterms:modified xsi:type="dcterms:W3CDTF">2026-04-30T14:14:50Z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8E45AF9CE35245B797086794F07BC97B_13</vt:lpwstr>
  </property>
  <property fmtid="{D5CDD505-2E9C-101B-9397-08002B2CF9AE}" pid="4" name="KSOTemplateDocerSaveRecord">
    <vt:lpwstr>eyJoZGlkIjoiYzVmM2ZiN2E4ODM0ODdhMzRiZTE1ZGMwNDQyNDkwNGMiLCJ1c2VySWQiOiI0NzI3NDg4NzIifQ==</vt:lpwstr>
  </property>
</Properties>
</file>