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outlineLvl w:val="1"/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  <w:t>服务要求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遵守国家法律法规及医院管理制度，符合院感、安全生产、消防、环保要求。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人员无犯罪记录、身体健康、统一着装、挂牌上岗、文明服务、保护患者隐私。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所有人员岗前培训（院感、消防、安全、操作规范、应急处置）合格上岗。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4.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消防控制室值班员持消防设施操作员中级证；水电维修工持有效特种作业证；医废、污水、洗衣房重点岗位持对应资质。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5.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建立日巡检、周检查、月考核机制，台账完整、可追溯。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6.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作业规范，设置警示标识，做好防护，杜绝安全事故与交叉感染。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7.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突发事件 15分钟到场处置，及时上报。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8.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工具、耗材、保洁用品、维修配件由中标人自行承担。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9.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服从医院统一调度，完成应急、迎检、突击、防汛、清雪等任务。</w:t>
      </w:r>
    </w:p>
    <w:p>
      <w:pPr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10.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垃圾分类规范、医废闭环管理、无卫生死角、无异味、无乱排乱放。</w:t>
      </w:r>
    </w:p>
    <w:p>
      <w:pPr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人员足额驻场，未经甲方书面批准不得擅自减员、换员。12.人员内部调动、更换须提前 7 天书面报备，审核培训合格后方可上岗。</w:t>
      </w:r>
    </w:p>
    <w:p>
      <w:pPr>
        <w:spacing w:line="560" w:lineRule="exact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12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、服务方案及工作制度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1）制定工作制度，主要包括：人员录用制度、档案管理制度、服务管理制度、公用设施设备相关管理制度等。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2）制定项目实施方案，主要包括：交接方案、人员培训方案、人员稳定性方案、保密方案等。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3）制定服务方案，主要包括：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室内保洁服务方案、洗涤服务及配送服务方案、水暖及其他维修服务方案、电工及其他维修服务方案、垃圾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处理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及回收服务方案、园林绿化服务方案、室外保洁服务方案、消防设施操作服务方案、综合服务方案、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房屋维护服务方案、公用设施设备维护服务方案等。</w:t>
      </w:r>
    </w:p>
    <w:p>
      <w:pPr>
        <w:pStyle w:val="2"/>
        <w:rPr>
          <w:color w:val="auto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2751F"/>
    <w:rsid w:val="4AE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2026-05-19T10:29:00Z</dcterms:created>
  <dc:creator>小怪兽</dc:creator>
  <cp:lastModifiedBy>小怪兽</cp:lastModifiedBy>
  <dcterms:modified xsi:type="dcterms:W3CDTF">2026-05-19T10:29:58Z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F0D0B85DA0784ABD9C06705464C955B3</vt:lpwstr>
  </property>
</Properties>
</file>