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70231">
      <w:pPr>
        <w:jc w:val="center"/>
        <w:rPr>
          <w:rFonts w:cs="宋体"/>
          <w:b/>
          <w:bCs/>
          <w:color w:val="auto"/>
          <w:sz w:val="32"/>
          <w:szCs w:val="32"/>
          <w:highlight w:val="none"/>
        </w:rPr>
      </w:pPr>
    </w:p>
    <w:p w14:paraId="1E9F39ED">
      <w:pPr>
        <w:jc w:val="center"/>
        <w:rPr>
          <w:rFonts w:cs="宋体"/>
          <w:b/>
          <w:bCs/>
          <w:color w:val="auto"/>
          <w:sz w:val="32"/>
          <w:szCs w:val="32"/>
          <w:highlight w:val="none"/>
        </w:rPr>
      </w:pPr>
    </w:p>
    <w:p w14:paraId="08FA9DCA">
      <w:pPr>
        <w:jc w:val="center"/>
        <w:rPr>
          <w:rFonts w:cs="宋体"/>
          <w:b/>
          <w:bCs/>
          <w:color w:val="auto"/>
          <w:sz w:val="32"/>
          <w:szCs w:val="32"/>
          <w:highlight w:val="none"/>
        </w:rPr>
      </w:pPr>
    </w:p>
    <w:p w14:paraId="05A32AA1">
      <w:pPr>
        <w:jc w:val="center"/>
        <w:rPr>
          <w:rFonts w:hint="eastAsia" w:eastAsia="宋体" w:cs="宋体"/>
          <w:b/>
          <w:bCs/>
          <w:color w:val="auto"/>
          <w:sz w:val="44"/>
          <w:szCs w:val="44"/>
          <w:highlight w:val="none"/>
          <w:lang w:eastAsia="zh-CN"/>
        </w:rPr>
      </w:pPr>
      <w:r>
        <w:rPr>
          <w:rFonts w:hint="eastAsia" w:cs="宋体"/>
          <w:b/>
          <w:bCs/>
          <w:color w:val="auto"/>
          <w:sz w:val="44"/>
          <w:szCs w:val="44"/>
          <w:highlight w:val="none"/>
          <w:lang w:eastAsia="zh-CN"/>
        </w:rPr>
        <w:t>山西省阳曲县地质灾害综合治理项目监测</w:t>
      </w:r>
    </w:p>
    <w:p w14:paraId="0A23528C">
      <w:pPr>
        <w:jc w:val="center"/>
        <w:rPr>
          <w:rFonts w:cs="宋体"/>
          <w:b/>
          <w:bCs/>
          <w:color w:val="auto"/>
          <w:sz w:val="32"/>
          <w:szCs w:val="32"/>
          <w:highlight w:val="none"/>
        </w:rPr>
      </w:pPr>
    </w:p>
    <w:p w14:paraId="00C19305">
      <w:pPr>
        <w:jc w:val="center"/>
        <w:rPr>
          <w:rFonts w:cs="宋体"/>
          <w:b/>
          <w:bCs/>
          <w:color w:val="auto"/>
          <w:sz w:val="32"/>
          <w:szCs w:val="32"/>
          <w:highlight w:val="none"/>
        </w:rPr>
      </w:pPr>
    </w:p>
    <w:p w14:paraId="27DC9EC5">
      <w:pPr>
        <w:jc w:val="center"/>
        <w:rPr>
          <w:rFonts w:cs="宋体"/>
          <w:b/>
          <w:bCs/>
          <w:color w:val="auto"/>
          <w:sz w:val="32"/>
          <w:szCs w:val="32"/>
          <w:highlight w:val="none"/>
        </w:rPr>
      </w:pPr>
    </w:p>
    <w:p w14:paraId="21C2804D">
      <w:pPr>
        <w:jc w:val="center"/>
        <w:rPr>
          <w:rFonts w:cs="宋体"/>
          <w:b/>
          <w:bCs/>
          <w:color w:val="auto"/>
          <w:sz w:val="56"/>
          <w:szCs w:val="56"/>
          <w:highlight w:val="none"/>
        </w:rPr>
      </w:pPr>
      <w:r>
        <w:rPr>
          <w:rFonts w:hint="eastAsia" w:cs="宋体"/>
          <w:b/>
          <w:bCs/>
          <w:color w:val="auto"/>
          <w:sz w:val="56"/>
          <w:szCs w:val="56"/>
          <w:highlight w:val="none"/>
        </w:rPr>
        <w:t>竞争性磋商文件</w:t>
      </w:r>
    </w:p>
    <w:p w14:paraId="18F3EF69">
      <w:pPr>
        <w:jc w:val="center"/>
        <w:rPr>
          <w:rFonts w:cs="宋体"/>
          <w:b/>
          <w:bCs/>
          <w:color w:val="auto"/>
          <w:sz w:val="32"/>
          <w:szCs w:val="32"/>
          <w:highlight w:val="none"/>
        </w:rPr>
      </w:pPr>
    </w:p>
    <w:p w14:paraId="44362FA6">
      <w:pPr>
        <w:jc w:val="center"/>
        <w:rPr>
          <w:rFonts w:hint="eastAsia" w:cs="宋体"/>
          <w:b/>
          <w:bCs/>
          <w:color w:val="auto"/>
          <w:sz w:val="32"/>
          <w:szCs w:val="32"/>
          <w:highlight w:val="none"/>
          <w:lang w:eastAsia="zh-CN"/>
        </w:rPr>
      </w:pPr>
      <w:r>
        <w:rPr>
          <w:rFonts w:hint="eastAsia" w:cs="宋体"/>
          <w:b/>
          <w:bCs/>
          <w:color w:val="auto"/>
          <w:sz w:val="32"/>
          <w:szCs w:val="32"/>
          <w:highlight w:val="none"/>
        </w:rPr>
        <w:t>项目编号：</w:t>
      </w:r>
      <w:r>
        <w:rPr>
          <w:rFonts w:hint="eastAsia" w:cs="宋体"/>
          <w:b/>
          <w:bCs/>
          <w:color w:val="auto"/>
          <w:sz w:val="32"/>
          <w:szCs w:val="32"/>
          <w:highlight w:val="none"/>
          <w:lang w:eastAsia="zh-CN"/>
        </w:rPr>
        <w:t>1401222026CCS00024</w:t>
      </w:r>
    </w:p>
    <w:p w14:paraId="28039F7E">
      <w:pPr>
        <w:jc w:val="center"/>
        <w:rPr>
          <w:rFonts w:cs="宋体"/>
          <w:b/>
          <w:bCs/>
          <w:color w:val="auto"/>
          <w:sz w:val="32"/>
          <w:szCs w:val="32"/>
          <w:highlight w:val="none"/>
          <w:lang w:val="zh-CN"/>
        </w:rPr>
      </w:pPr>
      <w:r>
        <w:rPr>
          <w:rFonts w:hint="eastAsia" w:cs="宋体"/>
          <w:b/>
          <w:bCs/>
          <w:color w:val="auto"/>
          <w:sz w:val="32"/>
          <w:szCs w:val="32"/>
          <w:highlight w:val="none"/>
        </w:rPr>
        <w:t>采购编号：WTYL-CS20260401</w:t>
      </w:r>
    </w:p>
    <w:p w14:paraId="26CE3ABB">
      <w:pPr>
        <w:jc w:val="center"/>
        <w:rPr>
          <w:rFonts w:cs="宋体"/>
          <w:b/>
          <w:bCs/>
          <w:color w:val="auto"/>
          <w:sz w:val="32"/>
          <w:szCs w:val="32"/>
          <w:highlight w:val="none"/>
        </w:rPr>
      </w:pPr>
    </w:p>
    <w:p w14:paraId="096AAD64">
      <w:pPr>
        <w:jc w:val="center"/>
        <w:rPr>
          <w:rFonts w:cs="宋体"/>
          <w:b/>
          <w:bCs/>
          <w:color w:val="auto"/>
          <w:sz w:val="32"/>
          <w:szCs w:val="32"/>
          <w:highlight w:val="none"/>
        </w:rPr>
      </w:pPr>
    </w:p>
    <w:p w14:paraId="24B85F6E">
      <w:pPr>
        <w:jc w:val="center"/>
        <w:rPr>
          <w:rFonts w:cs="宋体"/>
          <w:b/>
          <w:bCs/>
          <w:color w:val="auto"/>
          <w:sz w:val="32"/>
          <w:szCs w:val="32"/>
          <w:highlight w:val="none"/>
        </w:rPr>
      </w:pPr>
    </w:p>
    <w:p w14:paraId="3B586078">
      <w:pPr>
        <w:jc w:val="center"/>
        <w:rPr>
          <w:rFonts w:cs="宋体"/>
          <w:b/>
          <w:bCs/>
          <w:color w:val="auto"/>
          <w:sz w:val="32"/>
          <w:szCs w:val="32"/>
          <w:highlight w:val="none"/>
        </w:rPr>
      </w:pPr>
    </w:p>
    <w:p w14:paraId="28709D34">
      <w:pPr>
        <w:jc w:val="center"/>
        <w:rPr>
          <w:rFonts w:cs="宋体"/>
          <w:b/>
          <w:bCs/>
          <w:color w:val="auto"/>
          <w:sz w:val="32"/>
          <w:szCs w:val="32"/>
          <w:highlight w:val="none"/>
        </w:rPr>
      </w:pPr>
    </w:p>
    <w:p w14:paraId="351948CC">
      <w:pPr>
        <w:jc w:val="center"/>
        <w:rPr>
          <w:rFonts w:cs="宋体"/>
          <w:b/>
          <w:bCs/>
          <w:color w:val="auto"/>
          <w:sz w:val="32"/>
          <w:szCs w:val="32"/>
          <w:highlight w:val="none"/>
        </w:rPr>
      </w:pPr>
      <w:r>
        <w:rPr>
          <w:rFonts w:hint="eastAsia" w:cs="宋体"/>
          <w:b/>
          <w:bCs/>
          <w:color w:val="auto"/>
          <w:sz w:val="32"/>
          <w:szCs w:val="32"/>
          <w:highlight w:val="none"/>
        </w:rPr>
        <w:t>采购人：阳曲县自然资源局</w:t>
      </w:r>
    </w:p>
    <w:p w14:paraId="54B5808D">
      <w:pPr>
        <w:jc w:val="center"/>
        <w:rPr>
          <w:rFonts w:cs="宋体"/>
          <w:b/>
          <w:bCs/>
          <w:color w:val="auto"/>
          <w:sz w:val="32"/>
          <w:szCs w:val="32"/>
          <w:highlight w:val="none"/>
        </w:rPr>
      </w:pPr>
      <w:r>
        <w:rPr>
          <w:rFonts w:hint="eastAsia" w:cs="宋体"/>
          <w:b/>
          <w:bCs/>
          <w:color w:val="auto"/>
          <w:sz w:val="32"/>
          <w:szCs w:val="32"/>
          <w:highlight w:val="none"/>
        </w:rPr>
        <w:t>采购代理机构：山西万通渊利企业管理咨询有限公司</w:t>
      </w:r>
    </w:p>
    <w:p w14:paraId="3FA6FB82">
      <w:pPr>
        <w:jc w:val="center"/>
        <w:rPr>
          <w:rFonts w:cs="宋体"/>
          <w:b/>
          <w:bCs/>
          <w:color w:val="auto"/>
          <w:sz w:val="32"/>
          <w:szCs w:val="32"/>
          <w:highlight w:val="none"/>
        </w:rPr>
      </w:pPr>
      <w:r>
        <w:rPr>
          <w:rFonts w:hint="eastAsia" w:cs="宋体"/>
          <w:b/>
          <w:bCs/>
          <w:color w:val="auto"/>
          <w:sz w:val="32"/>
          <w:szCs w:val="32"/>
          <w:highlight w:val="none"/>
        </w:rPr>
        <w:t>日    期：二○二</w:t>
      </w:r>
      <w:r>
        <w:rPr>
          <w:rFonts w:hint="eastAsia" w:cs="宋体"/>
          <w:b/>
          <w:bCs/>
          <w:color w:val="auto"/>
          <w:sz w:val="32"/>
          <w:szCs w:val="32"/>
          <w:highlight w:val="none"/>
          <w:lang w:val="en-US" w:eastAsia="zh-CN"/>
        </w:rPr>
        <w:t>六</w:t>
      </w:r>
      <w:r>
        <w:rPr>
          <w:rFonts w:hint="eastAsia" w:cs="宋体"/>
          <w:b/>
          <w:bCs/>
          <w:color w:val="auto"/>
          <w:sz w:val="32"/>
          <w:szCs w:val="32"/>
          <w:highlight w:val="none"/>
        </w:rPr>
        <w:t>年</w:t>
      </w:r>
      <w:r>
        <w:rPr>
          <w:rFonts w:hint="eastAsia" w:cs="宋体"/>
          <w:b/>
          <w:bCs/>
          <w:color w:val="auto"/>
          <w:sz w:val="32"/>
          <w:szCs w:val="32"/>
          <w:highlight w:val="none"/>
          <w:lang w:val="en-US" w:eastAsia="zh-CN"/>
        </w:rPr>
        <w:t>四</w:t>
      </w:r>
      <w:r>
        <w:rPr>
          <w:rFonts w:hint="eastAsia" w:cs="宋体"/>
          <w:b/>
          <w:bCs/>
          <w:color w:val="auto"/>
          <w:sz w:val="32"/>
          <w:szCs w:val="32"/>
          <w:highlight w:val="none"/>
        </w:rPr>
        <w:t>月</w:t>
      </w:r>
    </w:p>
    <w:p w14:paraId="20056A3E">
      <w:pPr>
        <w:jc w:val="center"/>
        <w:rPr>
          <w:rFonts w:cs="宋体"/>
          <w:b/>
          <w:bCs/>
          <w:color w:val="auto"/>
          <w:sz w:val="28"/>
          <w:szCs w:val="21"/>
          <w:highlight w:val="none"/>
        </w:rPr>
        <w:sectPr>
          <w:headerReference r:id="rId6" w:type="first"/>
          <w:footerReference r:id="rId7" w:type="first"/>
          <w:headerReference r:id="rId5" w:type="default"/>
          <w:pgSz w:w="11906" w:h="16838"/>
          <w:pgMar w:top="1440" w:right="1440" w:bottom="1440" w:left="1440" w:header="624" w:footer="992" w:gutter="0"/>
          <w:pgNumType w:fmt="decimal"/>
          <w:cols w:space="425" w:num="1"/>
          <w:rtlGutter w:val="0"/>
          <w:docGrid w:type="lines" w:linePitch="312" w:charSpace="0"/>
        </w:sectPr>
      </w:pPr>
    </w:p>
    <w:p w14:paraId="15605B1C">
      <w:pPr>
        <w:jc w:val="center"/>
        <w:rPr>
          <w:rFonts w:cs="宋体"/>
          <w:b/>
          <w:bCs/>
          <w:color w:val="auto"/>
          <w:sz w:val="28"/>
          <w:szCs w:val="21"/>
          <w:highlight w:val="none"/>
        </w:rPr>
      </w:pPr>
      <w:r>
        <w:rPr>
          <w:rFonts w:hint="eastAsia" w:cs="宋体"/>
          <w:b/>
          <w:bCs/>
          <w:color w:val="auto"/>
          <w:sz w:val="28"/>
          <w:szCs w:val="21"/>
          <w:highlight w:val="none"/>
        </w:rPr>
        <w:t>目  录</w:t>
      </w:r>
    </w:p>
    <w:p w14:paraId="44CFEBEE">
      <w:pPr>
        <w:pStyle w:val="13"/>
        <w:tabs>
          <w:tab w:val="right" w:leader="dot" w:pos="9026"/>
        </w:tabs>
        <w:rPr>
          <w:rFonts w:cs="宋体"/>
          <w:bCs/>
          <w:color w:val="auto"/>
          <w:sz w:val="28"/>
          <w:szCs w:val="21"/>
          <w:highlight w:val="none"/>
        </w:rPr>
      </w:pPr>
    </w:p>
    <w:p w14:paraId="52391F88">
      <w:pPr>
        <w:pStyle w:val="13"/>
        <w:tabs>
          <w:tab w:val="right" w:leader="dot" w:pos="9026"/>
        </w:tabs>
        <w:rPr>
          <w:color w:val="auto"/>
          <w:highlight w:val="none"/>
        </w:rPr>
      </w:pPr>
      <w:r>
        <w:rPr>
          <w:rFonts w:hint="eastAsia" w:cs="宋体"/>
          <w:bCs/>
          <w:color w:val="auto"/>
          <w:sz w:val="28"/>
          <w:szCs w:val="21"/>
          <w:highlight w:val="none"/>
        </w:rPr>
        <w:fldChar w:fldCharType="begin"/>
      </w:r>
      <w:r>
        <w:rPr>
          <w:rFonts w:hint="eastAsia" w:cs="宋体"/>
          <w:bCs/>
          <w:color w:val="auto"/>
          <w:sz w:val="28"/>
          <w:szCs w:val="21"/>
          <w:highlight w:val="none"/>
        </w:rPr>
        <w:instrText xml:space="preserve">TOC \o "1-1" \h \u </w:instrText>
      </w:r>
      <w:r>
        <w:rPr>
          <w:rFonts w:hint="eastAsia" w:cs="宋体"/>
          <w:bCs/>
          <w:color w:val="auto"/>
          <w:sz w:val="28"/>
          <w:szCs w:val="21"/>
          <w:highlight w:val="none"/>
        </w:rPr>
        <w:fldChar w:fldCharType="separate"/>
      </w:r>
      <w:r>
        <w:rPr>
          <w:color w:val="auto"/>
          <w:highlight w:val="none"/>
        </w:rPr>
        <w:fldChar w:fldCharType="begin"/>
      </w:r>
      <w:r>
        <w:rPr>
          <w:color w:val="auto"/>
          <w:highlight w:val="none"/>
        </w:rPr>
        <w:instrText xml:space="preserve"> HYPERLINK \l "_Toc25730" </w:instrText>
      </w:r>
      <w:r>
        <w:rPr>
          <w:color w:val="auto"/>
          <w:highlight w:val="none"/>
        </w:rPr>
        <w:fldChar w:fldCharType="separate"/>
      </w:r>
      <w:r>
        <w:rPr>
          <w:rFonts w:hint="eastAsia" w:cs="宋体"/>
          <w:color w:val="auto"/>
          <w:highlight w:val="none"/>
        </w:rPr>
        <w:t>第一部分 竞争性磋商公告</w:t>
      </w:r>
      <w:r>
        <w:rPr>
          <w:color w:val="auto"/>
          <w:highlight w:val="none"/>
        </w:rPr>
        <w:tab/>
      </w:r>
      <w:r>
        <w:rPr>
          <w:color w:val="auto"/>
          <w:highlight w:val="none"/>
        </w:rPr>
        <w:fldChar w:fldCharType="begin"/>
      </w:r>
      <w:r>
        <w:rPr>
          <w:color w:val="auto"/>
          <w:highlight w:val="none"/>
        </w:rPr>
        <w:instrText xml:space="preserve"> PAGEREF _Toc25730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7FD95E1">
      <w:pPr>
        <w:pStyle w:val="13"/>
        <w:tabs>
          <w:tab w:val="right" w:leader="dot" w:pos="9026"/>
        </w:tabs>
        <w:rPr>
          <w:color w:val="auto"/>
          <w:highlight w:val="none"/>
        </w:rPr>
      </w:pPr>
      <w:r>
        <w:rPr>
          <w:color w:val="auto"/>
          <w:highlight w:val="none"/>
        </w:rPr>
        <w:fldChar w:fldCharType="begin"/>
      </w:r>
      <w:r>
        <w:rPr>
          <w:color w:val="auto"/>
          <w:highlight w:val="none"/>
        </w:rPr>
        <w:instrText xml:space="preserve"> HYPERLINK \l "_Toc24907" </w:instrText>
      </w:r>
      <w:r>
        <w:rPr>
          <w:color w:val="auto"/>
          <w:highlight w:val="none"/>
        </w:rPr>
        <w:fldChar w:fldCharType="separate"/>
      </w:r>
      <w:r>
        <w:rPr>
          <w:rFonts w:hint="eastAsia" w:cs="宋体"/>
          <w:color w:val="auto"/>
          <w:highlight w:val="none"/>
        </w:rPr>
        <w:t>第二部分 供应商须知</w:t>
      </w:r>
      <w:r>
        <w:rPr>
          <w:color w:val="auto"/>
          <w:highlight w:val="none"/>
        </w:rPr>
        <w:tab/>
      </w:r>
      <w:r>
        <w:rPr>
          <w:color w:val="auto"/>
          <w:highlight w:val="none"/>
        </w:rPr>
        <w:fldChar w:fldCharType="begin"/>
      </w:r>
      <w:r>
        <w:rPr>
          <w:color w:val="auto"/>
          <w:highlight w:val="none"/>
        </w:rPr>
        <w:instrText xml:space="preserve"> PAGEREF _Toc24907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326AACF">
      <w:pPr>
        <w:pStyle w:val="13"/>
        <w:tabs>
          <w:tab w:val="right" w:leader="dot" w:pos="9026"/>
        </w:tabs>
        <w:rPr>
          <w:color w:val="auto"/>
          <w:highlight w:val="none"/>
        </w:rPr>
      </w:pPr>
      <w:r>
        <w:rPr>
          <w:color w:val="auto"/>
          <w:highlight w:val="none"/>
        </w:rPr>
        <w:fldChar w:fldCharType="begin"/>
      </w:r>
      <w:r>
        <w:rPr>
          <w:color w:val="auto"/>
          <w:highlight w:val="none"/>
        </w:rPr>
        <w:instrText xml:space="preserve"> HYPERLINK \l "_Toc25735" </w:instrText>
      </w:r>
      <w:r>
        <w:rPr>
          <w:color w:val="auto"/>
          <w:highlight w:val="none"/>
        </w:rPr>
        <w:fldChar w:fldCharType="separate"/>
      </w:r>
      <w:r>
        <w:rPr>
          <w:rFonts w:hint="eastAsia" w:cs="宋体"/>
          <w:color w:val="auto"/>
          <w:highlight w:val="none"/>
        </w:rPr>
        <w:t>第三部分 资格性、符合性评审标准</w:t>
      </w:r>
      <w:r>
        <w:rPr>
          <w:color w:val="auto"/>
          <w:highlight w:val="none"/>
        </w:rPr>
        <w:tab/>
      </w:r>
      <w:r>
        <w:rPr>
          <w:color w:val="auto"/>
          <w:highlight w:val="none"/>
        </w:rPr>
        <w:fldChar w:fldCharType="begin"/>
      </w:r>
      <w:r>
        <w:rPr>
          <w:color w:val="auto"/>
          <w:highlight w:val="none"/>
        </w:rPr>
        <w:instrText xml:space="preserve"> PAGEREF _Toc25735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54B38169">
      <w:pPr>
        <w:pStyle w:val="13"/>
        <w:tabs>
          <w:tab w:val="right" w:leader="dot" w:pos="9026"/>
        </w:tabs>
        <w:rPr>
          <w:color w:val="auto"/>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int="eastAsia" w:cs="宋体"/>
          <w:color w:val="auto"/>
          <w:highlight w:val="none"/>
        </w:rPr>
        <w:t>第四部分 评分办法</w:t>
      </w:r>
      <w:r>
        <w:rPr>
          <w:color w:val="auto"/>
          <w:highlight w:val="none"/>
        </w:rPr>
        <w:tab/>
      </w:r>
      <w:r>
        <w:rPr>
          <w:color w:val="auto"/>
          <w:highlight w:val="none"/>
        </w:rPr>
        <w:fldChar w:fldCharType="begin"/>
      </w:r>
      <w:r>
        <w:rPr>
          <w:color w:val="auto"/>
          <w:highlight w:val="none"/>
        </w:rPr>
        <w:instrText xml:space="preserve"> PAGEREF _Toc16634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48A9FE9">
      <w:pPr>
        <w:pStyle w:val="13"/>
        <w:tabs>
          <w:tab w:val="right" w:leader="dot" w:pos="9026"/>
        </w:tabs>
        <w:rPr>
          <w:color w:val="auto"/>
          <w:highlight w:val="none"/>
        </w:rPr>
      </w:pPr>
      <w:r>
        <w:rPr>
          <w:color w:val="auto"/>
          <w:highlight w:val="none"/>
        </w:rPr>
        <w:fldChar w:fldCharType="begin"/>
      </w:r>
      <w:r>
        <w:rPr>
          <w:color w:val="auto"/>
          <w:highlight w:val="none"/>
        </w:rPr>
        <w:instrText xml:space="preserve"> HYPERLINK \l "_Toc16474" </w:instrText>
      </w:r>
      <w:r>
        <w:rPr>
          <w:color w:val="auto"/>
          <w:highlight w:val="none"/>
        </w:rPr>
        <w:fldChar w:fldCharType="separate"/>
      </w:r>
      <w:r>
        <w:rPr>
          <w:rFonts w:hint="eastAsia" w:cs="宋体"/>
          <w:color w:val="auto"/>
          <w:highlight w:val="none"/>
        </w:rPr>
        <w:t>第五部分 商务、技术要求</w:t>
      </w:r>
      <w:r>
        <w:rPr>
          <w:color w:val="auto"/>
          <w:highlight w:val="none"/>
        </w:rPr>
        <w:tab/>
      </w:r>
      <w:r>
        <w:rPr>
          <w:color w:val="auto"/>
          <w:highlight w:val="none"/>
        </w:rPr>
        <w:fldChar w:fldCharType="begin"/>
      </w:r>
      <w:r>
        <w:rPr>
          <w:color w:val="auto"/>
          <w:highlight w:val="none"/>
        </w:rPr>
        <w:instrText xml:space="preserve"> PAGEREF _Toc16474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6D876638">
      <w:pPr>
        <w:pStyle w:val="13"/>
        <w:tabs>
          <w:tab w:val="right" w:leader="dot" w:pos="9026"/>
        </w:tabs>
        <w:rPr>
          <w:color w:val="auto"/>
          <w:highlight w:val="none"/>
        </w:rPr>
      </w:pPr>
      <w:r>
        <w:rPr>
          <w:color w:val="auto"/>
          <w:highlight w:val="none"/>
        </w:rPr>
        <w:fldChar w:fldCharType="begin"/>
      </w:r>
      <w:r>
        <w:rPr>
          <w:color w:val="auto"/>
          <w:highlight w:val="none"/>
        </w:rPr>
        <w:instrText xml:space="preserve"> HYPERLINK \l "_Toc28291" </w:instrText>
      </w:r>
      <w:r>
        <w:rPr>
          <w:color w:val="auto"/>
          <w:highlight w:val="none"/>
        </w:rPr>
        <w:fldChar w:fldCharType="separate"/>
      </w:r>
      <w:r>
        <w:rPr>
          <w:rFonts w:hint="eastAsia" w:cs="宋体"/>
          <w:color w:val="auto"/>
          <w:highlight w:val="none"/>
        </w:rPr>
        <w:t>第六部分 合同协议书</w:t>
      </w:r>
      <w:r>
        <w:rPr>
          <w:color w:val="auto"/>
          <w:highlight w:val="none"/>
        </w:rPr>
        <w:tab/>
      </w:r>
      <w:r>
        <w:rPr>
          <w:color w:val="auto"/>
          <w:highlight w:val="none"/>
        </w:rPr>
        <w:fldChar w:fldCharType="begin"/>
      </w:r>
      <w:r>
        <w:rPr>
          <w:color w:val="auto"/>
          <w:highlight w:val="none"/>
        </w:rPr>
        <w:instrText xml:space="preserve"> PAGEREF _Toc28291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06BE476E">
      <w:pPr>
        <w:pStyle w:val="13"/>
        <w:tabs>
          <w:tab w:val="right" w:leader="dot" w:pos="9026"/>
        </w:tabs>
        <w:rPr>
          <w:color w:val="auto"/>
          <w:highlight w:val="none"/>
        </w:rPr>
      </w:pPr>
      <w:r>
        <w:rPr>
          <w:color w:val="auto"/>
          <w:highlight w:val="none"/>
        </w:rPr>
        <w:fldChar w:fldCharType="begin"/>
      </w:r>
      <w:r>
        <w:rPr>
          <w:color w:val="auto"/>
          <w:highlight w:val="none"/>
        </w:rPr>
        <w:instrText xml:space="preserve"> HYPERLINK \l "_Toc24542" </w:instrText>
      </w:r>
      <w:r>
        <w:rPr>
          <w:color w:val="auto"/>
          <w:highlight w:val="none"/>
        </w:rPr>
        <w:fldChar w:fldCharType="separate"/>
      </w:r>
      <w:r>
        <w:rPr>
          <w:rFonts w:hint="eastAsia" w:cs="宋体"/>
          <w:color w:val="auto"/>
          <w:highlight w:val="none"/>
        </w:rPr>
        <w:t>第七部分 响应文件格式</w:t>
      </w:r>
      <w:r>
        <w:rPr>
          <w:color w:val="auto"/>
          <w:highlight w:val="none"/>
        </w:rPr>
        <w:tab/>
      </w:r>
      <w:r>
        <w:rPr>
          <w:color w:val="auto"/>
          <w:highlight w:val="none"/>
        </w:rPr>
        <w:fldChar w:fldCharType="begin"/>
      </w:r>
      <w:r>
        <w:rPr>
          <w:color w:val="auto"/>
          <w:highlight w:val="none"/>
        </w:rPr>
        <w:instrText xml:space="preserve"> PAGEREF _Toc24542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4DCB4D14">
      <w:pPr>
        <w:rPr>
          <w:rFonts w:cs="宋体"/>
          <w:b/>
          <w:bCs/>
          <w:color w:val="auto"/>
          <w:sz w:val="28"/>
          <w:szCs w:val="21"/>
          <w:highlight w:val="none"/>
        </w:rPr>
      </w:pPr>
      <w:r>
        <w:rPr>
          <w:rFonts w:hint="eastAsia" w:cs="宋体"/>
          <w:bCs/>
          <w:color w:val="auto"/>
          <w:szCs w:val="21"/>
          <w:highlight w:val="none"/>
        </w:rPr>
        <w:fldChar w:fldCharType="end"/>
      </w:r>
    </w:p>
    <w:p w14:paraId="0E57C8B8">
      <w:pPr>
        <w:pStyle w:val="2"/>
        <w:rPr>
          <w:rFonts w:cs="宋体"/>
          <w:color w:val="auto"/>
          <w:highlight w:val="none"/>
        </w:rPr>
        <w:sectPr>
          <w:footerReference r:id="rId8" w:type="default"/>
          <w:pgSz w:w="11906" w:h="16838"/>
          <w:pgMar w:top="1440" w:right="1440" w:bottom="1440" w:left="1440" w:header="624" w:footer="992" w:gutter="0"/>
          <w:pgNumType w:fmt="decimal" w:start="1"/>
          <w:cols w:space="425" w:num="1"/>
          <w:rtlGutter w:val="0"/>
          <w:docGrid w:type="lines" w:linePitch="312" w:charSpace="0"/>
        </w:sectPr>
      </w:pPr>
      <w:bookmarkStart w:id="0" w:name="_Toc18483795"/>
    </w:p>
    <w:p w14:paraId="3C331111">
      <w:pPr>
        <w:pStyle w:val="2"/>
        <w:rPr>
          <w:rFonts w:cs="宋体"/>
          <w:color w:val="auto"/>
          <w:highlight w:val="none"/>
        </w:rPr>
      </w:pPr>
      <w:bookmarkStart w:id="1" w:name="_Toc25730"/>
      <w:r>
        <w:rPr>
          <w:rFonts w:hint="eastAsia" w:cs="宋体"/>
          <w:color w:val="auto"/>
          <w:highlight w:val="none"/>
        </w:rPr>
        <w:t>第一部分 竞争性磋商公告</w:t>
      </w:r>
      <w:bookmarkEnd w:id="0"/>
      <w:bookmarkEnd w:id="1"/>
    </w:p>
    <w:p w14:paraId="35577926">
      <w:pPr>
        <w:pBdr>
          <w:top w:val="single" w:color="auto" w:sz="4" w:space="1"/>
          <w:left w:val="single" w:color="auto" w:sz="4" w:space="4"/>
          <w:bottom w:val="single" w:color="auto" w:sz="4" w:space="1"/>
          <w:right w:val="single" w:color="auto" w:sz="4" w:space="4"/>
        </w:pBdr>
        <w:ind w:firstLine="480" w:firstLineChars="200"/>
        <w:rPr>
          <w:rFonts w:cs="宋体"/>
          <w:color w:val="auto"/>
          <w:szCs w:val="24"/>
          <w:highlight w:val="none"/>
        </w:rPr>
      </w:pPr>
      <w:r>
        <w:rPr>
          <w:rFonts w:hint="eastAsia" w:cs="宋体"/>
          <w:color w:val="auto"/>
          <w:szCs w:val="24"/>
          <w:highlight w:val="none"/>
        </w:rPr>
        <w:t>项目概况：</w:t>
      </w:r>
    </w:p>
    <w:p w14:paraId="473A3BCA">
      <w:pPr>
        <w:pBdr>
          <w:top w:val="single" w:color="auto" w:sz="4" w:space="1"/>
          <w:left w:val="single" w:color="auto" w:sz="4" w:space="4"/>
          <w:bottom w:val="single" w:color="auto" w:sz="4" w:space="1"/>
          <w:right w:val="single" w:color="auto" w:sz="4" w:space="4"/>
        </w:pBdr>
        <w:ind w:firstLine="480" w:firstLineChars="200"/>
        <w:rPr>
          <w:rFonts w:cs="宋体"/>
          <w:color w:val="auto"/>
          <w:sz w:val="28"/>
          <w:szCs w:val="28"/>
          <w:highlight w:val="none"/>
        </w:rPr>
      </w:pPr>
      <w:r>
        <w:rPr>
          <w:rFonts w:hint="eastAsia" w:cs="宋体"/>
          <w:color w:val="auto"/>
          <w:szCs w:val="24"/>
          <w:highlight w:val="none"/>
          <w:lang w:eastAsia="zh-CN"/>
        </w:rPr>
        <w:t>山西省阳曲县地质灾害综合治理项目监测</w:t>
      </w:r>
      <w:r>
        <w:rPr>
          <w:rFonts w:hint="eastAsia" w:cs="宋体"/>
          <w:color w:val="auto"/>
          <w:szCs w:val="24"/>
          <w:highlight w:val="none"/>
        </w:rPr>
        <w:t>的潜在供应商应在山西政府采购平台</w:t>
      </w:r>
      <w:r>
        <w:rPr>
          <w:rFonts w:hint="eastAsia" w:cs="宋体"/>
          <w:snapToGrid w:val="0"/>
          <w:color w:val="auto"/>
          <w:highlight w:val="none"/>
        </w:rPr>
        <w:t>线上获取采购文件，并于</w:t>
      </w:r>
      <w:r>
        <w:rPr>
          <w:rFonts w:hint="eastAsia" w:cs="宋体"/>
          <w:snapToGrid w:val="0"/>
          <w:color w:val="auto"/>
          <w:highlight w:val="none"/>
          <w:lang w:eastAsia="zh-CN"/>
        </w:rPr>
        <w:t>2026年5月6日14:15</w:t>
      </w:r>
      <w:r>
        <w:rPr>
          <w:rFonts w:hint="eastAsia" w:cs="宋体"/>
          <w:snapToGrid w:val="0"/>
          <w:color w:val="auto"/>
          <w:highlight w:val="none"/>
        </w:rPr>
        <w:t>（北京时间）前递交响应文件。</w:t>
      </w:r>
    </w:p>
    <w:p w14:paraId="78F2F929">
      <w:pPr>
        <w:pStyle w:val="7"/>
        <w:ind w:firstLine="482"/>
        <w:rPr>
          <w:rFonts w:cs="宋体"/>
          <w:b/>
          <w:bCs/>
          <w:color w:val="auto"/>
          <w:highlight w:val="none"/>
        </w:rPr>
      </w:pPr>
      <w:r>
        <w:rPr>
          <w:rFonts w:hint="eastAsia" w:cs="宋体"/>
          <w:b/>
          <w:bCs/>
          <w:color w:val="auto"/>
          <w:highlight w:val="none"/>
        </w:rPr>
        <w:t>一、项目基本情况</w:t>
      </w:r>
    </w:p>
    <w:p w14:paraId="6EEF28D5">
      <w:pPr>
        <w:pStyle w:val="7"/>
        <w:ind w:firstLine="480"/>
        <w:rPr>
          <w:rFonts w:hint="eastAsia" w:cs="宋体"/>
          <w:color w:val="auto"/>
          <w:highlight w:val="yellow"/>
          <w:lang w:eastAsia="zh-CN"/>
        </w:rPr>
      </w:pPr>
      <w:r>
        <w:rPr>
          <w:rFonts w:hint="eastAsia" w:cs="宋体"/>
          <w:color w:val="auto"/>
          <w:highlight w:val="none"/>
        </w:rPr>
        <w:t>1.项目编号：</w:t>
      </w:r>
      <w:r>
        <w:rPr>
          <w:rFonts w:hint="eastAsia" w:cs="宋体"/>
          <w:color w:val="auto"/>
          <w:highlight w:val="none"/>
          <w:lang w:eastAsia="zh-CN"/>
        </w:rPr>
        <w:t>1401222026CCS00024</w:t>
      </w:r>
    </w:p>
    <w:p w14:paraId="4FD217A3">
      <w:pPr>
        <w:pStyle w:val="7"/>
        <w:ind w:firstLine="480"/>
        <w:rPr>
          <w:rFonts w:hint="eastAsia" w:eastAsia="宋体" w:cs="宋体"/>
          <w:color w:val="auto"/>
          <w:highlight w:val="none"/>
          <w:lang w:eastAsia="zh-CN"/>
        </w:rPr>
      </w:pPr>
      <w:r>
        <w:rPr>
          <w:rFonts w:hint="eastAsia" w:cs="宋体"/>
          <w:color w:val="auto"/>
          <w:highlight w:val="none"/>
        </w:rPr>
        <w:t>2.项目名称：</w:t>
      </w:r>
      <w:r>
        <w:rPr>
          <w:rFonts w:hint="eastAsia" w:cs="宋体"/>
          <w:color w:val="auto"/>
          <w:szCs w:val="24"/>
          <w:highlight w:val="none"/>
          <w:lang w:eastAsia="zh-CN"/>
        </w:rPr>
        <w:t>山西省阳曲县地质灾害综合治理项目监测</w:t>
      </w:r>
    </w:p>
    <w:p w14:paraId="36EBA264">
      <w:pPr>
        <w:pStyle w:val="7"/>
        <w:ind w:firstLine="480"/>
        <w:rPr>
          <w:rFonts w:cs="宋体"/>
          <w:color w:val="auto"/>
          <w:highlight w:val="none"/>
        </w:rPr>
      </w:pPr>
      <w:r>
        <w:rPr>
          <w:rFonts w:hint="eastAsia" w:cs="宋体"/>
          <w:color w:val="auto"/>
          <w:highlight w:val="none"/>
        </w:rPr>
        <w:t xml:space="preserve">3.采购方式：竞争性磋商           </w:t>
      </w:r>
    </w:p>
    <w:p w14:paraId="1FEFAF7F">
      <w:pPr>
        <w:pStyle w:val="7"/>
        <w:ind w:firstLine="480"/>
        <w:rPr>
          <w:rFonts w:cs="宋体"/>
          <w:color w:val="auto"/>
          <w:highlight w:val="none"/>
        </w:rPr>
      </w:pPr>
      <w:r>
        <w:rPr>
          <w:rFonts w:hint="eastAsia" w:cs="宋体"/>
          <w:color w:val="auto"/>
          <w:highlight w:val="none"/>
        </w:rPr>
        <w:t>4.预算金额（元）：</w:t>
      </w:r>
      <w:r>
        <w:rPr>
          <w:rFonts w:hint="eastAsia" w:cs="宋体"/>
          <w:color w:val="auto"/>
          <w:highlight w:val="none"/>
          <w:lang w:val="en-US" w:eastAsia="zh-CN"/>
        </w:rPr>
        <w:t>395120.92</w:t>
      </w:r>
    </w:p>
    <w:p w14:paraId="651B84CB">
      <w:pPr>
        <w:pStyle w:val="7"/>
        <w:ind w:firstLine="480"/>
        <w:rPr>
          <w:rFonts w:hint="eastAsia" w:cs="宋体"/>
          <w:color w:val="auto"/>
          <w:highlight w:val="none"/>
        </w:rPr>
      </w:pPr>
      <w:r>
        <w:rPr>
          <w:rFonts w:hint="eastAsia" w:cs="宋体"/>
          <w:color w:val="auto"/>
          <w:highlight w:val="none"/>
        </w:rPr>
        <w:t>5.最高限价（元）：</w:t>
      </w:r>
      <w:r>
        <w:rPr>
          <w:rFonts w:hint="eastAsia" w:cs="宋体"/>
          <w:color w:val="auto"/>
          <w:highlight w:val="none"/>
          <w:lang w:val="en-US" w:eastAsia="zh-CN"/>
        </w:rPr>
        <w:t>395120.92</w:t>
      </w:r>
    </w:p>
    <w:p w14:paraId="6361D861">
      <w:pPr>
        <w:pStyle w:val="7"/>
        <w:ind w:firstLine="480"/>
        <w:rPr>
          <w:rFonts w:cs="宋体"/>
          <w:color w:val="auto"/>
          <w:highlight w:val="none"/>
        </w:rPr>
      </w:pPr>
      <w:r>
        <w:rPr>
          <w:rFonts w:hint="eastAsia" w:cs="宋体"/>
          <w:color w:val="auto"/>
          <w:highlight w:val="none"/>
        </w:rPr>
        <w:t>6.采购需求：</w:t>
      </w:r>
    </w:p>
    <w:p w14:paraId="7B4542E8">
      <w:pPr>
        <w:pStyle w:val="7"/>
        <w:ind w:firstLine="480"/>
        <w:rPr>
          <w:rFonts w:hint="eastAsia" w:eastAsia="宋体" w:cs="宋体"/>
          <w:color w:val="auto"/>
          <w:highlight w:val="none"/>
          <w:lang w:eastAsia="zh-CN"/>
        </w:rPr>
      </w:pPr>
      <w:r>
        <w:rPr>
          <w:rFonts w:hint="eastAsia" w:cs="宋体"/>
          <w:color w:val="auto"/>
          <w:highlight w:val="none"/>
        </w:rPr>
        <w:t xml:space="preserve">     标项名称：</w:t>
      </w:r>
      <w:r>
        <w:rPr>
          <w:rFonts w:hint="eastAsia" w:cs="宋体"/>
          <w:color w:val="auto"/>
          <w:szCs w:val="24"/>
          <w:highlight w:val="none"/>
          <w:lang w:eastAsia="zh-CN"/>
        </w:rPr>
        <w:t>山西省阳曲县地质灾害综合治理项目监测</w:t>
      </w:r>
    </w:p>
    <w:p w14:paraId="2B7F441E">
      <w:pPr>
        <w:pStyle w:val="7"/>
        <w:ind w:firstLine="480"/>
        <w:rPr>
          <w:rFonts w:cs="宋体"/>
          <w:color w:val="auto"/>
          <w:highlight w:val="none"/>
        </w:rPr>
      </w:pPr>
      <w:r>
        <w:rPr>
          <w:rFonts w:hint="eastAsia" w:cs="宋体"/>
          <w:color w:val="auto"/>
          <w:highlight w:val="none"/>
        </w:rPr>
        <w:t xml:space="preserve">     数量：</w:t>
      </w:r>
    </w:p>
    <w:p w14:paraId="4C5EB72F">
      <w:pPr>
        <w:pStyle w:val="7"/>
        <w:ind w:firstLine="480"/>
        <w:rPr>
          <w:rFonts w:hint="default" w:eastAsia="宋体" w:cs="宋体"/>
          <w:color w:val="auto"/>
          <w:highlight w:val="none"/>
          <w:lang w:val="en-US" w:eastAsia="zh-CN"/>
        </w:rPr>
      </w:pPr>
      <w:r>
        <w:rPr>
          <w:rFonts w:hint="eastAsia" w:cs="宋体"/>
          <w:color w:val="auto"/>
          <w:highlight w:val="none"/>
        </w:rPr>
        <w:t xml:space="preserve">     预算金额（元）：</w:t>
      </w:r>
      <w:r>
        <w:rPr>
          <w:rFonts w:hint="eastAsia" w:cs="宋体"/>
          <w:color w:val="auto"/>
          <w:highlight w:val="none"/>
          <w:lang w:val="en-US" w:eastAsia="zh-CN"/>
        </w:rPr>
        <w:t>395120.92</w:t>
      </w:r>
    </w:p>
    <w:p w14:paraId="3ED52074">
      <w:pPr>
        <w:pStyle w:val="7"/>
        <w:ind w:firstLine="480"/>
        <w:rPr>
          <w:rFonts w:cs="宋体"/>
          <w:color w:val="auto"/>
          <w:highlight w:val="none"/>
        </w:rPr>
      </w:pPr>
      <w:r>
        <w:rPr>
          <w:rFonts w:hint="eastAsia" w:cs="宋体"/>
          <w:color w:val="auto"/>
          <w:highlight w:val="none"/>
        </w:rPr>
        <w:t xml:space="preserve">     单位：</w:t>
      </w:r>
    </w:p>
    <w:p w14:paraId="0A0443DB">
      <w:pPr>
        <w:pStyle w:val="7"/>
        <w:ind w:firstLine="480"/>
        <w:rPr>
          <w:rFonts w:hint="eastAsia" w:cs="宋体"/>
          <w:color w:val="auto"/>
          <w:highlight w:val="none"/>
        </w:rPr>
      </w:pPr>
      <w:r>
        <w:rPr>
          <w:rFonts w:hint="eastAsia" w:cs="宋体"/>
          <w:color w:val="auto"/>
          <w:highlight w:val="none"/>
        </w:rPr>
        <w:t xml:space="preserve">     简要规格描述：</w:t>
      </w:r>
      <w:r>
        <w:rPr>
          <w:rFonts w:hint="eastAsia" w:cs="宋体"/>
          <w:color w:val="auto"/>
          <w:highlight w:val="none"/>
          <w:lang w:val="en-US" w:eastAsia="zh-CN"/>
        </w:rPr>
        <w:t>完成</w:t>
      </w:r>
      <w:r>
        <w:rPr>
          <w:rFonts w:hint="eastAsia" w:cs="宋体"/>
          <w:color w:val="auto"/>
          <w:szCs w:val="24"/>
          <w:highlight w:val="none"/>
          <w:lang w:eastAsia="zh-CN"/>
        </w:rPr>
        <w:t>山西省阳曲县地质灾害综合治理项目监测</w:t>
      </w:r>
      <w:r>
        <w:rPr>
          <w:rFonts w:hint="eastAsia" w:cs="宋体"/>
          <w:color w:val="auto"/>
          <w:highlight w:val="none"/>
          <w:lang w:val="en-US" w:eastAsia="zh-CN"/>
        </w:rPr>
        <w:t>出具监测报告，并对所出具监测报告或监测结果数据的真实性全面负责。</w:t>
      </w:r>
    </w:p>
    <w:p w14:paraId="595E9F82">
      <w:pPr>
        <w:pStyle w:val="7"/>
        <w:ind w:firstLine="480"/>
        <w:rPr>
          <w:rFonts w:cs="宋体"/>
          <w:color w:val="auto"/>
          <w:highlight w:val="none"/>
        </w:rPr>
      </w:pPr>
      <w:r>
        <w:rPr>
          <w:rFonts w:hint="eastAsia" w:cs="宋体"/>
          <w:color w:val="auto"/>
          <w:highlight w:val="none"/>
        </w:rPr>
        <w:t xml:space="preserve">     备注：</w:t>
      </w:r>
    </w:p>
    <w:p w14:paraId="62B97F0C">
      <w:pPr>
        <w:pStyle w:val="7"/>
        <w:ind w:firstLine="480"/>
        <w:rPr>
          <w:rFonts w:cs="宋体"/>
          <w:color w:val="auto"/>
          <w:highlight w:val="none"/>
        </w:rPr>
      </w:pPr>
      <w:r>
        <w:rPr>
          <w:rFonts w:hint="eastAsia" w:cs="宋体"/>
          <w:color w:val="auto"/>
          <w:highlight w:val="none"/>
        </w:rPr>
        <w:t xml:space="preserve">7.合同履约期限：包1 </w:t>
      </w:r>
      <w:r>
        <w:rPr>
          <w:rFonts w:hint="eastAsia" w:cs="宋体"/>
          <w:color w:val="auto"/>
          <w:highlight w:val="none"/>
          <w:lang w:val="en-US" w:eastAsia="zh-CN"/>
        </w:rPr>
        <w:t>整个施工期间及竣工后一年。</w:t>
      </w:r>
    </w:p>
    <w:p w14:paraId="4E4B07F4">
      <w:pPr>
        <w:pStyle w:val="7"/>
        <w:ind w:firstLine="480"/>
        <w:rPr>
          <w:rFonts w:cs="宋体"/>
          <w:color w:val="auto"/>
          <w:highlight w:val="none"/>
        </w:rPr>
      </w:pPr>
      <w:r>
        <w:rPr>
          <w:rFonts w:hint="eastAsia" w:cs="宋体"/>
          <w:color w:val="auto"/>
          <w:highlight w:val="none"/>
        </w:rPr>
        <w:t xml:space="preserve">8.本项目（否）接受联合体投标。        </w:t>
      </w:r>
    </w:p>
    <w:p w14:paraId="4B70A462">
      <w:pPr>
        <w:pStyle w:val="7"/>
        <w:ind w:firstLine="482"/>
        <w:rPr>
          <w:rFonts w:cs="宋体"/>
          <w:color w:val="auto"/>
          <w:highlight w:val="none"/>
        </w:rPr>
      </w:pPr>
      <w:r>
        <w:rPr>
          <w:rFonts w:hint="eastAsia" w:cs="宋体"/>
          <w:b/>
          <w:bCs/>
          <w:color w:val="auto"/>
          <w:highlight w:val="none"/>
        </w:rPr>
        <w:t>二、申请人的资格要求：</w:t>
      </w:r>
      <w:r>
        <w:rPr>
          <w:rFonts w:hint="eastAsia" w:cs="宋体"/>
          <w:color w:val="auto"/>
          <w:highlight w:val="none"/>
        </w:rPr>
        <w:t xml:space="preserve">    </w:t>
      </w:r>
    </w:p>
    <w:p w14:paraId="6D6622D4">
      <w:pPr>
        <w:pStyle w:val="7"/>
        <w:ind w:firstLine="480"/>
        <w:rPr>
          <w:rFonts w:cs="宋体"/>
          <w:color w:val="auto"/>
          <w:highlight w:val="none"/>
        </w:rPr>
      </w:pPr>
      <w:r>
        <w:rPr>
          <w:rFonts w:hint="eastAsia" w:cs="宋体"/>
          <w:color w:val="auto"/>
          <w:highlight w:val="none"/>
        </w:rPr>
        <w:t xml:space="preserve">1.满足《中华人民共和国政府采购法》第二十二条规定；        </w:t>
      </w:r>
    </w:p>
    <w:p w14:paraId="5848D89B">
      <w:pPr>
        <w:pStyle w:val="7"/>
        <w:ind w:firstLine="480"/>
        <w:rPr>
          <w:rFonts w:cs="宋体"/>
          <w:color w:val="auto"/>
          <w:highlight w:val="none"/>
        </w:rPr>
      </w:pPr>
      <w:r>
        <w:rPr>
          <w:rFonts w:hint="eastAsia" w:cs="宋体"/>
          <w:color w:val="auto"/>
          <w:highlight w:val="none"/>
        </w:rPr>
        <w:t xml:space="preserve">2.落实政府采购政策需满足的资格要求：包1：本项目专门面向中小企业        </w:t>
      </w:r>
    </w:p>
    <w:p w14:paraId="1A39B481">
      <w:pPr>
        <w:pStyle w:val="7"/>
        <w:ind w:firstLine="480"/>
        <w:rPr>
          <w:rFonts w:cs="宋体"/>
          <w:color w:val="auto"/>
          <w:highlight w:val="none"/>
        </w:rPr>
      </w:pPr>
      <w:r>
        <w:rPr>
          <w:rFonts w:hint="eastAsia" w:cs="宋体"/>
          <w:color w:val="auto"/>
          <w:highlight w:val="none"/>
        </w:rPr>
        <w:t>3.本项目的特定资格要求：【包1】供应商须具备行政主管部门颁发的测绘乙级及以上资质（</w:t>
      </w:r>
      <w:r>
        <w:rPr>
          <w:rFonts w:hint="eastAsia" w:cs="宋体"/>
          <w:color w:val="auto"/>
          <w:highlight w:val="none"/>
          <w:lang w:val="en-US" w:eastAsia="zh-CN"/>
        </w:rPr>
        <w:t>须</w:t>
      </w:r>
      <w:r>
        <w:rPr>
          <w:rFonts w:hint="eastAsia" w:cs="宋体"/>
          <w:color w:val="auto"/>
          <w:highlight w:val="none"/>
        </w:rPr>
        <w:t>包含工程测量）；</w:t>
      </w:r>
      <w:r>
        <w:rPr>
          <w:rFonts w:ascii="宋体" w:hAnsi="宋体" w:eastAsia="宋体" w:cs="宋体"/>
          <w:color w:val="auto"/>
          <w:sz w:val="24"/>
          <w:szCs w:val="24"/>
          <w:highlight w:val="none"/>
        </w:rPr>
        <w:t>拟派项目负责人须具备水文地质、工程地质、环境地质</w:t>
      </w:r>
      <w:r>
        <w:rPr>
          <w:rFonts w:hint="eastAsia" w:cs="宋体"/>
          <w:color w:val="auto"/>
          <w:sz w:val="24"/>
          <w:szCs w:val="24"/>
          <w:highlight w:val="none"/>
          <w:lang w:val="en-US" w:eastAsia="zh-CN"/>
        </w:rPr>
        <w:t>或</w:t>
      </w:r>
      <w:r>
        <w:rPr>
          <w:rFonts w:ascii="宋体" w:hAnsi="宋体" w:eastAsia="宋体" w:cs="宋体"/>
          <w:color w:val="auto"/>
          <w:sz w:val="24"/>
          <w:szCs w:val="24"/>
          <w:highlight w:val="none"/>
        </w:rPr>
        <w:t>岩土工程</w:t>
      </w:r>
      <w:r>
        <w:rPr>
          <w:rFonts w:hint="eastAsia" w:cs="宋体"/>
          <w:color w:val="auto"/>
          <w:sz w:val="24"/>
          <w:szCs w:val="24"/>
          <w:highlight w:val="none"/>
          <w:lang w:val="en-US" w:eastAsia="zh-CN"/>
        </w:rPr>
        <w:t>等</w:t>
      </w:r>
      <w:r>
        <w:rPr>
          <w:rFonts w:ascii="宋体" w:hAnsi="宋体" w:eastAsia="宋体" w:cs="宋体"/>
          <w:color w:val="auto"/>
          <w:sz w:val="24"/>
          <w:szCs w:val="24"/>
          <w:highlight w:val="none"/>
        </w:rPr>
        <w:t>相关专业中级及以上技术职称</w:t>
      </w:r>
      <w:r>
        <w:rPr>
          <w:rFonts w:hint="eastAsia" w:cs="宋体"/>
          <w:color w:val="auto"/>
          <w:highlight w:val="none"/>
        </w:rPr>
        <w:t>。</w:t>
      </w:r>
    </w:p>
    <w:p w14:paraId="27117E31">
      <w:pPr>
        <w:pStyle w:val="7"/>
        <w:ind w:firstLine="482"/>
        <w:rPr>
          <w:rFonts w:cs="宋体"/>
          <w:b/>
          <w:bCs/>
          <w:color w:val="auto"/>
          <w:highlight w:val="none"/>
        </w:rPr>
      </w:pPr>
      <w:r>
        <w:rPr>
          <w:rFonts w:hint="eastAsia" w:cs="宋体"/>
          <w:b/>
          <w:bCs/>
          <w:color w:val="auto"/>
          <w:highlight w:val="none"/>
        </w:rPr>
        <w:t xml:space="preserve">三、获取采购文件    </w:t>
      </w:r>
    </w:p>
    <w:p w14:paraId="1E35205A">
      <w:pPr>
        <w:pStyle w:val="7"/>
        <w:ind w:firstLine="480"/>
        <w:rPr>
          <w:rFonts w:cs="宋体"/>
          <w:color w:val="auto"/>
          <w:highlight w:val="none"/>
        </w:rPr>
      </w:pPr>
      <w:r>
        <w:rPr>
          <w:rFonts w:hint="eastAsia" w:cs="宋体"/>
          <w:color w:val="auto"/>
          <w:highlight w:val="none"/>
        </w:rPr>
        <w:t>时间：202</w:t>
      </w:r>
      <w:r>
        <w:rPr>
          <w:rFonts w:hint="eastAsia" w:cs="宋体"/>
          <w:color w:val="auto"/>
          <w:highlight w:val="none"/>
          <w:lang w:val="en-US" w:eastAsia="zh-CN"/>
        </w:rPr>
        <w:t>6</w:t>
      </w:r>
      <w:r>
        <w:rPr>
          <w:rFonts w:hint="eastAsia" w:cs="宋体"/>
          <w:color w:val="auto"/>
          <w:highlight w:val="none"/>
        </w:rPr>
        <w:t>年</w:t>
      </w:r>
      <w:r>
        <w:rPr>
          <w:rFonts w:hint="eastAsia" w:cs="宋体"/>
          <w:color w:val="auto"/>
          <w:highlight w:val="none"/>
          <w:lang w:val="en-US" w:eastAsia="zh-CN"/>
        </w:rPr>
        <w:t>4</w:t>
      </w:r>
      <w:r>
        <w:rPr>
          <w:rFonts w:hint="eastAsia" w:cs="宋体"/>
          <w:color w:val="auto"/>
          <w:highlight w:val="none"/>
        </w:rPr>
        <w:t>月</w:t>
      </w:r>
      <w:r>
        <w:rPr>
          <w:rFonts w:hint="eastAsia" w:cs="宋体"/>
          <w:color w:val="auto"/>
          <w:highlight w:val="none"/>
          <w:lang w:val="en-US" w:eastAsia="zh-CN"/>
        </w:rPr>
        <w:t>22</w:t>
      </w:r>
      <w:r>
        <w:rPr>
          <w:rFonts w:hint="eastAsia" w:cs="宋体"/>
          <w:color w:val="auto"/>
          <w:highlight w:val="none"/>
        </w:rPr>
        <w:t>日至202</w:t>
      </w:r>
      <w:r>
        <w:rPr>
          <w:rFonts w:hint="eastAsia" w:cs="宋体"/>
          <w:color w:val="auto"/>
          <w:highlight w:val="none"/>
          <w:lang w:val="en-US" w:eastAsia="zh-CN"/>
        </w:rPr>
        <w:t>6</w:t>
      </w:r>
      <w:r>
        <w:rPr>
          <w:rFonts w:hint="eastAsia" w:cs="宋体"/>
          <w:color w:val="auto"/>
          <w:highlight w:val="none"/>
        </w:rPr>
        <w:t>年</w:t>
      </w:r>
      <w:r>
        <w:rPr>
          <w:rFonts w:hint="eastAsia" w:cs="宋体"/>
          <w:color w:val="auto"/>
          <w:highlight w:val="none"/>
          <w:lang w:val="en-US" w:eastAsia="zh-CN"/>
        </w:rPr>
        <w:t>4</w:t>
      </w:r>
      <w:r>
        <w:rPr>
          <w:rFonts w:hint="eastAsia" w:cs="宋体"/>
          <w:color w:val="auto"/>
          <w:highlight w:val="none"/>
        </w:rPr>
        <w:t>月</w:t>
      </w:r>
      <w:r>
        <w:rPr>
          <w:rFonts w:hint="eastAsia" w:cs="宋体"/>
          <w:color w:val="auto"/>
          <w:highlight w:val="none"/>
          <w:lang w:val="en-US" w:eastAsia="zh-CN"/>
        </w:rPr>
        <w:t>29</w:t>
      </w:r>
      <w:r>
        <w:rPr>
          <w:rFonts w:hint="eastAsia" w:cs="宋体"/>
          <w:color w:val="auto"/>
          <w:highlight w:val="none"/>
        </w:rPr>
        <w:t xml:space="preserve">日，每天上午00:00至12:00，下午12:00至23:59（北京时间，法定节假日除外）        </w:t>
      </w:r>
    </w:p>
    <w:p w14:paraId="709A8854">
      <w:pPr>
        <w:pStyle w:val="7"/>
        <w:ind w:firstLine="480"/>
        <w:rPr>
          <w:rFonts w:cs="宋体"/>
          <w:color w:val="auto"/>
          <w:highlight w:val="none"/>
        </w:rPr>
      </w:pPr>
      <w:r>
        <w:rPr>
          <w:rFonts w:hint="eastAsia" w:cs="宋体"/>
          <w:color w:val="auto"/>
          <w:highlight w:val="none"/>
        </w:rPr>
        <w:t xml:space="preserve">地点：政采云平台线上获取      </w:t>
      </w:r>
    </w:p>
    <w:p w14:paraId="0BBDCDD0">
      <w:pPr>
        <w:pStyle w:val="7"/>
        <w:ind w:firstLine="480"/>
        <w:rPr>
          <w:rFonts w:cs="宋体"/>
          <w:color w:val="auto"/>
          <w:highlight w:val="none"/>
        </w:rPr>
      </w:pPr>
      <w:r>
        <w:rPr>
          <w:rFonts w:hint="eastAsia" w:cs="宋体"/>
          <w:color w:val="auto"/>
          <w:highlight w:val="none"/>
        </w:rPr>
        <w:t xml:space="preserve">方式：在线获取       </w:t>
      </w:r>
    </w:p>
    <w:p w14:paraId="437DBCFE">
      <w:pPr>
        <w:pStyle w:val="7"/>
        <w:ind w:firstLine="480"/>
        <w:rPr>
          <w:rFonts w:cs="宋体"/>
          <w:color w:val="auto"/>
          <w:highlight w:val="none"/>
        </w:rPr>
      </w:pPr>
      <w:r>
        <w:rPr>
          <w:rFonts w:hint="eastAsia" w:cs="宋体"/>
          <w:color w:val="auto"/>
          <w:highlight w:val="none"/>
        </w:rPr>
        <w:t xml:space="preserve">售价（元）：0      </w:t>
      </w:r>
    </w:p>
    <w:p w14:paraId="40C7DD2E">
      <w:pPr>
        <w:pStyle w:val="7"/>
        <w:ind w:firstLine="482"/>
        <w:rPr>
          <w:rFonts w:cs="宋体"/>
          <w:b/>
          <w:bCs/>
          <w:color w:val="auto"/>
          <w:highlight w:val="none"/>
        </w:rPr>
      </w:pPr>
      <w:r>
        <w:rPr>
          <w:rFonts w:hint="eastAsia" w:cs="宋体"/>
          <w:b/>
          <w:bCs/>
          <w:color w:val="auto"/>
          <w:highlight w:val="none"/>
        </w:rPr>
        <w:t xml:space="preserve">四、响应文件提交    </w:t>
      </w:r>
    </w:p>
    <w:p w14:paraId="2682A0D0">
      <w:pPr>
        <w:pStyle w:val="7"/>
        <w:ind w:firstLine="480"/>
        <w:rPr>
          <w:rFonts w:cs="宋体"/>
          <w:color w:val="auto"/>
          <w:highlight w:val="none"/>
        </w:rPr>
      </w:pPr>
      <w:r>
        <w:rPr>
          <w:rFonts w:hint="eastAsia" w:cs="宋体"/>
          <w:color w:val="auto"/>
          <w:highlight w:val="none"/>
        </w:rPr>
        <w:t>截止时间：</w:t>
      </w:r>
      <w:r>
        <w:rPr>
          <w:rFonts w:hint="eastAsia" w:cs="宋体"/>
          <w:snapToGrid w:val="0"/>
          <w:color w:val="auto"/>
          <w:highlight w:val="none"/>
          <w:lang w:eastAsia="zh-CN"/>
        </w:rPr>
        <w:t>2026年5月6日14:15</w:t>
      </w:r>
      <w:r>
        <w:rPr>
          <w:rFonts w:hint="eastAsia" w:cs="宋体"/>
          <w:color w:val="auto"/>
          <w:highlight w:val="none"/>
        </w:rPr>
        <w:t xml:space="preserve">（北京时间）        </w:t>
      </w:r>
    </w:p>
    <w:p w14:paraId="218D5DE4">
      <w:pPr>
        <w:pStyle w:val="7"/>
        <w:ind w:firstLine="480"/>
        <w:rPr>
          <w:rFonts w:cs="宋体"/>
          <w:color w:val="auto"/>
          <w:highlight w:val="none"/>
        </w:rPr>
      </w:pPr>
      <w:r>
        <w:rPr>
          <w:rFonts w:hint="eastAsia" w:cs="宋体"/>
          <w:color w:val="auto"/>
          <w:highlight w:val="none"/>
        </w:rPr>
        <w:t xml:space="preserve">地点：请登录政采云投标客户端投标     </w:t>
      </w:r>
    </w:p>
    <w:p w14:paraId="36926B16">
      <w:pPr>
        <w:pStyle w:val="7"/>
        <w:ind w:firstLine="482"/>
        <w:rPr>
          <w:rFonts w:cs="宋体"/>
          <w:b/>
          <w:bCs/>
          <w:color w:val="auto"/>
          <w:highlight w:val="none"/>
        </w:rPr>
      </w:pPr>
      <w:r>
        <w:rPr>
          <w:rFonts w:hint="eastAsia" w:cs="宋体"/>
          <w:b/>
          <w:bCs/>
          <w:color w:val="auto"/>
          <w:highlight w:val="none"/>
        </w:rPr>
        <w:t xml:space="preserve">五、响应文件开启    </w:t>
      </w:r>
    </w:p>
    <w:p w14:paraId="57306A7D">
      <w:pPr>
        <w:pStyle w:val="7"/>
        <w:ind w:firstLine="480"/>
        <w:rPr>
          <w:rFonts w:cs="宋体"/>
          <w:color w:val="auto"/>
          <w:highlight w:val="none"/>
        </w:rPr>
      </w:pPr>
      <w:r>
        <w:rPr>
          <w:rFonts w:hint="eastAsia" w:cs="宋体"/>
          <w:color w:val="auto"/>
          <w:highlight w:val="none"/>
        </w:rPr>
        <w:t>开启时间：</w:t>
      </w:r>
      <w:r>
        <w:rPr>
          <w:rFonts w:hint="eastAsia" w:cs="宋体"/>
          <w:snapToGrid w:val="0"/>
          <w:color w:val="auto"/>
          <w:highlight w:val="none"/>
          <w:lang w:eastAsia="zh-CN"/>
        </w:rPr>
        <w:t>2026年5月6日14:15</w:t>
      </w:r>
      <w:r>
        <w:rPr>
          <w:rFonts w:hint="eastAsia" w:cs="宋体"/>
          <w:color w:val="auto"/>
          <w:highlight w:val="none"/>
        </w:rPr>
        <w:t xml:space="preserve">（北京时间）        </w:t>
      </w:r>
    </w:p>
    <w:p w14:paraId="5EFC23E5">
      <w:pPr>
        <w:pStyle w:val="7"/>
        <w:ind w:firstLine="482"/>
        <w:rPr>
          <w:rFonts w:hint="eastAsia" w:cs="宋体"/>
          <w:color w:val="auto"/>
          <w:highlight w:val="none"/>
        </w:rPr>
      </w:pPr>
      <w:r>
        <w:rPr>
          <w:rFonts w:hint="eastAsia" w:cs="宋体"/>
          <w:color w:val="auto"/>
          <w:highlight w:val="none"/>
        </w:rPr>
        <w:t>地点：山西省太原市迎泽区太原市迎泽区太榆路6号晋龙捷泰综合办公楼7层7层开标室</w:t>
      </w:r>
    </w:p>
    <w:p w14:paraId="0FE7D060">
      <w:pPr>
        <w:pStyle w:val="7"/>
        <w:ind w:firstLine="482"/>
        <w:rPr>
          <w:rFonts w:cs="宋体"/>
          <w:b/>
          <w:bCs/>
          <w:color w:val="auto"/>
          <w:highlight w:val="none"/>
        </w:rPr>
      </w:pPr>
      <w:r>
        <w:rPr>
          <w:rFonts w:hint="eastAsia" w:cs="宋体"/>
          <w:b/>
          <w:bCs/>
          <w:color w:val="auto"/>
          <w:highlight w:val="none"/>
        </w:rPr>
        <w:t xml:space="preserve">六、公告期限    </w:t>
      </w:r>
    </w:p>
    <w:p w14:paraId="205D8047">
      <w:pPr>
        <w:pStyle w:val="7"/>
        <w:ind w:firstLine="480"/>
        <w:rPr>
          <w:rFonts w:cs="宋体"/>
          <w:color w:val="auto"/>
          <w:highlight w:val="none"/>
        </w:rPr>
      </w:pPr>
      <w:r>
        <w:rPr>
          <w:rFonts w:hint="eastAsia" w:cs="宋体"/>
          <w:color w:val="auto"/>
          <w:highlight w:val="none"/>
        </w:rPr>
        <w:t xml:space="preserve">自本公告发布之日起3个工作日。    </w:t>
      </w:r>
      <w:bookmarkStart w:id="103" w:name="_GoBack"/>
      <w:bookmarkEnd w:id="103"/>
    </w:p>
    <w:p w14:paraId="140AFC53">
      <w:pPr>
        <w:pStyle w:val="7"/>
        <w:ind w:firstLine="482"/>
        <w:rPr>
          <w:rFonts w:cs="宋体"/>
          <w:b/>
          <w:bCs/>
          <w:color w:val="auto"/>
          <w:highlight w:val="none"/>
        </w:rPr>
      </w:pPr>
      <w:r>
        <w:rPr>
          <w:rFonts w:hint="eastAsia" w:cs="宋体"/>
          <w:b/>
          <w:bCs/>
          <w:color w:val="auto"/>
          <w:highlight w:val="none"/>
        </w:rPr>
        <w:t xml:space="preserve">七、其他补充事宜    </w:t>
      </w:r>
    </w:p>
    <w:p w14:paraId="336CE7D7">
      <w:pPr>
        <w:pStyle w:val="7"/>
        <w:ind w:firstLine="480"/>
        <w:rPr>
          <w:rFonts w:cs="宋体"/>
          <w:color w:val="auto"/>
          <w:highlight w:val="none"/>
        </w:rPr>
      </w:pPr>
      <w:r>
        <w:rPr>
          <w:rFonts w:hint="eastAsia" w:cs="宋体"/>
          <w:color w:val="auto"/>
          <w:highlight w:val="none"/>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3FFE7264">
      <w:pPr>
        <w:pStyle w:val="7"/>
        <w:ind w:firstLine="480"/>
        <w:rPr>
          <w:rFonts w:cs="宋体"/>
          <w:color w:val="auto"/>
          <w:highlight w:val="none"/>
        </w:rPr>
      </w:pPr>
      <w:r>
        <w:rPr>
          <w:rFonts w:hint="eastAsia" w:cs="宋体"/>
          <w:color w:val="auto"/>
          <w:highlight w:val="none"/>
        </w:rPr>
        <w:t xml:space="preserve">代理费支付方式： 供应商支付 </w:t>
      </w:r>
    </w:p>
    <w:p w14:paraId="7DCD4ABB">
      <w:pPr>
        <w:pStyle w:val="7"/>
        <w:ind w:firstLine="480"/>
        <w:rPr>
          <w:rFonts w:cs="宋体"/>
          <w:color w:val="auto"/>
          <w:highlight w:val="none"/>
        </w:rPr>
      </w:pPr>
      <w:r>
        <w:rPr>
          <w:rFonts w:hint="eastAsia" w:cs="宋体"/>
          <w:color w:val="auto"/>
          <w:highlight w:val="none"/>
        </w:rPr>
        <w:t>代理费收费标准： 参照《</w:t>
      </w:r>
      <w:r>
        <w:rPr>
          <w:rFonts w:hint="eastAsia" w:cs="宋体"/>
          <w:color w:val="auto"/>
          <w:highlight w:val="none"/>
          <w:lang w:val="en-US" w:eastAsia="zh-CN"/>
        </w:rPr>
        <w:t>国家计委计价格〔2002〕1980号文件和国家发展和改革委员会办公厅发改办价格〔2003〕857号文件以及国家发展和改革委员会发改价格〔2011〕534号文件</w:t>
      </w:r>
      <w:r>
        <w:rPr>
          <w:rFonts w:hint="eastAsia" w:cs="宋体"/>
          <w:color w:val="auto"/>
          <w:highlight w:val="none"/>
        </w:rPr>
        <w:t>收费标</w:t>
      </w:r>
      <w:r>
        <w:rPr>
          <w:rFonts w:hint="eastAsia" w:cs="宋体"/>
          <w:color w:val="auto"/>
          <w:highlight w:val="none"/>
          <w:lang w:val="en-US" w:eastAsia="zh-CN"/>
        </w:rPr>
        <w:t>准70</w:t>
      </w:r>
      <w:r>
        <w:rPr>
          <w:rFonts w:hint="eastAsia" w:cs="宋体"/>
          <w:color w:val="auto"/>
          <w:highlight w:val="none"/>
        </w:rPr>
        <w:t xml:space="preserve">%。 </w:t>
      </w:r>
    </w:p>
    <w:p w14:paraId="60021861">
      <w:pPr>
        <w:pStyle w:val="7"/>
        <w:ind w:firstLine="480"/>
        <w:rPr>
          <w:rFonts w:cs="宋体"/>
          <w:color w:val="auto"/>
          <w:highlight w:val="none"/>
        </w:rPr>
      </w:pPr>
      <w:r>
        <w:rPr>
          <w:rFonts w:hint="eastAsia" w:cs="宋体"/>
          <w:color w:val="auto"/>
          <w:highlight w:val="none"/>
        </w:rPr>
        <w:t xml:space="preserve">代理费收费金额（元）： / </w:t>
      </w:r>
    </w:p>
    <w:p w14:paraId="7D5C0B28">
      <w:pPr>
        <w:pStyle w:val="7"/>
        <w:ind w:firstLine="482"/>
        <w:rPr>
          <w:rFonts w:cs="宋体"/>
          <w:b/>
          <w:bCs/>
          <w:color w:val="auto"/>
          <w:highlight w:val="none"/>
        </w:rPr>
      </w:pPr>
      <w:r>
        <w:rPr>
          <w:rFonts w:hint="eastAsia" w:cs="宋体"/>
          <w:b/>
          <w:bCs/>
          <w:color w:val="auto"/>
          <w:highlight w:val="none"/>
        </w:rPr>
        <w:t xml:space="preserve">八、凡对本次招标提出询问，请按以下方式联系    </w:t>
      </w:r>
    </w:p>
    <w:p w14:paraId="5373CE99">
      <w:pPr>
        <w:pStyle w:val="7"/>
        <w:ind w:firstLine="480"/>
        <w:rPr>
          <w:rFonts w:cs="宋体"/>
          <w:color w:val="auto"/>
          <w:highlight w:val="none"/>
        </w:rPr>
      </w:pPr>
      <w:r>
        <w:rPr>
          <w:rFonts w:hint="eastAsia" w:cs="宋体"/>
          <w:color w:val="auto"/>
          <w:highlight w:val="none"/>
        </w:rPr>
        <w:t xml:space="preserve">1.采购人信息            </w:t>
      </w:r>
    </w:p>
    <w:p w14:paraId="3CB94476">
      <w:pPr>
        <w:pStyle w:val="7"/>
        <w:ind w:firstLine="480"/>
        <w:rPr>
          <w:rFonts w:cs="宋体"/>
          <w:color w:val="auto"/>
          <w:highlight w:val="none"/>
        </w:rPr>
      </w:pPr>
      <w:r>
        <w:rPr>
          <w:rFonts w:hint="eastAsia" w:cs="宋体"/>
          <w:color w:val="auto"/>
          <w:highlight w:val="none"/>
        </w:rPr>
        <w:t xml:space="preserve">名 称：阳曲县自然资源局           </w:t>
      </w:r>
    </w:p>
    <w:p w14:paraId="6CBFE568">
      <w:pPr>
        <w:pStyle w:val="7"/>
        <w:ind w:firstLine="480"/>
        <w:rPr>
          <w:rFonts w:cs="宋体"/>
          <w:color w:val="auto"/>
          <w:highlight w:val="none"/>
        </w:rPr>
      </w:pPr>
      <w:r>
        <w:rPr>
          <w:rFonts w:hint="eastAsia" w:cs="宋体"/>
          <w:color w:val="auto"/>
          <w:highlight w:val="none"/>
        </w:rPr>
        <w:t xml:space="preserve">地 址：太原市阳曲县县城首邑北路69号          </w:t>
      </w:r>
    </w:p>
    <w:p w14:paraId="519EE8D8">
      <w:pPr>
        <w:pStyle w:val="7"/>
        <w:ind w:firstLine="480"/>
        <w:rPr>
          <w:rFonts w:hint="eastAsia" w:eastAsia="宋体" w:cs="宋体"/>
          <w:color w:val="auto"/>
          <w:highlight w:val="none"/>
          <w:lang w:eastAsia="zh-CN"/>
        </w:rPr>
      </w:pPr>
      <w:r>
        <w:rPr>
          <w:rFonts w:hint="eastAsia" w:cs="宋体"/>
          <w:color w:val="auto"/>
          <w:highlight w:val="none"/>
        </w:rPr>
        <w:t>联系方式：</w:t>
      </w:r>
      <w:r>
        <w:rPr>
          <w:rFonts w:hint="eastAsia" w:cs="宋体"/>
          <w:color w:val="auto"/>
          <w:highlight w:val="none"/>
          <w:lang w:eastAsia="zh-CN"/>
        </w:rPr>
        <w:t>13643663566</w:t>
      </w:r>
    </w:p>
    <w:p w14:paraId="261A25EE">
      <w:pPr>
        <w:pStyle w:val="7"/>
        <w:ind w:firstLine="480"/>
        <w:rPr>
          <w:rFonts w:cs="宋体"/>
          <w:color w:val="auto"/>
          <w:highlight w:val="none"/>
        </w:rPr>
      </w:pPr>
      <w:r>
        <w:rPr>
          <w:rFonts w:hint="eastAsia" w:cs="宋体"/>
          <w:color w:val="auto"/>
          <w:highlight w:val="none"/>
        </w:rPr>
        <w:t xml:space="preserve">2.采购代理机构信息            </w:t>
      </w:r>
    </w:p>
    <w:p w14:paraId="01F8D952">
      <w:pPr>
        <w:pStyle w:val="7"/>
        <w:ind w:firstLine="480"/>
        <w:rPr>
          <w:rFonts w:cs="宋体"/>
          <w:color w:val="auto"/>
          <w:highlight w:val="none"/>
        </w:rPr>
      </w:pPr>
      <w:r>
        <w:rPr>
          <w:rFonts w:hint="eastAsia" w:cs="宋体"/>
          <w:color w:val="auto"/>
          <w:highlight w:val="none"/>
        </w:rPr>
        <w:t>名 称：山西万通渊利企业管理咨询有限公司</w:t>
      </w:r>
    </w:p>
    <w:p w14:paraId="33F419E8">
      <w:pPr>
        <w:pStyle w:val="7"/>
        <w:ind w:firstLine="480"/>
        <w:rPr>
          <w:rFonts w:cs="宋体"/>
          <w:color w:val="auto"/>
          <w:highlight w:val="none"/>
        </w:rPr>
      </w:pPr>
      <w:r>
        <w:rPr>
          <w:rFonts w:hint="eastAsia" w:cs="宋体"/>
          <w:color w:val="auto"/>
          <w:highlight w:val="none"/>
        </w:rPr>
        <w:t>地 址：山西省太原市太榆路迎宾汽车站山西汽运集团晋龙捷泰运输有限公司办公楼六层（办公）</w:t>
      </w:r>
    </w:p>
    <w:p w14:paraId="0C82A971">
      <w:pPr>
        <w:pStyle w:val="7"/>
        <w:ind w:firstLine="480"/>
        <w:rPr>
          <w:rFonts w:hint="eastAsia" w:eastAsia="宋体" w:cs="宋体"/>
          <w:color w:val="auto"/>
          <w:highlight w:val="none"/>
          <w:lang w:eastAsia="zh-CN"/>
        </w:rPr>
      </w:pPr>
      <w:r>
        <w:rPr>
          <w:rFonts w:hint="eastAsia" w:cs="宋体"/>
          <w:color w:val="auto"/>
          <w:highlight w:val="none"/>
        </w:rPr>
        <w:t>联系方式：</w:t>
      </w:r>
      <w:r>
        <w:rPr>
          <w:rFonts w:hint="eastAsia" w:cs="宋体"/>
          <w:color w:val="auto"/>
          <w:szCs w:val="24"/>
          <w:highlight w:val="none"/>
          <w:lang w:eastAsia="zh-CN"/>
        </w:rPr>
        <w:t>13333433455</w:t>
      </w:r>
    </w:p>
    <w:p w14:paraId="526E5DCE">
      <w:pPr>
        <w:pStyle w:val="7"/>
        <w:ind w:firstLine="480"/>
        <w:rPr>
          <w:rFonts w:cs="宋体"/>
          <w:color w:val="auto"/>
          <w:highlight w:val="none"/>
        </w:rPr>
      </w:pPr>
      <w:r>
        <w:rPr>
          <w:rFonts w:hint="eastAsia" w:cs="宋体"/>
          <w:color w:val="auto"/>
          <w:highlight w:val="none"/>
        </w:rPr>
        <w:t xml:space="preserve">3.项目联系方式    </w:t>
      </w:r>
    </w:p>
    <w:p w14:paraId="7FA1BF52">
      <w:pPr>
        <w:pStyle w:val="7"/>
        <w:ind w:firstLine="480"/>
        <w:rPr>
          <w:rFonts w:cs="宋体"/>
          <w:color w:val="auto"/>
          <w:highlight w:val="none"/>
        </w:rPr>
      </w:pPr>
      <w:r>
        <w:rPr>
          <w:rFonts w:hint="eastAsia" w:cs="宋体"/>
          <w:color w:val="auto"/>
          <w:highlight w:val="none"/>
        </w:rPr>
        <w:t>项目联系人：连晓阳</w:t>
      </w:r>
    </w:p>
    <w:p w14:paraId="49B13AFA">
      <w:pPr>
        <w:pStyle w:val="7"/>
        <w:ind w:firstLine="480"/>
        <w:rPr>
          <w:rFonts w:hint="eastAsia" w:eastAsia="宋体" w:cs="宋体"/>
          <w:color w:val="auto"/>
          <w:highlight w:val="none"/>
          <w:lang w:eastAsia="zh-CN"/>
        </w:rPr>
      </w:pPr>
      <w:r>
        <w:rPr>
          <w:rFonts w:hint="eastAsia" w:cs="宋体"/>
          <w:color w:val="auto"/>
          <w:highlight w:val="none"/>
        </w:rPr>
        <w:t>电 话：</w:t>
      </w:r>
      <w:r>
        <w:rPr>
          <w:rFonts w:hint="eastAsia" w:cs="宋体"/>
          <w:color w:val="auto"/>
          <w:szCs w:val="24"/>
          <w:highlight w:val="none"/>
          <w:lang w:eastAsia="zh-CN"/>
        </w:rPr>
        <w:t>13333433455</w:t>
      </w:r>
    </w:p>
    <w:p w14:paraId="3E187501">
      <w:pPr>
        <w:rPr>
          <w:rFonts w:cs="宋体"/>
          <w:b/>
          <w:bCs/>
          <w:color w:val="auto"/>
          <w:sz w:val="28"/>
          <w:szCs w:val="21"/>
          <w:highlight w:val="none"/>
        </w:rPr>
      </w:pPr>
      <w:r>
        <w:rPr>
          <w:rFonts w:hint="eastAsia" w:cs="宋体"/>
          <w:b/>
          <w:bCs/>
          <w:color w:val="auto"/>
          <w:sz w:val="28"/>
          <w:szCs w:val="21"/>
          <w:highlight w:val="none"/>
        </w:rPr>
        <w:br w:type="page"/>
      </w:r>
    </w:p>
    <w:p w14:paraId="449C2556">
      <w:pPr>
        <w:pStyle w:val="2"/>
        <w:rPr>
          <w:rFonts w:cs="宋体"/>
          <w:color w:val="auto"/>
          <w:highlight w:val="none"/>
        </w:rPr>
      </w:pPr>
      <w:bookmarkStart w:id="2" w:name="_Toc18483796"/>
      <w:bookmarkStart w:id="3" w:name="_Toc24907"/>
      <w:r>
        <w:rPr>
          <w:rFonts w:hint="eastAsia" w:cs="宋体"/>
          <w:color w:val="auto"/>
          <w:highlight w:val="none"/>
        </w:rPr>
        <w:t>第二部分 供应商须知</w:t>
      </w:r>
      <w:bookmarkEnd w:id="2"/>
      <w:bookmarkEnd w:id="3"/>
      <w:bookmarkStart w:id="4" w:name="_Toc175644016"/>
      <w:bookmarkStart w:id="5" w:name="_Toc86202581"/>
    </w:p>
    <w:bookmarkEnd w:id="4"/>
    <w:bookmarkEnd w:id="5"/>
    <w:p w14:paraId="23CB95AB">
      <w:pPr>
        <w:jc w:val="center"/>
        <w:rPr>
          <w:rFonts w:cs="宋体"/>
          <w:b/>
          <w:bCs/>
          <w:color w:val="auto"/>
          <w:highlight w:val="none"/>
        </w:rPr>
      </w:pPr>
      <w:r>
        <w:rPr>
          <w:rFonts w:hint="eastAsia" w:cs="宋体"/>
          <w:b/>
          <w:bCs/>
          <w:color w:val="auto"/>
          <w:highlight w:val="none"/>
        </w:rPr>
        <w:t>供应商须知前附表</w:t>
      </w:r>
    </w:p>
    <w:tbl>
      <w:tblPr>
        <w:tblStyle w:val="19"/>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365"/>
        <w:gridCol w:w="5972"/>
      </w:tblGrid>
      <w:tr w14:paraId="7D02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5C86B3">
            <w:pPr>
              <w:pStyle w:val="15"/>
              <w:rPr>
                <w:rFonts w:cs="宋体"/>
                <w:color w:val="auto"/>
                <w:highlight w:val="none"/>
              </w:rPr>
            </w:pPr>
            <w:r>
              <w:rPr>
                <w:rFonts w:hint="eastAsia" w:cs="宋体"/>
                <w:color w:val="auto"/>
                <w:highlight w:val="none"/>
              </w:rPr>
              <w:t>序号</w:t>
            </w:r>
          </w:p>
        </w:tc>
        <w:tc>
          <w:tcPr>
            <w:tcW w:w="2365" w:type="dxa"/>
            <w:vAlign w:val="center"/>
          </w:tcPr>
          <w:p w14:paraId="224D580A">
            <w:pPr>
              <w:pStyle w:val="15"/>
              <w:rPr>
                <w:rFonts w:cs="宋体"/>
                <w:color w:val="auto"/>
                <w:highlight w:val="none"/>
              </w:rPr>
            </w:pPr>
            <w:r>
              <w:rPr>
                <w:rFonts w:hint="eastAsia" w:cs="宋体"/>
                <w:color w:val="auto"/>
                <w:highlight w:val="none"/>
              </w:rPr>
              <w:t>内容</w:t>
            </w:r>
          </w:p>
        </w:tc>
        <w:tc>
          <w:tcPr>
            <w:tcW w:w="5972" w:type="dxa"/>
            <w:vAlign w:val="center"/>
          </w:tcPr>
          <w:p w14:paraId="2401DAD4">
            <w:pPr>
              <w:pStyle w:val="15"/>
              <w:rPr>
                <w:rFonts w:cs="宋体"/>
                <w:color w:val="auto"/>
                <w:highlight w:val="none"/>
              </w:rPr>
            </w:pPr>
            <w:r>
              <w:rPr>
                <w:rFonts w:hint="eastAsia" w:cs="宋体"/>
                <w:color w:val="auto"/>
                <w:highlight w:val="none"/>
              </w:rPr>
              <w:t>说明与要求</w:t>
            </w:r>
          </w:p>
        </w:tc>
      </w:tr>
      <w:tr w14:paraId="1EA0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18178E7">
            <w:pPr>
              <w:pStyle w:val="15"/>
              <w:rPr>
                <w:rFonts w:cs="宋体"/>
                <w:color w:val="auto"/>
                <w:highlight w:val="none"/>
              </w:rPr>
            </w:pPr>
            <w:r>
              <w:rPr>
                <w:rFonts w:hint="eastAsia" w:cs="宋体"/>
                <w:color w:val="auto"/>
                <w:highlight w:val="none"/>
              </w:rPr>
              <w:t>1</w:t>
            </w:r>
          </w:p>
        </w:tc>
        <w:tc>
          <w:tcPr>
            <w:tcW w:w="2365" w:type="dxa"/>
            <w:vAlign w:val="center"/>
          </w:tcPr>
          <w:p w14:paraId="247A13CA">
            <w:pPr>
              <w:pStyle w:val="15"/>
              <w:rPr>
                <w:rFonts w:cs="宋体"/>
                <w:color w:val="auto"/>
                <w:highlight w:val="none"/>
              </w:rPr>
            </w:pPr>
            <w:r>
              <w:rPr>
                <w:rFonts w:hint="eastAsia" w:cs="宋体"/>
                <w:color w:val="auto"/>
                <w:highlight w:val="none"/>
                <w:lang w:val="zh-CN"/>
              </w:rPr>
              <w:t>采购人</w:t>
            </w:r>
          </w:p>
        </w:tc>
        <w:tc>
          <w:tcPr>
            <w:tcW w:w="5972" w:type="dxa"/>
            <w:vAlign w:val="center"/>
          </w:tcPr>
          <w:p w14:paraId="43333095">
            <w:pPr>
              <w:pStyle w:val="15"/>
              <w:jc w:val="left"/>
              <w:rPr>
                <w:rFonts w:cs="宋体"/>
                <w:color w:val="auto"/>
                <w:highlight w:val="none"/>
              </w:rPr>
            </w:pPr>
            <w:r>
              <w:rPr>
                <w:rFonts w:hint="eastAsia" w:cs="宋体"/>
                <w:color w:val="auto"/>
                <w:highlight w:val="none"/>
              </w:rPr>
              <w:t>名    称：阳曲县自然资源局</w:t>
            </w:r>
          </w:p>
          <w:p w14:paraId="4A7A683A">
            <w:pPr>
              <w:pStyle w:val="15"/>
              <w:jc w:val="left"/>
              <w:rPr>
                <w:rFonts w:cs="宋体"/>
                <w:color w:val="auto"/>
                <w:highlight w:val="none"/>
              </w:rPr>
            </w:pPr>
            <w:r>
              <w:rPr>
                <w:rFonts w:hint="eastAsia" w:cs="宋体"/>
                <w:color w:val="auto"/>
                <w:highlight w:val="none"/>
              </w:rPr>
              <w:t>地    址：太原市阳曲县县城首邑北路69号</w:t>
            </w:r>
          </w:p>
          <w:p w14:paraId="163AC222">
            <w:pPr>
              <w:pStyle w:val="15"/>
              <w:jc w:val="left"/>
              <w:rPr>
                <w:rFonts w:hint="eastAsia" w:eastAsia="宋体" w:cs="宋体"/>
                <w:color w:val="auto"/>
                <w:highlight w:val="none"/>
                <w:lang w:eastAsia="zh-CN"/>
              </w:rPr>
            </w:pPr>
            <w:r>
              <w:rPr>
                <w:rFonts w:hint="eastAsia" w:cs="宋体"/>
                <w:color w:val="auto"/>
                <w:highlight w:val="none"/>
              </w:rPr>
              <w:t>联系方式：</w:t>
            </w:r>
            <w:r>
              <w:rPr>
                <w:rFonts w:hint="eastAsia" w:cs="宋体"/>
                <w:color w:val="auto"/>
                <w:highlight w:val="none"/>
                <w:lang w:eastAsia="zh-CN"/>
              </w:rPr>
              <w:t>13643663566</w:t>
            </w:r>
          </w:p>
        </w:tc>
      </w:tr>
      <w:tr w14:paraId="176C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16193">
            <w:pPr>
              <w:pStyle w:val="15"/>
              <w:rPr>
                <w:rFonts w:cs="宋体"/>
                <w:color w:val="auto"/>
                <w:highlight w:val="none"/>
              </w:rPr>
            </w:pPr>
            <w:r>
              <w:rPr>
                <w:rFonts w:hint="eastAsia" w:cs="宋体"/>
                <w:color w:val="auto"/>
                <w:highlight w:val="none"/>
              </w:rPr>
              <w:t>2</w:t>
            </w:r>
          </w:p>
        </w:tc>
        <w:tc>
          <w:tcPr>
            <w:tcW w:w="2365" w:type="dxa"/>
            <w:vAlign w:val="center"/>
          </w:tcPr>
          <w:p w14:paraId="0B58A2E7">
            <w:pPr>
              <w:pStyle w:val="15"/>
              <w:rPr>
                <w:rFonts w:cs="宋体"/>
                <w:color w:val="auto"/>
                <w:highlight w:val="none"/>
              </w:rPr>
            </w:pPr>
            <w:r>
              <w:rPr>
                <w:rFonts w:hint="eastAsia" w:cs="宋体"/>
                <w:color w:val="auto"/>
                <w:highlight w:val="none"/>
              </w:rPr>
              <w:t>采购代理机构</w:t>
            </w:r>
          </w:p>
        </w:tc>
        <w:tc>
          <w:tcPr>
            <w:tcW w:w="5972" w:type="dxa"/>
            <w:vAlign w:val="center"/>
          </w:tcPr>
          <w:p w14:paraId="6F258DFF">
            <w:pPr>
              <w:pStyle w:val="15"/>
              <w:jc w:val="left"/>
              <w:rPr>
                <w:rFonts w:cs="宋体"/>
                <w:color w:val="auto"/>
                <w:highlight w:val="none"/>
              </w:rPr>
            </w:pPr>
            <w:r>
              <w:rPr>
                <w:rFonts w:hint="eastAsia" w:cs="宋体"/>
                <w:color w:val="auto"/>
                <w:highlight w:val="none"/>
              </w:rPr>
              <w:t>名    称：山西万通渊利企业管理咨询有限公司</w:t>
            </w:r>
          </w:p>
          <w:p w14:paraId="2F247A3C">
            <w:pPr>
              <w:pStyle w:val="15"/>
              <w:jc w:val="left"/>
              <w:rPr>
                <w:rFonts w:cs="宋体"/>
                <w:color w:val="auto"/>
                <w:highlight w:val="none"/>
              </w:rPr>
            </w:pPr>
            <w:r>
              <w:rPr>
                <w:rFonts w:hint="eastAsia" w:cs="宋体"/>
                <w:color w:val="auto"/>
                <w:highlight w:val="none"/>
              </w:rPr>
              <w:t>地    址：山西省太原市太榆路迎宾汽车站山西汽运集团晋龙捷泰运输有限公司办公楼六层（办公）</w:t>
            </w:r>
          </w:p>
          <w:p w14:paraId="110EF2E5">
            <w:pPr>
              <w:pStyle w:val="15"/>
              <w:jc w:val="left"/>
              <w:rPr>
                <w:rFonts w:cs="宋体"/>
                <w:color w:val="auto"/>
                <w:highlight w:val="none"/>
              </w:rPr>
            </w:pPr>
            <w:r>
              <w:rPr>
                <w:rFonts w:hint="eastAsia" w:cs="宋体"/>
                <w:color w:val="auto"/>
                <w:highlight w:val="none"/>
              </w:rPr>
              <w:t>联 系 人：连晓阳</w:t>
            </w:r>
          </w:p>
          <w:p w14:paraId="69564653">
            <w:pPr>
              <w:pStyle w:val="15"/>
              <w:jc w:val="left"/>
              <w:rPr>
                <w:rFonts w:hint="eastAsia" w:eastAsia="宋体" w:cs="宋体"/>
                <w:color w:val="auto"/>
                <w:highlight w:val="none"/>
                <w:lang w:eastAsia="zh-CN"/>
              </w:rPr>
            </w:pPr>
            <w:r>
              <w:rPr>
                <w:rFonts w:hint="eastAsia" w:cs="宋体"/>
                <w:color w:val="auto"/>
                <w:highlight w:val="none"/>
              </w:rPr>
              <w:t>电    话：</w:t>
            </w:r>
            <w:r>
              <w:rPr>
                <w:rFonts w:hint="eastAsia" w:cs="宋体"/>
                <w:color w:val="auto"/>
                <w:szCs w:val="24"/>
                <w:highlight w:val="none"/>
                <w:lang w:eastAsia="zh-CN"/>
              </w:rPr>
              <w:t>13333433455</w:t>
            </w:r>
          </w:p>
        </w:tc>
      </w:tr>
      <w:tr w14:paraId="663E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2A7A103">
            <w:pPr>
              <w:pStyle w:val="15"/>
              <w:rPr>
                <w:rFonts w:cs="宋体"/>
                <w:color w:val="auto"/>
                <w:highlight w:val="none"/>
              </w:rPr>
            </w:pPr>
            <w:r>
              <w:rPr>
                <w:rFonts w:hint="eastAsia" w:cs="宋体"/>
                <w:color w:val="auto"/>
                <w:highlight w:val="none"/>
              </w:rPr>
              <w:t>3</w:t>
            </w:r>
          </w:p>
        </w:tc>
        <w:tc>
          <w:tcPr>
            <w:tcW w:w="2365" w:type="dxa"/>
            <w:vAlign w:val="center"/>
          </w:tcPr>
          <w:p w14:paraId="6B5F7550">
            <w:pPr>
              <w:pStyle w:val="15"/>
              <w:rPr>
                <w:rFonts w:cs="宋体"/>
                <w:color w:val="auto"/>
                <w:highlight w:val="none"/>
              </w:rPr>
            </w:pPr>
            <w:r>
              <w:rPr>
                <w:rFonts w:hint="eastAsia" w:cs="宋体"/>
                <w:color w:val="auto"/>
                <w:highlight w:val="none"/>
              </w:rPr>
              <w:t>项目名称</w:t>
            </w:r>
          </w:p>
        </w:tc>
        <w:tc>
          <w:tcPr>
            <w:tcW w:w="5972" w:type="dxa"/>
            <w:vAlign w:val="center"/>
          </w:tcPr>
          <w:p w14:paraId="2B186428">
            <w:pPr>
              <w:pStyle w:val="15"/>
              <w:jc w:val="left"/>
              <w:rPr>
                <w:rFonts w:hint="eastAsia" w:eastAsia="宋体" w:cs="宋体"/>
                <w:color w:val="auto"/>
                <w:highlight w:val="none"/>
                <w:lang w:eastAsia="zh-CN"/>
              </w:rPr>
            </w:pPr>
            <w:r>
              <w:rPr>
                <w:rFonts w:hint="eastAsia" w:cs="宋体"/>
                <w:color w:val="auto"/>
                <w:highlight w:val="none"/>
                <w:lang w:eastAsia="zh-CN"/>
              </w:rPr>
              <w:t>山西省阳曲县地质灾害综合治理项目监测</w:t>
            </w:r>
          </w:p>
        </w:tc>
      </w:tr>
      <w:tr w14:paraId="16A6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278163A">
            <w:pPr>
              <w:pStyle w:val="15"/>
              <w:rPr>
                <w:rFonts w:cs="宋体"/>
                <w:color w:val="auto"/>
                <w:highlight w:val="none"/>
              </w:rPr>
            </w:pPr>
            <w:r>
              <w:rPr>
                <w:rFonts w:hint="eastAsia" w:cs="宋体"/>
                <w:color w:val="auto"/>
                <w:highlight w:val="none"/>
              </w:rPr>
              <w:t>4</w:t>
            </w:r>
          </w:p>
        </w:tc>
        <w:tc>
          <w:tcPr>
            <w:tcW w:w="2365" w:type="dxa"/>
            <w:vAlign w:val="center"/>
          </w:tcPr>
          <w:p w14:paraId="39A8210A">
            <w:pPr>
              <w:pStyle w:val="15"/>
              <w:rPr>
                <w:rFonts w:cs="宋体"/>
                <w:color w:val="auto"/>
                <w:highlight w:val="none"/>
              </w:rPr>
            </w:pPr>
            <w:r>
              <w:rPr>
                <w:rFonts w:hint="eastAsia" w:cs="宋体"/>
                <w:color w:val="auto"/>
                <w:highlight w:val="none"/>
              </w:rPr>
              <w:t>项目控制价</w:t>
            </w:r>
          </w:p>
        </w:tc>
        <w:tc>
          <w:tcPr>
            <w:tcW w:w="5972" w:type="dxa"/>
            <w:vAlign w:val="center"/>
          </w:tcPr>
          <w:p w14:paraId="7014468E">
            <w:pPr>
              <w:pStyle w:val="15"/>
              <w:jc w:val="left"/>
              <w:rPr>
                <w:rFonts w:cs="宋体"/>
                <w:color w:val="auto"/>
                <w:highlight w:val="none"/>
              </w:rPr>
            </w:pPr>
            <w:r>
              <w:rPr>
                <w:rFonts w:hint="eastAsia" w:cs="宋体"/>
                <w:color w:val="auto"/>
                <w:highlight w:val="none"/>
              </w:rPr>
              <w:t>项目控制价：</w:t>
            </w:r>
            <w:r>
              <w:rPr>
                <w:rFonts w:hint="eastAsia" w:cs="宋体"/>
                <w:color w:val="auto"/>
                <w:highlight w:val="none"/>
                <w:lang w:val="en-US" w:eastAsia="zh-CN"/>
              </w:rPr>
              <w:t>395120.92</w:t>
            </w:r>
            <w:r>
              <w:rPr>
                <w:rFonts w:hint="eastAsia" w:cs="宋体"/>
                <w:color w:val="auto"/>
                <w:highlight w:val="none"/>
              </w:rPr>
              <w:t>元</w:t>
            </w:r>
          </w:p>
          <w:p w14:paraId="563BF5CF">
            <w:pPr>
              <w:pStyle w:val="15"/>
              <w:jc w:val="left"/>
              <w:rPr>
                <w:rFonts w:cs="宋体"/>
                <w:color w:val="auto"/>
                <w:highlight w:val="none"/>
              </w:rPr>
            </w:pPr>
            <w:r>
              <w:rPr>
                <w:rFonts w:hint="eastAsia" w:cs="宋体"/>
                <w:color w:val="auto"/>
                <w:highlight w:val="none"/>
              </w:rPr>
              <w:t>注：供应商投标报价不得超过项目控制价，否则为无效投标。</w:t>
            </w:r>
          </w:p>
        </w:tc>
      </w:tr>
      <w:tr w14:paraId="6A55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AD2C06">
            <w:pPr>
              <w:pStyle w:val="15"/>
              <w:rPr>
                <w:rFonts w:cs="宋体"/>
                <w:color w:val="auto"/>
                <w:highlight w:val="none"/>
              </w:rPr>
            </w:pPr>
            <w:r>
              <w:rPr>
                <w:rFonts w:hint="eastAsia" w:cs="宋体"/>
                <w:color w:val="auto"/>
                <w:highlight w:val="none"/>
              </w:rPr>
              <w:t>5</w:t>
            </w:r>
          </w:p>
        </w:tc>
        <w:tc>
          <w:tcPr>
            <w:tcW w:w="2365" w:type="dxa"/>
            <w:vAlign w:val="center"/>
          </w:tcPr>
          <w:p w14:paraId="4B5BE984">
            <w:pPr>
              <w:pStyle w:val="15"/>
              <w:rPr>
                <w:rFonts w:cs="宋体"/>
                <w:color w:val="auto"/>
                <w:highlight w:val="none"/>
              </w:rPr>
            </w:pPr>
            <w:r>
              <w:rPr>
                <w:rFonts w:hint="eastAsia" w:cs="宋体"/>
                <w:color w:val="auto"/>
                <w:highlight w:val="none"/>
              </w:rPr>
              <w:t>采购范围</w:t>
            </w:r>
          </w:p>
        </w:tc>
        <w:tc>
          <w:tcPr>
            <w:tcW w:w="5972" w:type="dxa"/>
            <w:vAlign w:val="center"/>
          </w:tcPr>
          <w:p w14:paraId="5A559197">
            <w:pPr>
              <w:pStyle w:val="15"/>
              <w:jc w:val="left"/>
              <w:rPr>
                <w:rFonts w:cs="宋体"/>
                <w:color w:val="auto"/>
                <w:highlight w:val="none"/>
              </w:rPr>
            </w:pPr>
            <w:r>
              <w:rPr>
                <w:rFonts w:hint="eastAsia" w:cs="宋体"/>
                <w:color w:val="auto"/>
                <w:highlight w:val="none"/>
              </w:rPr>
              <w:t>详见第五部分 商务、技术要求</w:t>
            </w:r>
          </w:p>
        </w:tc>
      </w:tr>
      <w:tr w14:paraId="370E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889A6F">
            <w:pPr>
              <w:pStyle w:val="15"/>
              <w:rPr>
                <w:rFonts w:cs="宋体"/>
                <w:color w:val="auto"/>
                <w:highlight w:val="none"/>
              </w:rPr>
            </w:pPr>
            <w:r>
              <w:rPr>
                <w:rFonts w:hint="eastAsia" w:cs="宋体"/>
                <w:color w:val="auto"/>
                <w:highlight w:val="none"/>
              </w:rPr>
              <w:t>6</w:t>
            </w:r>
          </w:p>
        </w:tc>
        <w:tc>
          <w:tcPr>
            <w:tcW w:w="2365" w:type="dxa"/>
            <w:vAlign w:val="center"/>
          </w:tcPr>
          <w:p w14:paraId="674550AD">
            <w:pPr>
              <w:pStyle w:val="15"/>
              <w:rPr>
                <w:rFonts w:cs="宋体"/>
                <w:color w:val="auto"/>
                <w:highlight w:val="none"/>
              </w:rPr>
            </w:pPr>
            <w:r>
              <w:rPr>
                <w:rFonts w:hint="eastAsia" w:cs="宋体"/>
                <w:color w:val="auto"/>
                <w:highlight w:val="none"/>
              </w:rPr>
              <w:t>采购方式</w:t>
            </w:r>
          </w:p>
        </w:tc>
        <w:tc>
          <w:tcPr>
            <w:tcW w:w="5972" w:type="dxa"/>
            <w:vAlign w:val="center"/>
          </w:tcPr>
          <w:p w14:paraId="7FBA777B">
            <w:pPr>
              <w:pStyle w:val="15"/>
              <w:jc w:val="left"/>
              <w:rPr>
                <w:rFonts w:cs="宋体"/>
                <w:color w:val="auto"/>
                <w:highlight w:val="none"/>
              </w:rPr>
            </w:pPr>
            <w:r>
              <w:rPr>
                <w:rFonts w:hint="eastAsia" w:cs="宋体"/>
                <w:color w:val="auto"/>
                <w:highlight w:val="none"/>
              </w:rPr>
              <w:t>竞争性磋商</w:t>
            </w:r>
          </w:p>
        </w:tc>
      </w:tr>
      <w:tr w14:paraId="6B1A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6247DD2">
            <w:pPr>
              <w:pStyle w:val="15"/>
              <w:rPr>
                <w:rFonts w:cs="宋体"/>
                <w:color w:val="auto"/>
                <w:highlight w:val="none"/>
              </w:rPr>
            </w:pPr>
            <w:r>
              <w:rPr>
                <w:rFonts w:hint="eastAsia" w:cs="宋体"/>
                <w:color w:val="auto"/>
                <w:highlight w:val="none"/>
              </w:rPr>
              <w:t>7</w:t>
            </w:r>
          </w:p>
        </w:tc>
        <w:tc>
          <w:tcPr>
            <w:tcW w:w="2365" w:type="dxa"/>
            <w:vAlign w:val="center"/>
          </w:tcPr>
          <w:p w14:paraId="0366641D">
            <w:pPr>
              <w:pStyle w:val="15"/>
              <w:rPr>
                <w:rFonts w:cs="宋体"/>
                <w:color w:val="auto"/>
                <w:highlight w:val="none"/>
              </w:rPr>
            </w:pPr>
            <w:r>
              <w:rPr>
                <w:rFonts w:hint="eastAsia" w:cs="宋体"/>
                <w:color w:val="auto"/>
                <w:highlight w:val="none"/>
              </w:rPr>
              <w:t>合同履约期限</w:t>
            </w:r>
          </w:p>
        </w:tc>
        <w:tc>
          <w:tcPr>
            <w:tcW w:w="5972" w:type="dxa"/>
            <w:vAlign w:val="center"/>
          </w:tcPr>
          <w:p w14:paraId="0A6B5EE0">
            <w:pPr>
              <w:pStyle w:val="15"/>
              <w:jc w:val="left"/>
              <w:rPr>
                <w:rFonts w:cs="宋体"/>
                <w:color w:val="auto"/>
                <w:highlight w:val="none"/>
              </w:rPr>
            </w:pPr>
            <w:r>
              <w:rPr>
                <w:rFonts w:hint="eastAsia" w:cs="宋体"/>
                <w:color w:val="auto"/>
                <w:highlight w:val="none"/>
                <w:lang w:val="en-US" w:eastAsia="zh-CN"/>
              </w:rPr>
              <w:t>整个施工期间及竣工后一年。</w:t>
            </w:r>
          </w:p>
        </w:tc>
      </w:tr>
      <w:tr w14:paraId="7FB2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B93AC34">
            <w:pPr>
              <w:pStyle w:val="15"/>
              <w:rPr>
                <w:rFonts w:cs="宋体"/>
                <w:color w:val="auto"/>
                <w:highlight w:val="none"/>
              </w:rPr>
            </w:pPr>
            <w:r>
              <w:rPr>
                <w:rFonts w:hint="eastAsia" w:cs="宋体"/>
                <w:color w:val="auto"/>
                <w:highlight w:val="none"/>
              </w:rPr>
              <w:t>8</w:t>
            </w:r>
          </w:p>
        </w:tc>
        <w:tc>
          <w:tcPr>
            <w:tcW w:w="2365" w:type="dxa"/>
            <w:vAlign w:val="center"/>
          </w:tcPr>
          <w:p w14:paraId="7B21BADC">
            <w:pPr>
              <w:pStyle w:val="15"/>
              <w:rPr>
                <w:rFonts w:cs="宋体"/>
                <w:color w:val="auto"/>
                <w:highlight w:val="none"/>
              </w:rPr>
            </w:pPr>
            <w:r>
              <w:rPr>
                <w:rFonts w:hint="eastAsia" w:cs="宋体"/>
                <w:color w:val="auto"/>
                <w:highlight w:val="none"/>
              </w:rPr>
              <w:t>质量要求</w:t>
            </w:r>
          </w:p>
        </w:tc>
        <w:tc>
          <w:tcPr>
            <w:tcW w:w="5972" w:type="dxa"/>
            <w:vAlign w:val="center"/>
          </w:tcPr>
          <w:p w14:paraId="668D2805">
            <w:pPr>
              <w:pStyle w:val="15"/>
              <w:jc w:val="left"/>
              <w:rPr>
                <w:rFonts w:cs="宋体"/>
                <w:color w:val="auto"/>
                <w:highlight w:val="none"/>
              </w:rPr>
            </w:pPr>
            <w:r>
              <w:rPr>
                <w:rFonts w:hint="eastAsia" w:cs="宋体"/>
                <w:color w:val="auto"/>
                <w:highlight w:val="none"/>
              </w:rPr>
              <w:t>符合国家及行业现行合格标准</w:t>
            </w:r>
          </w:p>
        </w:tc>
      </w:tr>
      <w:tr w14:paraId="20DA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C11FD4">
            <w:pPr>
              <w:pStyle w:val="15"/>
              <w:rPr>
                <w:rFonts w:cs="宋体"/>
                <w:color w:val="auto"/>
                <w:highlight w:val="none"/>
              </w:rPr>
            </w:pPr>
            <w:r>
              <w:rPr>
                <w:rFonts w:hint="eastAsia" w:cs="宋体"/>
                <w:color w:val="auto"/>
                <w:highlight w:val="none"/>
              </w:rPr>
              <w:t>9</w:t>
            </w:r>
          </w:p>
        </w:tc>
        <w:tc>
          <w:tcPr>
            <w:tcW w:w="2365" w:type="dxa"/>
            <w:vAlign w:val="center"/>
          </w:tcPr>
          <w:p w14:paraId="506BDA46">
            <w:pPr>
              <w:pStyle w:val="15"/>
              <w:rPr>
                <w:rFonts w:cs="宋体"/>
                <w:color w:val="auto"/>
                <w:highlight w:val="none"/>
              </w:rPr>
            </w:pPr>
            <w:r>
              <w:rPr>
                <w:rFonts w:hint="eastAsia" w:cs="宋体"/>
                <w:color w:val="auto"/>
                <w:highlight w:val="none"/>
              </w:rPr>
              <w:t>本项目所属行业</w:t>
            </w:r>
          </w:p>
        </w:tc>
        <w:tc>
          <w:tcPr>
            <w:tcW w:w="5972" w:type="dxa"/>
            <w:vAlign w:val="center"/>
          </w:tcPr>
          <w:p w14:paraId="5F3D13BE">
            <w:pPr>
              <w:pStyle w:val="15"/>
              <w:jc w:val="left"/>
              <w:rPr>
                <w:rFonts w:cs="宋体"/>
                <w:color w:val="auto"/>
                <w:highlight w:val="none"/>
              </w:rPr>
            </w:pPr>
            <w:r>
              <w:rPr>
                <w:rFonts w:hint="eastAsia" w:cs="宋体"/>
                <w:color w:val="auto"/>
                <w:highlight w:val="none"/>
              </w:rPr>
              <w:t>其他未列明行业</w:t>
            </w:r>
          </w:p>
        </w:tc>
      </w:tr>
      <w:tr w14:paraId="0220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2B0D7A5">
            <w:pPr>
              <w:pStyle w:val="15"/>
              <w:rPr>
                <w:rFonts w:cs="宋体"/>
                <w:color w:val="auto"/>
                <w:highlight w:val="none"/>
              </w:rPr>
            </w:pPr>
            <w:r>
              <w:rPr>
                <w:rFonts w:hint="eastAsia" w:cs="宋体"/>
                <w:color w:val="auto"/>
                <w:highlight w:val="none"/>
              </w:rPr>
              <w:t>10</w:t>
            </w:r>
          </w:p>
        </w:tc>
        <w:tc>
          <w:tcPr>
            <w:tcW w:w="2365" w:type="dxa"/>
            <w:vAlign w:val="center"/>
          </w:tcPr>
          <w:p w14:paraId="7197B5F1">
            <w:pPr>
              <w:keepNext/>
              <w:adjustRightInd/>
              <w:snapToGrid w:val="0"/>
              <w:spacing w:line="420" w:lineRule="exact"/>
              <w:jc w:val="center"/>
              <w:textAlignment w:val="auto"/>
              <w:rPr>
                <w:rFonts w:cs="宋体"/>
                <w:color w:val="auto"/>
                <w:highlight w:val="none"/>
              </w:rPr>
            </w:pPr>
            <w:r>
              <w:rPr>
                <w:rFonts w:hint="eastAsia" w:cs="宋体"/>
                <w:color w:val="auto"/>
                <w:szCs w:val="24"/>
                <w:highlight w:val="none"/>
              </w:rPr>
              <w:t>供应商应提交的资格证明文件</w:t>
            </w:r>
          </w:p>
        </w:tc>
        <w:tc>
          <w:tcPr>
            <w:tcW w:w="5972" w:type="dxa"/>
            <w:vAlign w:val="center"/>
          </w:tcPr>
          <w:p w14:paraId="0405A72F">
            <w:pPr>
              <w:pStyle w:val="15"/>
              <w:jc w:val="left"/>
              <w:rPr>
                <w:rFonts w:cs="宋体"/>
                <w:color w:val="auto"/>
                <w:highlight w:val="none"/>
              </w:rPr>
            </w:pPr>
            <w:r>
              <w:rPr>
                <w:rFonts w:hint="eastAsia" w:cs="宋体"/>
                <w:color w:val="auto"/>
                <w:highlight w:val="none"/>
              </w:rPr>
              <w:t>1.具有独立承担民事责任的能力</w:t>
            </w:r>
          </w:p>
          <w:p w14:paraId="46B2BBC9">
            <w:pPr>
              <w:pStyle w:val="15"/>
              <w:jc w:val="left"/>
              <w:rPr>
                <w:rFonts w:cs="宋体"/>
                <w:color w:val="auto"/>
                <w:highlight w:val="none"/>
              </w:rPr>
            </w:pPr>
            <w:r>
              <w:rPr>
                <w:rFonts w:hint="eastAsia" w:cs="宋体"/>
                <w:color w:val="auto"/>
                <w:highlight w:val="none"/>
              </w:rPr>
              <w:t>供应商须提供供应商信用承诺书（见‘响应文件格式’）；</w:t>
            </w:r>
          </w:p>
          <w:p w14:paraId="40EF4A86">
            <w:pPr>
              <w:pStyle w:val="15"/>
              <w:jc w:val="left"/>
              <w:rPr>
                <w:rFonts w:cs="宋体"/>
                <w:color w:val="auto"/>
                <w:highlight w:val="none"/>
              </w:rPr>
            </w:pPr>
            <w:r>
              <w:rPr>
                <w:rFonts w:hint="eastAsia" w:cs="宋体"/>
                <w:color w:val="auto"/>
                <w:highlight w:val="none"/>
              </w:rPr>
              <w:t>2.具有良好的商业信誉和健全的财务会计制度</w:t>
            </w:r>
          </w:p>
          <w:p w14:paraId="6AF5D94C">
            <w:pPr>
              <w:pStyle w:val="15"/>
              <w:jc w:val="left"/>
              <w:rPr>
                <w:rFonts w:cs="宋体"/>
                <w:color w:val="auto"/>
                <w:highlight w:val="none"/>
              </w:rPr>
            </w:pPr>
            <w:r>
              <w:rPr>
                <w:rFonts w:hint="eastAsia" w:cs="宋体"/>
                <w:color w:val="auto"/>
                <w:highlight w:val="none"/>
              </w:rPr>
              <w:t>供应商须提供供应商信用承诺书（见‘响应文件格式’）；</w:t>
            </w:r>
          </w:p>
          <w:p w14:paraId="24A92F54">
            <w:pPr>
              <w:pStyle w:val="15"/>
              <w:jc w:val="left"/>
              <w:rPr>
                <w:rFonts w:cs="宋体"/>
                <w:color w:val="auto"/>
                <w:highlight w:val="none"/>
              </w:rPr>
            </w:pPr>
            <w:r>
              <w:rPr>
                <w:rFonts w:hint="eastAsia" w:cs="宋体"/>
                <w:color w:val="auto"/>
                <w:highlight w:val="none"/>
              </w:rPr>
              <w:t>3.具有履行合同所必需的设备和专业技术能力</w:t>
            </w:r>
          </w:p>
          <w:p w14:paraId="58B9D8A4">
            <w:pPr>
              <w:pStyle w:val="15"/>
              <w:jc w:val="left"/>
              <w:rPr>
                <w:rFonts w:cs="宋体"/>
                <w:color w:val="auto"/>
                <w:highlight w:val="none"/>
              </w:rPr>
            </w:pPr>
            <w:r>
              <w:rPr>
                <w:rFonts w:hint="eastAsia" w:cs="宋体"/>
                <w:color w:val="auto"/>
                <w:highlight w:val="none"/>
              </w:rPr>
              <w:t>供应商须提供供应商信用承诺书（见‘响应文件格式’）；</w:t>
            </w:r>
          </w:p>
          <w:p w14:paraId="64FF75A3">
            <w:pPr>
              <w:pStyle w:val="15"/>
              <w:jc w:val="left"/>
              <w:rPr>
                <w:rFonts w:cs="宋体"/>
                <w:color w:val="auto"/>
                <w:highlight w:val="none"/>
              </w:rPr>
            </w:pPr>
            <w:r>
              <w:rPr>
                <w:rFonts w:hint="eastAsia" w:cs="宋体"/>
                <w:color w:val="auto"/>
                <w:highlight w:val="none"/>
              </w:rPr>
              <w:t>4.有依法缴纳税收和社会保障资金的良好记录</w:t>
            </w:r>
          </w:p>
          <w:p w14:paraId="0B6D7EDC">
            <w:pPr>
              <w:pStyle w:val="15"/>
              <w:jc w:val="left"/>
              <w:rPr>
                <w:rFonts w:cs="宋体"/>
                <w:color w:val="auto"/>
                <w:highlight w:val="none"/>
              </w:rPr>
            </w:pPr>
            <w:r>
              <w:rPr>
                <w:rFonts w:hint="eastAsia" w:cs="宋体"/>
                <w:color w:val="auto"/>
                <w:highlight w:val="none"/>
              </w:rPr>
              <w:t>供应商须提供供应商信用承诺书（见‘响应文件格式’）；</w:t>
            </w:r>
          </w:p>
          <w:p w14:paraId="42CB8AD6">
            <w:pPr>
              <w:pStyle w:val="15"/>
              <w:jc w:val="left"/>
              <w:rPr>
                <w:rFonts w:cs="宋体"/>
                <w:color w:val="auto"/>
                <w:highlight w:val="none"/>
              </w:rPr>
            </w:pPr>
            <w:r>
              <w:rPr>
                <w:rFonts w:hint="eastAsia" w:cs="宋体"/>
                <w:color w:val="auto"/>
                <w:highlight w:val="none"/>
              </w:rPr>
              <w:t>5.参加本次政府采购活动前三年内，在经营活动中没有重大违法记录</w:t>
            </w:r>
          </w:p>
          <w:p w14:paraId="745CCFDA">
            <w:pPr>
              <w:pStyle w:val="15"/>
              <w:jc w:val="left"/>
              <w:rPr>
                <w:rFonts w:cs="宋体"/>
                <w:color w:val="auto"/>
                <w:highlight w:val="none"/>
              </w:rPr>
            </w:pPr>
            <w:r>
              <w:rPr>
                <w:rFonts w:hint="eastAsia" w:cs="宋体"/>
                <w:color w:val="auto"/>
                <w:highlight w:val="none"/>
              </w:rPr>
              <w:t>供应商须提供供应商信用承诺书（见‘响应文件格式’）；</w:t>
            </w:r>
          </w:p>
          <w:p w14:paraId="4C31DD0E">
            <w:pPr>
              <w:pStyle w:val="15"/>
              <w:jc w:val="left"/>
              <w:rPr>
                <w:rFonts w:cs="宋体"/>
                <w:color w:val="auto"/>
                <w:highlight w:val="none"/>
              </w:rPr>
            </w:pPr>
            <w:r>
              <w:rPr>
                <w:rFonts w:hint="eastAsia" w:cs="宋体"/>
                <w:color w:val="auto"/>
                <w:highlight w:val="none"/>
              </w:rPr>
              <w:t>6.供应商廉洁自律承诺书</w:t>
            </w:r>
          </w:p>
          <w:p w14:paraId="6F843069">
            <w:pPr>
              <w:pStyle w:val="15"/>
              <w:jc w:val="left"/>
              <w:rPr>
                <w:rFonts w:cs="宋体"/>
                <w:color w:val="auto"/>
                <w:highlight w:val="none"/>
              </w:rPr>
            </w:pPr>
            <w:r>
              <w:rPr>
                <w:rFonts w:hint="eastAsia" w:cs="宋体"/>
                <w:color w:val="auto"/>
                <w:highlight w:val="none"/>
              </w:rPr>
              <w:t>供应商须提供供应商信用承诺书（见‘响应文件格式’）；</w:t>
            </w:r>
          </w:p>
          <w:p w14:paraId="4E3A4532">
            <w:pPr>
              <w:pStyle w:val="15"/>
              <w:jc w:val="left"/>
              <w:rPr>
                <w:rFonts w:cs="宋体"/>
                <w:color w:val="auto"/>
                <w:highlight w:val="none"/>
              </w:rPr>
            </w:pPr>
            <w:r>
              <w:rPr>
                <w:rFonts w:hint="eastAsia" w:cs="宋体"/>
                <w:color w:val="auto"/>
                <w:highlight w:val="none"/>
              </w:rPr>
              <w:t>7.磋商保证金</w:t>
            </w:r>
            <w:r>
              <w:rPr>
                <w:rFonts w:hint="eastAsia" w:cs="宋体"/>
                <w:color w:val="auto"/>
                <w:highlight w:val="none"/>
                <w:lang w:val="zh-CN"/>
              </w:rPr>
              <w:t>提交</w:t>
            </w:r>
            <w:r>
              <w:rPr>
                <w:rFonts w:hint="eastAsia" w:cs="宋体"/>
                <w:color w:val="auto"/>
                <w:highlight w:val="none"/>
              </w:rPr>
              <w:t>凭证</w:t>
            </w:r>
          </w:p>
          <w:p w14:paraId="485DB014">
            <w:pPr>
              <w:pStyle w:val="15"/>
              <w:jc w:val="left"/>
              <w:rPr>
                <w:rFonts w:cs="宋体"/>
                <w:color w:val="auto"/>
                <w:highlight w:val="none"/>
              </w:rPr>
            </w:pPr>
            <w:r>
              <w:rPr>
                <w:rFonts w:hint="eastAsia" w:cs="宋体"/>
                <w:color w:val="auto"/>
                <w:highlight w:val="none"/>
              </w:rPr>
              <w:t>附保证金交款凭证及其基本存款账户开户许可证或基本存款账户信息材料</w:t>
            </w:r>
          </w:p>
          <w:p w14:paraId="78DB6F7E">
            <w:pPr>
              <w:pStyle w:val="15"/>
              <w:jc w:val="left"/>
              <w:rPr>
                <w:rFonts w:cs="宋体"/>
                <w:color w:val="auto"/>
                <w:highlight w:val="none"/>
              </w:rPr>
            </w:pPr>
            <w:r>
              <w:rPr>
                <w:rFonts w:hint="eastAsia" w:cs="宋体"/>
                <w:color w:val="auto"/>
                <w:highlight w:val="none"/>
              </w:rPr>
              <w:t>8.提供落实政府采购政策资格要求的证明文件</w:t>
            </w:r>
          </w:p>
          <w:p w14:paraId="232FEAEE">
            <w:pPr>
              <w:jc w:val="left"/>
              <w:rPr>
                <w:rFonts w:cs="宋体"/>
                <w:color w:val="auto"/>
                <w:highlight w:val="none"/>
              </w:rPr>
            </w:pPr>
            <w:r>
              <w:rPr>
                <w:rFonts w:hint="eastAsia" w:cs="宋体"/>
                <w:color w:val="auto"/>
                <w:highlight w:val="none"/>
              </w:rPr>
              <w:t>本项目为专门面向中小企业的采购项目，供应商须提供有效的《中小企业声明函》，或提供有效的《残疾人福利性单位声明函》或属于监狱企业的证明文件视同小型、微型企业（见‘响应文件格式’）</w:t>
            </w:r>
          </w:p>
          <w:p w14:paraId="70851D6D">
            <w:pPr>
              <w:jc w:val="left"/>
              <w:rPr>
                <w:rFonts w:cs="宋体"/>
                <w:color w:val="auto"/>
                <w:highlight w:val="none"/>
              </w:rPr>
            </w:pPr>
            <w:r>
              <w:rPr>
                <w:rFonts w:hint="eastAsia" w:cs="宋体"/>
                <w:color w:val="auto"/>
                <w:highlight w:val="none"/>
              </w:rPr>
              <w:t>9.本项目的特定资格要求证明材料</w:t>
            </w:r>
          </w:p>
          <w:p w14:paraId="24D8DFB8">
            <w:pPr>
              <w:jc w:val="left"/>
              <w:rPr>
                <w:rFonts w:cs="宋体"/>
                <w:color w:val="auto"/>
                <w:highlight w:val="none"/>
              </w:rPr>
            </w:pPr>
            <w:r>
              <w:rPr>
                <w:rFonts w:hint="eastAsia" w:cs="宋体"/>
                <w:color w:val="auto"/>
                <w:highlight w:val="none"/>
              </w:rPr>
              <w:t>10.具备法律、行政法规规定的其他条件证明文件（如有）</w:t>
            </w:r>
          </w:p>
          <w:p w14:paraId="61F708A7">
            <w:pPr>
              <w:pStyle w:val="15"/>
              <w:jc w:val="left"/>
              <w:rPr>
                <w:rFonts w:cs="宋体"/>
                <w:color w:val="auto"/>
                <w:highlight w:val="none"/>
              </w:rPr>
            </w:pPr>
            <w:r>
              <w:rPr>
                <w:rFonts w:hint="eastAsia" w:cs="宋体"/>
                <w:color w:val="auto"/>
                <w:highlight w:val="none"/>
              </w:rPr>
              <w:t>注：（1）第1-9项资格证明文件，若有一项未提供或无效，将导致其不具备磋商资格，且不允许在开启后补正。</w:t>
            </w:r>
          </w:p>
          <w:p w14:paraId="29704E84">
            <w:pPr>
              <w:pStyle w:val="15"/>
              <w:jc w:val="left"/>
              <w:rPr>
                <w:rFonts w:cs="宋体"/>
                <w:color w:val="auto"/>
                <w:highlight w:val="none"/>
              </w:rPr>
            </w:pPr>
            <w:r>
              <w:rPr>
                <w:rFonts w:hint="eastAsia" w:cs="宋体"/>
                <w:color w:val="auto"/>
                <w:highlight w:val="none"/>
              </w:rPr>
              <w:t>（2）以上所有资格证明文件均需加盖供应商数字证书电子CA章。</w:t>
            </w:r>
          </w:p>
        </w:tc>
      </w:tr>
      <w:tr w14:paraId="1CE4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E7EEACB">
            <w:pPr>
              <w:pStyle w:val="15"/>
              <w:rPr>
                <w:rFonts w:cs="宋体"/>
                <w:color w:val="auto"/>
                <w:highlight w:val="none"/>
              </w:rPr>
            </w:pPr>
            <w:r>
              <w:rPr>
                <w:rFonts w:hint="eastAsia" w:cs="宋体"/>
                <w:color w:val="auto"/>
                <w:highlight w:val="none"/>
              </w:rPr>
              <w:t>11</w:t>
            </w:r>
          </w:p>
        </w:tc>
        <w:tc>
          <w:tcPr>
            <w:tcW w:w="2365" w:type="dxa"/>
            <w:vAlign w:val="center"/>
          </w:tcPr>
          <w:p w14:paraId="74E87635">
            <w:pPr>
              <w:keepNext/>
              <w:adjustRightInd/>
              <w:snapToGrid w:val="0"/>
              <w:spacing w:line="420" w:lineRule="exact"/>
              <w:jc w:val="center"/>
              <w:textAlignment w:val="auto"/>
              <w:rPr>
                <w:rFonts w:cs="宋体"/>
                <w:color w:val="auto"/>
                <w:highlight w:val="none"/>
              </w:rPr>
            </w:pPr>
            <w:r>
              <w:rPr>
                <w:rFonts w:hint="eastAsia" w:cs="宋体"/>
                <w:color w:val="auto"/>
                <w:szCs w:val="24"/>
                <w:highlight w:val="none"/>
              </w:rPr>
              <w:t>供应商应提交的商务、技术文件</w:t>
            </w:r>
          </w:p>
        </w:tc>
        <w:tc>
          <w:tcPr>
            <w:tcW w:w="5972" w:type="dxa"/>
            <w:vAlign w:val="center"/>
          </w:tcPr>
          <w:p w14:paraId="6D821024">
            <w:pPr>
              <w:topLinePunct/>
              <w:autoSpaceDE w:val="0"/>
              <w:autoSpaceDN w:val="0"/>
              <w:adjustRightInd/>
              <w:snapToGrid w:val="0"/>
              <w:spacing w:line="420" w:lineRule="exact"/>
              <w:jc w:val="both"/>
              <w:textAlignment w:val="auto"/>
              <w:rPr>
                <w:rFonts w:cs="宋体"/>
                <w:color w:val="auto"/>
                <w:szCs w:val="24"/>
                <w:highlight w:val="none"/>
              </w:rPr>
            </w:pPr>
            <w:r>
              <w:rPr>
                <w:rFonts w:hint="eastAsia" w:cs="宋体"/>
                <w:color w:val="auto"/>
                <w:szCs w:val="24"/>
                <w:highlight w:val="none"/>
              </w:rPr>
              <w:t xml:space="preserve">★1.法定代表人（负责人）身份证明书（见‘响应文件格式’）； </w:t>
            </w:r>
          </w:p>
          <w:p w14:paraId="204E0949">
            <w:pPr>
              <w:tabs>
                <w:tab w:val="left" w:pos="567"/>
              </w:tabs>
              <w:topLinePunct/>
              <w:autoSpaceDE w:val="0"/>
              <w:autoSpaceDN w:val="0"/>
              <w:adjustRightInd/>
              <w:snapToGrid w:val="0"/>
              <w:spacing w:line="420" w:lineRule="exact"/>
              <w:jc w:val="both"/>
              <w:textAlignment w:val="auto"/>
              <w:rPr>
                <w:rFonts w:cs="宋体"/>
                <w:color w:val="auto"/>
                <w:szCs w:val="24"/>
                <w:highlight w:val="none"/>
              </w:rPr>
            </w:pPr>
            <w:r>
              <w:rPr>
                <w:rFonts w:hint="eastAsia" w:cs="宋体"/>
                <w:color w:val="auto"/>
                <w:szCs w:val="24"/>
                <w:highlight w:val="none"/>
              </w:rPr>
              <w:t>★2.法定代表人（负责人）授权委托书（见‘响应文件格式’）</w:t>
            </w:r>
          </w:p>
          <w:p w14:paraId="3FE21E2D">
            <w:pPr>
              <w:tabs>
                <w:tab w:val="left" w:pos="567"/>
              </w:tabs>
              <w:topLinePunct/>
              <w:autoSpaceDE w:val="0"/>
              <w:autoSpaceDN w:val="0"/>
              <w:adjustRightInd/>
              <w:snapToGrid w:val="0"/>
              <w:spacing w:line="420" w:lineRule="exact"/>
              <w:jc w:val="both"/>
              <w:textAlignment w:val="auto"/>
              <w:rPr>
                <w:rFonts w:cs="宋体"/>
                <w:color w:val="auto"/>
                <w:szCs w:val="24"/>
                <w:highlight w:val="none"/>
              </w:rPr>
            </w:pPr>
            <w:r>
              <w:rPr>
                <w:rFonts w:hint="eastAsia" w:cs="宋体"/>
                <w:color w:val="auto"/>
                <w:szCs w:val="24"/>
                <w:highlight w:val="none"/>
              </w:rPr>
              <w:t>若供应商授权代表为法定代表人（负责人）的可不提供；</w:t>
            </w:r>
          </w:p>
          <w:p w14:paraId="0C311026">
            <w:pPr>
              <w:tabs>
                <w:tab w:val="left" w:pos="567"/>
              </w:tabs>
              <w:topLinePunct/>
              <w:autoSpaceDE w:val="0"/>
              <w:autoSpaceDN w:val="0"/>
              <w:adjustRightInd/>
              <w:snapToGrid w:val="0"/>
              <w:spacing w:line="420" w:lineRule="exact"/>
              <w:jc w:val="both"/>
              <w:textAlignment w:val="auto"/>
              <w:rPr>
                <w:rFonts w:cs="宋体"/>
                <w:color w:val="auto"/>
                <w:szCs w:val="24"/>
                <w:highlight w:val="none"/>
              </w:rPr>
            </w:pPr>
            <w:r>
              <w:rPr>
                <w:rFonts w:hint="eastAsia" w:cs="宋体"/>
                <w:color w:val="auto"/>
                <w:szCs w:val="24"/>
                <w:highlight w:val="none"/>
              </w:rPr>
              <w:t>★3.磋商函（见‘响应文件格式’）；</w:t>
            </w:r>
          </w:p>
          <w:p w14:paraId="6E5A4358">
            <w:pPr>
              <w:tabs>
                <w:tab w:val="left" w:pos="567"/>
              </w:tabs>
              <w:topLinePunct/>
              <w:autoSpaceDE w:val="0"/>
              <w:autoSpaceDN w:val="0"/>
              <w:adjustRightInd/>
              <w:snapToGrid w:val="0"/>
              <w:spacing w:line="420" w:lineRule="exact"/>
              <w:jc w:val="both"/>
              <w:textAlignment w:val="auto"/>
              <w:rPr>
                <w:rFonts w:cs="宋体"/>
                <w:color w:val="auto"/>
                <w:szCs w:val="24"/>
                <w:highlight w:val="none"/>
              </w:rPr>
            </w:pPr>
            <w:r>
              <w:rPr>
                <w:rFonts w:hint="eastAsia" w:cs="宋体"/>
                <w:color w:val="auto"/>
                <w:szCs w:val="24"/>
                <w:highlight w:val="none"/>
              </w:rPr>
              <w:t>★4.报价一览表(见‘响应文件格式’)；</w:t>
            </w:r>
          </w:p>
          <w:p w14:paraId="6B08C2BE">
            <w:pPr>
              <w:tabs>
                <w:tab w:val="left" w:pos="567"/>
              </w:tabs>
              <w:topLinePunct/>
              <w:autoSpaceDE w:val="0"/>
              <w:autoSpaceDN w:val="0"/>
              <w:adjustRightInd/>
              <w:snapToGrid w:val="0"/>
              <w:spacing w:line="420" w:lineRule="exact"/>
              <w:ind w:firstLine="204" w:firstLineChars="85"/>
              <w:jc w:val="both"/>
              <w:textAlignment w:val="auto"/>
              <w:rPr>
                <w:rFonts w:cs="宋体"/>
                <w:color w:val="auto"/>
                <w:szCs w:val="24"/>
                <w:highlight w:val="none"/>
              </w:rPr>
            </w:pPr>
            <w:r>
              <w:rPr>
                <w:rFonts w:hint="eastAsia" w:cs="宋体"/>
                <w:color w:val="auto"/>
                <w:szCs w:val="24"/>
                <w:highlight w:val="none"/>
              </w:rPr>
              <w:t>5.</w:t>
            </w:r>
            <w:r>
              <w:rPr>
                <w:rFonts w:hint="eastAsia" w:cs="宋体"/>
                <w:color w:val="auto"/>
                <w:highlight w:val="none"/>
              </w:rPr>
              <w:t>供应商及项目管理机构情况表</w:t>
            </w:r>
            <w:r>
              <w:rPr>
                <w:rFonts w:hint="eastAsia" w:cs="宋体"/>
                <w:color w:val="auto"/>
                <w:szCs w:val="24"/>
                <w:highlight w:val="none"/>
              </w:rPr>
              <w:t>(见‘响应文件格式’)；</w:t>
            </w:r>
          </w:p>
          <w:p w14:paraId="14BB5DEE">
            <w:pPr>
              <w:tabs>
                <w:tab w:val="left" w:pos="567"/>
              </w:tabs>
              <w:topLinePunct/>
              <w:autoSpaceDE w:val="0"/>
              <w:autoSpaceDN w:val="0"/>
              <w:adjustRightInd/>
              <w:snapToGrid w:val="0"/>
              <w:spacing w:line="420" w:lineRule="exact"/>
              <w:ind w:firstLine="204" w:firstLineChars="85"/>
              <w:jc w:val="both"/>
              <w:textAlignment w:val="auto"/>
              <w:rPr>
                <w:rFonts w:cs="宋体"/>
                <w:color w:val="auto"/>
                <w:szCs w:val="24"/>
                <w:highlight w:val="none"/>
              </w:rPr>
            </w:pPr>
            <w:r>
              <w:rPr>
                <w:rFonts w:hint="eastAsia" w:cs="宋体"/>
                <w:color w:val="auto"/>
                <w:szCs w:val="24"/>
                <w:highlight w:val="none"/>
              </w:rPr>
              <w:t>6.</w:t>
            </w:r>
            <w:r>
              <w:rPr>
                <w:rFonts w:hint="eastAsia" w:cs="宋体"/>
                <w:color w:val="auto"/>
                <w:highlight w:val="none"/>
              </w:rPr>
              <w:t>技术服务方案</w:t>
            </w:r>
            <w:r>
              <w:rPr>
                <w:rFonts w:hint="eastAsia" w:cs="宋体"/>
                <w:color w:val="auto"/>
                <w:szCs w:val="24"/>
                <w:highlight w:val="none"/>
              </w:rPr>
              <w:t>(格式自拟)；</w:t>
            </w:r>
          </w:p>
          <w:p w14:paraId="45C0CEB7">
            <w:pPr>
              <w:tabs>
                <w:tab w:val="left" w:pos="567"/>
              </w:tabs>
              <w:topLinePunct/>
              <w:autoSpaceDE w:val="0"/>
              <w:autoSpaceDN w:val="0"/>
              <w:adjustRightInd/>
              <w:snapToGrid w:val="0"/>
              <w:spacing w:line="420" w:lineRule="exact"/>
              <w:ind w:firstLine="204" w:firstLineChars="85"/>
              <w:jc w:val="both"/>
              <w:textAlignment w:val="auto"/>
              <w:rPr>
                <w:rFonts w:cs="宋体"/>
                <w:color w:val="auto"/>
                <w:szCs w:val="24"/>
                <w:highlight w:val="none"/>
              </w:rPr>
            </w:pPr>
            <w:r>
              <w:rPr>
                <w:rFonts w:hint="eastAsia" w:cs="宋体"/>
                <w:color w:val="auto"/>
                <w:szCs w:val="24"/>
                <w:highlight w:val="none"/>
              </w:rPr>
              <w:t>7.供应商认为需要提供的其他商务、技术材料。</w:t>
            </w:r>
          </w:p>
          <w:p w14:paraId="1322861B">
            <w:pPr>
              <w:topLinePunct/>
              <w:autoSpaceDE w:val="0"/>
              <w:autoSpaceDN w:val="0"/>
              <w:adjustRightInd/>
              <w:spacing w:line="420" w:lineRule="exact"/>
              <w:jc w:val="both"/>
              <w:textAlignment w:val="auto"/>
              <w:rPr>
                <w:rFonts w:cs="宋体"/>
                <w:color w:val="auto"/>
                <w:highlight w:val="none"/>
              </w:rPr>
            </w:pPr>
            <w:r>
              <w:rPr>
                <w:rFonts w:hint="eastAsia" w:cs="宋体"/>
                <w:b/>
                <w:color w:val="auto"/>
                <w:szCs w:val="24"/>
                <w:highlight w:val="none"/>
              </w:rPr>
              <w:t>加</w:t>
            </w:r>
            <w:r>
              <w:rPr>
                <w:rFonts w:hint="eastAsia" w:cs="宋体"/>
                <w:color w:val="auto"/>
                <w:szCs w:val="24"/>
                <w:highlight w:val="none"/>
              </w:rPr>
              <w:t>★</w:t>
            </w:r>
            <w:r>
              <w:rPr>
                <w:rFonts w:hint="eastAsia" w:cs="宋体"/>
                <w:b/>
                <w:color w:val="auto"/>
                <w:szCs w:val="24"/>
                <w:highlight w:val="none"/>
              </w:rPr>
              <w:t>的商务、技术文件若有一项未提供或无效，将导致其不具备磋商资格，且不允许在开启后补正。</w:t>
            </w:r>
          </w:p>
        </w:tc>
      </w:tr>
      <w:tr w14:paraId="5ACE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5FBD4C">
            <w:pPr>
              <w:pStyle w:val="15"/>
              <w:rPr>
                <w:rFonts w:cs="宋体"/>
                <w:color w:val="auto"/>
                <w:highlight w:val="none"/>
              </w:rPr>
            </w:pPr>
            <w:r>
              <w:rPr>
                <w:rFonts w:hint="eastAsia" w:cs="宋体"/>
                <w:color w:val="auto"/>
                <w:highlight w:val="none"/>
              </w:rPr>
              <w:t>12</w:t>
            </w:r>
          </w:p>
        </w:tc>
        <w:tc>
          <w:tcPr>
            <w:tcW w:w="2365" w:type="dxa"/>
            <w:vAlign w:val="center"/>
          </w:tcPr>
          <w:p w14:paraId="53E104A3">
            <w:pPr>
              <w:pStyle w:val="15"/>
              <w:rPr>
                <w:rFonts w:cs="宋体"/>
                <w:color w:val="auto"/>
                <w:highlight w:val="none"/>
              </w:rPr>
            </w:pPr>
            <w:r>
              <w:rPr>
                <w:rFonts w:hint="eastAsia" w:cs="宋体"/>
                <w:color w:val="auto"/>
                <w:highlight w:val="none"/>
              </w:rPr>
              <w:t>联合体投标</w:t>
            </w:r>
          </w:p>
        </w:tc>
        <w:tc>
          <w:tcPr>
            <w:tcW w:w="5972" w:type="dxa"/>
            <w:vAlign w:val="center"/>
          </w:tcPr>
          <w:p w14:paraId="15FE1271">
            <w:pPr>
              <w:pStyle w:val="15"/>
              <w:jc w:val="left"/>
              <w:rPr>
                <w:rFonts w:cs="宋体"/>
                <w:color w:val="auto"/>
                <w:highlight w:val="none"/>
              </w:rPr>
            </w:pPr>
            <w:r>
              <w:rPr>
                <w:rFonts w:hint="eastAsia" w:cs="宋体"/>
                <w:color w:val="auto"/>
                <w:highlight w:val="none"/>
              </w:rPr>
              <w:t>本项目不接受联合体投标</w:t>
            </w:r>
          </w:p>
        </w:tc>
      </w:tr>
      <w:tr w14:paraId="7ADE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EF5C67">
            <w:pPr>
              <w:pStyle w:val="15"/>
              <w:rPr>
                <w:rFonts w:cs="宋体"/>
                <w:color w:val="auto"/>
                <w:highlight w:val="none"/>
              </w:rPr>
            </w:pPr>
            <w:r>
              <w:rPr>
                <w:rFonts w:hint="eastAsia" w:cs="宋体"/>
                <w:color w:val="auto"/>
                <w:highlight w:val="none"/>
              </w:rPr>
              <w:t>13</w:t>
            </w:r>
          </w:p>
        </w:tc>
        <w:tc>
          <w:tcPr>
            <w:tcW w:w="2365" w:type="dxa"/>
            <w:vAlign w:val="center"/>
          </w:tcPr>
          <w:p w14:paraId="2555F6E6">
            <w:pPr>
              <w:pStyle w:val="15"/>
              <w:rPr>
                <w:rFonts w:cs="宋体"/>
                <w:color w:val="auto"/>
                <w:highlight w:val="none"/>
              </w:rPr>
            </w:pPr>
            <w:r>
              <w:rPr>
                <w:rFonts w:hint="eastAsia" w:cs="宋体"/>
                <w:color w:val="auto"/>
                <w:highlight w:val="none"/>
                <w:lang w:val="zh-CN"/>
              </w:rPr>
              <w:t>磋商保证金</w:t>
            </w:r>
          </w:p>
        </w:tc>
        <w:tc>
          <w:tcPr>
            <w:tcW w:w="5972" w:type="dxa"/>
            <w:vAlign w:val="center"/>
          </w:tcPr>
          <w:p w14:paraId="5DE98746">
            <w:pPr>
              <w:pStyle w:val="15"/>
              <w:jc w:val="left"/>
              <w:rPr>
                <w:rFonts w:hint="default" w:eastAsia="宋体" w:cs="宋体"/>
                <w:color w:val="auto"/>
                <w:highlight w:val="none"/>
                <w:lang w:val="en-US" w:eastAsia="zh-CN"/>
              </w:rPr>
            </w:pPr>
            <w:r>
              <w:rPr>
                <w:rFonts w:hint="eastAsia" w:cs="宋体"/>
                <w:color w:val="auto"/>
                <w:highlight w:val="none"/>
              </w:rPr>
              <w:t>1.</w:t>
            </w:r>
            <w:r>
              <w:rPr>
                <w:rFonts w:hint="eastAsia" w:cs="宋体"/>
                <w:color w:val="auto"/>
                <w:highlight w:val="none"/>
                <w:lang w:val="zh-CN"/>
              </w:rPr>
              <w:t>磋商保证金的金额：</w:t>
            </w:r>
            <w:r>
              <w:rPr>
                <w:rFonts w:hint="eastAsia" w:cs="宋体"/>
                <w:b/>
                <w:bCs/>
                <w:color w:val="auto"/>
                <w:highlight w:val="none"/>
                <w:lang w:val="en-US" w:eastAsia="zh-CN"/>
              </w:rPr>
              <w:t>3000元</w:t>
            </w:r>
          </w:p>
          <w:p w14:paraId="7FFFD29B">
            <w:pPr>
              <w:pStyle w:val="15"/>
              <w:jc w:val="left"/>
              <w:rPr>
                <w:rFonts w:cs="宋体"/>
                <w:color w:val="auto"/>
                <w:highlight w:val="none"/>
                <w:lang w:val="zh-CN"/>
              </w:rPr>
            </w:pPr>
            <w:r>
              <w:rPr>
                <w:rFonts w:hint="eastAsia" w:cs="宋体"/>
                <w:color w:val="auto"/>
                <w:highlight w:val="none"/>
                <w:lang w:val="zh-CN"/>
              </w:rPr>
              <w:t>2.磋商保证金的形式：</w:t>
            </w:r>
          </w:p>
          <w:p w14:paraId="0299BD03">
            <w:pPr>
              <w:pStyle w:val="15"/>
              <w:jc w:val="left"/>
              <w:rPr>
                <w:rFonts w:cs="宋体"/>
                <w:color w:val="auto"/>
                <w:highlight w:val="none"/>
                <w:lang w:val="zh-CN"/>
              </w:rPr>
            </w:pPr>
            <w:r>
              <w:rPr>
                <w:rFonts w:hint="eastAsia" w:cs="宋体"/>
                <w:color w:val="auto"/>
                <w:highlight w:val="none"/>
              </w:rPr>
              <w:t>磋商</w:t>
            </w:r>
            <w:r>
              <w:rPr>
                <w:rFonts w:hint="eastAsia" w:cs="宋体"/>
                <w:color w:val="auto"/>
                <w:highlight w:val="none"/>
                <w:lang w:val="zh-CN"/>
              </w:rPr>
              <w:t>保证金应当以电汇、支票、汇票、本票或者金融机构、担保机构出具的保函等非现金形式提交，响应文件中需装订保证金交款凭证及其</w:t>
            </w:r>
            <w:r>
              <w:rPr>
                <w:rFonts w:hint="eastAsia" w:cs="宋体"/>
                <w:color w:val="auto"/>
                <w:highlight w:val="none"/>
              </w:rPr>
              <w:t>基本存款账户开户许可证或基本存款账户信息材料</w:t>
            </w:r>
            <w:r>
              <w:rPr>
                <w:rFonts w:hint="eastAsia" w:cs="宋体"/>
                <w:color w:val="auto"/>
                <w:highlight w:val="none"/>
                <w:lang w:val="zh-CN"/>
              </w:rPr>
              <w:t>。</w:t>
            </w:r>
          </w:p>
          <w:p w14:paraId="0F817E38">
            <w:pPr>
              <w:pStyle w:val="15"/>
              <w:jc w:val="left"/>
              <w:rPr>
                <w:rFonts w:cs="宋体"/>
                <w:color w:val="auto"/>
                <w:highlight w:val="none"/>
                <w:lang w:val="zh-CN"/>
              </w:rPr>
            </w:pPr>
            <w:r>
              <w:rPr>
                <w:rFonts w:hint="eastAsia" w:cs="宋体"/>
                <w:color w:val="auto"/>
                <w:highlight w:val="none"/>
              </w:rPr>
              <w:t>3.</w:t>
            </w:r>
            <w:r>
              <w:rPr>
                <w:rFonts w:hint="eastAsia" w:cs="宋体"/>
                <w:color w:val="auto"/>
                <w:highlight w:val="none"/>
                <w:lang w:val="zh-CN"/>
              </w:rPr>
              <w:t>指定账户：</w:t>
            </w:r>
          </w:p>
          <w:p w14:paraId="3E697F55">
            <w:pPr>
              <w:pStyle w:val="15"/>
              <w:jc w:val="left"/>
              <w:rPr>
                <w:rFonts w:cs="宋体"/>
                <w:color w:val="auto"/>
                <w:highlight w:val="none"/>
                <w:lang w:val="zh-CN"/>
              </w:rPr>
            </w:pPr>
            <w:r>
              <w:rPr>
                <w:rFonts w:hint="eastAsia" w:cs="宋体"/>
                <w:color w:val="auto"/>
                <w:highlight w:val="none"/>
                <w:lang w:val="zh-CN"/>
              </w:rPr>
              <w:t>账户名称、开户银行及账号如下：</w:t>
            </w:r>
          </w:p>
          <w:p w14:paraId="085C6DCD">
            <w:pPr>
              <w:pStyle w:val="15"/>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收款人名称：山西万通渊利企业管理咨询有限公司</w:t>
            </w:r>
          </w:p>
          <w:p w14:paraId="7C999B7E">
            <w:pPr>
              <w:pStyle w:val="15"/>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开户银行：中国民生银行股份有限公司太原长治路支行</w:t>
            </w:r>
          </w:p>
          <w:p w14:paraId="68DACD20">
            <w:pPr>
              <w:pStyle w:val="15"/>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开户账号：171229773</w:t>
            </w:r>
          </w:p>
          <w:p w14:paraId="7BB5F4C4">
            <w:pPr>
              <w:pStyle w:val="15"/>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行    号：305161009178</w:t>
            </w:r>
          </w:p>
          <w:p w14:paraId="3121CA4C">
            <w:pPr>
              <w:pStyle w:val="15"/>
              <w:jc w:val="left"/>
              <w:rPr>
                <w:rFonts w:cs="宋体"/>
                <w:color w:val="auto"/>
                <w:highlight w:val="none"/>
                <w:lang w:val="zh-CN"/>
              </w:rPr>
            </w:pPr>
            <w:r>
              <w:rPr>
                <w:rFonts w:hint="eastAsia" w:cs="宋体"/>
                <w:color w:val="auto"/>
                <w:highlight w:val="none"/>
              </w:rPr>
              <w:t>4.</w:t>
            </w:r>
            <w:r>
              <w:rPr>
                <w:rFonts w:hint="eastAsia" w:cs="宋体"/>
                <w:color w:val="auto"/>
                <w:highlight w:val="none"/>
                <w:lang w:val="zh-CN"/>
              </w:rPr>
              <w:t>磋商保证金到账截止时间：</w:t>
            </w:r>
            <w:r>
              <w:rPr>
                <w:rFonts w:hint="eastAsia" w:cs="宋体"/>
                <w:color w:val="auto"/>
                <w:highlight w:val="none"/>
              </w:rPr>
              <w:t>磋商截止前</w:t>
            </w:r>
          </w:p>
          <w:p w14:paraId="70D29213">
            <w:pPr>
              <w:pStyle w:val="15"/>
              <w:jc w:val="left"/>
              <w:rPr>
                <w:rFonts w:cs="宋体"/>
                <w:color w:val="auto"/>
                <w:highlight w:val="none"/>
              </w:rPr>
            </w:pPr>
            <w:r>
              <w:rPr>
                <w:rFonts w:hint="eastAsia" w:cs="宋体"/>
                <w:color w:val="auto"/>
                <w:highlight w:val="none"/>
              </w:rPr>
              <w:t>5.注意事项：</w:t>
            </w:r>
          </w:p>
          <w:p w14:paraId="23702D34">
            <w:pPr>
              <w:pStyle w:val="15"/>
              <w:jc w:val="left"/>
              <w:rPr>
                <w:rFonts w:cs="宋体"/>
                <w:color w:val="auto"/>
                <w:highlight w:val="none"/>
              </w:rPr>
            </w:pPr>
            <w:r>
              <w:rPr>
                <w:rFonts w:hint="eastAsia" w:cs="宋体"/>
                <w:color w:val="auto"/>
                <w:highlight w:val="none"/>
              </w:rPr>
              <w:t>(1)</w:t>
            </w:r>
            <w:r>
              <w:rPr>
                <w:rFonts w:hint="eastAsia" w:cs="宋体"/>
                <w:color w:val="auto"/>
                <w:highlight w:val="none"/>
                <w:lang w:val="en-US" w:eastAsia="zh-CN"/>
              </w:rPr>
              <w:t>磋商</w:t>
            </w:r>
            <w:r>
              <w:rPr>
                <w:rFonts w:hint="eastAsia" w:cs="宋体"/>
                <w:color w:val="auto"/>
                <w:highlight w:val="none"/>
              </w:rPr>
              <w:t>保证金必须从供应商的基本账户转出；</w:t>
            </w:r>
          </w:p>
          <w:p w14:paraId="0D7D5424">
            <w:pPr>
              <w:pStyle w:val="15"/>
              <w:jc w:val="left"/>
              <w:rPr>
                <w:rFonts w:cs="宋体"/>
                <w:color w:val="auto"/>
                <w:highlight w:val="none"/>
              </w:rPr>
            </w:pPr>
            <w:r>
              <w:rPr>
                <w:rFonts w:hint="eastAsia" w:cs="宋体"/>
                <w:color w:val="auto"/>
                <w:highlight w:val="none"/>
              </w:rPr>
              <w:t>(2)供应商缴纳</w:t>
            </w:r>
            <w:r>
              <w:rPr>
                <w:rFonts w:hint="eastAsia" w:cs="宋体"/>
                <w:color w:val="auto"/>
                <w:highlight w:val="none"/>
                <w:lang w:val="en-US" w:eastAsia="zh-CN"/>
              </w:rPr>
              <w:t>磋商</w:t>
            </w:r>
            <w:r>
              <w:rPr>
                <w:rFonts w:hint="eastAsia" w:cs="宋体"/>
                <w:color w:val="auto"/>
                <w:highlight w:val="none"/>
              </w:rPr>
              <w:t>保证金时，应在汇款凭证上注明“项目名称（可简写）”或“项目编号”。</w:t>
            </w:r>
          </w:p>
          <w:p w14:paraId="7DDBC842">
            <w:pPr>
              <w:pStyle w:val="15"/>
              <w:jc w:val="left"/>
              <w:rPr>
                <w:rFonts w:cs="宋体"/>
                <w:color w:val="auto"/>
                <w:highlight w:val="none"/>
              </w:rPr>
            </w:pPr>
            <w:r>
              <w:rPr>
                <w:rFonts w:hint="eastAsia" w:cs="宋体"/>
                <w:color w:val="auto"/>
                <w:highlight w:val="none"/>
              </w:rPr>
              <w:t>(3)选择汇款的供应商须向银行核实磋商保证金到账，以免因为未到账影响投标。</w:t>
            </w:r>
          </w:p>
          <w:p w14:paraId="574DC4A8">
            <w:pPr>
              <w:pStyle w:val="15"/>
              <w:jc w:val="left"/>
              <w:rPr>
                <w:rFonts w:cs="宋体"/>
                <w:color w:val="auto"/>
                <w:highlight w:val="none"/>
              </w:rPr>
            </w:pPr>
            <w:r>
              <w:rPr>
                <w:rFonts w:hint="eastAsia" w:cs="宋体"/>
                <w:color w:val="auto"/>
                <w:highlight w:val="none"/>
              </w:rPr>
              <w:t>保证金缴纳应符合上述要求，否则按废标处理。</w:t>
            </w:r>
          </w:p>
          <w:p w14:paraId="748DBED1">
            <w:pPr>
              <w:pStyle w:val="15"/>
              <w:jc w:val="left"/>
              <w:rPr>
                <w:rFonts w:cs="宋体"/>
                <w:color w:val="auto"/>
                <w:highlight w:val="none"/>
                <w:lang w:val="zh-CN"/>
              </w:rPr>
            </w:pPr>
            <w:r>
              <w:rPr>
                <w:rFonts w:hint="eastAsia" w:cs="宋体"/>
                <w:color w:val="auto"/>
                <w:highlight w:val="none"/>
              </w:rPr>
              <w:t>6</w:t>
            </w:r>
            <w:r>
              <w:rPr>
                <w:rFonts w:hint="eastAsia" w:cs="宋体"/>
                <w:color w:val="auto"/>
                <w:highlight w:val="none"/>
                <w:lang w:val="zh-CN"/>
              </w:rPr>
              <w:t>.磋商保证金的有效期与磋商有效期一致。</w:t>
            </w:r>
          </w:p>
          <w:p w14:paraId="5D38C2F9">
            <w:pPr>
              <w:pStyle w:val="15"/>
              <w:jc w:val="left"/>
              <w:rPr>
                <w:rFonts w:cs="宋体"/>
                <w:color w:val="auto"/>
                <w:highlight w:val="none"/>
              </w:rPr>
            </w:pPr>
            <w:r>
              <w:rPr>
                <w:rFonts w:hint="eastAsia" w:cs="宋体"/>
                <w:color w:val="auto"/>
                <w:highlight w:val="none"/>
              </w:rPr>
              <w:t>7.供应商为联合体的，可以由联合体中的一方或者多方共同交纳磋商保证金，其交纳的保证金对联合体各方均具有约束力。</w:t>
            </w:r>
          </w:p>
          <w:p w14:paraId="7A5A672D">
            <w:pPr>
              <w:pStyle w:val="15"/>
              <w:jc w:val="left"/>
              <w:rPr>
                <w:rFonts w:cs="宋体"/>
                <w:color w:val="auto"/>
                <w:highlight w:val="none"/>
                <w:lang w:val="zh-CN"/>
              </w:rPr>
            </w:pPr>
            <w:r>
              <w:rPr>
                <w:rFonts w:hint="eastAsia" w:cs="宋体"/>
                <w:color w:val="auto"/>
                <w:highlight w:val="none"/>
              </w:rPr>
              <w:t>8.</w:t>
            </w:r>
            <w:r>
              <w:rPr>
                <w:rFonts w:hint="eastAsia" w:cs="宋体"/>
                <w:color w:val="auto"/>
                <w:highlight w:val="none"/>
                <w:lang w:val="zh-CN"/>
              </w:rPr>
              <w:t>磋商保证金的退还：</w:t>
            </w:r>
          </w:p>
          <w:p w14:paraId="42B1B1B2">
            <w:pPr>
              <w:pStyle w:val="15"/>
              <w:jc w:val="left"/>
              <w:rPr>
                <w:rFonts w:cs="宋体"/>
                <w:color w:val="auto"/>
                <w:highlight w:val="none"/>
                <w:lang w:val="zh-CN"/>
              </w:rPr>
            </w:pPr>
            <w:r>
              <w:rPr>
                <w:rFonts w:hint="eastAsia" w:cs="宋体"/>
                <w:color w:val="auto"/>
                <w:highlight w:val="none"/>
              </w:rPr>
              <w:fldChar w:fldCharType="begin"/>
            </w:r>
            <w:r>
              <w:rPr>
                <w:rFonts w:hint="eastAsia" w:cs="宋体"/>
                <w:color w:val="auto"/>
                <w:highlight w:val="none"/>
              </w:rPr>
              <w:instrText xml:space="preserve"> = 1 \* GB3 \* MERGEFORMAT </w:instrText>
            </w:r>
            <w:r>
              <w:rPr>
                <w:rFonts w:hint="eastAsia" w:cs="宋体"/>
                <w:color w:val="auto"/>
                <w:highlight w:val="none"/>
              </w:rPr>
              <w:fldChar w:fldCharType="separate"/>
            </w:r>
            <w:r>
              <w:rPr>
                <w:rFonts w:hint="eastAsia" w:cs="宋体"/>
                <w:color w:val="auto"/>
                <w:highlight w:val="none"/>
                <w:lang w:val="zh-CN"/>
              </w:rPr>
              <w:t>①</w:t>
            </w:r>
            <w:r>
              <w:rPr>
                <w:rFonts w:hint="eastAsia" w:cs="宋体"/>
                <w:color w:val="auto"/>
                <w:highlight w:val="none"/>
              </w:rPr>
              <w:fldChar w:fldCharType="end"/>
            </w:r>
            <w:r>
              <w:rPr>
                <w:rFonts w:hint="eastAsia" w:cs="宋体"/>
                <w:color w:val="auto"/>
                <w:highlight w:val="none"/>
                <w:lang w:val="zh-CN"/>
              </w:rPr>
              <w:t>成交通知书发出之日起5个工作日内退还未成交供应商的磋商保证金；</w:t>
            </w:r>
          </w:p>
          <w:p w14:paraId="6E5C5786">
            <w:pPr>
              <w:pStyle w:val="15"/>
              <w:jc w:val="left"/>
              <w:rPr>
                <w:rFonts w:cs="宋体"/>
                <w:color w:val="auto"/>
                <w:highlight w:val="none"/>
              </w:rPr>
            </w:pPr>
            <w:r>
              <w:rPr>
                <w:rFonts w:hint="eastAsia" w:cs="宋体"/>
                <w:color w:val="auto"/>
                <w:highlight w:val="none"/>
              </w:rPr>
              <w:fldChar w:fldCharType="begin"/>
            </w:r>
            <w:r>
              <w:rPr>
                <w:rFonts w:hint="eastAsia" w:cs="宋体"/>
                <w:color w:val="auto"/>
                <w:highlight w:val="none"/>
              </w:rPr>
              <w:instrText xml:space="preserve"> = 2 \* GB3 \* MERGEFORMAT </w:instrText>
            </w:r>
            <w:r>
              <w:rPr>
                <w:rFonts w:hint="eastAsia" w:cs="宋体"/>
                <w:color w:val="auto"/>
                <w:highlight w:val="none"/>
              </w:rPr>
              <w:fldChar w:fldCharType="separate"/>
            </w:r>
            <w:r>
              <w:rPr>
                <w:rFonts w:hint="eastAsia" w:cs="宋体"/>
                <w:color w:val="auto"/>
                <w:highlight w:val="none"/>
                <w:lang w:val="zh-CN"/>
              </w:rPr>
              <w:t>②</w:t>
            </w:r>
            <w:r>
              <w:rPr>
                <w:rFonts w:hint="eastAsia" w:cs="宋体"/>
                <w:color w:val="auto"/>
                <w:highlight w:val="none"/>
              </w:rPr>
              <w:fldChar w:fldCharType="end"/>
            </w:r>
            <w:r>
              <w:rPr>
                <w:rFonts w:hint="eastAsia" w:cs="宋体"/>
                <w:color w:val="auto"/>
                <w:highlight w:val="none"/>
                <w:lang w:val="zh-CN"/>
              </w:rPr>
              <w:t>采购合同签订之日起5个工作日内退还成交供应商的磋商保证金。</w:t>
            </w:r>
          </w:p>
        </w:tc>
      </w:tr>
      <w:tr w14:paraId="1A7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2BDAD19">
            <w:pPr>
              <w:pStyle w:val="15"/>
              <w:rPr>
                <w:rFonts w:cs="宋体"/>
                <w:color w:val="auto"/>
                <w:highlight w:val="none"/>
              </w:rPr>
            </w:pPr>
            <w:r>
              <w:rPr>
                <w:rFonts w:hint="eastAsia" w:cs="宋体"/>
                <w:color w:val="auto"/>
                <w:highlight w:val="none"/>
              </w:rPr>
              <w:t>14</w:t>
            </w:r>
          </w:p>
        </w:tc>
        <w:tc>
          <w:tcPr>
            <w:tcW w:w="2365" w:type="dxa"/>
            <w:vAlign w:val="center"/>
          </w:tcPr>
          <w:p w14:paraId="3CC02C18">
            <w:pPr>
              <w:pStyle w:val="15"/>
              <w:rPr>
                <w:rFonts w:cs="宋体"/>
                <w:color w:val="auto"/>
                <w:highlight w:val="none"/>
              </w:rPr>
            </w:pPr>
            <w:r>
              <w:rPr>
                <w:rFonts w:hint="eastAsia" w:cs="宋体"/>
                <w:color w:val="auto"/>
                <w:highlight w:val="none"/>
              </w:rPr>
              <w:t>不予退还磋商保证金的情形</w:t>
            </w:r>
          </w:p>
        </w:tc>
        <w:tc>
          <w:tcPr>
            <w:tcW w:w="5972" w:type="dxa"/>
            <w:vAlign w:val="center"/>
          </w:tcPr>
          <w:p w14:paraId="35B235CF">
            <w:pPr>
              <w:pStyle w:val="15"/>
              <w:jc w:val="left"/>
              <w:rPr>
                <w:rFonts w:cs="宋体"/>
                <w:color w:val="auto"/>
                <w:highlight w:val="none"/>
              </w:rPr>
            </w:pPr>
            <w:r>
              <w:rPr>
                <w:rFonts w:hint="eastAsia" w:cs="宋体"/>
                <w:color w:val="auto"/>
                <w:highlight w:val="none"/>
              </w:rPr>
              <w:t>1.供应商在提交响应文件截止时间后撤回响应文件的；</w:t>
            </w:r>
          </w:p>
          <w:p w14:paraId="5086EE44">
            <w:pPr>
              <w:pStyle w:val="15"/>
              <w:jc w:val="left"/>
              <w:rPr>
                <w:rFonts w:cs="宋体"/>
                <w:color w:val="auto"/>
                <w:highlight w:val="none"/>
                <w:lang w:val="zh-CN"/>
              </w:rPr>
            </w:pPr>
            <w:r>
              <w:rPr>
                <w:rFonts w:hint="eastAsia" w:cs="宋体"/>
                <w:color w:val="auto"/>
                <w:highlight w:val="none"/>
              </w:rPr>
              <w:t>2.供应商在响应文件中提供虚假材料的；</w:t>
            </w:r>
          </w:p>
          <w:p w14:paraId="27EE9773">
            <w:pPr>
              <w:pStyle w:val="15"/>
              <w:jc w:val="left"/>
              <w:rPr>
                <w:rFonts w:cs="宋体"/>
                <w:color w:val="auto"/>
                <w:highlight w:val="none"/>
              </w:rPr>
            </w:pPr>
            <w:r>
              <w:rPr>
                <w:rFonts w:hint="eastAsia" w:cs="宋体"/>
                <w:color w:val="auto"/>
                <w:highlight w:val="none"/>
              </w:rPr>
              <w:t>3.除因不可抗力或磋商文件认可的情形以外，成交供应商不与采购人签订合同的；</w:t>
            </w:r>
          </w:p>
          <w:p w14:paraId="5FF4065F">
            <w:pPr>
              <w:pStyle w:val="15"/>
              <w:jc w:val="left"/>
              <w:rPr>
                <w:rFonts w:cs="宋体"/>
                <w:color w:val="auto"/>
                <w:highlight w:val="none"/>
              </w:rPr>
            </w:pPr>
            <w:r>
              <w:rPr>
                <w:rFonts w:hint="eastAsia" w:cs="宋体"/>
                <w:color w:val="auto"/>
                <w:highlight w:val="none"/>
              </w:rPr>
              <w:t>4.供应商与采购人、其他供应商或者采购代理机构恶意串通的；</w:t>
            </w:r>
          </w:p>
          <w:p w14:paraId="6CED611E">
            <w:pPr>
              <w:pStyle w:val="15"/>
              <w:jc w:val="left"/>
              <w:rPr>
                <w:rFonts w:cs="宋体"/>
                <w:color w:val="auto"/>
                <w:highlight w:val="none"/>
              </w:rPr>
            </w:pPr>
            <w:r>
              <w:rPr>
                <w:rFonts w:hint="eastAsia" w:cs="宋体"/>
                <w:color w:val="auto"/>
                <w:highlight w:val="none"/>
              </w:rPr>
              <w:t>5.磋商文件规定的其他情形。</w:t>
            </w:r>
          </w:p>
        </w:tc>
      </w:tr>
      <w:tr w14:paraId="7E72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00C5F4">
            <w:pPr>
              <w:pStyle w:val="15"/>
              <w:rPr>
                <w:rFonts w:cs="宋体"/>
                <w:color w:val="auto"/>
                <w:highlight w:val="none"/>
              </w:rPr>
            </w:pPr>
            <w:r>
              <w:rPr>
                <w:rFonts w:hint="eastAsia" w:cs="宋体"/>
                <w:color w:val="auto"/>
                <w:highlight w:val="none"/>
              </w:rPr>
              <w:t>15</w:t>
            </w:r>
          </w:p>
        </w:tc>
        <w:tc>
          <w:tcPr>
            <w:tcW w:w="2365" w:type="dxa"/>
            <w:vAlign w:val="center"/>
          </w:tcPr>
          <w:p w14:paraId="39A6C1B1">
            <w:pPr>
              <w:pStyle w:val="15"/>
              <w:rPr>
                <w:rFonts w:cs="宋体"/>
                <w:color w:val="auto"/>
                <w:highlight w:val="none"/>
              </w:rPr>
            </w:pPr>
            <w:r>
              <w:rPr>
                <w:rFonts w:hint="eastAsia" w:cs="宋体"/>
                <w:color w:val="auto"/>
                <w:highlight w:val="none"/>
              </w:rPr>
              <w:t>现场考察</w:t>
            </w:r>
          </w:p>
        </w:tc>
        <w:tc>
          <w:tcPr>
            <w:tcW w:w="5972" w:type="dxa"/>
            <w:vAlign w:val="center"/>
          </w:tcPr>
          <w:p w14:paraId="3F0D8FD0">
            <w:pPr>
              <w:pStyle w:val="15"/>
              <w:jc w:val="left"/>
              <w:rPr>
                <w:rFonts w:cs="宋体"/>
                <w:color w:val="auto"/>
                <w:highlight w:val="none"/>
              </w:rPr>
            </w:pPr>
            <w:r>
              <w:rPr>
                <w:rFonts w:hint="eastAsia" w:cs="宋体"/>
                <w:color w:val="auto"/>
                <w:highlight w:val="none"/>
              </w:rPr>
              <w:t>不组织，供应商自行考察，风险自负。</w:t>
            </w:r>
          </w:p>
        </w:tc>
      </w:tr>
      <w:tr w14:paraId="6FE0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E15563B">
            <w:pPr>
              <w:pStyle w:val="15"/>
              <w:rPr>
                <w:rFonts w:cs="宋体"/>
                <w:color w:val="auto"/>
                <w:highlight w:val="none"/>
              </w:rPr>
            </w:pPr>
            <w:r>
              <w:rPr>
                <w:rFonts w:hint="eastAsia" w:cs="宋体"/>
                <w:color w:val="auto"/>
                <w:highlight w:val="none"/>
              </w:rPr>
              <w:t>16</w:t>
            </w:r>
          </w:p>
        </w:tc>
        <w:tc>
          <w:tcPr>
            <w:tcW w:w="2365" w:type="dxa"/>
            <w:vAlign w:val="center"/>
          </w:tcPr>
          <w:p w14:paraId="07AB15A5">
            <w:pPr>
              <w:pStyle w:val="15"/>
              <w:rPr>
                <w:rFonts w:cs="宋体"/>
                <w:color w:val="auto"/>
                <w:highlight w:val="none"/>
              </w:rPr>
            </w:pPr>
            <w:r>
              <w:rPr>
                <w:rFonts w:hint="eastAsia" w:cs="宋体"/>
                <w:color w:val="auto"/>
                <w:highlight w:val="none"/>
              </w:rPr>
              <w:t>磋商前答疑会</w:t>
            </w:r>
          </w:p>
        </w:tc>
        <w:tc>
          <w:tcPr>
            <w:tcW w:w="5972" w:type="dxa"/>
            <w:vAlign w:val="center"/>
          </w:tcPr>
          <w:p w14:paraId="6C278956">
            <w:pPr>
              <w:pStyle w:val="15"/>
              <w:jc w:val="left"/>
              <w:rPr>
                <w:rFonts w:cs="宋体"/>
                <w:color w:val="auto"/>
                <w:highlight w:val="none"/>
              </w:rPr>
            </w:pPr>
            <w:r>
              <w:rPr>
                <w:rFonts w:hint="eastAsia" w:cs="宋体"/>
                <w:color w:val="auto"/>
                <w:highlight w:val="none"/>
              </w:rPr>
              <w:t>不召开</w:t>
            </w:r>
          </w:p>
        </w:tc>
      </w:tr>
      <w:tr w14:paraId="5138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20845E6">
            <w:pPr>
              <w:pStyle w:val="15"/>
              <w:rPr>
                <w:rFonts w:cs="宋体"/>
                <w:color w:val="auto"/>
                <w:highlight w:val="none"/>
              </w:rPr>
            </w:pPr>
            <w:r>
              <w:rPr>
                <w:rFonts w:hint="eastAsia" w:cs="宋体"/>
                <w:color w:val="auto"/>
                <w:highlight w:val="none"/>
              </w:rPr>
              <w:t>17</w:t>
            </w:r>
          </w:p>
        </w:tc>
        <w:tc>
          <w:tcPr>
            <w:tcW w:w="2365" w:type="dxa"/>
            <w:vAlign w:val="center"/>
          </w:tcPr>
          <w:p w14:paraId="51C1DC36">
            <w:pPr>
              <w:pStyle w:val="15"/>
              <w:rPr>
                <w:rFonts w:cs="宋体"/>
                <w:color w:val="auto"/>
                <w:highlight w:val="none"/>
              </w:rPr>
            </w:pPr>
            <w:r>
              <w:rPr>
                <w:rFonts w:hint="eastAsia" w:cs="宋体"/>
                <w:color w:val="auto"/>
                <w:highlight w:val="none"/>
              </w:rPr>
              <w:t>分包</w:t>
            </w:r>
          </w:p>
        </w:tc>
        <w:tc>
          <w:tcPr>
            <w:tcW w:w="5972" w:type="dxa"/>
            <w:vAlign w:val="center"/>
          </w:tcPr>
          <w:p w14:paraId="0452CFD0">
            <w:pPr>
              <w:pStyle w:val="15"/>
              <w:jc w:val="left"/>
              <w:rPr>
                <w:rFonts w:cs="宋体"/>
                <w:color w:val="auto"/>
                <w:highlight w:val="none"/>
                <w:lang w:val="zh-CN"/>
              </w:rPr>
            </w:pPr>
            <w:r>
              <w:rPr>
                <w:rFonts w:hint="eastAsia" w:cs="宋体"/>
                <w:color w:val="auto"/>
                <w:highlight w:val="none"/>
              </w:rPr>
              <w:t>不允许</w:t>
            </w:r>
          </w:p>
        </w:tc>
      </w:tr>
      <w:tr w14:paraId="7058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EA0C91C">
            <w:pPr>
              <w:pStyle w:val="15"/>
              <w:rPr>
                <w:rFonts w:cs="宋体"/>
                <w:color w:val="auto"/>
                <w:highlight w:val="none"/>
              </w:rPr>
            </w:pPr>
            <w:r>
              <w:rPr>
                <w:rFonts w:hint="eastAsia" w:cs="宋体"/>
                <w:color w:val="auto"/>
                <w:highlight w:val="none"/>
              </w:rPr>
              <w:t>18</w:t>
            </w:r>
          </w:p>
        </w:tc>
        <w:tc>
          <w:tcPr>
            <w:tcW w:w="2365" w:type="dxa"/>
            <w:vAlign w:val="center"/>
          </w:tcPr>
          <w:p w14:paraId="697DE8B9">
            <w:pPr>
              <w:pStyle w:val="15"/>
              <w:rPr>
                <w:rFonts w:cs="宋体"/>
                <w:color w:val="auto"/>
                <w:highlight w:val="none"/>
              </w:rPr>
            </w:pPr>
            <w:r>
              <w:rPr>
                <w:rFonts w:hint="eastAsia" w:cs="宋体"/>
                <w:color w:val="auto"/>
                <w:highlight w:val="none"/>
              </w:rPr>
              <w:t>磋商有效期</w:t>
            </w:r>
          </w:p>
        </w:tc>
        <w:tc>
          <w:tcPr>
            <w:tcW w:w="5972" w:type="dxa"/>
            <w:vAlign w:val="center"/>
          </w:tcPr>
          <w:p w14:paraId="43D82860">
            <w:pPr>
              <w:pStyle w:val="15"/>
              <w:jc w:val="left"/>
              <w:rPr>
                <w:rFonts w:cs="宋体"/>
                <w:color w:val="auto"/>
                <w:highlight w:val="none"/>
              </w:rPr>
            </w:pPr>
            <w:r>
              <w:rPr>
                <w:rFonts w:hint="eastAsia" w:cs="宋体"/>
                <w:color w:val="auto"/>
                <w:highlight w:val="none"/>
              </w:rPr>
              <w:t>从提交响应文件的截止之日起算90日历天</w:t>
            </w:r>
          </w:p>
        </w:tc>
      </w:tr>
      <w:tr w14:paraId="1321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A0FF9A0">
            <w:pPr>
              <w:pStyle w:val="15"/>
              <w:rPr>
                <w:rFonts w:cs="宋体"/>
                <w:color w:val="auto"/>
                <w:highlight w:val="none"/>
              </w:rPr>
            </w:pPr>
            <w:r>
              <w:rPr>
                <w:rFonts w:hint="eastAsia" w:cs="宋体"/>
                <w:color w:val="auto"/>
                <w:highlight w:val="none"/>
              </w:rPr>
              <w:t>19</w:t>
            </w:r>
          </w:p>
        </w:tc>
        <w:tc>
          <w:tcPr>
            <w:tcW w:w="2365" w:type="dxa"/>
            <w:vAlign w:val="center"/>
          </w:tcPr>
          <w:p w14:paraId="5061A297">
            <w:pPr>
              <w:pStyle w:val="15"/>
              <w:rPr>
                <w:rFonts w:cs="宋体"/>
                <w:color w:val="auto"/>
                <w:highlight w:val="none"/>
              </w:rPr>
            </w:pPr>
            <w:r>
              <w:rPr>
                <w:rFonts w:hint="eastAsia" w:cs="宋体"/>
                <w:color w:val="auto"/>
                <w:highlight w:val="none"/>
              </w:rPr>
              <w:t>履约保证金</w:t>
            </w:r>
          </w:p>
        </w:tc>
        <w:tc>
          <w:tcPr>
            <w:tcW w:w="5972" w:type="dxa"/>
            <w:vAlign w:val="center"/>
          </w:tcPr>
          <w:p w14:paraId="53749FFB">
            <w:pPr>
              <w:pStyle w:val="15"/>
              <w:jc w:val="left"/>
              <w:rPr>
                <w:rFonts w:cs="宋体"/>
                <w:color w:val="auto"/>
                <w:highlight w:val="none"/>
              </w:rPr>
            </w:pPr>
            <w:r>
              <w:rPr>
                <w:rFonts w:hint="eastAsia" w:cs="宋体"/>
                <w:color w:val="auto"/>
                <w:highlight w:val="none"/>
                <w:lang w:val="zh-CN"/>
              </w:rPr>
              <w:t>另行约定</w:t>
            </w:r>
          </w:p>
        </w:tc>
      </w:tr>
      <w:tr w14:paraId="2496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59A3ACC">
            <w:pPr>
              <w:pStyle w:val="15"/>
              <w:rPr>
                <w:rFonts w:cs="宋体"/>
                <w:color w:val="auto"/>
                <w:highlight w:val="none"/>
              </w:rPr>
            </w:pPr>
            <w:r>
              <w:rPr>
                <w:rFonts w:hint="eastAsia" w:cs="宋体"/>
                <w:color w:val="auto"/>
                <w:highlight w:val="none"/>
              </w:rPr>
              <w:t>20</w:t>
            </w:r>
          </w:p>
        </w:tc>
        <w:tc>
          <w:tcPr>
            <w:tcW w:w="2365" w:type="dxa"/>
            <w:vAlign w:val="center"/>
          </w:tcPr>
          <w:p w14:paraId="5F7673A6">
            <w:pPr>
              <w:pStyle w:val="15"/>
              <w:rPr>
                <w:rFonts w:cs="宋体"/>
                <w:color w:val="auto"/>
                <w:highlight w:val="none"/>
              </w:rPr>
            </w:pPr>
            <w:r>
              <w:rPr>
                <w:rFonts w:hint="eastAsia" w:cs="宋体"/>
                <w:color w:val="auto"/>
                <w:highlight w:val="none"/>
              </w:rPr>
              <w:t>响应文件份数</w:t>
            </w:r>
          </w:p>
        </w:tc>
        <w:tc>
          <w:tcPr>
            <w:tcW w:w="5972" w:type="dxa"/>
            <w:vAlign w:val="center"/>
          </w:tcPr>
          <w:p w14:paraId="2B1C0D6B">
            <w:pPr>
              <w:pStyle w:val="15"/>
              <w:jc w:val="left"/>
              <w:rPr>
                <w:rFonts w:cs="宋体"/>
                <w:color w:val="auto"/>
                <w:highlight w:val="none"/>
              </w:rPr>
            </w:pPr>
            <w:r>
              <w:rPr>
                <w:rFonts w:hint="eastAsia" w:cs="宋体"/>
                <w:color w:val="auto"/>
                <w:highlight w:val="none"/>
              </w:rPr>
              <w:t>1、电子响应文件：供应商应使用政采云系统的响应文件编制工具，按照操作手册编制电子响应文件，并使用数字证书（CA）按照磋商文件规定签字、签章。同时使用数字证书（CA）对响应文件进行加密。</w:t>
            </w:r>
          </w:p>
          <w:p w14:paraId="4AA149B5">
            <w:pPr>
              <w:pStyle w:val="15"/>
              <w:jc w:val="left"/>
              <w:rPr>
                <w:rFonts w:cs="宋体"/>
                <w:color w:val="auto"/>
                <w:highlight w:val="none"/>
              </w:rPr>
            </w:pPr>
            <w:r>
              <w:rPr>
                <w:rFonts w:hint="eastAsia" w:cs="宋体"/>
                <w:color w:val="auto"/>
                <w:highlight w:val="none"/>
              </w:rPr>
              <w:t>2、纸质响应文件：4份，可在正式电子响应文件制作完成后（已进行了有效的CA电子签章）直接打印。纸质响应文件仅作为存档使用，不作为磋商及评审的依据。纸质版投标文件在开标后1个工作日内送至或邮寄招标代理。</w:t>
            </w:r>
          </w:p>
        </w:tc>
      </w:tr>
      <w:tr w14:paraId="1804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1256893">
            <w:pPr>
              <w:pStyle w:val="15"/>
              <w:rPr>
                <w:rFonts w:cs="宋体"/>
                <w:color w:val="auto"/>
                <w:highlight w:val="none"/>
              </w:rPr>
            </w:pPr>
            <w:r>
              <w:rPr>
                <w:rFonts w:hint="eastAsia" w:cs="宋体"/>
                <w:color w:val="auto"/>
                <w:highlight w:val="none"/>
              </w:rPr>
              <w:t>21</w:t>
            </w:r>
          </w:p>
        </w:tc>
        <w:tc>
          <w:tcPr>
            <w:tcW w:w="2365" w:type="dxa"/>
            <w:vAlign w:val="center"/>
          </w:tcPr>
          <w:p w14:paraId="7D7E038B">
            <w:pPr>
              <w:pStyle w:val="15"/>
              <w:rPr>
                <w:rFonts w:cs="宋体"/>
                <w:color w:val="auto"/>
                <w:highlight w:val="none"/>
              </w:rPr>
            </w:pPr>
            <w:r>
              <w:rPr>
                <w:rFonts w:hint="eastAsia" w:cs="宋体"/>
                <w:color w:val="auto"/>
                <w:highlight w:val="none"/>
              </w:rPr>
              <w:t>封套上写明</w:t>
            </w:r>
          </w:p>
        </w:tc>
        <w:tc>
          <w:tcPr>
            <w:tcW w:w="5972" w:type="dxa"/>
            <w:vAlign w:val="center"/>
          </w:tcPr>
          <w:p w14:paraId="6B06975C">
            <w:pPr>
              <w:pStyle w:val="15"/>
              <w:jc w:val="left"/>
              <w:rPr>
                <w:rFonts w:cs="宋体"/>
                <w:color w:val="auto"/>
                <w:highlight w:val="none"/>
                <w:lang w:val="zh-CN"/>
              </w:rPr>
            </w:pPr>
            <w:r>
              <w:rPr>
                <w:rFonts w:hint="eastAsia" w:cs="宋体"/>
                <w:color w:val="auto"/>
                <w:highlight w:val="none"/>
                <w:u w:val="single"/>
                <w:lang w:val="zh-CN"/>
              </w:rPr>
              <w:t xml:space="preserve">     </w:t>
            </w:r>
            <w:r>
              <w:rPr>
                <w:rFonts w:hint="eastAsia" w:cs="宋体"/>
                <w:color w:val="auto"/>
                <w:highlight w:val="none"/>
                <w:u w:val="single"/>
              </w:rPr>
              <w:t xml:space="preserve">          </w:t>
            </w:r>
            <w:r>
              <w:rPr>
                <w:rFonts w:hint="eastAsia" w:cs="宋体"/>
                <w:color w:val="auto"/>
                <w:highlight w:val="none"/>
                <w:u w:val="single"/>
                <w:lang w:val="zh-CN"/>
              </w:rPr>
              <w:t xml:space="preserve">  </w:t>
            </w:r>
            <w:r>
              <w:rPr>
                <w:rFonts w:hint="eastAsia" w:cs="宋体"/>
                <w:color w:val="auto"/>
                <w:highlight w:val="none"/>
                <w:lang w:val="zh-CN"/>
              </w:rPr>
              <w:t>（项目名称）响应文件</w:t>
            </w:r>
          </w:p>
          <w:p w14:paraId="4E396575">
            <w:pPr>
              <w:pStyle w:val="15"/>
              <w:jc w:val="left"/>
              <w:rPr>
                <w:rFonts w:cs="宋体"/>
                <w:color w:val="auto"/>
                <w:highlight w:val="none"/>
              </w:rPr>
            </w:pPr>
            <w:r>
              <w:rPr>
                <w:rFonts w:hint="eastAsia" w:cs="宋体"/>
                <w:color w:val="auto"/>
                <w:highlight w:val="none"/>
                <w:lang w:val="zh-CN"/>
              </w:rPr>
              <w:t>项目编号：</w:t>
            </w:r>
            <w:r>
              <w:rPr>
                <w:rFonts w:hint="eastAsia" w:cs="宋体"/>
                <w:color w:val="auto"/>
                <w:highlight w:val="none"/>
                <w:u w:val="single"/>
                <w:lang w:val="zh-CN"/>
              </w:rPr>
              <w:t xml:space="preserve">    </w:t>
            </w:r>
            <w:r>
              <w:rPr>
                <w:rFonts w:hint="eastAsia" w:cs="宋体"/>
                <w:color w:val="auto"/>
                <w:highlight w:val="none"/>
                <w:u w:val="single"/>
              </w:rPr>
              <w:t xml:space="preserve">          </w:t>
            </w:r>
            <w:r>
              <w:rPr>
                <w:rFonts w:hint="eastAsia" w:cs="宋体"/>
                <w:color w:val="auto"/>
                <w:highlight w:val="none"/>
                <w:u w:val="single"/>
                <w:lang w:val="zh-CN"/>
              </w:rPr>
              <w:t xml:space="preserve">  </w:t>
            </w:r>
          </w:p>
          <w:p w14:paraId="3D340F2F">
            <w:pPr>
              <w:pStyle w:val="15"/>
              <w:jc w:val="left"/>
              <w:rPr>
                <w:rFonts w:cs="宋体"/>
                <w:color w:val="auto"/>
                <w:highlight w:val="none"/>
              </w:rPr>
            </w:pPr>
            <w:r>
              <w:rPr>
                <w:rFonts w:hint="eastAsia" w:cs="宋体"/>
                <w:color w:val="auto"/>
                <w:highlight w:val="none"/>
                <w:lang w:val="zh-CN"/>
              </w:rPr>
              <w:t>供应商名称：</w:t>
            </w:r>
            <w:r>
              <w:rPr>
                <w:rFonts w:hint="eastAsia" w:cs="宋体"/>
                <w:color w:val="auto"/>
                <w:highlight w:val="none"/>
                <w:u w:val="single"/>
                <w:lang w:val="zh-CN"/>
              </w:rPr>
              <w:t xml:space="preserve">    </w:t>
            </w:r>
            <w:r>
              <w:rPr>
                <w:rFonts w:hint="eastAsia" w:cs="宋体"/>
                <w:color w:val="auto"/>
                <w:highlight w:val="none"/>
                <w:u w:val="single"/>
              </w:rPr>
              <w:t xml:space="preserve">          </w:t>
            </w:r>
          </w:p>
          <w:p w14:paraId="3757F980">
            <w:pPr>
              <w:pStyle w:val="15"/>
              <w:jc w:val="left"/>
              <w:rPr>
                <w:rFonts w:cs="宋体"/>
                <w:color w:val="auto"/>
                <w:highlight w:val="none"/>
              </w:rPr>
            </w:pPr>
            <w:r>
              <w:rPr>
                <w:rFonts w:hint="eastAsia" w:cs="宋体"/>
                <w:color w:val="auto"/>
                <w:highlight w:val="none"/>
                <w:lang w:val="zh-CN"/>
              </w:rPr>
              <w:t>在</w:t>
            </w:r>
            <w:r>
              <w:rPr>
                <w:rFonts w:hint="eastAsia" w:cs="宋体"/>
                <w:color w:val="auto"/>
                <w:highlight w:val="none"/>
                <w:u w:val="single"/>
              </w:rPr>
              <w:t xml:space="preserve">    </w:t>
            </w:r>
            <w:r>
              <w:rPr>
                <w:rFonts w:hint="eastAsia" w:cs="宋体"/>
                <w:color w:val="auto"/>
                <w:highlight w:val="none"/>
                <w:lang w:val="zh-CN"/>
              </w:rPr>
              <w:t>年</w:t>
            </w:r>
            <w:r>
              <w:rPr>
                <w:rFonts w:hint="eastAsia" w:cs="宋体"/>
                <w:color w:val="auto"/>
                <w:highlight w:val="none"/>
                <w:u w:val="single"/>
              </w:rPr>
              <w:t xml:space="preserve">    </w:t>
            </w:r>
            <w:r>
              <w:rPr>
                <w:rFonts w:hint="eastAsia" w:cs="宋体"/>
                <w:color w:val="auto"/>
                <w:highlight w:val="none"/>
                <w:lang w:val="zh-CN"/>
              </w:rPr>
              <w:t>月</w:t>
            </w:r>
            <w:r>
              <w:rPr>
                <w:rFonts w:hint="eastAsia" w:cs="宋体"/>
                <w:color w:val="auto"/>
                <w:highlight w:val="none"/>
                <w:u w:val="single"/>
              </w:rPr>
              <w:t xml:space="preserve">    </w:t>
            </w:r>
            <w:r>
              <w:rPr>
                <w:rFonts w:hint="eastAsia" w:cs="宋体"/>
                <w:color w:val="auto"/>
                <w:highlight w:val="none"/>
                <w:lang w:val="zh-CN"/>
              </w:rPr>
              <w:t>日</w:t>
            </w:r>
            <w:r>
              <w:rPr>
                <w:rFonts w:hint="eastAsia" w:cs="宋体"/>
                <w:color w:val="auto"/>
                <w:highlight w:val="none"/>
                <w:u w:val="single"/>
              </w:rPr>
              <w:t xml:space="preserve">    </w:t>
            </w:r>
            <w:r>
              <w:rPr>
                <w:rFonts w:hint="eastAsia" w:cs="宋体"/>
                <w:color w:val="auto"/>
                <w:highlight w:val="none"/>
                <w:lang w:val="zh-CN"/>
              </w:rPr>
              <w:t>时</w:t>
            </w:r>
            <w:r>
              <w:rPr>
                <w:rFonts w:hint="eastAsia" w:cs="宋体"/>
                <w:color w:val="auto"/>
                <w:highlight w:val="none"/>
                <w:u w:val="single"/>
              </w:rPr>
              <w:t xml:space="preserve">    </w:t>
            </w:r>
            <w:r>
              <w:rPr>
                <w:rFonts w:hint="eastAsia" w:cs="宋体"/>
                <w:color w:val="auto"/>
                <w:highlight w:val="none"/>
                <w:lang w:val="zh-CN"/>
              </w:rPr>
              <w:t>分</w:t>
            </w:r>
            <w:r>
              <w:rPr>
                <w:rFonts w:hint="eastAsia" w:cs="宋体"/>
                <w:color w:val="auto"/>
                <w:highlight w:val="none"/>
              </w:rPr>
              <w:t>磋商时启封</w:t>
            </w:r>
          </w:p>
        </w:tc>
      </w:tr>
      <w:tr w14:paraId="4069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41F0129">
            <w:pPr>
              <w:pStyle w:val="15"/>
              <w:rPr>
                <w:rFonts w:cs="宋体"/>
                <w:color w:val="auto"/>
                <w:highlight w:val="none"/>
              </w:rPr>
            </w:pPr>
            <w:r>
              <w:rPr>
                <w:rFonts w:hint="eastAsia" w:cs="宋体"/>
                <w:color w:val="auto"/>
                <w:highlight w:val="none"/>
              </w:rPr>
              <w:t>22</w:t>
            </w:r>
          </w:p>
        </w:tc>
        <w:tc>
          <w:tcPr>
            <w:tcW w:w="2365" w:type="dxa"/>
            <w:vAlign w:val="center"/>
          </w:tcPr>
          <w:p w14:paraId="57F87B1C">
            <w:pPr>
              <w:pStyle w:val="15"/>
              <w:rPr>
                <w:rFonts w:cs="宋体"/>
                <w:color w:val="auto"/>
                <w:highlight w:val="none"/>
              </w:rPr>
            </w:pPr>
            <w:r>
              <w:rPr>
                <w:rFonts w:hint="eastAsia" w:cs="宋体"/>
                <w:color w:val="auto"/>
                <w:highlight w:val="none"/>
              </w:rPr>
              <w:t>是否退还响应文件</w:t>
            </w:r>
          </w:p>
        </w:tc>
        <w:tc>
          <w:tcPr>
            <w:tcW w:w="5972" w:type="dxa"/>
            <w:vAlign w:val="center"/>
          </w:tcPr>
          <w:p w14:paraId="1AF841F8">
            <w:pPr>
              <w:pStyle w:val="15"/>
              <w:jc w:val="left"/>
              <w:rPr>
                <w:rFonts w:cs="宋体"/>
                <w:color w:val="auto"/>
                <w:highlight w:val="none"/>
                <w:lang w:val="zh-CN"/>
              </w:rPr>
            </w:pPr>
            <w:r>
              <w:rPr>
                <w:rFonts w:hint="eastAsia" w:cs="宋体"/>
                <w:color w:val="auto"/>
                <w:highlight w:val="none"/>
              </w:rPr>
              <w:t>否</w:t>
            </w:r>
          </w:p>
        </w:tc>
      </w:tr>
      <w:tr w14:paraId="4747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DE4633A">
            <w:pPr>
              <w:pStyle w:val="15"/>
              <w:rPr>
                <w:rFonts w:cs="宋体"/>
                <w:color w:val="auto"/>
                <w:highlight w:val="none"/>
              </w:rPr>
            </w:pPr>
            <w:r>
              <w:rPr>
                <w:rFonts w:hint="eastAsia" w:cs="宋体"/>
                <w:color w:val="auto"/>
                <w:highlight w:val="none"/>
              </w:rPr>
              <w:t>23</w:t>
            </w:r>
          </w:p>
        </w:tc>
        <w:tc>
          <w:tcPr>
            <w:tcW w:w="2365" w:type="dxa"/>
            <w:vAlign w:val="center"/>
          </w:tcPr>
          <w:p w14:paraId="40C5BB80">
            <w:pPr>
              <w:pStyle w:val="15"/>
              <w:rPr>
                <w:rFonts w:cs="宋体"/>
                <w:color w:val="auto"/>
                <w:highlight w:val="none"/>
              </w:rPr>
            </w:pPr>
            <w:r>
              <w:rPr>
                <w:rFonts w:hint="eastAsia" w:cs="宋体"/>
                <w:color w:val="auto"/>
                <w:highlight w:val="none"/>
              </w:rPr>
              <w:t>响应文件递交截止时间</w:t>
            </w:r>
          </w:p>
        </w:tc>
        <w:tc>
          <w:tcPr>
            <w:tcW w:w="5972" w:type="dxa"/>
            <w:vAlign w:val="center"/>
          </w:tcPr>
          <w:p w14:paraId="2E09A481">
            <w:pPr>
              <w:pStyle w:val="15"/>
              <w:jc w:val="left"/>
              <w:rPr>
                <w:rFonts w:cs="宋体"/>
                <w:color w:val="auto"/>
                <w:highlight w:val="none"/>
              </w:rPr>
            </w:pPr>
            <w:r>
              <w:rPr>
                <w:rFonts w:hint="eastAsia" w:cs="宋体"/>
                <w:snapToGrid w:val="0"/>
                <w:color w:val="auto"/>
                <w:highlight w:val="none"/>
                <w:lang w:eastAsia="zh-CN"/>
              </w:rPr>
              <w:t>2026年5月6日14:15</w:t>
            </w:r>
            <w:r>
              <w:rPr>
                <w:rFonts w:hint="eastAsia" w:cs="宋体"/>
                <w:color w:val="auto"/>
                <w:highlight w:val="none"/>
              </w:rPr>
              <w:t>（北京时间）</w:t>
            </w:r>
          </w:p>
        </w:tc>
      </w:tr>
      <w:tr w14:paraId="1902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403DE2">
            <w:pPr>
              <w:pStyle w:val="15"/>
              <w:rPr>
                <w:rFonts w:cs="宋体"/>
                <w:color w:val="auto"/>
                <w:highlight w:val="none"/>
              </w:rPr>
            </w:pPr>
            <w:r>
              <w:rPr>
                <w:rFonts w:hint="eastAsia" w:cs="宋体"/>
                <w:color w:val="auto"/>
                <w:highlight w:val="none"/>
              </w:rPr>
              <w:t>24</w:t>
            </w:r>
          </w:p>
        </w:tc>
        <w:tc>
          <w:tcPr>
            <w:tcW w:w="2365" w:type="dxa"/>
            <w:vAlign w:val="center"/>
          </w:tcPr>
          <w:p w14:paraId="1556B1FF">
            <w:pPr>
              <w:pStyle w:val="15"/>
              <w:rPr>
                <w:rFonts w:cs="宋体"/>
                <w:color w:val="auto"/>
                <w:highlight w:val="none"/>
              </w:rPr>
            </w:pPr>
            <w:r>
              <w:rPr>
                <w:rFonts w:hint="eastAsia" w:cs="宋体"/>
                <w:color w:val="auto"/>
                <w:highlight w:val="none"/>
              </w:rPr>
              <w:t>纸质响应文件邮寄信息</w:t>
            </w:r>
          </w:p>
        </w:tc>
        <w:tc>
          <w:tcPr>
            <w:tcW w:w="5972" w:type="dxa"/>
            <w:vAlign w:val="center"/>
          </w:tcPr>
          <w:p w14:paraId="3B5CB46C">
            <w:pPr>
              <w:pStyle w:val="15"/>
              <w:jc w:val="left"/>
              <w:rPr>
                <w:rFonts w:cs="宋体"/>
                <w:color w:val="auto"/>
                <w:highlight w:val="none"/>
              </w:rPr>
            </w:pPr>
            <w:r>
              <w:rPr>
                <w:rFonts w:hint="eastAsia" w:cs="宋体"/>
                <w:color w:val="auto"/>
                <w:highlight w:val="none"/>
              </w:rPr>
              <w:t>地址：山西省太原市太榆路迎宾汽车站山西汽运集团晋龙捷泰运输有限公司办公楼六层</w:t>
            </w:r>
          </w:p>
          <w:p w14:paraId="7320365B">
            <w:pPr>
              <w:pStyle w:val="15"/>
              <w:jc w:val="left"/>
              <w:rPr>
                <w:rFonts w:cs="宋体"/>
                <w:color w:val="auto"/>
                <w:highlight w:val="none"/>
              </w:rPr>
            </w:pPr>
            <w:r>
              <w:rPr>
                <w:rFonts w:hint="eastAsia" w:cs="宋体"/>
                <w:color w:val="auto"/>
                <w:highlight w:val="none"/>
              </w:rPr>
              <w:t>收件人：连晓阳</w:t>
            </w:r>
          </w:p>
          <w:p w14:paraId="34C29CF4">
            <w:pPr>
              <w:pStyle w:val="15"/>
              <w:jc w:val="left"/>
              <w:rPr>
                <w:rFonts w:hint="eastAsia" w:eastAsia="宋体" w:cs="宋体"/>
                <w:color w:val="auto"/>
                <w:highlight w:val="none"/>
                <w:lang w:eastAsia="zh-CN"/>
              </w:rPr>
            </w:pPr>
            <w:r>
              <w:rPr>
                <w:rFonts w:hint="eastAsia" w:cs="宋体"/>
                <w:color w:val="auto"/>
                <w:highlight w:val="none"/>
              </w:rPr>
              <w:t>收件电话：</w:t>
            </w:r>
            <w:r>
              <w:rPr>
                <w:rFonts w:hint="eastAsia" w:cs="宋体"/>
                <w:color w:val="auto"/>
                <w:szCs w:val="24"/>
                <w:highlight w:val="none"/>
                <w:lang w:eastAsia="zh-CN"/>
              </w:rPr>
              <w:t>13333433455</w:t>
            </w:r>
          </w:p>
        </w:tc>
      </w:tr>
      <w:tr w14:paraId="499B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F65C7BF">
            <w:pPr>
              <w:pStyle w:val="15"/>
              <w:rPr>
                <w:rFonts w:cs="宋体"/>
                <w:color w:val="auto"/>
                <w:highlight w:val="none"/>
              </w:rPr>
            </w:pPr>
            <w:r>
              <w:rPr>
                <w:rFonts w:hint="eastAsia" w:cs="宋体"/>
                <w:color w:val="auto"/>
                <w:highlight w:val="none"/>
              </w:rPr>
              <w:t>25</w:t>
            </w:r>
          </w:p>
        </w:tc>
        <w:tc>
          <w:tcPr>
            <w:tcW w:w="2365" w:type="dxa"/>
            <w:vAlign w:val="center"/>
          </w:tcPr>
          <w:p w14:paraId="46163CA4">
            <w:pPr>
              <w:pStyle w:val="15"/>
              <w:rPr>
                <w:rFonts w:cs="宋体"/>
                <w:color w:val="auto"/>
                <w:highlight w:val="none"/>
              </w:rPr>
            </w:pPr>
            <w:r>
              <w:rPr>
                <w:rFonts w:hint="eastAsia" w:cs="宋体"/>
                <w:color w:val="auto"/>
                <w:highlight w:val="none"/>
              </w:rPr>
              <w:t>开启、解密时间</w:t>
            </w:r>
          </w:p>
        </w:tc>
        <w:tc>
          <w:tcPr>
            <w:tcW w:w="5972" w:type="dxa"/>
            <w:vAlign w:val="center"/>
          </w:tcPr>
          <w:p w14:paraId="331DC22D">
            <w:pPr>
              <w:pStyle w:val="15"/>
              <w:jc w:val="left"/>
              <w:rPr>
                <w:rFonts w:cs="宋体"/>
                <w:color w:val="auto"/>
                <w:highlight w:val="none"/>
                <w:lang w:val="zh-CN"/>
              </w:rPr>
            </w:pPr>
            <w:r>
              <w:rPr>
                <w:rFonts w:hint="eastAsia" w:cs="宋体"/>
                <w:snapToGrid w:val="0"/>
                <w:color w:val="auto"/>
                <w:highlight w:val="none"/>
                <w:lang w:eastAsia="zh-CN"/>
              </w:rPr>
              <w:t>2026年5月6日14:15</w:t>
            </w:r>
            <w:r>
              <w:rPr>
                <w:rFonts w:hint="eastAsia" w:cs="宋体"/>
                <w:color w:val="auto"/>
                <w:highlight w:val="none"/>
              </w:rPr>
              <w:t>（北京时间）</w:t>
            </w:r>
          </w:p>
        </w:tc>
      </w:tr>
      <w:tr w14:paraId="3E63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5C5658">
            <w:pPr>
              <w:pStyle w:val="15"/>
              <w:rPr>
                <w:rFonts w:cs="宋体"/>
                <w:color w:val="auto"/>
                <w:highlight w:val="none"/>
              </w:rPr>
            </w:pPr>
            <w:r>
              <w:rPr>
                <w:rFonts w:hint="eastAsia" w:cs="宋体"/>
                <w:color w:val="auto"/>
                <w:highlight w:val="none"/>
              </w:rPr>
              <w:t>26</w:t>
            </w:r>
          </w:p>
        </w:tc>
        <w:tc>
          <w:tcPr>
            <w:tcW w:w="2365" w:type="dxa"/>
            <w:vAlign w:val="center"/>
          </w:tcPr>
          <w:p w14:paraId="0AD49A35">
            <w:pPr>
              <w:pStyle w:val="15"/>
              <w:rPr>
                <w:rFonts w:cs="宋体"/>
                <w:color w:val="auto"/>
                <w:highlight w:val="none"/>
              </w:rPr>
            </w:pPr>
            <w:r>
              <w:rPr>
                <w:rFonts w:hint="eastAsia" w:cs="宋体"/>
                <w:color w:val="auto"/>
                <w:highlight w:val="none"/>
              </w:rPr>
              <w:t>开启、解密地点</w:t>
            </w:r>
          </w:p>
        </w:tc>
        <w:tc>
          <w:tcPr>
            <w:tcW w:w="5972" w:type="dxa"/>
            <w:vAlign w:val="center"/>
          </w:tcPr>
          <w:p w14:paraId="5E874C8E">
            <w:pPr>
              <w:pStyle w:val="15"/>
              <w:jc w:val="left"/>
              <w:rPr>
                <w:rFonts w:cs="宋体"/>
                <w:color w:val="auto"/>
                <w:highlight w:val="none"/>
              </w:rPr>
            </w:pPr>
            <w:r>
              <w:rPr>
                <w:rFonts w:hint="eastAsia" w:cs="宋体"/>
                <w:color w:val="auto"/>
                <w:highlight w:val="none"/>
              </w:rPr>
              <w:t>山西省太原市太榆路迎宾汽车站山西汽运集团晋龙捷泰运输有限公司办公楼七层会议室</w:t>
            </w:r>
          </w:p>
        </w:tc>
      </w:tr>
      <w:tr w14:paraId="4253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CD9C2E">
            <w:pPr>
              <w:pStyle w:val="15"/>
              <w:rPr>
                <w:rFonts w:cs="宋体"/>
                <w:color w:val="auto"/>
                <w:highlight w:val="none"/>
              </w:rPr>
            </w:pPr>
            <w:r>
              <w:rPr>
                <w:rFonts w:hint="eastAsia" w:cs="宋体"/>
                <w:color w:val="auto"/>
                <w:highlight w:val="none"/>
              </w:rPr>
              <w:t>27</w:t>
            </w:r>
          </w:p>
        </w:tc>
        <w:tc>
          <w:tcPr>
            <w:tcW w:w="2365" w:type="dxa"/>
            <w:vAlign w:val="center"/>
          </w:tcPr>
          <w:p w14:paraId="65410011">
            <w:pPr>
              <w:pStyle w:val="15"/>
              <w:rPr>
                <w:rFonts w:cs="宋体"/>
                <w:color w:val="auto"/>
                <w:highlight w:val="none"/>
                <w:lang w:val="zh-CN"/>
              </w:rPr>
            </w:pPr>
            <w:r>
              <w:rPr>
                <w:rFonts w:hint="eastAsia" w:cs="宋体"/>
                <w:color w:val="auto"/>
                <w:highlight w:val="none"/>
                <w:lang w:val="zh-CN"/>
              </w:rPr>
              <w:t>磋商小组的组建</w:t>
            </w:r>
          </w:p>
        </w:tc>
        <w:tc>
          <w:tcPr>
            <w:tcW w:w="5972" w:type="dxa"/>
            <w:vAlign w:val="center"/>
          </w:tcPr>
          <w:p w14:paraId="64702477">
            <w:pPr>
              <w:pStyle w:val="15"/>
              <w:jc w:val="left"/>
              <w:rPr>
                <w:rFonts w:cs="宋体"/>
                <w:color w:val="auto"/>
                <w:highlight w:val="none"/>
              </w:rPr>
            </w:pPr>
            <w:r>
              <w:rPr>
                <w:rFonts w:hint="eastAsia" w:cs="宋体"/>
                <w:color w:val="auto"/>
                <w:highlight w:val="none"/>
              </w:rPr>
              <w:t>磋商小组构成：3人，</w:t>
            </w:r>
          </w:p>
          <w:p w14:paraId="656A17BF">
            <w:pPr>
              <w:pStyle w:val="15"/>
              <w:jc w:val="left"/>
              <w:rPr>
                <w:rFonts w:cs="宋体"/>
                <w:color w:val="auto"/>
                <w:highlight w:val="none"/>
              </w:rPr>
            </w:pPr>
            <w:r>
              <w:rPr>
                <w:rFonts w:hint="eastAsia" w:cs="宋体"/>
                <w:color w:val="auto"/>
                <w:highlight w:val="none"/>
              </w:rPr>
              <w:t>其中采购代表1人，专家2人；</w:t>
            </w:r>
          </w:p>
          <w:p w14:paraId="06325ABB">
            <w:pPr>
              <w:pStyle w:val="15"/>
              <w:jc w:val="left"/>
              <w:rPr>
                <w:rFonts w:cs="宋体"/>
                <w:color w:val="auto"/>
                <w:highlight w:val="none"/>
              </w:rPr>
            </w:pPr>
            <w:r>
              <w:rPr>
                <w:rFonts w:hint="eastAsia" w:cs="宋体"/>
                <w:color w:val="auto"/>
                <w:highlight w:val="none"/>
              </w:rPr>
              <w:t>评审专家确定方式：山西省政府采购评审专家库中随机抽取。</w:t>
            </w:r>
          </w:p>
        </w:tc>
      </w:tr>
      <w:tr w14:paraId="3EBA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D4D61A">
            <w:pPr>
              <w:pStyle w:val="15"/>
              <w:rPr>
                <w:rFonts w:cs="宋体"/>
                <w:color w:val="auto"/>
                <w:highlight w:val="none"/>
              </w:rPr>
            </w:pPr>
            <w:r>
              <w:rPr>
                <w:rFonts w:hint="eastAsia" w:cs="宋体"/>
                <w:color w:val="auto"/>
                <w:highlight w:val="none"/>
              </w:rPr>
              <w:t>28</w:t>
            </w:r>
          </w:p>
        </w:tc>
        <w:tc>
          <w:tcPr>
            <w:tcW w:w="2365" w:type="dxa"/>
            <w:vAlign w:val="center"/>
          </w:tcPr>
          <w:p w14:paraId="703463CC">
            <w:pPr>
              <w:pStyle w:val="15"/>
              <w:rPr>
                <w:rFonts w:cs="宋体"/>
                <w:color w:val="auto"/>
                <w:highlight w:val="none"/>
              </w:rPr>
            </w:pPr>
            <w:r>
              <w:rPr>
                <w:rFonts w:hint="eastAsia" w:cs="宋体"/>
                <w:color w:val="auto"/>
                <w:highlight w:val="none"/>
                <w:lang w:val="zh-CN"/>
              </w:rPr>
              <w:t>评审程序及方法</w:t>
            </w:r>
          </w:p>
        </w:tc>
        <w:tc>
          <w:tcPr>
            <w:tcW w:w="5972" w:type="dxa"/>
            <w:vAlign w:val="center"/>
          </w:tcPr>
          <w:p w14:paraId="366B35FB">
            <w:pPr>
              <w:pStyle w:val="15"/>
              <w:jc w:val="left"/>
              <w:rPr>
                <w:rFonts w:cs="宋体"/>
                <w:color w:val="auto"/>
                <w:highlight w:val="none"/>
              </w:rPr>
            </w:pPr>
            <w:r>
              <w:rPr>
                <w:rFonts w:hint="eastAsia" w:cs="宋体"/>
                <w:color w:val="auto"/>
                <w:highlight w:val="none"/>
              </w:rPr>
              <w:t>1.一轮磋商与二轮报价</w:t>
            </w:r>
          </w:p>
          <w:p w14:paraId="370276E1">
            <w:pPr>
              <w:pStyle w:val="15"/>
              <w:jc w:val="left"/>
              <w:rPr>
                <w:rFonts w:cs="宋体"/>
                <w:color w:val="auto"/>
                <w:highlight w:val="none"/>
              </w:rPr>
            </w:pPr>
            <w:r>
              <w:rPr>
                <w:rFonts w:hint="eastAsia" w:cs="宋体"/>
                <w:color w:val="auto"/>
                <w:highlight w:val="none"/>
              </w:rPr>
              <w:t>2.综合评分法</w:t>
            </w:r>
          </w:p>
        </w:tc>
      </w:tr>
      <w:tr w14:paraId="6E62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D668DEC">
            <w:pPr>
              <w:pStyle w:val="15"/>
              <w:rPr>
                <w:rFonts w:cs="宋体"/>
                <w:color w:val="auto"/>
                <w:highlight w:val="none"/>
              </w:rPr>
            </w:pPr>
            <w:r>
              <w:rPr>
                <w:rFonts w:hint="eastAsia" w:cs="宋体"/>
                <w:color w:val="auto"/>
                <w:highlight w:val="none"/>
              </w:rPr>
              <w:t>29</w:t>
            </w:r>
          </w:p>
        </w:tc>
        <w:tc>
          <w:tcPr>
            <w:tcW w:w="2365" w:type="dxa"/>
            <w:vAlign w:val="center"/>
          </w:tcPr>
          <w:p w14:paraId="3E1DF968">
            <w:pPr>
              <w:pStyle w:val="15"/>
              <w:rPr>
                <w:rFonts w:cs="宋体"/>
                <w:color w:val="auto"/>
                <w:highlight w:val="none"/>
                <w:lang w:val="zh-CN"/>
              </w:rPr>
            </w:pPr>
            <w:r>
              <w:rPr>
                <w:rFonts w:hint="eastAsia" w:cs="宋体"/>
                <w:color w:val="auto"/>
                <w:highlight w:val="none"/>
                <w:lang w:val="zh-CN"/>
              </w:rPr>
              <w:t>是否授权磋商小组确定成交供应商</w:t>
            </w:r>
          </w:p>
        </w:tc>
        <w:tc>
          <w:tcPr>
            <w:tcW w:w="5972" w:type="dxa"/>
            <w:vAlign w:val="center"/>
          </w:tcPr>
          <w:p w14:paraId="0EC0F257">
            <w:pPr>
              <w:pStyle w:val="15"/>
              <w:jc w:val="left"/>
              <w:rPr>
                <w:rFonts w:cs="宋体"/>
                <w:color w:val="auto"/>
                <w:highlight w:val="none"/>
              </w:rPr>
            </w:pPr>
            <w:r>
              <w:rPr>
                <w:rFonts w:hint="eastAsia" w:cs="宋体"/>
                <w:color w:val="auto"/>
                <w:highlight w:val="none"/>
              </w:rPr>
              <w:t>是</w:t>
            </w:r>
          </w:p>
        </w:tc>
      </w:tr>
      <w:tr w14:paraId="56F1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E1BC75">
            <w:pPr>
              <w:pStyle w:val="15"/>
              <w:rPr>
                <w:rFonts w:cs="宋体"/>
                <w:color w:val="auto"/>
                <w:highlight w:val="none"/>
              </w:rPr>
            </w:pPr>
            <w:r>
              <w:rPr>
                <w:rFonts w:hint="eastAsia" w:cs="宋体"/>
                <w:color w:val="auto"/>
                <w:highlight w:val="none"/>
              </w:rPr>
              <w:t>30</w:t>
            </w:r>
          </w:p>
        </w:tc>
        <w:tc>
          <w:tcPr>
            <w:tcW w:w="2365" w:type="dxa"/>
            <w:vAlign w:val="center"/>
          </w:tcPr>
          <w:p w14:paraId="14EDE426">
            <w:pPr>
              <w:pStyle w:val="15"/>
              <w:rPr>
                <w:rFonts w:cs="宋体"/>
                <w:color w:val="auto"/>
                <w:highlight w:val="none"/>
                <w:lang w:val="zh-CN"/>
              </w:rPr>
            </w:pPr>
            <w:r>
              <w:rPr>
                <w:rFonts w:hint="eastAsia" w:cs="宋体"/>
                <w:color w:val="auto"/>
                <w:highlight w:val="none"/>
                <w:lang w:val="zh-CN"/>
              </w:rPr>
              <w:t>成交结果公示</w:t>
            </w:r>
          </w:p>
        </w:tc>
        <w:tc>
          <w:tcPr>
            <w:tcW w:w="5972" w:type="dxa"/>
            <w:vAlign w:val="center"/>
          </w:tcPr>
          <w:p w14:paraId="2C131B96">
            <w:pPr>
              <w:pStyle w:val="15"/>
              <w:jc w:val="left"/>
              <w:rPr>
                <w:rFonts w:cs="宋体"/>
                <w:color w:val="auto"/>
                <w:highlight w:val="none"/>
                <w:lang w:val="zh-CN"/>
              </w:rPr>
            </w:pPr>
            <w:r>
              <w:rPr>
                <w:rFonts w:hint="eastAsia" w:cs="宋体"/>
                <w:color w:val="auto"/>
                <w:highlight w:val="none"/>
                <w:lang w:val="zh-CN"/>
              </w:rPr>
              <w:t>媒介：《山西政府采购网》</w:t>
            </w:r>
          </w:p>
          <w:p w14:paraId="04FAC229">
            <w:pPr>
              <w:pStyle w:val="15"/>
              <w:jc w:val="left"/>
              <w:rPr>
                <w:rFonts w:cs="宋体"/>
                <w:color w:val="auto"/>
                <w:highlight w:val="none"/>
              </w:rPr>
            </w:pPr>
            <w:r>
              <w:rPr>
                <w:rFonts w:hint="eastAsia" w:cs="宋体"/>
                <w:color w:val="auto"/>
                <w:highlight w:val="none"/>
                <w:lang w:val="zh-CN"/>
              </w:rPr>
              <w:t>公示期：</w:t>
            </w:r>
            <w:r>
              <w:rPr>
                <w:rFonts w:hint="eastAsia" w:cs="宋体"/>
                <w:color w:val="auto"/>
                <w:highlight w:val="none"/>
              </w:rPr>
              <w:t>1个工作日</w:t>
            </w:r>
          </w:p>
        </w:tc>
      </w:tr>
      <w:tr w14:paraId="410B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EDF5CC">
            <w:pPr>
              <w:pStyle w:val="15"/>
              <w:rPr>
                <w:rFonts w:cs="宋体"/>
                <w:color w:val="auto"/>
                <w:highlight w:val="none"/>
              </w:rPr>
            </w:pPr>
            <w:r>
              <w:rPr>
                <w:rFonts w:hint="eastAsia" w:cs="宋体"/>
                <w:color w:val="auto"/>
                <w:highlight w:val="none"/>
              </w:rPr>
              <w:t>31</w:t>
            </w:r>
          </w:p>
        </w:tc>
        <w:tc>
          <w:tcPr>
            <w:tcW w:w="2365" w:type="dxa"/>
            <w:vAlign w:val="center"/>
          </w:tcPr>
          <w:p w14:paraId="29297ACA">
            <w:pPr>
              <w:pStyle w:val="15"/>
              <w:rPr>
                <w:rFonts w:cs="宋体"/>
                <w:color w:val="auto"/>
                <w:highlight w:val="none"/>
              </w:rPr>
            </w:pPr>
            <w:r>
              <w:rPr>
                <w:rFonts w:hint="eastAsia" w:cs="宋体"/>
                <w:color w:val="auto"/>
                <w:highlight w:val="none"/>
                <w:lang w:val="zh-CN"/>
              </w:rPr>
              <w:t>采购代理服务费</w:t>
            </w:r>
          </w:p>
        </w:tc>
        <w:tc>
          <w:tcPr>
            <w:tcW w:w="5972" w:type="dxa"/>
            <w:vAlign w:val="center"/>
          </w:tcPr>
          <w:p w14:paraId="28DC248A">
            <w:pPr>
              <w:jc w:val="left"/>
              <w:rPr>
                <w:rFonts w:cs="宋体"/>
                <w:color w:val="auto"/>
                <w:highlight w:val="none"/>
                <w:lang w:val="zh-CN"/>
              </w:rPr>
            </w:pPr>
            <w:r>
              <w:rPr>
                <w:rFonts w:hint="eastAsia" w:cs="宋体"/>
                <w:color w:val="auto"/>
                <w:highlight w:val="none"/>
              </w:rPr>
              <w:t>1.</w:t>
            </w:r>
            <w:r>
              <w:rPr>
                <w:rFonts w:hint="eastAsia" w:cs="宋体"/>
                <w:color w:val="auto"/>
                <w:highlight w:val="none"/>
                <w:lang w:val="zh-CN"/>
              </w:rPr>
              <w:t>本次采购的采购代理服务费由成交供应商支付；</w:t>
            </w:r>
          </w:p>
          <w:p w14:paraId="6377D1D4">
            <w:pPr>
              <w:jc w:val="left"/>
              <w:rPr>
                <w:rFonts w:cs="宋体"/>
                <w:color w:val="auto"/>
                <w:highlight w:val="none"/>
                <w:lang w:val="zh-CN"/>
              </w:rPr>
            </w:pPr>
            <w:r>
              <w:rPr>
                <w:rFonts w:hint="eastAsia" w:cs="宋体"/>
                <w:color w:val="auto"/>
                <w:highlight w:val="none"/>
              </w:rPr>
              <w:t>2.</w:t>
            </w:r>
            <w:r>
              <w:rPr>
                <w:rFonts w:hint="eastAsia" w:cs="宋体"/>
                <w:color w:val="auto"/>
                <w:highlight w:val="none"/>
                <w:lang w:val="zh-CN"/>
              </w:rPr>
              <w:t>成交供应商需在领取成交通知书时按照类别全额一次性支付；</w:t>
            </w:r>
          </w:p>
          <w:p w14:paraId="6C24CC9D">
            <w:pPr>
              <w:pStyle w:val="15"/>
              <w:jc w:val="left"/>
              <w:rPr>
                <w:rFonts w:cs="宋体"/>
                <w:color w:val="auto"/>
                <w:highlight w:val="none"/>
              </w:rPr>
            </w:pPr>
            <w:r>
              <w:rPr>
                <w:rFonts w:hint="eastAsia" w:cs="宋体"/>
                <w:color w:val="auto"/>
                <w:highlight w:val="none"/>
              </w:rPr>
              <w:t>3.收费标准：参照《</w:t>
            </w:r>
            <w:r>
              <w:rPr>
                <w:rFonts w:hint="eastAsia" w:cs="宋体"/>
                <w:color w:val="auto"/>
                <w:highlight w:val="none"/>
                <w:lang w:val="en-US" w:eastAsia="zh-CN"/>
              </w:rPr>
              <w:t>国家计委计价格〔2002〕1980号文件和国家发展和改革委员会办公厅发改办价格〔2003〕857号文件以及国家发展和改革委员会发改价格〔2011〕534号文件</w:t>
            </w:r>
            <w:r>
              <w:rPr>
                <w:rFonts w:hint="eastAsia" w:cs="宋体"/>
                <w:color w:val="auto"/>
                <w:highlight w:val="none"/>
              </w:rPr>
              <w:t>收费标</w:t>
            </w:r>
            <w:r>
              <w:rPr>
                <w:rFonts w:hint="eastAsia" w:cs="宋体"/>
                <w:color w:val="auto"/>
                <w:highlight w:val="none"/>
                <w:lang w:val="en-US" w:eastAsia="zh-CN"/>
              </w:rPr>
              <w:t>准70</w:t>
            </w:r>
            <w:r>
              <w:rPr>
                <w:rFonts w:hint="eastAsia" w:cs="宋体"/>
                <w:color w:val="auto"/>
                <w:highlight w:val="none"/>
              </w:rPr>
              <w:t>%。</w:t>
            </w:r>
          </w:p>
        </w:tc>
      </w:tr>
      <w:tr w14:paraId="5900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E3E5564">
            <w:pPr>
              <w:pStyle w:val="15"/>
              <w:rPr>
                <w:rFonts w:cs="宋体"/>
                <w:color w:val="auto"/>
                <w:highlight w:val="none"/>
              </w:rPr>
            </w:pPr>
            <w:r>
              <w:rPr>
                <w:rFonts w:hint="eastAsia" w:cs="宋体"/>
                <w:color w:val="auto"/>
                <w:highlight w:val="none"/>
              </w:rPr>
              <w:t>32</w:t>
            </w:r>
          </w:p>
        </w:tc>
        <w:tc>
          <w:tcPr>
            <w:tcW w:w="2365" w:type="dxa"/>
            <w:vAlign w:val="center"/>
          </w:tcPr>
          <w:p w14:paraId="069E3EA8">
            <w:pPr>
              <w:pStyle w:val="15"/>
              <w:rPr>
                <w:rFonts w:cs="宋体"/>
                <w:color w:val="auto"/>
                <w:highlight w:val="none"/>
                <w:lang w:val="zh-CN"/>
              </w:rPr>
            </w:pPr>
            <w:r>
              <w:rPr>
                <w:rFonts w:hint="eastAsia" w:cs="宋体"/>
                <w:color w:val="auto"/>
                <w:highlight w:val="none"/>
              </w:rPr>
              <w:t>政府采购相关政策要求</w:t>
            </w:r>
          </w:p>
        </w:tc>
        <w:tc>
          <w:tcPr>
            <w:tcW w:w="5972" w:type="dxa"/>
            <w:vAlign w:val="center"/>
          </w:tcPr>
          <w:p w14:paraId="50CBFEA0">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b w:val="0"/>
                <w:bCs w:val="0"/>
                <w:color w:val="auto"/>
                <w:highlight w:val="none"/>
              </w:rPr>
            </w:pPr>
            <w:r>
              <w:rPr>
                <w:rFonts w:hint="eastAsia"/>
                <w:b w:val="0"/>
                <w:bCs w:val="0"/>
                <w:color w:val="auto"/>
                <w:highlight w:val="none"/>
              </w:rPr>
              <w:t>一、本国产品与进口产品要求</w:t>
            </w:r>
          </w:p>
          <w:p w14:paraId="276A74F9">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1.</w:t>
            </w:r>
            <w:r>
              <w:rPr>
                <w:rFonts w:hint="eastAsia"/>
                <w:b w:val="0"/>
                <w:bCs w:val="0"/>
                <w:color w:val="auto"/>
                <w:highlight w:val="none"/>
              </w:rPr>
              <w:t>本项目采购货物未特别注明 “进口产品” 字样的，均必须采购国产产品，即非 “通过中国海关报关验放进入中国境内且产自关境外的产品”。</w:t>
            </w:r>
          </w:p>
          <w:p w14:paraId="79D21D60">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2.</w:t>
            </w:r>
            <w:r>
              <w:rPr>
                <w:rFonts w:hint="eastAsia"/>
                <w:b w:val="0"/>
                <w:bCs w:val="0"/>
                <w:color w:val="auto"/>
                <w:highlight w:val="none"/>
              </w:rPr>
              <w:t>按照《国务院办公厅关于在政府采购中实施本国产品标准及相关政策的通知》（国办发〔2025〕34 号）要求：</w:t>
            </w:r>
          </w:p>
          <w:p w14:paraId="5C41DFD8">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rPr>
              <w:t>（1）在接受进口产品投标的采购项目或采购包中，提供本国生产货物的供应商，应出具标准格式《关于符合本国产品标准的声明函》或财政部会同有关部门规定的证明文件。出具符合要求的《声明函》或证明文件的，该产品视为本国产品，享受本国产品支持政策。采购人、采购代理机构不再要求供应商提供其他证明材料。</w:t>
            </w:r>
          </w:p>
          <w:p w14:paraId="6831EFFD">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rPr>
              <w:t>（2）供应商提供虚假《声明函》、虚假证明文件谋取中标的，依照《中华人民共和国政府采购法》等法律法规追究责任。</w:t>
            </w:r>
          </w:p>
          <w:p w14:paraId="5E347906">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本国产品支持政策：</w:t>
            </w:r>
          </w:p>
          <w:p w14:paraId="0A58769F">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rPr>
              <w:t>（1）政府采购活动中既有本国产品又有非本国产品参与竞争的，对本国产品给予20% 价格扣除，用扣除后的价格参与评审。</w:t>
            </w:r>
          </w:p>
          <w:p w14:paraId="6C877AFC">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rPr>
              <w:t>（2）供应商提供的符合本国产品标准的产品成本之和占全部产品成本之和达到 80% 以上的，对该供应商全部产品总报价给予20% 价格扣除。</w:t>
            </w:r>
          </w:p>
          <w:p w14:paraId="437F76AF">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b w:val="0"/>
                <w:bCs w:val="0"/>
                <w:color w:val="auto"/>
                <w:highlight w:val="none"/>
              </w:rPr>
            </w:pPr>
            <w:r>
              <w:rPr>
                <w:rFonts w:hint="eastAsia"/>
                <w:b w:val="0"/>
                <w:bCs w:val="0"/>
                <w:color w:val="auto"/>
                <w:highlight w:val="none"/>
              </w:rPr>
              <w:t>二、节能产品、环境标志产品要求</w:t>
            </w:r>
          </w:p>
          <w:p w14:paraId="0D000EB1">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1.</w:t>
            </w:r>
            <w:r>
              <w:rPr>
                <w:rFonts w:hint="eastAsia"/>
                <w:b w:val="0"/>
                <w:bCs w:val="0"/>
                <w:color w:val="auto"/>
                <w:highlight w:val="none"/>
              </w:rPr>
              <w:t>采购货物中含台式计算机、便携式计算机、平板式微型计算机、激光打印机、针式打印机、液晶显示器、制冷压缩机、空调机组、专用制冷空调设备、镇流器、空调机、电热水器、普通照明用双端荧光灯、电视设备、视频设备、便器、水嘴等《节能产品政府采购品目清单》中政府强制采购产品的，必须提供所投产品由国家确定的认证机构出具、处于有效期之内的节能产品认证证书，否则按无效响应处理。</w:t>
            </w:r>
          </w:p>
          <w:p w14:paraId="0733B622">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2.</w:t>
            </w:r>
            <w:r>
              <w:rPr>
                <w:rFonts w:hint="eastAsia"/>
                <w:b w:val="0"/>
                <w:bCs w:val="0"/>
                <w:color w:val="auto"/>
                <w:highlight w:val="none"/>
              </w:rPr>
              <w:t>其他列入《节能产品政府采购品目清单》《环境标志产品政府采购品目清单》的产品，可享受优先采购政策。</w:t>
            </w:r>
          </w:p>
          <w:p w14:paraId="6982078C">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b w:val="0"/>
                <w:bCs w:val="0"/>
                <w:color w:val="auto"/>
                <w:highlight w:val="none"/>
              </w:rPr>
            </w:pPr>
            <w:r>
              <w:rPr>
                <w:rFonts w:hint="eastAsia"/>
                <w:b w:val="0"/>
                <w:bCs w:val="0"/>
                <w:color w:val="auto"/>
                <w:highlight w:val="none"/>
              </w:rPr>
              <w:t>三、网络安全专用产品要求</w:t>
            </w:r>
          </w:p>
          <w:p w14:paraId="75D3A0FC">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lang w:val="en-US" w:eastAsia="zh-CN"/>
              </w:rPr>
            </w:pPr>
            <w:r>
              <w:rPr>
                <w:rFonts w:hint="eastAsia"/>
                <w:b w:val="0"/>
                <w:bCs w:val="0"/>
                <w:color w:val="auto"/>
                <w:highlight w:val="none"/>
                <w:lang w:val="en-US" w:eastAsia="zh-CN"/>
              </w:rPr>
              <w:t>根据《关于调整网络安全专用产品安全管理有关事项的公告》（2023年第1号），所投产品属于列入《网络关键设备和网络安全专用产品目录》的网络安全专用产品时，应当按照《信息安全技术网络安全专用产品安全技术要求》等相关国家标准强制性要求，由列入《承担网络关键设备和网络安全专用产品安全认证和安全检测任务机构名录》的机构安全认证合格或者安全检测符合要求，否则按无效响应处理。</w:t>
            </w:r>
          </w:p>
          <w:p w14:paraId="62F84143">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b w:val="0"/>
                <w:bCs w:val="0"/>
                <w:color w:val="auto"/>
                <w:highlight w:val="none"/>
              </w:rPr>
            </w:pPr>
            <w:r>
              <w:rPr>
                <w:rFonts w:hint="eastAsia"/>
                <w:b w:val="0"/>
                <w:bCs w:val="0"/>
                <w:color w:val="auto"/>
                <w:highlight w:val="none"/>
              </w:rPr>
              <w:t>四、软件正版化要求</w:t>
            </w:r>
          </w:p>
          <w:p w14:paraId="3243D0AC">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采购项目中含有计算机的，必须预装正版操作系统软件；所采购的其他软件必须为正版软件，否则按无效响应处理。</w:t>
            </w:r>
          </w:p>
          <w:p w14:paraId="25DBF167">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b w:val="0"/>
                <w:bCs w:val="0"/>
                <w:color w:val="auto"/>
                <w:highlight w:val="none"/>
              </w:rPr>
            </w:pPr>
            <w:r>
              <w:rPr>
                <w:rFonts w:hint="eastAsia"/>
                <w:b w:val="0"/>
                <w:bCs w:val="0"/>
                <w:color w:val="auto"/>
                <w:highlight w:val="none"/>
              </w:rPr>
              <w:t>五、中小微企业政策</w:t>
            </w:r>
          </w:p>
          <w:p w14:paraId="60D01E78">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1.</w:t>
            </w:r>
            <w:r>
              <w:rPr>
                <w:rFonts w:hint="eastAsia"/>
                <w:b w:val="0"/>
                <w:bCs w:val="0"/>
                <w:color w:val="auto"/>
                <w:highlight w:val="none"/>
              </w:rPr>
              <w:t>供应商应如实填报《中小企业声明函》，磋商或评审过程中发现虚假声明的，拒绝其报价，并按《中华人民共和国政府采购法》第七十七条规定处理。</w:t>
            </w:r>
          </w:p>
          <w:p w14:paraId="430C4BC7">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2.</w:t>
            </w:r>
            <w:r>
              <w:rPr>
                <w:rFonts w:hint="eastAsia"/>
                <w:b w:val="0"/>
                <w:bCs w:val="0"/>
                <w:color w:val="auto"/>
                <w:highlight w:val="none"/>
              </w:rPr>
              <w:t>非预留份额专门面向中小企业采购的项目及预留项目中的非预留部分：（1）对符合规定的小微企业报价给予 15%（工程项目 3%）价格扣除，以扣除后价格参与评审。（2）大中型企业与小微企业组成联合体或大中型企业向小微企业分包的，对联合体或大中型企业报价给予5%（工程项目 2%）价格扣除。（3）小微企业与联合体其他企业、分包企业存在直接控股、管理关系的，不享受价格扣除。</w:t>
            </w:r>
          </w:p>
          <w:p w14:paraId="4A8BE067">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大型企业提供的所有采购标的均为小微企业制造的，可享受价格评审优惠。</w:t>
            </w:r>
          </w:p>
          <w:p w14:paraId="70F26915">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4.</w:t>
            </w:r>
            <w:r>
              <w:rPr>
                <w:rFonts w:hint="eastAsia"/>
                <w:b w:val="0"/>
                <w:bCs w:val="0"/>
                <w:color w:val="auto"/>
                <w:highlight w:val="none"/>
              </w:rPr>
              <w:t>专门面向中小企业的项目或采购包，不再执行价格评审优惠。</w:t>
            </w:r>
          </w:p>
          <w:p w14:paraId="702B26A2">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5.</w:t>
            </w:r>
            <w:r>
              <w:rPr>
                <w:rFonts w:hint="eastAsia"/>
                <w:b w:val="0"/>
                <w:bCs w:val="0"/>
                <w:color w:val="auto"/>
                <w:highlight w:val="none"/>
              </w:rPr>
              <w:t>享受扶持政策中标的，小微企业不得分包给大中型企业，中型企业不得分包给大型企业。</w:t>
            </w:r>
          </w:p>
          <w:p w14:paraId="58735D6A">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6.</w:t>
            </w:r>
            <w:r>
              <w:rPr>
                <w:rFonts w:hint="eastAsia"/>
                <w:b w:val="0"/>
                <w:bCs w:val="0"/>
                <w:color w:val="auto"/>
                <w:highlight w:val="none"/>
              </w:rPr>
              <w:t>事业单位、团体组织等非企业性质供应商，不视同中小微企业；个体工商户视同小型、微型企业。</w:t>
            </w:r>
          </w:p>
          <w:p w14:paraId="15F444C1">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b w:val="0"/>
                <w:bCs w:val="0"/>
                <w:color w:val="auto"/>
                <w:highlight w:val="none"/>
              </w:rPr>
            </w:pPr>
            <w:r>
              <w:rPr>
                <w:rFonts w:hint="eastAsia"/>
                <w:b w:val="0"/>
                <w:bCs w:val="0"/>
                <w:color w:val="auto"/>
                <w:highlight w:val="none"/>
              </w:rPr>
              <w:t>六、残疾人福利性单位、监狱企业政策</w:t>
            </w:r>
          </w:p>
          <w:p w14:paraId="6342311D">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1.</w:t>
            </w:r>
            <w:r>
              <w:rPr>
                <w:rFonts w:hint="eastAsia"/>
                <w:b w:val="0"/>
                <w:bCs w:val="0"/>
                <w:color w:val="auto"/>
                <w:highlight w:val="none"/>
              </w:rPr>
              <w:t>残疾人福利性单位视同小型、微型企业，享受预留份额、评审价格扣除等中小企业扶持政策。</w:t>
            </w:r>
          </w:p>
          <w:p w14:paraId="5E74DD79">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2.</w:t>
            </w:r>
            <w:r>
              <w:rPr>
                <w:rFonts w:hint="eastAsia"/>
                <w:b w:val="0"/>
                <w:bCs w:val="0"/>
                <w:color w:val="auto"/>
                <w:highlight w:val="none"/>
              </w:rPr>
              <w:t>监狱企业视同小型、微型企业，享受预留份额、评审价格扣除等中小企业扶持政策。</w:t>
            </w:r>
          </w:p>
          <w:p w14:paraId="134AE173">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b w:val="0"/>
                <w:bCs w:val="0"/>
                <w:color w:val="auto"/>
                <w:highlight w:val="none"/>
              </w:rPr>
            </w:pPr>
            <w:r>
              <w:rPr>
                <w:rFonts w:hint="eastAsia"/>
                <w:b w:val="0"/>
                <w:bCs w:val="0"/>
                <w:color w:val="auto"/>
                <w:highlight w:val="none"/>
              </w:rPr>
              <w:t>七、创新产品和服务政策</w:t>
            </w:r>
          </w:p>
          <w:p w14:paraId="2058B674">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投标产品或服务属于《山西省创新产品和服务推荐清单》的，享受6% 价格折扣。</w:t>
            </w:r>
          </w:p>
          <w:p w14:paraId="50A19087">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b w:val="0"/>
                <w:bCs w:val="0"/>
                <w:color w:val="auto"/>
                <w:highlight w:val="none"/>
              </w:rPr>
            </w:pPr>
            <w:r>
              <w:rPr>
                <w:rFonts w:hint="eastAsia"/>
                <w:b w:val="0"/>
                <w:bCs w:val="0"/>
                <w:color w:val="auto"/>
                <w:highlight w:val="none"/>
              </w:rPr>
              <w:t>八、商品包装、快递包装要求</w:t>
            </w:r>
          </w:p>
          <w:p w14:paraId="335F5AD0">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本项目涉及商品包装和快递包装的，应符合《商品包装政府采购需求标准（试行）》《快递包装政府采购需求标准（试行）》规定，否则按无效响应处理。</w:t>
            </w:r>
          </w:p>
          <w:p w14:paraId="1209265A">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b w:val="0"/>
                <w:bCs w:val="0"/>
                <w:color w:val="auto"/>
                <w:highlight w:val="none"/>
              </w:rPr>
            </w:pPr>
            <w:r>
              <w:rPr>
                <w:rFonts w:hint="eastAsia"/>
                <w:b w:val="0"/>
                <w:bCs w:val="0"/>
                <w:color w:val="auto"/>
                <w:highlight w:val="none"/>
              </w:rPr>
              <w:t>九、绿色建筑、绿色建材政策</w:t>
            </w:r>
          </w:p>
          <w:p w14:paraId="48FD34B8">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lang w:val="en-US" w:eastAsia="zh-CN"/>
              </w:rPr>
            </w:pPr>
            <w:r>
              <w:rPr>
                <w:rFonts w:hint="eastAsia"/>
                <w:b w:val="0"/>
                <w:bCs w:val="0"/>
                <w:color w:val="auto"/>
                <w:highlight w:val="none"/>
                <w:lang w:val="en-US" w:eastAsia="zh-CN"/>
              </w:rPr>
              <w:t>1.涉及《绿色建筑和绿色建材政府采购需求标准》（2025年版）及《山西省财政厅关于进一步加强政府绿色采购有关事项的通知》中规定实施强制采购的品目，供应商所投该品目的产品必须符合相应的强制性绿色标准，并提供有效的认证证书或符合要求的证明材料。若该品目产品未满足强制性要求，则按无效响应处理。</w:t>
            </w:r>
          </w:p>
          <w:p w14:paraId="04D3A71B">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2.</w:t>
            </w:r>
            <w:r>
              <w:rPr>
                <w:rFonts w:hint="eastAsia"/>
                <w:b w:val="0"/>
                <w:bCs w:val="0"/>
                <w:color w:val="auto"/>
                <w:highlight w:val="none"/>
              </w:rPr>
              <w:t>非政策实施项目优先采购绿色建材并给予5%价格扣除。</w:t>
            </w:r>
          </w:p>
          <w:p w14:paraId="03460683">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3.中小微企业可叠加享受政府采购与绿色采购双重优惠。</w:t>
            </w:r>
          </w:p>
          <w:p w14:paraId="1B5297B6">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ascii="宋体" w:hAnsi="宋体" w:eastAsia="宋体" w:cs="Times New Roman"/>
                <w:b w:val="0"/>
                <w:bCs w:val="0"/>
                <w:color w:val="auto"/>
                <w:highlight w:val="none"/>
              </w:rPr>
            </w:pPr>
            <w:r>
              <w:rPr>
                <w:rFonts w:hint="eastAsia" w:ascii="宋体" w:hAnsi="宋体" w:eastAsia="宋体" w:cs="Times New Roman"/>
                <w:b w:val="0"/>
                <w:bCs w:val="0"/>
                <w:color w:val="auto"/>
                <w:highlight w:val="none"/>
              </w:rPr>
              <w:t>十、绿色数据中心政策</w:t>
            </w:r>
          </w:p>
          <w:p w14:paraId="6250CD89">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hint="eastAsia"/>
                <w:b w:val="0"/>
                <w:bCs w:val="0"/>
                <w:color w:val="auto"/>
                <w:highlight w:val="none"/>
              </w:rPr>
            </w:pPr>
            <w:r>
              <w:rPr>
                <w:rFonts w:hint="eastAsia"/>
                <w:b w:val="0"/>
                <w:bCs w:val="0"/>
                <w:color w:val="auto"/>
                <w:highlight w:val="none"/>
                <w:lang w:val="en-US" w:eastAsia="zh-CN"/>
              </w:rPr>
              <w:t>若本项目属于数据中心建设项目，按照《绿色数据中心政府采购需求标准（试行）》执行；采购相关设备、运维服务应有利于节能、环保和资源循环利用，大型、超大型数据中心应全部达到绿色数据中心要求。供应商须如实填写并提交《符合绿色数据中心建设要求承诺书》。</w:t>
            </w:r>
          </w:p>
          <w:p w14:paraId="510C003C">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ascii="宋体" w:hAnsi="宋体" w:eastAsia="宋体" w:cs="Times New Roman"/>
                <w:b w:val="0"/>
                <w:bCs w:val="0"/>
                <w:color w:val="auto"/>
                <w:highlight w:val="none"/>
              </w:rPr>
            </w:pPr>
            <w:r>
              <w:rPr>
                <w:rFonts w:hint="eastAsia" w:ascii="宋体" w:hAnsi="宋体" w:eastAsia="宋体" w:cs="Times New Roman"/>
                <w:b w:val="0"/>
                <w:bCs w:val="0"/>
                <w:color w:val="auto"/>
                <w:highlight w:val="none"/>
              </w:rPr>
              <w:t>十一、欧盟进口产品政策</w:t>
            </w:r>
          </w:p>
          <w:p w14:paraId="447E304F">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both"/>
              <w:textAlignment w:val="baseline"/>
              <w:rPr>
                <w:rFonts w:cs="宋体"/>
                <w:color w:val="auto"/>
                <w:highlight w:val="none"/>
              </w:rPr>
            </w:pPr>
            <w:r>
              <w:rPr>
                <w:rFonts w:hint="eastAsia"/>
                <w:b w:val="0"/>
                <w:bCs w:val="0"/>
                <w:color w:val="auto"/>
                <w:highlight w:val="none"/>
                <w:lang w:val="en-US" w:eastAsia="zh-CN"/>
              </w:rPr>
              <w:t>所投产品涉及自欧盟进口的，按照《财政部关于在政府采购活动中对自欧盟进口的医疗器械采取相关措施的通知》（财库〔2025〕19 号）执行。</w:t>
            </w:r>
          </w:p>
        </w:tc>
      </w:tr>
      <w:tr w14:paraId="5CF7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AC156C">
            <w:pPr>
              <w:pStyle w:val="15"/>
              <w:rPr>
                <w:rFonts w:cs="宋体"/>
                <w:color w:val="auto"/>
                <w:highlight w:val="none"/>
              </w:rPr>
            </w:pPr>
            <w:r>
              <w:rPr>
                <w:rFonts w:hint="eastAsia" w:cs="宋体"/>
                <w:color w:val="auto"/>
                <w:highlight w:val="none"/>
              </w:rPr>
              <w:t>33</w:t>
            </w:r>
          </w:p>
        </w:tc>
        <w:tc>
          <w:tcPr>
            <w:tcW w:w="2365" w:type="dxa"/>
            <w:vAlign w:val="center"/>
          </w:tcPr>
          <w:p w14:paraId="2038A017">
            <w:pPr>
              <w:pStyle w:val="15"/>
              <w:rPr>
                <w:rFonts w:cs="宋体"/>
                <w:color w:val="auto"/>
                <w:highlight w:val="none"/>
                <w:lang w:val="zh-CN"/>
              </w:rPr>
            </w:pPr>
            <w:r>
              <w:rPr>
                <w:rFonts w:cs="宋体"/>
                <w:color w:val="auto"/>
                <w:highlight w:val="none"/>
                <w:lang w:val="zh-CN"/>
              </w:rPr>
              <w:t>需要补充的其他</w:t>
            </w:r>
          </w:p>
          <w:p w14:paraId="0D1D6B08">
            <w:pPr>
              <w:pStyle w:val="15"/>
              <w:rPr>
                <w:rFonts w:cs="宋体"/>
                <w:color w:val="auto"/>
                <w:highlight w:val="none"/>
                <w:lang w:val="zh-CN"/>
              </w:rPr>
            </w:pPr>
            <w:r>
              <w:rPr>
                <w:rFonts w:cs="宋体"/>
                <w:color w:val="auto"/>
                <w:highlight w:val="none"/>
                <w:lang w:val="zh-CN"/>
              </w:rPr>
              <w:t>内容</w:t>
            </w:r>
          </w:p>
        </w:tc>
        <w:tc>
          <w:tcPr>
            <w:tcW w:w="5972" w:type="dxa"/>
            <w:vAlign w:val="center"/>
          </w:tcPr>
          <w:p w14:paraId="7503D997">
            <w:pPr>
              <w:pStyle w:val="15"/>
              <w:jc w:val="left"/>
              <w:rPr>
                <w:rFonts w:hint="eastAsia" w:cs="宋体"/>
                <w:color w:val="auto"/>
                <w:highlight w:val="none"/>
              </w:rPr>
            </w:pPr>
            <w:r>
              <w:rPr>
                <w:rFonts w:hint="eastAsia" w:cs="宋体"/>
                <w:color w:val="auto"/>
                <w:highlight w:val="none"/>
              </w:rPr>
              <w:t>1.全流程电子化采购</w:t>
            </w:r>
          </w:p>
          <w:p w14:paraId="26B8012A">
            <w:pPr>
              <w:pStyle w:val="15"/>
              <w:jc w:val="left"/>
              <w:rPr>
                <w:rFonts w:hint="eastAsia" w:cs="宋体"/>
                <w:color w:val="auto"/>
                <w:highlight w:val="none"/>
              </w:rPr>
            </w:pPr>
            <w:r>
              <w:rPr>
                <w:rFonts w:hint="eastAsia" w:cs="宋体"/>
                <w:color w:val="auto"/>
                <w:highlight w:val="none"/>
              </w:rPr>
              <w:t>⑴本项目采购以全流程电子方式实施，使用的电子交易平台是指：山西省政府采购网“ 山西政府采购平台 ”。</w:t>
            </w:r>
          </w:p>
          <w:p w14:paraId="2010E6DC">
            <w:pPr>
              <w:pStyle w:val="15"/>
              <w:jc w:val="left"/>
              <w:rPr>
                <w:rFonts w:hint="eastAsia" w:cs="宋体"/>
                <w:color w:val="auto"/>
                <w:highlight w:val="none"/>
              </w:rPr>
            </w:pPr>
            <w:r>
              <w:rPr>
                <w:rFonts w:hint="eastAsia" w:cs="宋体"/>
                <w:color w:val="auto"/>
                <w:highlight w:val="none"/>
              </w:rPr>
              <w:t>⑵</w:t>
            </w:r>
            <w:r>
              <w:rPr>
                <w:rFonts w:hint="eastAsia" w:cs="宋体"/>
                <w:color w:val="auto"/>
                <w:highlight w:val="none"/>
                <w:lang w:val="en-US" w:eastAsia="zh-CN"/>
              </w:rPr>
              <w:t>响应</w:t>
            </w:r>
            <w:r>
              <w:rPr>
                <w:rFonts w:hint="eastAsia" w:cs="宋体"/>
                <w:color w:val="auto"/>
                <w:highlight w:val="none"/>
              </w:rPr>
              <w:t>文件采用线上开启方式，</w:t>
            </w:r>
            <w:r>
              <w:rPr>
                <w:rFonts w:hint="eastAsia" w:cs="宋体"/>
                <w:color w:val="auto"/>
                <w:highlight w:val="none"/>
                <w:lang w:val="en-US" w:eastAsia="zh-CN"/>
              </w:rPr>
              <w:t>供应商</w:t>
            </w:r>
            <w:r>
              <w:rPr>
                <w:rFonts w:hint="eastAsia" w:cs="宋体"/>
                <w:color w:val="auto"/>
                <w:highlight w:val="none"/>
              </w:rPr>
              <w:t>需使用编制响应文件时的 CA 数字证书，自行登录电子交易系统进行网上解密。在解密截止时间之内未完成解密的，视为无效。</w:t>
            </w:r>
          </w:p>
          <w:p w14:paraId="33867C90">
            <w:pPr>
              <w:pStyle w:val="15"/>
              <w:jc w:val="left"/>
              <w:rPr>
                <w:rFonts w:hint="eastAsia" w:cs="宋体"/>
                <w:color w:val="auto"/>
                <w:highlight w:val="none"/>
              </w:rPr>
            </w:pPr>
            <w:r>
              <w:rPr>
                <w:rFonts w:hint="eastAsia" w:cs="宋体"/>
                <w:color w:val="auto"/>
                <w:highlight w:val="none"/>
              </w:rPr>
              <w:t>⑶</w:t>
            </w:r>
            <w:r>
              <w:rPr>
                <w:rFonts w:hint="eastAsia" w:cs="宋体"/>
                <w:color w:val="auto"/>
                <w:highlight w:val="none"/>
                <w:lang w:val="en-US" w:eastAsia="zh-CN"/>
              </w:rPr>
              <w:t>供应商</w:t>
            </w:r>
            <w:r>
              <w:rPr>
                <w:rFonts w:hint="eastAsia" w:cs="宋体"/>
                <w:color w:val="auto"/>
                <w:highlight w:val="none"/>
              </w:rPr>
              <w:t>最终报价在电子交易平台上加密提交，并根据要求解密。如涉及分项报价须同时以附件形式上传加盖公章的分项目报价明细表。</w:t>
            </w:r>
          </w:p>
          <w:p w14:paraId="0501B164">
            <w:pPr>
              <w:pStyle w:val="15"/>
              <w:jc w:val="left"/>
              <w:rPr>
                <w:rFonts w:hint="eastAsia" w:cs="宋体"/>
                <w:color w:val="auto"/>
                <w:highlight w:val="none"/>
              </w:rPr>
            </w:pPr>
            <w:r>
              <w:rPr>
                <w:rFonts w:hint="eastAsia" w:cs="宋体"/>
                <w:color w:val="auto"/>
                <w:highlight w:val="none"/>
              </w:rPr>
              <w:t>⑷采购过程中的澄清要求、澄清答复、</w:t>
            </w:r>
            <w:r>
              <w:rPr>
                <w:rFonts w:hint="eastAsia" w:cs="宋体"/>
                <w:color w:val="auto"/>
                <w:highlight w:val="none"/>
                <w:lang w:val="en-US" w:eastAsia="zh-CN"/>
              </w:rPr>
              <w:t>响应</w:t>
            </w:r>
            <w:r>
              <w:rPr>
                <w:rFonts w:hint="eastAsia" w:cs="宋体"/>
                <w:color w:val="auto"/>
                <w:highlight w:val="none"/>
              </w:rPr>
              <w:t>文件修改撤回、询问、质疑等均在电子交易平台线上完成。</w:t>
            </w:r>
            <w:r>
              <w:rPr>
                <w:rFonts w:hint="eastAsia" w:cs="宋体"/>
                <w:color w:val="auto"/>
                <w:highlight w:val="none"/>
                <w:lang w:val="en-US" w:eastAsia="zh-CN"/>
              </w:rPr>
              <w:t>供应商</w:t>
            </w:r>
            <w:r>
              <w:rPr>
                <w:rFonts w:hint="eastAsia" w:cs="宋体"/>
                <w:color w:val="auto"/>
                <w:highlight w:val="none"/>
              </w:rPr>
              <w:t>应及时查看电子交易平台有关该项目的答疑、补遗内容，否则，由此造成的损失自负。</w:t>
            </w:r>
          </w:p>
          <w:p w14:paraId="67D834C2">
            <w:pPr>
              <w:pStyle w:val="15"/>
              <w:jc w:val="left"/>
              <w:rPr>
                <w:rFonts w:hint="eastAsia" w:cs="宋体"/>
                <w:color w:val="auto"/>
                <w:highlight w:val="none"/>
              </w:rPr>
            </w:pPr>
            <w:r>
              <w:rPr>
                <w:rFonts w:hint="eastAsia" w:cs="宋体"/>
                <w:color w:val="auto"/>
                <w:highlight w:val="none"/>
              </w:rPr>
              <w:t>⑸投标供应商在解密自身</w:t>
            </w:r>
            <w:r>
              <w:rPr>
                <w:rFonts w:hint="eastAsia" w:cs="宋体"/>
                <w:color w:val="auto"/>
                <w:highlight w:val="none"/>
                <w:lang w:val="en-US" w:eastAsia="zh-CN"/>
              </w:rPr>
              <w:t>响应</w:t>
            </w:r>
            <w:r>
              <w:rPr>
                <w:rFonts w:hint="eastAsia" w:cs="宋体"/>
                <w:color w:val="auto"/>
                <w:highlight w:val="none"/>
              </w:rPr>
              <w:t>文件后，保持投标终端网络畅通、联系方式畅通即可。如</w:t>
            </w:r>
            <w:r>
              <w:rPr>
                <w:rFonts w:hint="eastAsia" w:cs="宋体"/>
                <w:color w:val="auto"/>
                <w:highlight w:val="none"/>
                <w:lang w:val="en-US" w:eastAsia="zh-CN"/>
              </w:rPr>
              <w:t>磋商小组</w:t>
            </w:r>
            <w:r>
              <w:rPr>
                <w:rFonts w:hint="eastAsia" w:cs="宋体"/>
                <w:color w:val="auto"/>
                <w:highlight w:val="none"/>
              </w:rPr>
              <w:t>需发起询问、澄清或告知，均会通过“政采云 ”系统发起或通过电话通知。</w:t>
            </w:r>
          </w:p>
          <w:p w14:paraId="336A9754">
            <w:pPr>
              <w:pStyle w:val="15"/>
              <w:jc w:val="left"/>
              <w:rPr>
                <w:rFonts w:hint="eastAsia" w:cs="宋体"/>
                <w:color w:val="auto"/>
                <w:highlight w:val="none"/>
              </w:rPr>
            </w:pPr>
            <w:r>
              <w:rPr>
                <w:rFonts w:hint="eastAsia" w:cs="宋体"/>
                <w:color w:val="auto"/>
                <w:highlight w:val="none"/>
              </w:rPr>
              <w:t>2.电子化采购项目视为串通情形的认定，执行《山西省财政厅关于全面推进政府采购全流程电子化工作的通知》（晋财购〔2023〕44 号）文件的规定。</w:t>
            </w:r>
          </w:p>
          <w:p w14:paraId="7D5182C3">
            <w:pPr>
              <w:pStyle w:val="15"/>
              <w:keepNext w:val="0"/>
              <w:keepLines w:val="0"/>
              <w:pageBreakBefore w:val="0"/>
              <w:widowControl w:val="0"/>
              <w:kinsoku/>
              <w:wordWrap w:val="0"/>
              <w:overflowPunct/>
              <w:topLinePunct w:val="0"/>
              <w:autoSpaceDE/>
              <w:autoSpaceDN/>
              <w:bidi w:val="0"/>
              <w:adjustRightInd w:val="0"/>
              <w:snapToGrid/>
              <w:jc w:val="left"/>
              <w:textAlignment w:val="baseline"/>
              <w:rPr>
                <w:rFonts w:cs="宋体"/>
                <w:color w:val="auto"/>
                <w:highlight w:val="none"/>
              </w:rPr>
            </w:pPr>
            <w:r>
              <w:rPr>
                <w:rFonts w:hint="eastAsia" w:cs="宋体"/>
                <w:color w:val="auto"/>
                <w:highlight w:val="none"/>
              </w:rPr>
              <w:t>3.凡符合要求且自愿选择“政采智贷 ”的</w:t>
            </w:r>
            <w:r>
              <w:rPr>
                <w:rFonts w:hint="eastAsia" w:cs="宋体"/>
                <w:color w:val="auto"/>
                <w:highlight w:val="none"/>
                <w:lang w:val="en-US" w:eastAsia="zh-CN"/>
              </w:rPr>
              <w:t>成交</w:t>
            </w:r>
            <w:r>
              <w:rPr>
                <w:rFonts w:hint="eastAsia" w:cs="宋体"/>
                <w:color w:val="auto"/>
                <w:highlight w:val="none"/>
              </w:rPr>
              <w:t xml:space="preserve">供应商，可在“ 中国政府采购网山西分网（山西省政府采购网， </w:t>
            </w:r>
            <w:r>
              <w:rPr>
                <w:rFonts w:hint="eastAsia" w:cs="宋体"/>
                <w:color w:val="auto"/>
                <w:highlight w:val="none"/>
              </w:rPr>
              <w:fldChar w:fldCharType="begin"/>
            </w:r>
            <w:r>
              <w:rPr>
                <w:rFonts w:hint="eastAsia" w:cs="宋体"/>
                <w:color w:val="auto"/>
                <w:highlight w:val="none"/>
              </w:rPr>
              <w:instrText xml:space="preserve"> HYPERLINK "http://www.ccgp-shanxi.gov.cn/" </w:instrText>
            </w:r>
            <w:r>
              <w:rPr>
                <w:rFonts w:hint="eastAsia" w:cs="宋体"/>
                <w:color w:val="auto"/>
                <w:highlight w:val="none"/>
              </w:rPr>
              <w:fldChar w:fldCharType="separate"/>
            </w:r>
            <w:r>
              <w:rPr>
                <w:rFonts w:hint="eastAsia" w:cs="宋体"/>
                <w:color w:val="auto"/>
                <w:highlight w:val="none"/>
              </w:rPr>
              <w:t>http://www.ccgp-shanxi.gov.cn/</w:t>
            </w:r>
            <w:r>
              <w:rPr>
                <w:rFonts w:hint="eastAsia" w:cs="宋体"/>
                <w:color w:val="auto"/>
                <w:highlight w:val="none"/>
              </w:rPr>
              <w:fldChar w:fldCharType="end"/>
            </w:r>
            <w:r>
              <w:rPr>
                <w:rFonts w:hint="eastAsia" w:cs="宋体"/>
                <w:color w:val="auto"/>
                <w:highlight w:val="none"/>
              </w:rPr>
              <w:t>） ”, 点击“政采智贷 ”，进入“ 山西政府采购信用融资平台 ”页面，按照《山西省“政采智贷 ”业务操作指南》办理该项业务。同时，参与“政采智贷 ”的供应商，应严格按照政府采购合同履约，严格按照信贷合同偿还债务。</w:t>
            </w:r>
          </w:p>
        </w:tc>
      </w:tr>
    </w:tbl>
    <w:p w14:paraId="73F97BD8">
      <w:pPr>
        <w:rPr>
          <w:rFonts w:cs="宋体"/>
          <w:color w:val="auto"/>
          <w:highlight w:val="none"/>
        </w:rPr>
      </w:pPr>
      <w:r>
        <w:rPr>
          <w:rFonts w:hint="eastAsia" w:cs="宋体"/>
          <w:color w:val="auto"/>
          <w:highlight w:val="none"/>
        </w:rPr>
        <w:br w:type="page"/>
      </w:r>
    </w:p>
    <w:p w14:paraId="71F8AB20">
      <w:pPr>
        <w:keepNext/>
        <w:keepLines/>
        <w:ind w:firstLine="482" w:firstLineChars="200"/>
        <w:outlineLvl w:val="1"/>
        <w:rPr>
          <w:rFonts w:cs="宋体"/>
          <w:b/>
          <w:color w:val="auto"/>
          <w:highlight w:val="none"/>
        </w:rPr>
      </w:pPr>
      <w:bookmarkStart w:id="6" w:name="_Toc18247"/>
      <w:r>
        <w:rPr>
          <w:rFonts w:hint="eastAsia" w:cs="宋体"/>
          <w:b/>
          <w:color w:val="auto"/>
          <w:highlight w:val="none"/>
        </w:rPr>
        <w:t>一、总则</w:t>
      </w:r>
      <w:bookmarkEnd w:id="6"/>
    </w:p>
    <w:p w14:paraId="4F629EDC">
      <w:pPr>
        <w:rPr>
          <w:rFonts w:cs="宋体"/>
          <w:b/>
          <w:bCs/>
          <w:color w:val="auto"/>
          <w:highlight w:val="none"/>
        </w:rPr>
      </w:pPr>
      <w:r>
        <w:rPr>
          <w:rFonts w:hint="eastAsia" w:cs="宋体"/>
          <w:b/>
          <w:bCs/>
          <w:color w:val="auto"/>
          <w:highlight w:val="none"/>
        </w:rPr>
        <w:t>1、适用范围</w:t>
      </w:r>
    </w:p>
    <w:p w14:paraId="0DE6F0A5">
      <w:pPr>
        <w:ind w:firstLine="480" w:firstLineChars="200"/>
        <w:rPr>
          <w:rFonts w:cs="宋体"/>
          <w:color w:val="auto"/>
          <w:highlight w:val="none"/>
        </w:rPr>
      </w:pPr>
      <w:r>
        <w:rPr>
          <w:rFonts w:hint="eastAsia" w:cs="宋体"/>
          <w:color w:val="auto"/>
          <w:highlight w:val="none"/>
        </w:rPr>
        <w:t>本磋商文件仅适用于本次竞争性磋商活动。</w:t>
      </w:r>
    </w:p>
    <w:p w14:paraId="21C1D649">
      <w:pPr>
        <w:rPr>
          <w:rFonts w:cs="宋体"/>
          <w:b/>
          <w:bCs/>
          <w:color w:val="auto"/>
          <w:highlight w:val="none"/>
        </w:rPr>
      </w:pPr>
      <w:r>
        <w:rPr>
          <w:rFonts w:hint="eastAsia" w:cs="宋体"/>
          <w:b/>
          <w:bCs/>
          <w:color w:val="auto"/>
          <w:highlight w:val="none"/>
        </w:rPr>
        <w:t>2、定义</w:t>
      </w:r>
    </w:p>
    <w:p w14:paraId="0CB3999D">
      <w:pPr>
        <w:ind w:firstLine="480" w:firstLineChars="200"/>
        <w:rPr>
          <w:rFonts w:cs="宋体"/>
          <w:color w:val="auto"/>
          <w:highlight w:val="none"/>
        </w:rPr>
      </w:pPr>
      <w:r>
        <w:rPr>
          <w:rFonts w:hint="eastAsia" w:cs="宋体"/>
          <w:color w:val="auto"/>
          <w:highlight w:val="none"/>
        </w:rPr>
        <w:t>2.1 “采购人”指本次竞争性磋商活动的采购单位。</w:t>
      </w:r>
    </w:p>
    <w:p w14:paraId="1E15DD89">
      <w:pPr>
        <w:ind w:firstLine="480" w:firstLineChars="200"/>
        <w:rPr>
          <w:rFonts w:cs="宋体"/>
          <w:color w:val="auto"/>
          <w:highlight w:val="none"/>
        </w:rPr>
      </w:pPr>
      <w:r>
        <w:rPr>
          <w:rFonts w:hint="eastAsia" w:cs="宋体"/>
          <w:color w:val="auto"/>
          <w:highlight w:val="none"/>
        </w:rPr>
        <w:t>2.2 “采购代理机构”指组织本次竞争性磋商活动的执行机构。</w:t>
      </w:r>
    </w:p>
    <w:p w14:paraId="2800E0EC">
      <w:pPr>
        <w:ind w:firstLine="480" w:firstLineChars="200"/>
        <w:rPr>
          <w:rFonts w:cs="宋体"/>
          <w:color w:val="auto"/>
          <w:highlight w:val="none"/>
        </w:rPr>
      </w:pPr>
      <w:r>
        <w:rPr>
          <w:rFonts w:hint="eastAsia" w:cs="宋体"/>
          <w:color w:val="auto"/>
          <w:highlight w:val="none"/>
        </w:rPr>
        <w:t>2.3 “供应商”指符合本磋商文件的规定和要求，受邀请获得磋商文件参加磋商，并向采购代理机构提交响应文件的供应商。</w:t>
      </w:r>
    </w:p>
    <w:p w14:paraId="6219B668">
      <w:pPr>
        <w:ind w:firstLine="480" w:firstLineChars="200"/>
        <w:rPr>
          <w:rFonts w:cs="宋体"/>
          <w:color w:val="auto"/>
          <w:highlight w:val="none"/>
        </w:rPr>
      </w:pPr>
      <w:r>
        <w:rPr>
          <w:rFonts w:hint="eastAsia" w:cs="宋体"/>
          <w:color w:val="auto"/>
          <w:highlight w:val="none"/>
        </w:rPr>
        <w:t>2.4 “货物”指供应商按磋商文件的规定，须向采购人提供的各种形态和种类的物品及其它有关技术资料和材料。</w:t>
      </w:r>
    </w:p>
    <w:p w14:paraId="7ADD1A18">
      <w:pPr>
        <w:ind w:firstLine="480" w:firstLineChars="200"/>
        <w:rPr>
          <w:rFonts w:cs="宋体"/>
          <w:color w:val="auto"/>
          <w:highlight w:val="none"/>
        </w:rPr>
      </w:pPr>
      <w:r>
        <w:rPr>
          <w:rFonts w:hint="eastAsia" w:cs="宋体"/>
          <w:color w:val="auto"/>
          <w:highlight w:val="none"/>
        </w:rPr>
        <w:t>2.5 “服务”指磋商文件规定的供应商须向采购人提供的服务和应当履行的承诺和义务。</w:t>
      </w:r>
    </w:p>
    <w:p w14:paraId="175A335D">
      <w:pPr>
        <w:ind w:firstLine="480" w:firstLineChars="200"/>
        <w:rPr>
          <w:rFonts w:cs="宋体"/>
          <w:color w:val="auto"/>
          <w:highlight w:val="none"/>
        </w:rPr>
      </w:pPr>
      <w:r>
        <w:rPr>
          <w:rFonts w:hint="eastAsia" w:cs="宋体"/>
          <w:color w:val="auto"/>
          <w:highlight w:val="none"/>
        </w:rPr>
        <w:t>2.6 “工程”指本磋商文件所述建设工程。</w:t>
      </w:r>
    </w:p>
    <w:p w14:paraId="14FF627A">
      <w:pPr>
        <w:ind w:firstLine="480" w:firstLineChars="200"/>
        <w:rPr>
          <w:rFonts w:cs="宋体"/>
          <w:color w:val="auto"/>
          <w:highlight w:val="none"/>
        </w:rPr>
      </w:pPr>
      <w:r>
        <w:rPr>
          <w:rFonts w:hint="eastAsia" w:cs="宋体"/>
          <w:color w:val="auto"/>
          <w:highlight w:val="none"/>
        </w:rPr>
        <w:t>2.7 本磋商文件各部分规定的期间以时、日、月、年计算。期间开始的时和日，不计算在期间内。</w:t>
      </w:r>
    </w:p>
    <w:p w14:paraId="7AAEFE0D">
      <w:pPr>
        <w:rPr>
          <w:rFonts w:cs="宋体"/>
          <w:b/>
          <w:bCs/>
          <w:color w:val="auto"/>
          <w:highlight w:val="none"/>
        </w:rPr>
      </w:pPr>
      <w:r>
        <w:rPr>
          <w:rFonts w:hint="eastAsia" w:cs="宋体"/>
          <w:b/>
          <w:bCs/>
          <w:color w:val="auto"/>
          <w:highlight w:val="none"/>
        </w:rPr>
        <w:t>3、合格供应商的资格条件</w:t>
      </w:r>
    </w:p>
    <w:p w14:paraId="53E97CE4">
      <w:pPr>
        <w:ind w:firstLine="480" w:firstLineChars="200"/>
        <w:rPr>
          <w:rFonts w:cs="宋体"/>
          <w:color w:val="auto"/>
          <w:highlight w:val="none"/>
        </w:rPr>
      </w:pPr>
      <w:r>
        <w:rPr>
          <w:rFonts w:hint="eastAsia" w:cs="宋体"/>
          <w:color w:val="auto"/>
          <w:highlight w:val="none"/>
        </w:rPr>
        <w:t>3.1 具有本项目生产、制造、供应及/或实施能力，符合、承认并承诺履行本磋商文件各项规定的国内供应商。</w:t>
      </w:r>
    </w:p>
    <w:p w14:paraId="2ECF2703">
      <w:pPr>
        <w:ind w:firstLine="480" w:firstLineChars="200"/>
        <w:rPr>
          <w:rFonts w:cs="宋体"/>
          <w:color w:val="auto"/>
          <w:highlight w:val="none"/>
        </w:rPr>
      </w:pPr>
      <w:r>
        <w:rPr>
          <w:rFonts w:hint="eastAsia" w:cs="宋体"/>
          <w:color w:val="auto"/>
          <w:highlight w:val="none"/>
        </w:rPr>
        <w:t>3.2 供应商必须是已在中国境内依法登记注册，并持有符合法律法规规定的有效证件的供应商。</w:t>
      </w:r>
    </w:p>
    <w:p w14:paraId="2A19D4DC">
      <w:pPr>
        <w:ind w:firstLine="480" w:firstLineChars="200"/>
        <w:rPr>
          <w:rFonts w:cs="宋体"/>
          <w:color w:val="auto"/>
          <w:highlight w:val="none"/>
        </w:rPr>
      </w:pPr>
      <w:r>
        <w:rPr>
          <w:rFonts w:hint="eastAsia" w:cs="宋体"/>
          <w:color w:val="auto"/>
          <w:highlight w:val="none"/>
        </w:rPr>
        <w:t>3.3 具备《中华人民共和国政府采购法》第二十二条第一款规定的条件和本项目所需的特定资格条件及有关法律、法规关于供应商的规定，有能力提供磋商采购货物/服务/工程的供应商。并按照《中华人民共和国政府采购法实施条例》第十七条的规定，提供资格证明文件，具体提供的材料详见供应商须知前附表的要求。</w:t>
      </w:r>
    </w:p>
    <w:p w14:paraId="50451A6C">
      <w:pPr>
        <w:ind w:firstLine="480" w:firstLineChars="200"/>
        <w:rPr>
          <w:rFonts w:cs="宋体"/>
          <w:color w:val="auto"/>
          <w:highlight w:val="none"/>
        </w:rPr>
      </w:pPr>
      <w:r>
        <w:rPr>
          <w:rFonts w:hint="eastAsia" w:cs="宋体"/>
          <w:color w:val="auto"/>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36C125B">
      <w:pPr>
        <w:ind w:firstLine="480" w:firstLineChars="200"/>
        <w:rPr>
          <w:rFonts w:cs="宋体"/>
          <w:color w:val="auto"/>
          <w:highlight w:val="none"/>
        </w:rPr>
      </w:pPr>
      <w:r>
        <w:rPr>
          <w:rFonts w:hint="eastAsia" w:cs="宋体"/>
          <w:color w:val="auto"/>
          <w:highlight w:val="none"/>
        </w:rPr>
        <w:t>3.5 本次采购是否允许由两个或两个以上供应商组成一个联合体以一个供应商身份共同参加磋商，详见供应商须知前附表的规定。</w:t>
      </w:r>
    </w:p>
    <w:p w14:paraId="71B92E6D">
      <w:pPr>
        <w:ind w:firstLine="480" w:firstLineChars="200"/>
        <w:rPr>
          <w:rFonts w:cs="宋体"/>
          <w:color w:val="auto"/>
          <w:highlight w:val="none"/>
        </w:rPr>
      </w:pPr>
      <w:r>
        <w:rPr>
          <w:rFonts w:hint="eastAsia" w:cs="宋体"/>
          <w:color w:val="auto"/>
          <w:highlight w:val="none"/>
        </w:rPr>
        <w:t>3.5.1 联合体各方均应当符合《政府采购法》第二十二条规定的条件，联合体各方均应按照本部分3.3条的要求提供相关材料。</w:t>
      </w:r>
    </w:p>
    <w:p w14:paraId="7C5E781C">
      <w:pPr>
        <w:ind w:firstLine="480" w:firstLineChars="200"/>
        <w:rPr>
          <w:rFonts w:cs="宋体"/>
          <w:color w:val="auto"/>
          <w:highlight w:val="none"/>
        </w:rPr>
      </w:pPr>
      <w:r>
        <w:rPr>
          <w:rFonts w:hint="eastAsia" w:cs="宋体"/>
          <w:color w:val="auto"/>
          <w:highlight w:val="none"/>
        </w:rPr>
        <w:t>3.5.2 本项目的特殊要求规定供应商特定资格条件的，联合体各方的同类资质按照资质等级较低的确定联合体资质等级。联合体各方不得再单独参加或者与其他供应商另外组成联合体参加本项目同一包的报价。</w:t>
      </w:r>
    </w:p>
    <w:p w14:paraId="4F74E2B2">
      <w:pPr>
        <w:ind w:firstLine="480" w:firstLineChars="200"/>
        <w:rPr>
          <w:rFonts w:cs="宋体"/>
          <w:color w:val="auto"/>
          <w:highlight w:val="none"/>
        </w:rPr>
      </w:pPr>
      <w:r>
        <w:rPr>
          <w:rFonts w:hint="eastAsia" w:cs="宋体"/>
          <w:color w:val="auto"/>
          <w:highlight w:val="none"/>
        </w:rPr>
        <w:t>3.5.3 联合体各方之间应当签订联合体协议书，明确约定联合体各方承担的工作和相应的责任，并将联合体协议书连同响应文件一并提交。</w:t>
      </w:r>
    </w:p>
    <w:p w14:paraId="68F647BA">
      <w:pPr>
        <w:rPr>
          <w:rFonts w:cs="宋体"/>
          <w:b/>
          <w:bCs/>
          <w:color w:val="auto"/>
          <w:highlight w:val="none"/>
        </w:rPr>
      </w:pPr>
      <w:r>
        <w:rPr>
          <w:rFonts w:hint="eastAsia" w:cs="宋体"/>
          <w:b/>
          <w:bCs/>
          <w:color w:val="auto"/>
          <w:highlight w:val="none"/>
        </w:rPr>
        <w:t>4、竞争性磋商费用</w:t>
      </w:r>
    </w:p>
    <w:p w14:paraId="5D67DCD4">
      <w:pPr>
        <w:ind w:firstLine="480" w:firstLineChars="200"/>
        <w:rPr>
          <w:rFonts w:cs="宋体"/>
          <w:color w:val="auto"/>
          <w:highlight w:val="none"/>
        </w:rPr>
      </w:pPr>
      <w:r>
        <w:rPr>
          <w:rFonts w:hint="eastAsia" w:cs="宋体"/>
          <w:color w:val="auto"/>
          <w:highlight w:val="none"/>
        </w:rPr>
        <w:t>供应商应当承担参与本次磋商活动发生的相关费用，采购代理机构和采购人在任何情况下均无义务和责任承担这些费用。</w:t>
      </w:r>
    </w:p>
    <w:p w14:paraId="3C78BC63">
      <w:pPr>
        <w:rPr>
          <w:rFonts w:cs="宋体"/>
          <w:b/>
          <w:bCs/>
          <w:color w:val="auto"/>
          <w:highlight w:val="none"/>
        </w:rPr>
      </w:pPr>
      <w:r>
        <w:rPr>
          <w:rFonts w:hint="eastAsia" w:cs="宋体"/>
          <w:b/>
          <w:bCs/>
          <w:color w:val="auto"/>
          <w:highlight w:val="none"/>
        </w:rPr>
        <w:t>5、通知</w:t>
      </w:r>
    </w:p>
    <w:p w14:paraId="785AF2E6">
      <w:pPr>
        <w:ind w:firstLine="480" w:firstLineChars="200"/>
        <w:rPr>
          <w:rFonts w:cs="宋体"/>
          <w:color w:val="auto"/>
          <w:highlight w:val="none"/>
        </w:rPr>
      </w:pPr>
      <w:r>
        <w:rPr>
          <w:rFonts w:hint="eastAsia" w:cs="宋体"/>
          <w:color w:val="auto"/>
          <w:highlight w:val="none"/>
        </w:rPr>
        <w:t>对与本项目有关的通知，采购代理机构将以书面(包括书面材料、信函、传真、电子邮件等，下同)或以在本次竞争性磋商公告刊登的媒体上发布公告的形式送达所有已登记并领取了磋商文件的供应商，联系方式以供应商的登记为准。因登记有误或传真线路故障导致通知延迟送达或无法送达，采购代理机构将不承担责任。</w:t>
      </w:r>
    </w:p>
    <w:p w14:paraId="3098C419">
      <w:pPr>
        <w:keepNext/>
        <w:keepLines/>
        <w:ind w:firstLine="482" w:firstLineChars="200"/>
        <w:outlineLvl w:val="1"/>
        <w:rPr>
          <w:rFonts w:cs="宋体"/>
          <w:b/>
          <w:color w:val="auto"/>
          <w:highlight w:val="none"/>
        </w:rPr>
      </w:pPr>
      <w:bookmarkStart w:id="7" w:name="_Toc10365"/>
      <w:bookmarkStart w:id="8" w:name="_Toc424555842"/>
      <w:bookmarkStart w:id="9" w:name="_Toc5650"/>
      <w:bookmarkStart w:id="10" w:name="_Toc29960"/>
      <w:r>
        <w:rPr>
          <w:rFonts w:hint="eastAsia" w:cs="宋体"/>
          <w:b/>
          <w:color w:val="auto"/>
          <w:highlight w:val="none"/>
        </w:rPr>
        <w:t>二、磋商文件</w:t>
      </w:r>
      <w:bookmarkEnd w:id="7"/>
      <w:bookmarkEnd w:id="8"/>
      <w:bookmarkEnd w:id="9"/>
      <w:bookmarkEnd w:id="10"/>
    </w:p>
    <w:p w14:paraId="2DD4242C">
      <w:pPr>
        <w:rPr>
          <w:rFonts w:cs="宋体"/>
          <w:b/>
          <w:bCs/>
          <w:color w:val="auto"/>
          <w:highlight w:val="none"/>
        </w:rPr>
      </w:pPr>
      <w:r>
        <w:rPr>
          <w:rFonts w:hint="eastAsia" w:cs="宋体"/>
          <w:b/>
          <w:bCs/>
          <w:color w:val="auto"/>
          <w:highlight w:val="none"/>
        </w:rPr>
        <w:t>6、磋商文件的内容</w:t>
      </w:r>
    </w:p>
    <w:p w14:paraId="1CAF2813">
      <w:pPr>
        <w:ind w:firstLine="480" w:firstLineChars="200"/>
        <w:rPr>
          <w:rFonts w:cs="宋体"/>
          <w:color w:val="auto"/>
          <w:highlight w:val="none"/>
        </w:rPr>
      </w:pPr>
      <w:r>
        <w:rPr>
          <w:rFonts w:hint="eastAsia" w:cs="宋体"/>
          <w:color w:val="auto"/>
          <w:highlight w:val="none"/>
        </w:rPr>
        <w:t>6.1 磋商文件由下列八部分内容组成：</w:t>
      </w:r>
    </w:p>
    <w:p w14:paraId="3FD60F60">
      <w:pPr>
        <w:ind w:firstLine="480" w:firstLineChars="200"/>
        <w:rPr>
          <w:rFonts w:cs="宋体"/>
          <w:color w:val="auto"/>
          <w:highlight w:val="none"/>
        </w:rPr>
      </w:pPr>
      <w:r>
        <w:rPr>
          <w:rFonts w:hint="eastAsia" w:cs="宋体"/>
          <w:color w:val="auto"/>
          <w:highlight w:val="none"/>
        </w:rPr>
        <w:t>第一部分  竞争性磋商公告</w:t>
      </w:r>
    </w:p>
    <w:p w14:paraId="7225E710">
      <w:pPr>
        <w:ind w:firstLine="480" w:firstLineChars="200"/>
        <w:rPr>
          <w:rFonts w:cs="宋体"/>
          <w:color w:val="auto"/>
          <w:highlight w:val="none"/>
        </w:rPr>
      </w:pPr>
      <w:r>
        <w:rPr>
          <w:rFonts w:hint="eastAsia" w:cs="宋体"/>
          <w:color w:val="auto"/>
          <w:highlight w:val="none"/>
        </w:rPr>
        <w:t xml:space="preserve">第二部分  </w:t>
      </w:r>
      <w:r>
        <w:rPr>
          <w:color w:val="auto"/>
          <w:highlight w:val="none"/>
        </w:rPr>
        <w:fldChar w:fldCharType="begin"/>
      </w:r>
      <w:r>
        <w:rPr>
          <w:color w:val="auto"/>
          <w:highlight w:val="none"/>
        </w:rPr>
        <w:instrText xml:space="preserve"> HYPERLINK \l "_Toc6530" </w:instrText>
      </w:r>
      <w:r>
        <w:rPr>
          <w:color w:val="auto"/>
          <w:highlight w:val="none"/>
        </w:rPr>
        <w:fldChar w:fldCharType="separate"/>
      </w:r>
      <w:r>
        <w:rPr>
          <w:rFonts w:hint="eastAsia" w:cs="宋体"/>
          <w:color w:val="auto"/>
          <w:highlight w:val="none"/>
        </w:rPr>
        <w:t>供应商须知</w:t>
      </w:r>
      <w:r>
        <w:rPr>
          <w:rFonts w:hint="eastAsia" w:cs="宋体"/>
          <w:color w:val="auto"/>
          <w:highlight w:val="none"/>
        </w:rPr>
        <w:fldChar w:fldCharType="end"/>
      </w:r>
    </w:p>
    <w:p w14:paraId="037A9280">
      <w:pPr>
        <w:ind w:firstLine="480" w:firstLineChars="200"/>
        <w:rPr>
          <w:rFonts w:cs="宋体"/>
          <w:color w:val="auto"/>
          <w:highlight w:val="none"/>
        </w:rPr>
      </w:pPr>
      <w:r>
        <w:rPr>
          <w:rFonts w:hint="eastAsia" w:cs="宋体"/>
          <w:color w:val="auto"/>
          <w:highlight w:val="none"/>
        </w:rPr>
        <w:t>第三部分  资格性、符合性评审标准</w:t>
      </w:r>
    </w:p>
    <w:p w14:paraId="396269CE">
      <w:pPr>
        <w:ind w:firstLine="480" w:firstLineChars="200"/>
        <w:rPr>
          <w:rFonts w:cs="宋体"/>
          <w:color w:val="auto"/>
          <w:highlight w:val="none"/>
        </w:rPr>
      </w:pPr>
      <w:r>
        <w:rPr>
          <w:rFonts w:hint="eastAsia" w:cs="宋体"/>
          <w:color w:val="auto"/>
          <w:highlight w:val="none"/>
        </w:rPr>
        <w:t>第四部分  评分办法</w:t>
      </w:r>
    </w:p>
    <w:p w14:paraId="64F5A30B">
      <w:pPr>
        <w:ind w:firstLine="480" w:firstLineChars="200"/>
        <w:rPr>
          <w:rFonts w:cs="宋体"/>
          <w:color w:val="auto"/>
          <w:highlight w:val="none"/>
        </w:rPr>
      </w:pPr>
      <w:r>
        <w:rPr>
          <w:rFonts w:hint="eastAsia" w:cs="宋体"/>
          <w:color w:val="auto"/>
          <w:highlight w:val="none"/>
        </w:rPr>
        <w:t>第五部分  商务、技术要求</w:t>
      </w:r>
    </w:p>
    <w:p w14:paraId="215EDE0D">
      <w:pPr>
        <w:ind w:firstLine="480" w:firstLineChars="200"/>
        <w:rPr>
          <w:rFonts w:cs="宋体"/>
          <w:color w:val="auto"/>
          <w:highlight w:val="none"/>
        </w:rPr>
      </w:pPr>
      <w:r>
        <w:rPr>
          <w:rFonts w:hint="eastAsia" w:cs="宋体"/>
          <w:color w:val="auto"/>
          <w:highlight w:val="none"/>
        </w:rPr>
        <w:t>第六部分  合同协议书</w:t>
      </w:r>
    </w:p>
    <w:p w14:paraId="16B2E4DD">
      <w:pPr>
        <w:ind w:firstLine="480" w:firstLineChars="200"/>
        <w:rPr>
          <w:rFonts w:cs="宋体"/>
          <w:color w:val="auto"/>
          <w:highlight w:val="none"/>
        </w:rPr>
      </w:pPr>
      <w:r>
        <w:rPr>
          <w:rFonts w:hint="eastAsia" w:cs="宋体"/>
          <w:color w:val="auto"/>
          <w:highlight w:val="none"/>
        </w:rPr>
        <w:t>第七部分  响应文件格式</w:t>
      </w:r>
    </w:p>
    <w:p w14:paraId="6AC93C2C">
      <w:pPr>
        <w:ind w:firstLine="480" w:firstLineChars="200"/>
        <w:rPr>
          <w:rFonts w:cs="宋体"/>
          <w:color w:val="auto"/>
          <w:highlight w:val="none"/>
        </w:rPr>
      </w:pPr>
      <w:r>
        <w:rPr>
          <w:rFonts w:hint="eastAsia" w:cs="宋体"/>
          <w:color w:val="auto"/>
          <w:highlight w:val="none"/>
        </w:rPr>
        <w:t>6.2 磋商文件中落实政府采购政策的相关要求详见供应商须知前附表的规定。</w:t>
      </w:r>
    </w:p>
    <w:p w14:paraId="719861D0">
      <w:pPr>
        <w:ind w:firstLine="480" w:firstLineChars="200"/>
        <w:rPr>
          <w:rFonts w:cs="宋体"/>
          <w:color w:val="auto"/>
          <w:highlight w:val="none"/>
        </w:rPr>
      </w:pPr>
      <w:r>
        <w:rPr>
          <w:rFonts w:hint="eastAsia" w:cs="宋体"/>
          <w:color w:val="auto"/>
          <w:highlight w:val="none"/>
        </w:rPr>
        <w:t>6.3 供应商信用信息查询渠道及截止时点、信用信息查询记录和证据留存的具体方式、信用信息的使用规则等的相关要求详见供应商须知前附表的规定。</w:t>
      </w:r>
    </w:p>
    <w:p w14:paraId="02727DDB">
      <w:pPr>
        <w:ind w:firstLine="480" w:firstLineChars="200"/>
        <w:rPr>
          <w:rFonts w:cs="宋体"/>
          <w:color w:val="auto"/>
          <w:highlight w:val="none"/>
        </w:rPr>
      </w:pPr>
      <w:r>
        <w:rPr>
          <w:rFonts w:hint="eastAsia" w:cs="宋体"/>
          <w:color w:val="auto"/>
          <w:highlight w:val="none"/>
        </w:rPr>
        <w:t>6.4 除非特殊要求，磋商文件不单独提供采购项目使用地的自然环境、气候条件、公用设施情况，供应商被视为熟悉上述与履行合同有关的一切情况。</w:t>
      </w:r>
    </w:p>
    <w:p w14:paraId="16BD26BE">
      <w:pPr>
        <w:ind w:firstLine="480" w:firstLineChars="200"/>
        <w:rPr>
          <w:rFonts w:cs="宋体"/>
          <w:color w:val="auto"/>
          <w:highlight w:val="none"/>
        </w:rPr>
      </w:pPr>
      <w:r>
        <w:rPr>
          <w:rFonts w:hint="eastAsia" w:cs="宋体"/>
          <w:color w:val="auto"/>
          <w:highlight w:val="none"/>
        </w:rPr>
        <w:t>6.5 磋商文件的解释权归采购代理机构所有。当对一个问题有多种解释时以采购代理机构解释为准。</w:t>
      </w:r>
    </w:p>
    <w:p w14:paraId="30CBFF56">
      <w:pPr>
        <w:ind w:firstLine="480" w:firstLineChars="200"/>
        <w:rPr>
          <w:rFonts w:cs="宋体"/>
          <w:color w:val="auto"/>
          <w:highlight w:val="none"/>
        </w:rPr>
      </w:pPr>
      <w:r>
        <w:rPr>
          <w:rFonts w:hint="eastAsia" w:cs="宋体"/>
          <w:color w:val="auto"/>
          <w:highlight w:val="none"/>
        </w:rPr>
        <w:t>6.6 磋商文件未作须知明示，而又有法律、法规规定的，采购代理机构将依据法律法规的规定进行解释。</w:t>
      </w:r>
    </w:p>
    <w:p w14:paraId="39E29F85">
      <w:pPr>
        <w:rPr>
          <w:rFonts w:cs="宋体"/>
          <w:b/>
          <w:bCs/>
          <w:color w:val="auto"/>
          <w:highlight w:val="none"/>
        </w:rPr>
      </w:pPr>
      <w:r>
        <w:rPr>
          <w:rFonts w:hint="eastAsia" w:cs="宋体"/>
          <w:b/>
          <w:bCs/>
          <w:color w:val="auto"/>
          <w:highlight w:val="none"/>
        </w:rPr>
        <w:t>7、磋商文件的澄清和修改</w:t>
      </w:r>
    </w:p>
    <w:p w14:paraId="1A114B43">
      <w:pPr>
        <w:ind w:firstLine="480" w:firstLineChars="200"/>
        <w:rPr>
          <w:rFonts w:cs="宋体"/>
          <w:color w:val="auto"/>
          <w:highlight w:val="none"/>
        </w:rPr>
      </w:pPr>
      <w:r>
        <w:rPr>
          <w:rFonts w:hint="eastAsia" w:cs="宋体"/>
          <w:color w:val="auto"/>
          <w:highlight w:val="none"/>
        </w:rPr>
        <w:t>7.1 提交首次响应文件截止之日前，采购人、采购代理机构或者磋商小组可以对已发出的磋商文件进行必要的澄清或者修改，澄清或者修改的内容作为磋商文件的组成部分。</w:t>
      </w:r>
    </w:p>
    <w:p w14:paraId="64E37AF9">
      <w:pPr>
        <w:ind w:firstLine="480" w:firstLineChars="200"/>
        <w:rPr>
          <w:rFonts w:cs="宋体"/>
          <w:color w:val="auto"/>
          <w:highlight w:val="none"/>
        </w:rPr>
      </w:pPr>
      <w:r>
        <w:rPr>
          <w:rFonts w:hint="eastAsia" w:cs="宋体"/>
          <w:color w:val="auto"/>
          <w:highlight w:val="none"/>
        </w:rPr>
        <w:t>7.2 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E66DB53">
      <w:pPr>
        <w:ind w:firstLine="480" w:firstLineChars="200"/>
        <w:rPr>
          <w:rFonts w:cs="宋体"/>
          <w:color w:val="auto"/>
          <w:highlight w:val="none"/>
        </w:rPr>
      </w:pPr>
      <w:r>
        <w:rPr>
          <w:rFonts w:hint="eastAsia" w:cs="宋体"/>
          <w:color w:val="auto"/>
          <w:highlight w:val="none"/>
        </w:rPr>
        <w:t>7.3 供应商对磋商文件有疑问，可要求澄清，按磋商文件中载明的地址以书面形式通知到采购代理机构。采购代理机构将视情况确定采用适当方式予以澄清或以书面形式予以答复，并认为必要时，将不标明查询来源的书面答复发给已获取磋商文件的所有供应商。</w:t>
      </w:r>
    </w:p>
    <w:p w14:paraId="5C90893A">
      <w:pPr>
        <w:ind w:firstLine="480" w:firstLineChars="200"/>
        <w:rPr>
          <w:rFonts w:cs="宋体"/>
          <w:color w:val="auto"/>
          <w:highlight w:val="none"/>
        </w:rPr>
      </w:pPr>
      <w:r>
        <w:rPr>
          <w:rFonts w:hint="eastAsia" w:cs="宋体"/>
          <w:color w:val="auto"/>
          <w:highlight w:val="none"/>
        </w:rPr>
        <w:t>7.4 采购人、采购代理机构可以视采购项目的具体情况，组织供应商进行现场考察或召开磋商前答疑会，但不得单独或分别组织只有一个供应商参加的现场考察和答疑会。</w:t>
      </w:r>
    </w:p>
    <w:p w14:paraId="3B9399F3">
      <w:pPr>
        <w:keepNext/>
        <w:keepLines/>
        <w:ind w:firstLine="482" w:firstLineChars="200"/>
        <w:outlineLvl w:val="1"/>
        <w:rPr>
          <w:rFonts w:cs="宋体"/>
          <w:b/>
          <w:color w:val="auto"/>
          <w:highlight w:val="none"/>
        </w:rPr>
      </w:pPr>
      <w:bookmarkStart w:id="11" w:name="_Toc1060"/>
      <w:bookmarkStart w:id="12" w:name="_Toc31622"/>
      <w:bookmarkStart w:id="13" w:name="_Toc10803"/>
      <w:bookmarkStart w:id="14" w:name="_Toc424378687"/>
      <w:bookmarkStart w:id="15" w:name="_Toc352761932"/>
      <w:bookmarkStart w:id="16" w:name="_Toc28439"/>
      <w:bookmarkStart w:id="17" w:name="_Toc10830"/>
      <w:bookmarkStart w:id="18" w:name="_Toc11346"/>
      <w:bookmarkStart w:id="19" w:name="_Toc493575822"/>
      <w:r>
        <w:rPr>
          <w:rFonts w:hint="eastAsia" w:cs="宋体"/>
          <w:b/>
          <w:color w:val="auto"/>
          <w:highlight w:val="none"/>
        </w:rPr>
        <w:t>三、响应文件</w:t>
      </w:r>
      <w:bookmarkEnd w:id="11"/>
      <w:bookmarkEnd w:id="12"/>
      <w:bookmarkEnd w:id="13"/>
      <w:bookmarkEnd w:id="14"/>
      <w:bookmarkEnd w:id="15"/>
      <w:bookmarkEnd w:id="16"/>
      <w:bookmarkEnd w:id="17"/>
      <w:bookmarkEnd w:id="18"/>
      <w:bookmarkEnd w:id="19"/>
    </w:p>
    <w:p w14:paraId="798750C8">
      <w:pPr>
        <w:rPr>
          <w:rFonts w:cs="宋体"/>
          <w:b/>
          <w:bCs/>
          <w:color w:val="auto"/>
          <w:highlight w:val="none"/>
        </w:rPr>
      </w:pPr>
      <w:r>
        <w:rPr>
          <w:rFonts w:hint="eastAsia" w:cs="宋体"/>
          <w:b/>
          <w:bCs/>
          <w:color w:val="auto"/>
          <w:highlight w:val="none"/>
        </w:rPr>
        <w:t>8、响应文件的语言和计量单位</w:t>
      </w:r>
    </w:p>
    <w:p w14:paraId="4EF42DE2">
      <w:pPr>
        <w:ind w:firstLine="480" w:firstLineChars="200"/>
        <w:rPr>
          <w:rFonts w:cs="宋体"/>
          <w:color w:val="auto"/>
          <w:highlight w:val="none"/>
        </w:rPr>
      </w:pPr>
      <w:r>
        <w:rPr>
          <w:rFonts w:hint="eastAsia" w:cs="宋体"/>
          <w:color w:val="auto"/>
          <w:highlight w:val="none"/>
        </w:rPr>
        <w:t>8.1 供应商提交的响应文件（包括技术文件和资料、图纸中的说明）以及供应商与采购代理机构就有关磋商的所有来往函电均应使用中文简体字。外文资料必须提供中文译文，并保持与原文一致，否则，产生的不利后果由供应商承担。</w:t>
      </w:r>
    </w:p>
    <w:p w14:paraId="540E36D7">
      <w:pPr>
        <w:ind w:firstLine="480" w:firstLineChars="200"/>
        <w:rPr>
          <w:rFonts w:cs="宋体"/>
          <w:color w:val="auto"/>
          <w:highlight w:val="none"/>
        </w:rPr>
      </w:pPr>
      <w:r>
        <w:rPr>
          <w:rFonts w:hint="eastAsia" w:cs="宋体"/>
          <w:color w:val="auto"/>
          <w:highlight w:val="none"/>
        </w:rPr>
        <w:t>8.2 响应文件所使用的计量单位，必须使用国家法定计量单位。</w:t>
      </w:r>
    </w:p>
    <w:p w14:paraId="673EF2C2">
      <w:pPr>
        <w:rPr>
          <w:rFonts w:cs="宋体"/>
          <w:b/>
          <w:bCs/>
          <w:color w:val="auto"/>
          <w:highlight w:val="none"/>
        </w:rPr>
      </w:pPr>
      <w:r>
        <w:rPr>
          <w:rFonts w:hint="eastAsia" w:cs="宋体"/>
          <w:b/>
          <w:bCs/>
          <w:color w:val="auto"/>
          <w:highlight w:val="none"/>
        </w:rPr>
        <w:t>9、响应文件的组成及相关要求</w:t>
      </w:r>
    </w:p>
    <w:p w14:paraId="0B575FB8">
      <w:pPr>
        <w:snapToGrid w:val="0"/>
        <w:ind w:firstLine="482" w:firstLineChars="200"/>
        <w:rPr>
          <w:rFonts w:cs="宋体"/>
          <w:b/>
          <w:bCs/>
          <w:color w:val="auto"/>
          <w:szCs w:val="24"/>
          <w:highlight w:val="none"/>
        </w:rPr>
      </w:pPr>
      <w:r>
        <w:rPr>
          <w:rFonts w:hint="eastAsia" w:cs="宋体"/>
          <w:b/>
          <w:bCs/>
          <w:color w:val="auto"/>
          <w:szCs w:val="24"/>
          <w:highlight w:val="none"/>
        </w:rPr>
        <w:t>9.1响应文件分为资格证明文件、商务技术文件两部分组成。</w:t>
      </w:r>
    </w:p>
    <w:p w14:paraId="6202CA8B">
      <w:pPr>
        <w:snapToGrid w:val="0"/>
        <w:ind w:firstLine="480" w:firstLineChars="200"/>
        <w:rPr>
          <w:rFonts w:cs="宋体"/>
          <w:color w:val="auto"/>
          <w:szCs w:val="24"/>
          <w:highlight w:val="none"/>
        </w:rPr>
      </w:pPr>
      <w:r>
        <w:rPr>
          <w:rFonts w:hint="eastAsia" w:cs="宋体"/>
          <w:color w:val="auto"/>
          <w:szCs w:val="24"/>
          <w:highlight w:val="none"/>
        </w:rPr>
        <w:t>资格证明文件：指供应商提交的证明其有资格参加磋商的文件。</w:t>
      </w:r>
    </w:p>
    <w:p w14:paraId="7AE2A485">
      <w:pPr>
        <w:snapToGrid w:val="0"/>
        <w:ind w:firstLine="480" w:firstLineChars="200"/>
        <w:rPr>
          <w:rFonts w:cs="宋体"/>
          <w:color w:val="auto"/>
          <w:szCs w:val="24"/>
          <w:highlight w:val="none"/>
        </w:rPr>
      </w:pPr>
      <w:r>
        <w:rPr>
          <w:rFonts w:hint="eastAsia" w:cs="宋体"/>
          <w:color w:val="auto"/>
          <w:szCs w:val="24"/>
          <w:highlight w:val="none"/>
        </w:rPr>
        <w:t>商务、技术文件：指供应商提交的能够证明其成交后有能力履行合同的文件和提供的服务符合本磋商文件规定和政策性要求的文件。</w:t>
      </w:r>
    </w:p>
    <w:p w14:paraId="7E96189C">
      <w:pPr>
        <w:snapToGrid w:val="0"/>
        <w:ind w:firstLine="480" w:firstLineChars="200"/>
        <w:rPr>
          <w:rFonts w:cs="宋体"/>
          <w:color w:val="auto"/>
          <w:szCs w:val="24"/>
          <w:highlight w:val="none"/>
        </w:rPr>
      </w:pPr>
      <w:r>
        <w:rPr>
          <w:rFonts w:hint="eastAsia" w:cs="宋体"/>
          <w:color w:val="auto"/>
          <w:szCs w:val="24"/>
          <w:highlight w:val="none"/>
        </w:rPr>
        <w:t>本次磋商，供应商应按磋商文件供应商须知前附表要求，提交资格证明文件和商务、技术文件及供应商自行编写的其他文件。资格证明文件、商务技术文件中的加“★”项、政策性要求中国家强制性因素若有缺失或无效或商务技术文件未实质上响应磋商文件要求，将作无效报价处理。</w:t>
      </w:r>
    </w:p>
    <w:p w14:paraId="1DEE727F">
      <w:pPr>
        <w:snapToGrid w:val="0"/>
        <w:ind w:firstLine="482" w:firstLineChars="200"/>
        <w:rPr>
          <w:rFonts w:cs="宋体"/>
          <w:b/>
          <w:bCs/>
          <w:color w:val="auto"/>
          <w:szCs w:val="24"/>
          <w:highlight w:val="none"/>
        </w:rPr>
      </w:pPr>
      <w:r>
        <w:rPr>
          <w:rFonts w:hint="eastAsia" w:cs="宋体"/>
          <w:b/>
          <w:bCs/>
          <w:color w:val="auto"/>
          <w:szCs w:val="24"/>
          <w:highlight w:val="none"/>
        </w:rPr>
        <w:t>9.2响应文件其他要求</w:t>
      </w:r>
    </w:p>
    <w:p w14:paraId="39F8BA65">
      <w:pPr>
        <w:snapToGrid w:val="0"/>
        <w:ind w:firstLine="480" w:firstLineChars="200"/>
        <w:rPr>
          <w:rFonts w:cs="宋体"/>
          <w:color w:val="auto"/>
          <w:szCs w:val="24"/>
          <w:highlight w:val="none"/>
        </w:rPr>
      </w:pPr>
      <w:r>
        <w:rPr>
          <w:rFonts w:hint="eastAsia" w:cs="宋体"/>
          <w:color w:val="auto"/>
          <w:szCs w:val="24"/>
          <w:highlight w:val="none"/>
        </w:rPr>
        <w:t>9.2.1编排要求</w:t>
      </w:r>
    </w:p>
    <w:p w14:paraId="499CCFED">
      <w:pPr>
        <w:snapToGrid w:val="0"/>
        <w:ind w:firstLine="480" w:firstLineChars="200"/>
        <w:rPr>
          <w:rFonts w:cs="宋体"/>
          <w:color w:val="auto"/>
          <w:szCs w:val="24"/>
          <w:highlight w:val="none"/>
        </w:rPr>
      </w:pPr>
      <w:r>
        <w:rPr>
          <w:rFonts w:hint="eastAsia" w:cs="宋体"/>
          <w:color w:val="auto"/>
          <w:szCs w:val="24"/>
          <w:highlight w:val="none"/>
        </w:rPr>
        <w:t>响应文件规格幅面（A4）；按照磋商文件</w:t>
      </w:r>
      <w:r>
        <w:rPr>
          <w:rFonts w:hint="eastAsia" w:cs="宋体"/>
          <w:color w:val="auto"/>
          <w:highlight w:val="none"/>
        </w:rPr>
        <w:t>第七部分</w:t>
      </w:r>
      <w:r>
        <w:rPr>
          <w:rFonts w:hint="eastAsia" w:cs="宋体"/>
          <w:color w:val="auto"/>
          <w:szCs w:val="24"/>
          <w:highlight w:val="none"/>
        </w:rPr>
        <w:t>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706F3738">
      <w:pPr>
        <w:snapToGrid w:val="0"/>
        <w:ind w:firstLine="480" w:firstLineChars="200"/>
        <w:rPr>
          <w:rFonts w:cs="宋体"/>
          <w:color w:val="auto"/>
          <w:szCs w:val="24"/>
          <w:highlight w:val="none"/>
        </w:rPr>
      </w:pPr>
      <w:r>
        <w:rPr>
          <w:rFonts w:hint="eastAsia" w:cs="宋体"/>
          <w:color w:val="auto"/>
          <w:szCs w:val="24"/>
          <w:highlight w:val="none"/>
        </w:rPr>
        <w:t>9.2.2格式要求</w:t>
      </w:r>
    </w:p>
    <w:p w14:paraId="5E8F631F">
      <w:pPr>
        <w:snapToGrid w:val="0"/>
        <w:ind w:firstLine="480" w:firstLineChars="200"/>
        <w:rPr>
          <w:rFonts w:cs="宋体"/>
          <w:color w:val="auto"/>
          <w:szCs w:val="24"/>
          <w:highlight w:val="none"/>
        </w:rPr>
      </w:pPr>
      <w:r>
        <w:rPr>
          <w:rFonts w:hint="eastAsia" w:cs="宋体"/>
          <w:color w:val="auto"/>
          <w:szCs w:val="24"/>
          <w:highlight w:val="none"/>
        </w:rPr>
        <w:t>本磋商文件</w:t>
      </w:r>
      <w:r>
        <w:rPr>
          <w:rFonts w:hint="eastAsia" w:cs="宋体"/>
          <w:color w:val="auto"/>
          <w:highlight w:val="none"/>
        </w:rPr>
        <w:t>第七部分 响应文件格式</w:t>
      </w:r>
      <w:r>
        <w:rPr>
          <w:rFonts w:hint="eastAsia" w:cs="宋体"/>
          <w:color w:val="auto"/>
          <w:szCs w:val="24"/>
          <w:highlight w:val="none"/>
        </w:rPr>
        <w:t>已提供“响应文件格式”的，需按照格式要求编制和上传（供应商可以对所提供的格式进行扩展，但不得更改格式内容），没有提供格式的，供应商自拟。</w:t>
      </w:r>
    </w:p>
    <w:p w14:paraId="208B0370">
      <w:pPr>
        <w:snapToGrid w:val="0"/>
        <w:ind w:firstLine="482" w:firstLineChars="200"/>
        <w:rPr>
          <w:rFonts w:cs="宋体"/>
          <w:b/>
          <w:bCs/>
          <w:color w:val="auto"/>
          <w:szCs w:val="24"/>
          <w:highlight w:val="none"/>
        </w:rPr>
      </w:pPr>
      <w:r>
        <w:rPr>
          <w:rFonts w:hint="eastAsia" w:cs="宋体"/>
          <w:b/>
          <w:bCs/>
          <w:color w:val="auto"/>
          <w:szCs w:val="24"/>
          <w:highlight w:val="none"/>
        </w:rPr>
        <w:t>如供应商参加多包磋商的，要求按包分别独立制作响应文件。</w:t>
      </w:r>
    </w:p>
    <w:p w14:paraId="0BDADBF0">
      <w:pPr>
        <w:pStyle w:val="7"/>
        <w:ind w:firstLine="480"/>
        <w:rPr>
          <w:color w:val="auto"/>
          <w:highlight w:val="none"/>
        </w:rPr>
      </w:pPr>
      <w:r>
        <w:rPr>
          <w:rFonts w:hint="eastAsia"/>
          <w:color w:val="auto"/>
          <w:highlight w:val="none"/>
        </w:rPr>
        <w:t>9.2.3响应文件的份数、加密</w:t>
      </w:r>
    </w:p>
    <w:p w14:paraId="4BFD6C55">
      <w:pPr>
        <w:pStyle w:val="7"/>
        <w:ind w:firstLine="480"/>
        <w:rPr>
          <w:color w:val="auto"/>
          <w:highlight w:val="none"/>
        </w:rPr>
      </w:pPr>
      <w:r>
        <w:rPr>
          <w:rFonts w:hint="eastAsia"/>
          <w:color w:val="auto"/>
          <w:highlight w:val="none"/>
        </w:rPr>
        <w:t>9.2.3.1响应文件的份数</w:t>
      </w:r>
    </w:p>
    <w:p w14:paraId="782B2199">
      <w:pPr>
        <w:pStyle w:val="7"/>
        <w:ind w:firstLine="480"/>
        <w:rPr>
          <w:color w:val="auto"/>
          <w:highlight w:val="none"/>
        </w:rPr>
      </w:pPr>
      <w:r>
        <w:rPr>
          <w:rFonts w:hint="eastAsia"/>
          <w:color w:val="auto"/>
          <w:highlight w:val="none"/>
        </w:rPr>
        <w:t>本次磋商须提交的响应文件份数详见供应商须知前附表。</w:t>
      </w:r>
    </w:p>
    <w:p w14:paraId="45EAF8C3">
      <w:pPr>
        <w:pStyle w:val="7"/>
        <w:ind w:firstLine="480"/>
        <w:rPr>
          <w:color w:val="auto"/>
          <w:highlight w:val="none"/>
        </w:rPr>
      </w:pPr>
      <w:r>
        <w:rPr>
          <w:rFonts w:hint="eastAsia"/>
          <w:color w:val="auto"/>
          <w:highlight w:val="none"/>
        </w:rPr>
        <w:t>9.2.3.2响应文件加密</w:t>
      </w:r>
    </w:p>
    <w:p w14:paraId="5FD5447C">
      <w:pPr>
        <w:pStyle w:val="7"/>
        <w:ind w:firstLine="480"/>
        <w:rPr>
          <w:color w:val="auto"/>
          <w:highlight w:val="none"/>
        </w:rPr>
      </w:pPr>
      <w:r>
        <w:rPr>
          <w:rFonts w:hint="eastAsia"/>
          <w:color w:val="auto"/>
          <w:highlight w:val="none"/>
        </w:rPr>
        <w:t>系统中上传的电子响应文件须使用数字电子CA（单位、法人或个人）进行加密。</w:t>
      </w:r>
    </w:p>
    <w:p w14:paraId="7EC0892D">
      <w:pPr>
        <w:ind w:firstLine="482" w:firstLineChars="200"/>
        <w:rPr>
          <w:rFonts w:cs="宋体"/>
          <w:b/>
          <w:bCs/>
          <w:color w:val="auto"/>
          <w:highlight w:val="none"/>
        </w:rPr>
      </w:pPr>
      <w:r>
        <w:rPr>
          <w:rFonts w:hint="eastAsia" w:cs="宋体"/>
          <w:b/>
          <w:bCs/>
          <w:color w:val="auto"/>
          <w:highlight w:val="none"/>
        </w:rPr>
        <w:t>9.3 磋商保证金</w:t>
      </w:r>
    </w:p>
    <w:p w14:paraId="2F08F239">
      <w:pPr>
        <w:ind w:firstLine="480" w:firstLineChars="200"/>
        <w:rPr>
          <w:rFonts w:cs="宋体"/>
          <w:color w:val="auto"/>
          <w:highlight w:val="none"/>
        </w:rPr>
      </w:pPr>
      <w:r>
        <w:rPr>
          <w:rFonts w:hint="eastAsia" w:cs="宋体"/>
          <w:color w:val="auto"/>
          <w:highlight w:val="none"/>
        </w:rPr>
        <w:t>9.3.1 本项目是否要求供应商提交保证金及要求供应商应提交的磋商保证金金额详见供应商须知前附表的相关规定。</w:t>
      </w:r>
    </w:p>
    <w:p w14:paraId="23496101">
      <w:pPr>
        <w:ind w:firstLine="480" w:firstLineChars="200"/>
        <w:rPr>
          <w:rFonts w:cs="宋体"/>
          <w:color w:val="auto"/>
          <w:highlight w:val="none"/>
        </w:rPr>
      </w:pPr>
      <w:r>
        <w:rPr>
          <w:rFonts w:hint="eastAsia" w:cs="宋体"/>
          <w:color w:val="auto"/>
          <w:highlight w:val="none"/>
        </w:rPr>
        <w:t>9.3.2 磋商保证金提交方式详见供应商须知前附表的相关规定。</w:t>
      </w:r>
    </w:p>
    <w:p w14:paraId="6B228E46">
      <w:pPr>
        <w:ind w:firstLine="480" w:firstLineChars="200"/>
        <w:rPr>
          <w:rFonts w:cs="宋体"/>
          <w:color w:val="auto"/>
          <w:highlight w:val="none"/>
        </w:rPr>
      </w:pPr>
      <w:r>
        <w:rPr>
          <w:rFonts w:hint="eastAsia" w:cs="宋体"/>
          <w:color w:val="auto"/>
          <w:highlight w:val="none"/>
        </w:rPr>
        <w:t>9.3.3 未按上述要求提交磋商保证金或提交的磋商保证金金额不足的，其响应无效。</w:t>
      </w:r>
    </w:p>
    <w:p w14:paraId="5A72D5E0">
      <w:pPr>
        <w:ind w:firstLine="480" w:firstLineChars="200"/>
        <w:rPr>
          <w:rFonts w:cs="宋体"/>
          <w:color w:val="auto"/>
          <w:highlight w:val="none"/>
        </w:rPr>
      </w:pPr>
      <w:r>
        <w:rPr>
          <w:rFonts w:hint="eastAsia" w:cs="宋体"/>
          <w:color w:val="auto"/>
          <w:highlight w:val="none"/>
        </w:rPr>
        <w:t>9.3.4 磋商保证金的退还详见供应商须知前附表的相关规定。</w:t>
      </w:r>
    </w:p>
    <w:p w14:paraId="47157956">
      <w:pPr>
        <w:ind w:firstLine="480" w:firstLineChars="200"/>
        <w:rPr>
          <w:rFonts w:cs="宋体"/>
          <w:color w:val="auto"/>
          <w:highlight w:val="none"/>
        </w:rPr>
      </w:pPr>
      <w:r>
        <w:rPr>
          <w:rFonts w:hint="eastAsia" w:cs="宋体"/>
          <w:color w:val="auto"/>
          <w:highlight w:val="none"/>
        </w:rPr>
        <w:t>9.3.5 采购人因重大变故取消采购任务的，采购代理机构在财政部门指定的政府采购信息发布媒体上发布终止公告，并以书面形式通知已经获取采购文件的潜在供应商，对已经交纳磋商保证金的，采购代理机构在终止公告发布后5个工作日内予以退还。</w:t>
      </w:r>
    </w:p>
    <w:p w14:paraId="10A06786">
      <w:pPr>
        <w:ind w:firstLine="480" w:firstLineChars="200"/>
        <w:rPr>
          <w:rFonts w:cs="宋体"/>
          <w:color w:val="auto"/>
          <w:highlight w:val="none"/>
        </w:rPr>
      </w:pPr>
      <w:r>
        <w:rPr>
          <w:rFonts w:hint="eastAsia" w:cs="宋体"/>
          <w:color w:val="auto"/>
          <w:highlight w:val="none"/>
        </w:rPr>
        <w:t>9.3.6 不予退还磋商保证金的情形详见供应商须知前附表的相关规定。</w:t>
      </w:r>
    </w:p>
    <w:p w14:paraId="40529C1D">
      <w:pPr>
        <w:ind w:firstLine="482" w:firstLineChars="200"/>
        <w:rPr>
          <w:rFonts w:cs="宋体"/>
          <w:b/>
          <w:bCs/>
          <w:color w:val="auto"/>
          <w:highlight w:val="none"/>
        </w:rPr>
      </w:pPr>
      <w:r>
        <w:rPr>
          <w:rFonts w:hint="eastAsia" w:cs="宋体"/>
          <w:b/>
          <w:bCs/>
          <w:color w:val="auto"/>
          <w:highlight w:val="none"/>
        </w:rPr>
        <w:t>9.4 磋商报价</w:t>
      </w:r>
    </w:p>
    <w:p w14:paraId="677683A3">
      <w:pPr>
        <w:ind w:firstLine="480" w:firstLineChars="200"/>
        <w:rPr>
          <w:rFonts w:cs="宋体"/>
          <w:color w:val="auto"/>
          <w:highlight w:val="none"/>
          <w:lang w:val="zh-CN"/>
        </w:rPr>
      </w:pPr>
      <w:r>
        <w:rPr>
          <w:rFonts w:hint="eastAsia" w:cs="宋体"/>
          <w:color w:val="auto"/>
          <w:highlight w:val="none"/>
        </w:rPr>
        <w:t xml:space="preserve">9.4.1 </w:t>
      </w:r>
      <w:r>
        <w:rPr>
          <w:rFonts w:hint="eastAsia" w:cs="宋体"/>
          <w:color w:val="auto"/>
          <w:highlight w:val="none"/>
          <w:lang w:val="zh-CN"/>
        </w:rPr>
        <w:t>磋商所使用的货币为人民币。本项目磋商报价不得超过最高限价，否则响应无效。</w:t>
      </w:r>
    </w:p>
    <w:p w14:paraId="2089E735">
      <w:pPr>
        <w:ind w:firstLine="480" w:firstLineChars="200"/>
        <w:rPr>
          <w:rFonts w:cs="宋体"/>
          <w:color w:val="auto"/>
          <w:highlight w:val="none"/>
          <w:lang w:val="zh-CN"/>
        </w:rPr>
      </w:pPr>
      <w:r>
        <w:rPr>
          <w:rFonts w:hint="eastAsia" w:cs="宋体"/>
          <w:color w:val="auto"/>
          <w:highlight w:val="none"/>
        </w:rPr>
        <w:t>9.4.2</w:t>
      </w:r>
      <w:r>
        <w:rPr>
          <w:rFonts w:hint="eastAsia" w:cs="宋体"/>
          <w:color w:val="auto"/>
          <w:highlight w:val="none"/>
          <w:lang w:val="zh-CN"/>
        </w:rPr>
        <w:t>本项目的磋商报价采用“总价”方式，只要投报了一个确定数额的总价，无论分项价格是否全部填报了相应的金额或免费字样，报价均被视为已经包含了但并不限于各项购买货物/服务</w:t>
      </w:r>
      <w:r>
        <w:rPr>
          <w:rFonts w:hint="eastAsia" w:cs="宋体"/>
          <w:color w:val="auto"/>
          <w:highlight w:val="none"/>
        </w:rPr>
        <w:t>/工程</w:t>
      </w:r>
      <w:r>
        <w:rPr>
          <w:rFonts w:hint="eastAsia" w:cs="宋体"/>
          <w:color w:val="auto"/>
          <w:highlight w:val="none"/>
          <w:lang w:val="zh-CN"/>
        </w:rPr>
        <w:t>及其运送、安装、调试、验收、保险、税金和相关服务等的全部费用。在其它情况下，由于分项报价填报不完整、不清楚或存在其它任何失误，所导致的任何不利后果均应当由供应商自行承担。</w:t>
      </w:r>
    </w:p>
    <w:p w14:paraId="57E7A255">
      <w:pPr>
        <w:ind w:firstLine="480" w:firstLineChars="200"/>
        <w:rPr>
          <w:rFonts w:cs="宋体"/>
          <w:color w:val="auto"/>
          <w:highlight w:val="none"/>
          <w:lang w:val="zh-CN"/>
        </w:rPr>
      </w:pPr>
      <w:r>
        <w:rPr>
          <w:rFonts w:hint="eastAsia" w:cs="宋体"/>
          <w:color w:val="auto"/>
          <w:highlight w:val="none"/>
        </w:rPr>
        <w:t>9.4.3</w:t>
      </w:r>
      <w:r>
        <w:rPr>
          <w:rFonts w:hint="eastAsia" w:cs="宋体"/>
          <w:color w:val="auto"/>
          <w:highlight w:val="none"/>
          <w:lang w:val="zh-CN"/>
        </w:rPr>
        <w:t>供应商报出的总价为货物/服务</w:t>
      </w:r>
      <w:r>
        <w:rPr>
          <w:rFonts w:hint="eastAsia" w:cs="宋体"/>
          <w:color w:val="auto"/>
          <w:highlight w:val="none"/>
        </w:rPr>
        <w:t>/工程</w:t>
      </w:r>
      <w:r>
        <w:rPr>
          <w:rFonts w:hint="eastAsia" w:cs="宋体"/>
          <w:color w:val="auto"/>
          <w:highlight w:val="none"/>
          <w:lang w:val="zh-CN"/>
        </w:rPr>
        <w:t>全部完成交付的最终价格。</w:t>
      </w:r>
    </w:p>
    <w:p w14:paraId="3A4DD9A0">
      <w:pPr>
        <w:ind w:firstLine="480" w:firstLineChars="200"/>
        <w:rPr>
          <w:rFonts w:cs="宋体"/>
          <w:color w:val="auto"/>
          <w:highlight w:val="none"/>
        </w:rPr>
      </w:pPr>
      <w:r>
        <w:rPr>
          <w:rFonts w:hint="eastAsia" w:cs="宋体"/>
          <w:color w:val="auto"/>
          <w:highlight w:val="none"/>
        </w:rPr>
        <w:t>9.4.4本次磋商不接受可选择或可调整的报价。</w:t>
      </w:r>
    </w:p>
    <w:p w14:paraId="4C9C2759">
      <w:pPr>
        <w:ind w:firstLine="480" w:firstLineChars="200"/>
        <w:rPr>
          <w:rFonts w:hint="eastAsia" w:cs="宋体"/>
          <w:color w:val="auto"/>
          <w:highlight w:val="none"/>
          <w:lang w:val="zh-CN"/>
        </w:rPr>
      </w:pPr>
      <w:r>
        <w:rPr>
          <w:rFonts w:hint="eastAsia" w:cs="宋体"/>
          <w:color w:val="auto"/>
          <w:highlight w:val="none"/>
        </w:rPr>
        <w:t>9.4.5</w:t>
      </w:r>
      <w:r>
        <w:rPr>
          <w:rFonts w:hint="eastAsia" w:cs="宋体"/>
          <w:color w:val="auto"/>
          <w:highlight w:val="none"/>
          <w:lang w:val="zh-CN"/>
        </w:rPr>
        <w:t>最低磋商报价不是授予合同的保证。</w:t>
      </w:r>
    </w:p>
    <w:p w14:paraId="3BF4C9C0">
      <w:pPr>
        <w:keepNext w:val="0"/>
        <w:keepLines w:val="0"/>
        <w:pageBreakBefore w:val="0"/>
        <w:kinsoku/>
        <w:wordWrap/>
        <w:overflowPunct/>
        <w:autoSpaceDE/>
        <w:autoSpaceDN/>
        <w:bidi w:val="0"/>
        <w:spacing w:line="360" w:lineRule="auto"/>
        <w:ind w:left="0" w:firstLine="48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9.4.6政府采购评审中出现下列情形之一的</w:t>
      </w:r>
      <w:r>
        <w:rPr>
          <w:rFonts w:hint="eastAsia" w:ascii="宋体" w:hAnsi="宋体" w:eastAsia="宋体" w:cs="宋体"/>
          <w:color w:val="auto"/>
          <w:kern w:val="0"/>
          <w:szCs w:val="21"/>
          <w:highlight w:val="none"/>
          <w:lang w:eastAsia="zh-CN"/>
        </w:rPr>
        <w:t>，评审委员会应当启动异常低价响应审查程序：</w:t>
      </w:r>
    </w:p>
    <w:p w14:paraId="67E925AF">
      <w:pPr>
        <w:keepNext w:val="0"/>
        <w:keepLines w:val="0"/>
        <w:pageBreakBefore w:val="0"/>
        <w:kinsoku/>
        <w:wordWrap/>
        <w:overflowPunct/>
        <w:autoSpaceDE/>
        <w:autoSpaceDN/>
        <w:bidi w:val="0"/>
        <w:spacing w:line="360" w:lineRule="auto"/>
        <w:ind w:left="0" w:firstLine="48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（1）响应报价低于全部通过符合性审查供应商响应报价平均值50%的，即响应报价&lt;全部通过符合性审查供应商响应报价平均值×50%；</w:t>
      </w:r>
    </w:p>
    <w:p w14:paraId="75FAC8A6">
      <w:pPr>
        <w:keepNext w:val="0"/>
        <w:keepLines w:val="0"/>
        <w:pageBreakBefore w:val="0"/>
        <w:kinsoku/>
        <w:wordWrap/>
        <w:overflowPunct/>
        <w:autoSpaceDE/>
        <w:autoSpaceDN/>
        <w:bidi w:val="0"/>
        <w:spacing w:line="360" w:lineRule="auto"/>
        <w:ind w:left="0" w:firstLine="48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（2）响应报价低于通过符合性审查的次低报价供应商响应报价50%的，即响应报价&lt;通过符合性审查的次低报价供应商响应报价×50%；</w:t>
      </w:r>
    </w:p>
    <w:p w14:paraId="531B6F47">
      <w:pPr>
        <w:keepNext w:val="0"/>
        <w:keepLines w:val="0"/>
        <w:pageBreakBefore w:val="0"/>
        <w:kinsoku/>
        <w:wordWrap/>
        <w:overflowPunct/>
        <w:autoSpaceDE/>
        <w:autoSpaceDN/>
        <w:bidi w:val="0"/>
        <w:spacing w:line="360" w:lineRule="auto"/>
        <w:ind w:left="0" w:firstLine="48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）响应报价低于采购项目最高限价45%的，即响应报价&lt;采购项目最高限价×45%；</w:t>
      </w:r>
    </w:p>
    <w:p w14:paraId="3ECE1819">
      <w:pPr>
        <w:keepNext w:val="0"/>
        <w:keepLines w:val="0"/>
        <w:pageBreakBefore w:val="0"/>
        <w:kinsoku/>
        <w:wordWrap/>
        <w:overflowPunct/>
        <w:autoSpaceDE/>
        <w:autoSpaceDN/>
        <w:bidi w:val="0"/>
        <w:spacing w:line="360" w:lineRule="auto"/>
        <w:ind w:left="0" w:firstLine="48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评审委员会基于专业判断，认为供应商报价过低，有可能影响产品质量或者不能诚信履约的其他情形。</w:t>
      </w:r>
    </w:p>
    <w:p w14:paraId="20F22747">
      <w:pPr>
        <w:keepNext w:val="0"/>
        <w:keepLines w:val="0"/>
        <w:pageBreakBefore w:val="0"/>
        <w:kinsoku/>
        <w:wordWrap/>
        <w:overflowPunct/>
        <w:autoSpaceDE/>
        <w:autoSpaceDN/>
        <w:bidi w:val="0"/>
        <w:spacing w:line="360" w:lineRule="auto"/>
        <w:ind w:left="0" w:firstLine="48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9.4.7评审委员会启动异常低价响应审查后</w:t>
      </w:r>
      <w:r>
        <w:rPr>
          <w:rFonts w:hint="eastAsia" w:ascii="宋体" w:hAnsi="宋体" w:eastAsia="宋体" w:cs="宋体"/>
          <w:color w:val="auto"/>
          <w:kern w:val="0"/>
          <w:szCs w:val="21"/>
          <w:highlight w:val="none"/>
          <w:lang w:eastAsia="zh-CN"/>
        </w:rPr>
        <w:t>，属于前述第</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项至第</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项情形，供应商已随响应文件一并提交相关书面说明及必要的证明材料的，在评审现场可不再重复提交。</w:t>
      </w:r>
    </w:p>
    <w:p w14:paraId="73BFA729">
      <w:pPr>
        <w:keepNext w:val="0"/>
        <w:keepLines w:val="0"/>
        <w:pageBreakBefore w:val="0"/>
        <w:kinsoku/>
        <w:wordWrap/>
        <w:overflowPunct/>
        <w:autoSpaceDE/>
        <w:autoSpaceDN/>
        <w:bidi w:val="0"/>
        <w:spacing w:line="360" w:lineRule="auto"/>
        <w:ind w:left="0" w:firstLine="48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9.4.8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3835B899">
      <w:pPr>
        <w:keepNext w:val="0"/>
        <w:keepLines w:val="0"/>
        <w:pageBreakBefore w:val="0"/>
        <w:kinsoku/>
        <w:wordWrap/>
        <w:overflowPunct/>
        <w:autoSpaceDE/>
        <w:autoSpaceDN/>
        <w:bidi w:val="0"/>
        <w:spacing w:line="360" w:lineRule="auto"/>
        <w:ind w:left="0" w:firstLine="48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9.4.9采购人、采购代理机构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97E03AD">
      <w:pPr>
        <w:keepNext w:val="0"/>
        <w:keepLines w:val="0"/>
        <w:pageBreakBefore w:val="0"/>
        <w:kinsoku/>
        <w:wordWrap/>
        <w:overflowPunct/>
        <w:autoSpaceDE/>
        <w:autoSpaceDN/>
        <w:bidi w:val="0"/>
        <w:spacing w:line="360" w:lineRule="auto"/>
        <w:ind w:left="0" w:firstLine="48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9.4.10异常低价响应审查的启动原因、审查意见和审查结果应当在评审报告中记录，并随供应商提供的相关书面说明及证明材料，以及评审委员会有关互联网浏览、查询历史一并归档。</w:t>
      </w:r>
    </w:p>
    <w:p w14:paraId="1ECF120E">
      <w:pPr>
        <w:rPr>
          <w:rFonts w:cs="宋体"/>
          <w:b/>
          <w:bCs/>
          <w:color w:val="auto"/>
          <w:highlight w:val="none"/>
        </w:rPr>
      </w:pPr>
      <w:r>
        <w:rPr>
          <w:rFonts w:hint="eastAsia" w:cs="宋体"/>
          <w:b/>
          <w:bCs/>
          <w:color w:val="auto"/>
          <w:highlight w:val="none"/>
        </w:rPr>
        <w:t>10、响应文件内容填写说明</w:t>
      </w:r>
    </w:p>
    <w:p w14:paraId="125E5D83">
      <w:pPr>
        <w:ind w:firstLine="480" w:firstLineChars="200"/>
        <w:rPr>
          <w:rFonts w:cs="宋体"/>
          <w:color w:val="auto"/>
          <w:highlight w:val="none"/>
        </w:rPr>
      </w:pPr>
      <w:r>
        <w:rPr>
          <w:rFonts w:hint="eastAsia" w:cs="宋体"/>
          <w:color w:val="auto"/>
          <w:highlight w:val="none"/>
        </w:rPr>
        <w:t>10.1响应文件应使用电子交易平台提供的响应文件制作软件，按本磋商文件“第七部分 响应文件格式”的要求进行编制，如有必要，可以增加附页，作为响应文件的组成部分。</w:t>
      </w:r>
    </w:p>
    <w:p w14:paraId="5697F8E0">
      <w:pPr>
        <w:ind w:firstLine="480" w:firstLineChars="200"/>
        <w:rPr>
          <w:rFonts w:cs="宋体"/>
          <w:color w:val="auto"/>
          <w:highlight w:val="none"/>
        </w:rPr>
      </w:pPr>
      <w:r>
        <w:rPr>
          <w:rFonts w:hint="eastAsia" w:cs="宋体"/>
          <w:color w:val="auto"/>
          <w:highlight w:val="none"/>
        </w:rPr>
        <w:t>10.2电子交易平台为供应商提供在线或离线编辑和制作响应文件的功能，主要包括文件的导入、文件内容编辑、版式文件转换、文件生成、校验以及加密等功能。具体的电子响应文件制作软件的使用说明详见该电子交易平台上的相关说明或电话咨询电子交易平台。</w:t>
      </w:r>
    </w:p>
    <w:p w14:paraId="5B894E8A">
      <w:pPr>
        <w:ind w:firstLine="480" w:firstLineChars="200"/>
        <w:rPr>
          <w:rFonts w:cs="宋体"/>
          <w:color w:val="auto"/>
          <w:highlight w:val="none"/>
        </w:rPr>
      </w:pPr>
      <w:r>
        <w:rPr>
          <w:rFonts w:hint="eastAsia" w:cs="宋体"/>
          <w:color w:val="auto"/>
          <w:highlight w:val="none"/>
        </w:rPr>
        <w:t>10.3供应商应详细阅读磋商文件的全部内容。响应文件须对磋商文件中的内容做出实质性和完整性的响应。</w:t>
      </w:r>
    </w:p>
    <w:p w14:paraId="1A720A98">
      <w:pPr>
        <w:ind w:firstLine="480" w:firstLineChars="200"/>
        <w:rPr>
          <w:rFonts w:cs="宋体"/>
          <w:color w:val="auto"/>
          <w:highlight w:val="none"/>
        </w:rPr>
      </w:pPr>
      <w:r>
        <w:rPr>
          <w:rFonts w:hint="eastAsia" w:cs="宋体"/>
          <w:color w:val="auto"/>
          <w:highlight w:val="none"/>
        </w:rPr>
        <w:t>10.4供应商照搬照抄磋商文件技术、商务要求，并未提供技术资料或提供资料不详的，磋商小组有权决定是否通知供应商限期进行解释或提供相关证明材料。若已要求，而该供应商在规定期限内未做出解释、做出的解释不合理或不能提供证明材料的，磋商小组有权作无效报价处理。</w:t>
      </w:r>
    </w:p>
    <w:p w14:paraId="74787ECA">
      <w:pPr>
        <w:ind w:firstLine="480" w:firstLineChars="200"/>
        <w:rPr>
          <w:rFonts w:cs="宋体"/>
          <w:color w:val="auto"/>
          <w:highlight w:val="none"/>
        </w:rPr>
      </w:pPr>
      <w:r>
        <w:rPr>
          <w:rFonts w:hint="eastAsia" w:cs="宋体"/>
          <w:color w:val="auto"/>
          <w:highlight w:val="none"/>
        </w:rPr>
        <w:t>10.5响应文件应严格按照磋商文件第七部分 响应文件格式的要求提交，并按规定的统一格式逐项填写，不准有空项。</w:t>
      </w:r>
    </w:p>
    <w:p w14:paraId="59CDB326">
      <w:pPr>
        <w:ind w:firstLine="480" w:firstLineChars="200"/>
        <w:rPr>
          <w:rFonts w:cs="宋体"/>
          <w:color w:val="auto"/>
          <w:highlight w:val="none"/>
        </w:rPr>
      </w:pPr>
      <w:r>
        <w:rPr>
          <w:rFonts w:hint="eastAsia" w:cs="宋体"/>
          <w:color w:val="auto"/>
          <w:highlight w:val="none"/>
        </w:rPr>
        <w:t>10.6</w:t>
      </w:r>
      <w:r>
        <w:rPr>
          <w:rFonts w:hint="eastAsia" w:cs="宋体"/>
          <w:color w:val="auto"/>
          <w:highlight w:val="none"/>
          <w:lang w:val="en-US" w:eastAsia="zh-CN"/>
        </w:rPr>
        <w:t>报价</w:t>
      </w:r>
      <w:r>
        <w:rPr>
          <w:rFonts w:hint="eastAsia" w:cs="宋体"/>
          <w:color w:val="auto"/>
          <w:highlight w:val="none"/>
        </w:rPr>
        <w:t>一览表为在第一轮公开报价仪式上报价的内容，要求按格式统一填写，不得自行增减内容。</w:t>
      </w:r>
    </w:p>
    <w:p w14:paraId="5245119A">
      <w:pPr>
        <w:ind w:firstLine="480" w:firstLineChars="200"/>
        <w:rPr>
          <w:rFonts w:cs="宋体"/>
          <w:color w:val="auto"/>
          <w:highlight w:val="none"/>
        </w:rPr>
      </w:pPr>
      <w:r>
        <w:rPr>
          <w:rFonts w:hint="eastAsia" w:cs="宋体"/>
          <w:color w:val="auto"/>
          <w:highlight w:val="none"/>
        </w:rPr>
        <w:t>10.7供应商必须保证响应文件所提供的全部资料真实可靠，并接受磋商小组对其中任何资料进一步审查的要求。</w:t>
      </w:r>
    </w:p>
    <w:p w14:paraId="30D10986">
      <w:pPr>
        <w:ind w:firstLine="480" w:firstLineChars="200"/>
        <w:rPr>
          <w:rFonts w:cs="宋体"/>
          <w:color w:val="auto"/>
          <w:highlight w:val="none"/>
        </w:rPr>
      </w:pPr>
      <w:r>
        <w:rPr>
          <w:rFonts w:hint="eastAsia" w:cs="宋体"/>
          <w:color w:val="auto"/>
          <w:highlight w:val="none"/>
        </w:rPr>
        <w:t>10.8 为提倡诚实信用的报价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26AF0B71">
      <w:pPr>
        <w:ind w:firstLine="480" w:firstLineChars="200"/>
        <w:rPr>
          <w:rFonts w:cs="宋体"/>
          <w:color w:val="auto"/>
          <w:highlight w:val="none"/>
        </w:rPr>
      </w:pPr>
      <w:r>
        <w:rPr>
          <w:rFonts w:hint="eastAsia" w:cs="宋体"/>
          <w:color w:val="auto"/>
          <w:highlight w:val="none"/>
        </w:rPr>
        <w:t>10.9供应商之间不得相互串通报价，不得妨碍其他供应商的公平竞争，不得损害采购单位或者其他供应商的合法权益。</w:t>
      </w:r>
    </w:p>
    <w:p w14:paraId="7694B043">
      <w:pPr>
        <w:ind w:firstLine="480" w:firstLineChars="200"/>
        <w:rPr>
          <w:rFonts w:cs="宋体"/>
          <w:color w:val="auto"/>
          <w:highlight w:val="none"/>
        </w:rPr>
      </w:pPr>
      <w:r>
        <w:rPr>
          <w:rFonts w:hint="eastAsia" w:cs="宋体"/>
          <w:color w:val="auto"/>
          <w:highlight w:val="none"/>
        </w:rPr>
        <w:t>10.10响应文件按不同章节编制并分别加盖电子签章、上传至电子交易平台。</w:t>
      </w:r>
    </w:p>
    <w:p w14:paraId="4E4C8D2F">
      <w:pPr>
        <w:rPr>
          <w:rFonts w:cs="宋体"/>
          <w:b/>
          <w:bCs/>
          <w:color w:val="auto"/>
          <w:highlight w:val="none"/>
        </w:rPr>
      </w:pPr>
      <w:r>
        <w:rPr>
          <w:rFonts w:hint="eastAsia" w:cs="宋体"/>
          <w:b/>
          <w:bCs/>
          <w:color w:val="auto"/>
          <w:highlight w:val="none"/>
        </w:rPr>
        <w:t>11、响应文件的有效期限</w:t>
      </w:r>
    </w:p>
    <w:p w14:paraId="50D2B8BD">
      <w:pPr>
        <w:ind w:firstLine="480" w:firstLineChars="200"/>
        <w:rPr>
          <w:rFonts w:cs="宋体"/>
          <w:color w:val="auto"/>
          <w:highlight w:val="none"/>
        </w:rPr>
      </w:pPr>
      <w:r>
        <w:rPr>
          <w:rFonts w:hint="eastAsia" w:cs="宋体"/>
          <w:color w:val="auto"/>
          <w:highlight w:val="none"/>
        </w:rPr>
        <w:t>本项目响应文件的有效期详见供应商须知前附表的规定。</w:t>
      </w:r>
    </w:p>
    <w:p w14:paraId="0969EE9D">
      <w:pPr>
        <w:numPr>
          <w:ilvl w:val="0"/>
          <w:numId w:val="1"/>
        </w:numPr>
        <w:rPr>
          <w:rFonts w:cs="宋体"/>
          <w:b/>
          <w:bCs/>
          <w:color w:val="auto"/>
          <w:highlight w:val="none"/>
        </w:rPr>
      </w:pPr>
      <w:r>
        <w:rPr>
          <w:rFonts w:hint="eastAsia" w:cs="宋体"/>
          <w:b/>
          <w:bCs/>
          <w:color w:val="auto"/>
          <w:highlight w:val="none"/>
        </w:rPr>
        <w:t>响应文件的签署</w:t>
      </w:r>
    </w:p>
    <w:p w14:paraId="32216092">
      <w:pPr>
        <w:ind w:firstLine="480" w:firstLineChars="200"/>
        <w:rPr>
          <w:rFonts w:cs="宋体"/>
          <w:color w:val="auto"/>
          <w:highlight w:val="none"/>
        </w:rPr>
      </w:pPr>
      <w:r>
        <w:rPr>
          <w:rFonts w:hint="eastAsia" w:cs="宋体"/>
          <w:color w:val="auto"/>
          <w:highlight w:val="none"/>
        </w:rPr>
        <w:t>12.1响应文件的签署、盖章要求详见供应商须知前附表的规定</w:t>
      </w:r>
    </w:p>
    <w:p w14:paraId="26EF041B">
      <w:pPr>
        <w:ind w:firstLine="480" w:firstLineChars="200"/>
        <w:rPr>
          <w:rFonts w:cs="宋体"/>
          <w:color w:val="auto"/>
          <w:highlight w:val="none"/>
        </w:rPr>
      </w:pPr>
      <w:bookmarkStart w:id="20" w:name="_Toc26251"/>
      <w:bookmarkStart w:id="21" w:name="_Toc32474"/>
      <w:bookmarkStart w:id="22" w:name="_Toc493575823"/>
      <w:bookmarkStart w:id="23" w:name="_Toc7685"/>
      <w:bookmarkStart w:id="24" w:name="_Toc424378688"/>
      <w:bookmarkStart w:id="25" w:name="_Toc635"/>
      <w:bookmarkStart w:id="26" w:name="_Toc11196"/>
      <w:r>
        <w:rPr>
          <w:rFonts w:hint="eastAsia" w:cs="宋体"/>
          <w:color w:val="auto"/>
          <w:highlight w:val="none"/>
        </w:rPr>
        <w:t>12.1组成响应文件的各项文件均应遵守本条。</w:t>
      </w:r>
    </w:p>
    <w:p w14:paraId="5CE9C1C5">
      <w:pPr>
        <w:ind w:firstLine="480" w:firstLineChars="200"/>
        <w:rPr>
          <w:rFonts w:cs="宋体"/>
          <w:color w:val="auto"/>
          <w:highlight w:val="none"/>
        </w:rPr>
      </w:pPr>
      <w:r>
        <w:rPr>
          <w:rFonts w:hint="eastAsia" w:cs="宋体"/>
          <w:color w:val="auto"/>
          <w:highlight w:val="none"/>
        </w:rPr>
        <w:t>12.3供应商在响应文件及相关文件的签订、履行、通知等事项的书面文件中的“单位盖章”、“印章”、“公章”等处均仅指与当事人名称全称相一致的标准公章，不得使用其它（如带有“专用章”等字样）的印章。</w:t>
      </w:r>
    </w:p>
    <w:p w14:paraId="2EB52B27">
      <w:pPr>
        <w:ind w:firstLine="480" w:firstLineChars="200"/>
        <w:rPr>
          <w:rFonts w:cs="宋体"/>
          <w:color w:val="auto"/>
          <w:highlight w:val="none"/>
        </w:rPr>
      </w:pPr>
      <w:r>
        <w:rPr>
          <w:rFonts w:hint="eastAsia" w:cs="宋体"/>
          <w:color w:val="auto"/>
          <w:highlight w:val="none"/>
        </w:rPr>
        <w:t>12.3供应商应按照磋商文件要求，在每一份响应文件的正本和副本封面下方以及其他磋商文件要求的位置填写供应商全称并加盖公章，同时在该处法定代表人或供应商代表签字。</w:t>
      </w:r>
    </w:p>
    <w:p w14:paraId="4B05DC1A">
      <w:pPr>
        <w:ind w:firstLine="480" w:firstLineChars="200"/>
        <w:rPr>
          <w:rFonts w:cs="宋体"/>
          <w:color w:val="auto"/>
          <w:highlight w:val="none"/>
        </w:rPr>
      </w:pPr>
      <w:r>
        <w:rPr>
          <w:rFonts w:hint="eastAsia" w:cs="宋体"/>
          <w:color w:val="auto"/>
          <w:highlight w:val="none"/>
        </w:rPr>
        <w:t>12.4供应商须注意：为合理节约采购评审成本，提倡诚实信用的投标行为，特别要求供应商应本着诚信精神，以审慎的态度明确、清楚地披露各项内容。</w:t>
      </w:r>
    </w:p>
    <w:p w14:paraId="2A2B2956">
      <w:pPr>
        <w:ind w:firstLine="480" w:firstLineChars="200"/>
        <w:rPr>
          <w:rFonts w:cs="宋体"/>
          <w:color w:val="auto"/>
          <w:highlight w:val="none"/>
        </w:rPr>
      </w:pPr>
      <w:r>
        <w:rPr>
          <w:rFonts w:hint="eastAsia" w:cs="宋体"/>
          <w:color w:val="auto"/>
          <w:highlight w:val="none"/>
        </w:rPr>
        <w:t>12.5供应商应按本磋商文件所要求的响应文件的份数提交响应文件。</w:t>
      </w:r>
    </w:p>
    <w:p w14:paraId="2F30FE3B">
      <w:pPr>
        <w:ind w:firstLine="480" w:firstLineChars="200"/>
        <w:rPr>
          <w:rFonts w:cs="宋体"/>
          <w:color w:val="auto"/>
          <w:highlight w:val="none"/>
        </w:rPr>
      </w:pPr>
      <w:r>
        <w:rPr>
          <w:rFonts w:hint="eastAsia" w:cs="宋体"/>
          <w:color w:val="auto"/>
          <w:highlight w:val="none"/>
        </w:rPr>
        <w:t>供应商应保证电子响应文件与纸质响应文件内容严格一致；</w:t>
      </w:r>
    </w:p>
    <w:p w14:paraId="78BA6114">
      <w:pPr>
        <w:ind w:firstLine="480" w:firstLineChars="200"/>
        <w:rPr>
          <w:rFonts w:cs="宋体"/>
          <w:color w:val="auto"/>
          <w:highlight w:val="none"/>
        </w:rPr>
      </w:pPr>
      <w:r>
        <w:rPr>
          <w:rFonts w:hint="eastAsia" w:cs="宋体"/>
          <w:color w:val="auto"/>
          <w:highlight w:val="none"/>
        </w:rPr>
        <w:t>供应商应保证响应文件副本与正本内容严格一致；</w:t>
      </w:r>
    </w:p>
    <w:p w14:paraId="0915319C">
      <w:pPr>
        <w:ind w:firstLine="480" w:firstLineChars="200"/>
        <w:rPr>
          <w:rFonts w:cs="宋体"/>
          <w:color w:val="auto"/>
          <w:highlight w:val="none"/>
        </w:rPr>
      </w:pPr>
      <w:r>
        <w:rPr>
          <w:rFonts w:hint="eastAsia" w:cs="宋体"/>
          <w:color w:val="auto"/>
          <w:highlight w:val="none"/>
        </w:rPr>
        <w:t>供应商对本磋商文件第七部分“响应文件格式”中提供格式的资料，必须按照样表格式要求在指定位置加盖与供应商全称相一致的标准公章并经法定代表人或供应商代表签字，否则按响应无效处理。</w:t>
      </w:r>
    </w:p>
    <w:p w14:paraId="4368013A">
      <w:pPr>
        <w:ind w:firstLine="480" w:firstLineChars="200"/>
        <w:rPr>
          <w:rFonts w:cs="宋体"/>
          <w:color w:val="auto"/>
          <w:highlight w:val="none"/>
        </w:rPr>
      </w:pPr>
      <w:r>
        <w:rPr>
          <w:rFonts w:hint="eastAsia" w:cs="宋体"/>
          <w:color w:val="auto"/>
          <w:highlight w:val="none"/>
        </w:rPr>
        <w:t>12.6响应文件应字迹清楚、内容齐全、不得涂改或增删。如有修改和增删，必须有供应商公章及法定代表人或其授权的供应商代表签字。</w:t>
      </w:r>
    </w:p>
    <w:p w14:paraId="0F988CDB">
      <w:pPr>
        <w:ind w:firstLine="480" w:firstLineChars="200"/>
        <w:rPr>
          <w:rFonts w:cs="宋体"/>
          <w:color w:val="auto"/>
          <w:highlight w:val="none"/>
        </w:rPr>
      </w:pPr>
      <w:r>
        <w:rPr>
          <w:rFonts w:hint="eastAsia" w:cs="宋体"/>
          <w:color w:val="auto"/>
          <w:highlight w:val="none"/>
        </w:rPr>
        <w:t>12.7因响应文件字迹潦草或表达不清所引起的不利后果由供应商承担。</w:t>
      </w:r>
    </w:p>
    <w:p w14:paraId="23846951">
      <w:pPr>
        <w:keepNext/>
        <w:keepLines/>
        <w:ind w:firstLine="482" w:firstLineChars="200"/>
        <w:outlineLvl w:val="1"/>
        <w:rPr>
          <w:rFonts w:cs="宋体"/>
          <w:b/>
          <w:color w:val="auto"/>
          <w:highlight w:val="none"/>
        </w:rPr>
      </w:pPr>
      <w:bookmarkStart w:id="27" w:name="_Toc29244"/>
      <w:r>
        <w:rPr>
          <w:rFonts w:hint="eastAsia" w:cs="宋体"/>
          <w:b/>
          <w:color w:val="auto"/>
          <w:highlight w:val="none"/>
        </w:rPr>
        <w:t>四、响应文件的递交</w:t>
      </w:r>
      <w:bookmarkEnd w:id="20"/>
      <w:bookmarkEnd w:id="21"/>
      <w:bookmarkEnd w:id="22"/>
      <w:bookmarkEnd w:id="23"/>
      <w:bookmarkEnd w:id="24"/>
      <w:bookmarkEnd w:id="25"/>
      <w:bookmarkEnd w:id="26"/>
      <w:bookmarkEnd w:id="27"/>
    </w:p>
    <w:p w14:paraId="42B433DD">
      <w:pPr>
        <w:rPr>
          <w:rFonts w:cs="宋体"/>
          <w:b/>
          <w:bCs/>
          <w:color w:val="auto"/>
          <w:highlight w:val="none"/>
        </w:rPr>
      </w:pPr>
      <w:r>
        <w:rPr>
          <w:rFonts w:hint="eastAsia" w:cs="宋体"/>
          <w:b/>
          <w:bCs/>
          <w:color w:val="auto"/>
          <w:highlight w:val="none"/>
        </w:rPr>
        <w:t>13、响应文件的密封及标记</w:t>
      </w:r>
    </w:p>
    <w:p w14:paraId="4D2EB850">
      <w:pPr>
        <w:ind w:firstLine="480" w:firstLineChars="200"/>
        <w:rPr>
          <w:rFonts w:cs="宋体"/>
          <w:color w:val="auto"/>
          <w:highlight w:val="none"/>
        </w:rPr>
      </w:pPr>
      <w:r>
        <w:rPr>
          <w:rFonts w:hint="eastAsia" w:cs="宋体"/>
          <w:color w:val="auto"/>
          <w:highlight w:val="none"/>
        </w:rPr>
        <w:t>13.1 响应文件的密封要求详见供应商须知前附表的规定。</w:t>
      </w:r>
    </w:p>
    <w:p w14:paraId="0A983E87">
      <w:pPr>
        <w:ind w:firstLine="480" w:firstLineChars="200"/>
        <w:rPr>
          <w:rFonts w:cs="宋体"/>
          <w:color w:val="auto"/>
          <w:highlight w:val="none"/>
        </w:rPr>
      </w:pPr>
      <w:r>
        <w:rPr>
          <w:rFonts w:hint="eastAsia" w:cs="宋体"/>
          <w:color w:val="auto"/>
          <w:highlight w:val="none"/>
        </w:rPr>
        <w:t>13.2 如果供应商未对响应文件进行密封、盖章的，将做响应无效处理。采购代理机构对由此带来的问题和后果概不承担任何责任。</w:t>
      </w:r>
    </w:p>
    <w:p w14:paraId="28DACBE6">
      <w:pPr>
        <w:rPr>
          <w:rFonts w:cs="宋体"/>
          <w:b/>
          <w:bCs/>
          <w:color w:val="auto"/>
          <w:highlight w:val="none"/>
        </w:rPr>
      </w:pPr>
      <w:r>
        <w:rPr>
          <w:rFonts w:hint="eastAsia" w:cs="宋体"/>
          <w:b/>
          <w:bCs/>
          <w:color w:val="auto"/>
          <w:highlight w:val="none"/>
        </w:rPr>
        <w:t>14、递交截止时间</w:t>
      </w:r>
    </w:p>
    <w:p w14:paraId="056709EF">
      <w:pPr>
        <w:ind w:firstLine="480" w:firstLineChars="200"/>
        <w:rPr>
          <w:rFonts w:cs="宋体"/>
          <w:color w:val="auto"/>
          <w:highlight w:val="none"/>
        </w:rPr>
      </w:pPr>
      <w:r>
        <w:rPr>
          <w:rFonts w:hint="eastAsia" w:cs="宋体"/>
          <w:color w:val="auto"/>
          <w:highlight w:val="none"/>
        </w:rPr>
        <w:t>14.1 供应商应根据竞争性磋商文件及交易平台的要求对电子版响应文件进行电子签章并加密。供应商未按规定加密的响应文件，电子交易平台拒收并提示；响应文件纸质版须按照磋商文件中规定的递交截止时间、地点送达。在递交截止时间后送达的响应文件，采购代理机构将拒绝接收。</w:t>
      </w:r>
    </w:p>
    <w:p w14:paraId="55E2E3D9">
      <w:pPr>
        <w:ind w:firstLine="480" w:firstLineChars="200"/>
        <w:rPr>
          <w:rFonts w:cs="宋体"/>
          <w:color w:val="auto"/>
          <w:highlight w:val="none"/>
        </w:rPr>
      </w:pPr>
      <w:r>
        <w:rPr>
          <w:rFonts w:hint="eastAsia" w:cs="宋体"/>
          <w:color w:val="auto"/>
          <w:highlight w:val="none"/>
        </w:rPr>
        <w:t>14.2 采购代理机构根据本须知的规定，通过修改磋商文件或自行决定延长递交截止日期的，采购人和供应商受递交截止日期制约的所有权利和义务均延长至新的截止日期。</w:t>
      </w:r>
    </w:p>
    <w:p w14:paraId="54B917C7">
      <w:pPr>
        <w:rPr>
          <w:rFonts w:cs="宋体"/>
          <w:b/>
          <w:bCs/>
          <w:color w:val="auto"/>
          <w:highlight w:val="none"/>
        </w:rPr>
      </w:pPr>
      <w:r>
        <w:rPr>
          <w:rFonts w:hint="eastAsia" w:cs="宋体"/>
          <w:b/>
          <w:bCs/>
          <w:color w:val="auto"/>
          <w:highlight w:val="none"/>
        </w:rPr>
        <w:t>15、响应文件的补充、修改和撤回</w:t>
      </w:r>
    </w:p>
    <w:p w14:paraId="157E6043">
      <w:pPr>
        <w:ind w:firstLine="480" w:firstLineChars="200"/>
        <w:rPr>
          <w:rFonts w:cs="宋体"/>
          <w:color w:val="auto"/>
          <w:highlight w:val="none"/>
        </w:rPr>
      </w:pPr>
      <w:r>
        <w:rPr>
          <w:rFonts w:hint="eastAsia" w:cs="宋体"/>
          <w:color w:val="auto"/>
          <w:highlight w:val="none"/>
        </w:rPr>
        <w:t>15.1 供应商可以在递交截止时间前，对所递交的响应文件进行补充、修改或者撤回，并以书面形式通知采购代理机构，否则（相关补充、修改或者撤回）无效。补充、修改的内容作为响应文件的组成部分。补充、修改的内容与响应文件不一致的，以补充、修改的内容为准。</w:t>
      </w:r>
    </w:p>
    <w:p w14:paraId="2993BCC0">
      <w:pPr>
        <w:ind w:firstLine="480" w:firstLineChars="200"/>
        <w:rPr>
          <w:rFonts w:cs="宋体"/>
          <w:color w:val="auto"/>
          <w:highlight w:val="none"/>
        </w:rPr>
      </w:pPr>
      <w:r>
        <w:rPr>
          <w:rFonts w:hint="eastAsia" w:cs="宋体"/>
          <w:color w:val="auto"/>
          <w:highlight w:val="none"/>
        </w:rPr>
        <w:t>15.2 供应商撤回磋商的要求应由供应商法定代表人或供应商代表签署，补充、修改响应文件的书面材料，应当按照磋商文件要求签署、盖章、密封后，在递交截止时间前送达采购代理机构，作为响应文件的组成部分，同时应在封套上标明“修改响应文件(并注明项目编号)”和“磋商时启封”字样。</w:t>
      </w:r>
    </w:p>
    <w:p w14:paraId="369CEAB6">
      <w:pPr>
        <w:ind w:firstLine="480" w:firstLineChars="200"/>
        <w:rPr>
          <w:rFonts w:cs="宋体"/>
          <w:color w:val="auto"/>
          <w:highlight w:val="none"/>
        </w:rPr>
      </w:pPr>
      <w:r>
        <w:rPr>
          <w:rFonts w:hint="eastAsia" w:cs="宋体"/>
          <w:color w:val="auto"/>
          <w:highlight w:val="none"/>
        </w:rPr>
        <w:t>15.3 在磋商文件要求的响应文件递交截止时间之后，供应商不得对其响应文件进行补充、修改或撤回。</w:t>
      </w:r>
    </w:p>
    <w:p w14:paraId="6FAABEF3">
      <w:pPr>
        <w:keepNext/>
        <w:keepLines/>
        <w:ind w:firstLine="482" w:firstLineChars="200"/>
        <w:outlineLvl w:val="1"/>
        <w:rPr>
          <w:rFonts w:cs="宋体"/>
          <w:b/>
          <w:color w:val="auto"/>
          <w:highlight w:val="none"/>
        </w:rPr>
      </w:pPr>
      <w:bookmarkStart w:id="28" w:name="_Toc24287"/>
      <w:bookmarkStart w:id="29" w:name="_Toc424378689"/>
      <w:bookmarkStart w:id="30" w:name="_Toc29809"/>
      <w:bookmarkStart w:id="31" w:name="_Toc352761934"/>
      <w:bookmarkStart w:id="32" w:name="_Toc2621"/>
      <w:bookmarkStart w:id="33" w:name="_Toc493575824"/>
      <w:bookmarkStart w:id="34" w:name="_Toc22793"/>
      <w:bookmarkStart w:id="35" w:name="_Toc824"/>
      <w:bookmarkStart w:id="36" w:name="_Toc31651"/>
      <w:r>
        <w:rPr>
          <w:rFonts w:hint="eastAsia" w:cs="宋体"/>
          <w:b/>
          <w:color w:val="auto"/>
          <w:highlight w:val="none"/>
        </w:rPr>
        <w:t>五、</w:t>
      </w:r>
      <w:bookmarkEnd w:id="28"/>
      <w:bookmarkEnd w:id="29"/>
      <w:bookmarkEnd w:id="30"/>
      <w:bookmarkEnd w:id="31"/>
      <w:bookmarkEnd w:id="32"/>
      <w:bookmarkEnd w:id="33"/>
      <w:bookmarkEnd w:id="34"/>
      <w:r>
        <w:rPr>
          <w:rFonts w:hint="eastAsia" w:cs="宋体"/>
          <w:b/>
          <w:color w:val="auto"/>
          <w:highlight w:val="none"/>
        </w:rPr>
        <w:t>开启</w:t>
      </w:r>
      <w:bookmarkEnd w:id="35"/>
      <w:bookmarkEnd w:id="36"/>
    </w:p>
    <w:p w14:paraId="0BAA3AC1">
      <w:pPr>
        <w:rPr>
          <w:rFonts w:cs="宋体"/>
          <w:b/>
          <w:bCs/>
          <w:color w:val="auto"/>
          <w:highlight w:val="none"/>
        </w:rPr>
      </w:pPr>
      <w:r>
        <w:rPr>
          <w:rFonts w:hint="eastAsia" w:cs="宋体"/>
          <w:b/>
          <w:bCs/>
          <w:color w:val="auto"/>
          <w:highlight w:val="none"/>
        </w:rPr>
        <w:t>16、开启及其有关事项</w:t>
      </w:r>
    </w:p>
    <w:p w14:paraId="3C073D4A">
      <w:pPr>
        <w:ind w:firstLine="480" w:firstLineChars="200"/>
        <w:rPr>
          <w:rFonts w:cs="宋体"/>
          <w:color w:val="auto"/>
          <w:highlight w:val="none"/>
        </w:rPr>
      </w:pPr>
      <w:r>
        <w:rPr>
          <w:rFonts w:hint="eastAsia" w:cs="宋体"/>
          <w:color w:val="auto"/>
          <w:highlight w:val="none"/>
        </w:rPr>
        <w:t>16.1 采购代理机构按磋商文件规定的时间、地点主持开启活动，邀请供应商参加。磋商小组不得参加开启活动。</w:t>
      </w:r>
    </w:p>
    <w:p w14:paraId="2F5FEA27">
      <w:pPr>
        <w:ind w:firstLine="480" w:firstLineChars="200"/>
        <w:rPr>
          <w:rFonts w:cs="宋体"/>
          <w:color w:val="auto"/>
          <w:highlight w:val="none"/>
        </w:rPr>
      </w:pPr>
      <w:r>
        <w:rPr>
          <w:rFonts w:hint="eastAsia" w:cs="宋体"/>
          <w:color w:val="auto"/>
          <w:highlight w:val="none"/>
        </w:rPr>
        <w:t>16.2 参加开启的供应商代表在线签到。开标前半小时，供应商利用CA锁在线进行签到；</w:t>
      </w:r>
    </w:p>
    <w:p w14:paraId="4DFAB9D2">
      <w:pPr>
        <w:ind w:firstLine="480" w:firstLineChars="200"/>
        <w:rPr>
          <w:rFonts w:cs="宋体"/>
          <w:color w:val="auto"/>
          <w:highlight w:val="none"/>
        </w:rPr>
      </w:pPr>
      <w:r>
        <w:rPr>
          <w:rFonts w:hint="eastAsia" w:cs="宋体"/>
          <w:color w:val="auto"/>
          <w:highlight w:val="none"/>
        </w:rPr>
        <w:t>16.3 供应商不足三家的，不得开启和解密。</w:t>
      </w:r>
    </w:p>
    <w:p w14:paraId="08939A32">
      <w:pPr>
        <w:ind w:firstLine="480" w:firstLineChars="200"/>
        <w:rPr>
          <w:rFonts w:cs="宋体"/>
          <w:color w:val="auto"/>
          <w:highlight w:val="none"/>
        </w:rPr>
      </w:pPr>
      <w:r>
        <w:rPr>
          <w:rFonts w:hint="eastAsia" w:cs="宋体"/>
          <w:color w:val="auto"/>
          <w:highlight w:val="none"/>
        </w:rPr>
        <w:t>16.4 采购代理机构在响应文件开启时间，发出响应文件解密指令。开启时间截止开始进入解密环节，供应商应在开始解密时间起半个小时内在线进行电子响应文件的解密操作，未在规定时间内解密，其报价视为无效；</w:t>
      </w:r>
    </w:p>
    <w:p w14:paraId="5CDACC71">
      <w:pPr>
        <w:ind w:firstLine="480" w:firstLineChars="200"/>
        <w:rPr>
          <w:rFonts w:cs="宋体"/>
          <w:color w:val="auto"/>
          <w:highlight w:val="none"/>
        </w:rPr>
      </w:pPr>
      <w:r>
        <w:rPr>
          <w:rFonts w:hint="eastAsia" w:cs="宋体"/>
          <w:color w:val="auto"/>
          <w:highlight w:val="none"/>
        </w:rPr>
        <w:t>16.5第一轮报价。解密全部完成后或解密时间截止时，电子交易平台自动显示供应商名称、标段名称、报价、合同履行期限、项目经理等磋商文件所确定的内容；</w:t>
      </w:r>
    </w:p>
    <w:p w14:paraId="7B980549">
      <w:pPr>
        <w:ind w:firstLine="480" w:firstLineChars="200"/>
        <w:rPr>
          <w:rFonts w:cs="宋体"/>
          <w:color w:val="auto"/>
          <w:highlight w:val="none"/>
        </w:rPr>
      </w:pPr>
      <w:r>
        <w:rPr>
          <w:rFonts w:hint="eastAsia" w:cs="宋体"/>
          <w:color w:val="auto"/>
          <w:highlight w:val="none"/>
        </w:rPr>
        <w:t>16.6第一轮报价结束，招标代理在政府采购电子交易系统自动生成第一轮报价记录，经供应商在线会签加盖单位电子签章，记录表未按规定加盖单位电子签章的其报价视为无效。</w:t>
      </w:r>
    </w:p>
    <w:p w14:paraId="07920934">
      <w:pPr>
        <w:keepNext/>
        <w:keepLines/>
        <w:ind w:firstLine="482" w:firstLineChars="200"/>
        <w:outlineLvl w:val="1"/>
        <w:rPr>
          <w:rFonts w:cs="宋体"/>
          <w:b/>
          <w:color w:val="auto"/>
          <w:highlight w:val="none"/>
        </w:rPr>
      </w:pPr>
      <w:bookmarkStart w:id="37" w:name="_Toc30173"/>
      <w:bookmarkStart w:id="38" w:name="_Toc15893"/>
      <w:bookmarkStart w:id="39" w:name="_Toc32285"/>
      <w:bookmarkStart w:id="40" w:name="_Toc352761935"/>
      <w:bookmarkStart w:id="41" w:name="_Toc6774"/>
      <w:bookmarkStart w:id="42" w:name="_Toc493575825"/>
      <w:bookmarkStart w:id="43" w:name="_Toc15547"/>
      <w:bookmarkStart w:id="44" w:name="_Toc424378690"/>
      <w:bookmarkStart w:id="45" w:name="_Toc11921"/>
      <w:r>
        <w:rPr>
          <w:rFonts w:hint="eastAsia" w:cs="宋体"/>
          <w:b/>
          <w:color w:val="auto"/>
          <w:highlight w:val="none"/>
        </w:rPr>
        <w:t>六、磋商程序和要求</w:t>
      </w:r>
      <w:bookmarkEnd w:id="37"/>
      <w:bookmarkEnd w:id="38"/>
      <w:bookmarkEnd w:id="39"/>
      <w:bookmarkEnd w:id="40"/>
      <w:bookmarkEnd w:id="41"/>
      <w:bookmarkEnd w:id="42"/>
      <w:bookmarkEnd w:id="43"/>
      <w:bookmarkEnd w:id="44"/>
      <w:bookmarkEnd w:id="45"/>
    </w:p>
    <w:p w14:paraId="4E7CAC68">
      <w:pPr>
        <w:rPr>
          <w:rFonts w:cs="宋体"/>
          <w:b/>
          <w:bCs/>
          <w:color w:val="auto"/>
          <w:highlight w:val="none"/>
        </w:rPr>
      </w:pPr>
      <w:r>
        <w:rPr>
          <w:rFonts w:hint="eastAsia" w:cs="宋体"/>
          <w:b/>
          <w:bCs/>
          <w:color w:val="auto"/>
          <w:highlight w:val="none"/>
        </w:rPr>
        <w:t>18、组建磋商小组</w:t>
      </w:r>
    </w:p>
    <w:p w14:paraId="084E9EFE">
      <w:pPr>
        <w:ind w:firstLine="480" w:firstLineChars="200"/>
        <w:rPr>
          <w:rFonts w:cs="宋体"/>
          <w:color w:val="auto"/>
          <w:highlight w:val="none"/>
        </w:rPr>
      </w:pPr>
      <w:r>
        <w:rPr>
          <w:rFonts w:hint="eastAsia" w:cs="宋体"/>
          <w:color w:val="auto"/>
          <w:highlight w:val="none"/>
        </w:rPr>
        <w:t>18.1采购代理机构根据有关法律法规和本磋商文件的规定，结合本采购项目的特点组建磋商小组，对具备实质性磋商响应的响应文件进行评估和比较。磋商小组评审专家从采购评审专家库随机抽取。由采购人代表和评审专家共3人组成，其中经济、技术等方面的专家不少于三分之二。</w:t>
      </w:r>
    </w:p>
    <w:p w14:paraId="4F931B61">
      <w:pPr>
        <w:ind w:firstLine="480" w:firstLineChars="200"/>
        <w:rPr>
          <w:rFonts w:cs="宋体"/>
          <w:color w:val="auto"/>
          <w:highlight w:val="none"/>
        </w:rPr>
      </w:pPr>
      <w:r>
        <w:rPr>
          <w:rFonts w:hint="eastAsia" w:cs="宋体"/>
          <w:color w:val="auto"/>
          <w:highlight w:val="none"/>
        </w:rPr>
        <w:t>18.2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63546E5B">
      <w:pPr>
        <w:rPr>
          <w:rFonts w:cs="宋体"/>
          <w:b/>
          <w:bCs/>
          <w:color w:val="auto"/>
          <w:highlight w:val="none"/>
        </w:rPr>
      </w:pPr>
      <w:r>
        <w:rPr>
          <w:rFonts w:hint="eastAsia" w:cs="宋体"/>
          <w:b/>
          <w:bCs/>
          <w:color w:val="auto"/>
          <w:highlight w:val="none"/>
        </w:rPr>
        <w:t>19、审核</w:t>
      </w:r>
    </w:p>
    <w:p w14:paraId="5244B29C">
      <w:pPr>
        <w:ind w:firstLine="480" w:firstLineChars="200"/>
        <w:rPr>
          <w:rFonts w:cs="宋体"/>
          <w:color w:val="auto"/>
          <w:highlight w:val="none"/>
        </w:rPr>
      </w:pPr>
      <w:r>
        <w:rPr>
          <w:rFonts w:hint="eastAsia" w:cs="宋体"/>
          <w:color w:val="auto"/>
          <w:highlight w:val="none"/>
        </w:rPr>
        <w:t>19.1开标后，磋商小组将审查各供应商响应文件是否符合磋商文件的基本要求：内容是否完整、资格证明文件是否齐全、文件签署是否齐全及验证磋商保证金。</w:t>
      </w:r>
    </w:p>
    <w:p w14:paraId="19823E3D">
      <w:pPr>
        <w:ind w:firstLine="480" w:firstLineChars="200"/>
        <w:rPr>
          <w:rFonts w:cs="宋体"/>
          <w:color w:val="auto"/>
          <w:highlight w:val="none"/>
        </w:rPr>
      </w:pPr>
      <w:r>
        <w:rPr>
          <w:rFonts w:hint="eastAsia" w:cs="宋体"/>
          <w:color w:val="auto"/>
          <w:highlight w:val="none"/>
        </w:rPr>
        <w:t>19.2审核时，磋商小组要审核每份响应文件的有效性、完整性和响应程度：</w:t>
      </w:r>
    </w:p>
    <w:p w14:paraId="6152EE23">
      <w:pPr>
        <w:ind w:firstLine="480" w:firstLineChars="200"/>
        <w:rPr>
          <w:rFonts w:cs="宋体"/>
          <w:color w:val="auto"/>
          <w:highlight w:val="none"/>
        </w:rPr>
      </w:pPr>
      <w:r>
        <w:rPr>
          <w:rFonts w:hint="eastAsia" w:cs="宋体"/>
          <w:color w:val="auto"/>
          <w:highlight w:val="none"/>
        </w:rPr>
        <w:t>资格性审查：审查内容详见“第三部分资格性、符合性评审标准”</w:t>
      </w:r>
    </w:p>
    <w:p w14:paraId="6C54A6F6">
      <w:pPr>
        <w:ind w:firstLine="480" w:firstLineChars="200"/>
        <w:rPr>
          <w:rFonts w:cs="宋体"/>
          <w:color w:val="auto"/>
          <w:highlight w:val="none"/>
        </w:rPr>
      </w:pPr>
      <w:r>
        <w:rPr>
          <w:rFonts w:hint="eastAsia" w:cs="宋体"/>
          <w:color w:val="auto"/>
          <w:highlight w:val="none"/>
        </w:rPr>
        <w:t>符合性审查：审查内容详见“第三部分资格性、符合性评审标准</w:t>
      </w:r>
    </w:p>
    <w:p w14:paraId="40F5BED3">
      <w:pPr>
        <w:ind w:firstLine="480" w:firstLineChars="200"/>
        <w:rPr>
          <w:rFonts w:cs="宋体"/>
          <w:color w:val="auto"/>
          <w:highlight w:val="none"/>
        </w:rPr>
      </w:pPr>
      <w:r>
        <w:rPr>
          <w:rFonts w:hint="eastAsia" w:cs="宋体"/>
          <w:color w:val="auto"/>
          <w:highlight w:val="none"/>
        </w:rPr>
        <w:t>19.3磋商小组各评审专家在资格性、符合性审核之后，对符合要求的供应商进行详细评审。</w:t>
      </w:r>
    </w:p>
    <w:p w14:paraId="0CE1EB88">
      <w:pPr>
        <w:ind w:firstLine="480" w:firstLineChars="200"/>
        <w:rPr>
          <w:rFonts w:cs="宋体"/>
          <w:color w:val="auto"/>
          <w:highlight w:val="none"/>
        </w:rPr>
      </w:pPr>
      <w:r>
        <w:rPr>
          <w:rFonts w:hint="eastAsia" w:cs="宋体"/>
          <w:color w:val="auto"/>
          <w:highlight w:val="none"/>
        </w:rPr>
        <w:t>19.4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568F60">
      <w:pPr>
        <w:ind w:firstLine="480" w:firstLineChars="200"/>
        <w:rPr>
          <w:rFonts w:cs="宋体"/>
          <w:color w:val="auto"/>
          <w:highlight w:val="none"/>
        </w:rPr>
      </w:pPr>
      <w:r>
        <w:rPr>
          <w:rFonts w:hint="eastAsia" w:cs="宋体"/>
          <w:color w:val="auto"/>
          <w:highlight w:val="none"/>
        </w:rPr>
        <w:t>19.5磋商</w:t>
      </w:r>
    </w:p>
    <w:p w14:paraId="143C6172">
      <w:pPr>
        <w:ind w:firstLine="480" w:firstLineChars="200"/>
        <w:rPr>
          <w:rFonts w:cs="宋体"/>
          <w:color w:val="auto"/>
          <w:highlight w:val="none"/>
        </w:rPr>
      </w:pPr>
      <w:r>
        <w:rPr>
          <w:rFonts w:hint="eastAsia" w:cs="宋体"/>
          <w:color w:val="auto"/>
          <w:highlight w:val="none"/>
        </w:rPr>
        <w:t>磋商小组按照各供应商签到顺序，与各供应商在交易平台上分别进行商务、技术磋商。具体步骤为：</w:t>
      </w:r>
    </w:p>
    <w:p w14:paraId="53E89466">
      <w:pPr>
        <w:ind w:firstLine="480" w:firstLineChars="200"/>
        <w:rPr>
          <w:rFonts w:cs="宋体"/>
          <w:color w:val="auto"/>
          <w:highlight w:val="none"/>
        </w:rPr>
      </w:pPr>
      <w:r>
        <w:rPr>
          <w:rFonts w:hint="eastAsia" w:cs="宋体"/>
          <w:color w:val="auto"/>
          <w:highlight w:val="none"/>
        </w:rPr>
        <w:t>（1）磋商小组专家依据磋商要点，结合专家审核意见和供应商技术陈述情况，与供应商进行商务、技术磋商；</w:t>
      </w:r>
    </w:p>
    <w:p w14:paraId="745E7D05">
      <w:pPr>
        <w:ind w:firstLine="480" w:firstLineChars="200"/>
        <w:rPr>
          <w:rFonts w:cs="宋体"/>
          <w:color w:val="auto"/>
          <w:highlight w:val="none"/>
        </w:rPr>
      </w:pPr>
      <w:r>
        <w:rPr>
          <w:rFonts w:hint="eastAsia" w:cs="宋体"/>
          <w:color w:val="auto"/>
          <w:highlight w:val="none"/>
        </w:rPr>
        <w:t>（2）商务、技术磋商后，供应商根据磋商小组要求，对原报价技术参数进行修正，并做相应承诺。</w:t>
      </w:r>
    </w:p>
    <w:p w14:paraId="4A9B0BD0">
      <w:pPr>
        <w:ind w:firstLine="480" w:firstLineChars="200"/>
        <w:rPr>
          <w:rFonts w:cs="宋体"/>
          <w:color w:val="auto"/>
          <w:highlight w:val="none"/>
        </w:rPr>
      </w:pPr>
      <w:r>
        <w:rPr>
          <w:rFonts w:hint="eastAsia" w:cs="宋体"/>
          <w:color w:val="auto"/>
          <w:highlight w:val="none"/>
        </w:rPr>
        <w:t>（3）对磋商文件作出的实质性变动是磋商文件的有效组成部分，磋商小组应当及时通知所有参加磋商的供应商。</w:t>
      </w:r>
    </w:p>
    <w:p w14:paraId="633A0BB2">
      <w:pPr>
        <w:ind w:firstLine="480" w:firstLineChars="200"/>
        <w:rPr>
          <w:rFonts w:cs="宋体"/>
          <w:color w:val="auto"/>
          <w:highlight w:val="none"/>
        </w:rPr>
      </w:pPr>
      <w:r>
        <w:rPr>
          <w:rFonts w:hint="eastAsia" w:cs="宋体"/>
          <w:color w:val="auto"/>
          <w:highlight w:val="none"/>
        </w:rPr>
        <w:t>19.6磋商文件能够详细列明采购标的的技术要求、服务要求等的，磋商结束后，磋商小组应当向所有实质性响应磋商文件要求的供应商开启第二次报价通知，并要求其在规定时间内在山西政采云平台投标客户端（http://www.ccgp-shanxi.gov.cn）完成第二轮报价（最终报价）递交（上传），递交截止时间前未完成最后报价文件上传的，视为放弃最后报价，其第一次报价将作为该供应商的最终报价，供应商自行承担责任。提交最终报价的供应商不得少于3家。第二轮报价即最终报价为不公开报价，不再向任何供应商公布报价情况。</w:t>
      </w:r>
    </w:p>
    <w:p w14:paraId="04CA6055">
      <w:pPr>
        <w:ind w:firstLine="480" w:firstLineChars="200"/>
        <w:rPr>
          <w:rFonts w:cs="宋体"/>
          <w:color w:val="auto"/>
          <w:highlight w:val="none"/>
        </w:rPr>
      </w:pPr>
      <w:r>
        <w:rPr>
          <w:rFonts w:hint="eastAsia" w:cs="宋体"/>
          <w:color w:val="auto"/>
          <w:highlight w:val="none"/>
        </w:rPr>
        <w:t>19.7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14:paraId="55408E5A">
      <w:pPr>
        <w:ind w:firstLine="480" w:firstLineChars="200"/>
        <w:rPr>
          <w:rFonts w:cs="宋体"/>
          <w:color w:val="auto"/>
          <w:highlight w:val="none"/>
        </w:rPr>
      </w:pPr>
      <w:r>
        <w:rPr>
          <w:rFonts w:hint="eastAsia" w:cs="宋体"/>
          <w:color w:val="auto"/>
          <w:highlight w:val="none"/>
        </w:rPr>
        <w:t>19.8已提交响应文件的供应商，在提交最后报价之前，可以根据磋商情况退出磋商。采购人、采购代理机构应当退还退出磋商的供应商的磋商保证金。</w:t>
      </w:r>
    </w:p>
    <w:p w14:paraId="24102FB8">
      <w:pPr>
        <w:ind w:firstLine="480" w:firstLineChars="200"/>
        <w:rPr>
          <w:rFonts w:cs="宋体"/>
          <w:color w:val="auto"/>
          <w:highlight w:val="none"/>
        </w:rPr>
      </w:pPr>
      <w:r>
        <w:rPr>
          <w:rFonts w:hint="eastAsia" w:cs="宋体"/>
          <w:color w:val="auto"/>
          <w:highlight w:val="none"/>
        </w:rPr>
        <w:t>19.9磋商报价以二次报价为评标依据，二次报价不得高于自己的第一次报价。</w:t>
      </w:r>
    </w:p>
    <w:p w14:paraId="0CC7BD5D">
      <w:pPr>
        <w:rPr>
          <w:rFonts w:cs="宋体"/>
          <w:b/>
          <w:bCs/>
          <w:color w:val="auto"/>
          <w:highlight w:val="none"/>
        </w:rPr>
      </w:pPr>
      <w:r>
        <w:rPr>
          <w:rFonts w:hint="eastAsia" w:cs="宋体"/>
          <w:b/>
          <w:bCs/>
          <w:color w:val="auto"/>
          <w:highlight w:val="none"/>
        </w:rPr>
        <w:t>20、报价的澄清</w:t>
      </w:r>
    </w:p>
    <w:p w14:paraId="6374A005">
      <w:pPr>
        <w:ind w:firstLine="480" w:firstLineChars="200"/>
        <w:rPr>
          <w:rFonts w:cs="宋体"/>
          <w:color w:val="auto"/>
          <w:highlight w:val="none"/>
        </w:rPr>
      </w:pPr>
      <w:r>
        <w:rPr>
          <w:rFonts w:hint="eastAsia" w:cs="宋体"/>
          <w:color w:val="auto"/>
          <w:highlight w:val="none"/>
        </w:rPr>
        <w:t>20.1 磋商小组有权要求供应商对响应文件中含义不明确、对同类问题表述不一致或者有明显文字和计算错误等内容作必要的澄清、说明或者补正。该要求应当采用书面形式,并由磋商小组专家共同签字。</w:t>
      </w:r>
    </w:p>
    <w:p w14:paraId="25B263E0">
      <w:pPr>
        <w:ind w:firstLine="480" w:firstLineChars="200"/>
        <w:rPr>
          <w:rFonts w:cs="宋体"/>
          <w:color w:val="auto"/>
          <w:highlight w:val="none"/>
        </w:rPr>
      </w:pPr>
      <w:r>
        <w:rPr>
          <w:rFonts w:hint="eastAsia" w:cs="宋体"/>
          <w:color w:val="auto"/>
          <w:highlight w:val="none"/>
        </w:rPr>
        <w:t>20.2 供应商必须按照磋商小组通知的内容和时间做出书面答复，该答复经法定代表人或供应商代表的签字认可，将作为响应文件内容的一部分。澄清、说明或者补正不得超出响应文件的范围或者改变响应文件的实质性内容。供应商拒不按照要求对响应文件进行澄清、说明或者补正的，磋商小组可拒绝该报价。</w:t>
      </w:r>
    </w:p>
    <w:p w14:paraId="6D87A88D">
      <w:pPr>
        <w:ind w:firstLine="480" w:firstLineChars="200"/>
        <w:rPr>
          <w:rFonts w:cs="宋体"/>
          <w:color w:val="auto"/>
          <w:highlight w:val="none"/>
        </w:rPr>
      </w:pPr>
      <w:r>
        <w:rPr>
          <w:rFonts w:hint="eastAsia" w:cs="宋体"/>
          <w:color w:val="auto"/>
          <w:highlight w:val="none"/>
        </w:rPr>
        <w:t>20.3 在评审过程中，磋商小组认为供应商的报价明显低于其他通过资格和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BCC6E2A">
      <w:pPr>
        <w:rPr>
          <w:rFonts w:cs="宋体"/>
          <w:b/>
          <w:bCs/>
          <w:color w:val="auto"/>
          <w:highlight w:val="none"/>
        </w:rPr>
      </w:pPr>
      <w:r>
        <w:rPr>
          <w:rFonts w:hint="eastAsia" w:cs="宋体"/>
          <w:b/>
          <w:bCs/>
          <w:color w:val="auto"/>
          <w:highlight w:val="none"/>
        </w:rPr>
        <w:t>21、评审</w:t>
      </w:r>
    </w:p>
    <w:p w14:paraId="7FD9E420">
      <w:pPr>
        <w:ind w:firstLine="480" w:firstLineChars="200"/>
        <w:rPr>
          <w:rFonts w:cs="宋体"/>
          <w:color w:val="auto"/>
          <w:highlight w:val="none"/>
        </w:rPr>
      </w:pPr>
      <w:r>
        <w:rPr>
          <w:rFonts w:hint="eastAsia" w:cs="宋体"/>
          <w:color w:val="auto"/>
          <w:highlight w:val="none"/>
        </w:rPr>
        <w:t>经磋商确定最终采购需求和提交最后报价的供应商后，由磋商小组采用综合评分法对提交最后报价的供应商的响应文件和最后报价进行综合评分。</w:t>
      </w:r>
    </w:p>
    <w:p w14:paraId="6960606F">
      <w:pPr>
        <w:ind w:firstLine="480" w:firstLineChars="200"/>
        <w:rPr>
          <w:rFonts w:cs="宋体"/>
          <w:color w:val="auto"/>
          <w:highlight w:val="none"/>
        </w:rPr>
      </w:pPr>
      <w:r>
        <w:rPr>
          <w:rFonts w:hint="eastAsia" w:cs="宋体"/>
          <w:color w:val="auto"/>
          <w:highlight w:val="none"/>
        </w:rPr>
        <w:t>综合评分法，是指响应文件满足磋商文件全部实质性要求且按评审因素的量化指标评审得分最高的供应商为成交候选供应商的评审方法。</w:t>
      </w:r>
    </w:p>
    <w:p w14:paraId="10EE8110">
      <w:pPr>
        <w:ind w:firstLine="480" w:firstLineChars="200"/>
        <w:rPr>
          <w:rFonts w:cs="宋体"/>
          <w:color w:val="auto"/>
          <w:highlight w:val="none"/>
        </w:rPr>
      </w:pPr>
      <w:r>
        <w:rPr>
          <w:rFonts w:hint="eastAsia" w:cs="宋体"/>
          <w:color w:val="auto"/>
          <w:highlight w:val="none"/>
        </w:rPr>
        <w:t>评审时，磋商小组各成员应当独立对每个有效响应的文件进行评价、打分，然后汇总每个供应商每项评分因素的得分。按照评审得分由高到低顺序推荐3名成交候选供应商。评审得分相同的，按照最后报价由低到高的顺序推荐。评审得分且最后报价相同的，按照技术指标优劣顺序推荐。</w:t>
      </w:r>
    </w:p>
    <w:p w14:paraId="71429BB6">
      <w:pPr>
        <w:rPr>
          <w:rFonts w:cs="宋体"/>
          <w:b/>
          <w:bCs/>
          <w:color w:val="auto"/>
          <w:highlight w:val="none"/>
        </w:rPr>
      </w:pPr>
      <w:r>
        <w:rPr>
          <w:rFonts w:hint="eastAsia" w:cs="宋体"/>
          <w:b/>
          <w:bCs/>
          <w:color w:val="auto"/>
          <w:highlight w:val="none"/>
        </w:rPr>
        <w:t>22、确定成交供应商</w:t>
      </w:r>
    </w:p>
    <w:p w14:paraId="5EEFA921">
      <w:pPr>
        <w:ind w:firstLine="480" w:firstLineChars="200"/>
        <w:rPr>
          <w:rFonts w:cs="宋体"/>
          <w:color w:val="auto"/>
          <w:highlight w:val="none"/>
        </w:rPr>
      </w:pPr>
      <w:r>
        <w:rPr>
          <w:rFonts w:hint="eastAsia" w:cs="宋体"/>
          <w:color w:val="auto"/>
          <w:highlight w:val="none"/>
        </w:rPr>
        <w:t>22.1磋商小组应当根据综合评分情况，按照评审得分由高到低顺序推荐3名以上成交候选供应商，采购人根据磋商小组以评审报告中排名第一的供应商确定为成交供应商。评审得分相同的，按照最后报价由低到高的顺序推荐。评审得分且最后报价相同的，按照技术指标优劣顺序推荐。</w:t>
      </w:r>
    </w:p>
    <w:p w14:paraId="739E3CA0">
      <w:pPr>
        <w:ind w:firstLine="480" w:firstLineChars="200"/>
        <w:rPr>
          <w:rFonts w:cs="宋体"/>
          <w:color w:val="auto"/>
          <w:highlight w:val="none"/>
        </w:rPr>
      </w:pPr>
      <w:r>
        <w:rPr>
          <w:rFonts w:hint="eastAsia" w:cs="宋体"/>
          <w:color w:val="auto"/>
          <w:highlight w:val="none"/>
        </w:rPr>
        <w:t>22.2实质上没有响应磋商文件要求的响应文件将被拒绝。如发现供应商有下列情况之一的，其响应文件将被拒绝，为无效响应：</w:t>
      </w:r>
    </w:p>
    <w:p w14:paraId="748184E6">
      <w:pPr>
        <w:ind w:firstLine="480" w:firstLineChars="200"/>
        <w:rPr>
          <w:rFonts w:cs="宋体"/>
          <w:color w:val="auto"/>
          <w:highlight w:val="none"/>
        </w:rPr>
      </w:pPr>
      <w:r>
        <w:rPr>
          <w:rFonts w:hint="eastAsia" w:cs="宋体"/>
          <w:color w:val="auto"/>
          <w:highlight w:val="none"/>
        </w:rPr>
        <w:t>（1）供应商未提交保证金或金额不足或保证金形式不符合竞争性磋商文件要求的；</w:t>
      </w:r>
    </w:p>
    <w:p w14:paraId="00F419F0">
      <w:pPr>
        <w:ind w:firstLine="480" w:firstLineChars="200"/>
        <w:rPr>
          <w:rFonts w:cs="宋体"/>
          <w:color w:val="auto"/>
          <w:highlight w:val="none"/>
        </w:rPr>
      </w:pPr>
      <w:r>
        <w:rPr>
          <w:rFonts w:hint="eastAsia" w:cs="宋体"/>
          <w:color w:val="auto"/>
          <w:highlight w:val="none"/>
        </w:rPr>
        <w:t>（2）供应商不符合本须知第3条要求的；</w:t>
      </w:r>
    </w:p>
    <w:p w14:paraId="58B0519C">
      <w:pPr>
        <w:ind w:firstLine="480" w:firstLineChars="200"/>
        <w:rPr>
          <w:rFonts w:cs="宋体"/>
          <w:color w:val="auto"/>
          <w:highlight w:val="none"/>
        </w:rPr>
      </w:pPr>
      <w:r>
        <w:rPr>
          <w:rFonts w:hint="eastAsia" w:cs="宋体"/>
          <w:color w:val="auto"/>
          <w:highlight w:val="none"/>
        </w:rPr>
        <w:t>（3）供应商未提供本须知9.2条规定的资格证明文件或提供的资格证明文件不符合磋商文件要求的；</w:t>
      </w:r>
    </w:p>
    <w:p w14:paraId="2C63FA13">
      <w:pPr>
        <w:ind w:firstLine="480" w:firstLineChars="200"/>
        <w:rPr>
          <w:rFonts w:cs="宋体"/>
          <w:color w:val="auto"/>
          <w:highlight w:val="none"/>
        </w:rPr>
      </w:pPr>
      <w:r>
        <w:rPr>
          <w:rFonts w:hint="eastAsia" w:cs="宋体"/>
          <w:color w:val="auto"/>
          <w:highlight w:val="none"/>
        </w:rPr>
        <w:t>（4）响应文件无法定代表人签字，或签字人无法定代表人有效授权书的；</w:t>
      </w:r>
    </w:p>
    <w:p w14:paraId="2771AE73">
      <w:pPr>
        <w:ind w:firstLine="480" w:firstLineChars="200"/>
        <w:rPr>
          <w:rFonts w:cs="宋体"/>
          <w:color w:val="auto"/>
          <w:highlight w:val="none"/>
        </w:rPr>
      </w:pPr>
      <w:r>
        <w:rPr>
          <w:rFonts w:hint="eastAsia" w:cs="宋体"/>
          <w:color w:val="auto"/>
          <w:highlight w:val="none"/>
        </w:rPr>
        <w:t>（5）响应有效期不足的；</w:t>
      </w:r>
    </w:p>
    <w:p w14:paraId="722838DF">
      <w:pPr>
        <w:ind w:firstLine="480" w:firstLineChars="200"/>
        <w:rPr>
          <w:rFonts w:cs="宋体"/>
          <w:color w:val="auto"/>
          <w:highlight w:val="none"/>
        </w:rPr>
      </w:pPr>
      <w:r>
        <w:rPr>
          <w:rFonts w:hint="eastAsia" w:cs="宋体"/>
          <w:color w:val="auto"/>
          <w:highlight w:val="none"/>
        </w:rPr>
        <w:t>（6）未按照磋商文件规定进行签署、盖章的；</w:t>
      </w:r>
    </w:p>
    <w:p w14:paraId="73504722">
      <w:pPr>
        <w:ind w:firstLine="480" w:firstLineChars="200"/>
        <w:rPr>
          <w:rFonts w:cs="宋体"/>
          <w:color w:val="auto"/>
          <w:highlight w:val="none"/>
        </w:rPr>
      </w:pPr>
      <w:r>
        <w:rPr>
          <w:rFonts w:hint="eastAsia" w:cs="宋体"/>
          <w:color w:val="auto"/>
          <w:highlight w:val="none"/>
        </w:rPr>
        <w:t>（7）响应文件的技术响应与事实不符或虚假响应的；</w:t>
      </w:r>
    </w:p>
    <w:p w14:paraId="6AB4F1B2">
      <w:pPr>
        <w:ind w:firstLine="480" w:firstLineChars="200"/>
        <w:rPr>
          <w:rFonts w:cs="宋体"/>
          <w:color w:val="auto"/>
          <w:highlight w:val="none"/>
        </w:rPr>
      </w:pPr>
      <w:r>
        <w:rPr>
          <w:rFonts w:hint="eastAsia" w:cs="宋体"/>
          <w:color w:val="auto"/>
          <w:highlight w:val="none"/>
        </w:rPr>
        <w:t>（8）响应文件不满足磋商文件中标注“*”号的商务条款及技术条款要求；</w:t>
      </w:r>
    </w:p>
    <w:p w14:paraId="0352F882">
      <w:pPr>
        <w:ind w:firstLine="480" w:firstLineChars="200"/>
        <w:rPr>
          <w:rFonts w:cs="宋体"/>
          <w:color w:val="auto"/>
          <w:highlight w:val="none"/>
        </w:rPr>
      </w:pPr>
      <w:r>
        <w:rPr>
          <w:rFonts w:hint="eastAsia" w:cs="宋体"/>
          <w:color w:val="auto"/>
          <w:highlight w:val="none"/>
        </w:rPr>
        <w:t>（9）报价超出政府采购预算的；</w:t>
      </w:r>
    </w:p>
    <w:p w14:paraId="2094D4BD">
      <w:pPr>
        <w:ind w:firstLine="480" w:firstLineChars="200"/>
        <w:rPr>
          <w:rFonts w:cs="宋体"/>
          <w:color w:val="auto"/>
          <w:highlight w:val="none"/>
        </w:rPr>
      </w:pPr>
      <w:r>
        <w:rPr>
          <w:rFonts w:hint="eastAsia" w:cs="宋体"/>
          <w:color w:val="auto"/>
          <w:highlight w:val="none"/>
        </w:rPr>
        <w:t>（10）投标报价明显低于服务成本价有降低服务标准的；</w:t>
      </w:r>
    </w:p>
    <w:p w14:paraId="1813DE35">
      <w:pPr>
        <w:ind w:firstLine="480" w:firstLineChars="200"/>
        <w:rPr>
          <w:rFonts w:cs="宋体"/>
          <w:color w:val="auto"/>
          <w:highlight w:val="none"/>
        </w:rPr>
      </w:pPr>
      <w:r>
        <w:rPr>
          <w:rFonts w:hint="eastAsia" w:cs="宋体"/>
          <w:color w:val="auto"/>
          <w:highlight w:val="none"/>
        </w:rPr>
        <w:t>（11）响应文件符合竞争性磋商文件中规定响应被拒绝的其他条款。</w:t>
      </w:r>
    </w:p>
    <w:p w14:paraId="2B940EFB">
      <w:pPr>
        <w:rPr>
          <w:rFonts w:cs="宋体"/>
          <w:b/>
          <w:bCs/>
          <w:color w:val="auto"/>
          <w:highlight w:val="none"/>
        </w:rPr>
      </w:pPr>
      <w:r>
        <w:rPr>
          <w:rFonts w:hint="eastAsia" w:cs="宋体"/>
          <w:b/>
          <w:bCs/>
          <w:color w:val="auto"/>
          <w:highlight w:val="none"/>
        </w:rPr>
        <w:t>23、评审复核</w:t>
      </w:r>
    </w:p>
    <w:p w14:paraId="7422B6DE">
      <w:pPr>
        <w:ind w:firstLine="480" w:firstLineChars="200"/>
        <w:rPr>
          <w:rFonts w:cs="宋体"/>
          <w:color w:val="auto"/>
          <w:highlight w:val="none"/>
        </w:rPr>
      </w:pPr>
      <w:r>
        <w:rPr>
          <w:rFonts w:hint="eastAsia" w:cs="宋体"/>
          <w:color w:val="auto"/>
          <w:highlight w:val="none"/>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79CD2436">
      <w:pPr>
        <w:ind w:firstLine="480" w:firstLineChars="200"/>
        <w:rPr>
          <w:rFonts w:cs="宋体"/>
          <w:color w:val="auto"/>
          <w:highlight w:val="none"/>
        </w:rPr>
      </w:pPr>
      <w:r>
        <w:rPr>
          <w:rFonts w:hint="eastAsia" w:cs="宋体"/>
          <w:color w:val="auto"/>
          <w:highlight w:val="none"/>
        </w:rPr>
        <w:t>23.1评审结果汇总完成后，除下列情形外，任何人不得修改评审结果：</w:t>
      </w:r>
    </w:p>
    <w:p w14:paraId="241B99B2">
      <w:pPr>
        <w:ind w:firstLine="480" w:firstLineChars="200"/>
        <w:rPr>
          <w:rFonts w:cs="宋体"/>
          <w:color w:val="auto"/>
          <w:highlight w:val="none"/>
        </w:rPr>
      </w:pPr>
      <w:r>
        <w:rPr>
          <w:rFonts w:hint="eastAsia" w:cs="宋体"/>
          <w:color w:val="auto"/>
          <w:highlight w:val="none"/>
        </w:rPr>
        <w:t>A、分值汇总计算错误的；</w:t>
      </w:r>
    </w:p>
    <w:p w14:paraId="693995AA">
      <w:pPr>
        <w:ind w:firstLine="480" w:firstLineChars="200"/>
        <w:rPr>
          <w:rFonts w:cs="宋体"/>
          <w:color w:val="auto"/>
          <w:highlight w:val="none"/>
        </w:rPr>
      </w:pPr>
      <w:r>
        <w:rPr>
          <w:rFonts w:hint="eastAsia" w:cs="宋体"/>
          <w:color w:val="auto"/>
          <w:highlight w:val="none"/>
        </w:rPr>
        <w:t>B、分项评分超出评分标准范围的；</w:t>
      </w:r>
    </w:p>
    <w:p w14:paraId="23BE5C0F">
      <w:pPr>
        <w:ind w:firstLine="480" w:firstLineChars="200"/>
        <w:rPr>
          <w:rFonts w:cs="宋体"/>
          <w:color w:val="auto"/>
          <w:highlight w:val="none"/>
        </w:rPr>
      </w:pPr>
      <w:r>
        <w:rPr>
          <w:rFonts w:hint="eastAsia" w:cs="宋体"/>
          <w:color w:val="auto"/>
          <w:highlight w:val="none"/>
        </w:rPr>
        <w:t>C、磋商小组对客观评审因素评分不一致的；</w:t>
      </w:r>
    </w:p>
    <w:p w14:paraId="6FA64975">
      <w:pPr>
        <w:ind w:firstLine="480" w:firstLineChars="200"/>
        <w:rPr>
          <w:rFonts w:cs="宋体"/>
          <w:color w:val="auto"/>
          <w:highlight w:val="none"/>
        </w:rPr>
      </w:pPr>
      <w:r>
        <w:rPr>
          <w:rFonts w:hint="eastAsia" w:cs="宋体"/>
          <w:color w:val="auto"/>
          <w:highlight w:val="none"/>
        </w:rPr>
        <w:t>D、经磋商小组认定评分畸高、畸低的；</w:t>
      </w:r>
    </w:p>
    <w:p w14:paraId="295262C4">
      <w:pPr>
        <w:ind w:firstLine="480" w:firstLineChars="200"/>
        <w:rPr>
          <w:rFonts w:cs="宋体"/>
          <w:color w:val="auto"/>
          <w:highlight w:val="none"/>
        </w:rPr>
      </w:pPr>
      <w:r>
        <w:rPr>
          <w:rFonts w:hint="eastAsia" w:cs="宋体"/>
          <w:color w:val="auto"/>
          <w:highlight w:val="none"/>
        </w:rPr>
        <w:t>23.2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4EEBE15D">
      <w:pPr>
        <w:rPr>
          <w:rFonts w:cs="宋体"/>
          <w:b/>
          <w:bCs/>
          <w:color w:val="auto"/>
          <w:highlight w:val="none"/>
        </w:rPr>
      </w:pPr>
      <w:r>
        <w:rPr>
          <w:rFonts w:hint="eastAsia" w:cs="宋体"/>
          <w:b/>
          <w:bCs/>
          <w:color w:val="auto"/>
          <w:highlight w:val="none"/>
        </w:rPr>
        <w:t>24、评标过程保密</w:t>
      </w:r>
    </w:p>
    <w:p w14:paraId="3E1105CF">
      <w:pPr>
        <w:ind w:firstLine="480" w:firstLineChars="200"/>
        <w:rPr>
          <w:rFonts w:cs="宋体"/>
          <w:color w:val="auto"/>
          <w:highlight w:val="none"/>
        </w:rPr>
      </w:pPr>
      <w:r>
        <w:rPr>
          <w:rFonts w:hint="eastAsia" w:cs="宋体"/>
          <w:color w:val="auto"/>
          <w:highlight w:val="none"/>
        </w:rPr>
        <w:t>24.1采购人、集采机构要采取必要措施，保证磋商在严格保密的情况下进行。除采购人代表、磋商现场组织人员外，采购人的其他工作人员以及与磋商工作无关的人员不得进入磋商现场。</w:t>
      </w:r>
    </w:p>
    <w:p w14:paraId="679594C2">
      <w:pPr>
        <w:ind w:firstLine="480" w:firstLineChars="200"/>
        <w:rPr>
          <w:rFonts w:cs="宋体"/>
          <w:color w:val="auto"/>
          <w:highlight w:val="none"/>
        </w:rPr>
      </w:pPr>
      <w:r>
        <w:rPr>
          <w:rFonts w:hint="eastAsia" w:cs="宋体"/>
          <w:color w:val="auto"/>
          <w:highlight w:val="none"/>
        </w:rPr>
        <w:t>24.2有关人员对磋商情况以及在磋商过程中获悉的国家秘密、商业秘密负有保密责任；任何人不得透露与磋商有关的其他磋商供应商的技术资料、价格和其他信息。</w:t>
      </w:r>
    </w:p>
    <w:p w14:paraId="041F91FF">
      <w:pPr>
        <w:ind w:firstLine="480" w:firstLineChars="200"/>
        <w:rPr>
          <w:rFonts w:cs="宋体"/>
          <w:color w:val="auto"/>
          <w:highlight w:val="none"/>
        </w:rPr>
      </w:pPr>
      <w:r>
        <w:rPr>
          <w:rFonts w:hint="eastAsia" w:cs="宋体"/>
          <w:color w:val="auto"/>
          <w:highlight w:val="none"/>
        </w:rPr>
        <w:t>24.3 磋商结束后，参与评审磋商的所有人员不得带走磋商现场的任何资料。</w:t>
      </w:r>
    </w:p>
    <w:p w14:paraId="5A2AFA7E">
      <w:pPr>
        <w:rPr>
          <w:rFonts w:cs="宋体"/>
          <w:b/>
          <w:bCs/>
          <w:color w:val="auto"/>
          <w:highlight w:val="none"/>
        </w:rPr>
      </w:pPr>
      <w:r>
        <w:rPr>
          <w:rFonts w:hint="eastAsia" w:cs="宋体"/>
          <w:b/>
          <w:bCs/>
          <w:color w:val="auto"/>
          <w:highlight w:val="none"/>
        </w:rPr>
        <w:t>25、关于供应商非实质性磋商响应滞后发现的处理规则</w:t>
      </w:r>
    </w:p>
    <w:p w14:paraId="2FA936A1">
      <w:pPr>
        <w:ind w:firstLine="480" w:firstLineChars="200"/>
        <w:rPr>
          <w:rFonts w:cs="宋体"/>
          <w:color w:val="auto"/>
          <w:highlight w:val="none"/>
        </w:rPr>
      </w:pPr>
      <w:r>
        <w:rPr>
          <w:rFonts w:hint="eastAsia" w:cs="宋体"/>
          <w:color w:val="auto"/>
          <w:highlight w:val="none"/>
        </w:rPr>
        <w:t>25.1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725FA17D">
      <w:pPr>
        <w:rPr>
          <w:rFonts w:cs="宋体"/>
          <w:b/>
          <w:bCs/>
          <w:color w:val="auto"/>
          <w:highlight w:val="none"/>
        </w:rPr>
      </w:pPr>
      <w:r>
        <w:rPr>
          <w:rFonts w:hint="eastAsia" w:cs="宋体"/>
          <w:b/>
          <w:bCs/>
          <w:color w:val="auto"/>
          <w:highlight w:val="none"/>
        </w:rPr>
        <w:t>26、采购项目终止或取消</w:t>
      </w:r>
    </w:p>
    <w:p w14:paraId="7EC1EEE7">
      <w:pPr>
        <w:ind w:firstLine="480" w:firstLineChars="200"/>
        <w:rPr>
          <w:rFonts w:cs="宋体"/>
          <w:color w:val="auto"/>
          <w:highlight w:val="none"/>
        </w:rPr>
      </w:pPr>
      <w:r>
        <w:rPr>
          <w:rFonts w:hint="eastAsia" w:cs="宋体"/>
          <w:color w:val="auto"/>
          <w:highlight w:val="none"/>
        </w:rPr>
        <w:t>26.1出现下列情形之一的，采购人或者采购代理机构应当终止竞争性磋商采购活动，发布项目终止公告并说明原因，重新开展采购活动：</w:t>
      </w:r>
    </w:p>
    <w:p w14:paraId="652AA2C9">
      <w:pPr>
        <w:ind w:firstLine="480" w:firstLineChars="200"/>
        <w:rPr>
          <w:rFonts w:cs="宋体"/>
          <w:color w:val="auto"/>
          <w:highlight w:val="none"/>
        </w:rPr>
      </w:pPr>
      <w:r>
        <w:rPr>
          <w:rFonts w:hint="eastAsia" w:cs="宋体"/>
          <w:color w:val="auto"/>
          <w:highlight w:val="none"/>
        </w:rPr>
        <w:t>（一）因情况变化，不再符合规定的竞争性磋商采购方式适用情形的；</w:t>
      </w:r>
    </w:p>
    <w:p w14:paraId="63B6BD45">
      <w:pPr>
        <w:ind w:firstLine="480" w:firstLineChars="200"/>
        <w:rPr>
          <w:rFonts w:cs="宋体"/>
          <w:color w:val="auto"/>
          <w:highlight w:val="none"/>
        </w:rPr>
      </w:pPr>
      <w:r>
        <w:rPr>
          <w:rFonts w:hint="eastAsia" w:cs="宋体"/>
          <w:color w:val="auto"/>
          <w:highlight w:val="none"/>
        </w:rPr>
        <w:t>（二）出现影响采购公正的违法、违规行为的；</w:t>
      </w:r>
    </w:p>
    <w:p w14:paraId="42FFCA4F">
      <w:pPr>
        <w:ind w:firstLine="480" w:firstLineChars="200"/>
        <w:rPr>
          <w:rFonts w:cs="宋体"/>
          <w:color w:val="auto"/>
          <w:highlight w:val="none"/>
        </w:rPr>
      </w:pPr>
      <w:r>
        <w:rPr>
          <w:rFonts w:hint="eastAsia" w:cs="宋体"/>
          <w:color w:val="auto"/>
          <w:highlight w:val="none"/>
        </w:rPr>
        <w:t>（三）在采购过程中符合要求的供应商或者报价未超过采购预算的供应商不足3家的。</w:t>
      </w:r>
    </w:p>
    <w:p w14:paraId="7C27FBBB">
      <w:pPr>
        <w:ind w:firstLine="480" w:firstLineChars="200"/>
        <w:rPr>
          <w:rFonts w:cs="宋体"/>
          <w:color w:val="auto"/>
          <w:highlight w:val="none"/>
        </w:rPr>
      </w:pPr>
      <w:r>
        <w:rPr>
          <w:rFonts w:hint="eastAsia" w:cs="宋体"/>
          <w:color w:val="auto"/>
          <w:highlight w:val="none"/>
        </w:rPr>
        <w:t>26.2在采购活动中因重大变故，采购任务取消的，采购人或者采购代理机构应当终止采购活动，通知所有参加采购活动的供应商，并将项目实施情况和采购任务取消原因报送本级主管部门。</w:t>
      </w:r>
    </w:p>
    <w:p w14:paraId="6A3DDC93">
      <w:pPr>
        <w:ind w:firstLine="480" w:firstLineChars="200"/>
        <w:rPr>
          <w:rFonts w:cs="宋体"/>
          <w:color w:val="auto"/>
          <w:highlight w:val="none"/>
        </w:rPr>
      </w:pPr>
      <w:r>
        <w:rPr>
          <w:rFonts w:hint="eastAsia" w:cs="宋体"/>
          <w:color w:val="auto"/>
          <w:highlight w:val="none"/>
        </w:rPr>
        <w:t>26.3项目终止磋商后，磋商小组应做出书面报告，代理机构将在财政部门指定的媒体上发布项目终止公告。</w:t>
      </w:r>
    </w:p>
    <w:p w14:paraId="20095071">
      <w:pPr>
        <w:ind w:firstLine="480" w:firstLineChars="200"/>
        <w:rPr>
          <w:rFonts w:cs="宋体"/>
          <w:color w:val="auto"/>
          <w:highlight w:val="none"/>
        </w:rPr>
      </w:pPr>
      <w:r>
        <w:rPr>
          <w:rFonts w:hint="eastAsia" w:cs="宋体"/>
          <w:color w:val="auto"/>
          <w:highlight w:val="none"/>
        </w:rPr>
        <w:t>26.4 如本项目属于市场竞争不充分的科研项目，以及需要扶持的科技成果转化项目，符合竞争要求的提交最后报价的磋商供应商可以是2家，而不被终止。</w:t>
      </w:r>
    </w:p>
    <w:p w14:paraId="7C0E23E7">
      <w:pPr>
        <w:ind w:firstLine="480" w:firstLineChars="200"/>
        <w:rPr>
          <w:rFonts w:cs="宋体"/>
          <w:color w:val="auto"/>
          <w:highlight w:val="none"/>
        </w:rPr>
      </w:pPr>
      <w:r>
        <w:rPr>
          <w:rFonts w:hint="eastAsia" w:cs="宋体"/>
          <w:color w:val="auto"/>
          <w:highlight w:val="none"/>
        </w:rPr>
        <w:t>7、同一个标段（包）的供应商存在下列情形之一的，其投标（响应）文件无效：</w:t>
      </w:r>
    </w:p>
    <w:p w14:paraId="0C3BBCFF">
      <w:pPr>
        <w:ind w:firstLine="480" w:firstLineChars="200"/>
        <w:rPr>
          <w:rFonts w:cs="宋体"/>
          <w:color w:val="auto"/>
          <w:highlight w:val="none"/>
        </w:rPr>
      </w:pPr>
      <w:r>
        <w:rPr>
          <w:rFonts w:hint="eastAsia" w:cs="宋体"/>
          <w:color w:val="auto"/>
          <w:highlight w:val="none"/>
        </w:rPr>
        <w:t>（一）不同供应商的电子投标（响应）文件上传计算机的网卡MAC 地址、CPU序列号和硬盘序列号等硬件信息相同的；</w:t>
      </w:r>
    </w:p>
    <w:p w14:paraId="04465658">
      <w:pPr>
        <w:ind w:firstLine="480" w:firstLineChars="200"/>
        <w:rPr>
          <w:rFonts w:cs="宋体"/>
          <w:color w:val="auto"/>
          <w:highlight w:val="none"/>
        </w:rPr>
      </w:pPr>
      <w:r>
        <w:rPr>
          <w:rFonts w:hint="eastAsia" w:cs="宋体"/>
          <w:color w:val="auto"/>
          <w:highlight w:val="none"/>
        </w:rPr>
        <w:t>（二）不同供应商的投标（响应）文件由统一电子设备编制、打印加密或者上传；</w:t>
      </w:r>
    </w:p>
    <w:p w14:paraId="37A5FA8C">
      <w:pPr>
        <w:ind w:firstLine="480" w:firstLineChars="200"/>
        <w:rPr>
          <w:rFonts w:cs="宋体"/>
          <w:color w:val="auto"/>
          <w:highlight w:val="none"/>
        </w:rPr>
      </w:pPr>
      <w:r>
        <w:rPr>
          <w:rFonts w:hint="eastAsia" w:cs="宋体"/>
          <w:color w:val="auto"/>
          <w:highlight w:val="none"/>
        </w:rPr>
        <w:t>（三）不同供应商的投标（响应）文件联系人为同一人或不同联系人的联系电话一致的；</w:t>
      </w:r>
    </w:p>
    <w:p w14:paraId="3F895F8A">
      <w:pPr>
        <w:ind w:firstLine="480" w:firstLineChars="200"/>
        <w:rPr>
          <w:rFonts w:cs="宋体"/>
          <w:color w:val="auto"/>
          <w:highlight w:val="none"/>
        </w:rPr>
      </w:pPr>
      <w:r>
        <w:rPr>
          <w:rFonts w:hint="eastAsia" w:cs="宋体"/>
          <w:color w:val="auto"/>
          <w:highlight w:val="none"/>
        </w:rPr>
        <w:t>（四）不同供应商的投标（响应）文件的内容存在两处以上细节错误一致，且无法合理解释的；</w:t>
      </w:r>
    </w:p>
    <w:p w14:paraId="7C2279DA">
      <w:pPr>
        <w:ind w:firstLine="480" w:firstLineChars="200"/>
        <w:rPr>
          <w:rFonts w:cs="宋体"/>
          <w:color w:val="auto"/>
          <w:highlight w:val="none"/>
        </w:rPr>
      </w:pPr>
      <w:r>
        <w:rPr>
          <w:rFonts w:hint="eastAsia" w:cs="宋体"/>
          <w:color w:val="auto"/>
          <w:highlight w:val="none"/>
        </w:rPr>
        <w:t>（五）不同供应商的法定代表人、委托代理人、项目经理、项目负责人等由同一个单位缴纳社会保险或者领取报酬的；</w:t>
      </w:r>
    </w:p>
    <w:p w14:paraId="19C57829">
      <w:pPr>
        <w:ind w:firstLine="480" w:firstLineChars="200"/>
        <w:rPr>
          <w:rFonts w:cs="宋体"/>
          <w:color w:val="auto"/>
          <w:highlight w:val="none"/>
        </w:rPr>
      </w:pPr>
      <w:r>
        <w:rPr>
          <w:rFonts w:hint="eastAsia" w:cs="宋体"/>
          <w:color w:val="auto"/>
          <w:highlight w:val="none"/>
        </w:rPr>
        <w:t>（六）不同供应商投标（响应）文件中法定代表人或者负责人由同一人签字的；</w:t>
      </w:r>
    </w:p>
    <w:p w14:paraId="45C3E34D">
      <w:pPr>
        <w:ind w:firstLine="480" w:firstLineChars="200"/>
        <w:rPr>
          <w:rFonts w:cs="宋体"/>
          <w:color w:val="auto"/>
          <w:highlight w:val="none"/>
        </w:rPr>
      </w:pPr>
      <w:r>
        <w:rPr>
          <w:rFonts w:hint="eastAsia" w:cs="宋体"/>
          <w:color w:val="auto"/>
          <w:highlight w:val="none"/>
        </w:rPr>
        <w:t>（七）其它涉嫌串通的情形。</w:t>
      </w:r>
    </w:p>
    <w:p w14:paraId="7B981681">
      <w:pPr>
        <w:keepNext/>
        <w:keepLines/>
        <w:ind w:firstLine="482" w:firstLineChars="200"/>
        <w:outlineLvl w:val="1"/>
        <w:rPr>
          <w:rFonts w:cs="宋体"/>
          <w:b/>
          <w:color w:val="auto"/>
          <w:highlight w:val="none"/>
        </w:rPr>
      </w:pPr>
      <w:bookmarkStart w:id="46" w:name="_Toc24772"/>
      <w:bookmarkStart w:id="47" w:name="_Toc6282"/>
      <w:bookmarkStart w:id="48" w:name="_Toc4817"/>
      <w:bookmarkStart w:id="49" w:name="_Toc424378691"/>
      <w:bookmarkStart w:id="50" w:name="_Toc493575826"/>
      <w:bookmarkStart w:id="51" w:name="_Toc22314"/>
      <w:bookmarkStart w:id="52" w:name="_Toc685"/>
      <w:bookmarkStart w:id="53" w:name="_Toc24144"/>
      <w:r>
        <w:rPr>
          <w:rFonts w:hint="eastAsia" w:cs="宋体"/>
          <w:b/>
          <w:color w:val="auto"/>
          <w:highlight w:val="none"/>
        </w:rPr>
        <w:t>七、签订合同</w:t>
      </w:r>
      <w:bookmarkEnd w:id="46"/>
      <w:bookmarkEnd w:id="47"/>
      <w:bookmarkEnd w:id="48"/>
      <w:bookmarkEnd w:id="49"/>
      <w:bookmarkEnd w:id="50"/>
      <w:bookmarkEnd w:id="51"/>
      <w:bookmarkEnd w:id="52"/>
      <w:bookmarkEnd w:id="53"/>
    </w:p>
    <w:p w14:paraId="578F8001">
      <w:pPr>
        <w:rPr>
          <w:rFonts w:cs="宋体"/>
          <w:b/>
          <w:bCs/>
          <w:color w:val="auto"/>
          <w:highlight w:val="none"/>
        </w:rPr>
      </w:pPr>
      <w:r>
        <w:rPr>
          <w:rFonts w:hint="eastAsia" w:cs="宋体"/>
          <w:b/>
          <w:bCs/>
          <w:color w:val="auto"/>
          <w:highlight w:val="none"/>
        </w:rPr>
        <w:t>28、成交通知</w:t>
      </w:r>
    </w:p>
    <w:p w14:paraId="6CB4FECF">
      <w:pPr>
        <w:ind w:firstLine="480" w:firstLineChars="200"/>
        <w:rPr>
          <w:rFonts w:cs="宋体"/>
          <w:color w:val="auto"/>
          <w:highlight w:val="none"/>
        </w:rPr>
      </w:pPr>
      <w:r>
        <w:rPr>
          <w:rFonts w:hint="eastAsia" w:cs="宋体"/>
          <w:color w:val="auto"/>
          <w:highlight w:val="none"/>
        </w:rPr>
        <w:t>28.1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75A2EAD9">
      <w:pPr>
        <w:ind w:firstLine="480" w:firstLineChars="200"/>
        <w:rPr>
          <w:rFonts w:cs="宋体"/>
          <w:color w:val="auto"/>
          <w:highlight w:val="none"/>
        </w:rPr>
      </w:pPr>
      <w:r>
        <w:rPr>
          <w:rFonts w:hint="eastAsia" w:cs="宋体"/>
          <w:color w:val="auto"/>
          <w:highlight w:val="none"/>
        </w:rPr>
        <w:t>28.2 采购代理机构对未成交的供应商不作未成交原因的解释。</w:t>
      </w:r>
    </w:p>
    <w:p w14:paraId="76270FD4">
      <w:pPr>
        <w:ind w:firstLine="480" w:firstLineChars="200"/>
        <w:rPr>
          <w:rFonts w:cs="宋体"/>
          <w:color w:val="auto"/>
          <w:highlight w:val="none"/>
        </w:rPr>
      </w:pPr>
      <w:r>
        <w:rPr>
          <w:rFonts w:hint="eastAsia" w:cs="宋体"/>
          <w:color w:val="auto"/>
          <w:highlight w:val="none"/>
        </w:rPr>
        <w:t>28.3 成交通知书是合同的组成部分。</w:t>
      </w:r>
    </w:p>
    <w:p w14:paraId="299C7408">
      <w:pPr>
        <w:rPr>
          <w:rFonts w:cs="宋体"/>
          <w:b/>
          <w:bCs/>
          <w:color w:val="auto"/>
          <w:highlight w:val="none"/>
        </w:rPr>
      </w:pPr>
      <w:r>
        <w:rPr>
          <w:rFonts w:hint="eastAsia" w:cs="宋体"/>
          <w:b/>
          <w:bCs/>
          <w:color w:val="auto"/>
          <w:highlight w:val="none"/>
        </w:rPr>
        <w:t>29、成交服务费</w:t>
      </w:r>
    </w:p>
    <w:p w14:paraId="083508DA">
      <w:pPr>
        <w:ind w:firstLine="480" w:firstLineChars="200"/>
        <w:rPr>
          <w:rFonts w:cs="宋体"/>
          <w:color w:val="auto"/>
          <w:highlight w:val="none"/>
        </w:rPr>
      </w:pPr>
      <w:r>
        <w:rPr>
          <w:rFonts w:hint="eastAsia" w:cs="宋体"/>
          <w:color w:val="auto"/>
          <w:highlight w:val="none"/>
        </w:rPr>
        <w:t>29.1本次磋商按国家有关规定收取成交服务费，请供应商在测算报价时充分考虑这一因素。</w:t>
      </w:r>
    </w:p>
    <w:p w14:paraId="40439AD0">
      <w:pPr>
        <w:ind w:firstLine="480" w:firstLineChars="200"/>
        <w:rPr>
          <w:rFonts w:cs="宋体"/>
          <w:color w:val="auto"/>
          <w:highlight w:val="none"/>
        </w:rPr>
      </w:pPr>
      <w:r>
        <w:rPr>
          <w:rFonts w:hint="eastAsia" w:cs="宋体"/>
          <w:color w:val="auto"/>
          <w:highlight w:val="none"/>
        </w:rPr>
        <w:t>29.2参照《</w:t>
      </w:r>
      <w:r>
        <w:rPr>
          <w:rFonts w:hint="eastAsia" w:cs="宋体"/>
          <w:color w:val="auto"/>
          <w:highlight w:val="none"/>
          <w:lang w:val="en-US" w:eastAsia="zh-CN"/>
        </w:rPr>
        <w:t>国家计委计价格〔2002〕1980号文件和国家发展和改革委员会办公厅发改办价格〔2003〕857号文件以及国家发展和改革委员会发改价格〔2011〕534号文件</w:t>
      </w:r>
      <w:r>
        <w:rPr>
          <w:rFonts w:hint="eastAsia" w:cs="宋体"/>
          <w:color w:val="auto"/>
          <w:highlight w:val="none"/>
        </w:rPr>
        <w:t>收费标</w:t>
      </w:r>
      <w:r>
        <w:rPr>
          <w:rFonts w:hint="eastAsia" w:cs="宋体"/>
          <w:color w:val="auto"/>
          <w:highlight w:val="none"/>
          <w:lang w:val="en-US" w:eastAsia="zh-CN"/>
        </w:rPr>
        <w:t>准70</w:t>
      </w:r>
      <w:r>
        <w:rPr>
          <w:rFonts w:hint="eastAsia" w:cs="宋体"/>
          <w:color w:val="auto"/>
          <w:highlight w:val="none"/>
        </w:rPr>
        <w:t>%。</w:t>
      </w:r>
    </w:p>
    <w:p w14:paraId="4621EC67">
      <w:pPr>
        <w:rPr>
          <w:rFonts w:cs="宋体"/>
          <w:b/>
          <w:bCs/>
          <w:color w:val="auto"/>
          <w:highlight w:val="none"/>
        </w:rPr>
      </w:pPr>
      <w:r>
        <w:rPr>
          <w:rFonts w:hint="eastAsia" w:cs="宋体"/>
          <w:b/>
          <w:bCs/>
          <w:color w:val="auto"/>
          <w:highlight w:val="none"/>
        </w:rPr>
        <w:t>30、签订合同</w:t>
      </w:r>
    </w:p>
    <w:p w14:paraId="6397C57B">
      <w:pPr>
        <w:ind w:firstLine="480" w:firstLineChars="200"/>
        <w:rPr>
          <w:rFonts w:cs="宋体"/>
          <w:color w:val="auto"/>
          <w:highlight w:val="none"/>
        </w:rPr>
      </w:pPr>
      <w:bookmarkStart w:id="54" w:name="_Toc27397"/>
      <w:bookmarkStart w:id="55" w:name="_Toc8346"/>
      <w:bookmarkStart w:id="56" w:name="_Toc7493"/>
      <w:bookmarkStart w:id="57" w:name="_Toc493575827"/>
      <w:bookmarkStart w:id="58" w:name="_Toc26837"/>
      <w:bookmarkStart w:id="59" w:name="_Toc421716587"/>
      <w:bookmarkStart w:id="60" w:name="_Toc424378692"/>
      <w:bookmarkStart w:id="61" w:name="_Toc6023"/>
      <w:r>
        <w:rPr>
          <w:rFonts w:hint="eastAsia" w:cs="宋体"/>
          <w:color w:val="auto"/>
          <w:highlight w:val="none"/>
        </w:rPr>
        <w:t>30.1成交供应商应（在系统中自行下载）成交通知书30日内与采购人签订政府采购合同。</w:t>
      </w:r>
    </w:p>
    <w:p w14:paraId="16587726">
      <w:pPr>
        <w:ind w:firstLine="480" w:firstLineChars="200"/>
        <w:rPr>
          <w:rFonts w:cs="宋体"/>
          <w:color w:val="auto"/>
          <w:highlight w:val="none"/>
        </w:rPr>
      </w:pPr>
      <w:r>
        <w:rPr>
          <w:rFonts w:hint="eastAsia" w:cs="宋体"/>
          <w:color w:val="auto"/>
          <w:highlight w:val="none"/>
        </w:rPr>
        <w:t>30.2成交供应商应按照磋商文件、响应文件及评审过程中的有关澄清、说明或者补正文件的内容与采购人签订合同。成交供应商不得再与采购人签订背离合同实质性内容的其它协议或声明。</w:t>
      </w:r>
    </w:p>
    <w:p w14:paraId="466ADC6E">
      <w:pPr>
        <w:ind w:firstLine="480" w:firstLineChars="200"/>
        <w:rPr>
          <w:rFonts w:cs="宋体"/>
          <w:color w:val="auto"/>
          <w:highlight w:val="none"/>
        </w:rPr>
      </w:pPr>
      <w:r>
        <w:rPr>
          <w:rFonts w:hint="eastAsia" w:cs="宋体"/>
          <w:color w:val="auto"/>
          <w:highlight w:val="none"/>
        </w:rPr>
        <w:t>30.3在合同履行中，采购人如需追加与合同标的相同的货物，在不改变合同其他条款的前提下，成交供应商可与采购人协商签订补充合同，但所有补充合同的采购金额不得超过原合同金额的百分之十。</w:t>
      </w:r>
    </w:p>
    <w:p w14:paraId="38F7B140">
      <w:pPr>
        <w:ind w:firstLine="480" w:firstLineChars="200"/>
        <w:rPr>
          <w:rFonts w:cs="宋体"/>
          <w:color w:val="auto"/>
          <w:highlight w:val="none"/>
        </w:rPr>
      </w:pPr>
      <w:r>
        <w:rPr>
          <w:rFonts w:hint="eastAsia" w:cs="宋体"/>
          <w:color w:val="auto"/>
          <w:highlight w:val="none"/>
        </w:rPr>
        <w:t>30.4成交供应商一旦成交，成交供应商不得转包、分包，亦不得将合同全部及任何权利、义务向第三方转让，除符合财库〔2020〕46号《关于印发&lt;政府采购促进中小企业发展管理办法&gt;的通知》相关规定外，其他情形将被视为严重违约。</w:t>
      </w:r>
    </w:p>
    <w:p w14:paraId="61C51B33">
      <w:pPr>
        <w:ind w:firstLine="480" w:firstLineChars="200"/>
        <w:rPr>
          <w:rFonts w:cs="宋体"/>
          <w:color w:val="auto"/>
          <w:highlight w:val="none"/>
        </w:rPr>
      </w:pPr>
      <w:r>
        <w:rPr>
          <w:rFonts w:hint="eastAsia" w:cs="宋体"/>
          <w:color w:val="auto"/>
          <w:highlight w:val="none"/>
        </w:rPr>
        <w:t>30.5违反29.1条、29.2条的规定，给对方造成损失的，应承担赔偿责任。 </w:t>
      </w:r>
    </w:p>
    <w:p w14:paraId="4437F420">
      <w:pPr>
        <w:ind w:firstLine="480" w:firstLineChars="200"/>
        <w:rPr>
          <w:rFonts w:cs="宋体"/>
          <w:color w:val="auto"/>
          <w:highlight w:val="none"/>
        </w:rPr>
      </w:pPr>
      <w:r>
        <w:rPr>
          <w:rFonts w:hint="eastAsia" w:cs="宋体"/>
          <w:color w:val="auto"/>
          <w:highlight w:val="none"/>
        </w:rPr>
        <w:t>30.6采购人与成交供应商应当自合同或补充合同签订之日起五日内，在山西政府采购网和政府采购电子交易系统进行合同公示。</w:t>
      </w:r>
    </w:p>
    <w:p w14:paraId="3810F8C9">
      <w:pPr>
        <w:ind w:firstLine="480" w:firstLineChars="200"/>
        <w:rPr>
          <w:rFonts w:cs="宋体"/>
          <w:color w:val="auto"/>
          <w:highlight w:val="none"/>
        </w:rPr>
      </w:pPr>
      <w:r>
        <w:rPr>
          <w:rFonts w:hint="eastAsia" w:cs="宋体"/>
          <w:color w:val="auto"/>
          <w:highlight w:val="none"/>
        </w:rPr>
        <w:t>30.7成交供应商拒绝签订采购合同的，采购人可以按照《政府采购竞争性磋商采购方式管理暂行办法》第二十九条第二款规定的原则确定其他供应商作为成交供应商并签订采购合同，也可以重新开展采购活动。拒绝签订采购合同的成交供应商不得参加对该项目重新开展的采购活动。</w:t>
      </w:r>
    </w:p>
    <w:bookmarkEnd w:id="54"/>
    <w:bookmarkEnd w:id="55"/>
    <w:bookmarkEnd w:id="56"/>
    <w:bookmarkEnd w:id="57"/>
    <w:bookmarkEnd w:id="58"/>
    <w:bookmarkEnd w:id="59"/>
    <w:bookmarkEnd w:id="60"/>
    <w:bookmarkEnd w:id="61"/>
    <w:p w14:paraId="5FBA3092">
      <w:pPr>
        <w:keepNext/>
        <w:keepLines/>
        <w:ind w:firstLine="482" w:firstLineChars="200"/>
        <w:outlineLvl w:val="1"/>
        <w:rPr>
          <w:rFonts w:cs="宋体"/>
          <w:b/>
          <w:color w:val="auto"/>
          <w:highlight w:val="none"/>
        </w:rPr>
      </w:pPr>
      <w:bookmarkStart w:id="62" w:name="_Toc493575828"/>
      <w:bookmarkStart w:id="63" w:name="_Toc21577"/>
      <w:bookmarkStart w:id="64" w:name="_Toc451"/>
      <w:bookmarkStart w:id="65" w:name="_Toc2451"/>
      <w:bookmarkStart w:id="66" w:name="_Toc18540"/>
      <w:bookmarkStart w:id="67" w:name="_Toc424378693"/>
      <w:bookmarkStart w:id="68" w:name="_Toc421716588"/>
      <w:bookmarkStart w:id="69" w:name="_Toc28310"/>
      <w:bookmarkStart w:id="70" w:name="_Toc4166"/>
      <w:r>
        <w:rPr>
          <w:rFonts w:hint="eastAsia" w:cs="宋体"/>
          <w:b/>
          <w:color w:val="auto"/>
          <w:highlight w:val="none"/>
        </w:rPr>
        <w:t>九、保密和披露</w:t>
      </w:r>
      <w:bookmarkEnd w:id="62"/>
      <w:bookmarkEnd w:id="63"/>
      <w:bookmarkEnd w:id="64"/>
      <w:bookmarkEnd w:id="65"/>
      <w:bookmarkEnd w:id="66"/>
      <w:bookmarkEnd w:id="67"/>
      <w:bookmarkEnd w:id="68"/>
      <w:bookmarkEnd w:id="69"/>
      <w:bookmarkEnd w:id="70"/>
    </w:p>
    <w:p w14:paraId="720E6220">
      <w:pPr>
        <w:rPr>
          <w:rFonts w:cs="宋体"/>
          <w:b/>
          <w:bCs/>
          <w:color w:val="auto"/>
          <w:highlight w:val="none"/>
        </w:rPr>
      </w:pPr>
      <w:r>
        <w:rPr>
          <w:rFonts w:hint="eastAsia" w:cs="宋体"/>
          <w:b/>
          <w:bCs/>
          <w:color w:val="auto"/>
          <w:highlight w:val="none"/>
        </w:rPr>
        <w:t>31、保密</w:t>
      </w:r>
    </w:p>
    <w:p w14:paraId="570A5888">
      <w:pPr>
        <w:ind w:firstLine="480" w:firstLineChars="200"/>
        <w:rPr>
          <w:rFonts w:cs="宋体"/>
          <w:color w:val="auto"/>
          <w:highlight w:val="none"/>
        </w:rPr>
      </w:pPr>
      <w:r>
        <w:rPr>
          <w:rFonts w:hint="eastAsia" w:cs="宋体"/>
          <w:color w:val="auto"/>
          <w:highlight w:val="none"/>
        </w:rPr>
        <w:t>供应商自领取磋商文件之日起，须承诺承担本磋商项目下的保密义务，不得将因本次磋商获得的信息向第三人外传。</w:t>
      </w:r>
    </w:p>
    <w:p w14:paraId="67373F2C">
      <w:pPr>
        <w:rPr>
          <w:rFonts w:cs="宋体"/>
          <w:b/>
          <w:bCs/>
          <w:color w:val="auto"/>
          <w:highlight w:val="none"/>
        </w:rPr>
      </w:pPr>
      <w:r>
        <w:rPr>
          <w:rFonts w:hint="eastAsia" w:cs="宋体"/>
          <w:b/>
          <w:bCs/>
          <w:color w:val="auto"/>
          <w:highlight w:val="none"/>
        </w:rPr>
        <w:t>32、披露</w:t>
      </w:r>
    </w:p>
    <w:p w14:paraId="0ACAED15">
      <w:pPr>
        <w:ind w:firstLine="480" w:firstLineChars="200"/>
        <w:rPr>
          <w:rFonts w:cs="宋体"/>
          <w:color w:val="auto"/>
          <w:highlight w:val="none"/>
        </w:rPr>
      </w:pPr>
      <w:r>
        <w:rPr>
          <w:rFonts w:hint="eastAsia" w:cs="宋体"/>
          <w:color w:val="auto"/>
          <w:highlight w:val="none"/>
        </w:rPr>
        <w:t>32.1 采购代理机构有权将供应商提供的所有资料向有关政府部门或评审文件的有关人员披露。</w:t>
      </w:r>
    </w:p>
    <w:p w14:paraId="715A582B">
      <w:pPr>
        <w:ind w:firstLine="480" w:firstLineChars="200"/>
        <w:rPr>
          <w:rFonts w:cs="宋体"/>
          <w:color w:val="auto"/>
          <w:highlight w:val="none"/>
        </w:rPr>
      </w:pPr>
      <w:r>
        <w:rPr>
          <w:rFonts w:hint="eastAsia" w:cs="宋体"/>
          <w:color w:val="auto"/>
          <w:highlight w:val="none"/>
        </w:rPr>
        <w:t>32.2 在采购代理机构认为适当时或国家机关调查、审查、审计时以及其他符合法律法规规定的情形下，采购代理机构无须事先征求供应商同意即可披露关于采购过程、合同文本、签署情况的资料、供应商的名称及地址、响应文件的有关信息以及补充条款等，但必须在合理的必要范围内。对任何已经公布过的内容或与之内容相同的资料，以及供应商已经泄露或公开的，无须再承担保密责任。</w:t>
      </w:r>
    </w:p>
    <w:p w14:paraId="7B93C665">
      <w:pPr>
        <w:keepNext/>
        <w:keepLines/>
        <w:ind w:firstLine="482" w:firstLineChars="200"/>
        <w:outlineLvl w:val="1"/>
        <w:rPr>
          <w:rFonts w:cs="宋体"/>
          <w:b/>
          <w:color w:val="auto"/>
          <w:highlight w:val="none"/>
        </w:rPr>
      </w:pPr>
      <w:bookmarkStart w:id="71" w:name="_Toc12693"/>
      <w:bookmarkStart w:id="72" w:name="_Toc493575829"/>
      <w:bookmarkStart w:id="73" w:name="_Toc30875"/>
      <w:bookmarkStart w:id="74" w:name="_Toc24070"/>
      <w:bookmarkStart w:id="75" w:name="_Toc24446"/>
      <w:bookmarkStart w:id="76" w:name="_Toc29478"/>
      <w:bookmarkStart w:id="77" w:name="_Toc12662"/>
      <w:r>
        <w:rPr>
          <w:rFonts w:hint="eastAsia" w:cs="宋体"/>
          <w:b/>
          <w:color w:val="auto"/>
          <w:highlight w:val="none"/>
        </w:rPr>
        <w:t>十、询问和质疑</w:t>
      </w:r>
      <w:bookmarkEnd w:id="71"/>
      <w:bookmarkEnd w:id="72"/>
      <w:bookmarkEnd w:id="73"/>
      <w:bookmarkEnd w:id="74"/>
      <w:bookmarkEnd w:id="75"/>
      <w:bookmarkEnd w:id="76"/>
      <w:bookmarkEnd w:id="77"/>
    </w:p>
    <w:p w14:paraId="49905DB7">
      <w:pPr>
        <w:rPr>
          <w:rFonts w:cs="宋体"/>
          <w:b/>
          <w:bCs/>
          <w:color w:val="auto"/>
          <w:highlight w:val="none"/>
        </w:rPr>
      </w:pPr>
      <w:r>
        <w:rPr>
          <w:rFonts w:hint="eastAsia" w:cs="宋体"/>
          <w:b/>
          <w:bCs/>
          <w:color w:val="auto"/>
          <w:highlight w:val="none"/>
        </w:rPr>
        <w:t>33、供应商有权就招标事宜提出询问和质疑</w:t>
      </w:r>
    </w:p>
    <w:p w14:paraId="7FABCCC9">
      <w:pPr>
        <w:ind w:firstLine="480" w:firstLineChars="200"/>
        <w:rPr>
          <w:rFonts w:cs="宋体"/>
          <w:color w:val="auto"/>
          <w:highlight w:val="none"/>
        </w:rPr>
      </w:pPr>
      <w:r>
        <w:rPr>
          <w:rFonts w:hint="eastAsia" w:cs="宋体"/>
          <w:color w:val="auto"/>
          <w:highlight w:val="none"/>
        </w:rPr>
        <w:t>33.1磋商程序受到严格的内部监督，以确保授予合同过程的公平公正。</w:t>
      </w:r>
    </w:p>
    <w:p w14:paraId="7CF9C868">
      <w:pPr>
        <w:ind w:firstLine="480" w:firstLineChars="200"/>
        <w:rPr>
          <w:rFonts w:cs="宋体"/>
          <w:color w:val="auto"/>
          <w:highlight w:val="none"/>
        </w:rPr>
      </w:pPr>
      <w:r>
        <w:rPr>
          <w:rFonts w:hint="eastAsia" w:cs="宋体"/>
          <w:color w:val="auto"/>
          <w:highlight w:val="none"/>
        </w:rPr>
        <w:t>33.2供应商对磋商文件条款或技术、商务参数有异议的，应当在磋商前通过澄清或修改程序提出。</w:t>
      </w:r>
    </w:p>
    <w:p w14:paraId="5BB38CFB">
      <w:pPr>
        <w:ind w:firstLine="480" w:firstLineChars="200"/>
        <w:rPr>
          <w:rFonts w:cs="宋体"/>
          <w:color w:val="auto"/>
          <w:highlight w:val="none"/>
        </w:rPr>
      </w:pPr>
      <w:r>
        <w:rPr>
          <w:rFonts w:hint="eastAsia" w:cs="宋体"/>
          <w:color w:val="auto"/>
          <w:highlight w:val="none"/>
        </w:rPr>
        <w:t>33.3供应商对采购事项有疑问的，可以向采购代理机构（或采购人）提出询问。</w:t>
      </w:r>
    </w:p>
    <w:p w14:paraId="1D053941">
      <w:pPr>
        <w:ind w:firstLine="480" w:firstLineChars="200"/>
        <w:rPr>
          <w:rFonts w:cs="宋体"/>
          <w:color w:val="auto"/>
          <w:highlight w:val="none"/>
        </w:rPr>
      </w:pPr>
      <w:r>
        <w:rPr>
          <w:rFonts w:hint="eastAsia" w:cs="宋体"/>
          <w:color w:val="auto"/>
          <w:highlight w:val="none"/>
        </w:rPr>
        <w:t>33..4供应商认为其投标未获公平评审或采购过程和成交结果使自己的合法权益受到损害的，应当在知道或者应知其权益受到损害之日起7个工作日内提出质疑。</w:t>
      </w:r>
    </w:p>
    <w:p w14:paraId="203BBC4B">
      <w:pPr>
        <w:ind w:firstLine="480" w:firstLineChars="200"/>
        <w:rPr>
          <w:rFonts w:cs="宋体"/>
          <w:color w:val="auto"/>
          <w:highlight w:val="none"/>
        </w:rPr>
      </w:pPr>
      <w:r>
        <w:rPr>
          <w:rFonts w:hint="eastAsia" w:cs="宋体"/>
          <w:color w:val="auto"/>
          <w:highlight w:val="none"/>
        </w:rPr>
        <w:t>33.5质疑应当以书面形式向采购代理机构（或采购人）提出，经法定代表人签字并加盖公章。</w:t>
      </w:r>
    </w:p>
    <w:p w14:paraId="0FF1C927">
      <w:pPr>
        <w:ind w:firstLine="480" w:firstLineChars="200"/>
        <w:rPr>
          <w:rFonts w:cs="宋体"/>
          <w:color w:val="auto"/>
          <w:highlight w:val="none"/>
        </w:rPr>
      </w:pPr>
      <w:r>
        <w:rPr>
          <w:rFonts w:hint="eastAsia" w:cs="宋体"/>
          <w:color w:val="auto"/>
          <w:highlight w:val="none"/>
        </w:rPr>
        <w:t>33.6质疑书应当包括以下主要内容：被质疑项目名称、项目编号、包号、磋商公告 发布时间、质疑事项、法律依据（具体条款）、质疑人全称、法定代表人签字、盖章、有效联系方式（包括手机、传真号码）。</w:t>
      </w:r>
    </w:p>
    <w:p w14:paraId="64C7667E">
      <w:pPr>
        <w:ind w:firstLine="480" w:firstLineChars="200"/>
        <w:rPr>
          <w:rFonts w:cs="宋体"/>
          <w:color w:val="auto"/>
          <w:highlight w:val="none"/>
        </w:rPr>
      </w:pPr>
      <w:r>
        <w:rPr>
          <w:rFonts w:hint="eastAsia" w:cs="宋体"/>
          <w:color w:val="auto"/>
          <w:highlight w:val="none"/>
        </w:rPr>
        <w:t>33.7供应商质疑、投诉应当有明确的请求和必要的证明材料。供应商投诉的事项不得超出已质疑事项的范围。</w:t>
      </w:r>
    </w:p>
    <w:p w14:paraId="6B6B446F">
      <w:pPr>
        <w:ind w:firstLine="480" w:firstLineChars="200"/>
        <w:rPr>
          <w:rFonts w:cs="宋体"/>
          <w:color w:val="auto"/>
          <w:highlight w:val="none"/>
        </w:rPr>
      </w:pPr>
      <w:r>
        <w:rPr>
          <w:rFonts w:hint="eastAsia" w:cs="宋体"/>
          <w:color w:val="auto"/>
          <w:highlight w:val="none"/>
        </w:rPr>
        <w:t>33.8有下列情形之一的，属于无效质疑，采购代理机构（或采购人）可不予受理：</w:t>
      </w:r>
    </w:p>
    <w:p w14:paraId="44B311AB">
      <w:pPr>
        <w:ind w:firstLine="480" w:firstLineChars="200"/>
        <w:rPr>
          <w:rFonts w:cs="宋体"/>
          <w:color w:val="auto"/>
          <w:highlight w:val="none"/>
        </w:rPr>
      </w:pPr>
      <w:r>
        <w:rPr>
          <w:rFonts w:hint="eastAsia" w:cs="宋体"/>
          <w:color w:val="auto"/>
          <w:highlight w:val="none"/>
        </w:rPr>
        <w:t>（1）未在有效期限内提出质疑的；</w:t>
      </w:r>
    </w:p>
    <w:p w14:paraId="3BE0CFD3">
      <w:pPr>
        <w:ind w:firstLine="480" w:firstLineChars="200"/>
        <w:rPr>
          <w:rFonts w:cs="宋体"/>
          <w:color w:val="auto"/>
          <w:highlight w:val="none"/>
        </w:rPr>
      </w:pPr>
      <w:r>
        <w:rPr>
          <w:rFonts w:hint="eastAsia" w:cs="宋体"/>
          <w:color w:val="auto"/>
          <w:highlight w:val="none"/>
        </w:rPr>
        <w:t>（2）质疑未在山西政府采购网政采云平台提出的；</w:t>
      </w:r>
    </w:p>
    <w:p w14:paraId="6EC6B10F">
      <w:pPr>
        <w:ind w:firstLine="480" w:firstLineChars="200"/>
        <w:rPr>
          <w:rFonts w:cs="宋体"/>
          <w:color w:val="auto"/>
          <w:highlight w:val="none"/>
        </w:rPr>
      </w:pPr>
      <w:r>
        <w:rPr>
          <w:rFonts w:hint="eastAsia" w:cs="宋体"/>
          <w:color w:val="auto"/>
          <w:highlight w:val="none"/>
        </w:rPr>
        <w:t>（3）所提交材料未明示属于质疑材料的；</w:t>
      </w:r>
    </w:p>
    <w:p w14:paraId="64673CE7">
      <w:pPr>
        <w:ind w:firstLine="480" w:firstLineChars="200"/>
        <w:rPr>
          <w:rFonts w:cs="宋体"/>
          <w:color w:val="auto"/>
          <w:highlight w:val="none"/>
        </w:rPr>
      </w:pPr>
      <w:r>
        <w:rPr>
          <w:rFonts w:hint="eastAsia" w:cs="宋体"/>
          <w:color w:val="auto"/>
          <w:highlight w:val="none"/>
        </w:rPr>
        <w:t>（4）质疑书没有法定代表人签署本人姓名并加盖单位公章的；质疑书由参加采购项目的授权代表签署本人姓名，但没有法定代表人特别授权的；</w:t>
      </w:r>
    </w:p>
    <w:p w14:paraId="1830D1BE">
      <w:pPr>
        <w:ind w:firstLine="480" w:firstLineChars="200"/>
        <w:rPr>
          <w:rFonts w:cs="宋体"/>
          <w:color w:val="auto"/>
          <w:highlight w:val="none"/>
        </w:rPr>
      </w:pPr>
      <w:r>
        <w:rPr>
          <w:rFonts w:hint="eastAsia" w:cs="宋体"/>
          <w:color w:val="auto"/>
          <w:highlight w:val="none"/>
        </w:rPr>
        <w:t>（5）质疑书未提供有效联系人或联系方式的；</w:t>
      </w:r>
    </w:p>
    <w:p w14:paraId="5D15A1E2">
      <w:pPr>
        <w:ind w:firstLine="480" w:firstLineChars="200"/>
        <w:rPr>
          <w:rFonts w:cs="宋体"/>
          <w:color w:val="auto"/>
          <w:highlight w:val="none"/>
        </w:rPr>
      </w:pPr>
      <w:r>
        <w:rPr>
          <w:rFonts w:hint="eastAsia" w:cs="宋体"/>
          <w:color w:val="auto"/>
          <w:highlight w:val="none"/>
        </w:rPr>
        <w:t>（6）质疑事项已经进入投诉或者行政复议或者诉讼程序的；</w:t>
      </w:r>
    </w:p>
    <w:p w14:paraId="4758CEBC">
      <w:pPr>
        <w:ind w:firstLine="480" w:firstLineChars="200"/>
        <w:rPr>
          <w:rFonts w:cs="宋体"/>
          <w:color w:val="auto"/>
          <w:highlight w:val="none"/>
        </w:rPr>
      </w:pPr>
      <w:r>
        <w:rPr>
          <w:rFonts w:hint="eastAsia" w:cs="宋体"/>
          <w:color w:val="auto"/>
          <w:highlight w:val="none"/>
        </w:rPr>
        <w:t>（7）质疑书未附相关证明材料，被视为无有效证据支持的。</w:t>
      </w:r>
    </w:p>
    <w:p w14:paraId="3D579865">
      <w:pPr>
        <w:ind w:firstLine="480" w:firstLineChars="200"/>
        <w:rPr>
          <w:rFonts w:cs="宋体"/>
          <w:color w:val="auto"/>
          <w:highlight w:val="none"/>
        </w:rPr>
      </w:pPr>
      <w:r>
        <w:rPr>
          <w:rFonts w:hint="eastAsia" w:cs="宋体"/>
          <w:color w:val="auto"/>
          <w:highlight w:val="none"/>
        </w:rPr>
        <w:t>（8）供应商对磋商文件条款或技术参数有异议，未在磋商前通过澄清或修改程序提出，并且供应商已经参与投标，而于磋商后对磋商文件提出质疑的；</w:t>
      </w:r>
    </w:p>
    <w:p w14:paraId="7483CA87">
      <w:pPr>
        <w:ind w:firstLine="480" w:firstLineChars="200"/>
        <w:rPr>
          <w:rFonts w:cs="宋体"/>
          <w:color w:val="auto"/>
          <w:highlight w:val="none"/>
        </w:rPr>
      </w:pPr>
      <w:r>
        <w:rPr>
          <w:rFonts w:hint="eastAsia" w:cs="宋体"/>
          <w:color w:val="auto"/>
          <w:highlight w:val="none"/>
        </w:rPr>
        <w:t>（9）在提出本次质疑前半年内连续三次质疑而无事实依据的；</w:t>
      </w:r>
    </w:p>
    <w:p w14:paraId="38461176">
      <w:pPr>
        <w:ind w:firstLine="480" w:firstLineChars="200"/>
        <w:rPr>
          <w:rFonts w:cs="宋体"/>
          <w:color w:val="auto"/>
          <w:highlight w:val="none"/>
        </w:rPr>
      </w:pPr>
      <w:r>
        <w:rPr>
          <w:rFonts w:hint="eastAsia" w:cs="宋体"/>
          <w:color w:val="auto"/>
          <w:highlight w:val="none"/>
        </w:rPr>
        <w:t>（10）其它不符合受理条件的情形。</w:t>
      </w:r>
    </w:p>
    <w:p w14:paraId="58DBACB4">
      <w:pPr>
        <w:ind w:firstLine="480" w:firstLineChars="200"/>
        <w:rPr>
          <w:rFonts w:cs="宋体"/>
          <w:color w:val="auto"/>
          <w:highlight w:val="none"/>
        </w:rPr>
      </w:pPr>
      <w:r>
        <w:rPr>
          <w:rFonts w:hint="eastAsia" w:cs="宋体"/>
          <w:color w:val="auto"/>
          <w:highlight w:val="none"/>
        </w:rPr>
        <w:t>33.9采购代理机构（或采购人）将在收到书面质疑后7个工作日内审查质疑事项，做出答复或相关处理决定，并以书面形式通知质疑供应商和其他有关供应商，但答复的内容不涉及商业秘密。</w:t>
      </w:r>
    </w:p>
    <w:p w14:paraId="7B18B9BA">
      <w:pPr>
        <w:ind w:firstLine="480" w:firstLineChars="200"/>
        <w:rPr>
          <w:rFonts w:cs="宋体"/>
          <w:color w:val="auto"/>
          <w:highlight w:val="none"/>
        </w:rPr>
      </w:pPr>
      <w:r>
        <w:rPr>
          <w:rFonts w:hint="eastAsia" w:cs="宋体"/>
          <w:color w:val="auto"/>
          <w:highlight w:val="none"/>
        </w:rPr>
        <w:t>33.10质疑供应商对采购代理机构（或采购人）的答复不满意以及采购代理机构（或采购人）未在规定的时间内做出答复的，可以在答复期满后15个工作日内向相关部门投诉。</w:t>
      </w:r>
    </w:p>
    <w:p w14:paraId="234514CD">
      <w:pPr>
        <w:keepNext/>
        <w:keepLines/>
        <w:ind w:firstLine="482" w:firstLineChars="200"/>
        <w:outlineLvl w:val="1"/>
        <w:rPr>
          <w:rFonts w:cs="宋体"/>
          <w:b/>
          <w:color w:val="auto"/>
          <w:highlight w:val="none"/>
        </w:rPr>
      </w:pPr>
      <w:bookmarkStart w:id="78" w:name="_Toc28717"/>
      <w:r>
        <w:rPr>
          <w:rFonts w:hint="eastAsia" w:cs="宋体"/>
          <w:b/>
          <w:color w:val="auto"/>
          <w:highlight w:val="none"/>
        </w:rPr>
        <w:t>十、公平竞争和诚实信用</w:t>
      </w:r>
      <w:bookmarkEnd w:id="78"/>
    </w:p>
    <w:p w14:paraId="27BA56D7">
      <w:pPr>
        <w:ind w:firstLine="480" w:firstLineChars="200"/>
        <w:rPr>
          <w:rFonts w:cs="宋体"/>
          <w:color w:val="auto"/>
          <w:highlight w:val="none"/>
        </w:rPr>
      </w:pPr>
      <w:r>
        <w:rPr>
          <w:rFonts w:hint="eastAsia" w:cs="宋体"/>
          <w:color w:val="auto"/>
          <w:highlight w:val="none"/>
        </w:rPr>
        <w:t>34.1供应商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供应商之间串通投标等。</w:t>
      </w:r>
    </w:p>
    <w:p w14:paraId="106D7F8B">
      <w:pPr>
        <w:ind w:firstLine="480" w:firstLineChars="200"/>
        <w:rPr>
          <w:rFonts w:cs="宋体"/>
          <w:color w:val="auto"/>
          <w:highlight w:val="none"/>
        </w:rPr>
      </w:pPr>
      <w:r>
        <w:rPr>
          <w:rFonts w:hint="eastAsia" w:cs="宋体"/>
          <w:color w:val="auto"/>
          <w:highlight w:val="none"/>
        </w:rPr>
        <w:t>34.2如果有证据表明供应商在本招标项目的竞争中存在腐败、欺诈或其他严重违背公平竞争和诚实信用原则、扰乱政府采购正常秩序的行为，招标人将拒绝其投标，并将报告政府采购监管部门查处；中标后发现的， 中标人须参照《中华人民共和国消费者权益保护法》第55条之条文描述方式双倍赔偿采购人，且民事赔偿并不免除违法供应商的行政与刑事责任。</w:t>
      </w:r>
    </w:p>
    <w:p w14:paraId="50D7ED4C">
      <w:pPr>
        <w:keepNext/>
        <w:keepLines/>
        <w:ind w:firstLine="482" w:firstLineChars="200"/>
        <w:outlineLvl w:val="1"/>
        <w:rPr>
          <w:rFonts w:cs="宋体"/>
          <w:b/>
          <w:color w:val="auto"/>
          <w:highlight w:val="none"/>
        </w:rPr>
      </w:pPr>
      <w:bookmarkStart w:id="79" w:name="_Toc6229"/>
      <w:r>
        <w:rPr>
          <w:rFonts w:hint="eastAsia" w:cs="宋体"/>
          <w:b/>
          <w:color w:val="auto"/>
          <w:highlight w:val="none"/>
        </w:rPr>
        <w:t>十一、违约处罚</w:t>
      </w:r>
      <w:bookmarkEnd w:id="79"/>
    </w:p>
    <w:p w14:paraId="4AB1AB13">
      <w:pPr>
        <w:ind w:firstLine="482" w:firstLineChars="200"/>
        <w:rPr>
          <w:rFonts w:cs="宋体"/>
          <w:b/>
          <w:bCs/>
          <w:color w:val="auto"/>
          <w:highlight w:val="none"/>
        </w:rPr>
      </w:pPr>
      <w:r>
        <w:rPr>
          <w:rFonts w:hint="eastAsia" w:cs="宋体"/>
          <w:b/>
          <w:bCs/>
          <w:color w:val="auto"/>
          <w:highlight w:val="none"/>
        </w:rPr>
        <w:t>35.违约处罚</w:t>
      </w:r>
    </w:p>
    <w:p w14:paraId="07FFF465">
      <w:pPr>
        <w:ind w:firstLine="480" w:firstLineChars="200"/>
        <w:rPr>
          <w:rFonts w:cs="宋体"/>
          <w:color w:val="auto"/>
          <w:highlight w:val="none"/>
        </w:rPr>
      </w:pPr>
      <w:r>
        <w:rPr>
          <w:rFonts w:hint="eastAsia" w:cs="宋体"/>
          <w:color w:val="auto"/>
          <w:highlight w:val="none"/>
        </w:rPr>
        <w:t>35.1发生下列情况之一，供应商的磋商保证金将被没收，并可能被列入不良记录名单，供应商今后参与同类采购项目的机会可能会受到影响：</w:t>
      </w:r>
    </w:p>
    <w:p w14:paraId="4D5EC185">
      <w:pPr>
        <w:ind w:firstLine="480" w:firstLineChars="200"/>
        <w:rPr>
          <w:rFonts w:cs="宋体"/>
          <w:color w:val="auto"/>
          <w:highlight w:val="none"/>
        </w:rPr>
      </w:pPr>
      <w:r>
        <w:rPr>
          <w:rFonts w:hint="eastAsia" w:cs="宋体"/>
          <w:color w:val="auto"/>
          <w:highlight w:val="none"/>
        </w:rPr>
        <w:t>（1）磋商后在投标有效期内，供应商撤回其投标；</w:t>
      </w:r>
    </w:p>
    <w:p w14:paraId="06EB0602">
      <w:pPr>
        <w:ind w:firstLine="480" w:firstLineChars="200"/>
        <w:rPr>
          <w:rFonts w:cs="宋体"/>
          <w:color w:val="auto"/>
          <w:highlight w:val="none"/>
        </w:rPr>
      </w:pPr>
      <w:r>
        <w:rPr>
          <w:rFonts w:hint="eastAsia" w:cs="宋体"/>
          <w:color w:val="auto"/>
          <w:highlight w:val="none"/>
        </w:rPr>
        <w:t>（2）在评标期间，供应商企图影响采购机构或磋商小组的任何活动，将导致投标被拒绝，并由其承担相应的法律责任。</w:t>
      </w:r>
    </w:p>
    <w:p w14:paraId="5907E830">
      <w:pPr>
        <w:ind w:firstLine="480" w:firstLineChars="200"/>
        <w:rPr>
          <w:rFonts w:cs="宋体"/>
          <w:color w:val="auto"/>
          <w:highlight w:val="none"/>
        </w:rPr>
      </w:pPr>
      <w:r>
        <w:rPr>
          <w:rFonts w:hint="eastAsia" w:cs="宋体"/>
          <w:color w:val="auto"/>
          <w:highlight w:val="none"/>
        </w:rPr>
        <w:t>（3）成交供应商未按本磋商文件规定签约；</w:t>
      </w:r>
    </w:p>
    <w:p w14:paraId="62F741FC">
      <w:pPr>
        <w:ind w:firstLine="480" w:firstLineChars="200"/>
        <w:rPr>
          <w:rFonts w:cs="宋体"/>
          <w:color w:val="auto"/>
          <w:highlight w:val="none"/>
        </w:rPr>
      </w:pPr>
      <w:r>
        <w:rPr>
          <w:rFonts w:hint="eastAsia" w:cs="宋体"/>
          <w:color w:val="auto"/>
          <w:highlight w:val="none"/>
        </w:rPr>
        <w:t>（4）成交供应商与采购人订立背离合同实质性内容的其它协议；</w:t>
      </w:r>
    </w:p>
    <w:p w14:paraId="2EF5AA02">
      <w:pPr>
        <w:ind w:firstLine="480" w:firstLineChars="200"/>
        <w:rPr>
          <w:rFonts w:cs="宋体"/>
          <w:color w:val="auto"/>
          <w:highlight w:val="none"/>
        </w:rPr>
      </w:pPr>
      <w:r>
        <w:rPr>
          <w:rFonts w:hint="eastAsia" w:cs="宋体"/>
          <w:color w:val="auto"/>
          <w:highlight w:val="none"/>
        </w:rPr>
        <w:t>（5）供应商未按磋商文件规定和合同约定履行义务的。</w:t>
      </w:r>
    </w:p>
    <w:p w14:paraId="2DE94B81">
      <w:pPr>
        <w:overflowPunct w:val="0"/>
        <w:topLinePunct/>
        <w:autoSpaceDN w:val="0"/>
        <w:adjustRightInd w:val="0"/>
        <w:snapToGrid w:val="0"/>
        <w:spacing w:line="360" w:lineRule="auto"/>
        <w:ind w:firstLine="482" w:firstLineChars="200"/>
        <w:rPr>
          <w:rFonts w:ascii="宋体" w:hAnsi="宋体"/>
          <w:b/>
          <w:snapToGrid w:val="0"/>
          <w:color w:val="auto"/>
          <w:kern w:val="0"/>
          <w:szCs w:val="21"/>
          <w:highlight w:val="none"/>
        </w:rPr>
      </w:pPr>
      <w:r>
        <w:rPr>
          <w:rFonts w:ascii="宋体" w:hAnsi="宋体"/>
          <w:b/>
          <w:snapToGrid w:val="0"/>
          <w:color w:val="auto"/>
          <w:kern w:val="0"/>
          <w:szCs w:val="21"/>
          <w:highlight w:val="none"/>
        </w:rPr>
        <w:t>十一、需要补充的其他内容</w:t>
      </w:r>
    </w:p>
    <w:p w14:paraId="03D36AD2">
      <w:pPr>
        <w:overflowPunct w:val="0"/>
        <w:topLinePunct/>
        <w:autoSpaceDN w:val="0"/>
        <w:adjustRightInd w:val="0"/>
        <w:snapToGrid w:val="0"/>
        <w:spacing w:line="360" w:lineRule="auto"/>
        <w:ind w:firstLine="482" w:firstLineChars="200"/>
        <w:rPr>
          <w:rFonts w:ascii="宋体" w:hAnsi="宋体"/>
          <w:b/>
          <w:snapToGrid w:val="0"/>
          <w:color w:val="auto"/>
          <w:kern w:val="0"/>
          <w:szCs w:val="21"/>
          <w:highlight w:val="none"/>
        </w:rPr>
      </w:pPr>
      <w:bookmarkStart w:id="80" w:name="_Toc504729510"/>
      <w:bookmarkStart w:id="81" w:name="_Toc15457"/>
      <w:r>
        <w:rPr>
          <w:rFonts w:ascii="宋体" w:hAnsi="宋体"/>
          <w:b/>
          <w:snapToGrid w:val="0"/>
          <w:color w:val="auto"/>
          <w:kern w:val="0"/>
          <w:szCs w:val="21"/>
          <w:highlight w:val="none"/>
        </w:rPr>
        <w:t>3</w:t>
      </w:r>
      <w:r>
        <w:rPr>
          <w:rFonts w:hint="eastAsia" w:ascii="宋体" w:hAnsi="宋体"/>
          <w:b/>
          <w:snapToGrid w:val="0"/>
          <w:color w:val="auto"/>
          <w:kern w:val="0"/>
          <w:szCs w:val="21"/>
          <w:highlight w:val="none"/>
          <w:lang w:val="en-US" w:eastAsia="zh-CN"/>
        </w:rPr>
        <w:t>6</w:t>
      </w:r>
      <w:r>
        <w:rPr>
          <w:rFonts w:ascii="宋体" w:hAnsi="宋体"/>
          <w:b/>
          <w:snapToGrid w:val="0"/>
          <w:color w:val="auto"/>
          <w:kern w:val="0"/>
          <w:szCs w:val="21"/>
          <w:highlight w:val="none"/>
        </w:rPr>
        <w:t>.</w:t>
      </w:r>
      <w:bookmarkEnd w:id="80"/>
      <w:bookmarkEnd w:id="81"/>
      <w:r>
        <w:rPr>
          <w:b/>
          <w:bCs/>
          <w:color w:val="auto"/>
          <w:spacing w:val="-3"/>
          <w:sz w:val="24"/>
          <w:szCs w:val="24"/>
          <w:highlight w:val="none"/>
        </w:rPr>
        <w:t>政府采购相关政策要求</w:t>
      </w:r>
    </w:p>
    <w:p w14:paraId="221FF4A5">
      <w:pPr>
        <w:overflowPunct w:val="0"/>
        <w:topLinePunct/>
        <w:autoSpaceDN w:val="0"/>
        <w:adjustRightInd w:val="0"/>
        <w:snapToGrid w:val="0"/>
        <w:spacing w:line="360" w:lineRule="auto"/>
        <w:ind w:firstLine="472" w:firstLineChars="200"/>
        <w:rPr>
          <w:rFonts w:ascii="宋体" w:hAnsi="宋体"/>
          <w:snapToGrid w:val="0"/>
          <w:color w:val="auto"/>
          <w:kern w:val="0"/>
          <w:szCs w:val="21"/>
          <w:highlight w:val="none"/>
        </w:rPr>
      </w:pPr>
      <w:r>
        <w:rPr>
          <w:color w:val="auto"/>
          <w:spacing w:val="-2"/>
          <w:sz w:val="24"/>
          <w:szCs w:val="24"/>
          <w:highlight w:val="none"/>
        </w:rPr>
        <w:t>详见</w:t>
      </w:r>
      <w:r>
        <w:rPr>
          <w:rFonts w:ascii="宋体" w:hAnsi="宋体"/>
          <w:snapToGrid w:val="0"/>
          <w:color w:val="auto"/>
          <w:kern w:val="0"/>
          <w:szCs w:val="21"/>
          <w:highlight w:val="none"/>
        </w:rPr>
        <w:t>供应商须知前附表。</w:t>
      </w:r>
    </w:p>
    <w:p w14:paraId="295DD9D2">
      <w:pPr>
        <w:overflowPunct w:val="0"/>
        <w:topLinePunct/>
        <w:autoSpaceDN w:val="0"/>
        <w:adjustRightInd w:val="0"/>
        <w:snapToGrid w:val="0"/>
        <w:spacing w:line="360" w:lineRule="auto"/>
        <w:ind w:firstLine="482" w:firstLineChars="200"/>
        <w:rPr>
          <w:rFonts w:ascii="宋体" w:hAnsi="宋体"/>
          <w:b/>
          <w:snapToGrid w:val="0"/>
          <w:color w:val="auto"/>
          <w:kern w:val="0"/>
          <w:szCs w:val="21"/>
          <w:highlight w:val="none"/>
        </w:rPr>
      </w:pPr>
      <w:r>
        <w:rPr>
          <w:rFonts w:ascii="宋体" w:hAnsi="宋体"/>
          <w:b/>
          <w:snapToGrid w:val="0"/>
          <w:color w:val="auto"/>
          <w:kern w:val="0"/>
          <w:szCs w:val="21"/>
          <w:highlight w:val="none"/>
        </w:rPr>
        <w:t>3</w:t>
      </w:r>
      <w:r>
        <w:rPr>
          <w:rFonts w:hint="eastAsia" w:ascii="宋体" w:hAnsi="宋体"/>
          <w:b/>
          <w:snapToGrid w:val="0"/>
          <w:color w:val="auto"/>
          <w:kern w:val="0"/>
          <w:szCs w:val="21"/>
          <w:highlight w:val="none"/>
          <w:lang w:val="en-US" w:eastAsia="zh-CN"/>
        </w:rPr>
        <w:t>7</w:t>
      </w:r>
      <w:r>
        <w:rPr>
          <w:rFonts w:ascii="宋体" w:hAnsi="宋体"/>
          <w:b/>
          <w:snapToGrid w:val="0"/>
          <w:color w:val="auto"/>
          <w:kern w:val="0"/>
          <w:szCs w:val="21"/>
          <w:highlight w:val="none"/>
        </w:rPr>
        <w:t>.需要补充的</w:t>
      </w:r>
      <w:r>
        <w:rPr>
          <w:rFonts w:hint="eastAsia" w:ascii="宋体" w:hAnsi="宋体"/>
          <w:b/>
          <w:snapToGrid w:val="0"/>
          <w:color w:val="auto"/>
          <w:kern w:val="0"/>
          <w:szCs w:val="21"/>
          <w:highlight w:val="none"/>
          <w:lang w:val="en-US" w:eastAsia="zh-CN"/>
        </w:rPr>
        <w:t>其他</w:t>
      </w:r>
      <w:r>
        <w:rPr>
          <w:rFonts w:ascii="宋体" w:hAnsi="宋体"/>
          <w:b/>
          <w:snapToGrid w:val="0"/>
          <w:color w:val="auto"/>
          <w:kern w:val="0"/>
          <w:szCs w:val="21"/>
          <w:highlight w:val="none"/>
        </w:rPr>
        <w:t>内容</w:t>
      </w:r>
    </w:p>
    <w:p w14:paraId="566B00CF">
      <w:pPr>
        <w:overflowPunct w:val="0"/>
        <w:topLinePunct/>
        <w:autoSpaceDN w:val="0"/>
        <w:adjustRightInd w:val="0"/>
        <w:snapToGrid w:val="0"/>
        <w:spacing w:line="360" w:lineRule="auto"/>
        <w:ind w:firstLine="480" w:firstLineChars="200"/>
        <w:rPr>
          <w:rFonts w:hint="eastAsia" w:eastAsia="宋体" w:cs="宋体"/>
          <w:color w:val="auto"/>
          <w:highlight w:val="none"/>
          <w:lang w:eastAsia="zh-CN"/>
        </w:rPr>
        <w:sectPr>
          <w:footerReference r:id="rId9" w:type="default"/>
          <w:pgSz w:w="11906" w:h="16838"/>
          <w:pgMar w:top="1440" w:right="1440" w:bottom="1440" w:left="1440" w:header="624" w:footer="992" w:gutter="0"/>
          <w:pgNumType w:fmt="decimal"/>
          <w:cols w:space="425" w:num="1"/>
          <w:rtlGutter w:val="0"/>
          <w:docGrid w:type="lines" w:linePitch="312" w:charSpace="0"/>
        </w:sectPr>
      </w:pPr>
      <w:r>
        <w:rPr>
          <w:rFonts w:hint="eastAsia" w:cs="宋体"/>
          <w:color w:val="auto"/>
          <w:highlight w:val="none"/>
        </w:rPr>
        <w:t>详见供应商须知前附表</w:t>
      </w:r>
      <w:r>
        <w:rPr>
          <w:rFonts w:hint="eastAsia" w:cs="宋体"/>
          <w:color w:val="auto"/>
          <w:highlight w:val="none"/>
          <w:lang w:eastAsia="zh-CN"/>
        </w:rPr>
        <w:t>。</w:t>
      </w:r>
    </w:p>
    <w:p w14:paraId="4B071A1B">
      <w:pPr>
        <w:pStyle w:val="2"/>
        <w:rPr>
          <w:rFonts w:cs="宋体"/>
          <w:color w:val="auto"/>
          <w:highlight w:val="none"/>
        </w:rPr>
      </w:pPr>
      <w:bookmarkStart w:id="82" w:name="_Toc25735"/>
      <w:r>
        <w:rPr>
          <w:rFonts w:hint="eastAsia" w:cs="宋体"/>
          <w:color w:val="auto"/>
          <w:highlight w:val="none"/>
        </w:rPr>
        <w:t>第三部分 资格性、符合性评审标准</w:t>
      </w:r>
      <w:bookmarkEnd w:id="82"/>
    </w:p>
    <w:p w14:paraId="65AF11E2">
      <w:pPr>
        <w:jc w:val="center"/>
        <w:rPr>
          <w:rFonts w:cs="宋体"/>
          <w:color w:val="auto"/>
          <w:highlight w:val="none"/>
        </w:rPr>
      </w:pPr>
      <w:r>
        <w:rPr>
          <w:rFonts w:hint="eastAsia" w:cs="宋体"/>
          <w:color w:val="auto"/>
          <w:highlight w:val="none"/>
        </w:rPr>
        <w:t>一、资格性审查要求</w:t>
      </w:r>
    </w:p>
    <w:tbl>
      <w:tblPr>
        <w:tblStyle w:val="18"/>
        <w:tblW w:w="9052" w:type="dxa"/>
        <w:jc w:val="center"/>
        <w:tblLayout w:type="fixed"/>
        <w:tblCellMar>
          <w:top w:w="0" w:type="dxa"/>
          <w:left w:w="108" w:type="dxa"/>
          <w:bottom w:w="0" w:type="dxa"/>
          <w:right w:w="108" w:type="dxa"/>
        </w:tblCellMar>
      </w:tblPr>
      <w:tblGrid>
        <w:gridCol w:w="796"/>
        <w:gridCol w:w="2767"/>
        <w:gridCol w:w="5489"/>
      </w:tblGrid>
      <w:tr w14:paraId="21CEC95D">
        <w:tblPrEx>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14:paraId="5070C498">
            <w:pPr>
              <w:spacing w:line="440" w:lineRule="exact"/>
              <w:jc w:val="center"/>
              <w:rPr>
                <w:rFonts w:cs="宋体"/>
                <w:color w:val="auto"/>
                <w:highlight w:val="none"/>
              </w:rPr>
            </w:pPr>
            <w:r>
              <w:rPr>
                <w:rFonts w:hint="eastAsia" w:cs="宋体"/>
                <w:color w:val="auto"/>
                <w:highlight w:val="none"/>
              </w:rPr>
              <w:t>序号</w:t>
            </w:r>
          </w:p>
        </w:tc>
        <w:tc>
          <w:tcPr>
            <w:tcW w:w="2767" w:type="dxa"/>
            <w:tcBorders>
              <w:top w:val="single" w:color="auto" w:sz="4" w:space="0"/>
              <w:left w:val="single" w:color="auto" w:sz="4" w:space="0"/>
              <w:bottom w:val="single" w:color="auto" w:sz="4" w:space="0"/>
              <w:right w:val="single" w:color="auto" w:sz="4" w:space="0"/>
            </w:tcBorders>
            <w:vAlign w:val="center"/>
          </w:tcPr>
          <w:p w14:paraId="340153B1">
            <w:pPr>
              <w:spacing w:line="440" w:lineRule="exact"/>
              <w:jc w:val="center"/>
              <w:rPr>
                <w:rFonts w:cs="宋体"/>
                <w:color w:val="auto"/>
                <w:highlight w:val="none"/>
              </w:rPr>
            </w:pPr>
            <w:r>
              <w:rPr>
                <w:rFonts w:hint="eastAsia" w:cs="宋体"/>
                <w:color w:val="auto"/>
                <w:highlight w:val="none"/>
              </w:rPr>
              <w:t>评审因素</w:t>
            </w:r>
          </w:p>
        </w:tc>
        <w:tc>
          <w:tcPr>
            <w:tcW w:w="5489" w:type="dxa"/>
            <w:tcBorders>
              <w:top w:val="single" w:color="auto" w:sz="4" w:space="0"/>
              <w:left w:val="single" w:color="auto" w:sz="4" w:space="0"/>
              <w:bottom w:val="single" w:color="auto" w:sz="4" w:space="0"/>
              <w:right w:val="single" w:color="auto" w:sz="4" w:space="0"/>
            </w:tcBorders>
            <w:vAlign w:val="center"/>
          </w:tcPr>
          <w:p w14:paraId="3598DBF5">
            <w:pPr>
              <w:spacing w:line="440" w:lineRule="exact"/>
              <w:jc w:val="center"/>
              <w:rPr>
                <w:rFonts w:cs="宋体"/>
                <w:color w:val="auto"/>
                <w:highlight w:val="none"/>
              </w:rPr>
            </w:pPr>
            <w:r>
              <w:rPr>
                <w:rFonts w:hint="eastAsia" w:cs="宋体"/>
                <w:color w:val="auto"/>
                <w:highlight w:val="none"/>
              </w:rPr>
              <w:t>标准</w:t>
            </w:r>
          </w:p>
        </w:tc>
      </w:tr>
      <w:tr w14:paraId="56C6E6E7">
        <w:tblPrEx>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14:paraId="5AC222CF">
            <w:pPr>
              <w:spacing w:line="440" w:lineRule="exact"/>
              <w:jc w:val="center"/>
              <w:rPr>
                <w:rFonts w:cs="宋体"/>
                <w:color w:val="auto"/>
                <w:highlight w:val="none"/>
              </w:rPr>
            </w:pPr>
            <w:r>
              <w:rPr>
                <w:rFonts w:hint="eastAsia" w:cs="宋体"/>
                <w:color w:val="auto"/>
                <w:highlight w:val="none"/>
              </w:rPr>
              <w:t>1</w:t>
            </w:r>
          </w:p>
        </w:tc>
        <w:tc>
          <w:tcPr>
            <w:tcW w:w="2767" w:type="dxa"/>
            <w:tcBorders>
              <w:top w:val="single" w:color="auto" w:sz="4" w:space="0"/>
              <w:left w:val="single" w:color="auto" w:sz="4" w:space="0"/>
              <w:bottom w:val="single" w:color="auto" w:sz="4" w:space="0"/>
              <w:right w:val="single" w:color="auto" w:sz="4" w:space="0"/>
            </w:tcBorders>
            <w:vAlign w:val="center"/>
          </w:tcPr>
          <w:p w14:paraId="194537E3">
            <w:pPr>
              <w:spacing w:line="440" w:lineRule="exact"/>
              <w:jc w:val="center"/>
              <w:rPr>
                <w:rFonts w:cs="宋体"/>
                <w:color w:val="auto"/>
                <w:highlight w:val="none"/>
              </w:rPr>
            </w:pPr>
            <w:r>
              <w:rPr>
                <w:rFonts w:hint="eastAsia" w:cs="宋体"/>
                <w:color w:val="auto"/>
                <w:highlight w:val="none"/>
              </w:rPr>
              <w:t>具有独立承担民事责任的能力</w:t>
            </w:r>
          </w:p>
        </w:tc>
        <w:tc>
          <w:tcPr>
            <w:tcW w:w="5489" w:type="dxa"/>
            <w:tcBorders>
              <w:top w:val="single" w:color="auto" w:sz="4" w:space="0"/>
              <w:left w:val="single" w:color="auto" w:sz="4" w:space="0"/>
              <w:bottom w:val="single" w:color="auto" w:sz="4" w:space="0"/>
              <w:right w:val="single" w:color="auto" w:sz="4" w:space="0"/>
            </w:tcBorders>
            <w:vAlign w:val="center"/>
          </w:tcPr>
          <w:p w14:paraId="2A370B87">
            <w:pPr>
              <w:spacing w:line="440" w:lineRule="exact"/>
              <w:jc w:val="both"/>
              <w:rPr>
                <w:rFonts w:cs="宋体"/>
                <w:color w:val="auto"/>
                <w:highlight w:val="none"/>
              </w:rPr>
            </w:pPr>
            <w:r>
              <w:rPr>
                <w:rFonts w:hint="eastAsia" w:cs="宋体"/>
                <w:color w:val="auto"/>
                <w:highlight w:val="none"/>
              </w:rPr>
              <w:t>提供供应商信用承诺书</w:t>
            </w:r>
          </w:p>
          <w:p w14:paraId="05BDC9DA">
            <w:pPr>
              <w:spacing w:line="440" w:lineRule="exact"/>
              <w:jc w:val="both"/>
              <w:rPr>
                <w:rFonts w:cs="宋体"/>
                <w:color w:val="auto"/>
                <w:highlight w:val="none"/>
              </w:rPr>
            </w:pPr>
            <w:r>
              <w:rPr>
                <w:rFonts w:hint="eastAsia" w:cs="宋体"/>
                <w:color w:val="auto"/>
                <w:highlight w:val="none"/>
              </w:rPr>
              <w:t>以上证明材料须符合要求有效、完整。否则，响应无效。</w:t>
            </w:r>
          </w:p>
        </w:tc>
      </w:tr>
      <w:tr w14:paraId="0C968097">
        <w:tblPrEx>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14:paraId="3B048BBE">
            <w:pPr>
              <w:spacing w:line="440" w:lineRule="exact"/>
              <w:jc w:val="center"/>
              <w:rPr>
                <w:rFonts w:cs="宋体"/>
                <w:color w:val="auto"/>
                <w:highlight w:val="none"/>
              </w:rPr>
            </w:pPr>
            <w:r>
              <w:rPr>
                <w:rFonts w:hint="eastAsia" w:cs="宋体"/>
                <w:color w:val="auto"/>
                <w:highlight w:val="none"/>
              </w:rPr>
              <w:t>2</w:t>
            </w:r>
          </w:p>
        </w:tc>
        <w:tc>
          <w:tcPr>
            <w:tcW w:w="2767" w:type="dxa"/>
            <w:tcBorders>
              <w:top w:val="single" w:color="auto" w:sz="4" w:space="0"/>
              <w:left w:val="single" w:color="auto" w:sz="4" w:space="0"/>
              <w:bottom w:val="single" w:color="auto" w:sz="4" w:space="0"/>
              <w:right w:val="single" w:color="auto" w:sz="4" w:space="0"/>
            </w:tcBorders>
            <w:vAlign w:val="center"/>
          </w:tcPr>
          <w:p w14:paraId="0DE7F33E">
            <w:pPr>
              <w:spacing w:line="440" w:lineRule="exact"/>
              <w:jc w:val="center"/>
              <w:rPr>
                <w:rFonts w:cs="宋体"/>
                <w:color w:val="auto"/>
                <w:highlight w:val="none"/>
              </w:rPr>
            </w:pPr>
            <w:r>
              <w:rPr>
                <w:rFonts w:hint="eastAsia" w:cs="宋体"/>
                <w:color w:val="auto"/>
                <w:highlight w:val="none"/>
              </w:rPr>
              <w:t>具有良好的商业信誉和健全的财务会计制度</w:t>
            </w:r>
          </w:p>
        </w:tc>
        <w:tc>
          <w:tcPr>
            <w:tcW w:w="5489" w:type="dxa"/>
            <w:tcBorders>
              <w:top w:val="single" w:color="auto" w:sz="4" w:space="0"/>
              <w:left w:val="single" w:color="auto" w:sz="4" w:space="0"/>
              <w:bottom w:val="single" w:color="auto" w:sz="4" w:space="0"/>
              <w:right w:val="single" w:color="auto" w:sz="4" w:space="0"/>
            </w:tcBorders>
            <w:vAlign w:val="center"/>
          </w:tcPr>
          <w:p w14:paraId="4DED48BB">
            <w:pPr>
              <w:spacing w:line="440" w:lineRule="exact"/>
              <w:jc w:val="both"/>
              <w:rPr>
                <w:rFonts w:cs="宋体"/>
                <w:color w:val="auto"/>
                <w:highlight w:val="none"/>
              </w:rPr>
            </w:pPr>
            <w:r>
              <w:rPr>
                <w:rFonts w:hint="eastAsia" w:cs="宋体"/>
                <w:color w:val="auto"/>
                <w:highlight w:val="none"/>
              </w:rPr>
              <w:t>提供供应商信用承诺书</w:t>
            </w:r>
          </w:p>
          <w:p w14:paraId="1C51ABFD">
            <w:pPr>
              <w:spacing w:line="440" w:lineRule="exact"/>
              <w:jc w:val="both"/>
              <w:rPr>
                <w:rFonts w:cs="宋体"/>
                <w:color w:val="auto"/>
                <w:highlight w:val="none"/>
              </w:rPr>
            </w:pPr>
            <w:r>
              <w:rPr>
                <w:rFonts w:hint="eastAsia" w:cs="宋体"/>
                <w:color w:val="auto"/>
                <w:highlight w:val="none"/>
              </w:rPr>
              <w:t>以上证明材料须符合要求有效、完整。否则，响应无效。</w:t>
            </w:r>
          </w:p>
        </w:tc>
      </w:tr>
      <w:tr w14:paraId="0F440DFF">
        <w:tblPrEx>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14:paraId="2045C8E5">
            <w:pPr>
              <w:spacing w:line="440" w:lineRule="exact"/>
              <w:jc w:val="center"/>
              <w:rPr>
                <w:rFonts w:cs="宋体"/>
                <w:color w:val="auto"/>
                <w:highlight w:val="none"/>
              </w:rPr>
            </w:pPr>
            <w:r>
              <w:rPr>
                <w:rFonts w:hint="eastAsia" w:cs="宋体"/>
                <w:color w:val="auto"/>
                <w:highlight w:val="none"/>
              </w:rPr>
              <w:t>3</w:t>
            </w:r>
          </w:p>
        </w:tc>
        <w:tc>
          <w:tcPr>
            <w:tcW w:w="2767" w:type="dxa"/>
            <w:tcBorders>
              <w:top w:val="single" w:color="auto" w:sz="4" w:space="0"/>
              <w:left w:val="single" w:color="auto" w:sz="4" w:space="0"/>
              <w:bottom w:val="single" w:color="auto" w:sz="4" w:space="0"/>
              <w:right w:val="single" w:color="auto" w:sz="4" w:space="0"/>
            </w:tcBorders>
            <w:vAlign w:val="center"/>
          </w:tcPr>
          <w:p w14:paraId="3BA14962">
            <w:pPr>
              <w:spacing w:line="440" w:lineRule="exact"/>
              <w:jc w:val="center"/>
              <w:rPr>
                <w:rFonts w:cs="宋体"/>
                <w:color w:val="auto"/>
                <w:highlight w:val="none"/>
              </w:rPr>
            </w:pPr>
            <w:r>
              <w:rPr>
                <w:rFonts w:hint="eastAsia" w:cs="宋体"/>
                <w:color w:val="auto"/>
                <w:highlight w:val="none"/>
              </w:rPr>
              <w:t>具有履行合同所必需的设备和专业技术能力</w:t>
            </w:r>
          </w:p>
        </w:tc>
        <w:tc>
          <w:tcPr>
            <w:tcW w:w="5489" w:type="dxa"/>
            <w:tcBorders>
              <w:top w:val="single" w:color="auto" w:sz="4" w:space="0"/>
              <w:left w:val="single" w:color="auto" w:sz="4" w:space="0"/>
              <w:bottom w:val="single" w:color="auto" w:sz="4" w:space="0"/>
              <w:right w:val="single" w:color="auto" w:sz="4" w:space="0"/>
            </w:tcBorders>
            <w:vAlign w:val="center"/>
          </w:tcPr>
          <w:p w14:paraId="7C95D476">
            <w:pPr>
              <w:spacing w:line="440" w:lineRule="exact"/>
              <w:jc w:val="both"/>
              <w:rPr>
                <w:rFonts w:cs="宋体"/>
                <w:color w:val="auto"/>
                <w:highlight w:val="none"/>
              </w:rPr>
            </w:pPr>
            <w:r>
              <w:rPr>
                <w:rFonts w:hint="eastAsia" w:cs="宋体"/>
                <w:color w:val="auto"/>
                <w:highlight w:val="none"/>
              </w:rPr>
              <w:t>提供供应商信用承诺书</w:t>
            </w:r>
          </w:p>
          <w:p w14:paraId="6D994F5C">
            <w:pPr>
              <w:spacing w:line="440" w:lineRule="exact"/>
              <w:jc w:val="both"/>
              <w:rPr>
                <w:rFonts w:cs="宋体"/>
                <w:color w:val="auto"/>
                <w:highlight w:val="none"/>
              </w:rPr>
            </w:pPr>
            <w:r>
              <w:rPr>
                <w:rFonts w:hint="eastAsia" w:cs="宋体"/>
                <w:color w:val="auto"/>
                <w:highlight w:val="none"/>
              </w:rPr>
              <w:t>以上证明材料须符合要求有效、完整。否则，响应无效。</w:t>
            </w:r>
          </w:p>
        </w:tc>
      </w:tr>
      <w:tr w14:paraId="418A7A1B">
        <w:tblPrEx>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14:paraId="3E82295F">
            <w:pPr>
              <w:spacing w:line="440" w:lineRule="exact"/>
              <w:jc w:val="center"/>
              <w:rPr>
                <w:rFonts w:cs="宋体"/>
                <w:color w:val="auto"/>
                <w:highlight w:val="none"/>
              </w:rPr>
            </w:pPr>
            <w:r>
              <w:rPr>
                <w:rFonts w:hint="eastAsia" w:cs="宋体"/>
                <w:color w:val="auto"/>
                <w:highlight w:val="none"/>
              </w:rPr>
              <w:t>4</w:t>
            </w:r>
          </w:p>
        </w:tc>
        <w:tc>
          <w:tcPr>
            <w:tcW w:w="2767" w:type="dxa"/>
            <w:tcBorders>
              <w:top w:val="single" w:color="auto" w:sz="4" w:space="0"/>
              <w:left w:val="single" w:color="auto" w:sz="4" w:space="0"/>
              <w:bottom w:val="single" w:color="auto" w:sz="4" w:space="0"/>
              <w:right w:val="single" w:color="auto" w:sz="4" w:space="0"/>
            </w:tcBorders>
            <w:vAlign w:val="center"/>
          </w:tcPr>
          <w:p w14:paraId="41E8F820">
            <w:pPr>
              <w:spacing w:line="440" w:lineRule="exact"/>
              <w:jc w:val="center"/>
              <w:rPr>
                <w:rFonts w:cs="宋体"/>
                <w:color w:val="auto"/>
                <w:highlight w:val="none"/>
              </w:rPr>
            </w:pPr>
            <w:r>
              <w:rPr>
                <w:rFonts w:hint="eastAsia" w:cs="宋体"/>
                <w:color w:val="auto"/>
                <w:highlight w:val="none"/>
              </w:rPr>
              <w:t>有依法缴纳税收和社会保障资金的良好记录</w:t>
            </w:r>
          </w:p>
        </w:tc>
        <w:tc>
          <w:tcPr>
            <w:tcW w:w="5489" w:type="dxa"/>
            <w:tcBorders>
              <w:top w:val="single" w:color="auto" w:sz="4" w:space="0"/>
              <w:left w:val="single" w:color="auto" w:sz="4" w:space="0"/>
              <w:bottom w:val="single" w:color="auto" w:sz="4" w:space="0"/>
              <w:right w:val="single" w:color="auto" w:sz="4" w:space="0"/>
            </w:tcBorders>
            <w:vAlign w:val="center"/>
          </w:tcPr>
          <w:p w14:paraId="3726CD01">
            <w:pPr>
              <w:spacing w:line="440" w:lineRule="exact"/>
              <w:jc w:val="both"/>
              <w:rPr>
                <w:rFonts w:cs="宋体"/>
                <w:color w:val="auto"/>
                <w:highlight w:val="none"/>
              </w:rPr>
            </w:pPr>
            <w:r>
              <w:rPr>
                <w:rFonts w:hint="eastAsia" w:cs="宋体"/>
                <w:color w:val="auto"/>
                <w:highlight w:val="none"/>
              </w:rPr>
              <w:t>提供供应商信用承诺书</w:t>
            </w:r>
          </w:p>
          <w:p w14:paraId="6188F784">
            <w:pPr>
              <w:spacing w:line="440" w:lineRule="exact"/>
              <w:jc w:val="both"/>
              <w:rPr>
                <w:rFonts w:cs="宋体"/>
                <w:color w:val="auto"/>
                <w:highlight w:val="none"/>
              </w:rPr>
            </w:pPr>
            <w:r>
              <w:rPr>
                <w:rFonts w:hint="eastAsia" w:cs="宋体"/>
                <w:color w:val="auto"/>
                <w:highlight w:val="none"/>
              </w:rPr>
              <w:t>以上证明材料须符合要求有效、完整。否则，响应无效。</w:t>
            </w:r>
          </w:p>
        </w:tc>
      </w:tr>
      <w:tr w14:paraId="494AF77C">
        <w:tblPrEx>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14:paraId="326647AC">
            <w:pPr>
              <w:spacing w:line="440" w:lineRule="exact"/>
              <w:jc w:val="center"/>
              <w:rPr>
                <w:rFonts w:cs="宋体"/>
                <w:color w:val="auto"/>
                <w:highlight w:val="none"/>
              </w:rPr>
            </w:pPr>
            <w:r>
              <w:rPr>
                <w:rFonts w:hint="eastAsia" w:cs="宋体"/>
                <w:color w:val="auto"/>
                <w:highlight w:val="none"/>
              </w:rPr>
              <w:t>5</w:t>
            </w:r>
          </w:p>
        </w:tc>
        <w:tc>
          <w:tcPr>
            <w:tcW w:w="2767" w:type="dxa"/>
            <w:tcBorders>
              <w:top w:val="single" w:color="auto" w:sz="4" w:space="0"/>
              <w:left w:val="single" w:color="auto" w:sz="4" w:space="0"/>
              <w:bottom w:val="single" w:color="auto" w:sz="4" w:space="0"/>
              <w:right w:val="single" w:color="auto" w:sz="4" w:space="0"/>
            </w:tcBorders>
            <w:vAlign w:val="center"/>
          </w:tcPr>
          <w:p w14:paraId="4B9C022A">
            <w:pPr>
              <w:spacing w:line="440" w:lineRule="exact"/>
              <w:jc w:val="center"/>
              <w:rPr>
                <w:rFonts w:cs="宋体"/>
                <w:color w:val="auto"/>
                <w:highlight w:val="none"/>
              </w:rPr>
            </w:pPr>
            <w:r>
              <w:rPr>
                <w:rFonts w:hint="eastAsia" w:cs="宋体"/>
                <w:color w:val="auto"/>
                <w:highlight w:val="none"/>
              </w:rPr>
              <w:t>参加政府采购活动前三年内，在经营活动中没有重大违法记录</w:t>
            </w:r>
          </w:p>
        </w:tc>
        <w:tc>
          <w:tcPr>
            <w:tcW w:w="5489" w:type="dxa"/>
            <w:tcBorders>
              <w:top w:val="single" w:color="auto" w:sz="4" w:space="0"/>
              <w:left w:val="single" w:color="auto" w:sz="4" w:space="0"/>
              <w:bottom w:val="single" w:color="auto" w:sz="4" w:space="0"/>
              <w:right w:val="single" w:color="auto" w:sz="4" w:space="0"/>
            </w:tcBorders>
            <w:vAlign w:val="center"/>
          </w:tcPr>
          <w:p w14:paraId="6787F711">
            <w:pPr>
              <w:spacing w:line="440" w:lineRule="exact"/>
              <w:jc w:val="both"/>
              <w:rPr>
                <w:rFonts w:cs="宋体"/>
                <w:color w:val="auto"/>
                <w:highlight w:val="none"/>
              </w:rPr>
            </w:pPr>
            <w:r>
              <w:rPr>
                <w:rFonts w:hint="eastAsia" w:cs="宋体"/>
                <w:color w:val="auto"/>
                <w:highlight w:val="none"/>
              </w:rPr>
              <w:t>提供供应商信用承诺书</w:t>
            </w:r>
          </w:p>
          <w:p w14:paraId="7136A977">
            <w:pPr>
              <w:spacing w:line="440" w:lineRule="exact"/>
              <w:jc w:val="both"/>
              <w:rPr>
                <w:rFonts w:cs="宋体"/>
                <w:color w:val="auto"/>
                <w:highlight w:val="none"/>
              </w:rPr>
            </w:pPr>
            <w:r>
              <w:rPr>
                <w:rFonts w:hint="eastAsia" w:cs="宋体"/>
                <w:color w:val="auto"/>
                <w:highlight w:val="none"/>
              </w:rPr>
              <w:t>以上证明材料须符合要求有效、完整。否则，响应无效。</w:t>
            </w:r>
          </w:p>
        </w:tc>
      </w:tr>
      <w:tr w14:paraId="6FDA1827">
        <w:tblPrEx>
          <w:tblCellMar>
            <w:top w:w="0" w:type="dxa"/>
            <w:left w:w="108" w:type="dxa"/>
            <w:bottom w:w="0" w:type="dxa"/>
            <w:right w:w="108" w:type="dxa"/>
          </w:tblCellMar>
        </w:tblPrEx>
        <w:trPr>
          <w:jc w:val="center"/>
        </w:trPr>
        <w:tc>
          <w:tcPr>
            <w:tcW w:w="796" w:type="dxa"/>
            <w:tcBorders>
              <w:top w:val="nil"/>
              <w:left w:val="single" w:color="auto" w:sz="4" w:space="0"/>
              <w:bottom w:val="single" w:color="auto" w:sz="4" w:space="0"/>
              <w:right w:val="single" w:color="auto" w:sz="4" w:space="0"/>
            </w:tcBorders>
            <w:vAlign w:val="center"/>
          </w:tcPr>
          <w:p w14:paraId="4EFB95F7">
            <w:pPr>
              <w:spacing w:line="440" w:lineRule="exact"/>
              <w:jc w:val="center"/>
              <w:rPr>
                <w:rFonts w:cs="宋体"/>
                <w:color w:val="auto"/>
                <w:highlight w:val="none"/>
              </w:rPr>
            </w:pPr>
            <w:r>
              <w:rPr>
                <w:rFonts w:hint="eastAsia" w:cs="宋体"/>
                <w:color w:val="auto"/>
                <w:highlight w:val="none"/>
              </w:rPr>
              <w:t>6</w:t>
            </w:r>
          </w:p>
        </w:tc>
        <w:tc>
          <w:tcPr>
            <w:tcW w:w="2767" w:type="dxa"/>
            <w:tcBorders>
              <w:top w:val="nil"/>
              <w:left w:val="single" w:color="auto" w:sz="4" w:space="0"/>
              <w:bottom w:val="single" w:color="auto" w:sz="4" w:space="0"/>
              <w:right w:val="single" w:color="auto" w:sz="4" w:space="0"/>
            </w:tcBorders>
            <w:vAlign w:val="center"/>
          </w:tcPr>
          <w:p w14:paraId="59226ABA">
            <w:pPr>
              <w:spacing w:line="440" w:lineRule="exact"/>
              <w:jc w:val="center"/>
              <w:rPr>
                <w:rFonts w:cs="宋体"/>
                <w:color w:val="auto"/>
                <w:highlight w:val="none"/>
              </w:rPr>
            </w:pPr>
            <w:r>
              <w:rPr>
                <w:rFonts w:hint="eastAsia" w:cs="宋体"/>
                <w:color w:val="auto"/>
                <w:highlight w:val="none"/>
              </w:rPr>
              <w:t>供应商廉洁自律承诺书</w:t>
            </w:r>
          </w:p>
        </w:tc>
        <w:tc>
          <w:tcPr>
            <w:tcW w:w="5489" w:type="dxa"/>
            <w:tcBorders>
              <w:top w:val="nil"/>
              <w:left w:val="single" w:color="auto" w:sz="4" w:space="0"/>
              <w:bottom w:val="single" w:color="auto" w:sz="4" w:space="0"/>
              <w:right w:val="single" w:color="auto" w:sz="4" w:space="0"/>
            </w:tcBorders>
            <w:vAlign w:val="center"/>
          </w:tcPr>
          <w:p w14:paraId="06732CF3">
            <w:pPr>
              <w:spacing w:line="440" w:lineRule="exact"/>
              <w:rPr>
                <w:rFonts w:cs="宋体"/>
                <w:color w:val="auto"/>
                <w:highlight w:val="none"/>
              </w:rPr>
            </w:pPr>
            <w:r>
              <w:rPr>
                <w:rFonts w:hint="eastAsia" w:cs="宋体"/>
                <w:color w:val="auto"/>
                <w:highlight w:val="none"/>
              </w:rPr>
              <w:t>1.供应商廉洁自律承诺书</w:t>
            </w:r>
          </w:p>
          <w:p w14:paraId="2295FC8F">
            <w:pPr>
              <w:spacing w:line="440" w:lineRule="exact"/>
              <w:rPr>
                <w:rFonts w:cs="宋体"/>
                <w:color w:val="auto"/>
                <w:highlight w:val="none"/>
              </w:rPr>
            </w:pPr>
            <w:r>
              <w:rPr>
                <w:rFonts w:hint="eastAsia" w:cs="宋体"/>
                <w:color w:val="auto"/>
                <w:highlight w:val="none"/>
              </w:rPr>
              <w:t>2.声明须符合要求、有效、完整。否则，响应无效</w:t>
            </w:r>
          </w:p>
        </w:tc>
      </w:tr>
      <w:tr w14:paraId="2B47C783">
        <w:tblPrEx>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14:paraId="3E817FC4">
            <w:pPr>
              <w:spacing w:line="440" w:lineRule="exact"/>
              <w:jc w:val="center"/>
              <w:rPr>
                <w:rFonts w:cs="宋体"/>
                <w:color w:val="auto"/>
                <w:highlight w:val="none"/>
              </w:rPr>
            </w:pPr>
            <w:r>
              <w:rPr>
                <w:rFonts w:hint="eastAsia" w:cs="宋体"/>
                <w:color w:val="auto"/>
                <w:highlight w:val="none"/>
              </w:rPr>
              <w:t>7</w:t>
            </w:r>
          </w:p>
        </w:tc>
        <w:tc>
          <w:tcPr>
            <w:tcW w:w="2767" w:type="dxa"/>
            <w:tcBorders>
              <w:top w:val="single" w:color="auto" w:sz="4" w:space="0"/>
              <w:left w:val="single" w:color="auto" w:sz="4" w:space="0"/>
              <w:bottom w:val="single" w:color="auto" w:sz="4" w:space="0"/>
              <w:right w:val="single" w:color="auto" w:sz="4" w:space="0"/>
            </w:tcBorders>
            <w:vAlign w:val="center"/>
          </w:tcPr>
          <w:p w14:paraId="44C3332C">
            <w:pPr>
              <w:spacing w:line="440" w:lineRule="exact"/>
              <w:jc w:val="center"/>
              <w:rPr>
                <w:rFonts w:cs="宋体"/>
                <w:color w:val="auto"/>
                <w:highlight w:val="none"/>
              </w:rPr>
            </w:pPr>
            <w:r>
              <w:rPr>
                <w:rFonts w:hint="eastAsia" w:cs="宋体"/>
                <w:color w:val="auto"/>
                <w:highlight w:val="none"/>
              </w:rPr>
              <w:t>磋商保证金</w:t>
            </w:r>
          </w:p>
        </w:tc>
        <w:tc>
          <w:tcPr>
            <w:tcW w:w="5489" w:type="dxa"/>
            <w:tcBorders>
              <w:top w:val="single" w:color="auto" w:sz="4" w:space="0"/>
              <w:left w:val="single" w:color="auto" w:sz="4" w:space="0"/>
              <w:bottom w:val="single" w:color="auto" w:sz="4" w:space="0"/>
              <w:right w:val="single" w:color="auto" w:sz="4" w:space="0"/>
            </w:tcBorders>
            <w:vAlign w:val="center"/>
          </w:tcPr>
          <w:p w14:paraId="225F7012">
            <w:pPr>
              <w:pStyle w:val="15"/>
              <w:spacing w:line="440" w:lineRule="exact"/>
              <w:jc w:val="left"/>
              <w:rPr>
                <w:rFonts w:cs="宋体"/>
                <w:color w:val="auto"/>
                <w:highlight w:val="none"/>
                <w:lang w:val="zh-CN"/>
              </w:rPr>
            </w:pPr>
            <w:r>
              <w:rPr>
                <w:rFonts w:hint="eastAsia" w:cs="宋体"/>
                <w:color w:val="auto"/>
                <w:highlight w:val="none"/>
              </w:rPr>
              <w:t>供应商须在磋商前提交磋商保证金。磋商</w:t>
            </w:r>
            <w:r>
              <w:rPr>
                <w:rFonts w:hint="eastAsia" w:cs="宋体"/>
                <w:color w:val="auto"/>
                <w:highlight w:val="none"/>
                <w:lang w:val="zh-CN"/>
              </w:rPr>
              <w:t>保证金应当以电汇、支票、汇票、本票或者金融机构、担保机构出具的保函等非现金形式提交，响应文件中需</w:t>
            </w:r>
            <w:r>
              <w:rPr>
                <w:rFonts w:hint="eastAsia" w:cs="宋体"/>
                <w:color w:val="auto"/>
                <w:highlight w:val="none"/>
              </w:rPr>
              <w:t>附</w:t>
            </w:r>
            <w:r>
              <w:rPr>
                <w:rFonts w:hint="eastAsia" w:cs="宋体"/>
                <w:color w:val="auto"/>
                <w:highlight w:val="none"/>
                <w:lang w:val="zh-CN"/>
              </w:rPr>
              <w:t>保证金交款凭证及其</w:t>
            </w:r>
            <w:r>
              <w:rPr>
                <w:rFonts w:hint="eastAsia" w:cs="宋体"/>
                <w:color w:val="auto"/>
                <w:highlight w:val="none"/>
              </w:rPr>
              <w:t>基本存款账户开户许可证或基本存款账户信息材料</w:t>
            </w:r>
            <w:r>
              <w:rPr>
                <w:rFonts w:hint="eastAsia" w:cs="宋体"/>
                <w:color w:val="auto"/>
                <w:highlight w:val="none"/>
                <w:lang w:val="zh-CN"/>
              </w:rPr>
              <w:t>。</w:t>
            </w:r>
          </w:p>
          <w:p w14:paraId="4A981B95">
            <w:pPr>
              <w:pStyle w:val="15"/>
              <w:spacing w:line="440" w:lineRule="exact"/>
              <w:jc w:val="left"/>
              <w:rPr>
                <w:rFonts w:cs="宋体"/>
                <w:color w:val="auto"/>
                <w:highlight w:val="none"/>
              </w:rPr>
            </w:pPr>
            <w:r>
              <w:rPr>
                <w:rFonts w:hint="eastAsia" w:cs="宋体"/>
                <w:color w:val="auto"/>
                <w:highlight w:val="none"/>
              </w:rPr>
              <w:t>未按要求提交磋商保证金，或所提交保证金不完全符合各项要求的磋商，将被视为无效投标。</w:t>
            </w:r>
          </w:p>
          <w:p w14:paraId="70F1709A">
            <w:pPr>
              <w:pStyle w:val="15"/>
              <w:spacing w:line="440" w:lineRule="exact"/>
              <w:jc w:val="left"/>
              <w:rPr>
                <w:rFonts w:cs="宋体"/>
                <w:color w:val="auto"/>
                <w:highlight w:val="none"/>
              </w:rPr>
            </w:pPr>
            <w:r>
              <w:rPr>
                <w:rFonts w:hint="eastAsia" w:cs="宋体"/>
                <w:color w:val="auto"/>
                <w:highlight w:val="none"/>
              </w:rPr>
              <w:t>证明文件清晰有效、符合要求。</w:t>
            </w:r>
          </w:p>
        </w:tc>
      </w:tr>
      <w:tr w14:paraId="2481B8E3">
        <w:tblPrEx>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14:paraId="523BC1B1">
            <w:pPr>
              <w:spacing w:line="440" w:lineRule="exact"/>
              <w:jc w:val="center"/>
              <w:rPr>
                <w:rFonts w:cs="宋体"/>
                <w:color w:val="auto"/>
                <w:highlight w:val="none"/>
              </w:rPr>
            </w:pPr>
            <w:r>
              <w:rPr>
                <w:rFonts w:hint="eastAsia" w:cs="宋体"/>
                <w:color w:val="auto"/>
                <w:highlight w:val="none"/>
              </w:rPr>
              <w:t>8</w:t>
            </w:r>
          </w:p>
        </w:tc>
        <w:tc>
          <w:tcPr>
            <w:tcW w:w="2767" w:type="dxa"/>
            <w:tcBorders>
              <w:top w:val="single" w:color="auto" w:sz="4" w:space="0"/>
              <w:left w:val="single" w:color="auto" w:sz="4" w:space="0"/>
              <w:bottom w:val="single" w:color="auto" w:sz="4" w:space="0"/>
              <w:right w:val="single" w:color="auto" w:sz="4" w:space="0"/>
            </w:tcBorders>
            <w:vAlign w:val="center"/>
          </w:tcPr>
          <w:p w14:paraId="1AB24ED8">
            <w:pPr>
              <w:spacing w:line="440" w:lineRule="exact"/>
              <w:jc w:val="center"/>
              <w:rPr>
                <w:rFonts w:cs="宋体"/>
                <w:color w:val="auto"/>
                <w:highlight w:val="none"/>
              </w:rPr>
            </w:pPr>
            <w:r>
              <w:rPr>
                <w:rFonts w:hint="eastAsia" w:cs="宋体"/>
                <w:color w:val="auto"/>
                <w:highlight w:val="none"/>
              </w:rPr>
              <w:t>供应商应为中小企业</w:t>
            </w:r>
          </w:p>
        </w:tc>
        <w:tc>
          <w:tcPr>
            <w:tcW w:w="5489" w:type="dxa"/>
            <w:tcBorders>
              <w:top w:val="single" w:color="auto" w:sz="4" w:space="0"/>
              <w:left w:val="single" w:color="auto" w:sz="4" w:space="0"/>
              <w:bottom w:val="single" w:color="auto" w:sz="4" w:space="0"/>
              <w:right w:val="single" w:color="auto" w:sz="4" w:space="0"/>
            </w:tcBorders>
            <w:vAlign w:val="center"/>
          </w:tcPr>
          <w:p w14:paraId="62F7357A">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1.请根据要求上传中小企业声明函，或残疾人福利性单位声明函，或监狱企业证明文件，格式以磋商文件要求为准。</w:t>
            </w:r>
          </w:p>
          <w:p w14:paraId="1EF61077">
            <w:pPr>
              <w:spacing w:line="440" w:lineRule="exact"/>
              <w:rPr>
                <w:rFonts w:cs="宋体"/>
                <w:color w:val="auto"/>
                <w:highlight w:val="none"/>
              </w:rPr>
            </w:pPr>
            <w:r>
              <w:rPr>
                <w:rFonts w:hint="eastAsia" w:ascii="宋体" w:hAnsi="宋体" w:eastAsia="宋体" w:cs="宋体"/>
                <w:color w:val="auto"/>
                <w:spacing w:val="-5"/>
                <w:sz w:val="24"/>
                <w:szCs w:val="24"/>
              </w:rPr>
              <w:t>2.证明文件须内容完整有效、签署符合要求、加盖电子CA章。否则，响应无效。</w:t>
            </w:r>
          </w:p>
        </w:tc>
      </w:tr>
      <w:tr w14:paraId="44F5B55D">
        <w:tblPrEx>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14:paraId="24BA3B81">
            <w:pPr>
              <w:spacing w:line="440" w:lineRule="exact"/>
              <w:jc w:val="center"/>
              <w:rPr>
                <w:rFonts w:cs="宋体"/>
                <w:color w:val="auto"/>
                <w:highlight w:val="none"/>
              </w:rPr>
            </w:pPr>
            <w:r>
              <w:rPr>
                <w:rFonts w:hint="eastAsia" w:cs="宋体"/>
                <w:color w:val="auto"/>
                <w:highlight w:val="none"/>
              </w:rPr>
              <w:t>9</w:t>
            </w:r>
          </w:p>
        </w:tc>
        <w:tc>
          <w:tcPr>
            <w:tcW w:w="2767" w:type="dxa"/>
            <w:tcBorders>
              <w:top w:val="single" w:color="auto" w:sz="4" w:space="0"/>
              <w:left w:val="single" w:color="auto" w:sz="4" w:space="0"/>
              <w:bottom w:val="single" w:color="auto" w:sz="4" w:space="0"/>
              <w:right w:val="single" w:color="auto" w:sz="4" w:space="0"/>
            </w:tcBorders>
            <w:vAlign w:val="center"/>
          </w:tcPr>
          <w:p w14:paraId="6DA4458D">
            <w:pPr>
              <w:spacing w:line="440" w:lineRule="exact"/>
              <w:rPr>
                <w:rFonts w:cs="宋体"/>
                <w:color w:val="auto"/>
                <w:highlight w:val="none"/>
              </w:rPr>
            </w:pPr>
            <w:r>
              <w:rPr>
                <w:rFonts w:hint="eastAsia" w:cs="宋体"/>
                <w:color w:val="auto"/>
                <w:highlight w:val="none"/>
              </w:rPr>
              <w:t>供应商须具备行政主管部门颁发的测绘乙级及以上资质（</w:t>
            </w:r>
            <w:r>
              <w:rPr>
                <w:rFonts w:hint="eastAsia" w:cs="宋体"/>
                <w:color w:val="auto"/>
                <w:highlight w:val="none"/>
                <w:lang w:val="en-US" w:eastAsia="zh-CN"/>
              </w:rPr>
              <w:t>须</w:t>
            </w:r>
            <w:r>
              <w:rPr>
                <w:rFonts w:hint="eastAsia" w:cs="宋体"/>
                <w:color w:val="auto"/>
                <w:highlight w:val="none"/>
              </w:rPr>
              <w:t>包含工程测量）；</w:t>
            </w:r>
            <w:r>
              <w:rPr>
                <w:rFonts w:ascii="宋体" w:hAnsi="宋体" w:eastAsia="宋体" w:cs="宋体"/>
                <w:color w:val="auto"/>
                <w:sz w:val="24"/>
                <w:szCs w:val="24"/>
                <w:highlight w:val="none"/>
              </w:rPr>
              <w:t>拟派项目负责人须具备水文地质、工程地质、环境地质</w:t>
            </w:r>
            <w:r>
              <w:rPr>
                <w:rFonts w:hint="eastAsia" w:cs="宋体"/>
                <w:color w:val="auto"/>
                <w:sz w:val="24"/>
                <w:szCs w:val="24"/>
                <w:highlight w:val="none"/>
                <w:lang w:val="en-US" w:eastAsia="zh-CN"/>
              </w:rPr>
              <w:t>或</w:t>
            </w:r>
            <w:r>
              <w:rPr>
                <w:rFonts w:ascii="宋体" w:hAnsi="宋体" w:eastAsia="宋体" w:cs="宋体"/>
                <w:color w:val="auto"/>
                <w:sz w:val="24"/>
                <w:szCs w:val="24"/>
                <w:highlight w:val="none"/>
              </w:rPr>
              <w:t>岩土工程</w:t>
            </w:r>
            <w:r>
              <w:rPr>
                <w:rFonts w:hint="eastAsia" w:cs="宋体"/>
                <w:color w:val="auto"/>
                <w:sz w:val="24"/>
                <w:szCs w:val="24"/>
                <w:highlight w:val="none"/>
                <w:lang w:val="en-US" w:eastAsia="zh-CN"/>
              </w:rPr>
              <w:t>等</w:t>
            </w:r>
            <w:r>
              <w:rPr>
                <w:rFonts w:ascii="宋体" w:hAnsi="宋体" w:eastAsia="宋体" w:cs="宋体"/>
                <w:color w:val="auto"/>
                <w:sz w:val="24"/>
                <w:szCs w:val="24"/>
                <w:highlight w:val="none"/>
              </w:rPr>
              <w:t>相关专业中级及以上技术职称</w:t>
            </w:r>
            <w:r>
              <w:rPr>
                <w:rFonts w:hint="eastAsia" w:cs="宋体"/>
                <w:color w:val="auto"/>
                <w:highlight w:val="none"/>
              </w:rPr>
              <w:t>。</w:t>
            </w:r>
          </w:p>
        </w:tc>
        <w:tc>
          <w:tcPr>
            <w:tcW w:w="5489" w:type="dxa"/>
            <w:tcBorders>
              <w:top w:val="single" w:color="auto" w:sz="4" w:space="0"/>
              <w:left w:val="single" w:color="auto" w:sz="4" w:space="0"/>
              <w:bottom w:val="single" w:color="auto" w:sz="4" w:space="0"/>
              <w:right w:val="single" w:color="auto" w:sz="4" w:space="0"/>
            </w:tcBorders>
            <w:vAlign w:val="center"/>
          </w:tcPr>
          <w:p w14:paraId="219A14CA">
            <w:pPr>
              <w:spacing w:line="440" w:lineRule="exact"/>
              <w:rPr>
                <w:rFonts w:cs="宋体"/>
                <w:color w:val="auto"/>
                <w:highlight w:val="none"/>
              </w:rPr>
            </w:pPr>
            <w:r>
              <w:rPr>
                <w:rFonts w:hint="eastAsia" w:cs="宋体"/>
                <w:snapToGrid w:val="0"/>
                <w:color w:val="auto"/>
                <w:szCs w:val="24"/>
                <w:highlight w:val="none"/>
              </w:rPr>
              <w:t>证明文件</w:t>
            </w:r>
            <w:r>
              <w:rPr>
                <w:rFonts w:hint="eastAsia" w:cs="宋体"/>
                <w:color w:val="auto"/>
                <w:highlight w:val="none"/>
              </w:rPr>
              <w:t>清晰有效、符合要求。</w:t>
            </w:r>
          </w:p>
        </w:tc>
      </w:tr>
    </w:tbl>
    <w:p w14:paraId="7C29189C">
      <w:pPr>
        <w:widowControl/>
        <w:spacing w:line="460" w:lineRule="exact"/>
        <w:ind w:firstLine="642"/>
        <w:jc w:val="center"/>
        <w:rPr>
          <w:rFonts w:cs="宋体"/>
          <w:color w:val="auto"/>
          <w:highlight w:val="none"/>
        </w:rPr>
      </w:pPr>
    </w:p>
    <w:p w14:paraId="1E75528F">
      <w:pPr>
        <w:jc w:val="center"/>
        <w:rPr>
          <w:rFonts w:cs="宋体"/>
          <w:color w:val="auto"/>
          <w:highlight w:val="none"/>
        </w:rPr>
      </w:pPr>
      <w:r>
        <w:rPr>
          <w:rFonts w:hint="eastAsia" w:cs="宋体"/>
          <w:color w:val="auto"/>
          <w:highlight w:val="none"/>
        </w:rPr>
        <w:t>二、符合性审查要求</w:t>
      </w:r>
    </w:p>
    <w:tbl>
      <w:tblPr>
        <w:tblStyle w:val="1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800"/>
        <w:gridCol w:w="5494"/>
      </w:tblGrid>
      <w:tr w14:paraId="36CD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67506B96">
            <w:pPr>
              <w:pStyle w:val="15"/>
              <w:rPr>
                <w:rFonts w:cs="宋体"/>
                <w:color w:val="auto"/>
                <w:highlight w:val="none"/>
              </w:rPr>
            </w:pPr>
            <w:r>
              <w:rPr>
                <w:rFonts w:hint="eastAsia" w:cs="宋体"/>
                <w:color w:val="auto"/>
                <w:highlight w:val="none"/>
              </w:rPr>
              <w:t>序号</w:t>
            </w:r>
          </w:p>
        </w:tc>
        <w:tc>
          <w:tcPr>
            <w:tcW w:w="2800" w:type="dxa"/>
            <w:vAlign w:val="center"/>
          </w:tcPr>
          <w:p w14:paraId="6EB313A7">
            <w:pPr>
              <w:pStyle w:val="15"/>
              <w:rPr>
                <w:rFonts w:cs="宋体"/>
                <w:color w:val="auto"/>
                <w:highlight w:val="none"/>
              </w:rPr>
            </w:pPr>
            <w:r>
              <w:rPr>
                <w:rFonts w:hint="eastAsia" w:cs="宋体"/>
                <w:color w:val="auto"/>
                <w:highlight w:val="none"/>
              </w:rPr>
              <w:t>要求</w:t>
            </w:r>
          </w:p>
        </w:tc>
        <w:tc>
          <w:tcPr>
            <w:tcW w:w="5494" w:type="dxa"/>
            <w:vAlign w:val="center"/>
          </w:tcPr>
          <w:p w14:paraId="5C89AD3E">
            <w:pPr>
              <w:pStyle w:val="15"/>
              <w:rPr>
                <w:rFonts w:cs="宋体"/>
                <w:color w:val="auto"/>
                <w:highlight w:val="none"/>
              </w:rPr>
            </w:pPr>
            <w:r>
              <w:rPr>
                <w:rFonts w:hint="eastAsia" w:cs="宋体"/>
                <w:color w:val="auto"/>
                <w:highlight w:val="none"/>
              </w:rPr>
              <w:t>要求说明</w:t>
            </w:r>
          </w:p>
        </w:tc>
      </w:tr>
      <w:tr w14:paraId="2574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61E53FF5">
            <w:pPr>
              <w:pStyle w:val="15"/>
              <w:rPr>
                <w:rFonts w:cs="宋体"/>
                <w:color w:val="auto"/>
                <w:highlight w:val="none"/>
              </w:rPr>
            </w:pPr>
            <w:r>
              <w:rPr>
                <w:rFonts w:hint="eastAsia" w:cs="宋体"/>
                <w:color w:val="auto"/>
                <w:highlight w:val="none"/>
              </w:rPr>
              <w:t>1</w:t>
            </w:r>
          </w:p>
        </w:tc>
        <w:tc>
          <w:tcPr>
            <w:tcW w:w="2800" w:type="dxa"/>
            <w:vAlign w:val="center"/>
          </w:tcPr>
          <w:p w14:paraId="56C66197">
            <w:pPr>
              <w:pStyle w:val="15"/>
              <w:rPr>
                <w:rFonts w:cs="宋体"/>
                <w:color w:val="auto"/>
                <w:highlight w:val="none"/>
              </w:rPr>
            </w:pPr>
            <w:r>
              <w:rPr>
                <w:rFonts w:hint="eastAsia" w:cs="宋体"/>
                <w:color w:val="auto"/>
                <w:highlight w:val="none"/>
              </w:rPr>
              <w:t>对供应商提供的法定代表人（负责人）身份证明文件、法定代表人授权书、磋商函的符合性、完整性进行审查。</w:t>
            </w:r>
          </w:p>
        </w:tc>
        <w:tc>
          <w:tcPr>
            <w:tcW w:w="5494" w:type="dxa"/>
            <w:vAlign w:val="center"/>
          </w:tcPr>
          <w:p w14:paraId="6F9B4EDC">
            <w:pPr>
              <w:pStyle w:val="7"/>
              <w:ind w:left="0" w:leftChars="0" w:firstLine="0" w:firstLineChars="0"/>
              <w:rPr>
                <w:rFonts w:cs="宋体"/>
                <w:color w:val="auto"/>
                <w:highlight w:val="none"/>
              </w:rPr>
            </w:pPr>
            <w:r>
              <w:rPr>
                <w:rFonts w:hint="eastAsia" w:cs="宋体"/>
                <w:color w:val="auto"/>
                <w:highlight w:val="none"/>
              </w:rPr>
              <w:t>1</w:t>
            </w:r>
            <w:r>
              <w:rPr>
                <w:rFonts w:hint="eastAsia" w:cs="宋体"/>
                <w:color w:val="auto"/>
                <w:highlight w:val="none"/>
                <w:lang w:val="en-US" w:eastAsia="zh-CN"/>
              </w:rPr>
              <w:t>.</w:t>
            </w:r>
            <w:r>
              <w:rPr>
                <w:rFonts w:hint="eastAsia" w:cs="宋体"/>
                <w:color w:val="auto"/>
                <w:highlight w:val="none"/>
              </w:rPr>
              <w:t>审核法定代表人身份证明文件、法定代表人授权书及磋商函是否按响应文件格式要求格式提供；内容是否完整；文件有效期是否符合磋商文件要求；授权人签字是否在授权书有效期内；是否按磋商文件要求对其进行了签署、盖章等。</w:t>
            </w:r>
          </w:p>
          <w:p w14:paraId="0873B1B6">
            <w:pPr>
              <w:pStyle w:val="7"/>
              <w:ind w:left="0" w:leftChars="0" w:firstLine="0" w:firstLineChars="0"/>
              <w:rPr>
                <w:rFonts w:cs="宋体"/>
                <w:color w:val="auto"/>
                <w:highlight w:val="none"/>
              </w:rPr>
            </w:pPr>
            <w:r>
              <w:rPr>
                <w:rFonts w:hint="eastAsia" w:cs="宋体"/>
                <w:color w:val="auto"/>
                <w:highlight w:val="none"/>
              </w:rPr>
              <w:t>全部符合，即为有效，否则，响应无效。</w:t>
            </w:r>
          </w:p>
          <w:p w14:paraId="63982EFF">
            <w:pPr>
              <w:pStyle w:val="7"/>
              <w:ind w:left="0" w:leftChars="0" w:firstLine="0" w:firstLineChars="0"/>
              <w:rPr>
                <w:rFonts w:cs="宋体"/>
                <w:color w:val="auto"/>
                <w:highlight w:val="none"/>
              </w:rPr>
            </w:pPr>
            <w:r>
              <w:rPr>
                <w:rFonts w:hint="eastAsia" w:cs="宋体"/>
                <w:color w:val="auto"/>
                <w:highlight w:val="none"/>
              </w:rPr>
              <w:t>2</w:t>
            </w:r>
            <w:r>
              <w:rPr>
                <w:rFonts w:hint="eastAsia" w:cs="宋体"/>
                <w:color w:val="auto"/>
                <w:highlight w:val="none"/>
                <w:lang w:val="en-US" w:eastAsia="zh-CN"/>
              </w:rPr>
              <w:t>.</w:t>
            </w:r>
            <w:r>
              <w:rPr>
                <w:rFonts w:hint="eastAsia" w:cs="宋体"/>
                <w:color w:val="auto"/>
                <w:highlight w:val="none"/>
              </w:rPr>
              <w:t>证明文件须内容完整、签署符合要求、加盖电子CA章。否则，响应无效。</w:t>
            </w:r>
          </w:p>
        </w:tc>
      </w:tr>
      <w:tr w14:paraId="2D30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3DA19DCA">
            <w:pPr>
              <w:pStyle w:val="15"/>
              <w:rPr>
                <w:rFonts w:cs="宋体"/>
                <w:color w:val="auto"/>
                <w:highlight w:val="none"/>
              </w:rPr>
            </w:pPr>
            <w:r>
              <w:rPr>
                <w:rFonts w:hint="eastAsia" w:cs="宋体"/>
                <w:color w:val="auto"/>
                <w:highlight w:val="none"/>
              </w:rPr>
              <w:t>2</w:t>
            </w:r>
          </w:p>
        </w:tc>
        <w:tc>
          <w:tcPr>
            <w:tcW w:w="2800" w:type="dxa"/>
            <w:vAlign w:val="center"/>
          </w:tcPr>
          <w:p w14:paraId="6E63BF30">
            <w:pPr>
              <w:pStyle w:val="15"/>
              <w:rPr>
                <w:rFonts w:cs="宋体"/>
                <w:color w:val="auto"/>
                <w:highlight w:val="none"/>
              </w:rPr>
            </w:pPr>
            <w:r>
              <w:rPr>
                <w:rFonts w:hint="eastAsia" w:cs="宋体"/>
                <w:color w:val="auto"/>
                <w:highlight w:val="none"/>
              </w:rPr>
              <w:t>对供应商的报价的符合性、完整性进行审查。</w:t>
            </w:r>
          </w:p>
        </w:tc>
        <w:tc>
          <w:tcPr>
            <w:tcW w:w="5494" w:type="dxa"/>
            <w:vAlign w:val="center"/>
          </w:tcPr>
          <w:p w14:paraId="658F1730">
            <w:pPr>
              <w:pStyle w:val="7"/>
              <w:ind w:left="0" w:leftChars="0" w:firstLine="0" w:firstLineChars="0"/>
              <w:rPr>
                <w:rFonts w:cs="宋体"/>
                <w:color w:val="auto"/>
                <w:highlight w:val="none"/>
              </w:rPr>
            </w:pPr>
            <w:r>
              <w:rPr>
                <w:rFonts w:hint="eastAsia" w:cs="宋体"/>
                <w:color w:val="auto"/>
                <w:highlight w:val="none"/>
              </w:rPr>
              <w:t>1</w:t>
            </w:r>
            <w:r>
              <w:rPr>
                <w:rFonts w:hint="eastAsia" w:cs="宋体"/>
                <w:color w:val="auto"/>
                <w:highlight w:val="none"/>
                <w:lang w:val="en-US" w:eastAsia="zh-CN"/>
              </w:rPr>
              <w:t>.</w:t>
            </w:r>
            <w:r>
              <w:rPr>
                <w:rFonts w:hint="eastAsia" w:cs="宋体"/>
                <w:color w:val="auto"/>
                <w:highlight w:val="none"/>
              </w:rPr>
              <w:t>审查报价一览表是否按磋商文件提供格式的内容进行填写；内容是否完整；服务内容是否与磋商文件一致；是否按磋商文件要求对其进行了签署，授权代表的签署时间是否在授权签署时间内。全部符合，即为有效，否则，响应无效；</w:t>
            </w:r>
          </w:p>
          <w:p w14:paraId="52911D48">
            <w:pPr>
              <w:pStyle w:val="7"/>
              <w:ind w:left="0" w:leftChars="0" w:firstLine="0" w:firstLineChars="0"/>
              <w:rPr>
                <w:rFonts w:cs="宋体"/>
                <w:color w:val="auto"/>
                <w:highlight w:val="none"/>
              </w:rPr>
            </w:pPr>
            <w:r>
              <w:rPr>
                <w:rFonts w:hint="eastAsia" w:cs="宋体"/>
                <w:color w:val="auto"/>
                <w:highlight w:val="none"/>
              </w:rPr>
              <w:t>2</w:t>
            </w:r>
            <w:r>
              <w:rPr>
                <w:rFonts w:hint="eastAsia" w:cs="宋体"/>
                <w:color w:val="auto"/>
                <w:highlight w:val="none"/>
                <w:lang w:val="en-US" w:eastAsia="zh-CN"/>
              </w:rPr>
              <w:t>.</w:t>
            </w:r>
            <w:r>
              <w:rPr>
                <w:rFonts w:hint="eastAsia" w:cs="宋体"/>
                <w:color w:val="auto"/>
                <w:highlight w:val="none"/>
              </w:rPr>
              <w:t>报价若存在漏项、缺项；存在有超出本项目预算金额或最高限价的报价的，报价无效；</w:t>
            </w:r>
          </w:p>
          <w:p w14:paraId="6DAF39B3">
            <w:pPr>
              <w:pStyle w:val="7"/>
              <w:ind w:left="0" w:leftChars="0" w:firstLine="0" w:firstLineChars="0"/>
              <w:rPr>
                <w:rFonts w:cs="宋体"/>
                <w:color w:val="auto"/>
                <w:highlight w:val="none"/>
              </w:rPr>
            </w:pPr>
            <w:r>
              <w:rPr>
                <w:rFonts w:hint="eastAsia" w:cs="宋体"/>
                <w:color w:val="auto"/>
                <w:highlight w:val="none"/>
              </w:rPr>
              <w:t>3</w:t>
            </w:r>
            <w:r>
              <w:rPr>
                <w:rFonts w:hint="eastAsia" w:cs="宋体"/>
                <w:color w:val="auto"/>
                <w:highlight w:val="none"/>
                <w:lang w:val="en-US" w:eastAsia="zh-CN"/>
              </w:rPr>
              <w:t>.</w:t>
            </w:r>
            <w:r>
              <w:rPr>
                <w:rFonts w:hint="eastAsia" w:cs="宋体"/>
                <w:color w:val="auto"/>
                <w:highlight w:val="none"/>
              </w:rPr>
              <w:t>报价有可选择或可调整的报价的，报价无效；</w:t>
            </w:r>
          </w:p>
          <w:p w14:paraId="6AC44D6C">
            <w:pPr>
              <w:pStyle w:val="7"/>
              <w:ind w:left="0" w:leftChars="0" w:firstLine="0" w:firstLineChars="0"/>
              <w:rPr>
                <w:rFonts w:cs="宋体"/>
                <w:color w:val="auto"/>
                <w:highlight w:val="none"/>
              </w:rPr>
            </w:pPr>
            <w:r>
              <w:rPr>
                <w:rFonts w:hint="eastAsia" w:cs="宋体"/>
                <w:color w:val="auto"/>
                <w:highlight w:val="none"/>
              </w:rPr>
              <w:t>4</w:t>
            </w:r>
            <w:r>
              <w:rPr>
                <w:rFonts w:hint="eastAsia" w:cs="宋体"/>
                <w:color w:val="auto"/>
                <w:highlight w:val="none"/>
                <w:lang w:val="en-US" w:eastAsia="zh-CN"/>
              </w:rPr>
              <w:t>.</w:t>
            </w:r>
            <w:r>
              <w:rPr>
                <w:rFonts w:hint="eastAsia" w:cs="宋体"/>
                <w:color w:val="auto"/>
                <w:highlight w:val="none"/>
              </w:rPr>
              <w:t>证明文件须内容完整、签署符合要求、加盖电子CA章。否则，响应无效。</w:t>
            </w:r>
          </w:p>
        </w:tc>
      </w:tr>
      <w:tr w14:paraId="579F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745" w:type="dxa"/>
            <w:vAlign w:val="center"/>
          </w:tcPr>
          <w:p w14:paraId="2A2AB59A">
            <w:pPr>
              <w:pStyle w:val="15"/>
              <w:rPr>
                <w:rFonts w:cs="宋体"/>
                <w:color w:val="auto"/>
                <w:highlight w:val="none"/>
              </w:rPr>
            </w:pPr>
            <w:r>
              <w:rPr>
                <w:rFonts w:hint="eastAsia" w:cs="宋体"/>
                <w:color w:val="auto"/>
                <w:highlight w:val="none"/>
              </w:rPr>
              <w:t>3</w:t>
            </w:r>
          </w:p>
        </w:tc>
        <w:tc>
          <w:tcPr>
            <w:tcW w:w="2800" w:type="dxa"/>
            <w:vAlign w:val="center"/>
          </w:tcPr>
          <w:p w14:paraId="5B3E02BB">
            <w:pPr>
              <w:pStyle w:val="15"/>
              <w:rPr>
                <w:rFonts w:cs="宋体"/>
                <w:color w:val="auto"/>
                <w:highlight w:val="none"/>
              </w:rPr>
            </w:pPr>
            <w:r>
              <w:rPr>
                <w:rFonts w:hint="eastAsia" w:cs="宋体"/>
                <w:snapToGrid w:val="0"/>
                <w:color w:val="auto"/>
                <w:szCs w:val="24"/>
                <w:highlight w:val="none"/>
              </w:rPr>
              <w:t>对供应商响应文件中</w:t>
            </w:r>
            <w:r>
              <w:rPr>
                <w:rFonts w:hint="eastAsia" w:cs="宋体"/>
                <w:color w:val="auto"/>
                <w:highlight w:val="none"/>
              </w:rPr>
              <w:t>技术服务方案</w:t>
            </w:r>
            <w:r>
              <w:rPr>
                <w:rFonts w:hint="eastAsia" w:cs="宋体"/>
                <w:snapToGrid w:val="0"/>
                <w:color w:val="auto"/>
                <w:szCs w:val="24"/>
                <w:highlight w:val="none"/>
              </w:rPr>
              <w:t>、相关服务是否超出采购人可接受的偏差范围进行审查。</w:t>
            </w:r>
          </w:p>
        </w:tc>
        <w:tc>
          <w:tcPr>
            <w:tcW w:w="5494" w:type="dxa"/>
            <w:vAlign w:val="center"/>
          </w:tcPr>
          <w:p w14:paraId="0B0F09A3">
            <w:pPr>
              <w:pStyle w:val="7"/>
              <w:ind w:left="0" w:leftChars="0" w:firstLine="0" w:firstLineChars="0"/>
              <w:rPr>
                <w:rFonts w:cs="宋体"/>
                <w:color w:val="auto"/>
                <w:highlight w:val="none"/>
              </w:rPr>
            </w:pPr>
            <w:r>
              <w:rPr>
                <w:rFonts w:hint="eastAsia" w:cs="宋体"/>
                <w:snapToGrid w:val="0"/>
                <w:color w:val="auto"/>
                <w:szCs w:val="24"/>
                <w:highlight w:val="none"/>
              </w:rPr>
              <w:t>不可超出采购人可接受的偏差范围。</w:t>
            </w:r>
          </w:p>
        </w:tc>
      </w:tr>
    </w:tbl>
    <w:p w14:paraId="0CA573D6">
      <w:pPr>
        <w:pStyle w:val="7"/>
        <w:ind w:firstLine="480"/>
        <w:rPr>
          <w:rFonts w:cs="宋体"/>
          <w:color w:val="auto"/>
          <w:highlight w:val="none"/>
        </w:rPr>
      </w:pPr>
      <w:r>
        <w:rPr>
          <w:rFonts w:hint="eastAsia" w:cs="宋体"/>
          <w:color w:val="auto"/>
          <w:highlight w:val="none"/>
        </w:rPr>
        <w:t>说明：</w:t>
      </w:r>
    </w:p>
    <w:p w14:paraId="2CA5125F">
      <w:pPr>
        <w:pStyle w:val="7"/>
        <w:ind w:firstLine="480"/>
        <w:rPr>
          <w:rFonts w:cs="宋体"/>
          <w:color w:val="auto"/>
          <w:highlight w:val="none"/>
        </w:rPr>
      </w:pPr>
      <w:r>
        <w:rPr>
          <w:rFonts w:hint="eastAsia" w:cs="宋体"/>
          <w:color w:val="auto"/>
          <w:highlight w:val="none"/>
        </w:rPr>
        <w:t>1.资格性、符合性审查的内容，经磋商小组共同认定没有做出实质性响应的，将导致响应无效。</w:t>
      </w:r>
    </w:p>
    <w:p w14:paraId="50678826">
      <w:pPr>
        <w:pStyle w:val="7"/>
        <w:ind w:firstLine="480"/>
        <w:rPr>
          <w:rFonts w:cs="宋体"/>
          <w:color w:val="auto"/>
          <w:highlight w:val="none"/>
        </w:rPr>
      </w:pPr>
      <w:r>
        <w:rPr>
          <w:rFonts w:hint="eastAsia" w:cs="宋体"/>
          <w:color w:val="auto"/>
          <w:highlight w:val="none"/>
        </w:rPr>
        <w:t>2.响应文件中项目名称、项目编号等存在前后不一致情形的，可按照磋商文件要求做出澄清；如响应文件中所涉及内容全部与磋商文件不一致，按无效响应处理。</w:t>
      </w:r>
    </w:p>
    <w:p w14:paraId="272543D5">
      <w:pPr>
        <w:pStyle w:val="7"/>
        <w:ind w:firstLine="480"/>
        <w:rPr>
          <w:rFonts w:cs="宋体"/>
          <w:color w:val="auto"/>
          <w:highlight w:val="none"/>
        </w:rPr>
      </w:pPr>
      <w:r>
        <w:rPr>
          <w:rFonts w:hint="eastAsia" w:cs="宋体"/>
          <w:color w:val="auto"/>
          <w:highlight w:val="none"/>
        </w:rPr>
        <w:t>三、无效响应的情形</w:t>
      </w:r>
    </w:p>
    <w:p w14:paraId="29740871">
      <w:pPr>
        <w:pStyle w:val="7"/>
        <w:ind w:firstLine="480"/>
        <w:rPr>
          <w:rFonts w:cs="宋体"/>
          <w:color w:val="auto"/>
          <w:highlight w:val="none"/>
        </w:rPr>
      </w:pPr>
      <w:r>
        <w:rPr>
          <w:rFonts w:hint="eastAsia" w:cs="宋体"/>
          <w:color w:val="auto"/>
          <w:highlight w:val="none"/>
        </w:rPr>
        <w:t>未通过资格性、符合性审查的响应文件为无效响应。</w:t>
      </w:r>
    </w:p>
    <w:p w14:paraId="132F9C8B">
      <w:pPr>
        <w:rPr>
          <w:rFonts w:cs="宋体"/>
          <w:b/>
          <w:color w:val="auto"/>
          <w:szCs w:val="24"/>
          <w:highlight w:val="none"/>
        </w:rPr>
      </w:pPr>
      <w:r>
        <w:rPr>
          <w:rFonts w:hint="eastAsia" w:cs="宋体"/>
          <w:b/>
          <w:color w:val="auto"/>
          <w:szCs w:val="24"/>
          <w:highlight w:val="none"/>
        </w:rPr>
        <w:br w:type="page"/>
      </w:r>
    </w:p>
    <w:p w14:paraId="177C46D6">
      <w:pPr>
        <w:pStyle w:val="2"/>
        <w:rPr>
          <w:rFonts w:cs="宋体"/>
          <w:color w:val="auto"/>
          <w:highlight w:val="none"/>
        </w:rPr>
      </w:pPr>
      <w:bookmarkStart w:id="83" w:name="_Toc16634"/>
      <w:r>
        <w:rPr>
          <w:rFonts w:hint="eastAsia" w:cs="宋体"/>
          <w:color w:val="auto"/>
          <w:highlight w:val="none"/>
        </w:rPr>
        <w:t>第四部分 评分办法</w:t>
      </w:r>
      <w:bookmarkEnd w:id="83"/>
    </w:p>
    <w:p w14:paraId="599358BE">
      <w:pPr>
        <w:pStyle w:val="7"/>
        <w:ind w:firstLine="480"/>
        <w:rPr>
          <w:rFonts w:cs="宋体"/>
          <w:color w:val="auto"/>
          <w:highlight w:val="none"/>
        </w:rPr>
      </w:pPr>
      <w:r>
        <w:rPr>
          <w:rFonts w:hint="eastAsia" w:cs="宋体"/>
          <w:color w:val="auto"/>
          <w:highlight w:val="none"/>
        </w:rPr>
        <w:t>一、将仅对按照本文件须知确定为实质上响应磋商文件要求的响应文件进行评价与比较。</w:t>
      </w:r>
    </w:p>
    <w:p w14:paraId="4EF0D9C8">
      <w:pPr>
        <w:pStyle w:val="7"/>
        <w:ind w:firstLine="480"/>
        <w:rPr>
          <w:rFonts w:cs="宋体"/>
          <w:color w:val="auto"/>
          <w:highlight w:val="none"/>
        </w:rPr>
      </w:pPr>
      <w:r>
        <w:rPr>
          <w:rFonts w:hint="eastAsia" w:cs="宋体"/>
          <w:color w:val="auto"/>
          <w:highlight w:val="none"/>
        </w:rPr>
        <w:t>二、评标方法</w:t>
      </w:r>
    </w:p>
    <w:p w14:paraId="7023562E">
      <w:pPr>
        <w:pStyle w:val="7"/>
        <w:ind w:firstLine="480"/>
        <w:rPr>
          <w:rFonts w:cs="宋体"/>
          <w:color w:val="auto"/>
          <w:highlight w:val="none"/>
        </w:rPr>
      </w:pPr>
      <w:r>
        <w:rPr>
          <w:rFonts w:hint="eastAsia" w:cs="宋体"/>
          <w:color w:val="auto"/>
          <w:highlight w:val="none"/>
        </w:rPr>
        <w:t>本次评标采用综合评分法，综合评分的主要因素为业绩、服务方案以及对磋商文件的响应程度。每一供应商的商务、技术服务、政策因素的最终得分为所有评委评分的算术平均值。</w:t>
      </w:r>
    </w:p>
    <w:p w14:paraId="4D8036A0">
      <w:pPr>
        <w:pStyle w:val="7"/>
        <w:ind w:firstLine="480"/>
        <w:rPr>
          <w:rFonts w:cs="宋体"/>
          <w:color w:val="auto"/>
          <w:highlight w:val="none"/>
        </w:rPr>
      </w:pPr>
      <w:r>
        <w:rPr>
          <w:rFonts w:hint="eastAsia" w:cs="宋体"/>
          <w:color w:val="auto"/>
          <w:highlight w:val="none"/>
        </w:rPr>
        <w:t>三、评定内容及标准见附表：</w:t>
      </w:r>
    </w:p>
    <w:tbl>
      <w:tblPr>
        <w:tblStyle w:val="1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884"/>
        <w:gridCol w:w="6350"/>
      </w:tblGrid>
      <w:tr w14:paraId="306A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84" w:type="dxa"/>
            <w:vAlign w:val="center"/>
          </w:tcPr>
          <w:p w14:paraId="125DF279">
            <w:pPr>
              <w:pStyle w:val="15"/>
              <w:rPr>
                <w:rFonts w:cs="宋体"/>
                <w:b/>
                <w:bCs/>
                <w:color w:val="auto"/>
                <w:highlight w:val="none"/>
              </w:rPr>
            </w:pPr>
            <w:r>
              <w:rPr>
                <w:rFonts w:hint="eastAsia" w:cs="宋体"/>
                <w:b/>
                <w:bCs/>
                <w:color w:val="auto"/>
                <w:highlight w:val="none"/>
              </w:rPr>
              <w:t>评审因素</w:t>
            </w:r>
          </w:p>
        </w:tc>
        <w:tc>
          <w:tcPr>
            <w:tcW w:w="884" w:type="dxa"/>
            <w:vAlign w:val="center"/>
          </w:tcPr>
          <w:p w14:paraId="71BB4AEB">
            <w:pPr>
              <w:pStyle w:val="15"/>
              <w:rPr>
                <w:rFonts w:cs="宋体"/>
                <w:b/>
                <w:bCs/>
                <w:color w:val="auto"/>
                <w:highlight w:val="none"/>
              </w:rPr>
            </w:pPr>
            <w:r>
              <w:rPr>
                <w:rFonts w:hint="eastAsia" w:cs="宋体"/>
                <w:b/>
                <w:bCs/>
                <w:color w:val="auto"/>
                <w:highlight w:val="none"/>
              </w:rPr>
              <w:t>分值</w:t>
            </w:r>
          </w:p>
        </w:tc>
        <w:tc>
          <w:tcPr>
            <w:tcW w:w="6350" w:type="dxa"/>
            <w:vAlign w:val="center"/>
          </w:tcPr>
          <w:p w14:paraId="0A042BA7">
            <w:pPr>
              <w:pStyle w:val="15"/>
              <w:rPr>
                <w:rFonts w:cs="宋体"/>
                <w:b/>
                <w:bCs/>
                <w:color w:val="auto"/>
                <w:highlight w:val="none"/>
              </w:rPr>
            </w:pPr>
            <w:r>
              <w:rPr>
                <w:rFonts w:hint="eastAsia" w:cs="宋体"/>
                <w:b/>
                <w:bCs/>
                <w:color w:val="auto"/>
                <w:highlight w:val="none"/>
              </w:rPr>
              <w:t>评审标准</w:t>
            </w:r>
          </w:p>
        </w:tc>
      </w:tr>
      <w:tr w14:paraId="57F8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84" w:type="dxa"/>
            <w:vAlign w:val="center"/>
          </w:tcPr>
          <w:p w14:paraId="2155178E">
            <w:pPr>
              <w:pStyle w:val="15"/>
              <w:rPr>
                <w:rFonts w:cs="宋体"/>
                <w:b/>
                <w:bCs/>
                <w:color w:val="auto"/>
                <w:highlight w:val="none"/>
              </w:rPr>
            </w:pPr>
            <w:r>
              <w:rPr>
                <w:rFonts w:hint="eastAsia" w:cs="宋体"/>
                <w:b/>
                <w:bCs/>
                <w:color w:val="auto"/>
                <w:highlight w:val="none"/>
              </w:rPr>
              <w:t>一、商务部分</w:t>
            </w:r>
          </w:p>
        </w:tc>
        <w:tc>
          <w:tcPr>
            <w:tcW w:w="884" w:type="dxa"/>
            <w:vAlign w:val="center"/>
          </w:tcPr>
          <w:p w14:paraId="1FAA9E05">
            <w:pPr>
              <w:pStyle w:val="15"/>
              <w:rPr>
                <w:rFonts w:cs="宋体"/>
                <w:b/>
                <w:bCs/>
                <w:color w:val="auto"/>
                <w:highlight w:val="none"/>
              </w:rPr>
            </w:pPr>
            <w:r>
              <w:rPr>
                <w:rFonts w:hint="eastAsia" w:cs="宋体"/>
                <w:b/>
                <w:bCs/>
                <w:color w:val="auto"/>
                <w:highlight w:val="none"/>
                <w:lang w:val="en-US" w:eastAsia="zh-CN"/>
              </w:rPr>
              <w:t>18</w:t>
            </w:r>
            <w:r>
              <w:rPr>
                <w:rFonts w:hint="eastAsia" w:cs="宋体"/>
                <w:b/>
                <w:bCs/>
                <w:color w:val="auto"/>
                <w:highlight w:val="none"/>
              </w:rPr>
              <w:t>分</w:t>
            </w:r>
          </w:p>
        </w:tc>
        <w:tc>
          <w:tcPr>
            <w:tcW w:w="6350" w:type="dxa"/>
            <w:vAlign w:val="center"/>
          </w:tcPr>
          <w:p w14:paraId="7FC5202A">
            <w:pPr>
              <w:pStyle w:val="15"/>
              <w:rPr>
                <w:rFonts w:cs="宋体"/>
                <w:b/>
                <w:bCs/>
                <w:color w:val="auto"/>
                <w:highlight w:val="none"/>
              </w:rPr>
            </w:pPr>
            <w:r>
              <w:rPr>
                <w:rFonts w:hint="eastAsia" w:cs="宋体"/>
                <w:b/>
                <w:bCs/>
                <w:color w:val="auto"/>
                <w:highlight w:val="none"/>
              </w:rPr>
              <w:t>(磋商小组共同认定)</w:t>
            </w:r>
          </w:p>
        </w:tc>
      </w:tr>
      <w:tr w14:paraId="6489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084" w:type="dxa"/>
            <w:vAlign w:val="center"/>
          </w:tcPr>
          <w:p w14:paraId="0345DDA1">
            <w:pPr>
              <w:pStyle w:val="15"/>
              <w:rPr>
                <w:rFonts w:cs="宋体"/>
                <w:color w:val="auto"/>
                <w:highlight w:val="none"/>
              </w:rPr>
            </w:pPr>
            <w:r>
              <w:rPr>
                <w:rFonts w:hint="eastAsia" w:cs="宋体"/>
                <w:color w:val="auto"/>
                <w:highlight w:val="none"/>
              </w:rPr>
              <w:t>企业业绩</w:t>
            </w:r>
          </w:p>
        </w:tc>
        <w:tc>
          <w:tcPr>
            <w:tcW w:w="884" w:type="dxa"/>
            <w:vAlign w:val="center"/>
          </w:tcPr>
          <w:p w14:paraId="1D48358E">
            <w:pPr>
              <w:pStyle w:val="15"/>
              <w:rPr>
                <w:rFonts w:cs="宋体"/>
                <w:color w:val="auto"/>
                <w:highlight w:val="none"/>
              </w:rPr>
            </w:pPr>
            <w:r>
              <w:rPr>
                <w:rFonts w:hint="eastAsia" w:cs="宋体"/>
                <w:color w:val="auto"/>
                <w:highlight w:val="none"/>
              </w:rPr>
              <w:t>10分</w:t>
            </w:r>
          </w:p>
        </w:tc>
        <w:tc>
          <w:tcPr>
            <w:tcW w:w="6350" w:type="dxa"/>
            <w:vAlign w:val="center"/>
          </w:tcPr>
          <w:p w14:paraId="49B7C170">
            <w:pPr>
              <w:pStyle w:val="15"/>
              <w:jc w:val="left"/>
              <w:rPr>
                <w:rFonts w:cs="宋体"/>
                <w:color w:val="auto"/>
                <w:szCs w:val="24"/>
                <w:highlight w:val="none"/>
              </w:rPr>
            </w:pPr>
            <w:r>
              <w:rPr>
                <w:rFonts w:hint="eastAsia" w:cs="宋体"/>
                <w:color w:val="auto"/>
                <w:szCs w:val="24"/>
                <w:highlight w:val="none"/>
                <w:lang w:val="zh-CN"/>
              </w:rPr>
              <w:t>提供近三年（202</w:t>
            </w:r>
            <w:r>
              <w:rPr>
                <w:rFonts w:hint="eastAsia" w:cs="宋体"/>
                <w:color w:val="auto"/>
                <w:szCs w:val="24"/>
                <w:highlight w:val="none"/>
                <w:lang w:val="en-US" w:eastAsia="zh-CN"/>
              </w:rPr>
              <w:t>3</w:t>
            </w:r>
            <w:r>
              <w:rPr>
                <w:rFonts w:hint="eastAsia" w:cs="宋体"/>
                <w:color w:val="auto"/>
                <w:szCs w:val="24"/>
                <w:highlight w:val="none"/>
                <w:lang w:val="zh-CN"/>
              </w:rPr>
              <w:t>年</w:t>
            </w:r>
            <w:r>
              <w:rPr>
                <w:rFonts w:hint="eastAsia" w:cs="宋体"/>
                <w:color w:val="auto"/>
                <w:szCs w:val="24"/>
                <w:highlight w:val="none"/>
                <w:lang w:val="en-US" w:eastAsia="zh-CN"/>
              </w:rPr>
              <w:t>3</w:t>
            </w:r>
            <w:r>
              <w:rPr>
                <w:rFonts w:hint="eastAsia" w:cs="宋体"/>
                <w:color w:val="auto"/>
                <w:szCs w:val="24"/>
                <w:highlight w:val="none"/>
                <w:lang w:val="zh-CN"/>
              </w:rPr>
              <w:t>月至开标当日）</w:t>
            </w:r>
            <w:r>
              <w:rPr>
                <w:rFonts w:hint="eastAsia" w:cs="宋体"/>
                <w:color w:val="auto"/>
                <w:szCs w:val="24"/>
                <w:highlight w:val="none"/>
                <w:lang w:val="zh-CN" w:eastAsia="zh-CN"/>
              </w:rPr>
              <w:t>承担过类似业绩提供合同协议书（与最终用户签订的合同首页、合同金额所在页、签字盖章页作为证明材料）</w:t>
            </w:r>
            <w:r>
              <w:rPr>
                <w:rFonts w:hint="eastAsia" w:cs="宋体"/>
                <w:color w:val="auto"/>
                <w:szCs w:val="24"/>
                <w:highlight w:val="none"/>
                <w:lang w:val="zh-CN"/>
              </w:rPr>
              <w:t>，每提供一个合同案例得</w:t>
            </w:r>
            <w:r>
              <w:rPr>
                <w:rFonts w:hint="eastAsia" w:cs="宋体"/>
                <w:color w:val="auto"/>
                <w:szCs w:val="24"/>
                <w:highlight w:val="none"/>
              </w:rPr>
              <w:t>2</w:t>
            </w:r>
            <w:r>
              <w:rPr>
                <w:rFonts w:hint="eastAsia" w:cs="宋体"/>
                <w:color w:val="auto"/>
                <w:szCs w:val="24"/>
                <w:highlight w:val="none"/>
                <w:lang w:val="zh-CN"/>
              </w:rPr>
              <w:t>分，最高得</w:t>
            </w:r>
            <w:r>
              <w:rPr>
                <w:rFonts w:hint="eastAsia" w:cs="宋体"/>
                <w:color w:val="auto"/>
                <w:szCs w:val="24"/>
                <w:highlight w:val="none"/>
              </w:rPr>
              <w:t>10</w:t>
            </w:r>
            <w:r>
              <w:rPr>
                <w:rFonts w:hint="eastAsia" w:cs="宋体"/>
                <w:color w:val="auto"/>
                <w:szCs w:val="24"/>
                <w:highlight w:val="none"/>
                <w:lang w:val="zh-CN"/>
              </w:rPr>
              <w:t>分。</w:t>
            </w:r>
          </w:p>
        </w:tc>
      </w:tr>
      <w:tr w14:paraId="6311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084" w:type="dxa"/>
            <w:vAlign w:val="center"/>
          </w:tcPr>
          <w:p w14:paraId="57A00186">
            <w:pPr>
              <w:pStyle w:val="15"/>
              <w:rPr>
                <w:rFonts w:cs="宋体"/>
                <w:color w:val="auto"/>
                <w:highlight w:val="none"/>
              </w:rPr>
            </w:pPr>
            <w:r>
              <w:rPr>
                <w:rFonts w:hint="eastAsia" w:cs="宋体"/>
                <w:color w:val="auto"/>
                <w:highlight w:val="none"/>
              </w:rPr>
              <w:t>人员配备</w:t>
            </w:r>
          </w:p>
        </w:tc>
        <w:tc>
          <w:tcPr>
            <w:tcW w:w="884" w:type="dxa"/>
            <w:vAlign w:val="center"/>
          </w:tcPr>
          <w:p w14:paraId="69A95F75">
            <w:pPr>
              <w:pStyle w:val="15"/>
              <w:rPr>
                <w:rFonts w:cs="宋体"/>
                <w:color w:val="auto"/>
                <w:highlight w:val="none"/>
              </w:rPr>
            </w:pPr>
            <w:r>
              <w:rPr>
                <w:rFonts w:hint="eastAsia" w:cs="宋体"/>
                <w:color w:val="auto"/>
                <w:highlight w:val="none"/>
                <w:lang w:val="en-US" w:eastAsia="zh-CN"/>
              </w:rPr>
              <w:t>8</w:t>
            </w:r>
            <w:r>
              <w:rPr>
                <w:rFonts w:hint="eastAsia" w:cs="宋体"/>
                <w:color w:val="auto"/>
                <w:highlight w:val="none"/>
              </w:rPr>
              <w:t>分</w:t>
            </w:r>
          </w:p>
        </w:tc>
        <w:tc>
          <w:tcPr>
            <w:tcW w:w="6350" w:type="dxa"/>
            <w:vAlign w:val="center"/>
          </w:tcPr>
          <w:p w14:paraId="1402D7F9">
            <w:pPr>
              <w:pStyle w:val="15"/>
              <w:jc w:val="left"/>
              <w:rPr>
                <w:rFonts w:cs="宋体"/>
                <w:color w:val="auto"/>
                <w:highlight w:val="none"/>
              </w:rPr>
            </w:pPr>
            <w:r>
              <w:rPr>
                <w:rFonts w:cs="宋体"/>
                <w:color w:val="auto"/>
                <w:highlight w:val="none"/>
              </w:rPr>
              <w:t>拟派项目</w:t>
            </w:r>
            <w:r>
              <w:rPr>
                <w:rFonts w:hint="eastAsia" w:cs="宋体"/>
                <w:color w:val="auto"/>
                <w:highlight w:val="none"/>
              </w:rPr>
              <w:t>组</w:t>
            </w:r>
            <w:r>
              <w:rPr>
                <w:rFonts w:cs="宋体"/>
                <w:color w:val="auto"/>
                <w:highlight w:val="none"/>
              </w:rPr>
              <w:t>人员</w:t>
            </w:r>
            <w:r>
              <w:rPr>
                <w:rFonts w:hint="eastAsia" w:cs="宋体"/>
                <w:color w:val="auto"/>
                <w:highlight w:val="none"/>
                <w:lang w:eastAsia="zh-CN"/>
              </w:rPr>
              <w:t>（</w:t>
            </w:r>
            <w:r>
              <w:rPr>
                <w:rFonts w:hint="eastAsia" w:cs="宋体"/>
                <w:color w:val="auto"/>
                <w:highlight w:val="none"/>
                <w:lang w:val="en-US" w:eastAsia="zh-CN"/>
              </w:rPr>
              <w:t>项目负责人除外</w:t>
            </w:r>
            <w:r>
              <w:rPr>
                <w:rFonts w:hint="eastAsia" w:cs="宋体"/>
                <w:color w:val="auto"/>
                <w:highlight w:val="none"/>
                <w:lang w:eastAsia="zh-CN"/>
              </w:rPr>
              <w:t>）</w:t>
            </w:r>
            <w:r>
              <w:rPr>
                <w:rFonts w:cs="宋体"/>
                <w:color w:val="auto"/>
                <w:highlight w:val="none"/>
              </w:rPr>
              <w:t>具有高级职称证书，每有1人得2分；拟派项目</w:t>
            </w:r>
            <w:r>
              <w:rPr>
                <w:rFonts w:hint="eastAsia" w:cs="宋体"/>
                <w:color w:val="auto"/>
                <w:highlight w:val="none"/>
              </w:rPr>
              <w:t>组</w:t>
            </w:r>
            <w:r>
              <w:rPr>
                <w:rFonts w:cs="宋体"/>
                <w:color w:val="auto"/>
                <w:highlight w:val="none"/>
              </w:rPr>
              <w:t>人员具有中级职称证书，每有1人得1分，此项最高</w:t>
            </w:r>
            <w:r>
              <w:rPr>
                <w:rFonts w:hint="eastAsia" w:cs="宋体"/>
                <w:color w:val="auto"/>
                <w:highlight w:val="none"/>
                <w:lang w:val="en-US" w:eastAsia="zh-CN"/>
              </w:rPr>
              <w:t>8</w:t>
            </w:r>
            <w:r>
              <w:rPr>
                <w:rFonts w:cs="宋体"/>
                <w:color w:val="auto"/>
                <w:highlight w:val="none"/>
              </w:rPr>
              <w:t>分。注：以上人员不重复计分，须提供证书</w:t>
            </w:r>
            <w:r>
              <w:rPr>
                <w:rFonts w:hint="eastAsia" w:cs="宋体"/>
                <w:color w:val="auto"/>
                <w:highlight w:val="none"/>
              </w:rPr>
              <w:t>、</w:t>
            </w:r>
            <w:r>
              <w:rPr>
                <w:rFonts w:cs="宋体"/>
                <w:color w:val="auto"/>
                <w:highlight w:val="none"/>
              </w:rPr>
              <w:t>社保缴纳证明</w:t>
            </w:r>
            <w:r>
              <w:rPr>
                <w:rFonts w:hint="eastAsia" w:cs="宋体"/>
                <w:color w:val="auto"/>
                <w:highlight w:val="none"/>
              </w:rPr>
              <w:t>、劳动合同</w:t>
            </w:r>
            <w:r>
              <w:rPr>
                <w:rFonts w:cs="宋体"/>
                <w:color w:val="auto"/>
                <w:highlight w:val="none"/>
              </w:rPr>
              <w:t>复印件。</w:t>
            </w:r>
          </w:p>
        </w:tc>
      </w:tr>
      <w:tr w14:paraId="1145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084" w:type="dxa"/>
            <w:vAlign w:val="center"/>
          </w:tcPr>
          <w:p w14:paraId="09ACF013">
            <w:pPr>
              <w:pStyle w:val="15"/>
              <w:rPr>
                <w:rFonts w:cs="宋体"/>
                <w:b/>
                <w:bCs/>
                <w:color w:val="auto"/>
                <w:highlight w:val="none"/>
              </w:rPr>
            </w:pPr>
            <w:r>
              <w:rPr>
                <w:rFonts w:hint="eastAsia" w:cs="宋体"/>
                <w:b/>
                <w:bCs/>
                <w:color w:val="auto"/>
                <w:highlight w:val="none"/>
              </w:rPr>
              <w:t>二、技术服务部分</w:t>
            </w:r>
          </w:p>
        </w:tc>
        <w:tc>
          <w:tcPr>
            <w:tcW w:w="884" w:type="dxa"/>
            <w:vAlign w:val="center"/>
          </w:tcPr>
          <w:p w14:paraId="06FC2DD1">
            <w:pPr>
              <w:pStyle w:val="15"/>
              <w:rPr>
                <w:rFonts w:cs="宋体"/>
                <w:b/>
                <w:bCs/>
                <w:color w:val="auto"/>
                <w:highlight w:val="none"/>
              </w:rPr>
            </w:pPr>
            <w:r>
              <w:rPr>
                <w:rFonts w:hint="eastAsia" w:cs="宋体"/>
                <w:b/>
                <w:bCs/>
                <w:color w:val="auto"/>
                <w:highlight w:val="none"/>
                <w:lang w:val="en-US" w:eastAsia="zh-CN"/>
              </w:rPr>
              <w:t>67</w:t>
            </w:r>
            <w:r>
              <w:rPr>
                <w:rFonts w:hint="eastAsia" w:cs="宋体"/>
                <w:b/>
                <w:bCs/>
                <w:color w:val="auto"/>
                <w:highlight w:val="none"/>
              </w:rPr>
              <w:t>分</w:t>
            </w:r>
          </w:p>
        </w:tc>
        <w:tc>
          <w:tcPr>
            <w:tcW w:w="6350" w:type="dxa"/>
            <w:vAlign w:val="center"/>
          </w:tcPr>
          <w:p w14:paraId="5C36A321">
            <w:pPr>
              <w:pStyle w:val="15"/>
              <w:rPr>
                <w:rFonts w:cs="宋体"/>
                <w:b/>
                <w:bCs/>
                <w:color w:val="auto"/>
                <w:highlight w:val="none"/>
              </w:rPr>
            </w:pPr>
            <w:r>
              <w:rPr>
                <w:rFonts w:hint="eastAsia" w:cs="宋体"/>
                <w:b/>
                <w:bCs/>
                <w:color w:val="auto"/>
                <w:highlight w:val="none"/>
              </w:rPr>
              <w:t>（由磋商小组成员独立评审，得分为各成员的算术平均值）</w:t>
            </w:r>
          </w:p>
        </w:tc>
      </w:tr>
      <w:tr w14:paraId="0B67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084" w:type="dxa"/>
            <w:vAlign w:val="center"/>
          </w:tcPr>
          <w:p w14:paraId="3B711F67">
            <w:pPr>
              <w:pStyle w:val="15"/>
              <w:rPr>
                <w:rFonts w:cs="宋体"/>
                <w:bCs/>
                <w:color w:val="auto"/>
                <w:highlight w:val="none"/>
              </w:rPr>
            </w:pPr>
            <w:r>
              <w:rPr>
                <w:rFonts w:hint="eastAsia" w:ascii="宋体" w:hAnsi="宋体" w:eastAsia="宋体" w:cs="宋体"/>
                <w:b w:val="0"/>
                <w:bCs w:val="0"/>
                <w:color w:val="auto"/>
                <w:sz w:val="24"/>
                <w:szCs w:val="24"/>
                <w:highlight w:val="none"/>
                <w:u w:val="none"/>
                <w:vertAlign w:val="baseline"/>
                <w:lang w:val="en-US" w:eastAsia="zh-CN"/>
              </w:rPr>
              <w:t>服务方案</w:t>
            </w:r>
          </w:p>
        </w:tc>
        <w:tc>
          <w:tcPr>
            <w:tcW w:w="884" w:type="dxa"/>
            <w:vAlign w:val="center"/>
          </w:tcPr>
          <w:p w14:paraId="0F0F405E">
            <w:pPr>
              <w:pStyle w:val="15"/>
              <w:rPr>
                <w:rFonts w:cs="宋体"/>
                <w:bCs/>
                <w:color w:val="auto"/>
                <w:highlight w:val="none"/>
              </w:rPr>
            </w:pPr>
            <w:r>
              <w:rPr>
                <w:rFonts w:hint="eastAsia" w:cs="宋体"/>
                <w:bCs/>
                <w:color w:val="auto"/>
                <w:highlight w:val="none"/>
                <w:lang w:val="en-US" w:eastAsia="zh-CN"/>
              </w:rPr>
              <w:t>40</w:t>
            </w:r>
            <w:r>
              <w:rPr>
                <w:rFonts w:hint="eastAsia" w:cs="宋体"/>
                <w:bCs/>
                <w:color w:val="auto"/>
                <w:highlight w:val="none"/>
              </w:rPr>
              <w:t>分</w:t>
            </w:r>
          </w:p>
        </w:tc>
        <w:tc>
          <w:tcPr>
            <w:tcW w:w="6350" w:type="dxa"/>
            <w:vAlign w:val="center"/>
          </w:tcPr>
          <w:p w14:paraId="5414B85E">
            <w:pPr>
              <w:tabs>
                <w:tab w:val="left" w:pos="567"/>
              </w:tabs>
              <w:spacing w:line="44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本项目实际情况编制整体实施服务方案，包括但不限于：①对本项目基本情况的理解②项目重点难点准确全面分析及针对性合理处理措施制定③项目人员充足安排、分工明确且职责划分④监测工作操作规范合规、技术路线规划科学合理⑤建立复核制度，确保数据的真实可靠。</w:t>
            </w:r>
          </w:p>
          <w:p w14:paraId="4B10E8A8">
            <w:pPr>
              <w:tabs>
                <w:tab w:val="left" w:pos="567"/>
              </w:tabs>
              <w:spacing w:line="440" w:lineRule="exact"/>
              <w:rPr>
                <w:rFonts w:cs="宋体"/>
                <w:bCs/>
                <w:color w:val="auto"/>
                <w:highlight w:val="none"/>
              </w:rPr>
            </w:pPr>
            <w:r>
              <w:rPr>
                <w:rFonts w:hint="eastAsia" w:ascii="宋体" w:hAnsi="宋体" w:eastAsia="宋体" w:cs="宋体"/>
                <w:color w:val="auto"/>
                <w:highlight w:val="none"/>
                <w:lang w:val="en-US" w:eastAsia="zh-CN"/>
              </w:rPr>
              <w:t>共计5项内容，每一项内容记8分，每有一项缺失扣8分，每项中每有1处存在内容缺陷扣4分，扣完为止。未提供方案不得分。</w:t>
            </w:r>
          </w:p>
        </w:tc>
      </w:tr>
      <w:tr w14:paraId="6828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084" w:type="dxa"/>
            <w:vAlign w:val="center"/>
          </w:tcPr>
          <w:p w14:paraId="3DF56ACA">
            <w:pPr>
              <w:pStyle w:val="15"/>
              <w:rPr>
                <w:rFonts w:cs="宋体"/>
                <w:bCs/>
                <w:color w:val="auto"/>
                <w:highlight w:val="none"/>
              </w:rPr>
            </w:pPr>
            <w:r>
              <w:rPr>
                <w:rFonts w:hint="eastAsia" w:cs="宋体"/>
                <w:bCs/>
                <w:color w:val="auto"/>
                <w:szCs w:val="21"/>
                <w:highlight w:val="none"/>
              </w:rPr>
              <w:t>保障措施</w:t>
            </w:r>
          </w:p>
        </w:tc>
        <w:tc>
          <w:tcPr>
            <w:tcW w:w="884" w:type="dxa"/>
            <w:vAlign w:val="center"/>
          </w:tcPr>
          <w:p w14:paraId="3654B661">
            <w:pPr>
              <w:pStyle w:val="15"/>
              <w:rPr>
                <w:rFonts w:cs="宋体"/>
                <w:bCs/>
                <w:color w:val="auto"/>
                <w:highlight w:val="none"/>
              </w:rPr>
            </w:pPr>
            <w:r>
              <w:rPr>
                <w:rFonts w:hint="eastAsia" w:cs="宋体"/>
                <w:bCs/>
                <w:color w:val="auto"/>
                <w:highlight w:val="none"/>
                <w:lang w:val="en-US" w:eastAsia="zh-CN"/>
              </w:rPr>
              <w:t>15</w:t>
            </w:r>
            <w:r>
              <w:rPr>
                <w:rFonts w:hint="eastAsia" w:cs="宋体"/>
                <w:bCs/>
                <w:color w:val="auto"/>
                <w:highlight w:val="none"/>
              </w:rPr>
              <w:t>分</w:t>
            </w:r>
          </w:p>
        </w:tc>
        <w:tc>
          <w:tcPr>
            <w:tcW w:w="6350" w:type="dxa"/>
            <w:vAlign w:val="center"/>
          </w:tcPr>
          <w:p w14:paraId="51829712">
            <w:pPr>
              <w:tabs>
                <w:tab w:val="left" w:pos="567"/>
              </w:tabs>
              <w:spacing w:line="440" w:lineRule="exact"/>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根据</w:t>
            </w:r>
            <w:r>
              <w:rPr>
                <w:rFonts w:hint="eastAsia" w:ascii="宋体" w:hAnsi="宋体" w:eastAsia="宋体" w:cs="宋体"/>
                <w:color w:val="auto"/>
                <w:highlight w:val="none"/>
                <w:lang w:val="zh-CN" w:eastAsia="zh-CN"/>
              </w:rPr>
              <w:t>本项目制定的</w:t>
            </w:r>
            <w:r>
              <w:rPr>
                <w:rFonts w:hint="eastAsia" w:ascii="宋体" w:hAnsi="宋体" w:eastAsia="宋体" w:cs="宋体"/>
                <w:color w:val="auto"/>
                <w:highlight w:val="none"/>
                <w:lang w:val="en-US" w:eastAsia="zh-CN"/>
              </w:rPr>
              <w:t>保障措施</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包含但不限于：①服务质量保障措施②工作进度计划及保障措施③设施设备检修校对措施④测绘数据保密保障措施⑤突发状况应急保障措施。</w:t>
            </w:r>
          </w:p>
          <w:p w14:paraId="524659BE">
            <w:pPr>
              <w:tabs>
                <w:tab w:val="left" w:pos="567"/>
              </w:tabs>
              <w:spacing w:line="440" w:lineRule="exact"/>
              <w:rPr>
                <w:rFonts w:cs="宋体"/>
                <w:bCs/>
                <w:color w:val="auto"/>
                <w:highlight w:val="none"/>
              </w:rPr>
            </w:pPr>
            <w:r>
              <w:rPr>
                <w:rFonts w:hint="eastAsia" w:ascii="宋体" w:hAnsi="宋体" w:eastAsia="宋体" w:cs="宋体"/>
                <w:color w:val="auto"/>
                <w:highlight w:val="none"/>
                <w:lang w:val="zh-CN"/>
              </w:rPr>
              <w:t>共计5项内容，每一项内容记</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rPr>
              <w:t>分，每有一项缺失扣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rPr>
              <w:t>分，每项中每有1处存在内容缺陷扣1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zh-CN"/>
              </w:rPr>
              <w:t>分，扣完为止。未提供相关内容的不得分。</w:t>
            </w:r>
          </w:p>
        </w:tc>
      </w:tr>
      <w:tr w14:paraId="25ED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084" w:type="dxa"/>
            <w:vAlign w:val="center"/>
          </w:tcPr>
          <w:p w14:paraId="076E5126">
            <w:pPr>
              <w:pStyle w:val="15"/>
              <w:rPr>
                <w:rFonts w:hint="default" w:eastAsia="宋体" w:cs="宋体"/>
                <w:bCs/>
                <w:color w:val="auto"/>
                <w:highlight w:val="none"/>
                <w:lang w:val="en-US" w:eastAsia="zh-CN"/>
              </w:rPr>
            </w:pPr>
            <w:r>
              <w:rPr>
                <w:rFonts w:hint="eastAsia" w:cs="宋体"/>
                <w:bCs/>
                <w:color w:val="auto"/>
                <w:szCs w:val="21"/>
                <w:highlight w:val="none"/>
                <w:lang w:val="en-US" w:eastAsia="zh-CN"/>
              </w:rPr>
              <w:t>服务承诺</w:t>
            </w:r>
          </w:p>
        </w:tc>
        <w:tc>
          <w:tcPr>
            <w:tcW w:w="884" w:type="dxa"/>
            <w:vAlign w:val="center"/>
          </w:tcPr>
          <w:p w14:paraId="29EDD6AD">
            <w:pPr>
              <w:pStyle w:val="15"/>
              <w:rPr>
                <w:rFonts w:cs="宋体"/>
                <w:bCs/>
                <w:color w:val="auto"/>
                <w:highlight w:val="none"/>
              </w:rPr>
            </w:pPr>
            <w:r>
              <w:rPr>
                <w:rFonts w:hint="eastAsia" w:cs="宋体"/>
                <w:bCs/>
                <w:color w:val="auto"/>
                <w:highlight w:val="none"/>
              </w:rPr>
              <w:t>10分</w:t>
            </w:r>
          </w:p>
        </w:tc>
        <w:tc>
          <w:tcPr>
            <w:tcW w:w="6350" w:type="dxa"/>
            <w:vAlign w:val="center"/>
          </w:tcPr>
          <w:p w14:paraId="63B2D9B2">
            <w:pPr>
              <w:tabs>
                <w:tab w:val="left" w:pos="567"/>
              </w:tabs>
              <w:spacing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针对本项目制定的</w:t>
            </w:r>
            <w:r>
              <w:rPr>
                <w:rFonts w:hint="eastAsia" w:ascii="宋体" w:hAnsi="宋体" w:eastAsia="宋体" w:cs="宋体"/>
                <w:color w:val="auto"/>
                <w:highlight w:val="none"/>
                <w:lang w:val="en-US" w:eastAsia="zh-CN"/>
              </w:rPr>
              <w:t>服务承诺</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包含但不限于①测绘技术和服务质量承诺②测绘服务响应时效承诺③服务期限和测绘进度承诺④及时沟通及时整改承诺⑤测绘结果符合要求承诺。</w:t>
            </w:r>
          </w:p>
          <w:p w14:paraId="472303DA">
            <w:pPr>
              <w:tabs>
                <w:tab w:val="left" w:pos="567"/>
              </w:tabs>
              <w:spacing w:line="440" w:lineRule="exact"/>
              <w:rPr>
                <w:rFonts w:cs="宋体"/>
                <w:bCs/>
                <w:color w:val="auto"/>
                <w:highlight w:val="none"/>
              </w:rPr>
            </w:pPr>
            <w:r>
              <w:rPr>
                <w:rFonts w:hint="eastAsia" w:ascii="宋体" w:hAnsi="宋体" w:eastAsia="宋体" w:cs="宋体"/>
                <w:color w:val="auto"/>
                <w:highlight w:val="none"/>
              </w:rPr>
              <w:t>共计5项内容，每一项内容记2分，每有一项缺失扣2分，每项中每有1处存在内容缺陷扣1分，扣完为止。未提供相关内容的不得分。</w:t>
            </w:r>
          </w:p>
        </w:tc>
      </w:tr>
      <w:tr w14:paraId="33C9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084" w:type="dxa"/>
            <w:vAlign w:val="center"/>
          </w:tcPr>
          <w:p w14:paraId="026AB227">
            <w:pPr>
              <w:pStyle w:val="15"/>
              <w:rPr>
                <w:rFonts w:hint="eastAsia" w:cs="宋体"/>
                <w:bCs/>
                <w:color w:val="auto"/>
                <w:szCs w:val="21"/>
                <w:highlight w:val="none"/>
                <w:lang w:val="en-US" w:eastAsia="zh-CN"/>
              </w:rPr>
            </w:pPr>
            <w:r>
              <w:rPr>
                <w:rFonts w:hint="eastAsia" w:cs="宋体"/>
                <w:color w:val="auto"/>
                <w:highlight w:val="none"/>
                <w:lang w:val="en-US" w:eastAsia="zh-CN"/>
              </w:rPr>
              <w:t>设施设备</w:t>
            </w:r>
          </w:p>
        </w:tc>
        <w:tc>
          <w:tcPr>
            <w:tcW w:w="884" w:type="dxa"/>
            <w:vAlign w:val="center"/>
          </w:tcPr>
          <w:p w14:paraId="715F2365">
            <w:pPr>
              <w:pStyle w:val="15"/>
              <w:rPr>
                <w:rFonts w:hint="eastAsia" w:cs="宋体"/>
                <w:bCs/>
                <w:color w:val="auto"/>
                <w:highlight w:val="none"/>
              </w:rPr>
            </w:pPr>
            <w:r>
              <w:rPr>
                <w:rFonts w:hint="eastAsia" w:cs="宋体"/>
                <w:color w:val="auto"/>
                <w:highlight w:val="none"/>
                <w:lang w:val="en-US" w:eastAsia="zh-CN"/>
              </w:rPr>
              <w:t>2分</w:t>
            </w:r>
          </w:p>
        </w:tc>
        <w:tc>
          <w:tcPr>
            <w:tcW w:w="6350" w:type="dxa"/>
            <w:vAlign w:val="center"/>
          </w:tcPr>
          <w:p w14:paraId="7F415D7F">
            <w:pPr>
              <w:tabs>
                <w:tab w:val="left" w:pos="567"/>
              </w:tabs>
              <w:spacing w:line="440" w:lineRule="exact"/>
              <w:rPr>
                <w:rStyle w:val="24"/>
                <w:rFonts w:hint="eastAsia"/>
                <w:bCs/>
                <w:color w:val="auto"/>
                <w:spacing w:val="10"/>
                <w:szCs w:val="24"/>
                <w:highlight w:val="none"/>
              </w:rPr>
            </w:pPr>
            <w:r>
              <w:rPr>
                <w:rFonts w:cs="宋体"/>
                <w:color w:val="auto"/>
                <w:highlight w:val="none"/>
              </w:rPr>
              <w:t>拟投入本项目的设施设备种类数量充足，能够满足项目各阶段需求，</w:t>
            </w:r>
            <w:r>
              <w:rPr>
                <w:rFonts w:hint="eastAsia" w:cs="宋体"/>
                <w:color w:val="auto"/>
                <w:highlight w:val="none"/>
                <w:lang w:val="en-US" w:eastAsia="zh-CN"/>
              </w:rPr>
              <w:t>最高得</w:t>
            </w:r>
            <w:r>
              <w:rPr>
                <w:rFonts w:cs="宋体"/>
                <w:color w:val="auto"/>
                <w:highlight w:val="none"/>
              </w:rPr>
              <w:t>2分</w:t>
            </w:r>
            <w:r>
              <w:rPr>
                <w:rFonts w:hint="eastAsia" w:cs="宋体"/>
                <w:color w:val="auto"/>
                <w:highlight w:val="none"/>
              </w:rPr>
              <w:t>。</w:t>
            </w:r>
          </w:p>
        </w:tc>
      </w:tr>
      <w:tr w14:paraId="1ABF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318" w:type="dxa"/>
            <w:gridSpan w:val="3"/>
            <w:vAlign w:val="center"/>
          </w:tcPr>
          <w:p w14:paraId="01B0DBDB">
            <w:pPr>
              <w:pStyle w:val="15"/>
              <w:jc w:val="left"/>
              <w:rPr>
                <w:rStyle w:val="24"/>
                <w:rFonts w:hint="eastAsia" w:eastAsia="宋体"/>
                <w:bCs/>
                <w:color w:val="auto"/>
                <w:spacing w:val="10"/>
                <w:szCs w:val="24"/>
                <w:highlight w:val="none"/>
                <w:lang w:eastAsia="zh-CN"/>
              </w:rPr>
            </w:pPr>
            <w:r>
              <w:rPr>
                <w:rStyle w:val="24"/>
                <w:rFonts w:hint="eastAsia"/>
                <w:bCs/>
                <w:color w:val="auto"/>
                <w:spacing w:val="10"/>
                <w:szCs w:val="24"/>
                <w:highlight w:val="none"/>
              </w:rPr>
              <w:t>本评分标准所称“缺陷”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r>
              <w:rPr>
                <w:rStyle w:val="24"/>
                <w:rFonts w:hint="eastAsia"/>
                <w:bCs/>
                <w:color w:val="auto"/>
                <w:spacing w:val="10"/>
                <w:szCs w:val="24"/>
                <w:highlight w:val="none"/>
                <w:lang w:eastAsia="zh-CN"/>
              </w:rPr>
              <w:t>。</w:t>
            </w:r>
          </w:p>
        </w:tc>
      </w:tr>
      <w:tr w14:paraId="5635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318" w:type="dxa"/>
            <w:gridSpan w:val="3"/>
            <w:vAlign w:val="center"/>
          </w:tcPr>
          <w:p w14:paraId="5ED10974">
            <w:pPr>
              <w:pStyle w:val="15"/>
              <w:jc w:val="left"/>
              <w:rPr>
                <w:rFonts w:cs="宋体"/>
                <w:b/>
                <w:bCs/>
                <w:color w:val="auto"/>
                <w:highlight w:val="none"/>
              </w:rPr>
            </w:pPr>
            <w:r>
              <w:rPr>
                <w:rFonts w:hint="eastAsia" w:cs="宋体"/>
                <w:b/>
                <w:bCs/>
                <w:color w:val="auto"/>
                <w:highlight w:val="none"/>
              </w:rPr>
              <w:t>三、价格分（15分）</w:t>
            </w:r>
          </w:p>
          <w:p w14:paraId="471D66EF">
            <w:pPr>
              <w:pStyle w:val="7"/>
              <w:ind w:firstLine="480"/>
              <w:rPr>
                <w:rFonts w:cs="宋体"/>
                <w:color w:val="auto"/>
                <w:highlight w:val="none"/>
              </w:rPr>
            </w:pPr>
            <w:r>
              <w:rPr>
                <w:rFonts w:hint="eastAsia" w:cs="宋体"/>
                <w:color w:val="auto"/>
                <w:highlight w:val="none"/>
              </w:rPr>
              <w:t>满足磋商文件要求且最终报价最低的供应商的价格为评标基准价，其价格分为满分。其他供应商的价格得分统一按照下列公式计算：</w:t>
            </w:r>
          </w:p>
          <w:p w14:paraId="01214AF5">
            <w:pPr>
              <w:pStyle w:val="7"/>
              <w:ind w:firstLine="480"/>
              <w:rPr>
                <w:rFonts w:cs="宋体"/>
                <w:color w:val="auto"/>
                <w:highlight w:val="none"/>
              </w:rPr>
            </w:pPr>
            <w:r>
              <w:rPr>
                <w:rFonts w:hint="eastAsia" w:cs="宋体"/>
                <w:color w:val="auto"/>
                <w:highlight w:val="none"/>
              </w:rPr>
              <w:t>报价得分=（评标基准价/最终报价）×15%×100</w:t>
            </w:r>
          </w:p>
        </w:tc>
      </w:tr>
    </w:tbl>
    <w:p w14:paraId="6CD41A49">
      <w:pPr>
        <w:rPr>
          <w:rFonts w:cs="宋体"/>
          <w:color w:val="auto"/>
          <w:highlight w:val="none"/>
        </w:rPr>
      </w:pPr>
    </w:p>
    <w:p w14:paraId="619E80B6">
      <w:pPr>
        <w:rPr>
          <w:rFonts w:cs="宋体"/>
          <w:color w:val="auto"/>
          <w:highlight w:val="none"/>
        </w:rPr>
      </w:pPr>
      <w:r>
        <w:rPr>
          <w:rFonts w:hint="eastAsia" w:cs="宋体"/>
          <w:color w:val="auto"/>
          <w:highlight w:val="none"/>
        </w:rPr>
        <w:br w:type="page"/>
      </w:r>
    </w:p>
    <w:p w14:paraId="0D7CD51C">
      <w:pPr>
        <w:pStyle w:val="2"/>
        <w:rPr>
          <w:rFonts w:cs="宋体"/>
          <w:color w:val="auto"/>
          <w:highlight w:val="none"/>
        </w:rPr>
      </w:pPr>
      <w:bookmarkStart w:id="84" w:name="_Toc18483807"/>
      <w:bookmarkStart w:id="85" w:name="_Toc16474"/>
      <w:r>
        <w:rPr>
          <w:rFonts w:hint="eastAsia" w:cs="宋体"/>
          <w:color w:val="auto"/>
          <w:highlight w:val="none"/>
        </w:rPr>
        <w:t>第五部分 商务、技术要求</w:t>
      </w:r>
      <w:bookmarkEnd w:id="84"/>
      <w:bookmarkEnd w:id="85"/>
    </w:p>
    <w:p w14:paraId="720E3662">
      <w:pPr>
        <w:pStyle w:val="7"/>
        <w:ind w:firstLine="0" w:firstLineChars="0"/>
        <w:rPr>
          <w:rFonts w:cs="宋体"/>
          <w:b/>
          <w:bCs/>
          <w:color w:val="auto"/>
          <w:highlight w:val="none"/>
        </w:rPr>
      </w:pPr>
      <w:r>
        <w:rPr>
          <w:rFonts w:hint="eastAsia" w:cs="宋体"/>
          <w:b/>
          <w:bCs/>
          <w:color w:val="auto"/>
          <w:highlight w:val="none"/>
        </w:rPr>
        <w:t>一、商务要求</w:t>
      </w:r>
    </w:p>
    <w:p w14:paraId="6899A36D">
      <w:pPr>
        <w:pStyle w:val="7"/>
        <w:ind w:firstLine="480"/>
        <w:rPr>
          <w:rFonts w:hint="eastAsia" w:eastAsia="宋体" w:cs="宋体"/>
          <w:color w:val="auto"/>
          <w:highlight w:val="none"/>
          <w:lang w:eastAsia="zh-CN"/>
        </w:rPr>
      </w:pPr>
      <w:r>
        <w:rPr>
          <w:rFonts w:hint="eastAsia" w:cs="宋体"/>
          <w:color w:val="auto"/>
          <w:highlight w:val="none"/>
        </w:rPr>
        <w:t>1.项目名称：</w:t>
      </w:r>
      <w:r>
        <w:rPr>
          <w:rFonts w:hint="eastAsia" w:cs="宋体"/>
          <w:color w:val="auto"/>
          <w:szCs w:val="24"/>
          <w:highlight w:val="none"/>
          <w:lang w:eastAsia="zh-CN"/>
        </w:rPr>
        <w:t>山西省阳曲县地质灾害综合治理项目监测</w:t>
      </w:r>
    </w:p>
    <w:p w14:paraId="4B8D5F08">
      <w:pPr>
        <w:pStyle w:val="7"/>
        <w:ind w:firstLine="480"/>
        <w:rPr>
          <w:rFonts w:cs="宋体"/>
          <w:color w:val="auto"/>
          <w:highlight w:val="none"/>
        </w:rPr>
      </w:pPr>
      <w:r>
        <w:rPr>
          <w:rFonts w:hint="eastAsia" w:cs="宋体"/>
          <w:color w:val="auto"/>
          <w:highlight w:val="none"/>
        </w:rPr>
        <w:t>2.预算金额（元）：</w:t>
      </w:r>
      <w:r>
        <w:rPr>
          <w:rFonts w:hint="eastAsia" w:cs="宋体"/>
          <w:color w:val="auto"/>
          <w:highlight w:val="none"/>
          <w:lang w:val="en-US" w:eastAsia="zh-CN"/>
        </w:rPr>
        <w:t>395120.92</w:t>
      </w:r>
    </w:p>
    <w:p w14:paraId="150825F1">
      <w:pPr>
        <w:pStyle w:val="7"/>
        <w:ind w:firstLine="480"/>
        <w:rPr>
          <w:rFonts w:cs="宋体"/>
          <w:color w:val="auto"/>
          <w:highlight w:val="none"/>
        </w:rPr>
      </w:pPr>
      <w:r>
        <w:rPr>
          <w:rFonts w:hint="eastAsia" w:cs="宋体"/>
          <w:color w:val="auto"/>
          <w:highlight w:val="none"/>
        </w:rPr>
        <w:t>3.合同履约期限：</w:t>
      </w:r>
      <w:r>
        <w:rPr>
          <w:rFonts w:hint="eastAsia" w:cs="宋体"/>
          <w:color w:val="auto"/>
          <w:highlight w:val="none"/>
          <w:lang w:val="en-US" w:eastAsia="zh-CN"/>
        </w:rPr>
        <w:t>整个施工期间及竣工后一年。</w:t>
      </w:r>
    </w:p>
    <w:p w14:paraId="668C3251">
      <w:pPr>
        <w:ind w:firstLine="480" w:firstLineChars="200"/>
        <w:rPr>
          <w:color w:val="auto"/>
          <w:highlight w:val="none"/>
        </w:rPr>
      </w:pPr>
      <w:r>
        <w:rPr>
          <w:rFonts w:hint="eastAsia"/>
          <w:color w:val="auto"/>
          <w:highlight w:val="none"/>
        </w:rPr>
        <w:t>4.付款方式：</w:t>
      </w:r>
      <w:r>
        <w:rPr>
          <w:rFonts w:hint="eastAsia" w:cs="宋体"/>
          <w:color w:val="auto"/>
          <w:szCs w:val="24"/>
          <w:highlight w:val="none"/>
          <w:lang w:val="en-US" w:eastAsia="zh-CN"/>
        </w:rPr>
        <w:t>签订合同后预付</w:t>
      </w:r>
      <w:r>
        <w:rPr>
          <w:rFonts w:hint="eastAsia" w:cs="宋体"/>
          <w:color w:val="auto"/>
          <w:szCs w:val="24"/>
          <w:highlight w:val="none"/>
        </w:rPr>
        <w:t>40%；经采购人验收合格后支付60%。</w:t>
      </w:r>
    </w:p>
    <w:p w14:paraId="0AE0D770">
      <w:pPr>
        <w:ind w:firstLine="480" w:firstLineChars="200"/>
        <w:rPr>
          <w:rFonts w:cs="宋体"/>
          <w:b/>
          <w:bCs/>
          <w:color w:val="auto"/>
          <w:highlight w:val="none"/>
          <w:lang w:val="fr-FR"/>
        </w:rPr>
      </w:pPr>
      <w:r>
        <w:rPr>
          <w:rFonts w:hint="eastAsia" w:cs="宋体"/>
          <w:color w:val="auto"/>
          <w:highlight w:val="none"/>
        </w:rPr>
        <w:t>5.质量要求：符合国家及行业现行合格标准。</w:t>
      </w:r>
    </w:p>
    <w:p w14:paraId="6016EADF">
      <w:pPr>
        <w:rPr>
          <w:rFonts w:cs="宋体"/>
          <w:b/>
          <w:bCs/>
          <w:color w:val="auto"/>
          <w:highlight w:val="none"/>
        </w:rPr>
      </w:pPr>
      <w:r>
        <w:rPr>
          <w:rFonts w:hint="eastAsia" w:cs="宋体"/>
          <w:b/>
          <w:bCs/>
          <w:color w:val="auto"/>
          <w:highlight w:val="none"/>
        </w:rPr>
        <w:t>二、技术要求</w:t>
      </w:r>
    </w:p>
    <w:p w14:paraId="2E4C56C0">
      <w:pPr>
        <w:pStyle w:val="7"/>
        <w:ind w:firstLine="480"/>
        <w:rPr>
          <w:rFonts w:hint="eastAsia" w:cs="宋体"/>
          <w:b/>
          <w:bCs/>
          <w:color w:val="auto"/>
          <w:highlight w:val="none"/>
          <w:lang w:val="fr-FR"/>
        </w:rPr>
      </w:pPr>
      <w:r>
        <w:rPr>
          <w:rFonts w:hint="eastAsia" w:cs="宋体"/>
          <w:b/>
          <w:bCs/>
          <w:color w:val="auto"/>
          <w:highlight w:val="none"/>
          <w:lang w:val="fr-FR" w:eastAsia="zh-CN"/>
        </w:rPr>
        <w:t>（</w:t>
      </w:r>
      <w:r>
        <w:rPr>
          <w:rFonts w:hint="eastAsia" w:cs="宋体"/>
          <w:b/>
          <w:bCs/>
          <w:color w:val="auto"/>
          <w:highlight w:val="none"/>
          <w:lang w:val="en-US" w:eastAsia="zh-CN"/>
        </w:rPr>
        <w:t>一</w:t>
      </w:r>
      <w:r>
        <w:rPr>
          <w:rFonts w:hint="eastAsia" w:cs="宋体"/>
          <w:b/>
          <w:bCs/>
          <w:color w:val="auto"/>
          <w:highlight w:val="none"/>
          <w:lang w:val="fr-FR" w:eastAsia="zh-CN"/>
        </w:rPr>
        <w:t>）</w:t>
      </w:r>
      <w:r>
        <w:rPr>
          <w:rFonts w:hint="eastAsia" w:cs="宋体"/>
          <w:b/>
          <w:bCs/>
          <w:color w:val="auto"/>
          <w:highlight w:val="none"/>
          <w:lang w:val="fr-FR"/>
        </w:rPr>
        <w:t>侯村乡大碾沟村崩塌地质灾害治理工程</w:t>
      </w:r>
    </w:p>
    <w:p w14:paraId="424B7C43">
      <w:pPr>
        <w:pStyle w:val="7"/>
        <w:ind w:firstLine="480"/>
        <w:rPr>
          <w:rFonts w:cs="宋体"/>
          <w:color w:val="auto"/>
          <w:highlight w:val="none"/>
          <w:lang w:val="fr-FR"/>
        </w:rPr>
      </w:pPr>
      <w:r>
        <w:rPr>
          <w:rFonts w:hint="eastAsia" w:cs="宋体"/>
          <w:color w:val="auto"/>
          <w:highlight w:val="none"/>
          <w:lang w:val="fr-FR"/>
        </w:rPr>
        <w:t>1</w:t>
      </w:r>
      <w:r>
        <w:rPr>
          <w:rFonts w:hint="eastAsia" w:cs="宋体"/>
          <w:color w:val="auto"/>
          <w:highlight w:val="none"/>
          <w:lang w:val="en-US" w:eastAsia="zh-CN"/>
        </w:rPr>
        <w:t>.</w:t>
      </w:r>
      <w:r>
        <w:rPr>
          <w:rFonts w:cs="宋体"/>
          <w:color w:val="auto"/>
          <w:highlight w:val="none"/>
          <w:lang w:val="fr-FR"/>
        </w:rPr>
        <w:t>目的与任务</w:t>
      </w:r>
    </w:p>
    <w:p w14:paraId="7D81EA61">
      <w:pPr>
        <w:pStyle w:val="7"/>
        <w:ind w:firstLine="480"/>
        <w:rPr>
          <w:rFonts w:cs="宋体"/>
          <w:color w:val="auto"/>
          <w:highlight w:val="none"/>
          <w:lang w:val="fr-FR"/>
        </w:rPr>
      </w:pPr>
      <w:r>
        <w:rPr>
          <w:rFonts w:cs="宋体"/>
          <w:color w:val="auto"/>
          <w:highlight w:val="none"/>
          <w:lang w:val="fr-FR"/>
        </w:rPr>
        <w:t>监测的目的，一是为治理提供科学依据，保证施工安全；二是检验治理的效果；三是在治理工程竣工后判定长期稳定状态，了解坡体稳定性变化特征。所以监测工程也就包括施工安全监测、治理效果监测和动态长期监测三方面，以前二者监测为主。在施工期间，监测结果应作为判定坡体稳定状态、指导施工、反馈设计和治理效果检验的重要依据。所布置的监测网点，可供长期动态监测之用。</w:t>
      </w:r>
    </w:p>
    <w:p w14:paraId="2ABF7D07">
      <w:pPr>
        <w:pStyle w:val="7"/>
        <w:ind w:firstLine="480"/>
        <w:rPr>
          <w:rFonts w:cs="宋体"/>
          <w:color w:val="auto"/>
          <w:highlight w:val="none"/>
          <w:lang w:val="fr-FR"/>
        </w:rPr>
      </w:pPr>
      <w:r>
        <w:rPr>
          <w:rFonts w:hint="eastAsia" w:cs="宋体"/>
          <w:color w:val="auto"/>
          <w:highlight w:val="none"/>
          <w:lang w:val="fr-FR"/>
        </w:rPr>
        <w:t>2</w:t>
      </w:r>
      <w:r>
        <w:rPr>
          <w:rFonts w:hint="eastAsia" w:cs="宋体"/>
          <w:color w:val="auto"/>
          <w:highlight w:val="none"/>
          <w:lang w:val="en-US" w:eastAsia="zh-CN"/>
        </w:rPr>
        <w:t>.</w:t>
      </w:r>
      <w:r>
        <w:rPr>
          <w:rFonts w:cs="宋体"/>
          <w:color w:val="auto"/>
          <w:highlight w:val="none"/>
          <w:lang w:val="fr-FR"/>
        </w:rPr>
        <w:t>监测工程设计</w:t>
      </w:r>
    </w:p>
    <w:p w14:paraId="127D3D1E">
      <w:pPr>
        <w:pStyle w:val="7"/>
        <w:ind w:firstLine="480"/>
        <w:rPr>
          <w:rFonts w:cs="宋体"/>
          <w:color w:val="auto"/>
          <w:highlight w:val="none"/>
          <w:lang w:val="fr-FR"/>
        </w:rPr>
      </w:pPr>
      <w:r>
        <w:rPr>
          <w:rFonts w:cs="宋体"/>
          <w:color w:val="auto"/>
          <w:highlight w:val="none"/>
          <w:lang w:val="fr-FR"/>
        </w:rPr>
        <w:t>根据现场勘查和治理工程方案，对不稳定斜坡进行监测，同时在周边相对稳定区布设个监测基准点，建立监测网，对治理工程布设监测点。</w:t>
      </w:r>
    </w:p>
    <w:p w14:paraId="3906D1ED">
      <w:pPr>
        <w:pStyle w:val="7"/>
        <w:ind w:firstLine="480"/>
        <w:rPr>
          <w:rFonts w:cs="宋体"/>
          <w:color w:val="auto"/>
          <w:highlight w:val="none"/>
          <w:lang w:val="fr-FR"/>
        </w:rPr>
      </w:pPr>
      <w:r>
        <w:rPr>
          <w:rFonts w:cs="宋体"/>
          <w:color w:val="auto"/>
          <w:highlight w:val="none"/>
          <w:lang w:val="fr-FR"/>
        </w:rPr>
        <w:t>监测包括水平位移和垂直位移的监测。采用经纬仪、水准仪或光电测距仪，在测站重复观测各观测点的位移方向和水平、铅直距离，以此来判定位移及其随时间变化的情况，监测结果应做好相应的记录，并绘制位移—时间关系曲线图。</w:t>
      </w:r>
    </w:p>
    <w:p w14:paraId="38FC9F51">
      <w:pPr>
        <w:pStyle w:val="7"/>
        <w:ind w:firstLine="480"/>
        <w:rPr>
          <w:rFonts w:cs="宋体"/>
          <w:color w:val="auto"/>
          <w:highlight w:val="none"/>
          <w:lang w:val="fr-FR"/>
        </w:rPr>
      </w:pPr>
      <w:r>
        <w:rPr>
          <w:rFonts w:cs="宋体"/>
          <w:color w:val="auto"/>
          <w:highlight w:val="none"/>
          <w:lang w:val="fr-FR"/>
        </w:rPr>
        <w:t>监测目的是保证治理施工安全，检验治理效果，包括施工期间安全监测和竣工后的治理效果监测。监测工程应由第三方具有相应资质的单位进行。</w:t>
      </w:r>
    </w:p>
    <w:p w14:paraId="67503305">
      <w:pPr>
        <w:pStyle w:val="7"/>
        <w:ind w:firstLine="480"/>
        <w:rPr>
          <w:rFonts w:cs="宋体"/>
          <w:color w:val="auto"/>
          <w:highlight w:val="none"/>
          <w:lang w:val="fr-FR"/>
        </w:rPr>
      </w:pPr>
      <w:r>
        <w:rPr>
          <w:rFonts w:hint="eastAsia" w:cs="宋体"/>
          <w:color w:val="auto"/>
          <w:highlight w:val="none"/>
          <w:lang w:val="fr-FR"/>
        </w:rPr>
        <w:t>测量精度不小于1mm，监测报警值为坡顶水平位移已大于边坡高度的1/500或20mm，以及其水平位移速度已连续3d大于2mm/d。</w:t>
      </w:r>
    </w:p>
    <w:p w14:paraId="7FFB3D00">
      <w:pPr>
        <w:pStyle w:val="7"/>
        <w:ind w:firstLine="480"/>
        <w:rPr>
          <w:rFonts w:cs="宋体"/>
          <w:color w:val="auto"/>
          <w:highlight w:val="none"/>
          <w:lang w:val="fr-FR"/>
        </w:rPr>
      </w:pPr>
      <w:r>
        <w:rPr>
          <w:rFonts w:cs="宋体"/>
          <w:color w:val="auto"/>
          <w:highlight w:val="none"/>
          <w:lang w:val="fr-FR"/>
        </w:rPr>
        <w:t>布设基准点</w:t>
      </w:r>
      <w:r>
        <w:rPr>
          <w:rFonts w:hint="eastAsia" w:cs="宋体"/>
          <w:color w:val="auto"/>
          <w:highlight w:val="none"/>
          <w:lang w:val="fr-FR"/>
        </w:rPr>
        <w:t>5</w:t>
      </w:r>
      <w:r>
        <w:rPr>
          <w:rFonts w:cs="宋体"/>
          <w:color w:val="auto"/>
          <w:highlight w:val="none"/>
          <w:lang w:val="fr-FR"/>
        </w:rPr>
        <w:t>个，施工安全监测点</w:t>
      </w:r>
      <w:r>
        <w:rPr>
          <w:rFonts w:hint="eastAsia" w:cs="宋体"/>
          <w:color w:val="auto"/>
          <w:highlight w:val="none"/>
          <w:lang w:val="fr-FR"/>
        </w:rPr>
        <w:t>5</w:t>
      </w:r>
      <w:r>
        <w:rPr>
          <w:rFonts w:cs="宋体"/>
          <w:color w:val="auto"/>
          <w:highlight w:val="none"/>
          <w:lang w:val="fr-FR"/>
        </w:rPr>
        <w:t>个，治理效果监测点</w:t>
      </w:r>
      <w:r>
        <w:rPr>
          <w:rFonts w:hint="eastAsia" w:cs="宋体"/>
          <w:color w:val="auto"/>
          <w:highlight w:val="none"/>
          <w:lang w:val="fr-FR"/>
        </w:rPr>
        <w:t>10</w:t>
      </w:r>
      <w:r>
        <w:rPr>
          <w:rFonts w:cs="宋体"/>
          <w:color w:val="auto"/>
          <w:highlight w:val="none"/>
          <w:lang w:val="fr-FR"/>
        </w:rPr>
        <w:t>个，施工安全监测时间为</w:t>
      </w:r>
      <w:r>
        <w:rPr>
          <w:rFonts w:hint="eastAsia" w:cs="宋体"/>
          <w:color w:val="auto"/>
          <w:highlight w:val="none"/>
          <w:lang w:val="fr-FR"/>
        </w:rPr>
        <w:t>2</w:t>
      </w:r>
      <w:r>
        <w:rPr>
          <w:rFonts w:cs="宋体"/>
          <w:color w:val="auto"/>
          <w:highlight w:val="none"/>
          <w:lang w:val="fr-FR"/>
        </w:rPr>
        <w:t>个月，观测频率为1天1次，共</w:t>
      </w:r>
      <w:r>
        <w:rPr>
          <w:rFonts w:hint="eastAsia" w:cs="宋体"/>
          <w:color w:val="auto"/>
          <w:highlight w:val="none"/>
          <w:lang w:val="fr-FR"/>
        </w:rPr>
        <w:t>300</w:t>
      </w:r>
      <w:r>
        <w:rPr>
          <w:rFonts w:cs="宋体"/>
          <w:color w:val="auto"/>
          <w:highlight w:val="none"/>
          <w:lang w:val="fr-FR"/>
        </w:rPr>
        <w:t>点次</w:t>
      </w:r>
      <w:r>
        <w:rPr>
          <w:rFonts w:hint="eastAsia" w:cs="宋体"/>
          <w:color w:val="auto"/>
          <w:highlight w:val="none"/>
          <w:lang w:val="fr-FR"/>
        </w:rPr>
        <w:t>，在施工期间必须辅以人工目视巡查，查看是否有明显地裂缝等坡体变形特征和危岩体、危土体等其它可能存在的施工安全问题</w:t>
      </w:r>
      <w:r>
        <w:rPr>
          <w:rFonts w:cs="宋体"/>
          <w:color w:val="auto"/>
          <w:highlight w:val="none"/>
          <w:lang w:val="fr-FR"/>
        </w:rPr>
        <w:t>。治理效果监测时间为治理工程竣工后1个水文年，观测频率为10天一次，共</w:t>
      </w:r>
      <w:r>
        <w:rPr>
          <w:rFonts w:hint="eastAsia" w:cs="宋体"/>
          <w:color w:val="auto"/>
          <w:highlight w:val="none"/>
          <w:lang w:val="fr-FR"/>
        </w:rPr>
        <w:t>360</w:t>
      </w:r>
      <w:r>
        <w:rPr>
          <w:rFonts w:cs="宋体"/>
          <w:color w:val="auto"/>
          <w:highlight w:val="none"/>
          <w:lang w:val="fr-FR"/>
        </w:rPr>
        <w:t>点次，雨季或有变形时加密观测。</w:t>
      </w:r>
    </w:p>
    <w:p w14:paraId="62E56162">
      <w:pPr>
        <w:pStyle w:val="7"/>
        <w:ind w:left="0" w:leftChars="0" w:firstLine="0" w:firstLineChars="0"/>
        <w:jc w:val="center"/>
        <w:rPr>
          <w:rFonts w:cs="宋体"/>
          <w:color w:val="auto"/>
          <w:highlight w:val="none"/>
          <w:lang w:val="fr-FR"/>
        </w:rPr>
      </w:pPr>
      <w:r>
        <w:rPr>
          <w:rFonts w:hint="eastAsia" w:cs="宋体"/>
          <w:color w:val="auto"/>
          <w:highlight w:val="none"/>
          <w:lang w:val="fr-FR"/>
        </w:rPr>
        <w:t>监测</w:t>
      </w:r>
      <w:r>
        <w:rPr>
          <w:rFonts w:cs="宋体"/>
          <w:color w:val="auto"/>
          <w:highlight w:val="none"/>
          <w:lang w:val="fr-FR"/>
        </w:rPr>
        <w:t>工程量表</w:t>
      </w:r>
    </w:p>
    <w:tbl>
      <w:tblPr>
        <w:tblStyle w:val="1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057"/>
        <w:gridCol w:w="2116"/>
        <w:gridCol w:w="3069"/>
      </w:tblGrid>
      <w:tr w14:paraId="77B3C7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blHeader/>
        </w:trPr>
        <w:tc>
          <w:tcPr>
            <w:tcW w:w="2195" w:type="pct"/>
            <w:shd w:val="clear" w:color="auto" w:fill="auto"/>
            <w:vAlign w:val="center"/>
          </w:tcPr>
          <w:p w14:paraId="3E5A8D7C">
            <w:pPr>
              <w:pStyle w:val="7"/>
              <w:ind w:left="0" w:leftChars="0" w:firstLine="0" w:firstLineChars="0"/>
              <w:jc w:val="center"/>
              <w:rPr>
                <w:rFonts w:cs="宋体"/>
                <w:color w:val="auto"/>
                <w:highlight w:val="none"/>
                <w:lang w:val="fr-FR"/>
              </w:rPr>
            </w:pPr>
            <w:r>
              <w:rPr>
                <w:rFonts w:hint="eastAsia" w:cs="宋体"/>
                <w:color w:val="auto"/>
                <w:highlight w:val="none"/>
                <w:lang w:val="fr-FR"/>
              </w:rPr>
              <w:t>工程或费用名称</w:t>
            </w:r>
          </w:p>
        </w:tc>
        <w:tc>
          <w:tcPr>
            <w:tcW w:w="1145" w:type="pct"/>
            <w:shd w:val="clear" w:color="auto" w:fill="auto"/>
            <w:vAlign w:val="center"/>
          </w:tcPr>
          <w:p w14:paraId="7443C2CC">
            <w:pPr>
              <w:pStyle w:val="7"/>
              <w:ind w:left="0" w:leftChars="0" w:firstLine="0" w:firstLineChars="0"/>
              <w:jc w:val="center"/>
              <w:rPr>
                <w:rFonts w:cs="宋体"/>
                <w:color w:val="auto"/>
                <w:highlight w:val="none"/>
                <w:lang w:val="fr-FR"/>
              </w:rPr>
            </w:pPr>
            <w:r>
              <w:rPr>
                <w:rFonts w:hint="eastAsia" w:cs="宋体"/>
                <w:color w:val="auto"/>
                <w:highlight w:val="none"/>
                <w:lang w:val="fr-FR"/>
              </w:rPr>
              <w:t>单位</w:t>
            </w:r>
          </w:p>
        </w:tc>
        <w:tc>
          <w:tcPr>
            <w:tcW w:w="1660" w:type="pct"/>
            <w:shd w:val="clear" w:color="auto" w:fill="auto"/>
            <w:vAlign w:val="center"/>
          </w:tcPr>
          <w:p w14:paraId="12CD0122">
            <w:pPr>
              <w:pStyle w:val="7"/>
              <w:ind w:left="0" w:leftChars="0" w:firstLine="0" w:firstLineChars="0"/>
              <w:jc w:val="center"/>
              <w:rPr>
                <w:rFonts w:cs="宋体"/>
                <w:color w:val="auto"/>
                <w:highlight w:val="none"/>
                <w:lang w:val="fr-FR"/>
              </w:rPr>
            </w:pPr>
            <w:r>
              <w:rPr>
                <w:rFonts w:hint="eastAsia" w:cs="宋体"/>
                <w:color w:val="auto"/>
                <w:highlight w:val="none"/>
                <w:lang w:val="fr-FR"/>
              </w:rPr>
              <w:t>数量</w:t>
            </w:r>
          </w:p>
        </w:tc>
      </w:tr>
      <w:tr w14:paraId="5882F0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52DC2B38">
            <w:pPr>
              <w:pStyle w:val="7"/>
              <w:ind w:left="0" w:leftChars="0" w:firstLine="0" w:firstLineChars="0"/>
              <w:jc w:val="center"/>
              <w:rPr>
                <w:rFonts w:cs="宋体"/>
                <w:color w:val="auto"/>
                <w:highlight w:val="none"/>
                <w:lang w:val="fr-FR"/>
              </w:rPr>
            </w:pPr>
            <w:r>
              <w:rPr>
                <w:rFonts w:hint="eastAsia" w:cs="宋体"/>
                <w:color w:val="auto"/>
                <w:highlight w:val="none"/>
                <w:lang w:val="fr-FR"/>
              </w:rPr>
              <w:t>基准点</w:t>
            </w:r>
          </w:p>
        </w:tc>
        <w:tc>
          <w:tcPr>
            <w:tcW w:w="1145" w:type="pct"/>
            <w:shd w:val="clear" w:color="auto" w:fill="auto"/>
            <w:vAlign w:val="center"/>
          </w:tcPr>
          <w:p w14:paraId="31F6C09E">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229A1AB5">
            <w:pPr>
              <w:pStyle w:val="7"/>
              <w:ind w:left="0" w:leftChars="0" w:firstLine="0" w:firstLineChars="0"/>
              <w:jc w:val="center"/>
              <w:rPr>
                <w:rFonts w:cs="宋体"/>
                <w:color w:val="auto"/>
                <w:highlight w:val="none"/>
                <w:lang w:val="fr-FR"/>
              </w:rPr>
            </w:pPr>
            <w:r>
              <w:rPr>
                <w:rFonts w:hint="eastAsia" w:cs="宋体"/>
                <w:color w:val="auto"/>
                <w:highlight w:val="none"/>
                <w:lang w:val="fr-FR"/>
              </w:rPr>
              <w:t>5</w:t>
            </w:r>
          </w:p>
        </w:tc>
      </w:tr>
      <w:tr w14:paraId="087C3B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7A168DB9">
            <w:pPr>
              <w:pStyle w:val="7"/>
              <w:ind w:left="0" w:leftChars="0" w:firstLine="0" w:firstLineChars="0"/>
              <w:jc w:val="center"/>
              <w:rPr>
                <w:rFonts w:cs="宋体"/>
                <w:color w:val="auto"/>
                <w:highlight w:val="none"/>
                <w:lang w:val="fr-FR"/>
              </w:rPr>
            </w:pPr>
            <w:r>
              <w:rPr>
                <w:rFonts w:hint="eastAsia" w:cs="宋体"/>
                <w:color w:val="auto"/>
                <w:highlight w:val="none"/>
                <w:lang w:val="fr-FR"/>
              </w:rPr>
              <w:t>施工安全监测点</w:t>
            </w:r>
          </w:p>
        </w:tc>
        <w:tc>
          <w:tcPr>
            <w:tcW w:w="1145" w:type="pct"/>
            <w:shd w:val="clear" w:color="auto" w:fill="auto"/>
            <w:vAlign w:val="center"/>
          </w:tcPr>
          <w:p w14:paraId="243480F9">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370A476F">
            <w:pPr>
              <w:pStyle w:val="7"/>
              <w:ind w:left="0" w:leftChars="0" w:firstLine="0" w:firstLineChars="0"/>
              <w:jc w:val="center"/>
              <w:rPr>
                <w:rFonts w:cs="宋体"/>
                <w:color w:val="auto"/>
                <w:highlight w:val="none"/>
                <w:lang w:val="fr-FR"/>
              </w:rPr>
            </w:pPr>
            <w:r>
              <w:rPr>
                <w:rFonts w:hint="eastAsia" w:cs="宋体"/>
                <w:color w:val="auto"/>
                <w:highlight w:val="none"/>
                <w:lang w:val="fr-FR"/>
              </w:rPr>
              <w:t>5</w:t>
            </w:r>
          </w:p>
        </w:tc>
      </w:tr>
      <w:tr w14:paraId="7A5B98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4E815CA8">
            <w:pPr>
              <w:pStyle w:val="7"/>
              <w:ind w:left="0" w:leftChars="0" w:firstLine="0" w:firstLineChars="0"/>
              <w:jc w:val="center"/>
              <w:rPr>
                <w:rFonts w:cs="宋体"/>
                <w:color w:val="auto"/>
                <w:highlight w:val="none"/>
                <w:lang w:val="fr-FR"/>
              </w:rPr>
            </w:pPr>
            <w:r>
              <w:rPr>
                <w:rFonts w:hint="eastAsia" w:cs="宋体"/>
                <w:color w:val="auto"/>
                <w:highlight w:val="none"/>
                <w:lang w:val="fr-FR"/>
              </w:rPr>
              <w:t>治理效果监测点</w:t>
            </w:r>
          </w:p>
        </w:tc>
        <w:tc>
          <w:tcPr>
            <w:tcW w:w="1145" w:type="pct"/>
            <w:shd w:val="clear" w:color="auto" w:fill="auto"/>
            <w:vAlign w:val="center"/>
          </w:tcPr>
          <w:p w14:paraId="25F75FE6">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6C986B1F">
            <w:pPr>
              <w:pStyle w:val="7"/>
              <w:ind w:left="0" w:leftChars="0" w:firstLine="0" w:firstLineChars="0"/>
              <w:jc w:val="center"/>
              <w:rPr>
                <w:rFonts w:cs="宋体"/>
                <w:color w:val="auto"/>
                <w:highlight w:val="none"/>
                <w:lang w:val="fr-FR"/>
              </w:rPr>
            </w:pPr>
            <w:r>
              <w:rPr>
                <w:rFonts w:hint="eastAsia" w:cs="宋体"/>
                <w:color w:val="auto"/>
                <w:highlight w:val="none"/>
                <w:lang w:val="fr-FR"/>
              </w:rPr>
              <w:t>10</w:t>
            </w:r>
          </w:p>
        </w:tc>
      </w:tr>
      <w:tr w14:paraId="50B1AA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0559D15B">
            <w:pPr>
              <w:pStyle w:val="7"/>
              <w:ind w:left="0" w:leftChars="0" w:firstLine="0" w:firstLineChars="0"/>
              <w:jc w:val="center"/>
              <w:rPr>
                <w:rFonts w:cs="宋体"/>
                <w:color w:val="auto"/>
                <w:highlight w:val="none"/>
                <w:lang w:val="fr-FR"/>
              </w:rPr>
            </w:pPr>
            <w:r>
              <w:rPr>
                <w:rFonts w:hint="eastAsia" w:cs="宋体"/>
                <w:color w:val="auto"/>
                <w:highlight w:val="none"/>
                <w:lang w:val="fr-FR"/>
              </w:rPr>
              <w:t>施工安全监测</w:t>
            </w:r>
          </w:p>
        </w:tc>
        <w:tc>
          <w:tcPr>
            <w:tcW w:w="1145" w:type="pct"/>
            <w:shd w:val="clear" w:color="auto" w:fill="auto"/>
            <w:vAlign w:val="center"/>
          </w:tcPr>
          <w:p w14:paraId="2C8C0DC7">
            <w:pPr>
              <w:pStyle w:val="7"/>
              <w:ind w:left="0" w:leftChars="0" w:firstLine="0" w:firstLineChars="0"/>
              <w:jc w:val="center"/>
              <w:rPr>
                <w:rFonts w:cs="宋体"/>
                <w:color w:val="auto"/>
                <w:highlight w:val="none"/>
                <w:lang w:val="fr-FR"/>
              </w:rPr>
            </w:pPr>
            <w:r>
              <w:rPr>
                <w:rFonts w:hint="eastAsia" w:cs="宋体"/>
                <w:color w:val="auto"/>
                <w:highlight w:val="none"/>
                <w:lang w:val="fr-FR"/>
              </w:rPr>
              <w:t>点次</w:t>
            </w:r>
          </w:p>
        </w:tc>
        <w:tc>
          <w:tcPr>
            <w:tcW w:w="1660" w:type="pct"/>
            <w:shd w:val="clear" w:color="auto" w:fill="auto"/>
            <w:vAlign w:val="center"/>
          </w:tcPr>
          <w:p w14:paraId="57E5638E">
            <w:pPr>
              <w:pStyle w:val="7"/>
              <w:ind w:left="0" w:leftChars="0" w:firstLine="0" w:firstLineChars="0"/>
              <w:jc w:val="center"/>
              <w:rPr>
                <w:rFonts w:cs="宋体"/>
                <w:color w:val="auto"/>
                <w:highlight w:val="none"/>
                <w:lang w:val="fr-FR"/>
              </w:rPr>
            </w:pPr>
            <w:r>
              <w:rPr>
                <w:rFonts w:hint="eastAsia" w:cs="宋体"/>
                <w:color w:val="auto"/>
                <w:highlight w:val="none"/>
                <w:lang w:val="fr-FR"/>
              </w:rPr>
              <w:t>300</w:t>
            </w:r>
          </w:p>
        </w:tc>
      </w:tr>
      <w:tr w14:paraId="6E7845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71B1AE84">
            <w:pPr>
              <w:pStyle w:val="7"/>
              <w:ind w:left="0" w:leftChars="0" w:firstLine="0" w:firstLineChars="0"/>
              <w:jc w:val="center"/>
              <w:rPr>
                <w:rFonts w:cs="宋体"/>
                <w:color w:val="auto"/>
                <w:highlight w:val="none"/>
                <w:lang w:val="fr-FR"/>
              </w:rPr>
            </w:pPr>
            <w:r>
              <w:rPr>
                <w:rFonts w:hint="eastAsia" w:cs="宋体"/>
                <w:color w:val="auto"/>
                <w:highlight w:val="none"/>
                <w:lang w:val="fr-FR"/>
              </w:rPr>
              <w:t>治理效果监测</w:t>
            </w:r>
          </w:p>
        </w:tc>
        <w:tc>
          <w:tcPr>
            <w:tcW w:w="1145" w:type="pct"/>
            <w:shd w:val="clear" w:color="auto" w:fill="auto"/>
            <w:vAlign w:val="center"/>
          </w:tcPr>
          <w:p w14:paraId="45A5624A">
            <w:pPr>
              <w:pStyle w:val="7"/>
              <w:ind w:left="0" w:leftChars="0" w:firstLine="0" w:firstLineChars="0"/>
              <w:jc w:val="center"/>
              <w:rPr>
                <w:rFonts w:cs="宋体"/>
                <w:color w:val="auto"/>
                <w:highlight w:val="none"/>
                <w:lang w:val="fr-FR"/>
              </w:rPr>
            </w:pPr>
            <w:r>
              <w:rPr>
                <w:rFonts w:hint="eastAsia" w:cs="宋体"/>
                <w:color w:val="auto"/>
                <w:highlight w:val="none"/>
                <w:lang w:val="fr-FR"/>
              </w:rPr>
              <w:t>点次</w:t>
            </w:r>
          </w:p>
        </w:tc>
        <w:tc>
          <w:tcPr>
            <w:tcW w:w="1660" w:type="pct"/>
            <w:shd w:val="clear" w:color="auto" w:fill="auto"/>
            <w:vAlign w:val="center"/>
          </w:tcPr>
          <w:p w14:paraId="684E66CD">
            <w:pPr>
              <w:pStyle w:val="7"/>
              <w:ind w:left="0" w:leftChars="0" w:firstLine="0" w:firstLineChars="0"/>
              <w:jc w:val="center"/>
              <w:rPr>
                <w:rFonts w:cs="宋体"/>
                <w:color w:val="auto"/>
                <w:highlight w:val="none"/>
                <w:lang w:val="fr-FR"/>
              </w:rPr>
            </w:pPr>
            <w:r>
              <w:rPr>
                <w:rFonts w:hint="eastAsia" w:cs="宋体"/>
                <w:color w:val="auto"/>
                <w:highlight w:val="none"/>
                <w:lang w:val="fr-FR"/>
              </w:rPr>
              <w:t>360</w:t>
            </w:r>
          </w:p>
        </w:tc>
      </w:tr>
    </w:tbl>
    <w:p w14:paraId="0A8F2E8A">
      <w:pPr>
        <w:pStyle w:val="7"/>
        <w:ind w:left="0" w:leftChars="0" w:firstLine="0" w:firstLineChars="0"/>
        <w:rPr>
          <w:rFonts w:hint="eastAsia" w:cs="宋体"/>
          <w:color w:val="auto"/>
          <w:highlight w:val="none"/>
          <w:lang w:val="fr-FR"/>
        </w:rPr>
      </w:pPr>
    </w:p>
    <w:p w14:paraId="6F867191">
      <w:pPr>
        <w:pStyle w:val="7"/>
        <w:ind w:firstLine="480"/>
        <w:rPr>
          <w:rFonts w:hint="eastAsia" w:ascii="宋体" w:hAnsi="宋体" w:eastAsia="宋体" w:cs="宋体"/>
          <w:b/>
          <w:bCs/>
          <w:color w:val="auto"/>
          <w:highlight w:val="none"/>
          <w:lang w:val="fr-FR" w:eastAsia="zh-CN"/>
        </w:rPr>
      </w:pPr>
      <w:bookmarkStart w:id="86" w:name="_Toc219638201"/>
      <w:r>
        <w:rPr>
          <w:rFonts w:hint="eastAsia" w:ascii="宋体" w:hAnsi="宋体" w:eastAsia="宋体" w:cs="宋体"/>
          <w:b/>
          <w:bCs/>
          <w:color w:val="auto"/>
          <w:highlight w:val="none"/>
          <w:lang w:val="fr-FR" w:eastAsia="zh-CN"/>
        </w:rPr>
        <w:t>（</w:t>
      </w:r>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lang w:val="fr-FR" w:eastAsia="zh-CN"/>
        </w:rPr>
        <w:t>）侯村乡黄道沟崩塌地质灾害治理工程</w:t>
      </w:r>
      <w:bookmarkEnd w:id="86"/>
    </w:p>
    <w:p w14:paraId="45AC0355">
      <w:pPr>
        <w:pStyle w:val="7"/>
        <w:ind w:firstLine="480"/>
        <w:rPr>
          <w:rFonts w:cs="宋体"/>
          <w:color w:val="auto"/>
          <w:highlight w:val="none"/>
          <w:lang w:val="fr-FR"/>
        </w:rPr>
      </w:pPr>
      <w:r>
        <w:rPr>
          <w:rFonts w:hint="eastAsia" w:cs="宋体"/>
          <w:color w:val="auto"/>
          <w:highlight w:val="none"/>
          <w:lang w:val="en-US" w:eastAsia="zh-CN"/>
        </w:rPr>
        <w:t>1.</w:t>
      </w:r>
      <w:r>
        <w:rPr>
          <w:rFonts w:cs="宋体"/>
          <w:color w:val="auto"/>
          <w:highlight w:val="none"/>
          <w:lang w:val="fr-FR"/>
        </w:rPr>
        <w:t>目的与任务</w:t>
      </w:r>
    </w:p>
    <w:p w14:paraId="678BD5FD">
      <w:pPr>
        <w:pStyle w:val="7"/>
        <w:ind w:firstLine="480"/>
        <w:rPr>
          <w:rFonts w:cs="宋体"/>
          <w:color w:val="auto"/>
          <w:highlight w:val="none"/>
          <w:lang w:val="fr-FR"/>
        </w:rPr>
      </w:pPr>
      <w:r>
        <w:rPr>
          <w:rFonts w:cs="宋体"/>
          <w:color w:val="auto"/>
          <w:highlight w:val="none"/>
          <w:lang w:val="fr-FR"/>
        </w:rPr>
        <w:t>监测的目的，一是为治理提供科学依据，保证施工安全；二是检验治理的效果；三是在治理工程竣工后判定长期稳定状态，了解坡体稳定性变化特征。所以监测工程也就包括施工安全监测、治理效果监测和动态长期监测三方面，以前二者监测为主。在施工期间，监测结果应作为判定坡体稳定状态、指导施工、反馈设计和治理效果检验的重要依据。所布置的监测网点，可供长期动态监测之用。</w:t>
      </w:r>
    </w:p>
    <w:p w14:paraId="213DFD62">
      <w:pPr>
        <w:pStyle w:val="7"/>
        <w:ind w:firstLine="480"/>
        <w:rPr>
          <w:rFonts w:cs="宋体"/>
          <w:color w:val="auto"/>
          <w:highlight w:val="none"/>
          <w:lang w:val="fr-FR"/>
        </w:rPr>
      </w:pPr>
      <w:r>
        <w:rPr>
          <w:rFonts w:hint="eastAsia" w:cs="宋体"/>
          <w:color w:val="auto"/>
          <w:highlight w:val="none"/>
          <w:lang w:val="en-US" w:eastAsia="zh-CN"/>
        </w:rPr>
        <w:t>2.</w:t>
      </w:r>
      <w:r>
        <w:rPr>
          <w:rFonts w:cs="宋体"/>
          <w:color w:val="auto"/>
          <w:highlight w:val="none"/>
          <w:lang w:val="fr-FR"/>
        </w:rPr>
        <w:t>监测工程设计</w:t>
      </w:r>
    </w:p>
    <w:p w14:paraId="5D68D065">
      <w:pPr>
        <w:pStyle w:val="7"/>
        <w:ind w:firstLine="480"/>
        <w:rPr>
          <w:rFonts w:cs="宋体"/>
          <w:color w:val="auto"/>
          <w:highlight w:val="none"/>
          <w:lang w:val="fr-FR"/>
        </w:rPr>
      </w:pPr>
      <w:r>
        <w:rPr>
          <w:rFonts w:cs="宋体"/>
          <w:color w:val="auto"/>
          <w:highlight w:val="none"/>
          <w:lang w:val="fr-FR"/>
        </w:rPr>
        <w:t>根据现场勘查和治理工程方案，对不稳定斜坡进行监测，同时在周边相对稳定区布设个监测基准点，建立监测网，对治理工程布设监测点。</w:t>
      </w:r>
    </w:p>
    <w:p w14:paraId="7EA6BABC">
      <w:pPr>
        <w:pStyle w:val="7"/>
        <w:ind w:firstLine="480"/>
        <w:rPr>
          <w:rFonts w:cs="宋体"/>
          <w:color w:val="auto"/>
          <w:highlight w:val="none"/>
          <w:lang w:val="fr-FR"/>
        </w:rPr>
      </w:pPr>
      <w:r>
        <w:rPr>
          <w:rFonts w:cs="宋体"/>
          <w:color w:val="auto"/>
          <w:highlight w:val="none"/>
          <w:lang w:val="fr-FR"/>
        </w:rPr>
        <w:t>监测包括水平位移和垂直位移的监测。采用经纬仪、水准仪或光电测距仪，在测站重复观测各观测点的位移方向和水平、铅直距离，以此来判定位移及其随时间变化的情况，监测结果应做好相应的记录，并绘制位移—时间关系曲线图。</w:t>
      </w:r>
    </w:p>
    <w:p w14:paraId="7999A5BC">
      <w:pPr>
        <w:pStyle w:val="7"/>
        <w:ind w:firstLine="480"/>
        <w:rPr>
          <w:rFonts w:cs="宋体"/>
          <w:color w:val="auto"/>
          <w:highlight w:val="none"/>
          <w:lang w:val="fr-FR"/>
        </w:rPr>
      </w:pPr>
      <w:r>
        <w:rPr>
          <w:rFonts w:cs="宋体"/>
          <w:color w:val="auto"/>
          <w:highlight w:val="none"/>
          <w:lang w:val="fr-FR"/>
        </w:rPr>
        <w:t>监测目的是保证治理施工安全，检验治理效果，包括施工期间安全监测和竣工后的治理效果监测。监测工程应由第三方具有相应资质的单位进行。</w:t>
      </w:r>
    </w:p>
    <w:p w14:paraId="7FBDBCC8">
      <w:pPr>
        <w:pStyle w:val="7"/>
        <w:ind w:firstLine="480"/>
        <w:rPr>
          <w:rFonts w:cs="宋体"/>
          <w:color w:val="auto"/>
          <w:highlight w:val="none"/>
          <w:lang w:val="fr-FR"/>
        </w:rPr>
      </w:pPr>
      <w:r>
        <w:rPr>
          <w:rFonts w:hint="eastAsia" w:cs="宋体"/>
          <w:color w:val="auto"/>
          <w:highlight w:val="none"/>
          <w:lang w:val="fr-FR"/>
        </w:rPr>
        <w:t>测量精度不小于1mm，监测报警值为坡顶水平位移已大于边坡高度的1/500或20mm，以及其水平位移速度已连续3d大于2mm/d。</w:t>
      </w:r>
    </w:p>
    <w:p w14:paraId="4935582B">
      <w:pPr>
        <w:pStyle w:val="7"/>
        <w:ind w:firstLine="480"/>
        <w:rPr>
          <w:rFonts w:cs="宋体"/>
          <w:color w:val="auto"/>
          <w:highlight w:val="none"/>
          <w:lang w:val="fr-FR"/>
        </w:rPr>
      </w:pPr>
      <w:r>
        <w:rPr>
          <w:rFonts w:hint="eastAsia" w:cs="宋体"/>
          <w:color w:val="auto"/>
          <w:highlight w:val="none"/>
          <w:lang w:val="fr-FR"/>
        </w:rPr>
        <w:t>边坡</w:t>
      </w:r>
      <w:r>
        <w:rPr>
          <w:rFonts w:cs="宋体"/>
          <w:color w:val="auto"/>
          <w:highlight w:val="none"/>
          <w:lang w:val="fr-FR"/>
        </w:rPr>
        <w:t>布设基准点</w:t>
      </w:r>
      <w:r>
        <w:rPr>
          <w:rFonts w:hint="eastAsia" w:cs="宋体"/>
          <w:color w:val="auto"/>
          <w:highlight w:val="none"/>
          <w:lang w:val="fr-FR"/>
        </w:rPr>
        <w:t>3</w:t>
      </w:r>
      <w:r>
        <w:rPr>
          <w:rFonts w:cs="宋体"/>
          <w:color w:val="auto"/>
          <w:highlight w:val="none"/>
          <w:lang w:val="fr-FR"/>
        </w:rPr>
        <w:t>个，施工安全监测点</w:t>
      </w:r>
      <w:r>
        <w:rPr>
          <w:rFonts w:hint="eastAsia" w:cs="宋体"/>
          <w:color w:val="auto"/>
          <w:highlight w:val="none"/>
          <w:lang w:val="fr-FR"/>
        </w:rPr>
        <w:t>3</w:t>
      </w:r>
      <w:r>
        <w:rPr>
          <w:rFonts w:cs="宋体"/>
          <w:color w:val="auto"/>
          <w:highlight w:val="none"/>
          <w:lang w:val="fr-FR"/>
        </w:rPr>
        <w:t>个，治理效果监测点</w:t>
      </w:r>
      <w:r>
        <w:rPr>
          <w:rFonts w:hint="eastAsia" w:cs="宋体"/>
          <w:color w:val="auto"/>
          <w:highlight w:val="none"/>
          <w:lang w:val="fr-FR"/>
        </w:rPr>
        <w:t>6</w:t>
      </w:r>
      <w:r>
        <w:rPr>
          <w:rFonts w:cs="宋体"/>
          <w:color w:val="auto"/>
          <w:highlight w:val="none"/>
          <w:lang w:val="fr-FR"/>
        </w:rPr>
        <w:t>个，施工安全监测时间为</w:t>
      </w:r>
      <w:r>
        <w:rPr>
          <w:rFonts w:hint="eastAsia" w:cs="宋体"/>
          <w:color w:val="auto"/>
          <w:highlight w:val="none"/>
          <w:lang w:val="fr-FR"/>
        </w:rPr>
        <w:t>3</w:t>
      </w:r>
      <w:r>
        <w:rPr>
          <w:rFonts w:cs="宋体"/>
          <w:color w:val="auto"/>
          <w:highlight w:val="none"/>
          <w:lang w:val="fr-FR"/>
        </w:rPr>
        <w:t>个月，观测频率为1天1次，共</w:t>
      </w:r>
      <w:r>
        <w:rPr>
          <w:rFonts w:hint="eastAsia" w:cs="宋体"/>
          <w:color w:val="auto"/>
          <w:highlight w:val="none"/>
          <w:lang w:val="fr-FR"/>
        </w:rPr>
        <w:t>270</w:t>
      </w:r>
      <w:r>
        <w:rPr>
          <w:rFonts w:cs="宋体"/>
          <w:color w:val="auto"/>
          <w:highlight w:val="none"/>
          <w:lang w:val="fr-FR"/>
        </w:rPr>
        <w:t>点次</w:t>
      </w:r>
      <w:r>
        <w:rPr>
          <w:rFonts w:hint="eastAsia" w:cs="宋体"/>
          <w:color w:val="auto"/>
          <w:highlight w:val="none"/>
          <w:lang w:val="fr-FR"/>
        </w:rPr>
        <w:t>，在施工期间必须辅以人工目视巡查，查看是否有明显地裂缝等坡体变形特征和危岩体、危土体等其它可能存在的施工安全问题</w:t>
      </w:r>
      <w:r>
        <w:rPr>
          <w:rFonts w:cs="宋体"/>
          <w:color w:val="auto"/>
          <w:highlight w:val="none"/>
          <w:lang w:val="fr-FR"/>
        </w:rPr>
        <w:t>。治理效果监测时间为治理工程竣工后1个水文年，观测频率为10天一次，共</w:t>
      </w:r>
      <w:r>
        <w:rPr>
          <w:rFonts w:hint="eastAsia" w:cs="宋体"/>
          <w:color w:val="auto"/>
          <w:highlight w:val="none"/>
          <w:lang w:val="fr-FR"/>
        </w:rPr>
        <w:t>216</w:t>
      </w:r>
      <w:r>
        <w:rPr>
          <w:rFonts w:cs="宋体"/>
          <w:color w:val="auto"/>
          <w:highlight w:val="none"/>
          <w:lang w:val="fr-FR"/>
        </w:rPr>
        <w:t>点次，雨季或有变形时加密观测。</w:t>
      </w:r>
    </w:p>
    <w:p w14:paraId="53DED7DA">
      <w:pPr>
        <w:pStyle w:val="7"/>
        <w:ind w:left="0" w:leftChars="0" w:firstLine="0" w:firstLineChars="0"/>
        <w:jc w:val="center"/>
        <w:rPr>
          <w:rFonts w:cs="宋体"/>
          <w:color w:val="auto"/>
          <w:highlight w:val="none"/>
          <w:lang w:val="fr-FR"/>
        </w:rPr>
      </w:pPr>
      <w:r>
        <w:rPr>
          <w:rFonts w:cs="宋体"/>
          <w:color w:val="auto"/>
          <w:highlight w:val="none"/>
          <w:lang w:val="fr-FR"/>
        </w:rPr>
        <w:t>监测工程量表</w:t>
      </w:r>
    </w:p>
    <w:tbl>
      <w:tblPr>
        <w:tblStyle w:val="1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057"/>
        <w:gridCol w:w="2116"/>
        <w:gridCol w:w="3069"/>
      </w:tblGrid>
      <w:tr w14:paraId="3843CA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62F805FD">
            <w:pPr>
              <w:pStyle w:val="7"/>
              <w:ind w:left="0" w:leftChars="0" w:firstLine="0" w:firstLineChars="0"/>
              <w:jc w:val="center"/>
              <w:rPr>
                <w:rFonts w:cs="宋体"/>
                <w:color w:val="auto"/>
                <w:highlight w:val="none"/>
                <w:lang w:val="fr-FR"/>
              </w:rPr>
            </w:pPr>
            <w:r>
              <w:rPr>
                <w:rFonts w:hint="eastAsia" w:cs="宋体"/>
                <w:color w:val="auto"/>
                <w:highlight w:val="none"/>
                <w:lang w:val="fr-FR"/>
              </w:rPr>
              <w:t>工程或费用名称</w:t>
            </w:r>
          </w:p>
        </w:tc>
        <w:tc>
          <w:tcPr>
            <w:tcW w:w="1145" w:type="pct"/>
            <w:shd w:val="clear" w:color="auto" w:fill="auto"/>
            <w:vAlign w:val="center"/>
          </w:tcPr>
          <w:p w14:paraId="3D74E4AC">
            <w:pPr>
              <w:pStyle w:val="7"/>
              <w:ind w:left="0" w:leftChars="0" w:firstLine="0" w:firstLineChars="0"/>
              <w:jc w:val="center"/>
              <w:rPr>
                <w:rFonts w:cs="宋体"/>
                <w:color w:val="auto"/>
                <w:highlight w:val="none"/>
                <w:lang w:val="fr-FR"/>
              </w:rPr>
            </w:pPr>
            <w:r>
              <w:rPr>
                <w:rFonts w:hint="eastAsia" w:cs="宋体"/>
                <w:color w:val="auto"/>
                <w:highlight w:val="none"/>
                <w:lang w:val="fr-FR"/>
              </w:rPr>
              <w:t>单位</w:t>
            </w:r>
          </w:p>
        </w:tc>
        <w:tc>
          <w:tcPr>
            <w:tcW w:w="1660" w:type="pct"/>
            <w:shd w:val="clear" w:color="auto" w:fill="auto"/>
            <w:vAlign w:val="center"/>
          </w:tcPr>
          <w:p w14:paraId="06758CD4">
            <w:pPr>
              <w:pStyle w:val="7"/>
              <w:ind w:left="0" w:leftChars="0" w:firstLine="0" w:firstLineChars="0"/>
              <w:jc w:val="center"/>
              <w:rPr>
                <w:rFonts w:cs="宋体"/>
                <w:color w:val="auto"/>
                <w:highlight w:val="none"/>
                <w:lang w:val="fr-FR"/>
              </w:rPr>
            </w:pPr>
            <w:r>
              <w:rPr>
                <w:rFonts w:hint="eastAsia" w:cs="宋体"/>
                <w:color w:val="auto"/>
                <w:highlight w:val="none"/>
                <w:lang w:val="fr-FR"/>
              </w:rPr>
              <w:t>数量</w:t>
            </w:r>
          </w:p>
        </w:tc>
      </w:tr>
      <w:tr w14:paraId="6DD650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158E6A06">
            <w:pPr>
              <w:pStyle w:val="7"/>
              <w:ind w:left="0" w:leftChars="0" w:firstLine="0" w:firstLineChars="0"/>
              <w:jc w:val="center"/>
              <w:rPr>
                <w:rFonts w:cs="宋体"/>
                <w:color w:val="auto"/>
                <w:highlight w:val="none"/>
                <w:lang w:val="fr-FR"/>
              </w:rPr>
            </w:pPr>
            <w:r>
              <w:rPr>
                <w:rFonts w:hint="eastAsia" w:cs="宋体"/>
                <w:color w:val="auto"/>
                <w:highlight w:val="none"/>
                <w:lang w:val="fr-FR"/>
              </w:rPr>
              <w:t>基准点</w:t>
            </w:r>
          </w:p>
        </w:tc>
        <w:tc>
          <w:tcPr>
            <w:tcW w:w="1145" w:type="pct"/>
            <w:shd w:val="clear" w:color="auto" w:fill="auto"/>
            <w:vAlign w:val="center"/>
          </w:tcPr>
          <w:p w14:paraId="1003343F">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5A099311">
            <w:pPr>
              <w:pStyle w:val="7"/>
              <w:ind w:left="0" w:leftChars="0" w:firstLine="0" w:firstLineChars="0"/>
              <w:jc w:val="center"/>
              <w:rPr>
                <w:rFonts w:cs="宋体"/>
                <w:color w:val="auto"/>
                <w:highlight w:val="none"/>
                <w:lang w:val="fr-FR"/>
              </w:rPr>
            </w:pPr>
            <w:r>
              <w:rPr>
                <w:rFonts w:hint="eastAsia" w:cs="宋体"/>
                <w:color w:val="auto"/>
                <w:highlight w:val="none"/>
                <w:lang w:val="fr-FR"/>
              </w:rPr>
              <w:t>3</w:t>
            </w:r>
          </w:p>
        </w:tc>
      </w:tr>
      <w:tr w14:paraId="5E6D87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02C6672F">
            <w:pPr>
              <w:pStyle w:val="7"/>
              <w:ind w:left="0" w:leftChars="0" w:firstLine="0" w:firstLineChars="0"/>
              <w:jc w:val="center"/>
              <w:rPr>
                <w:rFonts w:cs="宋体"/>
                <w:color w:val="auto"/>
                <w:highlight w:val="none"/>
                <w:lang w:val="fr-FR"/>
              </w:rPr>
            </w:pPr>
            <w:r>
              <w:rPr>
                <w:rFonts w:hint="eastAsia" w:cs="宋体"/>
                <w:color w:val="auto"/>
                <w:highlight w:val="none"/>
                <w:lang w:val="fr-FR"/>
              </w:rPr>
              <w:t>施工安全监测点</w:t>
            </w:r>
          </w:p>
        </w:tc>
        <w:tc>
          <w:tcPr>
            <w:tcW w:w="1145" w:type="pct"/>
            <w:shd w:val="clear" w:color="auto" w:fill="auto"/>
            <w:vAlign w:val="center"/>
          </w:tcPr>
          <w:p w14:paraId="571DBE10">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7653D439">
            <w:pPr>
              <w:pStyle w:val="7"/>
              <w:ind w:left="0" w:leftChars="0" w:firstLine="0" w:firstLineChars="0"/>
              <w:jc w:val="center"/>
              <w:rPr>
                <w:rFonts w:cs="宋体"/>
                <w:color w:val="auto"/>
                <w:highlight w:val="none"/>
                <w:lang w:val="fr-FR"/>
              </w:rPr>
            </w:pPr>
            <w:r>
              <w:rPr>
                <w:rFonts w:hint="eastAsia" w:cs="宋体"/>
                <w:color w:val="auto"/>
                <w:highlight w:val="none"/>
                <w:lang w:val="fr-FR"/>
              </w:rPr>
              <w:t>3</w:t>
            </w:r>
          </w:p>
        </w:tc>
      </w:tr>
      <w:tr w14:paraId="2995B4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70C447C3">
            <w:pPr>
              <w:pStyle w:val="7"/>
              <w:ind w:left="0" w:leftChars="0" w:firstLine="0" w:firstLineChars="0"/>
              <w:jc w:val="center"/>
              <w:rPr>
                <w:rFonts w:cs="宋体"/>
                <w:color w:val="auto"/>
                <w:highlight w:val="none"/>
                <w:lang w:val="fr-FR"/>
              </w:rPr>
            </w:pPr>
            <w:r>
              <w:rPr>
                <w:rFonts w:hint="eastAsia" w:cs="宋体"/>
                <w:color w:val="auto"/>
                <w:highlight w:val="none"/>
                <w:lang w:val="fr-FR"/>
              </w:rPr>
              <w:t>治理效果监测点</w:t>
            </w:r>
          </w:p>
        </w:tc>
        <w:tc>
          <w:tcPr>
            <w:tcW w:w="1145" w:type="pct"/>
            <w:shd w:val="clear" w:color="auto" w:fill="auto"/>
            <w:vAlign w:val="center"/>
          </w:tcPr>
          <w:p w14:paraId="2F7F9BF5">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312D9833">
            <w:pPr>
              <w:pStyle w:val="7"/>
              <w:ind w:left="0" w:leftChars="0" w:firstLine="0" w:firstLineChars="0"/>
              <w:jc w:val="center"/>
              <w:rPr>
                <w:rFonts w:cs="宋体"/>
                <w:color w:val="auto"/>
                <w:highlight w:val="none"/>
                <w:lang w:val="fr-FR"/>
              </w:rPr>
            </w:pPr>
            <w:r>
              <w:rPr>
                <w:rFonts w:hint="eastAsia" w:cs="宋体"/>
                <w:color w:val="auto"/>
                <w:highlight w:val="none"/>
                <w:lang w:val="fr-FR"/>
              </w:rPr>
              <w:t>6</w:t>
            </w:r>
          </w:p>
        </w:tc>
      </w:tr>
      <w:tr w14:paraId="6D9542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78580B57">
            <w:pPr>
              <w:pStyle w:val="7"/>
              <w:ind w:left="0" w:leftChars="0" w:firstLine="0" w:firstLineChars="0"/>
              <w:jc w:val="center"/>
              <w:rPr>
                <w:rFonts w:cs="宋体"/>
                <w:color w:val="auto"/>
                <w:highlight w:val="none"/>
                <w:lang w:val="fr-FR"/>
              </w:rPr>
            </w:pPr>
            <w:r>
              <w:rPr>
                <w:rFonts w:hint="eastAsia" w:cs="宋体"/>
                <w:color w:val="auto"/>
                <w:highlight w:val="none"/>
                <w:lang w:val="fr-FR"/>
              </w:rPr>
              <w:t>施工安全监测</w:t>
            </w:r>
          </w:p>
        </w:tc>
        <w:tc>
          <w:tcPr>
            <w:tcW w:w="1145" w:type="pct"/>
            <w:shd w:val="clear" w:color="auto" w:fill="auto"/>
            <w:vAlign w:val="center"/>
          </w:tcPr>
          <w:p w14:paraId="79B0B477">
            <w:pPr>
              <w:pStyle w:val="7"/>
              <w:ind w:left="0" w:leftChars="0" w:firstLine="0" w:firstLineChars="0"/>
              <w:jc w:val="center"/>
              <w:rPr>
                <w:rFonts w:cs="宋体"/>
                <w:color w:val="auto"/>
                <w:highlight w:val="none"/>
                <w:lang w:val="fr-FR"/>
              </w:rPr>
            </w:pPr>
            <w:r>
              <w:rPr>
                <w:rFonts w:hint="eastAsia" w:cs="宋体"/>
                <w:color w:val="auto"/>
                <w:highlight w:val="none"/>
                <w:lang w:val="fr-FR"/>
              </w:rPr>
              <w:t>点次</w:t>
            </w:r>
          </w:p>
        </w:tc>
        <w:tc>
          <w:tcPr>
            <w:tcW w:w="1660" w:type="pct"/>
            <w:shd w:val="clear" w:color="auto" w:fill="auto"/>
            <w:vAlign w:val="center"/>
          </w:tcPr>
          <w:p w14:paraId="660F6CF0">
            <w:pPr>
              <w:pStyle w:val="7"/>
              <w:ind w:left="0" w:leftChars="0" w:firstLine="0" w:firstLineChars="0"/>
              <w:jc w:val="center"/>
              <w:rPr>
                <w:rFonts w:cs="宋体"/>
                <w:color w:val="auto"/>
                <w:highlight w:val="none"/>
                <w:lang w:val="fr-FR"/>
              </w:rPr>
            </w:pPr>
            <w:r>
              <w:rPr>
                <w:rFonts w:hint="eastAsia" w:cs="宋体"/>
                <w:color w:val="auto"/>
                <w:highlight w:val="none"/>
                <w:lang w:val="fr-FR"/>
              </w:rPr>
              <w:t>270</w:t>
            </w:r>
          </w:p>
        </w:tc>
      </w:tr>
      <w:tr w14:paraId="11608B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3D5EC6C3">
            <w:pPr>
              <w:pStyle w:val="7"/>
              <w:ind w:left="0" w:leftChars="0" w:firstLine="0" w:firstLineChars="0"/>
              <w:jc w:val="center"/>
              <w:rPr>
                <w:rFonts w:cs="宋体"/>
                <w:color w:val="auto"/>
                <w:highlight w:val="none"/>
                <w:lang w:val="fr-FR"/>
              </w:rPr>
            </w:pPr>
            <w:r>
              <w:rPr>
                <w:rFonts w:hint="eastAsia" w:cs="宋体"/>
                <w:color w:val="auto"/>
                <w:highlight w:val="none"/>
                <w:lang w:val="fr-FR"/>
              </w:rPr>
              <w:t>治理效果监测</w:t>
            </w:r>
          </w:p>
        </w:tc>
        <w:tc>
          <w:tcPr>
            <w:tcW w:w="1145" w:type="pct"/>
            <w:shd w:val="clear" w:color="auto" w:fill="auto"/>
            <w:vAlign w:val="center"/>
          </w:tcPr>
          <w:p w14:paraId="5DB38128">
            <w:pPr>
              <w:pStyle w:val="7"/>
              <w:ind w:left="0" w:leftChars="0" w:firstLine="0" w:firstLineChars="0"/>
              <w:jc w:val="center"/>
              <w:rPr>
                <w:rFonts w:cs="宋体"/>
                <w:color w:val="auto"/>
                <w:highlight w:val="none"/>
                <w:lang w:val="fr-FR"/>
              </w:rPr>
            </w:pPr>
            <w:r>
              <w:rPr>
                <w:rFonts w:hint="eastAsia" w:cs="宋体"/>
                <w:color w:val="auto"/>
                <w:highlight w:val="none"/>
                <w:lang w:val="fr-FR"/>
              </w:rPr>
              <w:t>点次</w:t>
            </w:r>
          </w:p>
        </w:tc>
        <w:tc>
          <w:tcPr>
            <w:tcW w:w="1660" w:type="pct"/>
            <w:shd w:val="clear" w:color="auto" w:fill="auto"/>
            <w:vAlign w:val="center"/>
          </w:tcPr>
          <w:p w14:paraId="7C86A392">
            <w:pPr>
              <w:pStyle w:val="7"/>
              <w:ind w:left="0" w:leftChars="0" w:firstLine="0" w:firstLineChars="0"/>
              <w:jc w:val="center"/>
              <w:rPr>
                <w:rFonts w:cs="宋体"/>
                <w:color w:val="auto"/>
                <w:highlight w:val="none"/>
                <w:lang w:val="fr-FR"/>
              </w:rPr>
            </w:pPr>
            <w:r>
              <w:rPr>
                <w:rFonts w:hint="eastAsia" w:cs="宋体"/>
                <w:color w:val="auto"/>
                <w:highlight w:val="none"/>
                <w:lang w:val="fr-FR"/>
              </w:rPr>
              <w:t>216</w:t>
            </w:r>
          </w:p>
        </w:tc>
      </w:tr>
    </w:tbl>
    <w:p w14:paraId="4D3668C2">
      <w:pPr>
        <w:pStyle w:val="7"/>
        <w:ind w:firstLine="480"/>
        <w:rPr>
          <w:rFonts w:hint="eastAsia" w:cs="宋体"/>
          <w:color w:val="auto"/>
          <w:highlight w:val="none"/>
          <w:lang w:val="fr-FR"/>
        </w:rPr>
      </w:pPr>
    </w:p>
    <w:p w14:paraId="3890D9F1">
      <w:pPr>
        <w:pStyle w:val="7"/>
        <w:ind w:firstLine="480"/>
        <w:rPr>
          <w:rFonts w:hint="eastAsia" w:ascii="宋体" w:hAnsi="宋体" w:eastAsia="宋体" w:cs="宋体"/>
          <w:b/>
          <w:bCs/>
          <w:color w:val="auto"/>
          <w:highlight w:val="none"/>
          <w:lang w:val="fr-FR" w:eastAsia="zh-CN"/>
        </w:rPr>
      </w:pPr>
      <w:bookmarkStart w:id="87" w:name="_Toc219638202"/>
      <w:r>
        <w:rPr>
          <w:rFonts w:hint="eastAsia" w:ascii="宋体" w:hAnsi="宋体" w:eastAsia="宋体" w:cs="宋体"/>
          <w:b/>
          <w:bCs/>
          <w:color w:val="auto"/>
          <w:highlight w:val="none"/>
          <w:lang w:val="fr-FR" w:eastAsia="zh-CN"/>
        </w:rPr>
        <w:t>（</w:t>
      </w: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lang w:val="fr-FR" w:eastAsia="zh-CN"/>
        </w:rPr>
        <w:t>）侯村乡园子村崩塌地质灾害治理工程</w:t>
      </w:r>
      <w:bookmarkEnd w:id="87"/>
    </w:p>
    <w:p w14:paraId="3A4CE40D">
      <w:pPr>
        <w:pStyle w:val="7"/>
        <w:ind w:firstLine="480"/>
        <w:rPr>
          <w:rFonts w:cs="宋体"/>
          <w:color w:val="auto"/>
          <w:highlight w:val="none"/>
          <w:lang w:val="fr-FR"/>
        </w:rPr>
      </w:pPr>
      <w:r>
        <w:rPr>
          <w:rFonts w:hint="eastAsia" w:cs="宋体"/>
          <w:color w:val="auto"/>
          <w:highlight w:val="none"/>
          <w:lang w:val="fr-FR"/>
        </w:rPr>
        <w:t>1</w:t>
      </w:r>
      <w:r>
        <w:rPr>
          <w:rFonts w:hint="eastAsia" w:cs="宋体"/>
          <w:color w:val="auto"/>
          <w:highlight w:val="none"/>
          <w:lang w:val="en-US" w:eastAsia="zh-CN"/>
        </w:rPr>
        <w:t>.</w:t>
      </w:r>
      <w:r>
        <w:rPr>
          <w:rFonts w:cs="宋体"/>
          <w:color w:val="auto"/>
          <w:highlight w:val="none"/>
          <w:lang w:val="fr-FR"/>
        </w:rPr>
        <w:t>目的与任务</w:t>
      </w:r>
    </w:p>
    <w:p w14:paraId="2BF8B3D8">
      <w:pPr>
        <w:pStyle w:val="7"/>
        <w:ind w:firstLine="480"/>
        <w:rPr>
          <w:rFonts w:cs="宋体"/>
          <w:color w:val="auto"/>
          <w:highlight w:val="none"/>
          <w:lang w:val="fr-FR"/>
        </w:rPr>
      </w:pPr>
      <w:r>
        <w:rPr>
          <w:rFonts w:cs="宋体"/>
          <w:color w:val="auto"/>
          <w:highlight w:val="none"/>
          <w:lang w:val="fr-FR"/>
        </w:rPr>
        <w:t>监测的目的，一是为治理提供科学依据，保证施工安全；二是检验治理的效果；三是在治理工程竣工后判定长期稳定状态，了解坡体稳定性变化特征。所以监测工程也就包括施工安全监测、治理效果监测和动态长期监测三方面，以前二者监测为主。在施工期间，监测结果应作为判定坡体稳定状态、指导施工、反馈设计和治理效果检验的重要依据。所布置的监测网点，可供长期动态监测之用。</w:t>
      </w:r>
    </w:p>
    <w:p w14:paraId="6BD5B68E">
      <w:pPr>
        <w:pStyle w:val="7"/>
        <w:ind w:firstLine="480"/>
        <w:rPr>
          <w:rFonts w:cs="宋体"/>
          <w:color w:val="auto"/>
          <w:highlight w:val="none"/>
          <w:lang w:val="fr-FR"/>
        </w:rPr>
      </w:pPr>
      <w:r>
        <w:rPr>
          <w:rFonts w:hint="eastAsia" w:cs="宋体"/>
          <w:color w:val="auto"/>
          <w:highlight w:val="none"/>
          <w:lang w:val="en-US" w:eastAsia="zh-CN"/>
        </w:rPr>
        <w:t>2.</w:t>
      </w:r>
      <w:r>
        <w:rPr>
          <w:rFonts w:cs="宋体"/>
          <w:color w:val="auto"/>
          <w:highlight w:val="none"/>
          <w:lang w:val="fr-FR"/>
        </w:rPr>
        <w:t>监测工程设计</w:t>
      </w:r>
    </w:p>
    <w:p w14:paraId="292E1756">
      <w:pPr>
        <w:pStyle w:val="7"/>
        <w:ind w:firstLine="480"/>
        <w:rPr>
          <w:rFonts w:cs="宋体"/>
          <w:color w:val="auto"/>
          <w:highlight w:val="none"/>
          <w:lang w:val="fr-FR"/>
        </w:rPr>
      </w:pPr>
      <w:r>
        <w:rPr>
          <w:rFonts w:cs="宋体"/>
          <w:color w:val="auto"/>
          <w:highlight w:val="none"/>
          <w:lang w:val="fr-FR"/>
        </w:rPr>
        <w:t>根据现场勘查和治理工程方案，对不稳定斜坡进行监测，同时在周边相对稳定区布设个监测基准点，建立监测网，对治理工程布设监测点。</w:t>
      </w:r>
    </w:p>
    <w:p w14:paraId="78728195">
      <w:pPr>
        <w:pStyle w:val="7"/>
        <w:ind w:firstLine="480"/>
        <w:rPr>
          <w:rFonts w:cs="宋体"/>
          <w:color w:val="auto"/>
          <w:highlight w:val="none"/>
          <w:lang w:val="fr-FR"/>
        </w:rPr>
      </w:pPr>
      <w:r>
        <w:rPr>
          <w:rFonts w:cs="宋体"/>
          <w:color w:val="auto"/>
          <w:highlight w:val="none"/>
          <w:lang w:val="fr-FR"/>
        </w:rPr>
        <w:t>监测包括水平位移和垂直位移的监测。采用经纬仪、水准仪或光电测距仪，在测站重复观测各观测点的位移方向和水平、铅直距离，以此来判定位移及其随时间变化的情况，监测结果应做好相应的记录，并绘制位移—时间关系曲线图。</w:t>
      </w:r>
    </w:p>
    <w:p w14:paraId="67072901">
      <w:pPr>
        <w:pStyle w:val="7"/>
        <w:ind w:firstLine="480"/>
        <w:rPr>
          <w:rFonts w:cs="宋体"/>
          <w:color w:val="auto"/>
          <w:highlight w:val="none"/>
          <w:lang w:val="fr-FR"/>
        </w:rPr>
      </w:pPr>
      <w:r>
        <w:rPr>
          <w:rFonts w:cs="宋体"/>
          <w:color w:val="auto"/>
          <w:highlight w:val="none"/>
          <w:lang w:val="fr-FR"/>
        </w:rPr>
        <w:t>监测目的是保证治理施工安全，检验治理效果，包括施工期间安全监测和竣工后的治理效果监测。监测工程应由第三方具有相应资质的单位进行。</w:t>
      </w:r>
    </w:p>
    <w:p w14:paraId="3A9294AF">
      <w:pPr>
        <w:pStyle w:val="7"/>
        <w:ind w:firstLine="480"/>
        <w:rPr>
          <w:rFonts w:cs="宋体"/>
          <w:color w:val="auto"/>
          <w:highlight w:val="none"/>
          <w:lang w:val="fr-FR"/>
        </w:rPr>
      </w:pPr>
      <w:r>
        <w:rPr>
          <w:rFonts w:hint="eastAsia" w:cs="宋体"/>
          <w:color w:val="auto"/>
          <w:highlight w:val="none"/>
          <w:lang w:val="fr-FR"/>
        </w:rPr>
        <w:t>测量精度不小于1mm，监测报警值为坡顶水平位移已大于边坡高度的1/500或20mm，以及其水平位移速度已连续3d大于2mm/d。</w:t>
      </w:r>
    </w:p>
    <w:p w14:paraId="0668B8E3">
      <w:pPr>
        <w:pStyle w:val="7"/>
        <w:ind w:firstLine="480"/>
        <w:rPr>
          <w:rFonts w:cs="宋体"/>
          <w:color w:val="auto"/>
          <w:highlight w:val="none"/>
          <w:lang w:val="fr-FR"/>
        </w:rPr>
      </w:pPr>
      <w:r>
        <w:rPr>
          <w:rFonts w:hint="eastAsia" w:cs="宋体"/>
          <w:color w:val="auto"/>
          <w:highlight w:val="none"/>
          <w:lang w:val="fr-FR"/>
        </w:rPr>
        <w:t>边坡</w:t>
      </w:r>
      <w:r>
        <w:rPr>
          <w:rFonts w:cs="宋体"/>
          <w:color w:val="auto"/>
          <w:highlight w:val="none"/>
          <w:lang w:val="fr-FR"/>
        </w:rPr>
        <w:t>布设基准点</w:t>
      </w:r>
      <w:r>
        <w:rPr>
          <w:rFonts w:hint="eastAsia" w:cs="宋体"/>
          <w:color w:val="auto"/>
          <w:highlight w:val="none"/>
          <w:lang w:val="fr-FR"/>
        </w:rPr>
        <w:t>3</w:t>
      </w:r>
      <w:r>
        <w:rPr>
          <w:rFonts w:cs="宋体"/>
          <w:color w:val="auto"/>
          <w:highlight w:val="none"/>
          <w:lang w:val="fr-FR"/>
        </w:rPr>
        <w:t>个，施工安全监测点</w:t>
      </w:r>
      <w:r>
        <w:rPr>
          <w:rFonts w:hint="eastAsia" w:cs="宋体"/>
          <w:color w:val="auto"/>
          <w:highlight w:val="none"/>
          <w:lang w:val="fr-FR"/>
        </w:rPr>
        <w:t>3</w:t>
      </w:r>
      <w:r>
        <w:rPr>
          <w:rFonts w:cs="宋体"/>
          <w:color w:val="auto"/>
          <w:highlight w:val="none"/>
          <w:lang w:val="fr-FR"/>
        </w:rPr>
        <w:t>个，治理效果监测点</w:t>
      </w:r>
      <w:r>
        <w:rPr>
          <w:rFonts w:hint="eastAsia" w:cs="宋体"/>
          <w:color w:val="auto"/>
          <w:highlight w:val="none"/>
          <w:lang w:val="fr-FR"/>
        </w:rPr>
        <w:t>6</w:t>
      </w:r>
      <w:r>
        <w:rPr>
          <w:rFonts w:cs="宋体"/>
          <w:color w:val="auto"/>
          <w:highlight w:val="none"/>
          <w:lang w:val="fr-FR"/>
        </w:rPr>
        <w:t>个，施工安全监测时间为</w:t>
      </w:r>
      <w:r>
        <w:rPr>
          <w:rFonts w:hint="eastAsia" w:cs="宋体"/>
          <w:color w:val="auto"/>
          <w:highlight w:val="none"/>
          <w:lang w:val="fr-FR"/>
        </w:rPr>
        <w:t>3</w:t>
      </w:r>
      <w:r>
        <w:rPr>
          <w:rFonts w:cs="宋体"/>
          <w:color w:val="auto"/>
          <w:highlight w:val="none"/>
          <w:lang w:val="fr-FR"/>
        </w:rPr>
        <w:t>个月，观测频率为1天1次，共</w:t>
      </w:r>
      <w:r>
        <w:rPr>
          <w:rFonts w:hint="eastAsia" w:cs="宋体"/>
          <w:color w:val="auto"/>
          <w:highlight w:val="none"/>
          <w:lang w:val="fr-FR"/>
        </w:rPr>
        <w:t>270</w:t>
      </w:r>
      <w:r>
        <w:rPr>
          <w:rFonts w:cs="宋体"/>
          <w:color w:val="auto"/>
          <w:highlight w:val="none"/>
          <w:lang w:val="fr-FR"/>
        </w:rPr>
        <w:t>点次</w:t>
      </w:r>
      <w:r>
        <w:rPr>
          <w:rFonts w:hint="eastAsia" w:cs="宋体"/>
          <w:color w:val="auto"/>
          <w:highlight w:val="none"/>
          <w:lang w:val="fr-FR"/>
        </w:rPr>
        <w:t>，在施工期间必须辅以人工目视巡查，查看是否有明显地裂缝等坡体变形特征和危岩体、危土体等其它可能存在的施工安全问题</w:t>
      </w:r>
      <w:r>
        <w:rPr>
          <w:rFonts w:cs="宋体"/>
          <w:color w:val="auto"/>
          <w:highlight w:val="none"/>
          <w:lang w:val="fr-FR"/>
        </w:rPr>
        <w:t>。治理效果监测时间为治理工程竣工后1个水文年，观测频率为10天一次，共</w:t>
      </w:r>
      <w:r>
        <w:rPr>
          <w:rFonts w:hint="eastAsia" w:cs="宋体"/>
          <w:color w:val="auto"/>
          <w:highlight w:val="none"/>
          <w:lang w:val="fr-FR"/>
        </w:rPr>
        <w:t>216</w:t>
      </w:r>
      <w:r>
        <w:rPr>
          <w:rFonts w:cs="宋体"/>
          <w:color w:val="auto"/>
          <w:highlight w:val="none"/>
          <w:lang w:val="fr-FR"/>
        </w:rPr>
        <w:t>点次，雨季或有变形时加密观测。</w:t>
      </w:r>
    </w:p>
    <w:p w14:paraId="272C656C">
      <w:pPr>
        <w:pStyle w:val="7"/>
        <w:ind w:left="0" w:leftChars="0" w:firstLine="0" w:firstLineChars="0"/>
        <w:jc w:val="center"/>
        <w:rPr>
          <w:rFonts w:cs="宋体"/>
          <w:color w:val="auto"/>
          <w:highlight w:val="none"/>
          <w:lang w:val="fr-FR"/>
        </w:rPr>
      </w:pPr>
      <w:r>
        <w:rPr>
          <w:rFonts w:hint="eastAsia" w:cs="宋体"/>
          <w:color w:val="auto"/>
          <w:highlight w:val="none"/>
          <w:lang w:val="fr-FR"/>
        </w:rPr>
        <w:t>监测</w:t>
      </w:r>
      <w:r>
        <w:rPr>
          <w:rFonts w:cs="宋体"/>
          <w:color w:val="auto"/>
          <w:highlight w:val="none"/>
          <w:lang w:val="fr-FR"/>
        </w:rPr>
        <w:t>工程量表</w:t>
      </w:r>
    </w:p>
    <w:tbl>
      <w:tblPr>
        <w:tblStyle w:val="1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057"/>
        <w:gridCol w:w="2116"/>
        <w:gridCol w:w="3069"/>
      </w:tblGrid>
      <w:tr w14:paraId="5BACB0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03A2D161">
            <w:pPr>
              <w:pStyle w:val="7"/>
              <w:ind w:left="0" w:leftChars="0" w:firstLine="0" w:firstLineChars="0"/>
              <w:jc w:val="center"/>
              <w:rPr>
                <w:rFonts w:cs="宋体"/>
                <w:color w:val="auto"/>
                <w:highlight w:val="none"/>
                <w:lang w:val="fr-FR"/>
              </w:rPr>
            </w:pPr>
            <w:r>
              <w:rPr>
                <w:rFonts w:hint="eastAsia" w:cs="宋体"/>
                <w:color w:val="auto"/>
                <w:highlight w:val="none"/>
                <w:lang w:val="fr-FR"/>
              </w:rPr>
              <w:t>工程或费用名称</w:t>
            </w:r>
          </w:p>
        </w:tc>
        <w:tc>
          <w:tcPr>
            <w:tcW w:w="1145" w:type="pct"/>
            <w:shd w:val="clear" w:color="auto" w:fill="auto"/>
            <w:vAlign w:val="center"/>
          </w:tcPr>
          <w:p w14:paraId="6C1DDADC">
            <w:pPr>
              <w:pStyle w:val="7"/>
              <w:ind w:left="0" w:leftChars="0" w:firstLine="0" w:firstLineChars="0"/>
              <w:jc w:val="center"/>
              <w:rPr>
                <w:rFonts w:cs="宋体"/>
                <w:color w:val="auto"/>
                <w:highlight w:val="none"/>
                <w:lang w:val="fr-FR"/>
              </w:rPr>
            </w:pPr>
            <w:r>
              <w:rPr>
                <w:rFonts w:hint="eastAsia" w:cs="宋体"/>
                <w:color w:val="auto"/>
                <w:highlight w:val="none"/>
                <w:lang w:val="fr-FR"/>
              </w:rPr>
              <w:t>单位</w:t>
            </w:r>
          </w:p>
        </w:tc>
        <w:tc>
          <w:tcPr>
            <w:tcW w:w="1660" w:type="pct"/>
            <w:shd w:val="clear" w:color="auto" w:fill="auto"/>
            <w:vAlign w:val="center"/>
          </w:tcPr>
          <w:p w14:paraId="2636CF16">
            <w:pPr>
              <w:pStyle w:val="7"/>
              <w:ind w:left="0" w:leftChars="0" w:firstLine="0" w:firstLineChars="0"/>
              <w:jc w:val="center"/>
              <w:rPr>
                <w:rFonts w:cs="宋体"/>
                <w:color w:val="auto"/>
                <w:highlight w:val="none"/>
                <w:lang w:val="fr-FR"/>
              </w:rPr>
            </w:pPr>
            <w:r>
              <w:rPr>
                <w:rFonts w:hint="eastAsia" w:cs="宋体"/>
                <w:color w:val="auto"/>
                <w:highlight w:val="none"/>
                <w:lang w:val="fr-FR"/>
              </w:rPr>
              <w:t>数量</w:t>
            </w:r>
          </w:p>
        </w:tc>
      </w:tr>
      <w:tr w14:paraId="22CC32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5886E597">
            <w:pPr>
              <w:pStyle w:val="7"/>
              <w:ind w:left="0" w:leftChars="0" w:firstLine="0" w:firstLineChars="0"/>
              <w:jc w:val="center"/>
              <w:rPr>
                <w:rFonts w:cs="宋体"/>
                <w:color w:val="auto"/>
                <w:highlight w:val="none"/>
                <w:lang w:val="fr-FR"/>
              </w:rPr>
            </w:pPr>
            <w:r>
              <w:rPr>
                <w:rFonts w:hint="eastAsia" w:cs="宋体"/>
                <w:color w:val="auto"/>
                <w:highlight w:val="none"/>
                <w:lang w:val="fr-FR"/>
              </w:rPr>
              <w:t>基准点</w:t>
            </w:r>
          </w:p>
        </w:tc>
        <w:tc>
          <w:tcPr>
            <w:tcW w:w="1145" w:type="pct"/>
            <w:shd w:val="clear" w:color="auto" w:fill="auto"/>
            <w:vAlign w:val="center"/>
          </w:tcPr>
          <w:p w14:paraId="4525D5AE">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7662FB84">
            <w:pPr>
              <w:pStyle w:val="7"/>
              <w:ind w:left="0" w:leftChars="0" w:firstLine="0" w:firstLineChars="0"/>
              <w:jc w:val="center"/>
              <w:rPr>
                <w:rFonts w:cs="宋体"/>
                <w:color w:val="auto"/>
                <w:highlight w:val="none"/>
                <w:lang w:val="fr-FR"/>
              </w:rPr>
            </w:pPr>
            <w:r>
              <w:rPr>
                <w:rFonts w:hint="eastAsia" w:cs="宋体"/>
                <w:color w:val="auto"/>
                <w:highlight w:val="none"/>
                <w:lang w:val="fr-FR"/>
              </w:rPr>
              <w:t>3</w:t>
            </w:r>
          </w:p>
        </w:tc>
      </w:tr>
      <w:tr w14:paraId="112274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2866E726">
            <w:pPr>
              <w:pStyle w:val="7"/>
              <w:ind w:left="0" w:leftChars="0" w:firstLine="0" w:firstLineChars="0"/>
              <w:jc w:val="center"/>
              <w:rPr>
                <w:rFonts w:cs="宋体"/>
                <w:color w:val="auto"/>
                <w:highlight w:val="none"/>
                <w:lang w:val="fr-FR"/>
              </w:rPr>
            </w:pPr>
            <w:r>
              <w:rPr>
                <w:rFonts w:hint="eastAsia" w:cs="宋体"/>
                <w:color w:val="auto"/>
                <w:highlight w:val="none"/>
                <w:lang w:val="fr-FR"/>
              </w:rPr>
              <w:t>施工安全监测点</w:t>
            </w:r>
          </w:p>
        </w:tc>
        <w:tc>
          <w:tcPr>
            <w:tcW w:w="1145" w:type="pct"/>
            <w:shd w:val="clear" w:color="auto" w:fill="auto"/>
            <w:vAlign w:val="center"/>
          </w:tcPr>
          <w:p w14:paraId="3E27BCDF">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2ABA3746">
            <w:pPr>
              <w:pStyle w:val="7"/>
              <w:ind w:left="0" w:leftChars="0" w:firstLine="0" w:firstLineChars="0"/>
              <w:jc w:val="center"/>
              <w:rPr>
                <w:rFonts w:cs="宋体"/>
                <w:color w:val="auto"/>
                <w:highlight w:val="none"/>
                <w:lang w:val="fr-FR"/>
              </w:rPr>
            </w:pPr>
            <w:r>
              <w:rPr>
                <w:rFonts w:hint="eastAsia" w:cs="宋体"/>
                <w:color w:val="auto"/>
                <w:highlight w:val="none"/>
                <w:lang w:val="fr-FR"/>
              </w:rPr>
              <w:t>3</w:t>
            </w:r>
          </w:p>
        </w:tc>
      </w:tr>
      <w:tr w14:paraId="614BFA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3719A86B">
            <w:pPr>
              <w:pStyle w:val="7"/>
              <w:ind w:left="0" w:leftChars="0" w:firstLine="0" w:firstLineChars="0"/>
              <w:jc w:val="center"/>
              <w:rPr>
                <w:rFonts w:cs="宋体"/>
                <w:color w:val="auto"/>
                <w:highlight w:val="none"/>
                <w:lang w:val="fr-FR"/>
              </w:rPr>
            </w:pPr>
            <w:r>
              <w:rPr>
                <w:rFonts w:hint="eastAsia" w:cs="宋体"/>
                <w:color w:val="auto"/>
                <w:highlight w:val="none"/>
                <w:lang w:val="fr-FR"/>
              </w:rPr>
              <w:t>治理效果监测点</w:t>
            </w:r>
          </w:p>
        </w:tc>
        <w:tc>
          <w:tcPr>
            <w:tcW w:w="1145" w:type="pct"/>
            <w:shd w:val="clear" w:color="auto" w:fill="auto"/>
            <w:vAlign w:val="center"/>
          </w:tcPr>
          <w:p w14:paraId="289B6495">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1828C009">
            <w:pPr>
              <w:pStyle w:val="7"/>
              <w:ind w:left="0" w:leftChars="0" w:firstLine="0" w:firstLineChars="0"/>
              <w:jc w:val="center"/>
              <w:rPr>
                <w:rFonts w:cs="宋体"/>
                <w:color w:val="auto"/>
                <w:highlight w:val="none"/>
                <w:lang w:val="fr-FR"/>
              </w:rPr>
            </w:pPr>
            <w:r>
              <w:rPr>
                <w:rFonts w:hint="eastAsia" w:cs="宋体"/>
                <w:color w:val="auto"/>
                <w:highlight w:val="none"/>
                <w:lang w:val="fr-FR"/>
              </w:rPr>
              <w:t>6</w:t>
            </w:r>
          </w:p>
        </w:tc>
      </w:tr>
      <w:tr w14:paraId="040B25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6CE0D443">
            <w:pPr>
              <w:pStyle w:val="7"/>
              <w:ind w:left="0" w:leftChars="0" w:firstLine="0" w:firstLineChars="0"/>
              <w:jc w:val="center"/>
              <w:rPr>
                <w:rFonts w:cs="宋体"/>
                <w:color w:val="auto"/>
                <w:highlight w:val="none"/>
                <w:lang w:val="fr-FR"/>
              </w:rPr>
            </w:pPr>
            <w:r>
              <w:rPr>
                <w:rFonts w:hint="eastAsia" w:cs="宋体"/>
                <w:color w:val="auto"/>
                <w:highlight w:val="none"/>
                <w:lang w:val="fr-FR"/>
              </w:rPr>
              <w:t>施工安全监测</w:t>
            </w:r>
          </w:p>
        </w:tc>
        <w:tc>
          <w:tcPr>
            <w:tcW w:w="1145" w:type="pct"/>
            <w:shd w:val="clear" w:color="auto" w:fill="auto"/>
            <w:vAlign w:val="center"/>
          </w:tcPr>
          <w:p w14:paraId="2134180D">
            <w:pPr>
              <w:pStyle w:val="7"/>
              <w:ind w:left="0" w:leftChars="0" w:firstLine="0" w:firstLineChars="0"/>
              <w:jc w:val="center"/>
              <w:rPr>
                <w:rFonts w:cs="宋体"/>
                <w:color w:val="auto"/>
                <w:highlight w:val="none"/>
                <w:lang w:val="fr-FR"/>
              </w:rPr>
            </w:pPr>
            <w:r>
              <w:rPr>
                <w:rFonts w:hint="eastAsia" w:cs="宋体"/>
                <w:color w:val="auto"/>
                <w:highlight w:val="none"/>
                <w:lang w:val="fr-FR"/>
              </w:rPr>
              <w:t>点次</w:t>
            </w:r>
          </w:p>
        </w:tc>
        <w:tc>
          <w:tcPr>
            <w:tcW w:w="1660" w:type="pct"/>
            <w:shd w:val="clear" w:color="auto" w:fill="auto"/>
            <w:vAlign w:val="center"/>
          </w:tcPr>
          <w:p w14:paraId="61E0B725">
            <w:pPr>
              <w:pStyle w:val="7"/>
              <w:ind w:left="0" w:leftChars="0" w:firstLine="0" w:firstLineChars="0"/>
              <w:jc w:val="center"/>
              <w:rPr>
                <w:rFonts w:cs="宋体"/>
                <w:color w:val="auto"/>
                <w:highlight w:val="none"/>
                <w:lang w:val="fr-FR"/>
              </w:rPr>
            </w:pPr>
            <w:r>
              <w:rPr>
                <w:rFonts w:hint="eastAsia" w:cs="宋体"/>
                <w:color w:val="auto"/>
                <w:highlight w:val="none"/>
                <w:lang w:val="fr-FR"/>
              </w:rPr>
              <w:t>270</w:t>
            </w:r>
          </w:p>
        </w:tc>
      </w:tr>
      <w:tr w14:paraId="233710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5CAE2CF5">
            <w:pPr>
              <w:pStyle w:val="7"/>
              <w:ind w:left="0" w:leftChars="0" w:firstLine="0" w:firstLineChars="0"/>
              <w:jc w:val="center"/>
              <w:rPr>
                <w:rFonts w:cs="宋体"/>
                <w:color w:val="auto"/>
                <w:highlight w:val="none"/>
                <w:lang w:val="fr-FR"/>
              </w:rPr>
            </w:pPr>
            <w:r>
              <w:rPr>
                <w:rFonts w:hint="eastAsia" w:cs="宋体"/>
                <w:color w:val="auto"/>
                <w:highlight w:val="none"/>
                <w:lang w:val="fr-FR"/>
              </w:rPr>
              <w:t>治理效果监测</w:t>
            </w:r>
          </w:p>
        </w:tc>
        <w:tc>
          <w:tcPr>
            <w:tcW w:w="1145" w:type="pct"/>
            <w:shd w:val="clear" w:color="auto" w:fill="auto"/>
            <w:vAlign w:val="center"/>
          </w:tcPr>
          <w:p w14:paraId="29C35CD1">
            <w:pPr>
              <w:pStyle w:val="7"/>
              <w:ind w:left="0" w:leftChars="0" w:firstLine="0" w:firstLineChars="0"/>
              <w:jc w:val="center"/>
              <w:rPr>
                <w:rFonts w:cs="宋体"/>
                <w:color w:val="auto"/>
                <w:highlight w:val="none"/>
                <w:lang w:val="fr-FR"/>
              </w:rPr>
            </w:pPr>
            <w:r>
              <w:rPr>
                <w:rFonts w:hint="eastAsia" w:cs="宋体"/>
                <w:color w:val="auto"/>
                <w:highlight w:val="none"/>
                <w:lang w:val="fr-FR"/>
              </w:rPr>
              <w:t>点次</w:t>
            </w:r>
          </w:p>
        </w:tc>
        <w:tc>
          <w:tcPr>
            <w:tcW w:w="1660" w:type="pct"/>
            <w:shd w:val="clear" w:color="auto" w:fill="auto"/>
            <w:vAlign w:val="center"/>
          </w:tcPr>
          <w:p w14:paraId="3C5D84D1">
            <w:pPr>
              <w:pStyle w:val="7"/>
              <w:ind w:left="0" w:leftChars="0" w:firstLine="0" w:firstLineChars="0"/>
              <w:jc w:val="center"/>
              <w:rPr>
                <w:rFonts w:cs="宋体"/>
                <w:color w:val="auto"/>
                <w:highlight w:val="none"/>
                <w:lang w:val="fr-FR"/>
              </w:rPr>
            </w:pPr>
            <w:r>
              <w:rPr>
                <w:rFonts w:hint="eastAsia" w:cs="宋体"/>
                <w:color w:val="auto"/>
                <w:highlight w:val="none"/>
                <w:lang w:val="fr-FR"/>
              </w:rPr>
              <w:t>216</w:t>
            </w:r>
          </w:p>
        </w:tc>
      </w:tr>
    </w:tbl>
    <w:p w14:paraId="676BB6FA">
      <w:pPr>
        <w:pStyle w:val="7"/>
        <w:ind w:left="0" w:leftChars="0" w:firstLine="0" w:firstLineChars="0"/>
        <w:jc w:val="center"/>
        <w:rPr>
          <w:rFonts w:cs="宋体"/>
          <w:color w:val="auto"/>
          <w:highlight w:val="none"/>
          <w:lang w:val="fr-FR"/>
        </w:rPr>
      </w:pPr>
    </w:p>
    <w:p w14:paraId="15EF1D5D">
      <w:pPr>
        <w:pStyle w:val="7"/>
        <w:ind w:firstLine="480"/>
        <w:rPr>
          <w:rFonts w:hint="eastAsia" w:ascii="宋体" w:hAnsi="宋体" w:eastAsia="宋体" w:cs="宋体"/>
          <w:b/>
          <w:bCs/>
          <w:color w:val="auto"/>
          <w:highlight w:val="none"/>
          <w:lang w:val="fr-FR" w:eastAsia="zh-CN"/>
        </w:rPr>
      </w:pPr>
      <w:bookmarkStart w:id="88" w:name="_Toc219638203"/>
      <w:r>
        <w:rPr>
          <w:rFonts w:hint="eastAsia" w:ascii="宋体" w:hAnsi="宋体" w:eastAsia="宋体" w:cs="宋体"/>
          <w:b/>
          <w:bCs/>
          <w:color w:val="auto"/>
          <w:highlight w:val="none"/>
          <w:lang w:val="fr-FR" w:eastAsia="zh-CN"/>
        </w:rPr>
        <w:t>（</w:t>
      </w: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val="fr-FR" w:eastAsia="zh-CN"/>
        </w:rPr>
        <w:t>）大盂镇东南窊村崩塌地质灾害治理工程</w:t>
      </w:r>
      <w:bookmarkEnd w:id="88"/>
    </w:p>
    <w:p w14:paraId="579AC784">
      <w:pPr>
        <w:pStyle w:val="7"/>
        <w:ind w:firstLine="480"/>
        <w:rPr>
          <w:rFonts w:cs="宋体"/>
          <w:color w:val="auto"/>
          <w:highlight w:val="none"/>
          <w:lang w:val="fr-FR"/>
        </w:rPr>
      </w:pPr>
      <w:r>
        <w:rPr>
          <w:rFonts w:hint="eastAsia" w:cs="宋体"/>
          <w:color w:val="auto"/>
          <w:highlight w:val="none"/>
          <w:lang w:val="fr-FR"/>
        </w:rPr>
        <w:t>1</w:t>
      </w:r>
      <w:r>
        <w:rPr>
          <w:rFonts w:hint="eastAsia" w:cs="宋体"/>
          <w:color w:val="auto"/>
          <w:highlight w:val="none"/>
          <w:lang w:val="en-US" w:eastAsia="zh-CN"/>
        </w:rPr>
        <w:t>.</w:t>
      </w:r>
      <w:r>
        <w:rPr>
          <w:rFonts w:cs="宋体"/>
          <w:color w:val="auto"/>
          <w:highlight w:val="none"/>
          <w:lang w:val="fr-FR"/>
        </w:rPr>
        <w:t>目的与任务</w:t>
      </w:r>
    </w:p>
    <w:p w14:paraId="64AA0BED">
      <w:pPr>
        <w:pStyle w:val="7"/>
        <w:ind w:firstLine="480"/>
        <w:rPr>
          <w:rFonts w:cs="宋体"/>
          <w:color w:val="auto"/>
          <w:highlight w:val="none"/>
          <w:lang w:val="fr-FR"/>
        </w:rPr>
      </w:pPr>
      <w:r>
        <w:rPr>
          <w:rFonts w:cs="宋体"/>
          <w:color w:val="auto"/>
          <w:highlight w:val="none"/>
          <w:lang w:val="fr-FR"/>
        </w:rPr>
        <w:t>监测的目的，一是为治理提供科学依据，保证施工安全；二是检验治理的效果；三是在治理工程竣工后判定长期稳定状态，了解坡体稳定性变化特征。所以监测工程也就包括施工安全监测、治理效果监测和动态长期监测三方面，以前二者监测为主。在施工期间，监测结果应作为判定坡体稳定状态、指导施工、反馈设计和治理效果检验的重要依据。所布置的监测网点，可供长期动态监测之用。</w:t>
      </w:r>
    </w:p>
    <w:p w14:paraId="4651CC72">
      <w:pPr>
        <w:pStyle w:val="7"/>
        <w:ind w:firstLine="480"/>
        <w:rPr>
          <w:rFonts w:cs="宋体"/>
          <w:color w:val="auto"/>
          <w:highlight w:val="none"/>
          <w:lang w:val="fr-FR"/>
        </w:rPr>
      </w:pPr>
      <w:r>
        <w:rPr>
          <w:rFonts w:hint="eastAsia" w:cs="宋体"/>
          <w:color w:val="auto"/>
          <w:highlight w:val="none"/>
          <w:lang w:val="fr-FR"/>
        </w:rPr>
        <w:t>2</w:t>
      </w:r>
      <w:r>
        <w:rPr>
          <w:rFonts w:hint="eastAsia" w:cs="宋体"/>
          <w:color w:val="auto"/>
          <w:highlight w:val="none"/>
          <w:lang w:val="en-US" w:eastAsia="zh-CN"/>
        </w:rPr>
        <w:t>.</w:t>
      </w:r>
      <w:r>
        <w:rPr>
          <w:rFonts w:cs="宋体"/>
          <w:color w:val="auto"/>
          <w:highlight w:val="none"/>
          <w:lang w:val="fr-FR"/>
        </w:rPr>
        <w:t>监测工程设计</w:t>
      </w:r>
    </w:p>
    <w:p w14:paraId="6B147B07">
      <w:pPr>
        <w:pStyle w:val="7"/>
        <w:ind w:firstLine="480"/>
        <w:rPr>
          <w:rFonts w:cs="宋体"/>
          <w:color w:val="auto"/>
          <w:highlight w:val="none"/>
          <w:lang w:val="fr-FR"/>
        </w:rPr>
      </w:pPr>
      <w:r>
        <w:rPr>
          <w:rFonts w:cs="宋体"/>
          <w:color w:val="auto"/>
          <w:highlight w:val="none"/>
          <w:lang w:val="fr-FR"/>
        </w:rPr>
        <w:t>根据现场勘查和治理工程方案，对不稳定斜坡进行监测，同时在周边相对稳定区布设监测基准点，建立监测网，对治理工程布设监测点。</w:t>
      </w:r>
    </w:p>
    <w:p w14:paraId="23AA1663">
      <w:pPr>
        <w:pStyle w:val="7"/>
        <w:ind w:firstLine="480"/>
        <w:rPr>
          <w:rFonts w:cs="宋体"/>
          <w:color w:val="auto"/>
          <w:highlight w:val="none"/>
          <w:lang w:val="fr-FR"/>
        </w:rPr>
      </w:pPr>
      <w:r>
        <w:rPr>
          <w:rFonts w:cs="宋体"/>
          <w:color w:val="auto"/>
          <w:highlight w:val="none"/>
          <w:lang w:val="fr-FR"/>
        </w:rPr>
        <w:t>监测包括水平位移和垂直位移的监测。采用经纬仪、水准仪或光电测距仪，在测站重复观测各观测点的位移方向和水平、铅直距离，以此来判定位移及其随时间变化的情况，监测结果应做好相应的记录，并绘制位移—时间关系曲线图。</w:t>
      </w:r>
    </w:p>
    <w:p w14:paraId="1F5A94E5">
      <w:pPr>
        <w:pStyle w:val="7"/>
        <w:ind w:firstLine="480"/>
        <w:rPr>
          <w:rFonts w:cs="宋体"/>
          <w:color w:val="auto"/>
          <w:highlight w:val="none"/>
          <w:lang w:val="fr-FR"/>
        </w:rPr>
      </w:pPr>
      <w:r>
        <w:rPr>
          <w:rFonts w:cs="宋体"/>
          <w:color w:val="auto"/>
          <w:highlight w:val="none"/>
          <w:lang w:val="fr-FR"/>
        </w:rPr>
        <w:t>监测目的是保证治理施工安全，检验治理效果，包括施工期间安全监测和竣工后的治理效果监测。监测工程应由第三方具有相应资质的单位进行。</w:t>
      </w:r>
    </w:p>
    <w:p w14:paraId="5ED06AC0">
      <w:pPr>
        <w:pStyle w:val="7"/>
        <w:ind w:firstLine="480"/>
        <w:rPr>
          <w:rFonts w:cs="宋体"/>
          <w:color w:val="auto"/>
          <w:highlight w:val="none"/>
          <w:lang w:val="fr-FR"/>
        </w:rPr>
      </w:pPr>
      <w:r>
        <w:rPr>
          <w:rFonts w:hint="eastAsia" w:cs="宋体"/>
          <w:color w:val="auto"/>
          <w:highlight w:val="none"/>
          <w:lang w:val="fr-FR"/>
        </w:rPr>
        <w:t>测量精度不小于1mm，监测报警值为坡顶水平位移已大于边坡高度的1/500或20mm，以及其水平位移速度已连续3d大于2mm/d。</w:t>
      </w:r>
    </w:p>
    <w:p w14:paraId="48752026">
      <w:pPr>
        <w:pStyle w:val="7"/>
        <w:ind w:firstLine="480"/>
        <w:rPr>
          <w:rFonts w:cs="宋体"/>
          <w:color w:val="auto"/>
          <w:highlight w:val="none"/>
          <w:lang w:val="fr-FR"/>
        </w:rPr>
      </w:pPr>
      <w:r>
        <w:rPr>
          <w:rFonts w:hint="eastAsia" w:cs="宋体"/>
          <w:color w:val="auto"/>
          <w:highlight w:val="none"/>
          <w:lang w:val="fr-FR"/>
        </w:rPr>
        <w:t>东侧边坡</w:t>
      </w:r>
      <w:r>
        <w:rPr>
          <w:rFonts w:cs="宋体"/>
          <w:color w:val="auto"/>
          <w:highlight w:val="none"/>
          <w:lang w:val="fr-FR"/>
        </w:rPr>
        <w:t>布设基准点</w:t>
      </w:r>
      <w:r>
        <w:rPr>
          <w:rFonts w:hint="eastAsia" w:cs="宋体"/>
          <w:color w:val="auto"/>
          <w:highlight w:val="none"/>
          <w:lang w:val="fr-FR"/>
        </w:rPr>
        <w:t>3</w:t>
      </w:r>
      <w:r>
        <w:rPr>
          <w:rFonts w:cs="宋体"/>
          <w:color w:val="auto"/>
          <w:highlight w:val="none"/>
          <w:lang w:val="fr-FR"/>
        </w:rPr>
        <w:t>个，施工安全监测点</w:t>
      </w:r>
      <w:r>
        <w:rPr>
          <w:rFonts w:hint="eastAsia" w:cs="宋体"/>
          <w:color w:val="auto"/>
          <w:highlight w:val="none"/>
          <w:lang w:val="fr-FR"/>
        </w:rPr>
        <w:t>4</w:t>
      </w:r>
      <w:r>
        <w:rPr>
          <w:rFonts w:cs="宋体"/>
          <w:color w:val="auto"/>
          <w:highlight w:val="none"/>
          <w:lang w:val="fr-FR"/>
        </w:rPr>
        <w:t>个，治理效果监测点</w:t>
      </w:r>
      <w:r>
        <w:rPr>
          <w:rFonts w:hint="eastAsia" w:cs="宋体"/>
          <w:color w:val="auto"/>
          <w:highlight w:val="none"/>
          <w:lang w:val="fr-FR"/>
        </w:rPr>
        <w:t>8</w:t>
      </w:r>
      <w:r>
        <w:rPr>
          <w:rFonts w:cs="宋体"/>
          <w:color w:val="auto"/>
          <w:highlight w:val="none"/>
          <w:lang w:val="fr-FR"/>
        </w:rPr>
        <w:t>个，施工安全监测时间为</w:t>
      </w:r>
      <w:r>
        <w:rPr>
          <w:rFonts w:hint="eastAsia" w:cs="宋体"/>
          <w:color w:val="auto"/>
          <w:highlight w:val="none"/>
          <w:lang w:val="fr-FR"/>
        </w:rPr>
        <w:t>2</w:t>
      </w:r>
      <w:r>
        <w:rPr>
          <w:rFonts w:cs="宋体"/>
          <w:color w:val="auto"/>
          <w:highlight w:val="none"/>
          <w:lang w:val="fr-FR"/>
        </w:rPr>
        <w:t>个月，观测频率为1天1次，共</w:t>
      </w:r>
      <w:r>
        <w:rPr>
          <w:rFonts w:hint="eastAsia" w:cs="宋体"/>
          <w:color w:val="auto"/>
          <w:highlight w:val="none"/>
          <w:lang w:val="fr-FR"/>
        </w:rPr>
        <w:t>240</w:t>
      </w:r>
      <w:r>
        <w:rPr>
          <w:rFonts w:cs="宋体"/>
          <w:color w:val="auto"/>
          <w:highlight w:val="none"/>
          <w:lang w:val="fr-FR"/>
        </w:rPr>
        <w:t>点次</w:t>
      </w:r>
      <w:r>
        <w:rPr>
          <w:rFonts w:hint="eastAsia" w:cs="宋体"/>
          <w:color w:val="auto"/>
          <w:highlight w:val="none"/>
          <w:lang w:val="fr-FR"/>
        </w:rPr>
        <w:t>，在施工期间必须辅以人工目视巡查，查看是否有明显地裂缝等坡体变形特征和危土体等其它可能存在的施工安全问题</w:t>
      </w:r>
      <w:r>
        <w:rPr>
          <w:rFonts w:cs="宋体"/>
          <w:color w:val="auto"/>
          <w:highlight w:val="none"/>
          <w:lang w:val="fr-FR"/>
        </w:rPr>
        <w:t>。治理效果监测时间为治理工程竣工后1个水文年，观测频率为10天一次，共</w:t>
      </w:r>
      <w:r>
        <w:rPr>
          <w:rFonts w:hint="eastAsia" w:cs="宋体"/>
          <w:color w:val="auto"/>
          <w:highlight w:val="none"/>
          <w:lang w:val="fr-FR"/>
        </w:rPr>
        <w:t>288</w:t>
      </w:r>
      <w:r>
        <w:rPr>
          <w:rFonts w:cs="宋体"/>
          <w:color w:val="auto"/>
          <w:highlight w:val="none"/>
          <w:lang w:val="fr-FR"/>
        </w:rPr>
        <w:t>点次，雨季或有变形时加密观测。</w:t>
      </w:r>
    </w:p>
    <w:p w14:paraId="51970A77">
      <w:pPr>
        <w:pStyle w:val="7"/>
        <w:ind w:left="0" w:leftChars="0" w:firstLine="0" w:firstLineChars="0"/>
        <w:jc w:val="center"/>
        <w:rPr>
          <w:rFonts w:cs="宋体"/>
          <w:color w:val="auto"/>
          <w:highlight w:val="none"/>
          <w:lang w:val="fr-FR"/>
        </w:rPr>
      </w:pPr>
      <w:r>
        <w:rPr>
          <w:rFonts w:hint="eastAsia" w:cs="宋体"/>
          <w:color w:val="auto"/>
          <w:highlight w:val="none"/>
          <w:lang w:val="fr-FR"/>
        </w:rPr>
        <w:t>监测</w:t>
      </w:r>
      <w:r>
        <w:rPr>
          <w:rFonts w:cs="宋体"/>
          <w:color w:val="auto"/>
          <w:highlight w:val="none"/>
          <w:lang w:val="fr-FR"/>
        </w:rPr>
        <w:t>工程量表</w:t>
      </w:r>
    </w:p>
    <w:tbl>
      <w:tblPr>
        <w:tblStyle w:val="1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057"/>
        <w:gridCol w:w="2116"/>
        <w:gridCol w:w="3069"/>
      </w:tblGrid>
      <w:tr w14:paraId="01FB02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3BC328DF">
            <w:pPr>
              <w:pStyle w:val="7"/>
              <w:ind w:left="0" w:leftChars="0" w:firstLine="0" w:firstLineChars="0"/>
              <w:jc w:val="center"/>
              <w:rPr>
                <w:rFonts w:cs="宋体"/>
                <w:color w:val="auto"/>
                <w:highlight w:val="none"/>
                <w:lang w:val="fr-FR"/>
              </w:rPr>
            </w:pPr>
            <w:r>
              <w:rPr>
                <w:rFonts w:hint="eastAsia" w:cs="宋体"/>
                <w:color w:val="auto"/>
                <w:highlight w:val="none"/>
                <w:lang w:val="fr-FR"/>
              </w:rPr>
              <w:t>工程或费用名称</w:t>
            </w:r>
          </w:p>
        </w:tc>
        <w:tc>
          <w:tcPr>
            <w:tcW w:w="1145" w:type="pct"/>
            <w:shd w:val="clear" w:color="auto" w:fill="auto"/>
            <w:vAlign w:val="center"/>
          </w:tcPr>
          <w:p w14:paraId="56ADCD95">
            <w:pPr>
              <w:pStyle w:val="7"/>
              <w:ind w:left="0" w:leftChars="0" w:firstLine="0" w:firstLineChars="0"/>
              <w:jc w:val="center"/>
              <w:rPr>
                <w:rFonts w:cs="宋体"/>
                <w:color w:val="auto"/>
                <w:highlight w:val="none"/>
                <w:lang w:val="fr-FR"/>
              </w:rPr>
            </w:pPr>
            <w:r>
              <w:rPr>
                <w:rFonts w:hint="eastAsia" w:cs="宋体"/>
                <w:color w:val="auto"/>
                <w:highlight w:val="none"/>
                <w:lang w:val="fr-FR"/>
              </w:rPr>
              <w:t>单位</w:t>
            </w:r>
          </w:p>
        </w:tc>
        <w:tc>
          <w:tcPr>
            <w:tcW w:w="1660" w:type="pct"/>
            <w:shd w:val="clear" w:color="auto" w:fill="auto"/>
            <w:vAlign w:val="center"/>
          </w:tcPr>
          <w:p w14:paraId="70A01961">
            <w:pPr>
              <w:pStyle w:val="7"/>
              <w:ind w:left="0" w:leftChars="0" w:firstLine="0" w:firstLineChars="0"/>
              <w:jc w:val="center"/>
              <w:rPr>
                <w:rFonts w:cs="宋体"/>
                <w:color w:val="auto"/>
                <w:highlight w:val="none"/>
                <w:lang w:val="fr-FR"/>
              </w:rPr>
            </w:pPr>
            <w:r>
              <w:rPr>
                <w:rFonts w:hint="eastAsia" w:cs="宋体"/>
                <w:color w:val="auto"/>
                <w:highlight w:val="none"/>
                <w:lang w:val="fr-FR"/>
              </w:rPr>
              <w:t>数量</w:t>
            </w:r>
          </w:p>
        </w:tc>
      </w:tr>
      <w:tr w14:paraId="16896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03C643E4">
            <w:pPr>
              <w:pStyle w:val="7"/>
              <w:ind w:left="0" w:leftChars="0" w:firstLine="0" w:firstLineChars="0"/>
              <w:jc w:val="center"/>
              <w:rPr>
                <w:rFonts w:cs="宋体"/>
                <w:color w:val="auto"/>
                <w:highlight w:val="none"/>
                <w:lang w:val="fr-FR"/>
              </w:rPr>
            </w:pPr>
            <w:r>
              <w:rPr>
                <w:rFonts w:hint="eastAsia" w:cs="宋体"/>
                <w:color w:val="auto"/>
                <w:highlight w:val="none"/>
                <w:lang w:val="fr-FR"/>
              </w:rPr>
              <w:t>基准点</w:t>
            </w:r>
          </w:p>
        </w:tc>
        <w:tc>
          <w:tcPr>
            <w:tcW w:w="1145" w:type="pct"/>
            <w:shd w:val="clear" w:color="auto" w:fill="auto"/>
            <w:vAlign w:val="center"/>
          </w:tcPr>
          <w:p w14:paraId="19F5B56F">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5DF1D052">
            <w:pPr>
              <w:pStyle w:val="7"/>
              <w:ind w:left="0" w:leftChars="0" w:firstLine="0" w:firstLineChars="0"/>
              <w:jc w:val="center"/>
              <w:rPr>
                <w:rFonts w:cs="宋体"/>
                <w:color w:val="auto"/>
                <w:highlight w:val="none"/>
                <w:lang w:val="fr-FR"/>
              </w:rPr>
            </w:pPr>
            <w:r>
              <w:rPr>
                <w:rFonts w:hint="eastAsia" w:cs="宋体"/>
                <w:color w:val="auto"/>
                <w:highlight w:val="none"/>
                <w:lang w:val="fr-FR"/>
              </w:rPr>
              <w:t>3</w:t>
            </w:r>
          </w:p>
        </w:tc>
      </w:tr>
      <w:tr w14:paraId="75E35F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5B5FD615">
            <w:pPr>
              <w:pStyle w:val="7"/>
              <w:ind w:left="0" w:leftChars="0" w:firstLine="0" w:firstLineChars="0"/>
              <w:jc w:val="center"/>
              <w:rPr>
                <w:rFonts w:cs="宋体"/>
                <w:color w:val="auto"/>
                <w:highlight w:val="none"/>
                <w:lang w:val="fr-FR"/>
              </w:rPr>
            </w:pPr>
            <w:r>
              <w:rPr>
                <w:rFonts w:hint="eastAsia" w:cs="宋体"/>
                <w:color w:val="auto"/>
                <w:highlight w:val="none"/>
                <w:lang w:val="fr-FR"/>
              </w:rPr>
              <w:t>施工安全监测点</w:t>
            </w:r>
          </w:p>
        </w:tc>
        <w:tc>
          <w:tcPr>
            <w:tcW w:w="1145" w:type="pct"/>
            <w:shd w:val="clear" w:color="auto" w:fill="auto"/>
            <w:vAlign w:val="center"/>
          </w:tcPr>
          <w:p w14:paraId="602C987E">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5A762AF9">
            <w:pPr>
              <w:pStyle w:val="7"/>
              <w:ind w:left="0" w:leftChars="0" w:firstLine="0" w:firstLineChars="0"/>
              <w:jc w:val="center"/>
              <w:rPr>
                <w:rFonts w:cs="宋体"/>
                <w:color w:val="auto"/>
                <w:highlight w:val="none"/>
                <w:lang w:val="fr-FR"/>
              </w:rPr>
            </w:pPr>
            <w:r>
              <w:rPr>
                <w:rFonts w:hint="eastAsia" w:cs="宋体"/>
                <w:color w:val="auto"/>
                <w:highlight w:val="none"/>
                <w:lang w:val="fr-FR"/>
              </w:rPr>
              <w:t>4</w:t>
            </w:r>
          </w:p>
        </w:tc>
      </w:tr>
      <w:tr w14:paraId="02BD87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61C3147B">
            <w:pPr>
              <w:pStyle w:val="7"/>
              <w:ind w:left="0" w:leftChars="0" w:firstLine="0" w:firstLineChars="0"/>
              <w:jc w:val="center"/>
              <w:rPr>
                <w:rFonts w:cs="宋体"/>
                <w:color w:val="auto"/>
                <w:highlight w:val="none"/>
                <w:lang w:val="fr-FR"/>
              </w:rPr>
            </w:pPr>
            <w:r>
              <w:rPr>
                <w:rFonts w:hint="eastAsia" w:cs="宋体"/>
                <w:color w:val="auto"/>
                <w:highlight w:val="none"/>
                <w:lang w:val="fr-FR"/>
              </w:rPr>
              <w:t>治理效果监测点</w:t>
            </w:r>
          </w:p>
        </w:tc>
        <w:tc>
          <w:tcPr>
            <w:tcW w:w="1145" w:type="pct"/>
            <w:shd w:val="clear" w:color="auto" w:fill="auto"/>
            <w:vAlign w:val="center"/>
          </w:tcPr>
          <w:p w14:paraId="750553D9">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7C5866D7">
            <w:pPr>
              <w:pStyle w:val="7"/>
              <w:ind w:left="0" w:leftChars="0" w:firstLine="0" w:firstLineChars="0"/>
              <w:jc w:val="center"/>
              <w:rPr>
                <w:rFonts w:cs="宋体"/>
                <w:color w:val="auto"/>
                <w:highlight w:val="none"/>
                <w:lang w:val="fr-FR"/>
              </w:rPr>
            </w:pPr>
            <w:r>
              <w:rPr>
                <w:rFonts w:hint="eastAsia" w:cs="宋体"/>
                <w:color w:val="auto"/>
                <w:highlight w:val="none"/>
                <w:lang w:val="fr-FR"/>
              </w:rPr>
              <w:t>8</w:t>
            </w:r>
          </w:p>
        </w:tc>
      </w:tr>
      <w:tr w14:paraId="46B77B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6567601C">
            <w:pPr>
              <w:pStyle w:val="7"/>
              <w:ind w:left="0" w:leftChars="0" w:firstLine="0" w:firstLineChars="0"/>
              <w:jc w:val="center"/>
              <w:rPr>
                <w:rFonts w:cs="宋体"/>
                <w:color w:val="auto"/>
                <w:highlight w:val="none"/>
                <w:lang w:val="fr-FR"/>
              </w:rPr>
            </w:pPr>
            <w:r>
              <w:rPr>
                <w:rFonts w:hint="eastAsia" w:cs="宋体"/>
                <w:color w:val="auto"/>
                <w:highlight w:val="none"/>
                <w:lang w:val="fr-FR"/>
              </w:rPr>
              <w:t>施工安全监测</w:t>
            </w:r>
          </w:p>
        </w:tc>
        <w:tc>
          <w:tcPr>
            <w:tcW w:w="1145" w:type="pct"/>
            <w:shd w:val="clear" w:color="auto" w:fill="auto"/>
            <w:vAlign w:val="center"/>
          </w:tcPr>
          <w:p w14:paraId="7957CDCC">
            <w:pPr>
              <w:pStyle w:val="7"/>
              <w:ind w:left="0" w:leftChars="0" w:firstLine="0" w:firstLineChars="0"/>
              <w:jc w:val="center"/>
              <w:rPr>
                <w:rFonts w:cs="宋体"/>
                <w:color w:val="auto"/>
                <w:highlight w:val="none"/>
                <w:lang w:val="fr-FR"/>
              </w:rPr>
            </w:pPr>
            <w:r>
              <w:rPr>
                <w:rFonts w:hint="eastAsia" w:cs="宋体"/>
                <w:color w:val="auto"/>
                <w:highlight w:val="none"/>
                <w:lang w:val="fr-FR"/>
              </w:rPr>
              <w:t>点次</w:t>
            </w:r>
          </w:p>
        </w:tc>
        <w:tc>
          <w:tcPr>
            <w:tcW w:w="1660" w:type="pct"/>
            <w:shd w:val="clear" w:color="auto" w:fill="auto"/>
            <w:vAlign w:val="center"/>
          </w:tcPr>
          <w:p w14:paraId="4C9DB65B">
            <w:pPr>
              <w:pStyle w:val="7"/>
              <w:ind w:left="0" w:leftChars="0" w:firstLine="0" w:firstLineChars="0"/>
              <w:jc w:val="center"/>
              <w:rPr>
                <w:rFonts w:cs="宋体"/>
                <w:color w:val="auto"/>
                <w:highlight w:val="none"/>
                <w:lang w:val="fr-FR"/>
              </w:rPr>
            </w:pPr>
            <w:r>
              <w:rPr>
                <w:rFonts w:hint="eastAsia" w:cs="宋体"/>
                <w:color w:val="auto"/>
                <w:highlight w:val="none"/>
                <w:lang w:val="fr-FR"/>
              </w:rPr>
              <w:t>240</w:t>
            </w:r>
          </w:p>
        </w:tc>
      </w:tr>
      <w:tr w14:paraId="582D06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2575890F">
            <w:pPr>
              <w:pStyle w:val="7"/>
              <w:ind w:left="0" w:leftChars="0" w:firstLine="0" w:firstLineChars="0"/>
              <w:jc w:val="center"/>
              <w:rPr>
                <w:rFonts w:cs="宋体"/>
                <w:color w:val="auto"/>
                <w:highlight w:val="none"/>
                <w:lang w:val="fr-FR"/>
              </w:rPr>
            </w:pPr>
            <w:r>
              <w:rPr>
                <w:rFonts w:hint="eastAsia" w:cs="宋体"/>
                <w:color w:val="auto"/>
                <w:highlight w:val="none"/>
                <w:lang w:val="fr-FR"/>
              </w:rPr>
              <w:t>治理效果监测</w:t>
            </w:r>
          </w:p>
        </w:tc>
        <w:tc>
          <w:tcPr>
            <w:tcW w:w="1145" w:type="pct"/>
            <w:shd w:val="clear" w:color="auto" w:fill="auto"/>
            <w:vAlign w:val="center"/>
          </w:tcPr>
          <w:p w14:paraId="5833D504">
            <w:pPr>
              <w:pStyle w:val="7"/>
              <w:ind w:left="0" w:leftChars="0" w:firstLine="0" w:firstLineChars="0"/>
              <w:jc w:val="center"/>
              <w:rPr>
                <w:rFonts w:cs="宋体"/>
                <w:color w:val="auto"/>
                <w:highlight w:val="none"/>
                <w:lang w:val="fr-FR"/>
              </w:rPr>
            </w:pPr>
            <w:r>
              <w:rPr>
                <w:rFonts w:hint="eastAsia" w:cs="宋体"/>
                <w:color w:val="auto"/>
                <w:highlight w:val="none"/>
                <w:lang w:val="fr-FR"/>
              </w:rPr>
              <w:t>点次</w:t>
            </w:r>
          </w:p>
        </w:tc>
        <w:tc>
          <w:tcPr>
            <w:tcW w:w="1660" w:type="pct"/>
            <w:shd w:val="clear" w:color="auto" w:fill="auto"/>
            <w:vAlign w:val="center"/>
          </w:tcPr>
          <w:p w14:paraId="5342BA51">
            <w:pPr>
              <w:pStyle w:val="7"/>
              <w:ind w:left="0" w:leftChars="0" w:firstLine="0" w:firstLineChars="0"/>
              <w:jc w:val="center"/>
              <w:rPr>
                <w:rFonts w:cs="宋体"/>
                <w:color w:val="auto"/>
                <w:highlight w:val="none"/>
                <w:lang w:val="fr-FR"/>
              </w:rPr>
            </w:pPr>
            <w:r>
              <w:rPr>
                <w:rFonts w:hint="eastAsia" w:cs="宋体"/>
                <w:color w:val="auto"/>
                <w:highlight w:val="none"/>
                <w:lang w:val="fr-FR"/>
              </w:rPr>
              <w:t>288</w:t>
            </w:r>
          </w:p>
        </w:tc>
      </w:tr>
    </w:tbl>
    <w:p w14:paraId="78CCD870">
      <w:pPr>
        <w:pStyle w:val="7"/>
        <w:ind w:left="0" w:leftChars="0" w:firstLine="0" w:firstLineChars="0"/>
        <w:rPr>
          <w:rFonts w:hint="eastAsia" w:cs="宋体"/>
          <w:color w:val="auto"/>
          <w:highlight w:val="none"/>
          <w:lang w:val="fr-FR"/>
        </w:rPr>
      </w:pPr>
    </w:p>
    <w:p w14:paraId="6D25E6D4">
      <w:pPr>
        <w:pStyle w:val="7"/>
        <w:ind w:firstLine="480"/>
        <w:rPr>
          <w:rFonts w:hint="eastAsia" w:ascii="宋体" w:hAnsi="宋体" w:eastAsia="宋体" w:cs="宋体"/>
          <w:b/>
          <w:bCs/>
          <w:color w:val="auto"/>
          <w:highlight w:val="none"/>
          <w:lang w:val="fr-FR" w:eastAsia="zh-CN"/>
        </w:rPr>
      </w:pPr>
      <w:bookmarkStart w:id="89" w:name="_Toc219638204"/>
      <w:r>
        <w:rPr>
          <w:rFonts w:hint="eastAsia" w:ascii="宋体" w:hAnsi="宋体" w:eastAsia="宋体" w:cs="宋体"/>
          <w:b/>
          <w:bCs/>
          <w:color w:val="auto"/>
          <w:highlight w:val="none"/>
          <w:lang w:val="fr-FR" w:eastAsia="zh-CN"/>
        </w:rPr>
        <w:t>（</w:t>
      </w: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val="fr-FR" w:eastAsia="zh-CN"/>
        </w:rPr>
        <w:t>）东黄水镇石沟东村崩塌地质灾害治理工程</w:t>
      </w:r>
      <w:bookmarkEnd w:id="89"/>
    </w:p>
    <w:p w14:paraId="06760973">
      <w:pPr>
        <w:pStyle w:val="7"/>
        <w:ind w:firstLine="480"/>
        <w:rPr>
          <w:rFonts w:cs="宋体"/>
          <w:color w:val="auto"/>
          <w:highlight w:val="none"/>
          <w:lang w:val="fr-FR"/>
        </w:rPr>
      </w:pPr>
      <w:r>
        <w:rPr>
          <w:rFonts w:cs="宋体"/>
          <w:color w:val="auto"/>
          <w:highlight w:val="none"/>
          <w:lang w:val="fr-FR"/>
        </w:rPr>
        <w:t>1</w:t>
      </w:r>
      <w:r>
        <w:rPr>
          <w:rFonts w:hint="eastAsia" w:cs="宋体"/>
          <w:color w:val="auto"/>
          <w:highlight w:val="none"/>
          <w:lang w:val="en-US" w:eastAsia="zh-CN"/>
        </w:rPr>
        <w:t>.</w:t>
      </w:r>
      <w:r>
        <w:rPr>
          <w:rFonts w:cs="宋体"/>
          <w:color w:val="auto"/>
          <w:highlight w:val="none"/>
          <w:lang w:val="fr-FR"/>
        </w:rPr>
        <w:t>目的与任务</w:t>
      </w:r>
    </w:p>
    <w:p w14:paraId="6F90FF3F">
      <w:pPr>
        <w:pStyle w:val="7"/>
        <w:ind w:firstLine="480"/>
        <w:rPr>
          <w:rFonts w:cs="宋体"/>
          <w:color w:val="auto"/>
          <w:highlight w:val="none"/>
          <w:lang w:val="fr-FR"/>
        </w:rPr>
      </w:pPr>
      <w:r>
        <w:rPr>
          <w:rFonts w:cs="宋体"/>
          <w:color w:val="auto"/>
          <w:highlight w:val="none"/>
          <w:lang w:val="fr-FR"/>
        </w:rPr>
        <w:t>监测的目的，一是为治理提供科学依据，保证施工安全；二是检验治理的效果；三是在治理工程竣工后判定长期稳定状态，了解坡体稳定性变化特征。所以监测工程也就包括施工安全监测、治理效果监测和动态长期监测三方面，以前二者监测为主。在施工期间，监测结果应作为判定坡体稳定状态、指导施工、反馈设计和治理效果检验的重要依据。所布置的监测网点，可供长期动态监测之用。</w:t>
      </w:r>
    </w:p>
    <w:p w14:paraId="0B7EAA8C">
      <w:pPr>
        <w:pStyle w:val="7"/>
        <w:ind w:firstLine="480"/>
        <w:rPr>
          <w:rFonts w:cs="宋体"/>
          <w:color w:val="auto"/>
          <w:highlight w:val="none"/>
          <w:lang w:val="fr-FR"/>
        </w:rPr>
      </w:pPr>
      <w:r>
        <w:rPr>
          <w:rFonts w:cs="宋体"/>
          <w:color w:val="auto"/>
          <w:highlight w:val="none"/>
          <w:lang w:val="fr-FR"/>
        </w:rPr>
        <w:t>2</w:t>
      </w:r>
      <w:r>
        <w:rPr>
          <w:rFonts w:hint="eastAsia" w:cs="宋体"/>
          <w:color w:val="auto"/>
          <w:highlight w:val="none"/>
          <w:lang w:val="en-US" w:eastAsia="zh-CN"/>
        </w:rPr>
        <w:t>.</w:t>
      </w:r>
      <w:r>
        <w:rPr>
          <w:rFonts w:cs="宋体"/>
          <w:color w:val="auto"/>
          <w:highlight w:val="none"/>
          <w:lang w:val="fr-FR"/>
        </w:rPr>
        <w:t>监测工程设计</w:t>
      </w:r>
    </w:p>
    <w:p w14:paraId="2BA0BF9E">
      <w:pPr>
        <w:pStyle w:val="7"/>
        <w:ind w:firstLine="480"/>
        <w:rPr>
          <w:rFonts w:cs="宋体"/>
          <w:color w:val="auto"/>
          <w:highlight w:val="none"/>
          <w:lang w:val="fr-FR"/>
        </w:rPr>
      </w:pPr>
      <w:r>
        <w:rPr>
          <w:rFonts w:cs="宋体"/>
          <w:color w:val="auto"/>
          <w:highlight w:val="none"/>
          <w:lang w:val="fr-FR"/>
        </w:rPr>
        <w:t>根据现场勘查和治理工程方案，对不稳定斜坡进行监测，同时在周边相对稳定区布设个监测基准点，建立监测网，对治理工程布设监测点。</w:t>
      </w:r>
    </w:p>
    <w:p w14:paraId="53057A90">
      <w:pPr>
        <w:pStyle w:val="7"/>
        <w:ind w:firstLine="480"/>
        <w:rPr>
          <w:rFonts w:cs="宋体"/>
          <w:color w:val="auto"/>
          <w:highlight w:val="none"/>
          <w:lang w:val="fr-FR"/>
        </w:rPr>
      </w:pPr>
      <w:r>
        <w:rPr>
          <w:rFonts w:cs="宋体"/>
          <w:color w:val="auto"/>
          <w:highlight w:val="none"/>
          <w:lang w:val="fr-FR"/>
        </w:rPr>
        <w:t>监测包括水平位移和垂直位移的监测。采用经纬仪、水准仪或光电测距仪，在测站重复观测各观测点的位移方向和水平、铅直距离，以此来判定位移及其随时间变化的情况，监测结果应做好相应的记录，并绘制位移—时间关系曲线图。</w:t>
      </w:r>
    </w:p>
    <w:p w14:paraId="20375930">
      <w:pPr>
        <w:pStyle w:val="7"/>
        <w:ind w:firstLine="480"/>
        <w:rPr>
          <w:rFonts w:cs="宋体"/>
          <w:color w:val="auto"/>
          <w:highlight w:val="none"/>
          <w:lang w:val="fr-FR"/>
        </w:rPr>
      </w:pPr>
      <w:r>
        <w:rPr>
          <w:rFonts w:cs="宋体"/>
          <w:color w:val="auto"/>
          <w:highlight w:val="none"/>
          <w:lang w:val="fr-FR"/>
        </w:rPr>
        <w:t>监测目的是保证治理施工安全，检验治理效果，包括施工期间安全监测和竣工后的治理效果监测。监测工程应由第三方具有相应资质的单位进行。</w:t>
      </w:r>
    </w:p>
    <w:p w14:paraId="7C6729AA">
      <w:pPr>
        <w:pStyle w:val="7"/>
        <w:ind w:firstLine="480"/>
        <w:rPr>
          <w:rFonts w:cs="宋体"/>
          <w:color w:val="auto"/>
          <w:highlight w:val="none"/>
          <w:lang w:val="fr-FR"/>
        </w:rPr>
      </w:pPr>
      <w:r>
        <w:rPr>
          <w:rFonts w:hint="eastAsia" w:cs="宋体"/>
          <w:color w:val="auto"/>
          <w:highlight w:val="none"/>
          <w:lang w:val="fr-FR"/>
        </w:rPr>
        <w:t>测量精度不小于1mm，监测报警值为坡顶水平位移已大于边坡高度的1/500或20mm，以及其水平位移速度已连续3d大于2mm/d。</w:t>
      </w:r>
    </w:p>
    <w:p w14:paraId="3C015409">
      <w:pPr>
        <w:pStyle w:val="7"/>
        <w:ind w:firstLine="480"/>
        <w:rPr>
          <w:rFonts w:cs="宋体"/>
          <w:color w:val="auto"/>
          <w:highlight w:val="none"/>
          <w:lang w:val="fr-FR"/>
        </w:rPr>
      </w:pPr>
      <w:r>
        <w:rPr>
          <w:rFonts w:hint="eastAsia" w:cs="宋体"/>
          <w:color w:val="auto"/>
          <w:highlight w:val="none"/>
          <w:lang w:val="fr-FR"/>
        </w:rPr>
        <w:t>边坡</w:t>
      </w:r>
      <w:r>
        <w:rPr>
          <w:rFonts w:cs="宋体"/>
          <w:color w:val="auto"/>
          <w:highlight w:val="none"/>
          <w:lang w:val="fr-FR"/>
        </w:rPr>
        <w:t>布设基准点</w:t>
      </w:r>
      <w:r>
        <w:rPr>
          <w:rFonts w:hint="eastAsia" w:cs="宋体"/>
          <w:color w:val="auto"/>
          <w:highlight w:val="none"/>
          <w:lang w:val="fr-FR"/>
        </w:rPr>
        <w:t>3</w:t>
      </w:r>
      <w:r>
        <w:rPr>
          <w:rFonts w:cs="宋体"/>
          <w:color w:val="auto"/>
          <w:highlight w:val="none"/>
          <w:lang w:val="fr-FR"/>
        </w:rPr>
        <w:t>个，施工安全监测点</w:t>
      </w:r>
      <w:r>
        <w:rPr>
          <w:rFonts w:hint="eastAsia" w:cs="宋体"/>
          <w:color w:val="auto"/>
          <w:highlight w:val="none"/>
          <w:lang w:val="fr-FR"/>
        </w:rPr>
        <w:t>2</w:t>
      </w:r>
      <w:r>
        <w:rPr>
          <w:rFonts w:cs="宋体"/>
          <w:color w:val="auto"/>
          <w:highlight w:val="none"/>
          <w:lang w:val="fr-FR"/>
        </w:rPr>
        <w:t>个，治理效果监测点</w:t>
      </w:r>
      <w:r>
        <w:rPr>
          <w:rFonts w:hint="eastAsia" w:cs="宋体"/>
          <w:color w:val="auto"/>
          <w:highlight w:val="none"/>
          <w:lang w:val="fr-FR"/>
        </w:rPr>
        <w:t>4</w:t>
      </w:r>
      <w:r>
        <w:rPr>
          <w:rFonts w:cs="宋体"/>
          <w:color w:val="auto"/>
          <w:highlight w:val="none"/>
          <w:lang w:val="fr-FR"/>
        </w:rPr>
        <w:t>个，施工安全监测时间为</w:t>
      </w:r>
      <w:r>
        <w:rPr>
          <w:rFonts w:hint="eastAsia" w:cs="宋体"/>
          <w:color w:val="auto"/>
          <w:highlight w:val="none"/>
          <w:lang w:val="fr-FR"/>
        </w:rPr>
        <w:t>3</w:t>
      </w:r>
      <w:r>
        <w:rPr>
          <w:rFonts w:cs="宋体"/>
          <w:color w:val="auto"/>
          <w:highlight w:val="none"/>
          <w:lang w:val="fr-FR"/>
        </w:rPr>
        <w:t>个月，观测频率为1天1次，共</w:t>
      </w:r>
      <w:r>
        <w:rPr>
          <w:rFonts w:hint="eastAsia" w:cs="宋体"/>
          <w:color w:val="auto"/>
          <w:highlight w:val="none"/>
          <w:lang w:val="fr-FR"/>
        </w:rPr>
        <w:t>180</w:t>
      </w:r>
      <w:r>
        <w:rPr>
          <w:rFonts w:cs="宋体"/>
          <w:color w:val="auto"/>
          <w:highlight w:val="none"/>
          <w:lang w:val="fr-FR"/>
        </w:rPr>
        <w:t>点次</w:t>
      </w:r>
      <w:r>
        <w:rPr>
          <w:rFonts w:hint="eastAsia" w:cs="宋体"/>
          <w:color w:val="auto"/>
          <w:highlight w:val="none"/>
          <w:lang w:val="fr-FR"/>
        </w:rPr>
        <w:t>，在施工期间必须辅以人工目视巡查，查看是否有明显地裂缝等坡体变形特征和危岩体、危土体等其它可能存在的施工安全问题</w:t>
      </w:r>
      <w:r>
        <w:rPr>
          <w:rFonts w:cs="宋体"/>
          <w:color w:val="auto"/>
          <w:highlight w:val="none"/>
          <w:lang w:val="fr-FR"/>
        </w:rPr>
        <w:t>。治理效果监测时间为治理工程竣工后1个水文年，观测频率为10天一次，共</w:t>
      </w:r>
      <w:r>
        <w:rPr>
          <w:rFonts w:hint="eastAsia" w:cs="宋体"/>
          <w:color w:val="auto"/>
          <w:highlight w:val="none"/>
          <w:lang w:val="fr-FR"/>
        </w:rPr>
        <w:t>144</w:t>
      </w:r>
      <w:r>
        <w:rPr>
          <w:rFonts w:cs="宋体"/>
          <w:color w:val="auto"/>
          <w:highlight w:val="none"/>
          <w:lang w:val="fr-FR"/>
        </w:rPr>
        <w:t>点次，雨季或有变形时加密观测。</w:t>
      </w:r>
    </w:p>
    <w:p w14:paraId="0EE69CE2">
      <w:pPr>
        <w:pStyle w:val="7"/>
        <w:ind w:left="0" w:leftChars="0" w:firstLine="0" w:firstLineChars="0"/>
        <w:jc w:val="center"/>
        <w:rPr>
          <w:rFonts w:cs="宋体"/>
          <w:color w:val="auto"/>
          <w:highlight w:val="none"/>
          <w:lang w:val="fr-FR"/>
        </w:rPr>
      </w:pPr>
      <w:r>
        <w:rPr>
          <w:rFonts w:hint="eastAsia" w:cs="宋体"/>
          <w:color w:val="auto"/>
          <w:highlight w:val="none"/>
          <w:lang w:val="fr-FR"/>
        </w:rPr>
        <w:t>监测</w:t>
      </w:r>
      <w:r>
        <w:rPr>
          <w:rFonts w:cs="宋体"/>
          <w:color w:val="auto"/>
          <w:highlight w:val="none"/>
          <w:lang w:val="fr-FR"/>
        </w:rPr>
        <w:t>工程量表</w:t>
      </w:r>
    </w:p>
    <w:tbl>
      <w:tblPr>
        <w:tblStyle w:val="1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057"/>
        <w:gridCol w:w="2116"/>
        <w:gridCol w:w="3069"/>
      </w:tblGrid>
      <w:tr w14:paraId="70F64E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48FEB9B0">
            <w:pPr>
              <w:pStyle w:val="7"/>
              <w:ind w:left="0" w:leftChars="0" w:firstLine="0" w:firstLineChars="0"/>
              <w:jc w:val="center"/>
              <w:rPr>
                <w:rFonts w:cs="宋体"/>
                <w:color w:val="auto"/>
                <w:highlight w:val="none"/>
                <w:lang w:val="fr-FR"/>
              </w:rPr>
            </w:pPr>
            <w:r>
              <w:rPr>
                <w:rFonts w:hint="eastAsia" w:cs="宋体"/>
                <w:color w:val="auto"/>
                <w:highlight w:val="none"/>
                <w:lang w:val="fr-FR"/>
              </w:rPr>
              <w:t>工程或费用名称</w:t>
            </w:r>
          </w:p>
        </w:tc>
        <w:tc>
          <w:tcPr>
            <w:tcW w:w="1145" w:type="pct"/>
            <w:shd w:val="clear" w:color="auto" w:fill="auto"/>
            <w:vAlign w:val="center"/>
          </w:tcPr>
          <w:p w14:paraId="1919BF6E">
            <w:pPr>
              <w:pStyle w:val="7"/>
              <w:ind w:left="0" w:leftChars="0" w:firstLine="0" w:firstLineChars="0"/>
              <w:jc w:val="center"/>
              <w:rPr>
                <w:rFonts w:cs="宋体"/>
                <w:color w:val="auto"/>
                <w:highlight w:val="none"/>
                <w:lang w:val="fr-FR"/>
              </w:rPr>
            </w:pPr>
            <w:r>
              <w:rPr>
                <w:rFonts w:hint="eastAsia" w:cs="宋体"/>
                <w:color w:val="auto"/>
                <w:highlight w:val="none"/>
                <w:lang w:val="fr-FR"/>
              </w:rPr>
              <w:t>单位</w:t>
            </w:r>
          </w:p>
        </w:tc>
        <w:tc>
          <w:tcPr>
            <w:tcW w:w="1660" w:type="pct"/>
            <w:shd w:val="clear" w:color="auto" w:fill="auto"/>
            <w:vAlign w:val="center"/>
          </w:tcPr>
          <w:p w14:paraId="285EF66B">
            <w:pPr>
              <w:pStyle w:val="7"/>
              <w:ind w:left="0" w:leftChars="0" w:firstLine="0" w:firstLineChars="0"/>
              <w:jc w:val="center"/>
              <w:rPr>
                <w:rFonts w:cs="宋体"/>
                <w:color w:val="auto"/>
                <w:highlight w:val="none"/>
                <w:lang w:val="fr-FR"/>
              </w:rPr>
            </w:pPr>
            <w:r>
              <w:rPr>
                <w:rFonts w:hint="eastAsia" w:cs="宋体"/>
                <w:color w:val="auto"/>
                <w:highlight w:val="none"/>
                <w:lang w:val="fr-FR"/>
              </w:rPr>
              <w:t>数量</w:t>
            </w:r>
          </w:p>
        </w:tc>
      </w:tr>
      <w:tr w14:paraId="40949E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2F60957C">
            <w:pPr>
              <w:pStyle w:val="7"/>
              <w:ind w:left="0" w:leftChars="0" w:firstLine="0" w:firstLineChars="0"/>
              <w:jc w:val="center"/>
              <w:rPr>
                <w:rFonts w:cs="宋体"/>
                <w:color w:val="auto"/>
                <w:highlight w:val="none"/>
                <w:lang w:val="fr-FR"/>
              </w:rPr>
            </w:pPr>
            <w:r>
              <w:rPr>
                <w:rFonts w:hint="eastAsia" w:cs="宋体"/>
                <w:color w:val="auto"/>
                <w:highlight w:val="none"/>
                <w:lang w:val="fr-FR"/>
              </w:rPr>
              <w:t>基准点</w:t>
            </w:r>
          </w:p>
        </w:tc>
        <w:tc>
          <w:tcPr>
            <w:tcW w:w="1145" w:type="pct"/>
            <w:shd w:val="clear" w:color="auto" w:fill="auto"/>
            <w:vAlign w:val="center"/>
          </w:tcPr>
          <w:p w14:paraId="22BF78FD">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3C15F82D">
            <w:pPr>
              <w:pStyle w:val="7"/>
              <w:ind w:left="0" w:leftChars="0" w:firstLine="0" w:firstLineChars="0"/>
              <w:jc w:val="center"/>
              <w:rPr>
                <w:rFonts w:cs="宋体"/>
                <w:color w:val="auto"/>
                <w:highlight w:val="none"/>
                <w:lang w:val="fr-FR"/>
              </w:rPr>
            </w:pPr>
            <w:r>
              <w:rPr>
                <w:rFonts w:hint="eastAsia" w:cs="宋体"/>
                <w:color w:val="auto"/>
                <w:highlight w:val="none"/>
                <w:lang w:val="fr-FR"/>
              </w:rPr>
              <w:t>3</w:t>
            </w:r>
          </w:p>
        </w:tc>
      </w:tr>
      <w:tr w14:paraId="32EC8F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44DADF37">
            <w:pPr>
              <w:pStyle w:val="7"/>
              <w:ind w:left="0" w:leftChars="0" w:firstLine="0" w:firstLineChars="0"/>
              <w:jc w:val="center"/>
              <w:rPr>
                <w:rFonts w:cs="宋体"/>
                <w:color w:val="auto"/>
                <w:highlight w:val="none"/>
                <w:lang w:val="fr-FR"/>
              </w:rPr>
            </w:pPr>
            <w:r>
              <w:rPr>
                <w:rFonts w:hint="eastAsia" w:cs="宋体"/>
                <w:color w:val="auto"/>
                <w:highlight w:val="none"/>
                <w:lang w:val="fr-FR"/>
              </w:rPr>
              <w:t>施工安全监测点</w:t>
            </w:r>
          </w:p>
        </w:tc>
        <w:tc>
          <w:tcPr>
            <w:tcW w:w="1145" w:type="pct"/>
            <w:shd w:val="clear" w:color="auto" w:fill="auto"/>
            <w:vAlign w:val="center"/>
          </w:tcPr>
          <w:p w14:paraId="111EE62E">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22E5BC20">
            <w:pPr>
              <w:pStyle w:val="7"/>
              <w:ind w:left="0" w:leftChars="0" w:firstLine="0" w:firstLineChars="0"/>
              <w:jc w:val="center"/>
              <w:rPr>
                <w:rFonts w:cs="宋体"/>
                <w:color w:val="auto"/>
                <w:highlight w:val="none"/>
                <w:lang w:val="fr-FR"/>
              </w:rPr>
            </w:pPr>
            <w:r>
              <w:rPr>
                <w:rFonts w:hint="eastAsia" w:cs="宋体"/>
                <w:color w:val="auto"/>
                <w:highlight w:val="none"/>
                <w:lang w:val="fr-FR"/>
              </w:rPr>
              <w:t>2</w:t>
            </w:r>
          </w:p>
        </w:tc>
      </w:tr>
      <w:tr w14:paraId="32525D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7D9229CE">
            <w:pPr>
              <w:pStyle w:val="7"/>
              <w:ind w:left="0" w:leftChars="0" w:firstLine="0" w:firstLineChars="0"/>
              <w:jc w:val="center"/>
              <w:rPr>
                <w:rFonts w:cs="宋体"/>
                <w:color w:val="auto"/>
                <w:highlight w:val="none"/>
                <w:lang w:val="fr-FR"/>
              </w:rPr>
            </w:pPr>
            <w:r>
              <w:rPr>
                <w:rFonts w:hint="eastAsia" w:cs="宋体"/>
                <w:color w:val="auto"/>
                <w:highlight w:val="none"/>
                <w:lang w:val="fr-FR"/>
              </w:rPr>
              <w:t>治理效果监测点</w:t>
            </w:r>
          </w:p>
        </w:tc>
        <w:tc>
          <w:tcPr>
            <w:tcW w:w="1145" w:type="pct"/>
            <w:shd w:val="clear" w:color="auto" w:fill="auto"/>
            <w:vAlign w:val="center"/>
          </w:tcPr>
          <w:p w14:paraId="504FF0FC">
            <w:pPr>
              <w:pStyle w:val="7"/>
              <w:ind w:left="0" w:leftChars="0" w:firstLine="0" w:firstLineChars="0"/>
              <w:jc w:val="center"/>
              <w:rPr>
                <w:rFonts w:cs="宋体"/>
                <w:color w:val="auto"/>
                <w:highlight w:val="none"/>
                <w:lang w:val="fr-FR"/>
              </w:rPr>
            </w:pPr>
            <w:r>
              <w:rPr>
                <w:rFonts w:hint="eastAsia" w:cs="宋体"/>
                <w:color w:val="auto"/>
                <w:highlight w:val="none"/>
                <w:lang w:val="fr-FR"/>
              </w:rPr>
              <w:t>点</w:t>
            </w:r>
          </w:p>
        </w:tc>
        <w:tc>
          <w:tcPr>
            <w:tcW w:w="1660" w:type="pct"/>
            <w:shd w:val="clear" w:color="auto" w:fill="auto"/>
            <w:vAlign w:val="center"/>
          </w:tcPr>
          <w:p w14:paraId="0606249B">
            <w:pPr>
              <w:pStyle w:val="7"/>
              <w:ind w:left="0" w:leftChars="0" w:firstLine="0" w:firstLineChars="0"/>
              <w:jc w:val="center"/>
              <w:rPr>
                <w:rFonts w:cs="宋体"/>
                <w:color w:val="auto"/>
                <w:highlight w:val="none"/>
                <w:lang w:val="fr-FR"/>
              </w:rPr>
            </w:pPr>
            <w:r>
              <w:rPr>
                <w:rFonts w:hint="eastAsia" w:cs="宋体"/>
                <w:color w:val="auto"/>
                <w:highlight w:val="none"/>
                <w:lang w:val="fr-FR"/>
              </w:rPr>
              <w:t>4</w:t>
            </w:r>
          </w:p>
        </w:tc>
      </w:tr>
      <w:tr w14:paraId="4CDD6C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130BD52F">
            <w:pPr>
              <w:pStyle w:val="7"/>
              <w:ind w:left="0" w:leftChars="0" w:firstLine="0" w:firstLineChars="0"/>
              <w:jc w:val="center"/>
              <w:rPr>
                <w:rFonts w:cs="宋体"/>
                <w:color w:val="auto"/>
                <w:highlight w:val="none"/>
                <w:lang w:val="fr-FR"/>
              </w:rPr>
            </w:pPr>
            <w:r>
              <w:rPr>
                <w:rFonts w:hint="eastAsia" w:cs="宋体"/>
                <w:color w:val="auto"/>
                <w:highlight w:val="none"/>
                <w:lang w:val="fr-FR"/>
              </w:rPr>
              <w:t>施工安全监测</w:t>
            </w:r>
          </w:p>
        </w:tc>
        <w:tc>
          <w:tcPr>
            <w:tcW w:w="1145" w:type="pct"/>
            <w:shd w:val="clear" w:color="auto" w:fill="auto"/>
            <w:vAlign w:val="center"/>
          </w:tcPr>
          <w:p w14:paraId="1DCCCCA9">
            <w:pPr>
              <w:pStyle w:val="7"/>
              <w:ind w:left="0" w:leftChars="0" w:firstLine="0" w:firstLineChars="0"/>
              <w:jc w:val="center"/>
              <w:rPr>
                <w:rFonts w:cs="宋体"/>
                <w:color w:val="auto"/>
                <w:highlight w:val="none"/>
                <w:lang w:val="fr-FR"/>
              </w:rPr>
            </w:pPr>
            <w:r>
              <w:rPr>
                <w:rFonts w:hint="eastAsia" w:cs="宋体"/>
                <w:color w:val="auto"/>
                <w:highlight w:val="none"/>
                <w:lang w:val="fr-FR"/>
              </w:rPr>
              <w:t>点次</w:t>
            </w:r>
          </w:p>
        </w:tc>
        <w:tc>
          <w:tcPr>
            <w:tcW w:w="1660" w:type="pct"/>
            <w:shd w:val="clear" w:color="auto" w:fill="auto"/>
            <w:vAlign w:val="center"/>
          </w:tcPr>
          <w:p w14:paraId="436776DD">
            <w:pPr>
              <w:pStyle w:val="7"/>
              <w:ind w:left="0" w:leftChars="0" w:firstLine="0" w:firstLineChars="0"/>
              <w:jc w:val="center"/>
              <w:rPr>
                <w:rFonts w:cs="宋体"/>
                <w:color w:val="auto"/>
                <w:highlight w:val="none"/>
                <w:lang w:val="fr-FR"/>
              </w:rPr>
            </w:pPr>
            <w:r>
              <w:rPr>
                <w:rFonts w:hint="eastAsia" w:cs="宋体"/>
                <w:color w:val="auto"/>
                <w:highlight w:val="none"/>
                <w:lang w:val="fr-FR"/>
              </w:rPr>
              <w:t>180</w:t>
            </w:r>
          </w:p>
        </w:tc>
      </w:tr>
      <w:tr w14:paraId="11263C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2195" w:type="pct"/>
            <w:shd w:val="clear" w:color="auto" w:fill="auto"/>
            <w:vAlign w:val="center"/>
          </w:tcPr>
          <w:p w14:paraId="041ABDF1">
            <w:pPr>
              <w:pStyle w:val="7"/>
              <w:ind w:left="0" w:leftChars="0" w:firstLine="0" w:firstLineChars="0"/>
              <w:jc w:val="center"/>
              <w:rPr>
                <w:rFonts w:cs="宋体"/>
                <w:color w:val="auto"/>
                <w:highlight w:val="none"/>
                <w:lang w:val="fr-FR"/>
              </w:rPr>
            </w:pPr>
            <w:r>
              <w:rPr>
                <w:rFonts w:hint="eastAsia" w:cs="宋体"/>
                <w:color w:val="auto"/>
                <w:highlight w:val="none"/>
                <w:lang w:val="fr-FR"/>
              </w:rPr>
              <w:t>治理效果监测</w:t>
            </w:r>
          </w:p>
        </w:tc>
        <w:tc>
          <w:tcPr>
            <w:tcW w:w="1145" w:type="pct"/>
            <w:shd w:val="clear" w:color="auto" w:fill="auto"/>
            <w:vAlign w:val="center"/>
          </w:tcPr>
          <w:p w14:paraId="5646D76F">
            <w:pPr>
              <w:pStyle w:val="7"/>
              <w:ind w:left="0" w:leftChars="0" w:firstLine="0" w:firstLineChars="0"/>
              <w:jc w:val="center"/>
              <w:rPr>
                <w:rFonts w:cs="宋体"/>
                <w:color w:val="auto"/>
                <w:highlight w:val="none"/>
                <w:lang w:val="fr-FR"/>
              </w:rPr>
            </w:pPr>
            <w:r>
              <w:rPr>
                <w:rFonts w:hint="eastAsia" w:cs="宋体"/>
                <w:color w:val="auto"/>
                <w:highlight w:val="none"/>
                <w:lang w:val="fr-FR"/>
              </w:rPr>
              <w:t>点次</w:t>
            </w:r>
          </w:p>
        </w:tc>
        <w:tc>
          <w:tcPr>
            <w:tcW w:w="1660" w:type="pct"/>
            <w:shd w:val="clear" w:color="auto" w:fill="auto"/>
            <w:vAlign w:val="center"/>
          </w:tcPr>
          <w:p w14:paraId="106118B7">
            <w:pPr>
              <w:pStyle w:val="7"/>
              <w:ind w:left="0" w:leftChars="0" w:firstLine="0" w:firstLineChars="0"/>
              <w:jc w:val="center"/>
              <w:rPr>
                <w:rFonts w:cs="宋体"/>
                <w:color w:val="auto"/>
                <w:highlight w:val="none"/>
                <w:lang w:val="fr-FR"/>
              </w:rPr>
            </w:pPr>
            <w:r>
              <w:rPr>
                <w:rFonts w:hint="eastAsia" w:cs="宋体"/>
                <w:color w:val="auto"/>
                <w:highlight w:val="none"/>
                <w:lang w:val="fr-FR"/>
              </w:rPr>
              <w:t>144</w:t>
            </w:r>
          </w:p>
        </w:tc>
      </w:tr>
    </w:tbl>
    <w:p w14:paraId="4F78657B">
      <w:pPr>
        <w:pStyle w:val="7"/>
        <w:ind w:firstLine="480"/>
        <w:rPr>
          <w:rFonts w:cs="宋体"/>
          <w:color w:val="auto"/>
          <w:highlight w:val="none"/>
          <w:lang w:val="fr-FR"/>
        </w:rPr>
      </w:pPr>
    </w:p>
    <w:p w14:paraId="5ABF91CE">
      <w:pPr>
        <w:pStyle w:val="7"/>
        <w:ind w:firstLine="480"/>
        <w:rPr>
          <w:rFonts w:cs="宋体"/>
          <w:color w:val="auto"/>
          <w:highlight w:val="none"/>
          <w:lang w:val="fr-FR"/>
        </w:rPr>
      </w:pPr>
    </w:p>
    <w:p w14:paraId="1CAB0496">
      <w:pPr>
        <w:pStyle w:val="7"/>
        <w:ind w:firstLine="480"/>
        <w:rPr>
          <w:rFonts w:cs="宋体"/>
          <w:color w:val="auto"/>
          <w:highlight w:val="none"/>
          <w:lang w:val="fr-FR"/>
        </w:rPr>
      </w:pPr>
    </w:p>
    <w:p w14:paraId="34E0D97C">
      <w:pPr>
        <w:pStyle w:val="7"/>
        <w:ind w:firstLine="480"/>
        <w:rPr>
          <w:rFonts w:cs="宋体"/>
          <w:color w:val="auto"/>
          <w:highlight w:val="none"/>
          <w:lang w:val="fr-FR"/>
        </w:rPr>
      </w:pPr>
    </w:p>
    <w:p w14:paraId="3A20053E">
      <w:pPr>
        <w:pStyle w:val="7"/>
        <w:ind w:firstLine="480"/>
        <w:rPr>
          <w:rFonts w:cs="宋体"/>
          <w:color w:val="auto"/>
          <w:highlight w:val="none"/>
          <w:lang w:val="fr-FR"/>
        </w:rPr>
      </w:pPr>
      <w:r>
        <w:rPr>
          <w:rFonts w:hint="eastAsia" w:cs="宋体"/>
          <w:color w:val="auto"/>
          <w:highlight w:val="none"/>
          <w:lang w:val="fr-FR"/>
        </w:rPr>
        <w:br w:type="page"/>
      </w:r>
    </w:p>
    <w:p w14:paraId="4CA0D41B">
      <w:pPr>
        <w:pStyle w:val="2"/>
        <w:rPr>
          <w:rFonts w:cs="宋体"/>
          <w:color w:val="auto"/>
          <w:highlight w:val="none"/>
        </w:rPr>
      </w:pPr>
      <w:bookmarkStart w:id="90" w:name="_Toc28291"/>
      <w:r>
        <w:rPr>
          <w:rFonts w:hint="eastAsia" w:cs="宋体"/>
          <w:color w:val="auto"/>
          <w:highlight w:val="none"/>
        </w:rPr>
        <w:t>第六部分 合同协议书</w:t>
      </w:r>
      <w:bookmarkEnd w:id="90"/>
    </w:p>
    <w:p w14:paraId="5B2D8EA6">
      <w:pPr>
        <w:jc w:val="center"/>
        <w:rPr>
          <w:rFonts w:cs="宋体"/>
          <w:color w:val="auto"/>
          <w:highlight w:val="none"/>
        </w:rPr>
      </w:pPr>
      <w:r>
        <w:rPr>
          <w:rFonts w:hint="eastAsia" w:cs="宋体"/>
          <w:color w:val="auto"/>
          <w:highlight w:val="none"/>
        </w:rPr>
        <w:t>（格式仅供参考）</w:t>
      </w:r>
    </w:p>
    <w:p w14:paraId="2EE0B5B7">
      <w:pPr>
        <w:adjustRightInd/>
        <w:textAlignment w:val="auto"/>
        <w:rPr>
          <w:rFonts w:cs="宋体"/>
          <w:color w:val="auto"/>
          <w:szCs w:val="24"/>
          <w:highlight w:val="none"/>
          <w:lang w:bidi="en-US"/>
        </w:rPr>
      </w:pPr>
      <w:r>
        <w:rPr>
          <w:rFonts w:hint="eastAsia" w:cs="宋体"/>
          <w:color w:val="auto"/>
          <w:szCs w:val="24"/>
          <w:highlight w:val="none"/>
          <w:lang w:bidi="en-US"/>
        </w:rPr>
        <w:t>甲方：</w:t>
      </w:r>
    </w:p>
    <w:p w14:paraId="177738E7">
      <w:pPr>
        <w:adjustRightInd/>
        <w:textAlignment w:val="auto"/>
        <w:rPr>
          <w:rFonts w:cs="宋体"/>
          <w:color w:val="auto"/>
          <w:szCs w:val="24"/>
          <w:highlight w:val="none"/>
          <w:lang w:bidi="en-US"/>
        </w:rPr>
      </w:pPr>
      <w:r>
        <w:rPr>
          <w:rFonts w:hint="eastAsia" w:cs="宋体"/>
          <w:color w:val="auto"/>
          <w:szCs w:val="24"/>
          <w:highlight w:val="none"/>
          <w:lang w:bidi="en-US"/>
        </w:rPr>
        <w:t>乙方：</w:t>
      </w:r>
    </w:p>
    <w:p w14:paraId="4BB770CB">
      <w:pPr>
        <w:widowControl/>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根据《中华人民共和国民法典》，合同双方就</w:t>
      </w:r>
      <w:r>
        <w:rPr>
          <w:rFonts w:hint="eastAsia" w:cs="宋体"/>
          <w:color w:val="auto"/>
          <w:szCs w:val="24"/>
          <w:highlight w:val="none"/>
          <w:u w:val="single"/>
          <w:lang w:bidi="en-US"/>
        </w:rPr>
        <w:t xml:space="preserve">               </w:t>
      </w:r>
      <w:r>
        <w:rPr>
          <w:rFonts w:hint="eastAsia" w:cs="宋体"/>
          <w:color w:val="auto"/>
          <w:szCs w:val="24"/>
          <w:highlight w:val="none"/>
          <w:lang w:bidi="en-US"/>
        </w:rPr>
        <w:t>事宜经协商一致， 特签订本合同以供遵守。</w:t>
      </w:r>
    </w:p>
    <w:p w14:paraId="205BAC32">
      <w:pPr>
        <w:adjustRightInd/>
        <w:ind w:firstLine="482" w:firstLineChars="200"/>
        <w:textAlignment w:val="auto"/>
        <w:rPr>
          <w:rFonts w:cs="宋体"/>
          <w:b/>
          <w:color w:val="auto"/>
          <w:szCs w:val="24"/>
          <w:highlight w:val="none"/>
          <w:lang w:bidi="en-US"/>
        </w:rPr>
      </w:pPr>
      <w:r>
        <w:rPr>
          <w:rFonts w:hint="eastAsia" w:cs="宋体"/>
          <w:b/>
          <w:color w:val="auto"/>
          <w:szCs w:val="24"/>
          <w:highlight w:val="none"/>
          <w:lang w:bidi="en-US"/>
        </w:rPr>
        <w:t>第一条 服务内容、方式和要求</w:t>
      </w:r>
    </w:p>
    <w:p w14:paraId="407BB3F5">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甲方委托乙方对</w:t>
      </w:r>
      <w:r>
        <w:rPr>
          <w:rFonts w:hint="eastAsia" w:cs="宋体"/>
          <w:color w:val="auto"/>
          <w:szCs w:val="24"/>
          <w:highlight w:val="none"/>
          <w:u w:val="single"/>
          <w:lang w:bidi="en-US"/>
        </w:rPr>
        <w:t xml:space="preserve">            </w:t>
      </w:r>
      <w:r>
        <w:rPr>
          <w:rFonts w:hint="eastAsia" w:cs="宋体"/>
          <w:color w:val="auto"/>
          <w:szCs w:val="24"/>
          <w:highlight w:val="none"/>
          <w:lang w:bidi="en-US"/>
        </w:rPr>
        <w:t>进行服务。</w:t>
      </w:r>
    </w:p>
    <w:p w14:paraId="008485E1">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1.服务项目 </w:t>
      </w:r>
    </w:p>
    <w:p w14:paraId="3C394791">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甲方委托乙方在本合同的有效期内为甲方完成</w:t>
      </w:r>
      <w:r>
        <w:rPr>
          <w:rFonts w:hint="eastAsia" w:cs="宋体"/>
          <w:color w:val="auto"/>
          <w:szCs w:val="24"/>
          <w:highlight w:val="none"/>
          <w:u w:val="single"/>
          <w:lang w:bidi="en-US"/>
        </w:rPr>
        <w:t xml:space="preserve">              </w:t>
      </w:r>
      <w:r>
        <w:rPr>
          <w:rFonts w:hint="eastAsia" w:cs="宋体"/>
          <w:color w:val="auto"/>
          <w:szCs w:val="24"/>
          <w:highlight w:val="none"/>
          <w:lang w:bidi="en-US"/>
        </w:rPr>
        <w:t>服务。</w:t>
      </w:r>
    </w:p>
    <w:p w14:paraId="7A0310E6">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2.服务标准 </w:t>
      </w:r>
    </w:p>
    <w:p w14:paraId="4851670F">
      <w:pPr>
        <w:adjustRightInd/>
        <w:ind w:firstLine="480" w:firstLineChars="200"/>
        <w:textAlignment w:val="auto"/>
        <w:rPr>
          <w:rFonts w:cs="宋体"/>
          <w:color w:val="auto"/>
          <w:szCs w:val="21"/>
          <w:highlight w:val="none"/>
          <w:lang w:bidi="en-US"/>
        </w:rPr>
      </w:pPr>
      <w:r>
        <w:rPr>
          <w:rFonts w:hint="eastAsia" w:cs="宋体"/>
          <w:color w:val="auto"/>
          <w:szCs w:val="24"/>
          <w:highlight w:val="none"/>
          <w:lang w:bidi="en-US"/>
        </w:rPr>
        <w:t>乙方保证为甲方提供及时、快速、细致及符合标准的服务，服务标准</w:t>
      </w:r>
      <w:r>
        <w:rPr>
          <w:rFonts w:hint="eastAsia" w:cs="宋体"/>
          <w:color w:val="auto"/>
          <w:szCs w:val="21"/>
          <w:highlight w:val="none"/>
          <w:u w:val="single"/>
          <w:lang w:val="zh-CN" w:bidi="en-US"/>
        </w:rPr>
        <w:t xml:space="preserve">               </w:t>
      </w:r>
      <w:r>
        <w:rPr>
          <w:rFonts w:hint="eastAsia" w:cs="宋体"/>
          <w:color w:val="auto"/>
          <w:szCs w:val="21"/>
          <w:highlight w:val="none"/>
          <w:lang w:bidi="en-US"/>
        </w:rPr>
        <w:t>。</w:t>
      </w:r>
    </w:p>
    <w:p w14:paraId="0BB65EAF">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3.在履行合同过程中，如遇下列情况，需延迟履行或调整费用，双方应及时进行协商，并通过书面形式确定顺延期限或调整费用。如双方无法达成协议，则乙方有权依照本合同之规定延期履行或继续按照原合同规定履行义务。在此情况下， 乙方不承担相应的违约责任: </w:t>
      </w:r>
    </w:p>
    <w:p w14:paraId="767D31E6">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(1)本合同第八条规定的不可抗力事件被迫停工的；</w:t>
      </w:r>
    </w:p>
    <w:p w14:paraId="6E947C53">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(2)因甲方修改项目结构、或甲方变更技术要求、技术规格、或甲方提出会导致工期延长的其他要求的; </w:t>
      </w:r>
    </w:p>
    <w:p w14:paraId="78DA1474">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(3)政府政策、法律、法规、行业管理规定和/或强制性技术标准的改变而导致必须变更技术要求、技术规格或因此而导致服务期延长的其他情况。 </w:t>
      </w:r>
    </w:p>
    <w:p w14:paraId="36D281AC">
      <w:pPr>
        <w:adjustRightInd/>
        <w:ind w:firstLine="482" w:firstLineChars="200"/>
        <w:textAlignment w:val="auto"/>
        <w:rPr>
          <w:rFonts w:cs="宋体"/>
          <w:color w:val="auto"/>
          <w:szCs w:val="24"/>
          <w:highlight w:val="none"/>
          <w:lang w:bidi="en-US"/>
        </w:rPr>
      </w:pPr>
      <w:r>
        <w:rPr>
          <w:rFonts w:hint="eastAsia" w:cs="宋体"/>
          <w:b/>
          <w:color w:val="auto"/>
          <w:szCs w:val="24"/>
          <w:highlight w:val="none"/>
          <w:lang w:bidi="en-US"/>
        </w:rPr>
        <w:t>第二条 履行期限</w:t>
      </w:r>
      <w:r>
        <w:rPr>
          <w:rFonts w:hint="eastAsia" w:cs="宋体"/>
          <w:color w:val="auto"/>
          <w:szCs w:val="24"/>
          <w:highlight w:val="none"/>
          <w:lang w:bidi="en-US"/>
        </w:rPr>
        <w:t xml:space="preserve"> </w:t>
      </w:r>
    </w:p>
    <w:p w14:paraId="297E2EBD">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服务期限为</w:t>
      </w:r>
      <w:r>
        <w:rPr>
          <w:rFonts w:hint="eastAsia" w:cs="宋体"/>
          <w:color w:val="auto"/>
          <w:szCs w:val="24"/>
          <w:highlight w:val="none"/>
          <w:u w:val="single"/>
          <w:lang w:bidi="en-US"/>
        </w:rPr>
        <w:t xml:space="preserve">    </w:t>
      </w:r>
      <w:r>
        <w:rPr>
          <w:rFonts w:hint="eastAsia" w:cs="宋体"/>
          <w:color w:val="auto"/>
          <w:szCs w:val="24"/>
          <w:highlight w:val="none"/>
          <w:lang w:bidi="en-US"/>
        </w:rPr>
        <w:t>年</w:t>
      </w:r>
      <w:r>
        <w:rPr>
          <w:rFonts w:hint="eastAsia" w:cs="宋体"/>
          <w:color w:val="auto"/>
          <w:szCs w:val="24"/>
          <w:highlight w:val="none"/>
          <w:u w:val="single"/>
          <w:lang w:bidi="en-US"/>
        </w:rPr>
        <w:t xml:space="preserve">    </w:t>
      </w:r>
      <w:r>
        <w:rPr>
          <w:rFonts w:hint="eastAsia" w:cs="宋体"/>
          <w:color w:val="auto"/>
          <w:szCs w:val="24"/>
          <w:highlight w:val="none"/>
          <w:lang w:bidi="en-US"/>
        </w:rPr>
        <w:t>月</w:t>
      </w:r>
      <w:r>
        <w:rPr>
          <w:rFonts w:hint="eastAsia" w:cs="宋体"/>
          <w:color w:val="auto"/>
          <w:szCs w:val="24"/>
          <w:highlight w:val="none"/>
          <w:u w:val="single"/>
          <w:lang w:bidi="en-US"/>
        </w:rPr>
        <w:t xml:space="preserve">    </w:t>
      </w:r>
      <w:r>
        <w:rPr>
          <w:rFonts w:hint="eastAsia" w:cs="宋体"/>
          <w:color w:val="auto"/>
          <w:szCs w:val="24"/>
          <w:highlight w:val="none"/>
          <w:lang w:bidi="en-US"/>
        </w:rPr>
        <w:t>日至</w:t>
      </w:r>
      <w:r>
        <w:rPr>
          <w:rFonts w:hint="eastAsia" w:cs="宋体"/>
          <w:color w:val="auto"/>
          <w:szCs w:val="24"/>
          <w:highlight w:val="none"/>
          <w:u w:val="single"/>
          <w:lang w:bidi="en-US"/>
        </w:rPr>
        <w:t xml:space="preserve">    </w:t>
      </w:r>
      <w:r>
        <w:rPr>
          <w:rFonts w:hint="eastAsia" w:cs="宋体"/>
          <w:color w:val="auto"/>
          <w:szCs w:val="24"/>
          <w:highlight w:val="none"/>
          <w:lang w:bidi="en-US"/>
        </w:rPr>
        <w:t>年</w:t>
      </w:r>
      <w:r>
        <w:rPr>
          <w:rFonts w:hint="eastAsia" w:cs="宋体"/>
          <w:color w:val="auto"/>
          <w:szCs w:val="24"/>
          <w:highlight w:val="none"/>
          <w:u w:val="single"/>
          <w:lang w:bidi="en-US"/>
        </w:rPr>
        <w:t xml:space="preserve">    </w:t>
      </w:r>
      <w:r>
        <w:rPr>
          <w:rFonts w:hint="eastAsia" w:cs="宋体"/>
          <w:color w:val="auto"/>
          <w:szCs w:val="24"/>
          <w:highlight w:val="none"/>
          <w:lang w:bidi="en-US"/>
        </w:rPr>
        <w:t>月</w:t>
      </w:r>
      <w:r>
        <w:rPr>
          <w:rFonts w:hint="eastAsia" w:cs="宋体"/>
          <w:color w:val="auto"/>
          <w:szCs w:val="24"/>
          <w:highlight w:val="none"/>
          <w:u w:val="single"/>
          <w:lang w:bidi="en-US"/>
        </w:rPr>
        <w:t xml:space="preserve">    </w:t>
      </w:r>
      <w:r>
        <w:rPr>
          <w:rFonts w:hint="eastAsia" w:cs="宋体"/>
          <w:color w:val="auto"/>
          <w:szCs w:val="24"/>
          <w:highlight w:val="none"/>
          <w:lang w:bidi="en-US"/>
        </w:rPr>
        <w:t>日止， 共</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 </w:t>
      </w:r>
    </w:p>
    <w:p w14:paraId="0A489C5A">
      <w:pPr>
        <w:adjustRightInd/>
        <w:ind w:firstLine="482" w:firstLineChars="200"/>
        <w:textAlignment w:val="auto"/>
        <w:rPr>
          <w:rFonts w:cs="宋体"/>
          <w:color w:val="auto"/>
          <w:szCs w:val="24"/>
          <w:highlight w:val="none"/>
          <w:lang w:bidi="en-US"/>
        </w:rPr>
      </w:pPr>
      <w:r>
        <w:rPr>
          <w:rFonts w:hint="eastAsia" w:cs="宋体"/>
          <w:b/>
          <w:color w:val="auto"/>
          <w:szCs w:val="24"/>
          <w:highlight w:val="none"/>
          <w:lang w:bidi="en-US"/>
        </w:rPr>
        <w:t>第三条 合同金额及付款方式</w:t>
      </w:r>
    </w:p>
    <w:p w14:paraId="2E62A7EF">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1.合同总金额为:</w:t>
      </w:r>
      <w:r>
        <w:rPr>
          <w:rFonts w:hint="eastAsia" w:cs="宋体"/>
          <w:color w:val="auto"/>
          <w:szCs w:val="24"/>
          <w:highlight w:val="none"/>
          <w:u w:val="single"/>
          <w:lang w:bidi="en-US"/>
        </w:rPr>
        <w:t xml:space="preserve">         </w:t>
      </w:r>
      <w:r>
        <w:rPr>
          <w:rFonts w:hint="eastAsia" w:cs="宋体"/>
          <w:color w:val="auto"/>
          <w:szCs w:val="24"/>
          <w:highlight w:val="none"/>
          <w:lang w:bidi="en-US"/>
        </w:rPr>
        <w:t>元, 大写:</w:t>
      </w:r>
      <w:r>
        <w:rPr>
          <w:rFonts w:hint="eastAsia" w:cs="宋体"/>
          <w:color w:val="auto"/>
          <w:szCs w:val="24"/>
          <w:highlight w:val="none"/>
          <w:u w:val="single"/>
          <w:lang w:bidi="en-US"/>
        </w:rPr>
        <w:t xml:space="preserve">         </w:t>
      </w:r>
      <w:r>
        <w:rPr>
          <w:rFonts w:hint="eastAsia" w:cs="宋体"/>
          <w:color w:val="auto"/>
          <w:szCs w:val="24"/>
          <w:highlight w:val="none"/>
          <w:lang w:bidi="en-US"/>
        </w:rPr>
        <w:t>。</w:t>
      </w:r>
    </w:p>
    <w:p w14:paraId="63E5E3BE">
      <w:pPr>
        <w:adjustRightInd/>
        <w:ind w:left="240" w:leftChars="100" w:firstLine="240" w:firstLineChars="100"/>
        <w:textAlignment w:val="auto"/>
        <w:rPr>
          <w:rFonts w:cs="宋体"/>
          <w:color w:val="auto"/>
          <w:szCs w:val="24"/>
          <w:highlight w:val="none"/>
          <w:lang w:bidi="en-US"/>
        </w:rPr>
      </w:pPr>
      <w:r>
        <w:rPr>
          <w:rFonts w:hint="eastAsia" w:cs="宋体"/>
          <w:color w:val="auto"/>
          <w:szCs w:val="24"/>
          <w:highlight w:val="none"/>
          <w:lang w:bidi="en-US"/>
        </w:rPr>
        <w:t>2.付款方式:合同签订之日起</w:t>
      </w:r>
      <w:r>
        <w:rPr>
          <w:rFonts w:hint="eastAsia" w:cs="宋体"/>
          <w:color w:val="auto"/>
          <w:szCs w:val="24"/>
          <w:highlight w:val="none"/>
          <w:u w:val="single"/>
          <w:lang w:bidi="en-US"/>
        </w:rPr>
        <w:t xml:space="preserve"> </w:t>
      </w:r>
      <w:r>
        <w:rPr>
          <w:rFonts w:hint="eastAsia" w:cs="宋体"/>
          <w:color w:val="auto"/>
          <w:szCs w:val="24"/>
          <w:highlight w:val="none"/>
          <w:lang w:bidi="en-US"/>
        </w:rPr>
        <w:t>日内甲方预付合同总金额</w:t>
      </w:r>
      <w:r>
        <w:rPr>
          <w:rFonts w:hint="eastAsia" w:cs="宋体"/>
          <w:color w:val="auto"/>
          <w:szCs w:val="24"/>
          <w:highlight w:val="none"/>
          <w:u w:val="single"/>
          <w:lang w:bidi="en-US"/>
        </w:rPr>
        <w:t xml:space="preserve">   </w:t>
      </w:r>
      <w:r>
        <w:rPr>
          <w:rFonts w:hint="eastAsia" w:cs="宋体"/>
          <w:color w:val="auto"/>
          <w:szCs w:val="24"/>
          <w:highlight w:val="none"/>
          <w:lang w:bidi="en-US"/>
        </w:rPr>
        <w:t>%（  元），县级验收完成后支付合同总金额</w:t>
      </w:r>
      <w:r>
        <w:rPr>
          <w:rFonts w:hint="eastAsia" w:cs="宋体"/>
          <w:color w:val="auto"/>
          <w:szCs w:val="24"/>
          <w:highlight w:val="none"/>
          <w:u w:val="single"/>
          <w:lang w:bidi="en-US"/>
        </w:rPr>
        <w:t xml:space="preserve">  </w:t>
      </w:r>
      <w:r>
        <w:rPr>
          <w:rFonts w:hint="eastAsia" w:cs="宋体"/>
          <w:color w:val="auto"/>
          <w:szCs w:val="24"/>
          <w:highlight w:val="none"/>
          <w:lang w:bidi="en-US"/>
        </w:rPr>
        <w:t>%（  元），最后的</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  元），按乙方响应文件承诺的服务全部兑现后付清。乙方向甲方开具等额符合国家规定的有效发票。 </w:t>
      </w:r>
    </w:p>
    <w:p w14:paraId="1D72F2F8">
      <w:pPr>
        <w:adjustRightInd/>
        <w:ind w:firstLine="482" w:firstLineChars="200"/>
        <w:textAlignment w:val="auto"/>
        <w:rPr>
          <w:rFonts w:cs="宋体"/>
          <w:color w:val="auto"/>
          <w:szCs w:val="24"/>
          <w:highlight w:val="none"/>
          <w:lang w:bidi="en-US"/>
        </w:rPr>
      </w:pPr>
      <w:r>
        <w:rPr>
          <w:rFonts w:hint="eastAsia" w:cs="宋体"/>
          <w:b/>
          <w:color w:val="auto"/>
          <w:szCs w:val="24"/>
          <w:highlight w:val="none"/>
          <w:lang w:bidi="en-US"/>
        </w:rPr>
        <w:t>第四条 保密</w:t>
      </w:r>
      <w:r>
        <w:rPr>
          <w:rFonts w:hint="eastAsia" w:cs="宋体"/>
          <w:color w:val="auto"/>
          <w:szCs w:val="24"/>
          <w:highlight w:val="none"/>
          <w:lang w:bidi="en-US"/>
        </w:rPr>
        <w:t xml:space="preserve"> </w:t>
      </w:r>
    </w:p>
    <w:p w14:paraId="674DDC2C">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1.本合同项下甲方的信息、知识、数据、图纸、分析、计算等文件、资料或其他任何智力成果以及任何包括或根据全部或部分该等信息而形成的材料为保密信息。但上述保密信息不应包括以下信息: </w:t>
      </w:r>
    </w:p>
    <w:p w14:paraId="02103F48">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(1) 任何众所周知或非因乙方原因而变为众所周知的信息; </w:t>
      </w:r>
    </w:p>
    <w:p w14:paraId="7D0261B2">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(2) 任何乙方无须承担保密义务且有权从第三方处获得的信息; </w:t>
      </w:r>
    </w:p>
    <w:p w14:paraId="0B5C2CFC">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(3) 由乙方独立发展的信息; </w:t>
      </w:r>
    </w:p>
    <w:p w14:paraId="0F480805">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(4) 任何法律规定、 政府指令、法院命令和/或任何一方控股公司注册的证券交易所要求披露的信息。 </w:t>
      </w:r>
    </w:p>
    <w:p w14:paraId="2741B159">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2.乙方同意在本协议期间及之后的</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年内，在未获得甲方任何事先书面同意前，不会因任何理由或目的将保密信息披露予任何其他第三方。如因乙方原因(包括已经离开乙方的人员)泄密，乙方承担因泄密给甲方造成的全部直接和间接损失。 </w:t>
      </w:r>
    </w:p>
    <w:p w14:paraId="3BFD7D03">
      <w:pPr>
        <w:adjustRightInd/>
        <w:ind w:firstLine="482" w:firstLineChars="200"/>
        <w:textAlignment w:val="auto"/>
        <w:rPr>
          <w:rFonts w:cs="宋体"/>
          <w:color w:val="auto"/>
          <w:szCs w:val="24"/>
          <w:highlight w:val="none"/>
          <w:lang w:bidi="en-US"/>
        </w:rPr>
      </w:pPr>
      <w:r>
        <w:rPr>
          <w:rFonts w:hint="eastAsia" w:cs="宋体"/>
          <w:b/>
          <w:color w:val="auto"/>
          <w:szCs w:val="24"/>
          <w:highlight w:val="none"/>
          <w:lang w:bidi="en-US"/>
        </w:rPr>
        <w:t>第五条 违约责任</w:t>
      </w:r>
      <w:r>
        <w:rPr>
          <w:rFonts w:hint="eastAsia" w:cs="宋体"/>
          <w:color w:val="auto"/>
          <w:szCs w:val="24"/>
          <w:highlight w:val="none"/>
          <w:lang w:bidi="en-US"/>
        </w:rPr>
        <w:t xml:space="preserve"> </w:t>
      </w:r>
    </w:p>
    <w:p w14:paraId="4D97FD31">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1. 甲方逾期付款的，应按日向乙方支付合同总额</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的迟延违约金，但违约金不应超过本合同第三条 1 款项下规定的合同总金额; </w:t>
      </w:r>
    </w:p>
    <w:p w14:paraId="227453D7">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2. 乙方未在合同约定的时间内进行服务， 则乙方应按合同总额的</w:t>
      </w:r>
      <w:r>
        <w:rPr>
          <w:rFonts w:hint="eastAsia" w:cs="宋体"/>
          <w:color w:val="auto"/>
          <w:szCs w:val="24"/>
          <w:highlight w:val="none"/>
          <w:u w:val="single"/>
          <w:lang w:bidi="en-US"/>
        </w:rPr>
        <w:t xml:space="preserve">     </w:t>
      </w:r>
      <w:r>
        <w:rPr>
          <w:rFonts w:hint="eastAsia" w:cs="宋体"/>
          <w:color w:val="auto"/>
          <w:szCs w:val="24"/>
          <w:highlight w:val="none"/>
          <w:lang w:bidi="en-US"/>
        </w:rPr>
        <w:t>支付违约金，乙方违约次数达到</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次，则甲方有权解除合同; </w:t>
      </w:r>
    </w:p>
    <w:p w14:paraId="42284637">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3. 乙方因服务质量问题给甲方造成损失的， 应按合同总额的</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支付违约金，违约金不足以弥补损失的，乙方应继续负责赔偿。 </w:t>
      </w:r>
    </w:p>
    <w:p w14:paraId="182495D3">
      <w:pPr>
        <w:adjustRightInd/>
        <w:ind w:firstLine="482" w:firstLineChars="200"/>
        <w:textAlignment w:val="auto"/>
        <w:rPr>
          <w:rFonts w:cs="宋体"/>
          <w:color w:val="auto"/>
          <w:szCs w:val="24"/>
          <w:highlight w:val="none"/>
          <w:lang w:bidi="en-US"/>
        </w:rPr>
      </w:pPr>
      <w:r>
        <w:rPr>
          <w:rFonts w:hint="eastAsia" w:cs="宋体"/>
          <w:b/>
          <w:color w:val="auto"/>
          <w:szCs w:val="24"/>
          <w:highlight w:val="none"/>
          <w:lang w:bidi="en-US"/>
        </w:rPr>
        <w:t xml:space="preserve">第六条 解决争议方式 </w:t>
      </w:r>
    </w:p>
    <w:p w14:paraId="29940940">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凡是因执行合同或与合同有关事项所发生的争执，双方以友好协商的原则妥善解决;如协商不能解决时，按下列第</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种方式解决。 </w:t>
      </w:r>
    </w:p>
    <w:p w14:paraId="02EFA1A9">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1. 提交</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仲裁委员会按照该会现行仲裁规则和程序进行仲裁; </w:t>
      </w:r>
    </w:p>
    <w:p w14:paraId="7A3773DE">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2. 依法向</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人民法院起诉。 </w:t>
      </w:r>
    </w:p>
    <w:p w14:paraId="0E6305C4">
      <w:pPr>
        <w:adjustRightInd/>
        <w:ind w:firstLine="482" w:firstLineChars="200"/>
        <w:textAlignment w:val="auto"/>
        <w:rPr>
          <w:rFonts w:cs="宋体"/>
          <w:b/>
          <w:color w:val="auto"/>
          <w:szCs w:val="24"/>
          <w:highlight w:val="none"/>
          <w:lang w:bidi="en-US"/>
        </w:rPr>
      </w:pPr>
      <w:r>
        <w:rPr>
          <w:rFonts w:hint="eastAsia" w:cs="宋体"/>
          <w:b/>
          <w:color w:val="auto"/>
          <w:szCs w:val="24"/>
          <w:highlight w:val="none"/>
          <w:lang w:bidi="en-US"/>
        </w:rPr>
        <w:t xml:space="preserve">第七条 合同生效时间 </w:t>
      </w:r>
    </w:p>
    <w:p w14:paraId="1112A0D9">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甲乙双方法定代表人或授权代表签字并加盖公章之日起生效。 </w:t>
      </w:r>
    </w:p>
    <w:p w14:paraId="3B59E768">
      <w:pPr>
        <w:adjustRightInd/>
        <w:ind w:firstLine="482" w:firstLineChars="200"/>
        <w:textAlignment w:val="auto"/>
        <w:rPr>
          <w:rFonts w:cs="宋体"/>
          <w:color w:val="auto"/>
          <w:szCs w:val="24"/>
          <w:highlight w:val="none"/>
          <w:lang w:bidi="en-US"/>
        </w:rPr>
      </w:pPr>
      <w:r>
        <w:rPr>
          <w:rFonts w:hint="eastAsia" w:cs="宋体"/>
          <w:b/>
          <w:color w:val="auto"/>
          <w:szCs w:val="24"/>
          <w:highlight w:val="none"/>
          <w:lang w:bidi="en-US"/>
        </w:rPr>
        <w:t>第八条 不可抗力</w:t>
      </w:r>
      <w:r>
        <w:rPr>
          <w:rFonts w:hint="eastAsia" w:cs="宋体"/>
          <w:color w:val="auto"/>
          <w:szCs w:val="24"/>
          <w:highlight w:val="none"/>
          <w:lang w:bidi="en-US"/>
        </w:rPr>
        <w:t xml:space="preserve"> </w:t>
      </w:r>
    </w:p>
    <w:p w14:paraId="2139695D">
      <w:pPr>
        <w:adjustRightInd/>
        <w:ind w:firstLine="480" w:firstLineChars="200"/>
        <w:textAlignment w:val="auto"/>
        <w:rPr>
          <w:rFonts w:cs="宋体"/>
          <w:color w:val="auto"/>
          <w:szCs w:val="24"/>
          <w:highlight w:val="none"/>
          <w:u w:val="single"/>
          <w:lang w:bidi="en-US"/>
        </w:rPr>
      </w:pPr>
      <w:r>
        <w:rPr>
          <w:rFonts w:hint="eastAsia" w:cs="宋体"/>
          <w:color w:val="auto"/>
          <w:szCs w:val="24"/>
          <w:highlight w:val="none"/>
          <w:lang w:bidi="en-US"/>
        </w:rPr>
        <w:t>任何一方由于不可抗力(如六级以上地震、七级以上台风、洪水、火灾、战争、传染病或其他无法预见、克服和避免的事件或情形等)的原因不能履行合同时， 应以书面形式及时通知向另一方其不能履行或不能完全履行的理由， 并应在</w:t>
      </w:r>
      <w:r>
        <w:rPr>
          <w:rFonts w:hint="eastAsia" w:cs="宋体"/>
          <w:color w:val="auto"/>
          <w:szCs w:val="24"/>
          <w:highlight w:val="none"/>
          <w:u w:val="single"/>
          <w:lang w:bidi="en-US"/>
        </w:rPr>
        <w:t xml:space="preserve">   </w:t>
      </w:r>
      <w:r>
        <w:rPr>
          <w:rFonts w:hint="eastAsia" w:cs="宋体"/>
          <w:color w:val="auto"/>
          <w:szCs w:val="24"/>
          <w:highlight w:val="none"/>
          <w:lang w:bidi="en-US"/>
        </w:rPr>
        <w:t>日内将当地政府出具的发生不可抗力事件的证明提交给另一方。在发生不可抗力的情况下，应视情形允许延期履行、部分履行或者不履行合同，并可以免除责任。</w:t>
      </w:r>
    </w:p>
    <w:p w14:paraId="14911AA0">
      <w:pPr>
        <w:adjustRightInd/>
        <w:ind w:firstLine="482" w:firstLineChars="200"/>
        <w:textAlignment w:val="auto"/>
        <w:rPr>
          <w:rFonts w:cs="宋体"/>
          <w:color w:val="auto"/>
          <w:szCs w:val="24"/>
          <w:highlight w:val="none"/>
          <w:lang w:bidi="en-US"/>
        </w:rPr>
      </w:pPr>
      <w:r>
        <w:rPr>
          <w:rFonts w:hint="eastAsia" w:cs="宋体"/>
          <w:b/>
          <w:color w:val="auto"/>
          <w:szCs w:val="24"/>
          <w:highlight w:val="none"/>
          <w:lang w:bidi="en-US"/>
        </w:rPr>
        <w:t>第九条 其他事项</w:t>
      </w:r>
      <w:r>
        <w:rPr>
          <w:rFonts w:hint="eastAsia" w:cs="宋体"/>
          <w:color w:val="auto"/>
          <w:szCs w:val="24"/>
          <w:highlight w:val="none"/>
          <w:lang w:bidi="en-US"/>
        </w:rPr>
        <w:t xml:space="preserve"> </w:t>
      </w:r>
    </w:p>
    <w:p w14:paraId="37877ADE">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1.本合同一式</w:t>
      </w:r>
      <w:r>
        <w:rPr>
          <w:rFonts w:hint="eastAsia" w:cs="宋体"/>
          <w:color w:val="auto"/>
          <w:szCs w:val="24"/>
          <w:highlight w:val="none"/>
          <w:u w:val="single"/>
          <w:lang w:bidi="en-US"/>
        </w:rPr>
        <w:t xml:space="preserve">      </w:t>
      </w:r>
      <w:r>
        <w:rPr>
          <w:rFonts w:hint="eastAsia" w:cs="宋体"/>
          <w:color w:val="auto"/>
          <w:szCs w:val="24"/>
          <w:highlight w:val="none"/>
          <w:lang w:bidi="en-US"/>
        </w:rPr>
        <w:t>份， 双方各执</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份。未尽事宜，由双方协商解决，对本合同条款的任何修改或补充，均应由甲乙双方以书面形式予以确认。 </w:t>
      </w:r>
    </w:p>
    <w:p w14:paraId="48BD12D3">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2.乙方为履行本合同项下义务所开发/创造的知识产权归甲乙双方共同所有。 </w:t>
      </w:r>
    </w:p>
    <w:p w14:paraId="2DF3925F">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3.乙方应提前</w:t>
      </w:r>
      <w:r>
        <w:rPr>
          <w:rFonts w:hint="eastAsia" w:cs="宋体"/>
          <w:color w:val="auto"/>
          <w:szCs w:val="24"/>
          <w:highlight w:val="none"/>
          <w:u w:val="single"/>
          <w:lang w:bidi="en-US"/>
        </w:rPr>
        <w:t xml:space="preserve">    </w:t>
      </w:r>
      <w:r>
        <w:rPr>
          <w:rFonts w:hint="eastAsia" w:cs="宋体"/>
          <w:color w:val="auto"/>
          <w:szCs w:val="24"/>
          <w:highlight w:val="none"/>
          <w:lang w:bidi="en-US"/>
        </w:rPr>
        <w:t xml:space="preserve">日书面通知甲方并征得书面同意后，方可将其在本合同中的任何权利和义务转让或分包给第三方。 </w:t>
      </w:r>
    </w:p>
    <w:p w14:paraId="7E9FF316">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4.本合同各条款皆是双方充分协商订立的，并知晓各条款的内容和含义。 </w:t>
      </w:r>
    </w:p>
    <w:p w14:paraId="295D5F42">
      <w:pPr>
        <w:adjustRightInd/>
        <w:ind w:firstLine="482" w:firstLineChars="200"/>
        <w:textAlignment w:val="auto"/>
        <w:rPr>
          <w:rFonts w:cs="宋体"/>
          <w:b/>
          <w:color w:val="auto"/>
          <w:szCs w:val="24"/>
          <w:highlight w:val="none"/>
          <w:lang w:bidi="en-US"/>
        </w:rPr>
      </w:pPr>
      <w:r>
        <w:rPr>
          <w:rFonts w:hint="eastAsia" w:cs="宋体"/>
          <w:b/>
          <w:color w:val="auto"/>
          <w:szCs w:val="24"/>
          <w:highlight w:val="none"/>
          <w:lang w:bidi="en-US"/>
        </w:rPr>
        <w:t xml:space="preserve">第十条 合同附件 </w:t>
      </w:r>
    </w:p>
    <w:p w14:paraId="0C5CA6A2">
      <w:pPr>
        <w:adjustRightInd/>
        <w:ind w:firstLine="480" w:firstLineChars="200"/>
        <w:textAlignment w:val="auto"/>
        <w:rPr>
          <w:rFonts w:cs="宋体"/>
          <w:color w:val="auto"/>
          <w:szCs w:val="24"/>
          <w:highlight w:val="none"/>
          <w:lang w:bidi="en-US"/>
        </w:rPr>
      </w:pPr>
      <w:r>
        <w:rPr>
          <w:rFonts w:hint="eastAsia" w:cs="宋体"/>
          <w:color w:val="auto"/>
          <w:szCs w:val="24"/>
          <w:highlight w:val="none"/>
          <w:lang w:bidi="en-US"/>
        </w:rPr>
        <w:t xml:space="preserve">合同附件为本合同不可分割部分，与合同正文具有同等法律效力。如果附件和合同正文有冲突，以合同正文为准。 </w:t>
      </w:r>
    </w:p>
    <w:p w14:paraId="676D51D1">
      <w:pPr>
        <w:rPr>
          <w:rFonts w:cs="宋体"/>
          <w:b/>
          <w:bCs/>
          <w:color w:val="auto"/>
          <w:szCs w:val="24"/>
          <w:highlight w:val="none"/>
        </w:rPr>
      </w:pPr>
    </w:p>
    <w:p w14:paraId="234E52C4">
      <w:pPr>
        <w:rPr>
          <w:rFonts w:cs="宋体"/>
          <w:b/>
          <w:bCs/>
          <w:color w:val="auto"/>
          <w:highlight w:val="none"/>
        </w:rPr>
      </w:pPr>
      <w:r>
        <w:rPr>
          <w:rFonts w:hint="eastAsia" w:cs="宋体"/>
          <w:b/>
          <w:bCs/>
          <w:color w:val="auto"/>
          <w:highlight w:val="none"/>
        </w:rPr>
        <w:t xml:space="preserve">甲方（章）：                              乙方（章）： </w:t>
      </w:r>
    </w:p>
    <w:p w14:paraId="3663FDA6">
      <w:pPr>
        <w:rPr>
          <w:rFonts w:cs="宋体"/>
          <w:color w:val="auto"/>
          <w:highlight w:val="none"/>
        </w:rPr>
      </w:pPr>
      <w:r>
        <w:rPr>
          <w:rFonts w:hint="eastAsia" w:cs="宋体"/>
          <w:color w:val="auto"/>
          <w:highlight w:val="none"/>
        </w:rPr>
        <w:t>法人代表：                                法人代表：</w:t>
      </w:r>
    </w:p>
    <w:p w14:paraId="14597874">
      <w:pPr>
        <w:rPr>
          <w:rFonts w:cs="宋体"/>
          <w:color w:val="auto"/>
          <w:highlight w:val="none"/>
        </w:rPr>
      </w:pPr>
      <w:r>
        <w:rPr>
          <w:rFonts w:hint="eastAsia" w:cs="宋体"/>
          <w:color w:val="auto"/>
          <w:highlight w:val="none"/>
        </w:rPr>
        <w:t>委托代理人：                              委托代理人：</w:t>
      </w:r>
    </w:p>
    <w:p w14:paraId="155105C1">
      <w:pPr>
        <w:rPr>
          <w:rFonts w:cs="宋体"/>
          <w:color w:val="auto"/>
          <w:highlight w:val="none"/>
        </w:rPr>
      </w:pPr>
      <w:r>
        <w:rPr>
          <w:rFonts w:hint="eastAsia" w:cs="宋体"/>
          <w:color w:val="auto"/>
          <w:highlight w:val="none"/>
        </w:rPr>
        <w:t>地址：                                    地址：</w:t>
      </w:r>
    </w:p>
    <w:p w14:paraId="2A081092">
      <w:pPr>
        <w:rPr>
          <w:rFonts w:cs="宋体"/>
          <w:color w:val="auto"/>
          <w:highlight w:val="none"/>
        </w:rPr>
      </w:pPr>
      <w:r>
        <w:rPr>
          <w:rFonts w:hint="eastAsia" w:cs="宋体"/>
          <w:color w:val="auto"/>
          <w:highlight w:val="none"/>
        </w:rPr>
        <w:t>电 话：                                   电话：</w:t>
      </w:r>
    </w:p>
    <w:p w14:paraId="240F68F7">
      <w:pPr>
        <w:rPr>
          <w:rFonts w:cs="宋体"/>
          <w:color w:val="auto"/>
          <w:highlight w:val="none"/>
        </w:rPr>
      </w:pPr>
      <w:r>
        <w:rPr>
          <w:rFonts w:hint="eastAsia" w:cs="宋体"/>
          <w:color w:val="auto"/>
          <w:highlight w:val="none"/>
        </w:rPr>
        <w:t>开户银行：                                开户银行：</w:t>
      </w:r>
    </w:p>
    <w:p w14:paraId="7DDAE201">
      <w:pPr>
        <w:rPr>
          <w:rFonts w:cs="宋体"/>
          <w:color w:val="auto"/>
          <w:highlight w:val="none"/>
        </w:rPr>
      </w:pPr>
      <w:r>
        <w:rPr>
          <w:rFonts w:hint="eastAsia" w:cs="宋体"/>
          <w:color w:val="auto"/>
          <w:highlight w:val="none"/>
        </w:rPr>
        <w:t>银行账号：                                银行账号：</w:t>
      </w:r>
    </w:p>
    <w:p w14:paraId="4F96FC8B">
      <w:pPr>
        <w:rPr>
          <w:rFonts w:cs="宋体"/>
          <w:color w:val="auto"/>
          <w:highlight w:val="none"/>
        </w:rPr>
      </w:pPr>
      <w:r>
        <w:rPr>
          <w:rFonts w:hint="eastAsia" w:cs="宋体"/>
          <w:color w:val="auto"/>
          <w:highlight w:val="none"/>
        </w:rPr>
        <w:t>日期：2024年    月    日                 日期：2024年    月    日</w:t>
      </w:r>
    </w:p>
    <w:p w14:paraId="38541905">
      <w:pPr>
        <w:rPr>
          <w:rFonts w:cs="宋体"/>
          <w:color w:val="auto"/>
          <w:highlight w:val="none"/>
          <w:lang w:val="fr-FR"/>
        </w:rPr>
      </w:pPr>
      <w:r>
        <w:rPr>
          <w:rFonts w:hint="eastAsia" w:cs="宋体"/>
          <w:color w:val="auto"/>
          <w:highlight w:val="none"/>
          <w:lang w:val="fr-FR"/>
        </w:rPr>
        <w:br w:type="page"/>
      </w:r>
    </w:p>
    <w:p w14:paraId="29D3EB9C">
      <w:pPr>
        <w:pStyle w:val="2"/>
        <w:rPr>
          <w:rFonts w:cs="宋体"/>
          <w:color w:val="auto"/>
          <w:highlight w:val="none"/>
        </w:rPr>
      </w:pPr>
      <w:bookmarkStart w:id="91" w:name="_Toc18483809"/>
      <w:bookmarkStart w:id="92" w:name="_Toc24542"/>
      <w:r>
        <w:rPr>
          <w:rFonts w:hint="eastAsia" w:cs="宋体"/>
          <w:color w:val="auto"/>
          <w:highlight w:val="none"/>
        </w:rPr>
        <w:t>第七部分</w:t>
      </w:r>
      <w:bookmarkStart w:id="93" w:name="_Toc86202632"/>
      <w:r>
        <w:rPr>
          <w:rFonts w:hint="eastAsia" w:cs="宋体"/>
          <w:color w:val="auto"/>
          <w:highlight w:val="none"/>
        </w:rPr>
        <w:t xml:space="preserve"> 响应文件格式</w:t>
      </w:r>
      <w:bookmarkEnd w:id="91"/>
      <w:bookmarkEnd w:id="92"/>
      <w:bookmarkEnd w:id="93"/>
      <w:bookmarkStart w:id="94" w:name="_Toc175644062"/>
      <w:bookmarkStart w:id="95" w:name="_Toc86202633"/>
    </w:p>
    <w:p w14:paraId="0BC8B8C2">
      <w:pPr>
        <w:pStyle w:val="7"/>
        <w:ind w:firstLine="480"/>
        <w:rPr>
          <w:rFonts w:cs="宋体"/>
          <w:color w:val="auto"/>
          <w:highlight w:val="none"/>
        </w:rPr>
      </w:pPr>
    </w:p>
    <w:bookmarkEnd w:id="94"/>
    <w:bookmarkEnd w:id="95"/>
    <w:p w14:paraId="65418A1A">
      <w:pPr>
        <w:pStyle w:val="7"/>
        <w:ind w:firstLine="480"/>
        <w:rPr>
          <w:rFonts w:cs="宋体"/>
          <w:color w:val="auto"/>
          <w:highlight w:val="none"/>
        </w:rPr>
      </w:pPr>
      <w:r>
        <w:rPr>
          <w:rFonts w:hint="eastAsia" w:cs="宋体"/>
          <w:color w:val="auto"/>
          <w:highlight w:val="none"/>
        </w:rPr>
        <w:t>1．供应商应严格按照以下顺序填写，并按“政采云系统”中规定的要求，形成独立的PDF格式文件提交下述规定的全部格式文件以及其他有关资料，混乱的编排导致响应文件被误读或查找不到，后果由供应商承担。</w:t>
      </w:r>
    </w:p>
    <w:p w14:paraId="36BB3C28">
      <w:pPr>
        <w:pStyle w:val="7"/>
        <w:ind w:firstLine="480"/>
        <w:rPr>
          <w:rFonts w:cs="宋体"/>
          <w:color w:val="auto"/>
          <w:highlight w:val="none"/>
        </w:rPr>
      </w:pPr>
      <w:r>
        <w:rPr>
          <w:rFonts w:hint="eastAsia" w:cs="宋体"/>
          <w:color w:val="auto"/>
          <w:highlight w:val="none"/>
        </w:rPr>
        <w:t>2．所附表格中要求回答的全部问题和信息都必须正面回答。</w:t>
      </w:r>
    </w:p>
    <w:p w14:paraId="2966A9F0">
      <w:pPr>
        <w:pStyle w:val="7"/>
        <w:ind w:firstLine="480"/>
        <w:rPr>
          <w:rFonts w:cs="宋体"/>
          <w:color w:val="auto"/>
          <w:highlight w:val="none"/>
        </w:rPr>
      </w:pPr>
      <w:r>
        <w:rPr>
          <w:rFonts w:hint="eastAsia" w:cs="宋体"/>
          <w:color w:val="auto"/>
          <w:highlight w:val="none"/>
        </w:rPr>
        <w:t>3．本声明的签字人应保证全部声明和问题的回答是真实的和准确的。</w:t>
      </w:r>
    </w:p>
    <w:p w14:paraId="4F6C6FDB">
      <w:pPr>
        <w:pStyle w:val="7"/>
        <w:ind w:firstLine="480"/>
        <w:rPr>
          <w:rFonts w:cs="宋体"/>
          <w:color w:val="auto"/>
          <w:highlight w:val="none"/>
        </w:rPr>
      </w:pPr>
      <w:r>
        <w:rPr>
          <w:rFonts w:hint="eastAsia" w:cs="宋体"/>
          <w:color w:val="auto"/>
          <w:highlight w:val="none"/>
        </w:rPr>
        <w:t>4．磋商小组将对供应商提交的资料并根据自己的判断，判定供应商履行合同的合格性及能力。</w:t>
      </w:r>
    </w:p>
    <w:p w14:paraId="5EDEB5F6">
      <w:pPr>
        <w:pStyle w:val="7"/>
        <w:ind w:firstLine="480"/>
        <w:rPr>
          <w:rFonts w:cs="宋体"/>
          <w:color w:val="auto"/>
          <w:highlight w:val="none"/>
        </w:rPr>
      </w:pPr>
      <w:r>
        <w:rPr>
          <w:rFonts w:hint="eastAsia" w:cs="宋体"/>
          <w:color w:val="auto"/>
          <w:highlight w:val="none"/>
        </w:rPr>
        <w:t>5．供应商提交的材料将被妥善保存，但不退还。</w:t>
      </w:r>
    </w:p>
    <w:p w14:paraId="6B8348FF">
      <w:pPr>
        <w:pStyle w:val="7"/>
        <w:ind w:firstLine="480"/>
        <w:rPr>
          <w:rFonts w:cs="宋体"/>
          <w:color w:val="auto"/>
          <w:highlight w:val="none"/>
        </w:rPr>
      </w:pPr>
      <w:r>
        <w:rPr>
          <w:rFonts w:hint="eastAsia" w:cs="宋体"/>
          <w:color w:val="auto"/>
          <w:highlight w:val="none"/>
        </w:rPr>
        <w:t>6．全部文件应按供应商须知中规定的语言和要求提交。</w:t>
      </w:r>
    </w:p>
    <w:p w14:paraId="608815B6">
      <w:pPr>
        <w:rPr>
          <w:rFonts w:cs="宋体"/>
          <w:color w:val="auto"/>
          <w:highlight w:val="none"/>
        </w:rPr>
      </w:pPr>
      <w:r>
        <w:rPr>
          <w:rFonts w:hint="eastAsia" w:cs="宋体"/>
          <w:color w:val="auto"/>
          <w:highlight w:val="none"/>
        </w:rPr>
        <w:br w:type="page"/>
      </w:r>
    </w:p>
    <w:p w14:paraId="0807236E">
      <w:pPr>
        <w:rPr>
          <w:rFonts w:cs="宋体"/>
          <w:color w:val="auto"/>
          <w:highlight w:val="none"/>
        </w:rPr>
      </w:pPr>
      <w:bookmarkStart w:id="96" w:name="_Toc22973"/>
      <w:bookmarkStart w:id="97" w:name="_Toc4524"/>
      <w:r>
        <w:rPr>
          <w:rFonts w:hint="eastAsia" w:cs="宋体"/>
          <w:color w:val="auto"/>
          <w:highlight w:val="none"/>
        </w:rPr>
        <w:t>（格式）</w:t>
      </w:r>
      <w:bookmarkEnd w:id="96"/>
      <w:bookmarkEnd w:id="97"/>
    </w:p>
    <w:p w14:paraId="10503A0B">
      <w:pPr>
        <w:jc w:val="right"/>
        <w:rPr>
          <w:rFonts w:cs="宋体"/>
          <w:b/>
          <w:bCs/>
          <w:color w:val="auto"/>
          <w:sz w:val="32"/>
          <w:szCs w:val="32"/>
          <w:highlight w:val="none"/>
        </w:rPr>
      </w:pPr>
      <w:r>
        <w:rPr>
          <w:rFonts w:hint="eastAsia" w:cs="宋体"/>
          <w:b/>
          <w:bCs/>
          <w:color w:val="auto"/>
          <w:sz w:val="32"/>
          <w:szCs w:val="32"/>
          <w:highlight w:val="none"/>
        </w:rPr>
        <w:t>（正/副）本</w:t>
      </w:r>
    </w:p>
    <w:p w14:paraId="5318490D">
      <w:pPr>
        <w:jc w:val="center"/>
        <w:rPr>
          <w:rFonts w:cs="宋体"/>
          <w:b/>
          <w:bCs/>
          <w:color w:val="auto"/>
          <w:sz w:val="32"/>
          <w:szCs w:val="32"/>
          <w:highlight w:val="none"/>
        </w:rPr>
      </w:pPr>
    </w:p>
    <w:p w14:paraId="2ED80913">
      <w:pPr>
        <w:jc w:val="center"/>
        <w:rPr>
          <w:rFonts w:cs="宋体"/>
          <w:b/>
          <w:bCs/>
          <w:color w:val="auto"/>
          <w:sz w:val="32"/>
          <w:szCs w:val="32"/>
          <w:highlight w:val="none"/>
          <w:u w:val="single"/>
        </w:rPr>
      </w:pPr>
      <w:r>
        <w:rPr>
          <w:rFonts w:hint="eastAsia" w:cs="宋体"/>
          <w:b/>
          <w:bCs/>
          <w:color w:val="auto"/>
          <w:sz w:val="32"/>
          <w:szCs w:val="32"/>
          <w:highlight w:val="none"/>
          <w:u w:val="single"/>
        </w:rPr>
        <w:t xml:space="preserve">      (项目名称)      </w:t>
      </w:r>
    </w:p>
    <w:p w14:paraId="6524E5DE">
      <w:pPr>
        <w:jc w:val="center"/>
        <w:rPr>
          <w:rFonts w:cs="宋体"/>
          <w:b/>
          <w:bCs/>
          <w:color w:val="auto"/>
          <w:sz w:val="32"/>
          <w:szCs w:val="32"/>
          <w:highlight w:val="none"/>
        </w:rPr>
      </w:pPr>
    </w:p>
    <w:p w14:paraId="2360665F">
      <w:pPr>
        <w:jc w:val="center"/>
        <w:rPr>
          <w:rFonts w:cs="宋体"/>
          <w:b/>
          <w:bCs/>
          <w:color w:val="auto"/>
          <w:sz w:val="32"/>
          <w:szCs w:val="32"/>
          <w:highlight w:val="none"/>
        </w:rPr>
      </w:pPr>
      <w:bookmarkStart w:id="98" w:name="_Toc11310"/>
      <w:bookmarkStart w:id="99" w:name="_Toc2619"/>
      <w:r>
        <w:rPr>
          <w:rFonts w:hint="eastAsia" w:cs="宋体"/>
          <w:b/>
          <w:bCs/>
          <w:color w:val="auto"/>
          <w:sz w:val="32"/>
          <w:szCs w:val="32"/>
          <w:highlight w:val="none"/>
        </w:rPr>
        <w:t>项目编号：</w:t>
      </w:r>
      <w:bookmarkEnd w:id="98"/>
      <w:bookmarkEnd w:id="99"/>
    </w:p>
    <w:p w14:paraId="0F3FA021">
      <w:pPr>
        <w:jc w:val="center"/>
        <w:rPr>
          <w:rFonts w:cs="宋体"/>
          <w:b/>
          <w:bCs/>
          <w:color w:val="auto"/>
          <w:sz w:val="32"/>
          <w:szCs w:val="32"/>
          <w:highlight w:val="none"/>
        </w:rPr>
      </w:pPr>
    </w:p>
    <w:p w14:paraId="11773FD6">
      <w:pPr>
        <w:jc w:val="center"/>
        <w:rPr>
          <w:rFonts w:cs="宋体"/>
          <w:b/>
          <w:bCs/>
          <w:color w:val="auto"/>
          <w:sz w:val="32"/>
          <w:szCs w:val="32"/>
          <w:highlight w:val="none"/>
        </w:rPr>
      </w:pPr>
    </w:p>
    <w:p w14:paraId="7A85B522">
      <w:pPr>
        <w:jc w:val="center"/>
        <w:rPr>
          <w:rFonts w:cs="宋体"/>
          <w:b/>
          <w:bCs/>
          <w:color w:val="auto"/>
          <w:sz w:val="72"/>
          <w:szCs w:val="72"/>
          <w:highlight w:val="none"/>
        </w:rPr>
      </w:pPr>
      <w:r>
        <w:rPr>
          <w:rFonts w:hint="eastAsia" w:cs="宋体"/>
          <w:b/>
          <w:bCs/>
          <w:color w:val="auto"/>
          <w:sz w:val="72"/>
          <w:szCs w:val="72"/>
          <w:highlight w:val="none"/>
        </w:rPr>
        <w:t>响</w:t>
      </w:r>
    </w:p>
    <w:p w14:paraId="1B8E05EA">
      <w:pPr>
        <w:jc w:val="center"/>
        <w:rPr>
          <w:rFonts w:cs="宋体"/>
          <w:b/>
          <w:bCs/>
          <w:color w:val="auto"/>
          <w:sz w:val="72"/>
          <w:szCs w:val="72"/>
          <w:highlight w:val="none"/>
        </w:rPr>
      </w:pPr>
      <w:r>
        <w:rPr>
          <w:rFonts w:hint="eastAsia" w:cs="宋体"/>
          <w:b/>
          <w:bCs/>
          <w:color w:val="auto"/>
          <w:sz w:val="72"/>
          <w:szCs w:val="72"/>
          <w:highlight w:val="none"/>
        </w:rPr>
        <w:t>应</w:t>
      </w:r>
    </w:p>
    <w:p w14:paraId="57DE344D">
      <w:pPr>
        <w:jc w:val="center"/>
        <w:rPr>
          <w:rFonts w:cs="宋体"/>
          <w:b/>
          <w:bCs/>
          <w:color w:val="auto"/>
          <w:sz w:val="72"/>
          <w:szCs w:val="72"/>
          <w:highlight w:val="none"/>
        </w:rPr>
      </w:pPr>
      <w:r>
        <w:rPr>
          <w:rFonts w:hint="eastAsia" w:cs="宋体"/>
          <w:b/>
          <w:bCs/>
          <w:color w:val="auto"/>
          <w:sz w:val="72"/>
          <w:szCs w:val="72"/>
          <w:highlight w:val="none"/>
        </w:rPr>
        <w:t>文</w:t>
      </w:r>
    </w:p>
    <w:p w14:paraId="65105F90">
      <w:pPr>
        <w:jc w:val="center"/>
        <w:rPr>
          <w:rFonts w:cs="宋体"/>
          <w:b/>
          <w:bCs/>
          <w:color w:val="auto"/>
          <w:sz w:val="72"/>
          <w:szCs w:val="72"/>
          <w:highlight w:val="none"/>
        </w:rPr>
      </w:pPr>
      <w:r>
        <w:rPr>
          <w:rFonts w:hint="eastAsia" w:cs="宋体"/>
          <w:b/>
          <w:bCs/>
          <w:color w:val="auto"/>
          <w:sz w:val="72"/>
          <w:szCs w:val="72"/>
          <w:highlight w:val="none"/>
        </w:rPr>
        <w:t>件</w:t>
      </w:r>
    </w:p>
    <w:p w14:paraId="2331D7F5">
      <w:pPr>
        <w:jc w:val="center"/>
        <w:rPr>
          <w:rFonts w:cs="宋体"/>
          <w:b/>
          <w:bCs/>
          <w:color w:val="auto"/>
          <w:sz w:val="32"/>
          <w:szCs w:val="32"/>
          <w:highlight w:val="none"/>
        </w:rPr>
      </w:pPr>
    </w:p>
    <w:p w14:paraId="06BF3089">
      <w:pPr>
        <w:jc w:val="center"/>
        <w:rPr>
          <w:rFonts w:cs="宋体"/>
          <w:b/>
          <w:bCs/>
          <w:color w:val="auto"/>
          <w:sz w:val="32"/>
          <w:szCs w:val="32"/>
          <w:highlight w:val="none"/>
        </w:rPr>
      </w:pPr>
    </w:p>
    <w:p w14:paraId="0BA0BF3B">
      <w:pPr>
        <w:jc w:val="center"/>
        <w:rPr>
          <w:rFonts w:cs="宋体"/>
          <w:b/>
          <w:bCs/>
          <w:color w:val="auto"/>
          <w:sz w:val="32"/>
          <w:szCs w:val="32"/>
          <w:highlight w:val="none"/>
        </w:rPr>
      </w:pPr>
    </w:p>
    <w:p w14:paraId="5F9D8A82">
      <w:pPr>
        <w:jc w:val="center"/>
        <w:rPr>
          <w:rFonts w:cs="宋体"/>
          <w:b/>
          <w:bCs/>
          <w:color w:val="auto"/>
          <w:sz w:val="32"/>
          <w:szCs w:val="32"/>
          <w:highlight w:val="none"/>
        </w:rPr>
      </w:pPr>
      <w:r>
        <w:rPr>
          <w:rFonts w:hint="eastAsia" w:cs="宋体"/>
          <w:b/>
          <w:bCs/>
          <w:color w:val="auto"/>
          <w:sz w:val="32"/>
          <w:szCs w:val="32"/>
          <w:highlight w:val="none"/>
        </w:rPr>
        <w:t>供应商全称：</w:t>
      </w:r>
      <w:r>
        <w:rPr>
          <w:rFonts w:hint="eastAsia" w:cs="宋体"/>
          <w:b/>
          <w:bCs/>
          <w:color w:val="auto"/>
          <w:sz w:val="32"/>
          <w:szCs w:val="32"/>
          <w:highlight w:val="none"/>
          <w:u w:val="single"/>
        </w:rPr>
        <w:t xml:space="preserve">          （盖单位章）</w:t>
      </w:r>
    </w:p>
    <w:p w14:paraId="1A7D7ED3">
      <w:pPr>
        <w:jc w:val="center"/>
        <w:rPr>
          <w:rFonts w:cs="宋体"/>
          <w:b/>
          <w:bCs/>
          <w:color w:val="auto"/>
          <w:sz w:val="32"/>
          <w:szCs w:val="32"/>
          <w:highlight w:val="none"/>
        </w:rPr>
      </w:pPr>
      <w:r>
        <w:rPr>
          <w:rFonts w:hint="eastAsia" w:cs="宋体"/>
          <w:b/>
          <w:bCs/>
          <w:color w:val="auto"/>
          <w:sz w:val="32"/>
          <w:szCs w:val="32"/>
          <w:highlight w:val="none"/>
        </w:rPr>
        <w:t>法定代表人或授权代表：</w:t>
      </w:r>
      <w:r>
        <w:rPr>
          <w:rFonts w:hint="eastAsia" w:cs="宋体"/>
          <w:b/>
          <w:bCs/>
          <w:color w:val="auto"/>
          <w:sz w:val="32"/>
          <w:szCs w:val="32"/>
          <w:highlight w:val="none"/>
          <w:u w:val="single"/>
        </w:rPr>
        <w:t xml:space="preserve">    （签字）</w:t>
      </w:r>
    </w:p>
    <w:p w14:paraId="1D5CBD25">
      <w:pPr>
        <w:jc w:val="center"/>
        <w:rPr>
          <w:rFonts w:cs="宋体"/>
          <w:b/>
          <w:bCs/>
          <w:color w:val="auto"/>
          <w:sz w:val="32"/>
          <w:szCs w:val="32"/>
          <w:highlight w:val="none"/>
        </w:rPr>
      </w:pPr>
    </w:p>
    <w:p w14:paraId="784F7C0F">
      <w:pPr>
        <w:jc w:val="center"/>
        <w:rPr>
          <w:rFonts w:cs="宋体"/>
          <w:b/>
          <w:bCs/>
          <w:color w:val="auto"/>
          <w:sz w:val="32"/>
          <w:szCs w:val="32"/>
          <w:highlight w:val="none"/>
        </w:rPr>
        <w:sectPr>
          <w:pgSz w:w="11906" w:h="16838"/>
          <w:pgMar w:top="1440" w:right="1440" w:bottom="1440" w:left="1440" w:header="624" w:footer="992" w:gutter="0"/>
          <w:pgNumType w:fmt="decimal"/>
          <w:cols w:space="425" w:num="1"/>
          <w:rtlGutter w:val="0"/>
          <w:docGrid w:type="lines" w:linePitch="312" w:charSpace="0"/>
        </w:sectPr>
      </w:pPr>
      <w:bookmarkStart w:id="100" w:name="_Toc28239"/>
      <w:bookmarkStart w:id="101" w:name="_Toc29626"/>
      <w:r>
        <w:rPr>
          <w:rFonts w:hint="eastAsia" w:cs="宋体"/>
          <w:b/>
          <w:bCs/>
          <w:color w:val="auto"/>
          <w:sz w:val="32"/>
          <w:szCs w:val="32"/>
          <w:highlight w:val="none"/>
        </w:rPr>
        <w:t>二〇二</w:t>
      </w:r>
      <w:r>
        <w:rPr>
          <w:rFonts w:hint="eastAsia" w:cs="宋体"/>
          <w:b/>
          <w:bCs/>
          <w:color w:val="auto"/>
          <w:sz w:val="32"/>
          <w:szCs w:val="32"/>
          <w:highlight w:val="none"/>
          <w:lang w:val="en-US" w:eastAsia="zh-CN"/>
        </w:rPr>
        <w:t>六</w:t>
      </w:r>
      <w:r>
        <w:rPr>
          <w:rFonts w:hint="eastAsia" w:cs="宋体"/>
          <w:b/>
          <w:bCs/>
          <w:color w:val="auto"/>
          <w:sz w:val="32"/>
          <w:szCs w:val="32"/>
          <w:highlight w:val="none"/>
        </w:rPr>
        <w:t>年    月    日</w:t>
      </w:r>
      <w:bookmarkEnd w:id="100"/>
      <w:bookmarkEnd w:id="101"/>
    </w:p>
    <w:p w14:paraId="3ADA1A21">
      <w:pP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目录格式自拟</w:t>
      </w:r>
    </w:p>
    <w:p w14:paraId="358C31C7">
      <w:pPr>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目  录</w:t>
      </w:r>
    </w:p>
    <w:p w14:paraId="6E14FF2A">
      <w:pPr>
        <w:pStyle w:val="16"/>
        <w:rPr>
          <w:rFonts w:ascii="宋体" w:hAnsi="宋体" w:cs="宋体"/>
          <w:color w:val="auto"/>
          <w:sz w:val="24"/>
          <w:szCs w:val="24"/>
          <w:highlight w:val="none"/>
        </w:rPr>
      </w:pPr>
      <w:r>
        <w:rPr>
          <w:rFonts w:hint="eastAsia" w:ascii="宋体" w:hAnsi="宋体" w:cs="宋体"/>
          <w:color w:val="auto"/>
          <w:sz w:val="24"/>
          <w:szCs w:val="24"/>
          <w:highlight w:val="none"/>
        </w:rPr>
        <w:t>资格证明文件部分</w:t>
      </w:r>
    </w:p>
    <w:p w14:paraId="123DB102">
      <w:pPr>
        <w:pStyle w:val="16"/>
        <w:rPr>
          <w:rFonts w:ascii="宋体" w:hAnsi="宋体" w:cs="宋体"/>
          <w:color w:val="auto"/>
          <w:sz w:val="24"/>
          <w:szCs w:val="24"/>
          <w:highlight w:val="none"/>
        </w:rPr>
      </w:pPr>
      <w:r>
        <w:rPr>
          <w:rFonts w:hint="eastAsia" w:ascii="宋体" w:hAnsi="宋体" w:cs="宋体"/>
          <w:color w:val="auto"/>
          <w:sz w:val="24"/>
          <w:szCs w:val="24"/>
          <w:highlight w:val="none"/>
        </w:rPr>
        <w:t>...</w:t>
      </w:r>
    </w:p>
    <w:p w14:paraId="7B3AF65A">
      <w:pPr>
        <w:pStyle w:val="1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3A7C4263">
      <w:pPr>
        <w:pStyle w:val="1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7FE9FA21">
      <w:pPr>
        <w:pStyle w:val="16"/>
        <w:rPr>
          <w:rFonts w:asciiTheme="minorEastAsia" w:hAnsiTheme="minorEastAsia" w:eastAsiaTheme="minorEastAsia" w:cstheme="minorEastAsia"/>
          <w:color w:val="auto"/>
          <w:sz w:val="24"/>
          <w:szCs w:val="24"/>
          <w:highlight w:val="none"/>
        </w:rPr>
      </w:pPr>
    </w:p>
    <w:p w14:paraId="32112362">
      <w:pPr>
        <w:pStyle w:val="16"/>
        <w:rPr>
          <w:rFonts w:asciiTheme="minorEastAsia" w:hAnsiTheme="minorEastAsia" w:eastAsiaTheme="minorEastAsia" w:cstheme="minorEastAsia"/>
          <w:color w:val="auto"/>
          <w:sz w:val="24"/>
          <w:szCs w:val="24"/>
          <w:highlight w:val="none"/>
        </w:rPr>
      </w:pPr>
    </w:p>
    <w:p w14:paraId="6989AB4B">
      <w:pPr>
        <w:pStyle w:val="16"/>
        <w:rPr>
          <w:rFonts w:asciiTheme="minorEastAsia" w:hAnsiTheme="minorEastAsia" w:eastAsiaTheme="minorEastAsia" w:cstheme="minorEastAsia"/>
          <w:color w:val="auto"/>
          <w:sz w:val="24"/>
          <w:szCs w:val="24"/>
          <w:highlight w:val="none"/>
        </w:rPr>
      </w:pPr>
    </w:p>
    <w:p w14:paraId="2FA71A5D">
      <w:pPr>
        <w:pStyle w:val="1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商务、技术文件部分</w:t>
      </w:r>
    </w:p>
    <w:p w14:paraId="0F8DC340">
      <w:pPr>
        <w:pStyle w:val="16"/>
        <w:rPr>
          <w:rFonts w:ascii="宋体" w:hAnsi="宋体" w:cs="宋体"/>
          <w:color w:val="auto"/>
          <w:sz w:val="24"/>
          <w:szCs w:val="24"/>
          <w:highlight w:val="none"/>
        </w:rPr>
      </w:pPr>
      <w:r>
        <w:rPr>
          <w:rFonts w:hint="eastAsia" w:ascii="宋体" w:hAnsi="宋体" w:cs="宋体"/>
          <w:color w:val="auto"/>
          <w:sz w:val="24"/>
          <w:szCs w:val="24"/>
          <w:highlight w:val="none"/>
        </w:rPr>
        <w:t>...</w:t>
      </w:r>
    </w:p>
    <w:p w14:paraId="31848E39">
      <w:pPr>
        <w:pStyle w:val="1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01DFB8AD">
      <w:pPr>
        <w:rPr>
          <w:rFonts w:cs="宋体"/>
          <w:b/>
          <w:bCs/>
          <w:color w:val="auto"/>
          <w:sz w:val="32"/>
          <w:szCs w:val="32"/>
          <w:highlight w:val="none"/>
        </w:rPr>
        <w:sectPr>
          <w:pgSz w:w="11906" w:h="16838"/>
          <w:pgMar w:top="1440" w:right="1440" w:bottom="1440" w:left="1440" w:header="624" w:footer="992" w:gutter="0"/>
          <w:pgNumType w:fmt="decimal"/>
          <w:cols w:space="425" w:num="1"/>
          <w:rtlGutter w:val="0"/>
          <w:docGrid w:type="lines" w:linePitch="312" w:charSpace="0"/>
        </w:sectPr>
      </w:pPr>
      <w:r>
        <w:rPr>
          <w:rFonts w:hint="eastAsia" w:asciiTheme="minorEastAsia" w:hAnsiTheme="minorEastAsia" w:eastAsiaTheme="minorEastAsia" w:cstheme="minorEastAsia"/>
          <w:color w:val="auto"/>
          <w:szCs w:val="24"/>
          <w:highlight w:val="none"/>
        </w:rPr>
        <w:t>...</w:t>
      </w:r>
    </w:p>
    <w:p w14:paraId="55010B52">
      <w:pPr>
        <w:pStyle w:val="3"/>
        <w:ind w:firstLine="0" w:firstLineChars="0"/>
        <w:jc w:val="center"/>
        <w:rPr>
          <w:rFonts w:cs="宋体"/>
          <w:color w:val="auto"/>
          <w:highlight w:val="none"/>
        </w:rPr>
      </w:pPr>
      <w:r>
        <w:rPr>
          <w:rFonts w:hint="eastAsia" w:cs="宋体"/>
          <w:color w:val="auto"/>
          <w:highlight w:val="none"/>
        </w:rPr>
        <w:t>资格证明文件</w:t>
      </w:r>
    </w:p>
    <w:p w14:paraId="1D53352E">
      <w:pPr>
        <w:pStyle w:val="4"/>
        <w:rPr>
          <w:rFonts w:cs="宋体"/>
          <w:color w:val="auto"/>
          <w:highlight w:val="none"/>
        </w:rPr>
      </w:pPr>
      <w:r>
        <w:rPr>
          <w:rFonts w:hint="eastAsia" w:cs="宋体"/>
          <w:color w:val="auto"/>
          <w:highlight w:val="none"/>
        </w:rPr>
        <w:t>1.具有独立承担民事责任的能力证明文件</w:t>
      </w:r>
    </w:p>
    <w:p w14:paraId="58D09B25">
      <w:pPr>
        <w:pStyle w:val="7"/>
        <w:ind w:firstLine="0" w:firstLineChars="0"/>
        <w:jc w:val="center"/>
        <w:rPr>
          <w:rFonts w:cs="宋体"/>
          <w:color w:val="auto"/>
          <w:highlight w:val="none"/>
        </w:rPr>
      </w:pPr>
      <w:r>
        <w:rPr>
          <w:rFonts w:hint="eastAsia" w:cs="宋体"/>
          <w:color w:val="auto"/>
          <w:highlight w:val="none"/>
        </w:rPr>
        <w:t>供应商具有独立承担民事责任的能力的信用承诺书</w:t>
      </w:r>
    </w:p>
    <w:p w14:paraId="19CBF063">
      <w:pPr>
        <w:pStyle w:val="7"/>
        <w:ind w:firstLine="480"/>
        <w:rPr>
          <w:rFonts w:cs="宋体"/>
          <w:color w:val="auto"/>
          <w:highlight w:val="none"/>
        </w:rPr>
      </w:pPr>
    </w:p>
    <w:p w14:paraId="4C64873B">
      <w:pPr>
        <w:rPr>
          <w:rFonts w:cs="宋体"/>
          <w:color w:val="auto"/>
          <w:highlight w:val="none"/>
        </w:rPr>
      </w:pPr>
      <w:r>
        <w:rPr>
          <w:rFonts w:hint="eastAsia" w:cs="宋体"/>
          <w:color w:val="auto"/>
          <w:highlight w:val="none"/>
          <w:u w:val="single"/>
        </w:rPr>
        <w:t xml:space="preserve">              </w:t>
      </w:r>
      <w:r>
        <w:rPr>
          <w:rFonts w:hint="eastAsia" w:cs="宋体"/>
          <w:color w:val="auto"/>
          <w:highlight w:val="none"/>
        </w:rPr>
        <w:t>（采购人名称）：</w:t>
      </w:r>
    </w:p>
    <w:p w14:paraId="77FDA4F4">
      <w:pPr>
        <w:pStyle w:val="7"/>
        <w:ind w:firstLine="480"/>
        <w:rPr>
          <w:rFonts w:cs="宋体"/>
          <w:color w:val="auto"/>
          <w:highlight w:val="none"/>
        </w:rPr>
      </w:pPr>
    </w:p>
    <w:p w14:paraId="570D39D8">
      <w:pPr>
        <w:pStyle w:val="7"/>
        <w:ind w:firstLine="480"/>
        <w:rPr>
          <w:rFonts w:cs="宋体"/>
          <w:color w:val="auto"/>
          <w:highlight w:val="none"/>
        </w:rPr>
      </w:pPr>
      <w:r>
        <w:rPr>
          <w:rFonts w:hint="eastAsia" w:cs="宋体"/>
          <w:color w:val="auto"/>
          <w:highlight w:val="none"/>
        </w:rPr>
        <w:t>本供应商现参与贵公司组织的</w:t>
      </w:r>
      <w:r>
        <w:rPr>
          <w:rFonts w:hint="eastAsia" w:cs="宋体"/>
          <w:color w:val="auto"/>
          <w:highlight w:val="none"/>
          <w:u w:val="single"/>
        </w:rPr>
        <w:t xml:space="preserve">            </w:t>
      </w:r>
      <w:r>
        <w:rPr>
          <w:rFonts w:hint="eastAsia" w:cs="宋体"/>
          <w:color w:val="auto"/>
          <w:highlight w:val="none"/>
        </w:rPr>
        <w:t>项目（项目编号：</w:t>
      </w:r>
      <w:r>
        <w:rPr>
          <w:rFonts w:hint="eastAsia" w:cs="宋体"/>
          <w:color w:val="auto"/>
          <w:highlight w:val="none"/>
          <w:u w:val="single"/>
        </w:rPr>
        <w:t xml:space="preserve">            </w:t>
      </w:r>
      <w:r>
        <w:rPr>
          <w:rFonts w:hint="eastAsia" w:cs="宋体"/>
          <w:color w:val="auto"/>
          <w:highlight w:val="none"/>
        </w:rPr>
        <w:t>）的采购活动。依据磋商文件相关规定，现郑重承诺：我方具有有效的营业执照或事业单位法人证书或自然人身份证明或其他非企业组织证明文件及有效的开户许可证，能独立承担民事责任的能力。</w:t>
      </w:r>
    </w:p>
    <w:p w14:paraId="175858E1">
      <w:pPr>
        <w:ind w:firstLine="480" w:firstLineChars="200"/>
        <w:rPr>
          <w:rFonts w:cs="宋体"/>
          <w:color w:val="auto"/>
          <w:highlight w:val="none"/>
        </w:rPr>
      </w:pPr>
      <w:r>
        <w:rPr>
          <w:rFonts w:hint="eastAsia" w:cs="宋体"/>
          <w:color w:val="auto"/>
          <w:highlight w:val="none"/>
        </w:rPr>
        <w:t>基本信息如下：</w:t>
      </w:r>
    </w:p>
    <w:p w14:paraId="51B5DBBA">
      <w:pPr>
        <w:ind w:firstLine="480" w:firstLineChars="200"/>
        <w:rPr>
          <w:rFonts w:cs="宋体"/>
          <w:color w:val="auto"/>
          <w:highlight w:val="none"/>
        </w:rPr>
      </w:pPr>
      <w:r>
        <w:rPr>
          <w:rFonts w:hint="eastAsia" w:cs="宋体"/>
          <w:color w:val="auto"/>
          <w:highlight w:val="none"/>
        </w:rPr>
        <w:t>名称为：</w:t>
      </w:r>
      <w:r>
        <w:rPr>
          <w:rFonts w:hint="eastAsia" w:cs="宋体"/>
          <w:color w:val="auto"/>
          <w:highlight w:val="none"/>
          <w:u w:val="single"/>
        </w:rPr>
        <w:t xml:space="preserve">            </w:t>
      </w:r>
      <w:r>
        <w:rPr>
          <w:rFonts w:hint="eastAsia" w:cs="宋体"/>
          <w:color w:val="auto"/>
          <w:highlight w:val="none"/>
        </w:rPr>
        <w:t>，统一社会信用代码为：</w:t>
      </w:r>
      <w:r>
        <w:rPr>
          <w:rFonts w:hint="eastAsia" w:cs="宋体"/>
          <w:color w:val="auto"/>
          <w:highlight w:val="none"/>
          <w:u w:val="single"/>
        </w:rPr>
        <w:t xml:space="preserve">           </w:t>
      </w:r>
      <w:r>
        <w:rPr>
          <w:rFonts w:hint="eastAsia" w:cs="宋体"/>
          <w:color w:val="auto"/>
          <w:highlight w:val="none"/>
        </w:rPr>
        <w:t>；法定代表人（负责人）为：</w:t>
      </w:r>
      <w:r>
        <w:rPr>
          <w:rFonts w:hint="eastAsia" w:cs="宋体"/>
          <w:color w:val="auto"/>
          <w:highlight w:val="none"/>
          <w:u w:val="single"/>
        </w:rPr>
        <w:t xml:space="preserve">           </w:t>
      </w:r>
      <w:r>
        <w:rPr>
          <w:rFonts w:hint="eastAsia" w:cs="宋体"/>
          <w:color w:val="auto"/>
          <w:highlight w:val="none"/>
        </w:rPr>
        <w:t>；营业期限为:</w:t>
      </w:r>
      <w:r>
        <w:rPr>
          <w:rFonts w:hint="eastAsia" w:cs="宋体"/>
          <w:color w:val="auto"/>
          <w:highlight w:val="none"/>
          <w:u w:val="single"/>
        </w:rPr>
        <w:t xml:space="preserve">               </w:t>
      </w:r>
      <w:r>
        <w:rPr>
          <w:rFonts w:hint="eastAsia" w:cs="宋体"/>
          <w:color w:val="auto"/>
          <w:highlight w:val="none"/>
        </w:rPr>
        <w:t>；基本开户银行为：</w:t>
      </w:r>
      <w:r>
        <w:rPr>
          <w:rFonts w:hint="eastAsia" w:cs="宋体"/>
          <w:color w:val="auto"/>
          <w:highlight w:val="none"/>
          <w:u w:val="single"/>
        </w:rPr>
        <w:t xml:space="preserve">             </w:t>
      </w:r>
      <w:r>
        <w:rPr>
          <w:rFonts w:hint="eastAsia" w:cs="宋体"/>
          <w:color w:val="auto"/>
          <w:highlight w:val="none"/>
        </w:rPr>
        <w:t>；账号为：</w:t>
      </w:r>
      <w:r>
        <w:rPr>
          <w:rFonts w:hint="eastAsia" w:cs="宋体"/>
          <w:color w:val="auto"/>
          <w:highlight w:val="none"/>
          <w:u w:val="single"/>
        </w:rPr>
        <w:t xml:space="preserve">               </w:t>
      </w:r>
      <w:r>
        <w:rPr>
          <w:rFonts w:hint="eastAsia" w:cs="宋体"/>
          <w:color w:val="auto"/>
          <w:highlight w:val="none"/>
        </w:rPr>
        <w:t>。</w:t>
      </w:r>
    </w:p>
    <w:p w14:paraId="45E31E27">
      <w:pPr>
        <w:pStyle w:val="7"/>
        <w:ind w:firstLine="480"/>
        <w:rPr>
          <w:rFonts w:cs="宋体"/>
          <w:color w:val="auto"/>
          <w:highlight w:val="none"/>
        </w:rPr>
      </w:pPr>
      <w:r>
        <w:rPr>
          <w:rFonts w:hint="eastAsia" w:cs="宋体"/>
          <w:color w:val="auto"/>
          <w:highlight w:val="none"/>
        </w:rPr>
        <w:t xml:space="preserve">以上承诺信息如有虚假或隐瞒，我方愿意承担一切后果，并不再寻求任何旨在减轻或免除法律责任的辩解。 </w:t>
      </w:r>
    </w:p>
    <w:p w14:paraId="4DB768D9">
      <w:pPr>
        <w:pStyle w:val="7"/>
        <w:ind w:firstLine="480"/>
        <w:rPr>
          <w:rFonts w:cs="宋体"/>
          <w:color w:val="auto"/>
          <w:highlight w:val="none"/>
        </w:rPr>
      </w:pPr>
      <w:r>
        <w:rPr>
          <w:rFonts w:hint="eastAsia" w:cs="宋体"/>
          <w:color w:val="auto"/>
          <w:highlight w:val="none"/>
        </w:rPr>
        <w:t>特此承诺。</w:t>
      </w:r>
    </w:p>
    <w:p w14:paraId="4FA0212A">
      <w:pPr>
        <w:pStyle w:val="7"/>
        <w:ind w:firstLine="480"/>
        <w:rPr>
          <w:rFonts w:cs="宋体"/>
          <w:color w:val="auto"/>
          <w:highlight w:val="none"/>
        </w:rPr>
      </w:pPr>
    </w:p>
    <w:p w14:paraId="0181FB5D">
      <w:pPr>
        <w:pStyle w:val="7"/>
        <w:ind w:firstLine="480"/>
        <w:rPr>
          <w:rFonts w:cs="宋体"/>
          <w:color w:val="auto"/>
          <w:highlight w:val="none"/>
        </w:rPr>
      </w:pPr>
    </w:p>
    <w:p w14:paraId="5DEA99EA">
      <w:pPr>
        <w:pStyle w:val="7"/>
        <w:ind w:left="2160" w:leftChars="9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145AB5A1">
      <w:pPr>
        <w:pStyle w:val="7"/>
        <w:ind w:left="2160" w:leftChars="900" w:firstLine="480"/>
        <w:rPr>
          <w:rFonts w:cs="宋体"/>
          <w:color w:val="auto"/>
          <w:highlight w:val="none"/>
        </w:rPr>
      </w:pPr>
      <w:r>
        <w:rPr>
          <w:rFonts w:hint="eastAsia" w:cs="宋体"/>
          <w:color w:val="auto"/>
          <w:highlight w:val="none"/>
        </w:rPr>
        <w:t>法定代表人或供应商代表(签字）：</w:t>
      </w:r>
      <w:r>
        <w:rPr>
          <w:rFonts w:hint="eastAsia" w:cs="宋体"/>
          <w:color w:val="auto"/>
          <w:highlight w:val="none"/>
          <w:u w:val="single"/>
        </w:rPr>
        <w:t xml:space="preserve">                </w:t>
      </w:r>
    </w:p>
    <w:p w14:paraId="60CB465B">
      <w:pPr>
        <w:pStyle w:val="7"/>
        <w:ind w:left="2160" w:leftChars="900" w:firstLine="480"/>
        <w:rPr>
          <w:rFonts w:cs="宋体"/>
          <w:color w:val="auto"/>
          <w:highlight w:val="none"/>
        </w:rPr>
      </w:pPr>
      <w:r>
        <w:rPr>
          <w:rFonts w:hint="eastAsia" w:cs="宋体"/>
          <w:color w:val="auto"/>
          <w:highlight w:val="none"/>
        </w:rPr>
        <w:t>日 期：</w:t>
      </w:r>
      <w:r>
        <w:rPr>
          <w:rFonts w:hint="eastAsia" w:cs="宋体"/>
          <w:color w:val="auto"/>
          <w:highlight w:val="none"/>
          <w:u w:val="single"/>
        </w:rPr>
        <w:t xml:space="preserve">                                        </w:t>
      </w:r>
    </w:p>
    <w:p w14:paraId="7502F7BC">
      <w:pPr>
        <w:pStyle w:val="7"/>
        <w:ind w:firstLine="480"/>
        <w:rPr>
          <w:rFonts w:cs="宋体"/>
          <w:color w:val="auto"/>
          <w:highlight w:val="none"/>
        </w:rPr>
      </w:pPr>
    </w:p>
    <w:p w14:paraId="7D986587">
      <w:pPr>
        <w:rPr>
          <w:rFonts w:cs="宋体"/>
          <w:color w:val="auto"/>
          <w:highlight w:val="none"/>
        </w:rPr>
      </w:pPr>
      <w:r>
        <w:rPr>
          <w:rFonts w:hint="eastAsia" w:cs="宋体"/>
          <w:color w:val="auto"/>
          <w:highlight w:val="none"/>
        </w:rPr>
        <w:br w:type="page"/>
      </w:r>
    </w:p>
    <w:p w14:paraId="692FD337">
      <w:pPr>
        <w:pStyle w:val="4"/>
        <w:rPr>
          <w:rFonts w:cs="宋体"/>
          <w:color w:val="auto"/>
          <w:highlight w:val="none"/>
        </w:rPr>
      </w:pPr>
      <w:r>
        <w:rPr>
          <w:rFonts w:hint="eastAsia" w:cs="宋体"/>
          <w:color w:val="auto"/>
          <w:highlight w:val="none"/>
        </w:rPr>
        <w:t>2.具有良好的商业信誉和健全的财务会计制度证明文件</w:t>
      </w:r>
    </w:p>
    <w:p w14:paraId="23CE1A76">
      <w:pPr>
        <w:jc w:val="center"/>
        <w:rPr>
          <w:rFonts w:cs="宋体"/>
          <w:color w:val="auto"/>
          <w:highlight w:val="none"/>
        </w:rPr>
      </w:pPr>
      <w:r>
        <w:rPr>
          <w:rFonts w:hint="eastAsia" w:cs="宋体"/>
          <w:color w:val="auto"/>
          <w:highlight w:val="none"/>
        </w:rPr>
        <w:t>供应商具有良好的商业信誉和健全的财务会计制度的信用承诺书</w:t>
      </w:r>
    </w:p>
    <w:p w14:paraId="34A54B71">
      <w:pPr>
        <w:rPr>
          <w:rFonts w:cs="宋体"/>
          <w:color w:val="auto"/>
          <w:highlight w:val="none"/>
          <w:u w:val="single"/>
        </w:rPr>
      </w:pPr>
    </w:p>
    <w:p w14:paraId="50172A0B">
      <w:pPr>
        <w:rPr>
          <w:rFonts w:cs="宋体"/>
          <w:color w:val="auto"/>
          <w:highlight w:val="none"/>
        </w:rPr>
      </w:pPr>
      <w:r>
        <w:rPr>
          <w:rFonts w:hint="eastAsia" w:cs="宋体"/>
          <w:color w:val="auto"/>
          <w:highlight w:val="none"/>
          <w:u w:val="single"/>
        </w:rPr>
        <w:t xml:space="preserve">              </w:t>
      </w:r>
      <w:r>
        <w:rPr>
          <w:rFonts w:hint="eastAsia" w:cs="宋体"/>
          <w:color w:val="auto"/>
          <w:highlight w:val="none"/>
        </w:rPr>
        <w:t>（采购人名称）：</w:t>
      </w:r>
    </w:p>
    <w:p w14:paraId="654A1EE7">
      <w:pPr>
        <w:widowControl/>
        <w:snapToGrid w:val="0"/>
        <w:ind w:firstLine="480" w:firstLineChars="200"/>
        <w:rPr>
          <w:rFonts w:cs="宋体"/>
          <w:color w:val="auto"/>
          <w:highlight w:val="none"/>
        </w:rPr>
      </w:pPr>
    </w:p>
    <w:p w14:paraId="4BA0264F">
      <w:pPr>
        <w:pStyle w:val="7"/>
        <w:ind w:firstLine="480"/>
        <w:rPr>
          <w:rFonts w:cs="宋体"/>
          <w:color w:val="auto"/>
          <w:highlight w:val="none"/>
        </w:rPr>
      </w:pPr>
      <w:r>
        <w:rPr>
          <w:rFonts w:hint="eastAsia" w:cs="宋体"/>
          <w:color w:val="auto"/>
          <w:highlight w:val="none"/>
        </w:rPr>
        <w:t>本供应商现参与贵公司组织的</w:t>
      </w:r>
      <w:r>
        <w:rPr>
          <w:rFonts w:hint="eastAsia" w:cs="宋体"/>
          <w:color w:val="auto"/>
          <w:highlight w:val="none"/>
          <w:u w:val="single"/>
        </w:rPr>
        <w:t xml:space="preserve">            </w:t>
      </w:r>
      <w:r>
        <w:rPr>
          <w:rFonts w:hint="eastAsia" w:cs="宋体"/>
          <w:color w:val="auto"/>
          <w:highlight w:val="none"/>
        </w:rPr>
        <w:t>项目（项目编号：</w:t>
      </w:r>
      <w:r>
        <w:rPr>
          <w:rFonts w:hint="eastAsia" w:cs="宋体"/>
          <w:color w:val="auto"/>
          <w:highlight w:val="none"/>
          <w:u w:val="single"/>
        </w:rPr>
        <w:t xml:space="preserve">            </w:t>
      </w:r>
      <w:r>
        <w:rPr>
          <w:rFonts w:hint="eastAsia" w:cs="宋体"/>
          <w:color w:val="auto"/>
          <w:highlight w:val="none"/>
        </w:rPr>
        <w:t>）的采购活动。依据磋商文件相关规定，现郑重承诺：我方具有</w:t>
      </w:r>
      <w:r>
        <w:rPr>
          <w:rFonts w:hint="eastAsia" w:cs="宋体"/>
          <w:color w:val="auto"/>
          <w:highlight w:val="none"/>
          <w:lang w:val="en-US" w:eastAsia="zh-CN"/>
        </w:rPr>
        <w:t>响应</w:t>
      </w:r>
      <w:r>
        <w:rPr>
          <w:rFonts w:hint="eastAsia" w:cs="宋体"/>
          <w:color w:val="auto"/>
          <w:highlight w:val="none"/>
        </w:rPr>
        <w:t>文件递交截止日前12 个月内会计师事务所出具的审计报告或经审计的财务报告</w:t>
      </w:r>
      <w:r>
        <w:rPr>
          <w:rFonts w:hint="eastAsia" w:cs="宋体"/>
          <w:color w:val="auto"/>
          <w:highlight w:val="none"/>
          <w:lang w:eastAsia="zh-CN"/>
        </w:rPr>
        <w:t>，</w:t>
      </w:r>
      <w:r>
        <w:rPr>
          <w:rFonts w:hint="eastAsia" w:cs="宋体"/>
          <w:color w:val="auto"/>
          <w:highlight w:val="none"/>
        </w:rPr>
        <w:t>或在基本户开户银行出具的无不良记录资信证明等文件。具有良好的商业信誉和健全的财务会计制度。</w:t>
      </w:r>
    </w:p>
    <w:p w14:paraId="357DA9C1">
      <w:pPr>
        <w:pStyle w:val="7"/>
        <w:ind w:firstLine="480"/>
        <w:rPr>
          <w:rFonts w:cs="宋体"/>
          <w:color w:val="auto"/>
          <w:highlight w:val="none"/>
        </w:rPr>
      </w:pPr>
      <w:r>
        <w:rPr>
          <w:rFonts w:hint="eastAsia" w:cs="宋体"/>
          <w:color w:val="auto"/>
          <w:highlight w:val="none"/>
        </w:rPr>
        <w:t xml:space="preserve">以上承诺信息如有虚假或隐瞒，我方愿意承担一切后果，并不再寻求任何旨在减轻或免除法律责任的辩解。 </w:t>
      </w:r>
    </w:p>
    <w:p w14:paraId="7F241D8A">
      <w:pPr>
        <w:pStyle w:val="7"/>
        <w:ind w:firstLine="480"/>
        <w:rPr>
          <w:rFonts w:cs="宋体"/>
          <w:color w:val="auto"/>
          <w:highlight w:val="none"/>
        </w:rPr>
      </w:pPr>
      <w:r>
        <w:rPr>
          <w:rFonts w:hint="eastAsia" w:cs="宋体"/>
          <w:color w:val="auto"/>
          <w:highlight w:val="none"/>
        </w:rPr>
        <w:t>特此承诺。</w:t>
      </w:r>
    </w:p>
    <w:p w14:paraId="6B4B1913">
      <w:pPr>
        <w:pStyle w:val="7"/>
        <w:ind w:firstLine="480"/>
        <w:rPr>
          <w:rFonts w:cs="宋体"/>
          <w:color w:val="auto"/>
          <w:highlight w:val="none"/>
        </w:rPr>
      </w:pPr>
    </w:p>
    <w:p w14:paraId="7AE3F589">
      <w:pPr>
        <w:pStyle w:val="7"/>
        <w:ind w:firstLine="480"/>
        <w:rPr>
          <w:rFonts w:cs="宋体"/>
          <w:color w:val="auto"/>
          <w:highlight w:val="none"/>
        </w:rPr>
      </w:pPr>
    </w:p>
    <w:p w14:paraId="3370CB79">
      <w:pPr>
        <w:pStyle w:val="7"/>
        <w:ind w:firstLine="480"/>
        <w:rPr>
          <w:rFonts w:cs="宋体"/>
          <w:color w:val="auto"/>
          <w:highlight w:val="none"/>
        </w:rPr>
      </w:pPr>
    </w:p>
    <w:p w14:paraId="31688729">
      <w:pPr>
        <w:pStyle w:val="7"/>
        <w:ind w:firstLine="480"/>
        <w:rPr>
          <w:rFonts w:cs="宋体"/>
          <w:color w:val="auto"/>
          <w:highlight w:val="none"/>
        </w:rPr>
      </w:pPr>
    </w:p>
    <w:p w14:paraId="62323D9F">
      <w:pPr>
        <w:pStyle w:val="7"/>
        <w:ind w:firstLine="480"/>
        <w:rPr>
          <w:rFonts w:cs="宋体"/>
          <w:color w:val="auto"/>
          <w:highlight w:val="none"/>
        </w:rPr>
      </w:pPr>
    </w:p>
    <w:p w14:paraId="4EF34DEF">
      <w:pPr>
        <w:pStyle w:val="7"/>
        <w:ind w:left="2160" w:leftChars="9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4123D6CF">
      <w:pPr>
        <w:pStyle w:val="7"/>
        <w:ind w:left="2160" w:leftChars="900" w:firstLine="480"/>
        <w:rPr>
          <w:rFonts w:cs="宋体"/>
          <w:color w:val="auto"/>
          <w:highlight w:val="none"/>
        </w:rPr>
      </w:pPr>
      <w:r>
        <w:rPr>
          <w:rFonts w:hint="eastAsia" w:cs="宋体"/>
          <w:color w:val="auto"/>
          <w:highlight w:val="none"/>
        </w:rPr>
        <w:t>法定代表人或供应商代表(签字）：</w:t>
      </w:r>
      <w:r>
        <w:rPr>
          <w:rFonts w:hint="eastAsia" w:cs="宋体"/>
          <w:color w:val="auto"/>
          <w:highlight w:val="none"/>
          <w:u w:val="single"/>
        </w:rPr>
        <w:t xml:space="preserve">                </w:t>
      </w:r>
    </w:p>
    <w:p w14:paraId="70D808D9">
      <w:pPr>
        <w:pStyle w:val="7"/>
        <w:ind w:left="2160" w:leftChars="900" w:firstLine="480"/>
        <w:rPr>
          <w:rFonts w:cs="宋体"/>
          <w:color w:val="auto"/>
          <w:highlight w:val="none"/>
        </w:rPr>
      </w:pPr>
      <w:r>
        <w:rPr>
          <w:rFonts w:hint="eastAsia" w:cs="宋体"/>
          <w:color w:val="auto"/>
          <w:highlight w:val="none"/>
        </w:rPr>
        <w:t>日 期：</w:t>
      </w:r>
      <w:r>
        <w:rPr>
          <w:rFonts w:hint="eastAsia" w:cs="宋体"/>
          <w:color w:val="auto"/>
          <w:highlight w:val="none"/>
          <w:u w:val="single"/>
        </w:rPr>
        <w:t xml:space="preserve">                                        </w:t>
      </w:r>
    </w:p>
    <w:p w14:paraId="5D79DFCE">
      <w:pPr>
        <w:pStyle w:val="7"/>
        <w:ind w:firstLine="480"/>
        <w:rPr>
          <w:rFonts w:cs="宋体"/>
          <w:color w:val="auto"/>
          <w:highlight w:val="none"/>
        </w:rPr>
      </w:pPr>
    </w:p>
    <w:p w14:paraId="0DBAB338">
      <w:pPr>
        <w:rPr>
          <w:rFonts w:cs="宋体"/>
          <w:color w:val="auto"/>
          <w:highlight w:val="none"/>
        </w:rPr>
      </w:pPr>
      <w:r>
        <w:rPr>
          <w:rFonts w:hint="eastAsia" w:cs="宋体"/>
          <w:color w:val="auto"/>
          <w:highlight w:val="none"/>
        </w:rPr>
        <w:br w:type="page"/>
      </w:r>
    </w:p>
    <w:p w14:paraId="0E8B6106">
      <w:pPr>
        <w:pStyle w:val="4"/>
        <w:rPr>
          <w:rFonts w:cs="宋体"/>
          <w:color w:val="auto"/>
          <w:highlight w:val="none"/>
        </w:rPr>
      </w:pPr>
      <w:r>
        <w:rPr>
          <w:rFonts w:hint="eastAsia" w:cs="宋体"/>
          <w:color w:val="auto"/>
          <w:highlight w:val="none"/>
        </w:rPr>
        <w:t>3.具有履行合同所必需的设备和专业技术能力证明文件</w:t>
      </w:r>
    </w:p>
    <w:p w14:paraId="4CA01345">
      <w:pPr>
        <w:pStyle w:val="7"/>
        <w:ind w:firstLine="0" w:firstLineChars="0"/>
        <w:jc w:val="center"/>
        <w:rPr>
          <w:rFonts w:cs="宋体"/>
          <w:color w:val="auto"/>
          <w:highlight w:val="none"/>
        </w:rPr>
      </w:pPr>
      <w:r>
        <w:rPr>
          <w:rFonts w:hint="eastAsia" w:cs="宋体"/>
          <w:color w:val="auto"/>
          <w:highlight w:val="none"/>
        </w:rPr>
        <w:t>供应商具有履行合同所必需的设备和专业技术能力的信用承诺书</w:t>
      </w:r>
    </w:p>
    <w:p w14:paraId="18B2C79E">
      <w:pPr>
        <w:pStyle w:val="7"/>
        <w:ind w:firstLine="480"/>
        <w:rPr>
          <w:rFonts w:cs="宋体"/>
          <w:color w:val="auto"/>
          <w:highlight w:val="none"/>
        </w:rPr>
      </w:pPr>
    </w:p>
    <w:p w14:paraId="48072E81">
      <w:pPr>
        <w:pStyle w:val="7"/>
        <w:ind w:firstLine="480"/>
        <w:rPr>
          <w:rFonts w:cs="宋体"/>
          <w:color w:val="auto"/>
          <w:highlight w:val="none"/>
        </w:rPr>
      </w:pPr>
    </w:p>
    <w:p w14:paraId="31AFE4F4">
      <w:pPr>
        <w:rPr>
          <w:rFonts w:cs="宋体"/>
          <w:color w:val="auto"/>
          <w:highlight w:val="none"/>
        </w:rPr>
      </w:pPr>
      <w:r>
        <w:rPr>
          <w:rFonts w:hint="eastAsia" w:cs="宋体"/>
          <w:color w:val="auto"/>
          <w:highlight w:val="none"/>
          <w:u w:val="single"/>
        </w:rPr>
        <w:t xml:space="preserve">              </w:t>
      </w:r>
      <w:r>
        <w:rPr>
          <w:rFonts w:hint="eastAsia" w:cs="宋体"/>
          <w:color w:val="auto"/>
          <w:highlight w:val="none"/>
        </w:rPr>
        <w:t>（采购人名称）：</w:t>
      </w:r>
    </w:p>
    <w:p w14:paraId="3BD4BB22">
      <w:pPr>
        <w:pStyle w:val="7"/>
        <w:ind w:firstLine="480"/>
        <w:rPr>
          <w:rFonts w:cs="宋体"/>
          <w:color w:val="auto"/>
          <w:highlight w:val="none"/>
        </w:rPr>
      </w:pPr>
    </w:p>
    <w:p w14:paraId="58A9E3E1">
      <w:pPr>
        <w:pStyle w:val="7"/>
        <w:ind w:firstLine="480"/>
        <w:rPr>
          <w:rFonts w:cs="宋体"/>
          <w:color w:val="auto"/>
          <w:highlight w:val="none"/>
        </w:rPr>
      </w:pPr>
      <w:r>
        <w:rPr>
          <w:rFonts w:hint="eastAsia" w:cs="宋体"/>
          <w:color w:val="auto"/>
          <w:highlight w:val="none"/>
        </w:rPr>
        <w:t>本供应商现参与贵公司组织的</w:t>
      </w:r>
      <w:r>
        <w:rPr>
          <w:rFonts w:hint="eastAsia" w:cs="宋体"/>
          <w:color w:val="auto"/>
          <w:highlight w:val="none"/>
          <w:u w:val="single"/>
        </w:rPr>
        <w:t xml:space="preserve">            </w:t>
      </w:r>
      <w:r>
        <w:rPr>
          <w:rFonts w:hint="eastAsia" w:cs="宋体"/>
          <w:color w:val="auto"/>
          <w:highlight w:val="none"/>
        </w:rPr>
        <w:t>项目（项目编号：</w:t>
      </w:r>
      <w:r>
        <w:rPr>
          <w:rFonts w:hint="eastAsia" w:cs="宋体"/>
          <w:color w:val="auto"/>
          <w:highlight w:val="none"/>
          <w:u w:val="single"/>
        </w:rPr>
        <w:t xml:space="preserve">            </w:t>
      </w:r>
      <w:r>
        <w:rPr>
          <w:rFonts w:hint="eastAsia" w:cs="宋体"/>
          <w:color w:val="auto"/>
          <w:highlight w:val="none"/>
        </w:rPr>
        <w:t>）的采购活动。依据磋商文件相关规定，现郑重承诺：我方具备履行合同所必需的设备和专业技术能力。</w:t>
      </w:r>
    </w:p>
    <w:p w14:paraId="6BD3B5CE">
      <w:pPr>
        <w:pStyle w:val="7"/>
        <w:ind w:firstLine="480"/>
        <w:rPr>
          <w:rFonts w:cs="宋体"/>
          <w:color w:val="auto"/>
          <w:highlight w:val="none"/>
        </w:rPr>
      </w:pPr>
      <w:r>
        <w:rPr>
          <w:rFonts w:hint="eastAsia" w:cs="宋体"/>
          <w:color w:val="auto"/>
          <w:highlight w:val="none"/>
        </w:rPr>
        <w:t>以上承诺信息如有虚假或隐瞒，我方愿意承担一切后果，并不再寻求任何旨在减轻或免除法律责任的辩解。</w:t>
      </w:r>
    </w:p>
    <w:p w14:paraId="41075904">
      <w:pPr>
        <w:pStyle w:val="7"/>
        <w:ind w:firstLine="480"/>
        <w:rPr>
          <w:rFonts w:cs="宋体"/>
          <w:color w:val="auto"/>
          <w:highlight w:val="none"/>
        </w:rPr>
      </w:pPr>
      <w:r>
        <w:rPr>
          <w:rFonts w:hint="eastAsia" w:cs="宋体"/>
          <w:color w:val="auto"/>
          <w:highlight w:val="none"/>
        </w:rPr>
        <w:t>特此承诺。</w:t>
      </w:r>
    </w:p>
    <w:p w14:paraId="262362BA">
      <w:pPr>
        <w:pStyle w:val="7"/>
        <w:ind w:firstLine="480"/>
        <w:rPr>
          <w:rFonts w:cs="宋体"/>
          <w:color w:val="auto"/>
          <w:highlight w:val="none"/>
        </w:rPr>
      </w:pPr>
    </w:p>
    <w:p w14:paraId="4240A775">
      <w:pPr>
        <w:pStyle w:val="7"/>
        <w:ind w:firstLine="480"/>
        <w:rPr>
          <w:rFonts w:cs="宋体"/>
          <w:color w:val="auto"/>
          <w:highlight w:val="none"/>
        </w:rPr>
      </w:pPr>
    </w:p>
    <w:p w14:paraId="72907AB3">
      <w:pPr>
        <w:pStyle w:val="7"/>
        <w:ind w:firstLine="480"/>
        <w:rPr>
          <w:rFonts w:cs="宋体"/>
          <w:color w:val="auto"/>
          <w:highlight w:val="none"/>
        </w:rPr>
      </w:pPr>
    </w:p>
    <w:p w14:paraId="6F7E28EA">
      <w:pPr>
        <w:pStyle w:val="7"/>
        <w:ind w:firstLine="480"/>
        <w:rPr>
          <w:rFonts w:cs="宋体"/>
          <w:color w:val="auto"/>
          <w:highlight w:val="none"/>
        </w:rPr>
      </w:pPr>
    </w:p>
    <w:p w14:paraId="17245E79">
      <w:pPr>
        <w:pStyle w:val="7"/>
        <w:ind w:firstLine="480"/>
        <w:rPr>
          <w:rFonts w:cs="宋体"/>
          <w:color w:val="auto"/>
          <w:highlight w:val="none"/>
        </w:rPr>
      </w:pPr>
    </w:p>
    <w:p w14:paraId="6524EE5A">
      <w:pPr>
        <w:pStyle w:val="7"/>
        <w:ind w:left="2160" w:leftChars="9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57F106D3">
      <w:pPr>
        <w:pStyle w:val="7"/>
        <w:ind w:left="2160" w:leftChars="900" w:firstLine="480"/>
        <w:rPr>
          <w:rFonts w:cs="宋体"/>
          <w:color w:val="auto"/>
          <w:highlight w:val="none"/>
        </w:rPr>
      </w:pPr>
      <w:r>
        <w:rPr>
          <w:rFonts w:hint="eastAsia" w:cs="宋体"/>
          <w:color w:val="auto"/>
          <w:highlight w:val="none"/>
        </w:rPr>
        <w:t>法定代表人或供应商代表(签字）：</w:t>
      </w:r>
      <w:r>
        <w:rPr>
          <w:rFonts w:hint="eastAsia" w:cs="宋体"/>
          <w:color w:val="auto"/>
          <w:highlight w:val="none"/>
          <w:u w:val="single"/>
        </w:rPr>
        <w:t xml:space="preserve">                </w:t>
      </w:r>
    </w:p>
    <w:p w14:paraId="7903BF73">
      <w:pPr>
        <w:pStyle w:val="7"/>
        <w:ind w:left="2160" w:leftChars="900" w:firstLine="480"/>
        <w:rPr>
          <w:rFonts w:cs="宋体"/>
          <w:color w:val="auto"/>
          <w:highlight w:val="none"/>
        </w:rPr>
      </w:pPr>
      <w:r>
        <w:rPr>
          <w:rFonts w:hint="eastAsia" w:cs="宋体"/>
          <w:color w:val="auto"/>
          <w:highlight w:val="none"/>
        </w:rPr>
        <w:t>日 期：</w:t>
      </w:r>
      <w:r>
        <w:rPr>
          <w:rFonts w:hint="eastAsia" w:cs="宋体"/>
          <w:color w:val="auto"/>
          <w:highlight w:val="none"/>
          <w:u w:val="single"/>
        </w:rPr>
        <w:t xml:space="preserve">                                        </w:t>
      </w:r>
    </w:p>
    <w:p w14:paraId="080DACD4">
      <w:pPr>
        <w:pStyle w:val="7"/>
        <w:ind w:firstLine="480"/>
        <w:rPr>
          <w:rFonts w:cs="宋体"/>
          <w:color w:val="auto"/>
          <w:highlight w:val="none"/>
        </w:rPr>
      </w:pPr>
    </w:p>
    <w:p w14:paraId="2135C7FD">
      <w:pPr>
        <w:rPr>
          <w:rFonts w:cs="宋体"/>
          <w:color w:val="auto"/>
          <w:highlight w:val="none"/>
        </w:rPr>
      </w:pPr>
      <w:r>
        <w:rPr>
          <w:rFonts w:hint="eastAsia" w:cs="宋体"/>
          <w:color w:val="auto"/>
          <w:highlight w:val="none"/>
        </w:rPr>
        <w:br w:type="page"/>
      </w:r>
    </w:p>
    <w:p w14:paraId="30AE4F44">
      <w:pPr>
        <w:pStyle w:val="4"/>
        <w:rPr>
          <w:rFonts w:cs="宋体"/>
          <w:color w:val="auto"/>
          <w:highlight w:val="none"/>
        </w:rPr>
      </w:pPr>
      <w:r>
        <w:rPr>
          <w:rFonts w:hint="eastAsia" w:cs="宋体"/>
          <w:color w:val="auto"/>
          <w:highlight w:val="none"/>
        </w:rPr>
        <w:t>4.有依法缴纳税收和社会保障资金的良好记录证明文件</w:t>
      </w:r>
    </w:p>
    <w:p w14:paraId="16BDAD74">
      <w:pPr>
        <w:jc w:val="center"/>
        <w:rPr>
          <w:rFonts w:cs="宋体"/>
          <w:color w:val="auto"/>
          <w:highlight w:val="none"/>
        </w:rPr>
      </w:pPr>
      <w:r>
        <w:rPr>
          <w:rFonts w:hint="eastAsia" w:cs="宋体"/>
          <w:color w:val="auto"/>
          <w:highlight w:val="none"/>
        </w:rPr>
        <w:t>供应商有依法缴纳税收和社会保障资金的良好记录的信用承诺书</w:t>
      </w:r>
    </w:p>
    <w:p w14:paraId="2779D183">
      <w:pPr>
        <w:rPr>
          <w:rFonts w:cs="宋体"/>
          <w:color w:val="auto"/>
          <w:highlight w:val="none"/>
        </w:rPr>
      </w:pPr>
    </w:p>
    <w:p w14:paraId="7224276D">
      <w:pPr>
        <w:rPr>
          <w:rFonts w:cs="宋体"/>
          <w:color w:val="auto"/>
          <w:highlight w:val="none"/>
        </w:rPr>
      </w:pPr>
      <w:r>
        <w:rPr>
          <w:rFonts w:hint="eastAsia" w:cs="宋体"/>
          <w:color w:val="auto"/>
          <w:highlight w:val="none"/>
          <w:u w:val="single"/>
        </w:rPr>
        <w:t xml:space="preserve">              </w:t>
      </w:r>
      <w:r>
        <w:rPr>
          <w:rFonts w:hint="eastAsia" w:cs="宋体"/>
          <w:color w:val="auto"/>
          <w:highlight w:val="none"/>
        </w:rPr>
        <w:t>（采购人名称）：</w:t>
      </w:r>
    </w:p>
    <w:p w14:paraId="1E5547CE">
      <w:pPr>
        <w:widowControl/>
        <w:snapToGrid w:val="0"/>
        <w:ind w:firstLine="480" w:firstLineChars="200"/>
        <w:rPr>
          <w:rFonts w:cs="宋体"/>
          <w:color w:val="auto"/>
          <w:highlight w:val="none"/>
        </w:rPr>
      </w:pPr>
    </w:p>
    <w:p w14:paraId="1C27DA2B">
      <w:pPr>
        <w:pStyle w:val="7"/>
        <w:ind w:firstLine="480"/>
        <w:rPr>
          <w:rFonts w:cs="宋体"/>
          <w:color w:val="auto"/>
          <w:highlight w:val="none"/>
        </w:rPr>
      </w:pPr>
      <w:r>
        <w:rPr>
          <w:rFonts w:hint="eastAsia" w:cs="宋体"/>
          <w:color w:val="auto"/>
          <w:highlight w:val="none"/>
        </w:rPr>
        <w:t>本供应商现参与贵公司组织的</w:t>
      </w:r>
      <w:r>
        <w:rPr>
          <w:rFonts w:hint="eastAsia" w:cs="宋体"/>
          <w:color w:val="auto"/>
          <w:highlight w:val="none"/>
          <w:u w:val="single"/>
        </w:rPr>
        <w:t xml:space="preserve">            </w:t>
      </w:r>
      <w:r>
        <w:rPr>
          <w:rFonts w:hint="eastAsia" w:cs="宋体"/>
          <w:color w:val="auto"/>
          <w:highlight w:val="none"/>
        </w:rPr>
        <w:t>项目（项目编号：</w:t>
      </w:r>
      <w:r>
        <w:rPr>
          <w:rFonts w:hint="eastAsia" w:cs="宋体"/>
          <w:color w:val="auto"/>
          <w:highlight w:val="none"/>
          <w:u w:val="single"/>
        </w:rPr>
        <w:t xml:space="preserve">            </w:t>
      </w:r>
      <w:r>
        <w:rPr>
          <w:rFonts w:hint="eastAsia" w:cs="宋体"/>
          <w:color w:val="auto"/>
          <w:highlight w:val="none"/>
        </w:rPr>
        <w:t>）的采购活动。依据磋商文件相关规定，现郑重承诺：我方在参加本次采购活动前一年内严格依法缴纳税收或依法享受国家免税优惠政策，并提供依法给单位职工缴纳社会保障金或依法不需要缴纳社会保障资金的证明文件。</w:t>
      </w:r>
    </w:p>
    <w:p w14:paraId="1A5B23E3">
      <w:pPr>
        <w:pStyle w:val="7"/>
        <w:ind w:firstLine="480"/>
        <w:rPr>
          <w:rFonts w:cs="宋体"/>
          <w:color w:val="auto"/>
          <w:highlight w:val="none"/>
        </w:rPr>
      </w:pPr>
      <w:r>
        <w:rPr>
          <w:rFonts w:hint="eastAsia" w:cs="宋体"/>
          <w:color w:val="auto"/>
          <w:highlight w:val="none"/>
        </w:rPr>
        <w:t xml:space="preserve">以上承诺信息如有虚假或隐瞒，我方愿意承担一切后果，并不再寻求任何旨在减轻或免除法律责任的辩解。 </w:t>
      </w:r>
    </w:p>
    <w:p w14:paraId="742FEC84">
      <w:pPr>
        <w:pStyle w:val="7"/>
        <w:ind w:firstLine="480"/>
        <w:rPr>
          <w:rFonts w:cs="宋体"/>
          <w:color w:val="auto"/>
          <w:highlight w:val="none"/>
        </w:rPr>
      </w:pPr>
      <w:r>
        <w:rPr>
          <w:rFonts w:hint="eastAsia" w:cs="宋体"/>
          <w:color w:val="auto"/>
          <w:highlight w:val="none"/>
        </w:rPr>
        <w:t>特此承诺。</w:t>
      </w:r>
    </w:p>
    <w:p w14:paraId="576E5681">
      <w:pPr>
        <w:pStyle w:val="7"/>
        <w:ind w:firstLine="480"/>
        <w:rPr>
          <w:rFonts w:cs="宋体"/>
          <w:color w:val="auto"/>
          <w:highlight w:val="none"/>
        </w:rPr>
      </w:pPr>
    </w:p>
    <w:p w14:paraId="563FCC45">
      <w:pPr>
        <w:pStyle w:val="7"/>
        <w:ind w:firstLine="480"/>
        <w:rPr>
          <w:rFonts w:cs="宋体"/>
          <w:color w:val="auto"/>
          <w:highlight w:val="none"/>
        </w:rPr>
      </w:pPr>
    </w:p>
    <w:p w14:paraId="688CBD54">
      <w:pPr>
        <w:pStyle w:val="7"/>
        <w:ind w:firstLine="480"/>
        <w:rPr>
          <w:rFonts w:cs="宋体"/>
          <w:color w:val="auto"/>
          <w:highlight w:val="none"/>
        </w:rPr>
      </w:pPr>
    </w:p>
    <w:p w14:paraId="0FF7553D">
      <w:pPr>
        <w:pStyle w:val="7"/>
        <w:ind w:firstLine="480"/>
        <w:rPr>
          <w:rFonts w:cs="宋体"/>
          <w:color w:val="auto"/>
          <w:highlight w:val="none"/>
        </w:rPr>
      </w:pPr>
    </w:p>
    <w:p w14:paraId="5CB2C912">
      <w:pPr>
        <w:pStyle w:val="7"/>
        <w:ind w:left="2160" w:leftChars="9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48B0A555">
      <w:pPr>
        <w:pStyle w:val="7"/>
        <w:ind w:left="2160" w:leftChars="900" w:firstLine="480"/>
        <w:rPr>
          <w:rFonts w:cs="宋体"/>
          <w:color w:val="auto"/>
          <w:highlight w:val="none"/>
        </w:rPr>
      </w:pPr>
      <w:r>
        <w:rPr>
          <w:rFonts w:hint="eastAsia" w:cs="宋体"/>
          <w:color w:val="auto"/>
          <w:highlight w:val="none"/>
        </w:rPr>
        <w:t>法定代表人或供应商代表(签字）：</w:t>
      </w:r>
      <w:r>
        <w:rPr>
          <w:rFonts w:hint="eastAsia" w:cs="宋体"/>
          <w:color w:val="auto"/>
          <w:highlight w:val="none"/>
          <w:u w:val="single"/>
        </w:rPr>
        <w:t xml:space="preserve">                </w:t>
      </w:r>
    </w:p>
    <w:p w14:paraId="3104ADB8">
      <w:pPr>
        <w:pStyle w:val="7"/>
        <w:ind w:left="2160" w:leftChars="900" w:firstLine="480"/>
        <w:rPr>
          <w:rFonts w:cs="宋体"/>
          <w:color w:val="auto"/>
          <w:highlight w:val="none"/>
        </w:rPr>
      </w:pPr>
      <w:r>
        <w:rPr>
          <w:rFonts w:hint="eastAsia" w:cs="宋体"/>
          <w:color w:val="auto"/>
          <w:highlight w:val="none"/>
        </w:rPr>
        <w:t>日 期：</w:t>
      </w:r>
      <w:r>
        <w:rPr>
          <w:rFonts w:hint="eastAsia" w:cs="宋体"/>
          <w:color w:val="auto"/>
          <w:highlight w:val="none"/>
          <w:u w:val="single"/>
        </w:rPr>
        <w:t xml:space="preserve">                                        </w:t>
      </w:r>
    </w:p>
    <w:p w14:paraId="054FBFD7">
      <w:pPr>
        <w:pStyle w:val="7"/>
        <w:ind w:firstLine="480"/>
        <w:rPr>
          <w:rFonts w:cs="宋体"/>
          <w:color w:val="auto"/>
          <w:highlight w:val="none"/>
        </w:rPr>
      </w:pPr>
    </w:p>
    <w:p w14:paraId="11401128">
      <w:pPr>
        <w:rPr>
          <w:rFonts w:cs="宋体"/>
          <w:color w:val="auto"/>
          <w:highlight w:val="none"/>
        </w:rPr>
      </w:pPr>
      <w:r>
        <w:rPr>
          <w:rFonts w:hint="eastAsia" w:cs="宋体"/>
          <w:color w:val="auto"/>
          <w:highlight w:val="none"/>
        </w:rPr>
        <w:br w:type="page"/>
      </w:r>
    </w:p>
    <w:p w14:paraId="761772D0">
      <w:pPr>
        <w:pStyle w:val="4"/>
        <w:rPr>
          <w:rFonts w:cs="宋体"/>
          <w:color w:val="auto"/>
          <w:highlight w:val="none"/>
        </w:rPr>
      </w:pPr>
      <w:r>
        <w:rPr>
          <w:rFonts w:hint="eastAsia" w:cs="宋体"/>
          <w:color w:val="auto"/>
          <w:highlight w:val="none"/>
        </w:rPr>
        <w:t>5.参加政府采购活动前三年内，在经营活动中没有重大违法记录证明文件</w:t>
      </w:r>
    </w:p>
    <w:p w14:paraId="6450E5FD">
      <w:pPr>
        <w:pStyle w:val="7"/>
        <w:ind w:firstLine="0" w:firstLineChars="0"/>
        <w:jc w:val="center"/>
        <w:rPr>
          <w:rFonts w:cs="宋体"/>
          <w:color w:val="auto"/>
          <w:highlight w:val="none"/>
        </w:rPr>
      </w:pPr>
      <w:r>
        <w:rPr>
          <w:rFonts w:hint="eastAsia" w:cs="宋体"/>
          <w:color w:val="auto"/>
          <w:highlight w:val="none"/>
        </w:rPr>
        <w:t>供应商近三年无重大违法记录的信用承诺书</w:t>
      </w:r>
    </w:p>
    <w:p w14:paraId="20FFC534">
      <w:pPr>
        <w:pStyle w:val="7"/>
        <w:ind w:firstLine="480"/>
        <w:rPr>
          <w:rFonts w:cs="宋体"/>
          <w:color w:val="auto"/>
          <w:highlight w:val="none"/>
        </w:rPr>
      </w:pPr>
    </w:p>
    <w:p w14:paraId="4AD0D8E5">
      <w:pPr>
        <w:rPr>
          <w:rFonts w:cs="宋体"/>
          <w:color w:val="auto"/>
          <w:highlight w:val="none"/>
        </w:rPr>
      </w:pPr>
      <w:r>
        <w:rPr>
          <w:rFonts w:hint="eastAsia" w:cs="宋体"/>
          <w:color w:val="auto"/>
          <w:highlight w:val="none"/>
          <w:u w:val="single"/>
        </w:rPr>
        <w:t xml:space="preserve">              </w:t>
      </w:r>
      <w:r>
        <w:rPr>
          <w:rFonts w:hint="eastAsia" w:cs="宋体"/>
          <w:color w:val="auto"/>
          <w:highlight w:val="none"/>
        </w:rPr>
        <w:t>（采购人名称）：</w:t>
      </w:r>
    </w:p>
    <w:p w14:paraId="11DA2CDD">
      <w:pPr>
        <w:pStyle w:val="7"/>
        <w:ind w:firstLine="480"/>
        <w:rPr>
          <w:rFonts w:cs="宋体"/>
          <w:color w:val="auto"/>
          <w:highlight w:val="none"/>
        </w:rPr>
      </w:pPr>
    </w:p>
    <w:p w14:paraId="410CE873">
      <w:pPr>
        <w:ind w:firstLine="480" w:firstLineChars="200"/>
        <w:rPr>
          <w:rFonts w:cs="宋体"/>
          <w:color w:val="auto"/>
          <w:highlight w:val="none"/>
        </w:rPr>
      </w:pPr>
      <w:r>
        <w:rPr>
          <w:rFonts w:hint="eastAsia" w:cs="宋体"/>
          <w:color w:val="auto"/>
          <w:highlight w:val="none"/>
        </w:rPr>
        <w:t>本供应商现参与贵公司组织的</w:t>
      </w:r>
      <w:r>
        <w:rPr>
          <w:rFonts w:hint="eastAsia" w:cs="宋体"/>
          <w:color w:val="auto"/>
          <w:highlight w:val="none"/>
          <w:u w:val="single"/>
        </w:rPr>
        <w:t xml:space="preserve">               </w:t>
      </w:r>
      <w:r>
        <w:rPr>
          <w:rFonts w:hint="eastAsia" w:cs="宋体"/>
          <w:color w:val="auto"/>
          <w:highlight w:val="none"/>
        </w:rPr>
        <w:t>项目（项目编号：</w:t>
      </w:r>
      <w:r>
        <w:rPr>
          <w:rFonts w:hint="eastAsia" w:cs="宋体"/>
          <w:color w:val="auto"/>
          <w:highlight w:val="none"/>
          <w:u w:val="single"/>
        </w:rPr>
        <w:t xml:space="preserve">            </w:t>
      </w:r>
      <w:r>
        <w:rPr>
          <w:rFonts w:hint="eastAsia" w:cs="宋体"/>
          <w:color w:val="auto"/>
          <w:highlight w:val="none"/>
        </w:rPr>
        <w:t>）的采购活动。依据磋商文件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失信主体均为0记录；在中国政府采购网（http://www.ccgp.gov.cn）中的政府采购严重违法失信行为信息记录也为0记录。</w:t>
      </w:r>
    </w:p>
    <w:p w14:paraId="60B6DB3C">
      <w:pPr>
        <w:pStyle w:val="7"/>
        <w:ind w:firstLine="480"/>
        <w:rPr>
          <w:rFonts w:cs="宋体"/>
          <w:color w:val="auto"/>
          <w:highlight w:val="none"/>
        </w:rPr>
      </w:pPr>
      <w:r>
        <w:rPr>
          <w:rFonts w:hint="eastAsia" w:cs="宋体"/>
          <w:color w:val="auto"/>
          <w:highlight w:val="none"/>
        </w:rPr>
        <w:t>以上承诺信息如有虚假或隐瞒，我方愿意承担一切后果，并不再寻求任何旨在减轻或免除法律责任的辩解。</w:t>
      </w:r>
    </w:p>
    <w:p w14:paraId="40DD00ED">
      <w:pPr>
        <w:pStyle w:val="7"/>
        <w:ind w:firstLine="480"/>
        <w:rPr>
          <w:rFonts w:cs="宋体"/>
          <w:color w:val="auto"/>
          <w:highlight w:val="none"/>
        </w:rPr>
      </w:pPr>
      <w:r>
        <w:rPr>
          <w:rFonts w:hint="eastAsia" w:cs="宋体"/>
          <w:color w:val="auto"/>
          <w:highlight w:val="none"/>
        </w:rPr>
        <w:t>特此承诺</w:t>
      </w:r>
    </w:p>
    <w:p w14:paraId="5CC2926C">
      <w:pPr>
        <w:pStyle w:val="7"/>
        <w:ind w:firstLine="480"/>
        <w:rPr>
          <w:rFonts w:cs="宋体"/>
          <w:color w:val="auto"/>
          <w:highlight w:val="none"/>
        </w:rPr>
      </w:pPr>
    </w:p>
    <w:p w14:paraId="078F9DC7">
      <w:pPr>
        <w:pStyle w:val="7"/>
        <w:ind w:firstLine="480"/>
        <w:rPr>
          <w:rFonts w:cs="宋体"/>
          <w:color w:val="auto"/>
          <w:highlight w:val="none"/>
        </w:rPr>
      </w:pPr>
    </w:p>
    <w:p w14:paraId="0D8980EB">
      <w:pPr>
        <w:pStyle w:val="7"/>
        <w:ind w:firstLine="480"/>
        <w:rPr>
          <w:rFonts w:cs="宋体"/>
          <w:color w:val="auto"/>
          <w:highlight w:val="none"/>
        </w:rPr>
      </w:pPr>
    </w:p>
    <w:p w14:paraId="7FC1807F">
      <w:pPr>
        <w:pStyle w:val="7"/>
        <w:ind w:firstLine="480"/>
        <w:rPr>
          <w:rFonts w:cs="宋体"/>
          <w:color w:val="auto"/>
          <w:highlight w:val="none"/>
        </w:rPr>
      </w:pPr>
    </w:p>
    <w:p w14:paraId="2DF67D39">
      <w:pPr>
        <w:pStyle w:val="7"/>
        <w:ind w:firstLine="480"/>
        <w:rPr>
          <w:rFonts w:cs="宋体"/>
          <w:color w:val="auto"/>
          <w:highlight w:val="none"/>
        </w:rPr>
      </w:pPr>
    </w:p>
    <w:p w14:paraId="65EF926D">
      <w:pPr>
        <w:pStyle w:val="7"/>
        <w:ind w:firstLine="480"/>
        <w:rPr>
          <w:rFonts w:cs="宋体"/>
          <w:color w:val="auto"/>
          <w:highlight w:val="none"/>
        </w:rPr>
      </w:pPr>
    </w:p>
    <w:p w14:paraId="4127478A">
      <w:pPr>
        <w:pStyle w:val="7"/>
        <w:ind w:left="2160" w:leftChars="9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278A2F9A">
      <w:pPr>
        <w:pStyle w:val="7"/>
        <w:ind w:left="2160" w:leftChars="900" w:firstLine="480"/>
        <w:rPr>
          <w:rFonts w:cs="宋体"/>
          <w:color w:val="auto"/>
          <w:highlight w:val="none"/>
        </w:rPr>
      </w:pPr>
      <w:r>
        <w:rPr>
          <w:rFonts w:hint="eastAsia" w:cs="宋体"/>
          <w:color w:val="auto"/>
          <w:highlight w:val="none"/>
        </w:rPr>
        <w:t>法定代表人或供应商代表(签字）：</w:t>
      </w:r>
      <w:r>
        <w:rPr>
          <w:rFonts w:hint="eastAsia" w:cs="宋体"/>
          <w:color w:val="auto"/>
          <w:highlight w:val="none"/>
          <w:u w:val="single"/>
        </w:rPr>
        <w:t xml:space="preserve">                </w:t>
      </w:r>
    </w:p>
    <w:p w14:paraId="0C6FB336">
      <w:pPr>
        <w:pStyle w:val="7"/>
        <w:ind w:left="2160" w:leftChars="900" w:firstLine="480"/>
        <w:rPr>
          <w:rFonts w:cs="宋体"/>
          <w:color w:val="auto"/>
          <w:highlight w:val="none"/>
        </w:rPr>
      </w:pPr>
      <w:r>
        <w:rPr>
          <w:rFonts w:hint="eastAsia" w:cs="宋体"/>
          <w:color w:val="auto"/>
          <w:highlight w:val="none"/>
        </w:rPr>
        <w:t>日 期：</w:t>
      </w:r>
      <w:r>
        <w:rPr>
          <w:rFonts w:hint="eastAsia" w:cs="宋体"/>
          <w:color w:val="auto"/>
          <w:highlight w:val="none"/>
          <w:u w:val="single"/>
        </w:rPr>
        <w:t xml:space="preserve">                                        </w:t>
      </w:r>
    </w:p>
    <w:p w14:paraId="5EAF2117">
      <w:pPr>
        <w:pStyle w:val="7"/>
        <w:ind w:firstLine="480"/>
        <w:rPr>
          <w:rFonts w:cs="宋体"/>
          <w:color w:val="auto"/>
          <w:highlight w:val="none"/>
        </w:rPr>
      </w:pPr>
    </w:p>
    <w:p w14:paraId="594761E7">
      <w:pPr>
        <w:rPr>
          <w:rFonts w:cs="宋体"/>
          <w:color w:val="auto"/>
          <w:highlight w:val="none"/>
        </w:rPr>
      </w:pPr>
      <w:r>
        <w:rPr>
          <w:rFonts w:hint="eastAsia" w:cs="宋体"/>
          <w:color w:val="auto"/>
          <w:highlight w:val="none"/>
        </w:rPr>
        <w:br w:type="page"/>
      </w:r>
    </w:p>
    <w:p w14:paraId="1C25F56A">
      <w:pPr>
        <w:pStyle w:val="4"/>
        <w:rPr>
          <w:rFonts w:cs="宋体"/>
          <w:color w:val="auto"/>
          <w:highlight w:val="none"/>
        </w:rPr>
      </w:pPr>
      <w:r>
        <w:rPr>
          <w:rFonts w:hint="eastAsia" w:cs="宋体"/>
          <w:color w:val="auto"/>
          <w:highlight w:val="none"/>
        </w:rPr>
        <w:t>6.供应商廉洁自律承诺书</w:t>
      </w:r>
    </w:p>
    <w:p w14:paraId="3B8848BE">
      <w:pPr>
        <w:pStyle w:val="7"/>
        <w:ind w:firstLine="0" w:firstLineChars="0"/>
        <w:jc w:val="center"/>
        <w:rPr>
          <w:rFonts w:cs="宋体"/>
          <w:color w:val="auto"/>
          <w:highlight w:val="none"/>
        </w:rPr>
      </w:pPr>
      <w:r>
        <w:rPr>
          <w:rFonts w:hint="eastAsia" w:cs="宋体"/>
          <w:color w:val="auto"/>
          <w:highlight w:val="none"/>
        </w:rPr>
        <w:t>供应商廉洁自律承诺书</w:t>
      </w:r>
    </w:p>
    <w:p w14:paraId="58810476">
      <w:pPr>
        <w:rPr>
          <w:rFonts w:cs="宋体"/>
          <w:color w:val="auto"/>
          <w:highlight w:val="none"/>
        </w:rPr>
      </w:pPr>
      <w:r>
        <w:rPr>
          <w:rFonts w:hint="eastAsia" w:cs="宋体"/>
          <w:color w:val="auto"/>
          <w:highlight w:val="none"/>
          <w:u w:val="single"/>
        </w:rPr>
        <w:t xml:space="preserve">              </w:t>
      </w:r>
      <w:r>
        <w:rPr>
          <w:rFonts w:hint="eastAsia" w:cs="宋体"/>
          <w:color w:val="auto"/>
          <w:highlight w:val="none"/>
        </w:rPr>
        <w:t>（采购人名称）：</w:t>
      </w:r>
    </w:p>
    <w:p w14:paraId="7F1A8915">
      <w:pPr>
        <w:pStyle w:val="7"/>
        <w:ind w:firstLine="480"/>
        <w:rPr>
          <w:rFonts w:cs="宋体"/>
          <w:color w:val="auto"/>
          <w:highlight w:val="none"/>
        </w:rPr>
      </w:pPr>
    </w:p>
    <w:p w14:paraId="50A544B4">
      <w:pPr>
        <w:pStyle w:val="7"/>
        <w:ind w:firstLine="480"/>
        <w:rPr>
          <w:rFonts w:cs="宋体"/>
          <w:color w:val="auto"/>
          <w:highlight w:val="none"/>
        </w:rPr>
      </w:pPr>
      <w:r>
        <w:rPr>
          <w:rFonts w:hint="eastAsia" w:cs="宋体"/>
          <w:color w:val="auto"/>
          <w:highlight w:val="none"/>
        </w:rPr>
        <w:t>为维护本次磋商工作的正常秩序，本公司特郑重承诺如下：</w:t>
      </w:r>
    </w:p>
    <w:p w14:paraId="3830A924">
      <w:pPr>
        <w:pStyle w:val="7"/>
        <w:ind w:firstLine="480"/>
        <w:rPr>
          <w:rFonts w:cs="宋体"/>
          <w:color w:val="auto"/>
          <w:highlight w:val="none"/>
        </w:rPr>
      </w:pPr>
      <w:r>
        <w:rPr>
          <w:rFonts w:hint="eastAsia" w:cs="宋体"/>
          <w:color w:val="auto"/>
          <w:highlight w:val="none"/>
        </w:rPr>
        <w:t>一、严格按照采购人的有关规定及磋商文件的规定，规范本公司的行为，保证做到合法参与本次采购活动、正当竞争、廉洁经营。</w:t>
      </w:r>
    </w:p>
    <w:p w14:paraId="71CFE36A">
      <w:pPr>
        <w:pStyle w:val="7"/>
        <w:ind w:firstLine="480"/>
        <w:rPr>
          <w:rFonts w:cs="宋体"/>
          <w:color w:val="auto"/>
          <w:highlight w:val="none"/>
        </w:rPr>
      </w:pPr>
      <w:r>
        <w:rPr>
          <w:rFonts w:hint="eastAsia" w:cs="宋体"/>
          <w:color w:val="auto"/>
          <w:highlight w:val="none"/>
        </w:rPr>
        <w:t>二、本公司保证在本次采购工作中做到：</w:t>
      </w:r>
    </w:p>
    <w:p w14:paraId="7787EE51">
      <w:pPr>
        <w:pStyle w:val="7"/>
        <w:ind w:firstLine="480"/>
        <w:rPr>
          <w:rFonts w:cs="宋体"/>
          <w:color w:val="auto"/>
          <w:highlight w:val="none"/>
        </w:rPr>
      </w:pPr>
      <w:r>
        <w:rPr>
          <w:rFonts w:hint="eastAsia" w:cs="宋体"/>
          <w:color w:val="auto"/>
          <w:highlight w:val="none"/>
        </w:rPr>
        <w:t>1．不与其他供应商相互串通参与本采购项目、陪标，损害贵单位的合法权益；</w:t>
      </w:r>
    </w:p>
    <w:p w14:paraId="16E163AA">
      <w:pPr>
        <w:pStyle w:val="7"/>
        <w:ind w:firstLine="480"/>
        <w:rPr>
          <w:rFonts w:cs="宋体"/>
          <w:color w:val="auto"/>
          <w:highlight w:val="none"/>
        </w:rPr>
      </w:pPr>
      <w:r>
        <w:rPr>
          <w:rFonts w:hint="eastAsia" w:cs="宋体"/>
          <w:color w:val="auto"/>
          <w:highlight w:val="none"/>
        </w:rPr>
        <w:t>2．不与用户串通参与本采购项目，损害采购人利益或他人的合法权益；</w:t>
      </w:r>
    </w:p>
    <w:p w14:paraId="1EFE6003">
      <w:pPr>
        <w:pStyle w:val="7"/>
        <w:ind w:firstLine="480"/>
        <w:rPr>
          <w:rFonts w:cs="宋体"/>
          <w:color w:val="auto"/>
          <w:highlight w:val="none"/>
        </w:rPr>
      </w:pPr>
      <w:r>
        <w:rPr>
          <w:rFonts w:hint="eastAsia" w:cs="宋体"/>
          <w:color w:val="auto"/>
          <w:highlight w:val="none"/>
        </w:rPr>
        <w:t>3．不以向用户、采购代理机构或者评审组成员行贿的手段谋取成交；（包括送礼金礼品、有价证券、购物券、回扣、佣金、咨询费、劳务费、赞助费、宣传费、支付旅游费用、报销各种消费凭证、宴请、娱乐等）；</w:t>
      </w:r>
    </w:p>
    <w:p w14:paraId="1098354D">
      <w:pPr>
        <w:pStyle w:val="7"/>
        <w:ind w:firstLine="480"/>
        <w:rPr>
          <w:rFonts w:cs="宋体"/>
          <w:color w:val="auto"/>
          <w:highlight w:val="none"/>
        </w:rPr>
      </w:pPr>
      <w:r>
        <w:rPr>
          <w:rFonts w:hint="eastAsia" w:cs="宋体"/>
          <w:color w:val="auto"/>
          <w:highlight w:val="none"/>
        </w:rPr>
        <w:t>4．不利用他人名义参与本采购项目或者以其他方式弄虚作假，谋取成交；</w:t>
      </w:r>
    </w:p>
    <w:p w14:paraId="24D088D7">
      <w:pPr>
        <w:pStyle w:val="7"/>
        <w:ind w:firstLine="480"/>
        <w:rPr>
          <w:rFonts w:cs="宋体"/>
          <w:color w:val="auto"/>
          <w:highlight w:val="none"/>
        </w:rPr>
      </w:pPr>
      <w:r>
        <w:rPr>
          <w:rFonts w:hint="eastAsia" w:cs="宋体"/>
          <w:color w:val="auto"/>
          <w:highlight w:val="none"/>
        </w:rPr>
        <w:t>5．保证不以其他任何方式扰乱本次采购工作；</w:t>
      </w:r>
    </w:p>
    <w:p w14:paraId="6BD72DF6">
      <w:pPr>
        <w:pStyle w:val="7"/>
        <w:ind w:firstLine="480"/>
        <w:rPr>
          <w:rFonts w:cs="宋体"/>
          <w:color w:val="auto"/>
          <w:highlight w:val="none"/>
        </w:rPr>
      </w:pPr>
      <w:r>
        <w:rPr>
          <w:rFonts w:hint="eastAsia" w:cs="宋体"/>
          <w:color w:val="auto"/>
          <w:highlight w:val="none"/>
        </w:rPr>
        <w:t>6．保证严格遵守采购会议纪律。</w:t>
      </w:r>
    </w:p>
    <w:p w14:paraId="43FF370C">
      <w:pPr>
        <w:pStyle w:val="7"/>
        <w:ind w:firstLine="480"/>
        <w:rPr>
          <w:rFonts w:cs="宋体"/>
          <w:color w:val="auto"/>
          <w:highlight w:val="none"/>
        </w:rPr>
      </w:pPr>
      <w:r>
        <w:rPr>
          <w:rFonts w:hint="eastAsia" w:cs="宋体"/>
          <w:color w:val="auto"/>
          <w:highlight w:val="none"/>
        </w:rPr>
        <w:t>三、我公司承诺在本次采购活动中，如有违反以上第二条中的行为，同意贵方上报主管部门，按采购人有关规定和磋商文件之规定，给予进入不良信誉记录、扣除保证金等惩罚，我公司及项目参与人员完全接受。</w:t>
      </w:r>
    </w:p>
    <w:p w14:paraId="50C61123">
      <w:pPr>
        <w:pStyle w:val="7"/>
        <w:ind w:firstLine="480"/>
        <w:rPr>
          <w:rFonts w:cs="宋体"/>
          <w:color w:val="auto"/>
          <w:highlight w:val="none"/>
        </w:rPr>
      </w:pPr>
    </w:p>
    <w:p w14:paraId="0AD576F7">
      <w:pPr>
        <w:pStyle w:val="7"/>
        <w:ind w:firstLine="480"/>
        <w:rPr>
          <w:rFonts w:cs="宋体"/>
          <w:color w:val="auto"/>
          <w:highlight w:val="none"/>
        </w:rPr>
      </w:pPr>
    </w:p>
    <w:p w14:paraId="40545E94">
      <w:pPr>
        <w:pStyle w:val="7"/>
        <w:ind w:firstLine="480"/>
        <w:rPr>
          <w:rFonts w:cs="宋体"/>
          <w:color w:val="auto"/>
          <w:highlight w:val="none"/>
        </w:rPr>
      </w:pPr>
    </w:p>
    <w:p w14:paraId="29AAC221">
      <w:pPr>
        <w:pStyle w:val="7"/>
        <w:ind w:left="2160" w:leftChars="9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08B339A6">
      <w:pPr>
        <w:pStyle w:val="7"/>
        <w:ind w:left="2160" w:leftChars="900" w:firstLine="480"/>
        <w:rPr>
          <w:rFonts w:cs="宋体"/>
          <w:color w:val="auto"/>
          <w:highlight w:val="none"/>
        </w:rPr>
      </w:pPr>
      <w:r>
        <w:rPr>
          <w:rFonts w:hint="eastAsia" w:cs="宋体"/>
          <w:color w:val="auto"/>
          <w:highlight w:val="none"/>
        </w:rPr>
        <w:t>法定代表人或供应商代表(签字）：</w:t>
      </w:r>
      <w:r>
        <w:rPr>
          <w:rFonts w:hint="eastAsia" w:cs="宋体"/>
          <w:color w:val="auto"/>
          <w:highlight w:val="none"/>
          <w:u w:val="single"/>
        </w:rPr>
        <w:t xml:space="preserve">                </w:t>
      </w:r>
    </w:p>
    <w:p w14:paraId="52E416CA">
      <w:pPr>
        <w:pStyle w:val="7"/>
        <w:ind w:left="2160" w:leftChars="900" w:firstLine="480"/>
        <w:rPr>
          <w:rFonts w:cs="宋体"/>
          <w:color w:val="auto"/>
          <w:highlight w:val="none"/>
        </w:rPr>
      </w:pPr>
      <w:r>
        <w:rPr>
          <w:rFonts w:hint="eastAsia" w:cs="宋体"/>
          <w:color w:val="auto"/>
          <w:highlight w:val="none"/>
        </w:rPr>
        <w:t>日 期：</w:t>
      </w:r>
      <w:r>
        <w:rPr>
          <w:rFonts w:hint="eastAsia" w:cs="宋体"/>
          <w:color w:val="auto"/>
          <w:highlight w:val="none"/>
          <w:u w:val="single"/>
        </w:rPr>
        <w:t xml:space="preserve">                                        </w:t>
      </w:r>
    </w:p>
    <w:p w14:paraId="067BE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宋体"/>
          <w:color w:val="auto"/>
          <w:szCs w:val="24"/>
          <w:highlight w:val="none"/>
        </w:rPr>
      </w:pPr>
    </w:p>
    <w:p w14:paraId="7F9679B3">
      <w:pPr>
        <w:rPr>
          <w:rFonts w:cs="宋体"/>
          <w:color w:val="auto"/>
          <w:highlight w:val="none"/>
        </w:rPr>
      </w:pPr>
      <w:r>
        <w:rPr>
          <w:rFonts w:hint="eastAsia" w:cs="宋体"/>
          <w:color w:val="auto"/>
          <w:highlight w:val="none"/>
        </w:rPr>
        <w:br w:type="page"/>
      </w:r>
    </w:p>
    <w:p w14:paraId="027ADAC4">
      <w:pPr>
        <w:pStyle w:val="4"/>
        <w:rPr>
          <w:rFonts w:cs="宋体"/>
          <w:color w:val="auto"/>
          <w:highlight w:val="none"/>
        </w:rPr>
      </w:pPr>
      <w:r>
        <w:rPr>
          <w:rFonts w:hint="eastAsia" w:cs="宋体"/>
          <w:color w:val="auto"/>
          <w:highlight w:val="none"/>
        </w:rPr>
        <w:t>7.磋商保证金提交凭证</w:t>
      </w:r>
    </w:p>
    <w:p w14:paraId="37EAE0D5">
      <w:pPr>
        <w:rPr>
          <w:rFonts w:cs="宋体"/>
          <w:color w:val="auto"/>
          <w:highlight w:val="none"/>
        </w:rPr>
      </w:pPr>
    </w:p>
    <w:p w14:paraId="0D29B65A">
      <w:pPr>
        <w:pStyle w:val="7"/>
        <w:ind w:firstLine="480"/>
        <w:rPr>
          <w:rFonts w:cs="宋体"/>
          <w:color w:val="auto"/>
          <w:highlight w:val="none"/>
        </w:rPr>
      </w:pPr>
      <w:r>
        <w:rPr>
          <w:rFonts w:hint="eastAsia" w:cs="宋体"/>
          <w:color w:val="auto"/>
          <w:highlight w:val="none"/>
        </w:rPr>
        <w:t>附</w:t>
      </w:r>
      <w:r>
        <w:rPr>
          <w:rFonts w:hint="eastAsia" w:cs="宋体"/>
          <w:color w:val="auto"/>
          <w:highlight w:val="none"/>
          <w:lang w:val="zh-CN"/>
        </w:rPr>
        <w:t>保证金交款凭证及其</w:t>
      </w:r>
      <w:r>
        <w:rPr>
          <w:rFonts w:hint="eastAsia" w:cs="宋体"/>
          <w:color w:val="auto"/>
          <w:highlight w:val="none"/>
        </w:rPr>
        <w:t>基本存款账户开户许可证或基本存款账户信息材料</w:t>
      </w:r>
    </w:p>
    <w:p w14:paraId="3F7A016D">
      <w:pPr>
        <w:rPr>
          <w:rFonts w:cs="宋体"/>
          <w:color w:val="auto"/>
          <w:highlight w:val="none"/>
        </w:rPr>
      </w:pPr>
      <w:r>
        <w:rPr>
          <w:rFonts w:hint="eastAsia" w:cs="宋体"/>
          <w:color w:val="auto"/>
          <w:highlight w:val="none"/>
        </w:rPr>
        <w:br w:type="page"/>
      </w:r>
    </w:p>
    <w:p w14:paraId="79BF137C">
      <w:pPr>
        <w:pStyle w:val="4"/>
        <w:rPr>
          <w:rFonts w:hint="default" w:eastAsia="宋体" w:cs="宋体"/>
          <w:color w:val="auto"/>
          <w:highlight w:val="none"/>
          <w:lang w:val="en-US" w:eastAsia="zh-CN"/>
        </w:rPr>
      </w:pPr>
      <w:r>
        <w:rPr>
          <w:rFonts w:hint="eastAsia" w:cs="宋体"/>
          <w:color w:val="auto"/>
          <w:highlight w:val="none"/>
        </w:rPr>
        <w:t>8.提供落实政府采购政策资格要求的证明文件</w:t>
      </w:r>
    </w:p>
    <w:p w14:paraId="0FD947B0">
      <w:pPr>
        <w:pStyle w:val="9"/>
        <w:spacing w:before="205" w:line="219" w:lineRule="auto"/>
        <w:ind w:left="27"/>
        <w:outlineLvl w:val="2"/>
        <w:rPr>
          <w:color w:val="auto"/>
          <w:sz w:val="24"/>
          <w:szCs w:val="24"/>
          <w:highlight w:val="none"/>
        </w:rPr>
      </w:pPr>
      <w:r>
        <w:rPr>
          <w:b/>
          <w:bCs/>
          <w:color w:val="auto"/>
          <w:spacing w:val="-3"/>
          <w:sz w:val="24"/>
          <w:szCs w:val="24"/>
          <w:highlight w:val="none"/>
        </w:rPr>
        <w:t>（一）环保节能产品证明（如不涉及可不提供）</w:t>
      </w:r>
    </w:p>
    <w:p w14:paraId="58BDC10D">
      <w:pPr>
        <w:pStyle w:val="9"/>
        <w:spacing w:before="294" w:line="219" w:lineRule="auto"/>
        <w:ind w:left="33"/>
        <w:rPr>
          <w:color w:val="auto"/>
          <w:sz w:val="24"/>
          <w:szCs w:val="24"/>
          <w:highlight w:val="none"/>
        </w:rPr>
      </w:pPr>
      <w:r>
        <w:rPr>
          <w:color w:val="auto"/>
          <w:spacing w:val="-1"/>
          <w:sz w:val="24"/>
          <w:szCs w:val="24"/>
          <w:highlight w:val="none"/>
        </w:rPr>
        <w:t>1、强制节能产品明细表格式（以包为单位</w:t>
      </w:r>
      <w:r>
        <w:rPr>
          <w:color w:val="auto"/>
          <w:spacing w:val="-2"/>
          <w:sz w:val="24"/>
          <w:szCs w:val="24"/>
          <w:highlight w:val="none"/>
        </w:rPr>
        <w:t>分别填写）</w:t>
      </w:r>
    </w:p>
    <w:p w14:paraId="6E4B4DFC">
      <w:pPr>
        <w:pStyle w:val="9"/>
        <w:spacing w:before="164" w:line="219" w:lineRule="auto"/>
        <w:ind w:left="3475"/>
        <w:outlineLvl w:val="3"/>
        <w:rPr>
          <w:color w:val="auto"/>
          <w:sz w:val="24"/>
          <w:szCs w:val="24"/>
          <w:highlight w:val="none"/>
        </w:rPr>
      </w:pPr>
      <w:r>
        <w:rPr>
          <w:b/>
          <w:bCs/>
          <w:color w:val="auto"/>
          <w:spacing w:val="-4"/>
          <w:sz w:val="24"/>
          <w:szCs w:val="24"/>
          <w:highlight w:val="none"/>
        </w:rPr>
        <w:t>强制节能产品明细表</w:t>
      </w:r>
    </w:p>
    <w:p w14:paraId="0FC61AFE">
      <w:pPr>
        <w:spacing w:line="145" w:lineRule="exact"/>
        <w:rPr>
          <w:color w:val="auto"/>
          <w:highlight w:val="none"/>
        </w:rPr>
      </w:pPr>
    </w:p>
    <w:tbl>
      <w:tblPr>
        <w:tblStyle w:val="27"/>
        <w:tblW w:w="906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1000"/>
        <w:gridCol w:w="1000"/>
        <w:gridCol w:w="984"/>
        <w:gridCol w:w="1900"/>
        <w:gridCol w:w="1850"/>
        <w:gridCol w:w="1518"/>
      </w:tblGrid>
      <w:tr w14:paraId="0B4A8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09" w:type="dxa"/>
            <w:vAlign w:val="center"/>
          </w:tcPr>
          <w:p w14:paraId="4DA0C51D">
            <w:pPr>
              <w:pStyle w:val="26"/>
              <w:spacing w:before="268" w:line="240" w:lineRule="auto"/>
              <w:jc w:val="center"/>
              <w:rPr>
                <w:color w:val="auto"/>
                <w:sz w:val="20"/>
                <w:szCs w:val="20"/>
                <w:highlight w:val="none"/>
              </w:rPr>
            </w:pPr>
            <w:r>
              <w:rPr>
                <w:color w:val="auto"/>
                <w:spacing w:val="4"/>
                <w:sz w:val="20"/>
                <w:szCs w:val="20"/>
                <w:highlight w:val="none"/>
              </w:rPr>
              <w:t>包号</w:t>
            </w:r>
          </w:p>
        </w:tc>
        <w:tc>
          <w:tcPr>
            <w:tcW w:w="1000" w:type="dxa"/>
            <w:vAlign w:val="center"/>
          </w:tcPr>
          <w:p w14:paraId="2F9C1204">
            <w:pPr>
              <w:pStyle w:val="26"/>
              <w:tabs>
                <w:tab w:val="left" w:pos="1200"/>
              </w:tabs>
              <w:spacing w:before="130" w:line="240" w:lineRule="auto"/>
              <w:ind w:left="0" w:leftChars="0" w:right="-36" w:rightChars="0" w:firstLine="0" w:firstLineChars="0"/>
              <w:jc w:val="center"/>
              <w:rPr>
                <w:color w:val="auto"/>
                <w:sz w:val="20"/>
                <w:szCs w:val="20"/>
                <w:highlight w:val="none"/>
              </w:rPr>
            </w:pPr>
            <w:r>
              <w:rPr>
                <w:color w:val="auto"/>
                <w:spacing w:val="6"/>
                <w:sz w:val="20"/>
                <w:szCs w:val="20"/>
                <w:highlight w:val="none"/>
              </w:rPr>
              <w:t>产品名</w:t>
            </w:r>
            <w:r>
              <w:rPr>
                <w:color w:val="auto"/>
                <w:spacing w:val="1"/>
                <w:sz w:val="20"/>
                <w:szCs w:val="20"/>
                <w:highlight w:val="none"/>
              </w:rPr>
              <w:t>称</w:t>
            </w:r>
          </w:p>
        </w:tc>
        <w:tc>
          <w:tcPr>
            <w:tcW w:w="1000" w:type="dxa"/>
            <w:vAlign w:val="center"/>
          </w:tcPr>
          <w:p w14:paraId="3B0A58E5">
            <w:pPr>
              <w:pStyle w:val="26"/>
              <w:spacing w:before="268" w:line="240" w:lineRule="auto"/>
              <w:ind w:left="-3" w:leftChars="0" w:firstLine="3" w:firstLineChars="0"/>
              <w:jc w:val="center"/>
              <w:rPr>
                <w:color w:val="auto"/>
                <w:sz w:val="20"/>
                <w:szCs w:val="20"/>
                <w:highlight w:val="none"/>
              </w:rPr>
            </w:pPr>
            <w:r>
              <w:rPr>
                <w:color w:val="auto"/>
                <w:spacing w:val="6"/>
                <w:sz w:val="20"/>
                <w:szCs w:val="20"/>
                <w:highlight w:val="none"/>
              </w:rPr>
              <w:t>制造商</w:t>
            </w:r>
          </w:p>
        </w:tc>
        <w:tc>
          <w:tcPr>
            <w:tcW w:w="984" w:type="dxa"/>
            <w:vAlign w:val="center"/>
          </w:tcPr>
          <w:p w14:paraId="08124A55">
            <w:pPr>
              <w:pStyle w:val="26"/>
              <w:tabs>
                <w:tab w:val="left" w:pos="960"/>
                <w:tab w:val="left" w:pos="1200"/>
              </w:tabs>
              <w:spacing w:before="132" w:line="240" w:lineRule="auto"/>
              <w:ind w:left="0" w:leftChars="0" w:right="15" w:rightChars="0" w:firstLine="0" w:firstLineChars="0"/>
              <w:jc w:val="center"/>
              <w:rPr>
                <w:color w:val="auto"/>
                <w:sz w:val="20"/>
                <w:szCs w:val="20"/>
                <w:highlight w:val="none"/>
              </w:rPr>
            </w:pPr>
            <w:r>
              <w:rPr>
                <w:color w:val="auto"/>
                <w:spacing w:val="6"/>
                <w:sz w:val="20"/>
                <w:szCs w:val="20"/>
                <w:highlight w:val="none"/>
              </w:rPr>
              <w:t>产品型</w:t>
            </w:r>
            <w:r>
              <w:rPr>
                <w:color w:val="auto"/>
                <w:sz w:val="20"/>
                <w:szCs w:val="20"/>
                <w:highlight w:val="none"/>
              </w:rPr>
              <w:t>号</w:t>
            </w:r>
          </w:p>
        </w:tc>
        <w:tc>
          <w:tcPr>
            <w:tcW w:w="1900" w:type="dxa"/>
            <w:vAlign w:val="center"/>
          </w:tcPr>
          <w:p w14:paraId="15B9DBE3">
            <w:pPr>
              <w:pStyle w:val="26"/>
              <w:spacing w:before="132" w:line="240" w:lineRule="auto"/>
              <w:ind w:left="9" w:leftChars="0" w:right="-7" w:rightChars="0" w:hanging="9" w:firstLineChars="0"/>
              <w:jc w:val="center"/>
              <w:rPr>
                <w:color w:val="auto"/>
                <w:spacing w:val="6"/>
                <w:sz w:val="20"/>
                <w:szCs w:val="20"/>
                <w:highlight w:val="none"/>
              </w:rPr>
            </w:pPr>
            <w:r>
              <w:rPr>
                <w:color w:val="auto"/>
                <w:spacing w:val="8"/>
                <w:sz w:val="20"/>
                <w:szCs w:val="20"/>
                <w:highlight w:val="none"/>
              </w:rPr>
              <w:t>节能产品认证</w:t>
            </w:r>
            <w:r>
              <w:rPr>
                <w:color w:val="auto"/>
                <w:spacing w:val="6"/>
                <w:sz w:val="20"/>
                <w:szCs w:val="20"/>
                <w:highlight w:val="none"/>
              </w:rPr>
              <w:t>证</w:t>
            </w:r>
          </w:p>
          <w:p w14:paraId="45C2C2BC">
            <w:pPr>
              <w:pStyle w:val="26"/>
              <w:spacing w:before="132" w:line="240" w:lineRule="auto"/>
              <w:ind w:left="9" w:leftChars="0" w:right="-7" w:rightChars="0" w:hanging="9" w:firstLineChars="0"/>
              <w:jc w:val="center"/>
              <w:rPr>
                <w:color w:val="auto"/>
                <w:sz w:val="20"/>
                <w:szCs w:val="20"/>
                <w:highlight w:val="none"/>
              </w:rPr>
            </w:pPr>
            <w:r>
              <w:rPr>
                <w:color w:val="auto"/>
                <w:spacing w:val="6"/>
                <w:sz w:val="20"/>
                <w:szCs w:val="20"/>
                <w:highlight w:val="none"/>
              </w:rPr>
              <w:t>书号</w:t>
            </w:r>
          </w:p>
        </w:tc>
        <w:tc>
          <w:tcPr>
            <w:tcW w:w="1850" w:type="dxa"/>
            <w:vAlign w:val="center"/>
          </w:tcPr>
          <w:p w14:paraId="488C4E86">
            <w:pPr>
              <w:pStyle w:val="26"/>
              <w:spacing w:before="132" w:line="240" w:lineRule="auto"/>
              <w:ind w:left="9" w:leftChars="0" w:right="-7" w:rightChars="0" w:hanging="9" w:firstLineChars="0"/>
              <w:jc w:val="center"/>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认证证书有效截止</w:t>
            </w:r>
          </w:p>
          <w:p w14:paraId="24BEF3C2">
            <w:pPr>
              <w:pStyle w:val="26"/>
              <w:spacing w:before="132" w:line="240" w:lineRule="auto"/>
              <w:ind w:left="9" w:leftChars="0" w:right="-7" w:rightChars="0" w:hanging="9" w:firstLineChars="0"/>
              <w:jc w:val="center"/>
              <w:rPr>
                <w:color w:val="auto"/>
                <w:sz w:val="20"/>
                <w:szCs w:val="20"/>
                <w:highlight w:val="none"/>
              </w:rPr>
            </w:pPr>
            <w:r>
              <w:rPr>
                <w:rFonts w:ascii="宋体" w:hAnsi="宋体" w:eastAsia="宋体" w:cs="宋体"/>
                <w:color w:val="auto"/>
                <w:spacing w:val="8"/>
                <w:sz w:val="20"/>
                <w:szCs w:val="20"/>
                <w:highlight w:val="none"/>
              </w:rPr>
              <w:t>日期</w:t>
            </w:r>
          </w:p>
        </w:tc>
        <w:tc>
          <w:tcPr>
            <w:tcW w:w="1518" w:type="dxa"/>
            <w:vAlign w:val="center"/>
          </w:tcPr>
          <w:p w14:paraId="7FDBB46C">
            <w:pPr>
              <w:pStyle w:val="26"/>
              <w:spacing w:before="267" w:line="240" w:lineRule="auto"/>
              <w:ind w:left="0" w:leftChars="0" w:firstLine="0" w:firstLineChars="0"/>
              <w:jc w:val="center"/>
              <w:rPr>
                <w:color w:val="auto"/>
                <w:sz w:val="20"/>
                <w:szCs w:val="20"/>
                <w:highlight w:val="none"/>
              </w:rPr>
            </w:pPr>
            <w:r>
              <w:rPr>
                <w:color w:val="auto"/>
                <w:spacing w:val="8"/>
                <w:sz w:val="20"/>
                <w:szCs w:val="20"/>
                <w:highlight w:val="none"/>
              </w:rPr>
              <w:t>认证机构名录</w:t>
            </w:r>
          </w:p>
        </w:tc>
      </w:tr>
      <w:tr w14:paraId="6086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09" w:type="dxa"/>
            <w:vAlign w:val="top"/>
          </w:tcPr>
          <w:p w14:paraId="4A21DA35">
            <w:pPr>
              <w:rPr>
                <w:rFonts w:ascii="Arial"/>
                <w:color w:val="auto"/>
                <w:sz w:val="21"/>
                <w:highlight w:val="none"/>
              </w:rPr>
            </w:pPr>
          </w:p>
        </w:tc>
        <w:tc>
          <w:tcPr>
            <w:tcW w:w="1000" w:type="dxa"/>
            <w:vAlign w:val="top"/>
          </w:tcPr>
          <w:p w14:paraId="201AB4A5">
            <w:pPr>
              <w:rPr>
                <w:rFonts w:ascii="Arial"/>
                <w:color w:val="auto"/>
                <w:sz w:val="21"/>
                <w:highlight w:val="none"/>
              </w:rPr>
            </w:pPr>
          </w:p>
        </w:tc>
        <w:tc>
          <w:tcPr>
            <w:tcW w:w="1000" w:type="dxa"/>
            <w:vAlign w:val="top"/>
          </w:tcPr>
          <w:p w14:paraId="7E73FDEA">
            <w:pPr>
              <w:rPr>
                <w:rFonts w:ascii="Arial"/>
                <w:color w:val="auto"/>
                <w:sz w:val="21"/>
                <w:highlight w:val="none"/>
              </w:rPr>
            </w:pPr>
          </w:p>
        </w:tc>
        <w:tc>
          <w:tcPr>
            <w:tcW w:w="984" w:type="dxa"/>
            <w:vAlign w:val="top"/>
          </w:tcPr>
          <w:p w14:paraId="5CC1C9A4">
            <w:pPr>
              <w:rPr>
                <w:rFonts w:ascii="Arial"/>
                <w:color w:val="auto"/>
                <w:sz w:val="21"/>
                <w:highlight w:val="none"/>
              </w:rPr>
            </w:pPr>
          </w:p>
        </w:tc>
        <w:tc>
          <w:tcPr>
            <w:tcW w:w="1900" w:type="dxa"/>
            <w:vAlign w:val="top"/>
          </w:tcPr>
          <w:p w14:paraId="669E5F18">
            <w:pPr>
              <w:rPr>
                <w:rFonts w:ascii="Arial"/>
                <w:color w:val="auto"/>
                <w:sz w:val="21"/>
                <w:highlight w:val="none"/>
              </w:rPr>
            </w:pPr>
          </w:p>
        </w:tc>
        <w:tc>
          <w:tcPr>
            <w:tcW w:w="1850" w:type="dxa"/>
            <w:vAlign w:val="top"/>
          </w:tcPr>
          <w:p w14:paraId="7C875F6A">
            <w:pPr>
              <w:rPr>
                <w:rFonts w:ascii="Arial"/>
                <w:color w:val="auto"/>
                <w:sz w:val="21"/>
                <w:highlight w:val="none"/>
              </w:rPr>
            </w:pPr>
          </w:p>
        </w:tc>
        <w:tc>
          <w:tcPr>
            <w:tcW w:w="1518" w:type="dxa"/>
            <w:vAlign w:val="top"/>
          </w:tcPr>
          <w:p w14:paraId="2F0A84AA">
            <w:pPr>
              <w:rPr>
                <w:rFonts w:ascii="Arial"/>
                <w:color w:val="auto"/>
                <w:sz w:val="21"/>
                <w:highlight w:val="none"/>
              </w:rPr>
            </w:pPr>
          </w:p>
        </w:tc>
      </w:tr>
      <w:tr w14:paraId="139C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09" w:type="dxa"/>
            <w:vAlign w:val="top"/>
          </w:tcPr>
          <w:p w14:paraId="48ED753B">
            <w:pPr>
              <w:rPr>
                <w:rFonts w:ascii="Arial"/>
                <w:color w:val="auto"/>
                <w:sz w:val="21"/>
                <w:highlight w:val="none"/>
              </w:rPr>
            </w:pPr>
          </w:p>
        </w:tc>
        <w:tc>
          <w:tcPr>
            <w:tcW w:w="1000" w:type="dxa"/>
            <w:vAlign w:val="top"/>
          </w:tcPr>
          <w:p w14:paraId="7FEB2FFB">
            <w:pPr>
              <w:rPr>
                <w:rFonts w:ascii="Arial"/>
                <w:color w:val="auto"/>
                <w:sz w:val="21"/>
                <w:highlight w:val="none"/>
              </w:rPr>
            </w:pPr>
          </w:p>
        </w:tc>
        <w:tc>
          <w:tcPr>
            <w:tcW w:w="1000" w:type="dxa"/>
            <w:vAlign w:val="top"/>
          </w:tcPr>
          <w:p w14:paraId="5C0E8CD2">
            <w:pPr>
              <w:rPr>
                <w:rFonts w:ascii="Arial"/>
                <w:color w:val="auto"/>
                <w:sz w:val="21"/>
                <w:highlight w:val="none"/>
              </w:rPr>
            </w:pPr>
          </w:p>
        </w:tc>
        <w:tc>
          <w:tcPr>
            <w:tcW w:w="984" w:type="dxa"/>
            <w:vAlign w:val="top"/>
          </w:tcPr>
          <w:p w14:paraId="0B51F965">
            <w:pPr>
              <w:rPr>
                <w:rFonts w:ascii="Arial"/>
                <w:color w:val="auto"/>
                <w:sz w:val="21"/>
                <w:highlight w:val="none"/>
              </w:rPr>
            </w:pPr>
          </w:p>
        </w:tc>
        <w:tc>
          <w:tcPr>
            <w:tcW w:w="1900" w:type="dxa"/>
            <w:vAlign w:val="top"/>
          </w:tcPr>
          <w:p w14:paraId="7B13BC68">
            <w:pPr>
              <w:rPr>
                <w:rFonts w:ascii="Arial"/>
                <w:color w:val="auto"/>
                <w:sz w:val="21"/>
                <w:highlight w:val="none"/>
              </w:rPr>
            </w:pPr>
          </w:p>
        </w:tc>
        <w:tc>
          <w:tcPr>
            <w:tcW w:w="1850" w:type="dxa"/>
            <w:vAlign w:val="top"/>
          </w:tcPr>
          <w:p w14:paraId="25385670">
            <w:pPr>
              <w:rPr>
                <w:rFonts w:ascii="Arial"/>
                <w:color w:val="auto"/>
                <w:sz w:val="21"/>
                <w:highlight w:val="none"/>
              </w:rPr>
            </w:pPr>
          </w:p>
        </w:tc>
        <w:tc>
          <w:tcPr>
            <w:tcW w:w="1518" w:type="dxa"/>
            <w:vAlign w:val="top"/>
          </w:tcPr>
          <w:p w14:paraId="7B2B9680">
            <w:pPr>
              <w:rPr>
                <w:rFonts w:ascii="Arial"/>
                <w:color w:val="auto"/>
                <w:sz w:val="21"/>
                <w:highlight w:val="none"/>
              </w:rPr>
            </w:pPr>
          </w:p>
        </w:tc>
      </w:tr>
      <w:tr w14:paraId="36F02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09" w:type="dxa"/>
            <w:vAlign w:val="top"/>
          </w:tcPr>
          <w:p w14:paraId="7AD0E79E">
            <w:pPr>
              <w:rPr>
                <w:rFonts w:ascii="Arial"/>
                <w:color w:val="auto"/>
                <w:sz w:val="21"/>
                <w:highlight w:val="none"/>
              </w:rPr>
            </w:pPr>
          </w:p>
        </w:tc>
        <w:tc>
          <w:tcPr>
            <w:tcW w:w="1000" w:type="dxa"/>
            <w:vAlign w:val="top"/>
          </w:tcPr>
          <w:p w14:paraId="6127ECA7">
            <w:pPr>
              <w:rPr>
                <w:rFonts w:ascii="Arial"/>
                <w:color w:val="auto"/>
                <w:sz w:val="21"/>
                <w:highlight w:val="none"/>
              </w:rPr>
            </w:pPr>
          </w:p>
        </w:tc>
        <w:tc>
          <w:tcPr>
            <w:tcW w:w="1000" w:type="dxa"/>
            <w:vAlign w:val="top"/>
          </w:tcPr>
          <w:p w14:paraId="1B5BEAF0">
            <w:pPr>
              <w:rPr>
                <w:rFonts w:ascii="Arial"/>
                <w:color w:val="auto"/>
                <w:sz w:val="21"/>
                <w:highlight w:val="none"/>
              </w:rPr>
            </w:pPr>
          </w:p>
        </w:tc>
        <w:tc>
          <w:tcPr>
            <w:tcW w:w="984" w:type="dxa"/>
            <w:vAlign w:val="top"/>
          </w:tcPr>
          <w:p w14:paraId="53175B4C">
            <w:pPr>
              <w:rPr>
                <w:rFonts w:ascii="Arial"/>
                <w:color w:val="auto"/>
                <w:sz w:val="21"/>
                <w:highlight w:val="none"/>
              </w:rPr>
            </w:pPr>
          </w:p>
        </w:tc>
        <w:tc>
          <w:tcPr>
            <w:tcW w:w="1900" w:type="dxa"/>
            <w:vAlign w:val="top"/>
          </w:tcPr>
          <w:p w14:paraId="3C599232">
            <w:pPr>
              <w:rPr>
                <w:rFonts w:ascii="Arial"/>
                <w:color w:val="auto"/>
                <w:sz w:val="21"/>
                <w:highlight w:val="none"/>
              </w:rPr>
            </w:pPr>
          </w:p>
        </w:tc>
        <w:tc>
          <w:tcPr>
            <w:tcW w:w="1850" w:type="dxa"/>
            <w:vAlign w:val="top"/>
          </w:tcPr>
          <w:p w14:paraId="2131983B">
            <w:pPr>
              <w:rPr>
                <w:rFonts w:ascii="Arial"/>
                <w:color w:val="auto"/>
                <w:sz w:val="21"/>
                <w:highlight w:val="none"/>
              </w:rPr>
            </w:pPr>
          </w:p>
        </w:tc>
        <w:tc>
          <w:tcPr>
            <w:tcW w:w="1518" w:type="dxa"/>
            <w:vAlign w:val="top"/>
          </w:tcPr>
          <w:p w14:paraId="54B87EDF">
            <w:pPr>
              <w:rPr>
                <w:rFonts w:ascii="Arial"/>
                <w:color w:val="auto"/>
                <w:sz w:val="21"/>
                <w:highlight w:val="none"/>
              </w:rPr>
            </w:pPr>
          </w:p>
        </w:tc>
      </w:tr>
    </w:tbl>
    <w:p w14:paraId="4A19C23F">
      <w:pPr>
        <w:pStyle w:val="9"/>
        <w:spacing w:before="149" w:line="254" w:lineRule="auto"/>
        <w:ind w:left="14" w:right="114"/>
        <w:rPr>
          <w:color w:val="auto"/>
          <w:sz w:val="20"/>
          <w:szCs w:val="20"/>
          <w:highlight w:val="none"/>
        </w:rPr>
      </w:pPr>
      <w:r>
        <w:rPr>
          <w:color w:val="auto"/>
          <w:spacing w:val="10"/>
          <w:sz w:val="20"/>
          <w:szCs w:val="20"/>
          <w:highlight w:val="none"/>
        </w:rPr>
        <w:t>注：投标货物中如含有强制节能产品的，须如实填写强制节能产品明细表</w:t>
      </w:r>
      <w:r>
        <w:rPr>
          <w:color w:val="auto"/>
          <w:spacing w:val="9"/>
          <w:sz w:val="20"/>
          <w:szCs w:val="20"/>
          <w:highlight w:val="none"/>
        </w:rPr>
        <w:t>。后附所投产品获得国家确定的认证机构出具的、处于有效期之内的产品认证证书复印件。</w:t>
      </w:r>
    </w:p>
    <w:p w14:paraId="4AC626CF">
      <w:pPr>
        <w:pStyle w:val="9"/>
        <w:spacing w:before="78" w:line="219" w:lineRule="auto"/>
        <w:ind w:left="19"/>
        <w:rPr>
          <w:color w:val="auto"/>
          <w:sz w:val="24"/>
          <w:szCs w:val="24"/>
          <w:highlight w:val="none"/>
        </w:rPr>
      </w:pPr>
      <w:r>
        <w:rPr>
          <w:color w:val="auto"/>
          <w:spacing w:val="-1"/>
          <w:sz w:val="24"/>
          <w:szCs w:val="24"/>
          <w:highlight w:val="none"/>
        </w:rPr>
        <w:t>2、非强制节能产品、环保标志产品明细表格式（以包为单位分别填写）</w:t>
      </w:r>
    </w:p>
    <w:p w14:paraId="4683A509">
      <w:pPr>
        <w:pStyle w:val="9"/>
        <w:spacing w:before="164" w:line="219" w:lineRule="auto"/>
        <w:ind w:left="3351"/>
        <w:outlineLvl w:val="3"/>
        <w:rPr>
          <w:color w:val="auto"/>
          <w:sz w:val="24"/>
          <w:szCs w:val="24"/>
          <w:highlight w:val="none"/>
        </w:rPr>
      </w:pPr>
      <w:r>
        <w:rPr>
          <w:b/>
          <w:bCs/>
          <w:color w:val="auto"/>
          <w:spacing w:val="-3"/>
          <w:sz w:val="24"/>
          <w:szCs w:val="24"/>
          <w:highlight w:val="none"/>
        </w:rPr>
        <w:t>非强制节能产品明细表</w:t>
      </w:r>
    </w:p>
    <w:p w14:paraId="26DA75E9">
      <w:pPr>
        <w:spacing w:line="146" w:lineRule="exact"/>
        <w:rPr>
          <w:color w:val="auto"/>
          <w:highlight w:val="none"/>
        </w:rPr>
      </w:pPr>
    </w:p>
    <w:tbl>
      <w:tblPr>
        <w:tblStyle w:val="27"/>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980"/>
        <w:gridCol w:w="980"/>
        <w:gridCol w:w="981"/>
        <w:gridCol w:w="1681"/>
        <w:gridCol w:w="1911"/>
        <w:gridCol w:w="1906"/>
      </w:tblGrid>
      <w:tr w14:paraId="6442E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43" w:type="dxa"/>
            <w:vAlign w:val="center"/>
          </w:tcPr>
          <w:p w14:paraId="79BEAC23">
            <w:pPr>
              <w:pStyle w:val="26"/>
              <w:spacing w:before="268" w:line="240" w:lineRule="auto"/>
              <w:jc w:val="center"/>
              <w:rPr>
                <w:color w:val="auto"/>
                <w:sz w:val="20"/>
                <w:szCs w:val="20"/>
                <w:highlight w:val="none"/>
              </w:rPr>
            </w:pPr>
            <w:r>
              <w:rPr>
                <w:color w:val="auto"/>
                <w:spacing w:val="4"/>
                <w:sz w:val="20"/>
                <w:szCs w:val="20"/>
                <w:highlight w:val="none"/>
              </w:rPr>
              <w:t>包号</w:t>
            </w:r>
          </w:p>
        </w:tc>
        <w:tc>
          <w:tcPr>
            <w:tcW w:w="980" w:type="dxa"/>
            <w:vAlign w:val="center"/>
          </w:tcPr>
          <w:p w14:paraId="1D3949D1">
            <w:pPr>
              <w:pStyle w:val="26"/>
              <w:tabs>
                <w:tab w:val="left" w:pos="1200"/>
              </w:tabs>
              <w:spacing w:before="130" w:line="240" w:lineRule="auto"/>
              <w:ind w:left="0" w:leftChars="0" w:right="-36" w:rightChars="0" w:firstLine="0" w:firstLineChars="0"/>
              <w:jc w:val="center"/>
              <w:rPr>
                <w:color w:val="auto"/>
                <w:sz w:val="20"/>
                <w:szCs w:val="20"/>
                <w:highlight w:val="none"/>
              </w:rPr>
            </w:pPr>
            <w:r>
              <w:rPr>
                <w:color w:val="auto"/>
                <w:spacing w:val="6"/>
                <w:sz w:val="20"/>
                <w:szCs w:val="20"/>
                <w:highlight w:val="none"/>
              </w:rPr>
              <w:t>产品名</w:t>
            </w:r>
            <w:r>
              <w:rPr>
                <w:color w:val="auto"/>
                <w:spacing w:val="1"/>
                <w:sz w:val="20"/>
                <w:szCs w:val="20"/>
                <w:highlight w:val="none"/>
              </w:rPr>
              <w:t>称</w:t>
            </w:r>
          </w:p>
        </w:tc>
        <w:tc>
          <w:tcPr>
            <w:tcW w:w="980" w:type="dxa"/>
            <w:vAlign w:val="center"/>
          </w:tcPr>
          <w:p w14:paraId="03BD82AC">
            <w:pPr>
              <w:pStyle w:val="26"/>
              <w:spacing w:before="268" w:line="240" w:lineRule="auto"/>
              <w:ind w:left="-3" w:leftChars="0" w:firstLine="3" w:firstLineChars="0"/>
              <w:jc w:val="center"/>
              <w:rPr>
                <w:color w:val="auto"/>
                <w:sz w:val="20"/>
                <w:szCs w:val="20"/>
                <w:highlight w:val="none"/>
              </w:rPr>
            </w:pPr>
            <w:r>
              <w:rPr>
                <w:color w:val="auto"/>
                <w:spacing w:val="6"/>
                <w:sz w:val="20"/>
                <w:szCs w:val="20"/>
                <w:highlight w:val="none"/>
              </w:rPr>
              <w:t>制造商</w:t>
            </w:r>
          </w:p>
        </w:tc>
        <w:tc>
          <w:tcPr>
            <w:tcW w:w="981" w:type="dxa"/>
            <w:vAlign w:val="center"/>
          </w:tcPr>
          <w:p w14:paraId="7D21AE5B">
            <w:pPr>
              <w:pStyle w:val="26"/>
              <w:tabs>
                <w:tab w:val="left" w:pos="960"/>
                <w:tab w:val="left" w:pos="1200"/>
              </w:tabs>
              <w:spacing w:before="132" w:line="240" w:lineRule="auto"/>
              <w:ind w:left="0" w:leftChars="0" w:right="15" w:rightChars="0" w:firstLine="0" w:firstLineChars="0"/>
              <w:jc w:val="center"/>
              <w:rPr>
                <w:color w:val="auto"/>
                <w:sz w:val="20"/>
                <w:szCs w:val="20"/>
                <w:highlight w:val="none"/>
              </w:rPr>
            </w:pPr>
            <w:r>
              <w:rPr>
                <w:color w:val="auto"/>
                <w:spacing w:val="6"/>
                <w:sz w:val="20"/>
                <w:szCs w:val="20"/>
                <w:highlight w:val="none"/>
              </w:rPr>
              <w:t>产品型</w:t>
            </w:r>
            <w:r>
              <w:rPr>
                <w:color w:val="auto"/>
                <w:sz w:val="20"/>
                <w:szCs w:val="20"/>
                <w:highlight w:val="none"/>
              </w:rPr>
              <w:t>号</w:t>
            </w:r>
          </w:p>
        </w:tc>
        <w:tc>
          <w:tcPr>
            <w:tcW w:w="1681" w:type="dxa"/>
            <w:vAlign w:val="center"/>
          </w:tcPr>
          <w:p w14:paraId="4A333ECE">
            <w:pPr>
              <w:pStyle w:val="26"/>
              <w:spacing w:before="132" w:line="240" w:lineRule="auto"/>
              <w:ind w:left="9" w:leftChars="0" w:right="-7" w:rightChars="0" w:hanging="9" w:firstLineChars="0"/>
              <w:jc w:val="center"/>
              <w:rPr>
                <w:color w:val="auto"/>
                <w:spacing w:val="6"/>
                <w:sz w:val="20"/>
                <w:szCs w:val="20"/>
                <w:highlight w:val="none"/>
              </w:rPr>
            </w:pPr>
            <w:r>
              <w:rPr>
                <w:color w:val="auto"/>
                <w:spacing w:val="8"/>
                <w:sz w:val="20"/>
                <w:szCs w:val="20"/>
                <w:highlight w:val="none"/>
              </w:rPr>
              <w:t>节能产品认证</w:t>
            </w:r>
            <w:r>
              <w:rPr>
                <w:color w:val="auto"/>
                <w:spacing w:val="6"/>
                <w:sz w:val="20"/>
                <w:szCs w:val="20"/>
                <w:highlight w:val="none"/>
              </w:rPr>
              <w:t>证</w:t>
            </w:r>
          </w:p>
          <w:p w14:paraId="01FB21B2">
            <w:pPr>
              <w:pStyle w:val="26"/>
              <w:spacing w:before="132" w:line="240" w:lineRule="auto"/>
              <w:ind w:left="9" w:leftChars="0" w:right="-7" w:rightChars="0" w:hanging="9" w:firstLineChars="0"/>
              <w:jc w:val="center"/>
              <w:rPr>
                <w:color w:val="auto"/>
                <w:sz w:val="20"/>
                <w:szCs w:val="20"/>
                <w:highlight w:val="none"/>
              </w:rPr>
            </w:pPr>
            <w:r>
              <w:rPr>
                <w:color w:val="auto"/>
                <w:spacing w:val="6"/>
                <w:sz w:val="20"/>
                <w:szCs w:val="20"/>
                <w:highlight w:val="none"/>
              </w:rPr>
              <w:t>书号</w:t>
            </w:r>
          </w:p>
        </w:tc>
        <w:tc>
          <w:tcPr>
            <w:tcW w:w="1911" w:type="dxa"/>
            <w:vAlign w:val="center"/>
          </w:tcPr>
          <w:p w14:paraId="0C55C61D">
            <w:pPr>
              <w:pStyle w:val="26"/>
              <w:spacing w:before="132" w:line="240" w:lineRule="auto"/>
              <w:ind w:left="9" w:leftChars="0" w:right="-7" w:rightChars="0" w:hanging="9" w:firstLineChars="0"/>
              <w:jc w:val="center"/>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认证证书有效截止</w:t>
            </w:r>
          </w:p>
          <w:p w14:paraId="40360A1D">
            <w:pPr>
              <w:pStyle w:val="26"/>
              <w:spacing w:before="132" w:line="240" w:lineRule="auto"/>
              <w:ind w:left="9" w:leftChars="0" w:right="-7" w:rightChars="0" w:hanging="9" w:firstLineChars="0"/>
              <w:jc w:val="center"/>
              <w:rPr>
                <w:color w:val="auto"/>
                <w:sz w:val="20"/>
                <w:szCs w:val="20"/>
                <w:highlight w:val="none"/>
              </w:rPr>
            </w:pPr>
            <w:r>
              <w:rPr>
                <w:rFonts w:ascii="宋体" w:hAnsi="宋体" w:eastAsia="宋体" w:cs="宋体"/>
                <w:color w:val="auto"/>
                <w:spacing w:val="8"/>
                <w:sz w:val="20"/>
                <w:szCs w:val="20"/>
                <w:highlight w:val="none"/>
              </w:rPr>
              <w:t>日期</w:t>
            </w:r>
          </w:p>
        </w:tc>
        <w:tc>
          <w:tcPr>
            <w:tcW w:w="1906" w:type="dxa"/>
            <w:vAlign w:val="center"/>
          </w:tcPr>
          <w:p w14:paraId="16F6BC83">
            <w:pPr>
              <w:pStyle w:val="26"/>
              <w:spacing w:before="267" w:line="240" w:lineRule="auto"/>
              <w:ind w:left="0" w:leftChars="0" w:firstLine="0" w:firstLineChars="0"/>
              <w:jc w:val="center"/>
              <w:rPr>
                <w:color w:val="auto"/>
                <w:sz w:val="20"/>
                <w:szCs w:val="20"/>
                <w:highlight w:val="none"/>
              </w:rPr>
            </w:pPr>
            <w:r>
              <w:rPr>
                <w:color w:val="auto"/>
                <w:spacing w:val="8"/>
                <w:sz w:val="20"/>
                <w:szCs w:val="20"/>
                <w:highlight w:val="none"/>
              </w:rPr>
              <w:t>认证机构名录</w:t>
            </w:r>
          </w:p>
        </w:tc>
      </w:tr>
      <w:tr w14:paraId="5C04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643" w:type="dxa"/>
            <w:vAlign w:val="top"/>
          </w:tcPr>
          <w:p w14:paraId="199154D6">
            <w:pPr>
              <w:rPr>
                <w:rFonts w:ascii="Arial"/>
                <w:color w:val="auto"/>
                <w:sz w:val="21"/>
                <w:highlight w:val="none"/>
              </w:rPr>
            </w:pPr>
          </w:p>
        </w:tc>
        <w:tc>
          <w:tcPr>
            <w:tcW w:w="980" w:type="dxa"/>
            <w:vAlign w:val="top"/>
          </w:tcPr>
          <w:p w14:paraId="2A2DC4B7">
            <w:pPr>
              <w:rPr>
                <w:rFonts w:ascii="Arial"/>
                <w:color w:val="auto"/>
                <w:sz w:val="21"/>
                <w:highlight w:val="none"/>
              </w:rPr>
            </w:pPr>
          </w:p>
        </w:tc>
        <w:tc>
          <w:tcPr>
            <w:tcW w:w="980" w:type="dxa"/>
            <w:vAlign w:val="top"/>
          </w:tcPr>
          <w:p w14:paraId="045115EF">
            <w:pPr>
              <w:rPr>
                <w:rFonts w:ascii="Arial"/>
                <w:color w:val="auto"/>
                <w:sz w:val="21"/>
                <w:highlight w:val="none"/>
              </w:rPr>
            </w:pPr>
          </w:p>
        </w:tc>
        <w:tc>
          <w:tcPr>
            <w:tcW w:w="981" w:type="dxa"/>
            <w:vAlign w:val="top"/>
          </w:tcPr>
          <w:p w14:paraId="0546AE48">
            <w:pPr>
              <w:rPr>
                <w:rFonts w:ascii="Arial"/>
                <w:color w:val="auto"/>
                <w:sz w:val="21"/>
                <w:highlight w:val="none"/>
              </w:rPr>
            </w:pPr>
          </w:p>
        </w:tc>
        <w:tc>
          <w:tcPr>
            <w:tcW w:w="1681" w:type="dxa"/>
            <w:vAlign w:val="top"/>
          </w:tcPr>
          <w:p w14:paraId="3D343246">
            <w:pPr>
              <w:rPr>
                <w:rFonts w:ascii="Arial"/>
                <w:color w:val="auto"/>
                <w:sz w:val="21"/>
                <w:highlight w:val="none"/>
              </w:rPr>
            </w:pPr>
          </w:p>
        </w:tc>
        <w:tc>
          <w:tcPr>
            <w:tcW w:w="1911" w:type="dxa"/>
            <w:vAlign w:val="top"/>
          </w:tcPr>
          <w:p w14:paraId="48CD49AE">
            <w:pPr>
              <w:rPr>
                <w:rFonts w:ascii="Arial"/>
                <w:color w:val="auto"/>
                <w:sz w:val="21"/>
                <w:highlight w:val="none"/>
              </w:rPr>
            </w:pPr>
          </w:p>
        </w:tc>
        <w:tc>
          <w:tcPr>
            <w:tcW w:w="1906" w:type="dxa"/>
            <w:vAlign w:val="top"/>
          </w:tcPr>
          <w:p w14:paraId="398AADC2">
            <w:pPr>
              <w:rPr>
                <w:rFonts w:ascii="Arial"/>
                <w:color w:val="auto"/>
                <w:sz w:val="21"/>
                <w:highlight w:val="none"/>
              </w:rPr>
            </w:pPr>
          </w:p>
        </w:tc>
      </w:tr>
      <w:tr w14:paraId="3BF9B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643" w:type="dxa"/>
            <w:vAlign w:val="top"/>
          </w:tcPr>
          <w:p w14:paraId="082D4AA9">
            <w:pPr>
              <w:rPr>
                <w:rFonts w:ascii="Arial"/>
                <w:color w:val="auto"/>
                <w:sz w:val="21"/>
                <w:highlight w:val="none"/>
              </w:rPr>
            </w:pPr>
          </w:p>
        </w:tc>
        <w:tc>
          <w:tcPr>
            <w:tcW w:w="980" w:type="dxa"/>
            <w:vAlign w:val="top"/>
          </w:tcPr>
          <w:p w14:paraId="799EF06E">
            <w:pPr>
              <w:rPr>
                <w:rFonts w:ascii="Arial"/>
                <w:color w:val="auto"/>
                <w:sz w:val="21"/>
                <w:highlight w:val="none"/>
              </w:rPr>
            </w:pPr>
          </w:p>
        </w:tc>
        <w:tc>
          <w:tcPr>
            <w:tcW w:w="980" w:type="dxa"/>
            <w:vAlign w:val="top"/>
          </w:tcPr>
          <w:p w14:paraId="11236FD7">
            <w:pPr>
              <w:rPr>
                <w:rFonts w:ascii="Arial"/>
                <w:color w:val="auto"/>
                <w:sz w:val="21"/>
                <w:highlight w:val="none"/>
              </w:rPr>
            </w:pPr>
          </w:p>
        </w:tc>
        <w:tc>
          <w:tcPr>
            <w:tcW w:w="981" w:type="dxa"/>
            <w:vAlign w:val="top"/>
          </w:tcPr>
          <w:p w14:paraId="2F4A724D">
            <w:pPr>
              <w:rPr>
                <w:rFonts w:ascii="Arial"/>
                <w:color w:val="auto"/>
                <w:sz w:val="21"/>
                <w:highlight w:val="none"/>
              </w:rPr>
            </w:pPr>
          </w:p>
        </w:tc>
        <w:tc>
          <w:tcPr>
            <w:tcW w:w="1681" w:type="dxa"/>
            <w:vAlign w:val="top"/>
          </w:tcPr>
          <w:p w14:paraId="0BAD259C">
            <w:pPr>
              <w:rPr>
                <w:rFonts w:ascii="Arial"/>
                <w:color w:val="auto"/>
                <w:sz w:val="21"/>
                <w:highlight w:val="none"/>
              </w:rPr>
            </w:pPr>
          </w:p>
        </w:tc>
        <w:tc>
          <w:tcPr>
            <w:tcW w:w="1911" w:type="dxa"/>
            <w:vAlign w:val="top"/>
          </w:tcPr>
          <w:p w14:paraId="3281C30B">
            <w:pPr>
              <w:rPr>
                <w:rFonts w:ascii="Arial"/>
                <w:color w:val="auto"/>
                <w:sz w:val="21"/>
                <w:highlight w:val="none"/>
              </w:rPr>
            </w:pPr>
          </w:p>
        </w:tc>
        <w:tc>
          <w:tcPr>
            <w:tcW w:w="1906" w:type="dxa"/>
            <w:vAlign w:val="top"/>
          </w:tcPr>
          <w:p w14:paraId="2DEA7DF3">
            <w:pPr>
              <w:rPr>
                <w:rFonts w:ascii="Arial"/>
                <w:color w:val="auto"/>
                <w:sz w:val="21"/>
                <w:highlight w:val="none"/>
              </w:rPr>
            </w:pPr>
          </w:p>
        </w:tc>
      </w:tr>
      <w:tr w14:paraId="32DC8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43" w:type="dxa"/>
            <w:vAlign w:val="top"/>
          </w:tcPr>
          <w:p w14:paraId="12940453">
            <w:pPr>
              <w:rPr>
                <w:rFonts w:ascii="Arial"/>
                <w:color w:val="auto"/>
                <w:sz w:val="21"/>
                <w:highlight w:val="none"/>
              </w:rPr>
            </w:pPr>
          </w:p>
        </w:tc>
        <w:tc>
          <w:tcPr>
            <w:tcW w:w="980" w:type="dxa"/>
            <w:vAlign w:val="top"/>
          </w:tcPr>
          <w:p w14:paraId="090B401F">
            <w:pPr>
              <w:rPr>
                <w:rFonts w:ascii="Arial"/>
                <w:color w:val="auto"/>
                <w:sz w:val="21"/>
                <w:highlight w:val="none"/>
              </w:rPr>
            </w:pPr>
          </w:p>
        </w:tc>
        <w:tc>
          <w:tcPr>
            <w:tcW w:w="980" w:type="dxa"/>
            <w:vAlign w:val="top"/>
          </w:tcPr>
          <w:p w14:paraId="4981B86B">
            <w:pPr>
              <w:rPr>
                <w:rFonts w:ascii="Arial"/>
                <w:color w:val="auto"/>
                <w:sz w:val="21"/>
                <w:highlight w:val="none"/>
              </w:rPr>
            </w:pPr>
          </w:p>
        </w:tc>
        <w:tc>
          <w:tcPr>
            <w:tcW w:w="981" w:type="dxa"/>
            <w:vAlign w:val="top"/>
          </w:tcPr>
          <w:p w14:paraId="2FD24891">
            <w:pPr>
              <w:rPr>
                <w:rFonts w:ascii="Arial"/>
                <w:color w:val="auto"/>
                <w:sz w:val="21"/>
                <w:highlight w:val="none"/>
              </w:rPr>
            </w:pPr>
          </w:p>
        </w:tc>
        <w:tc>
          <w:tcPr>
            <w:tcW w:w="1681" w:type="dxa"/>
            <w:vAlign w:val="top"/>
          </w:tcPr>
          <w:p w14:paraId="2B67F5AD">
            <w:pPr>
              <w:rPr>
                <w:rFonts w:ascii="Arial"/>
                <w:color w:val="auto"/>
                <w:sz w:val="21"/>
                <w:highlight w:val="none"/>
              </w:rPr>
            </w:pPr>
          </w:p>
        </w:tc>
        <w:tc>
          <w:tcPr>
            <w:tcW w:w="1911" w:type="dxa"/>
            <w:vAlign w:val="top"/>
          </w:tcPr>
          <w:p w14:paraId="23BCC968">
            <w:pPr>
              <w:rPr>
                <w:rFonts w:ascii="Arial"/>
                <w:color w:val="auto"/>
                <w:sz w:val="21"/>
                <w:highlight w:val="none"/>
              </w:rPr>
            </w:pPr>
          </w:p>
        </w:tc>
        <w:tc>
          <w:tcPr>
            <w:tcW w:w="1906" w:type="dxa"/>
            <w:vAlign w:val="top"/>
          </w:tcPr>
          <w:p w14:paraId="795389C4">
            <w:pPr>
              <w:rPr>
                <w:rFonts w:ascii="Arial"/>
                <w:color w:val="auto"/>
                <w:sz w:val="21"/>
                <w:highlight w:val="none"/>
              </w:rPr>
            </w:pPr>
          </w:p>
        </w:tc>
      </w:tr>
    </w:tbl>
    <w:p w14:paraId="3E44413E">
      <w:pPr>
        <w:pStyle w:val="9"/>
        <w:spacing w:before="151" w:line="227" w:lineRule="auto"/>
        <w:ind w:left="14"/>
        <w:rPr>
          <w:color w:val="auto"/>
          <w:sz w:val="20"/>
          <w:szCs w:val="20"/>
          <w:highlight w:val="none"/>
        </w:rPr>
      </w:pPr>
      <w:r>
        <w:rPr>
          <w:color w:val="auto"/>
          <w:spacing w:val="10"/>
          <w:sz w:val="20"/>
          <w:szCs w:val="20"/>
          <w:highlight w:val="none"/>
        </w:rPr>
        <w:t>注：后附所投产品获得国家确定的认证机构</w:t>
      </w:r>
      <w:r>
        <w:rPr>
          <w:color w:val="auto"/>
          <w:spacing w:val="9"/>
          <w:sz w:val="20"/>
          <w:szCs w:val="20"/>
          <w:highlight w:val="none"/>
        </w:rPr>
        <w:t>出具的、处于有效期之内的产品认证证书复印件。</w:t>
      </w:r>
    </w:p>
    <w:p w14:paraId="644AF855">
      <w:pPr>
        <w:spacing w:line="255" w:lineRule="auto"/>
        <w:rPr>
          <w:rFonts w:ascii="Arial"/>
          <w:color w:val="auto"/>
          <w:sz w:val="21"/>
          <w:highlight w:val="none"/>
        </w:rPr>
      </w:pPr>
    </w:p>
    <w:p w14:paraId="13575AA5">
      <w:pPr>
        <w:pStyle w:val="9"/>
        <w:spacing w:before="79" w:line="219" w:lineRule="auto"/>
        <w:ind w:left="3469"/>
        <w:outlineLvl w:val="3"/>
        <w:rPr>
          <w:color w:val="auto"/>
          <w:sz w:val="24"/>
          <w:szCs w:val="24"/>
          <w:highlight w:val="none"/>
        </w:rPr>
      </w:pPr>
      <w:r>
        <w:rPr>
          <w:b/>
          <w:bCs/>
          <w:color w:val="auto"/>
          <w:spacing w:val="-3"/>
          <w:sz w:val="24"/>
          <w:szCs w:val="24"/>
          <w:highlight w:val="none"/>
        </w:rPr>
        <w:t>环境标志产品明细表</w:t>
      </w:r>
    </w:p>
    <w:p w14:paraId="5E5CA9C4">
      <w:pPr>
        <w:spacing w:line="147" w:lineRule="exact"/>
        <w:rPr>
          <w:color w:val="auto"/>
          <w:highlight w:val="none"/>
        </w:rPr>
      </w:pPr>
    </w:p>
    <w:tbl>
      <w:tblPr>
        <w:tblStyle w:val="27"/>
        <w:tblW w:w="8999"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909"/>
        <w:gridCol w:w="758"/>
        <w:gridCol w:w="910"/>
        <w:gridCol w:w="909"/>
        <w:gridCol w:w="1761"/>
        <w:gridCol w:w="1799"/>
        <w:gridCol w:w="1286"/>
      </w:tblGrid>
      <w:tr w14:paraId="48D5B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67" w:type="dxa"/>
            <w:vAlign w:val="top"/>
          </w:tcPr>
          <w:p w14:paraId="34D400DB">
            <w:pPr>
              <w:pStyle w:val="26"/>
              <w:spacing w:before="268" w:line="229" w:lineRule="auto"/>
              <w:jc w:val="center"/>
              <w:rPr>
                <w:rFonts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包号</w:t>
            </w:r>
          </w:p>
        </w:tc>
        <w:tc>
          <w:tcPr>
            <w:tcW w:w="909" w:type="dxa"/>
            <w:vAlign w:val="top"/>
          </w:tcPr>
          <w:p w14:paraId="1381C149">
            <w:pPr>
              <w:pStyle w:val="26"/>
              <w:spacing w:before="268" w:line="229" w:lineRule="auto"/>
              <w:jc w:val="center"/>
              <w:rPr>
                <w:rFonts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产品名称</w:t>
            </w:r>
          </w:p>
        </w:tc>
        <w:tc>
          <w:tcPr>
            <w:tcW w:w="758" w:type="dxa"/>
            <w:vAlign w:val="top"/>
          </w:tcPr>
          <w:p w14:paraId="64FF9DFE">
            <w:pPr>
              <w:pStyle w:val="26"/>
              <w:spacing w:before="268" w:line="229" w:lineRule="auto"/>
              <w:jc w:val="center"/>
              <w:rPr>
                <w:rFonts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制造商</w:t>
            </w:r>
          </w:p>
        </w:tc>
        <w:tc>
          <w:tcPr>
            <w:tcW w:w="910" w:type="dxa"/>
            <w:vAlign w:val="top"/>
          </w:tcPr>
          <w:p w14:paraId="6665DC1D">
            <w:pPr>
              <w:pStyle w:val="26"/>
              <w:spacing w:before="268" w:line="229" w:lineRule="auto"/>
              <w:jc w:val="center"/>
              <w:rPr>
                <w:rFonts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注册商标</w:t>
            </w:r>
          </w:p>
        </w:tc>
        <w:tc>
          <w:tcPr>
            <w:tcW w:w="909" w:type="dxa"/>
            <w:vAlign w:val="top"/>
          </w:tcPr>
          <w:p w14:paraId="15682399">
            <w:pPr>
              <w:pStyle w:val="26"/>
              <w:spacing w:before="268" w:line="229" w:lineRule="auto"/>
              <w:jc w:val="center"/>
              <w:rPr>
                <w:rFonts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产品型号</w:t>
            </w:r>
          </w:p>
        </w:tc>
        <w:tc>
          <w:tcPr>
            <w:tcW w:w="1761" w:type="dxa"/>
            <w:vAlign w:val="top"/>
          </w:tcPr>
          <w:p w14:paraId="2B91BDA9">
            <w:pPr>
              <w:pStyle w:val="26"/>
              <w:spacing w:before="268" w:line="229" w:lineRule="auto"/>
              <w:jc w:val="center"/>
              <w:rPr>
                <w:rFonts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环境标志产品认证证书号</w:t>
            </w:r>
          </w:p>
        </w:tc>
        <w:tc>
          <w:tcPr>
            <w:tcW w:w="1799" w:type="dxa"/>
            <w:vAlign w:val="top"/>
          </w:tcPr>
          <w:p w14:paraId="7D629EE1">
            <w:pPr>
              <w:pStyle w:val="26"/>
              <w:spacing w:before="268" w:line="229" w:lineRule="auto"/>
              <w:jc w:val="center"/>
              <w:rPr>
                <w:rFonts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认证证书有效截止日期</w:t>
            </w:r>
          </w:p>
        </w:tc>
        <w:tc>
          <w:tcPr>
            <w:tcW w:w="1286" w:type="dxa"/>
            <w:vAlign w:val="top"/>
          </w:tcPr>
          <w:p w14:paraId="792465E0">
            <w:pPr>
              <w:pStyle w:val="26"/>
              <w:spacing w:before="268" w:line="229" w:lineRule="auto"/>
              <w:jc w:val="center"/>
              <w:rPr>
                <w:rFonts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t>认证机构名称</w:t>
            </w:r>
          </w:p>
        </w:tc>
      </w:tr>
      <w:tr w14:paraId="1ACC4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667" w:type="dxa"/>
            <w:vAlign w:val="top"/>
          </w:tcPr>
          <w:p w14:paraId="4DDB2A22">
            <w:pPr>
              <w:rPr>
                <w:rFonts w:ascii="Arial"/>
                <w:color w:val="auto"/>
                <w:sz w:val="21"/>
                <w:highlight w:val="none"/>
              </w:rPr>
            </w:pPr>
          </w:p>
        </w:tc>
        <w:tc>
          <w:tcPr>
            <w:tcW w:w="909" w:type="dxa"/>
            <w:vAlign w:val="top"/>
          </w:tcPr>
          <w:p w14:paraId="01C94106">
            <w:pPr>
              <w:rPr>
                <w:rFonts w:ascii="Arial"/>
                <w:color w:val="auto"/>
                <w:sz w:val="21"/>
                <w:highlight w:val="none"/>
              </w:rPr>
            </w:pPr>
          </w:p>
        </w:tc>
        <w:tc>
          <w:tcPr>
            <w:tcW w:w="758" w:type="dxa"/>
            <w:vAlign w:val="top"/>
          </w:tcPr>
          <w:p w14:paraId="2F4938C4">
            <w:pPr>
              <w:rPr>
                <w:rFonts w:ascii="Arial"/>
                <w:color w:val="auto"/>
                <w:sz w:val="21"/>
                <w:highlight w:val="none"/>
              </w:rPr>
            </w:pPr>
          </w:p>
        </w:tc>
        <w:tc>
          <w:tcPr>
            <w:tcW w:w="910" w:type="dxa"/>
            <w:vAlign w:val="top"/>
          </w:tcPr>
          <w:p w14:paraId="39DB0244">
            <w:pPr>
              <w:rPr>
                <w:rFonts w:ascii="Arial"/>
                <w:color w:val="auto"/>
                <w:sz w:val="21"/>
                <w:highlight w:val="none"/>
              </w:rPr>
            </w:pPr>
          </w:p>
        </w:tc>
        <w:tc>
          <w:tcPr>
            <w:tcW w:w="909" w:type="dxa"/>
            <w:vAlign w:val="top"/>
          </w:tcPr>
          <w:p w14:paraId="117C1280">
            <w:pPr>
              <w:rPr>
                <w:rFonts w:ascii="Arial"/>
                <w:color w:val="auto"/>
                <w:sz w:val="21"/>
                <w:highlight w:val="none"/>
              </w:rPr>
            </w:pPr>
          </w:p>
        </w:tc>
        <w:tc>
          <w:tcPr>
            <w:tcW w:w="1761" w:type="dxa"/>
            <w:vAlign w:val="top"/>
          </w:tcPr>
          <w:p w14:paraId="74B63175">
            <w:pPr>
              <w:rPr>
                <w:rFonts w:ascii="Arial"/>
                <w:color w:val="auto"/>
                <w:sz w:val="21"/>
                <w:highlight w:val="none"/>
              </w:rPr>
            </w:pPr>
          </w:p>
        </w:tc>
        <w:tc>
          <w:tcPr>
            <w:tcW w:w="1799" w:type="dxa"/>
            <w:vAlign w:val="top"/>
          </w:tcPr>
          <w:p w14:paraId="1FD4AF03">
            <w:pPr>
              <w:rPr>
                <w:rFonts w:ascii="Arial"/>
                <w:color w:val="auto"/>
                <w:sz w:val="21"/>
                <w:highlight w:val="none"/>
              </w:rPr>
            </w:pPr>
          </w:p>
        </w:tc>
        <w:tc>
          <w:tcPr>
            <w:tcW w:w="1286" w:type="dxa"/>
            <w:vAlign w:val="top"/>
          </w:tcPr>
          <w:p w14:paraId="668FF645">
            <w:pPr>
              <w:rPr>
                <w:rFonts w:ascii="Arial"/>
                <w:color w:val="auto"/>
                <w:sz w:val="21"/>
                <w:highlight w:val="none"/>
              </w:rPr>
            </w:pPr>
          </w:p>
        </w:tc>
      </w:tr>
      <w:tr w14:paraId="70547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67" w:type="dxa"/>
            <w:vAlign w:val="top"/>
          </w:tcPr>
          <w:p w14:paraId="06D6F4D3">
            <w:pPr>
              <w:rPr>
                <w:rFonts w:ascii="Arial"/>
                <w:color w:val="auto"/>
                <w:sz w:val="21"/>
                <w:highlight w:val="none"/>
              </w:rPr>
            </w:pPr>
          </w:p>
        </w:tc>
        <w:tc>
          <w:tcPr>
            <w:tcW w:w="909" w:type="dxa"/>
            <w:vAlign w:val="top"/>
          </w:tcPr>
          <w:p w14:paraId="2DC7AF4E">
            <w:pPr>
              <w:rPr>
                <w:rFonts w:ascii="Arial"/>
                <w:color w:val="auto"/>
                <w:sz w:val="21"/>
                <w:highlight w:val="none"/>
              </w:rPr>
            </w:pPr>
          </w:p>
        </w:tc>
        <w:tc>
          <w:tcPr>
            <w:tcW w:w="758" w:type="dxa"/>
            <w:vAlign w:val="top"/>
          </w:tcPr>
          <w:p w14:paraId="746C7E64">
            <w:pPr>
              <w:rPr>
                <w:rFonts w:ascii="Arial"/>
                <w:color w:val="auto"/>
                <w:sz w:val="21"/>
                <w:highlight w:val="none"/>
              </w:rPr>
            </w:pPr>
          </w:p>
        </w:tc>
        <w:tc>
          <w:tcPr>
            <w:tcW w:w="910" w:type="dxa"/>
            <w:vAlign w:val="top"/>
          </w:tcPr>
          <w:p w14:paraId="0CC2FEFC">
            <w:pPr>
              <w:rPr>
                <w:rFonts w:ascii="Arial"/>
                <w:color w:val="auto"/>
                <w:sz w:val="21"/>
                <w:highlight w:val="none"/>
              </w:rPr>
            </w:pPr>
          </w:p>
        </w:tc>
        <w:tc>
          <w:tcPr>
            <w:tcW w:w="909" w:type="dxa"/>
            <w:vAlign w:val="top"/>
          </w:tcPr>
          <w:p w14:paraId="42ECCE8B">
            <w:pPr>
              <w:rPr>
                <w:rFonts w:ascii="Arial"/>
                <w:color w:val="auto"/>
                <w:sz w:val="21"/>
                <w:highlight w:val="none"/>
              </w:rPr>
            </w:pPr>
          </w:p>
        </w:tc>
        <w:tc>
          <w:tcPr>
            <w:tcW w:w="1761" w:type="dxa"/>
            <w:vAlign w:val="top"/>
          </w:tcPr>
          <w:p w14:paraId="3730E8AF">
            <w:pPr>
              <w:rPr>
                <w:rFonts w:ascii="Arial"/>
                <w:color w:val="auto"/>
                <w:sz w:val="21"/>
                <w:highlight w:val="none"/>
              </w:rPr>
            </w:pPr>
          </w:p>
        </w:tc>
        <w:tc>
          <w:tcPr>
            <w:tcW w:w="1799" w:type="dxa"/>
            <w:vAlign w:val="top"/>
          </w:tcPr>
          <w:p w14:paraId="6F76298F">
            <w:pPr>
              <w:rPr>
                <w:rFonts w:ascii="Arial"/>
                <w:color w:val="auto"/>
                <w:sz w:val="21"/>
                <w:highlight w:val="none"/>
              </w:rPr>
            </w:pPr>
          </w:p>
        </w:tc>
        <w:tc>
          <w:tcPr>
            <w:tcW w:w="1286" w:type="dxa"/>
            <w:vAlign w:val="top"/>
          </w:tcPr>
          <w:p w14:paraId="749B7032">
            <w:pPr>
              <w:rPr>
                <w:rFonts w:ascii="Arial"/>
                <w:color w:val="auto"/>
                <w:sz w:val="21"/>
                <w:highlight w:val="none"/>
              </w:rPr>
            </w:pPr>
          </w:p>
        </w:tc>
      </w:tr>
      <w:tr w14:paraId="13065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67" w:type="dxa"/>
            <w:vAlign w:val="top"/>
          </w:tcPr>
          <w:p w14:paraId="46A965D1">
            <w:pPr>
              <w:rPr>
                <w:rFonts w:ascii="Arial"/>
                <w:color w:val="auto"/>
                <w:sz w:val="21"/>
                <w:highlight w:val="none"/>
              </w:rPr>
            </w:pPr>
          </w:p>
        </w:tc>
        <w:tc>
          <w:tcPr>
            <w:tcW w:w="909" w:type="dxa"/>
            <w:vAlign w:val="top"/>
          </w:tcPr>
          <w:p w14:paraId="4F945240">
            <w:pPr>
              <w:rPr>
                <w:rFonts w:ascii="Arial"/>
                <w:color w:val="auto"/>
                <w:sz w:val="21"/>
                <w:highlight w:val="none"/>
              </w:rPr>
            </w:pPr>
          </w:p>
        </w:tc>
        <w:tc>
          <w:tcPr>
            <w:tcW w:w="758" w:type="dxa"/>
            <w:vAlign w:val="top"/>
          </w:tcPr>
          <w:p w14:paraId="6EE76D9D">
            <w:pPr>
              <w:rPr>
                <w:rFonts w:ascii="Arial"/>
                <w:color w:val="auto"/>
                <w:sz w:val="21"/>
                <w:highlight w:val="none"/>
              </w:rPr>
            </w:pPr>
          </w:p>
        </w:tc>
        <w:tc>
          <w:tcPr>
            <w:tcW w:w="910" w:type="dxa"/>
            <w:vAlign w:val="top"/>
          </w:tcPr>
          <w:p w14:paraId="0845A484">
            <w:pPr>
              <w:rPr>
                <w:rFonts w:ascii="Arial"/>
                <w:color w:val="auto"/>
                <w:sz w:val="21"/>
                <w:highlight w:val="none"/>
              </w:rPr>
            </w:pPr>
          </w:p>
        </w:tc>
        <w:tc>
          <w:tcPr>
            <w:tcW w:w="909" w:type="dxa"/>
            <w:vAlign w:val="top"/>
          </w:tcPr>
          <w:p w14:paraId="630ED876">
            <w:pPr>
              <w:rPr>
                <w:rFonts w:ascii="Arial"/>
                <w:color w:val="auto"/>
                <w:sz w:val="21"/>
                <w:highlight w:val="none"/>
              </w:rPr>
            </w:pPr>
          </w:p>
        </w:tc>
        <w:tc>
          <w:tcPr>
            <w:tcW w:w="1761" w:type="dxa"/>
            <w:vAlign w:val="top"/>
          </w:tcPr>
          <w:p w14:paraId="1B98FDDB">
            <w:pPr>
              <w:rPr>
                <w:rFonts w:ascii="Arial"/>
                <w:color w:val="auto"/>
                <w:sz w:val="21"/>
                <w:highlight w:val="none"/>
              </w:rPr>
            </w:pPr>
          </w:p>
        </w:tc>
        <w:tc>
          <w:tcPr>
            <w:tcW w:w="1799" w:type="dxa"/>
            <w:vAlign w:val="top"/>
          </w:tcPr>
          <w:p w14:paraId="2D39EE4A">
            <w:pPr>
              <w:rPr>
                <w:rFonts w:ascii="Arial"/>
                <w:color w:val="auto"/>
                <w:sz w:val="21"/>
                <w:highlight w:val="none"/>
              </w:rPr>
            </w:pPr>
          </w:p>
        </w:tc>
        <w:tc>
          <w:tcPr>
            <w:tcW w:w="1286" w:type="dxa"/>
            <w:vAlign w:val="top"/>
          </w:tcPr>
          <w:p w14:paraId="4CF37B2D">
            <w:pPr>
              <w:rPr>
                <w:rFonts w:ascii="Arial"/>
                <w:color w:val="auto"/>
                <w:sz w:val="21"/>
                <w:highlight w:val="none"/>
              </w:rPr>
            </w:pPr>
          </w:p>
        </w:tc>
      </w:tr>
    </w:tbl>
    <w:p w14:paraId="63C09D42">
      <w:pPr>
        <w:pStyle w:val="7"/>
        <w:ind w:firstLine="480"/>
        <w:rPr>
          <w:color w:val="auto"/>
          <w:spacing w:val="7"/>
          <w:sz w:val="20"/>
          <w:szCs w:val="20"/>
          <w:highlight w:val="none"/>
        </w:rPr>
        <w:sectPr>
          <w:pgSz w:w="11906" w:h="16838"/>
          <w:pgMar w:top="1440" w:right="1440" w:bottom="1440" w:left="1440" w:header="624" w:footer="992" w:gutter="0"/>
          <w:pgNumType w:fmt="decimal"/>
          <w:cols w:space="425" w:num="1"/>
          <w:rtlGutter w:val="0"/>
          <w:docGrid w:type="lines" w:linePitch="312" w:charSpace="0"/>
        </w:sectPr>
      </w:pPr>
      <w:r>
        <w:rPr>
          <w:color w:val="auto"/>
          <w:spacing w:val="8"/>
          <w:sz w:val="20"/>
          <w:szCs w:val="20"/>
          <w:highlight w:val="none"/>
        </w:rPr>
        <w:t>注：后附投产品获得国家确定的认证机构出具的、处于有</w:t>
      </w:r>
      <w:r>
        <w:rPr>
          <w:color w:val="auto"/>
          <w:spacing w:val="7"/>
          <w:sz w:val="20"/>
          <w:szCs w:val="20"/>
          <w:highlight w:val="none"/>
        </w:rPr>
        <w:t>效期之内的环境标志产品认证证书复印件。</w:t>
      </w:r>
    </w:p>
    <w:p w14:paraId="6ED1BF7D">
      <w:pPr>
        <w:pStyle w:val="9"/>
        <w:spacing w:before="79" w:line="219" w:lineRule="auto"/>
        <w:ind w:left="27"/>
        <w:outlineLvl w:val="2"/>
        <w:rPr>
          <w:color w:val="auto"/>
          <w:sz w:val="24"/>
          <w:szCs w:val="24"/>
          <w:highlight w:val="none"/>
        </w:rPr>
      </w:pPr>
      <w:r>
        <w:rPr>
          <w:rFonts w:hint="eastAsia"/>
          <w:color w:val="auto"/>
          <w:highlight w:val="none"/>
          <w:lang w:val="en-US" w:eastAsia="zh-CN"/>
        </w:rPr>
        <w:t xml:space="preserve"> </w:t>
      </w:r>
      <w:r>
        <w:rPr>
          <w:b/>
          <w:bCs/>
          <w:color w:val="auto"/>
          <w:spacing w:val="-3"/>
          <w:sz w:val="24"/>
          <w:szCs w:val="24"/>
          <w:highlight w:val="none"/>
        </w:rPr>
        <w:t>（二）创新产品或创新服务证明（如不涉及可不提供）</w:t>
      </w:r>
    </w:p>
    <w:p w14:paraId="12DCC764">
      <w:pPr>
        <w:pStyle w:val="9"/>
        <w:spacing w:before="304" w:line="219" w:lineRule="auto"/>
        <w:ind w:left="3107"/>
        <w:outlineLvl w:val="3"/>
        <w:rPr>
          <w:color w:val="auto"/>
          <w:sz w:val="24"/>
          <w:szCs w:val="24"/>
          <w:highlight w:val="none"/>
        </w:rPr>
      </w:pPr>
      <w:r>
        <w:rPr>
          <w:b/>
          <w:bCs/>
          <w:color w:val="auto"/>
          <w:spacing w:val="-3"/>
          <w:sz w:val="24"/>
          <w:szCs w:val="24"/>
          <w:highlight w:val="none"/>
        </w:rPr>
        <w:t>创新产品或创新服务明细表</w:t>
      </w:r>
    </w:p>
    <w:p w14:paraId="21D0A779">
      <w:pPr>
        <w:spacing w:line="145" w:lineRule="exact"/>
        <w:rPr>
          <w:color w:val="auto"/>
          <w:highlight w:val="none"/>
        </w:rPr>
      </w:pPr>
    </w:p>
    <w:tbl>
      <w:tblPr>
        <w:tblStyle w:val="27"/>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1650"/>
        <w:gridCol w:w="1815"/>
        <w:gridCol w:w="1960"/>
        <w:gridCol w:w="2737"/>
      </w:tblGrid>
      <w:tr w14:paraId="329DF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20" w:type="dxa"/>
            <w:vAlign w:val="top"/>
          </w:tcPr>
          <w:p w14:paraId="4EBD29F6">
            <w:pPr>
              <w:pStyle w:val="26"/>
              <w:spacing w:before="191" w:line="229" w:lineRule="auto"/>
              <w:ind w:left="254"/>
              <w:rPr>
                <w:color w:val="auto"/>
                <w:sz w:val="20"/>
                <w:szCs w:val="20"/>
                <w:highlight w:val="none"/>
              </w:rPr>
            </w:pPr>
            <w:r>
              <w:rPr>
                <w:color w:val="auto"/>
                <w:spacing w:val="4"/>
                <w:sz w:val="20"/>
                <w:szCs w:val="20"/>
                <w:highlight w:val="none"/>
              </w:rPr>
              <w:t>包号</w:t>
            </w:r>
          </w:p>
        </w:tc>
        <w:tc>
          <w:tcPr>
            <w:tcW w:w="1650" w:type="dxa"/>
            <w:vAlign w:val="top"/>
          </w:tcPr>
          <w:p w14:paraId="30DF5F19">
            <w:pPr>
              <w:pStyle w:val="26"/>
              <w:spacing w:before="191" w:line="228" w:lineRule="auto"/>
              <w:ind w:left="513"/>
              <w:rPr>
                <w:color w:val="auto"/>
                <w:sz w:val="20"/>
                <w:szCs w:val="20"/>
                <w:highlight w:val="none"/>
              </w:rPr>
            </w:pPr>
            <w:r>
              <w:rPr>
                <w:color w:val="auto"/>
                <w:spacing w:val="6"/>
                <w:sz w:val="20"/>
                <w:szCs w:val="20"/>
                <w:highlight w:val="none"/>
              </w:rPr>
              <w:t>制造商</w:t>
            </w:r>
          </w:p>
        </w:tc>
        <w:tc>
          <w:tcPr>
            <w:tcW w:w="1815" w:type="dxa"/>
            <w:vAlign w:val="top"/>
          </w:tcPr>
          <w:p w14:paraId="2FDA30D3">
            <w:pPr>
              <w:pStyle w:val="26"/>
              <w:spacing w:before="191" w:line="228" w:lineRule="auto"/>
              <w:ind w:left="493"/>
              <w:rPr>
                <w:color w:val="auto"/>
                <w:sz w:val="20"/>
                <w:szCs w:val="20"/>
                <w:highlight w:val="none"/>
              </w:rPr>
            </w:pPr>
            <w:r>
              <w:rPr>
                <w:color w:val="auto"/>
                <w:spacing w:val="7"/>
                <w:sz w:val="20"/>
                <w:szCs w:val="20"/>
                <w:highlight w:val="none"/>
              </w:rPr>
              <w:t>规格型号</w:t>
            </w:r>
          </w:p>
        </w:tc>
        <w:tc>
          <w:tcPr>
            <w:tcW w:w="1960" w:type="dxa"/>
            <w:vAlign w:val="top"/>
          </w:tcPr>
          <w:p w14:paraId="57D90F4B">
            <w:pPr>
              <w:pStyle w:val="26"/>
              <w:spacing w:before="191" w:line="228" w:lineRule="auto"/>
              <w:ind w:left="566"/>
              <w:rPr>
                <w:color w:val="auto"/>
                <w:sz w:val="20"/>
                <w:szCs w:val="20"/>
                <w:highlight w:val="none"/>
              </w:rPr>
            </w:pPr>
            <w:r>
              <w:rPr>
                <w:color w:val="auto"/>
                <w:spacing w:val="7"/>
                <w:sz w:val="20"/>
                <w:szCs w:val="20"/>
                <w:highlight w:val="none"/>
              </w:rPr>
              <w:t>认定文件</w:t>
            </w:r>
          </w:p>
        </w:tc>
        <w:tc>
          <w:tcPr>
            <w:tcW w:w="2737" w:type="dxa"/>
            <w:vAlign w:val="top"/>
          </w:tcPr>
          <w:p w14:paraId="48547B05">
            <w:pPr>
              <w:pStyle w:val="26"/>
              <w:spacing w:before="191" w:line="227" w:lineRule="auto"/>
              <w:ind w:left="744"/>
              <w:rPr>
                <w:color w:val="auto"/>
                <w:sz w:val="20"/>
                <w:szCs w:val="20"/>
                <w:highlight w:val="none"/>
              </w:rPr>
            </w:pPr>
            <w:r>
              <w:rPr>
                <w:color w:val="auto"/>
                <w:spacing w:val="8"/>
                <w:sz w:val="20"/>
                <w:szCs w:val="20"/>
                <w:highlight w:val="none"/>
              </w:rPr>
              <w:t>认定机构名称</w:t>
            </w:r>
          </w:p>
        </w:tc>
      </w:tr>
      <w:tr w14:paraId="4958E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20" w:type="dxa"/>
            <w:vAlign w:val="top"/>
          </w:tcPr>
          <w:p w14:paraId="419AE82F">
            <w:pPr>
              <w:rPr>
                <w:rFonts w:ascii="Arial"/>
                <w:color w:val="auto"/>
                <w:sz w:val="21"/>
                <w:highlight w:val="none"/>
              </w:rPr>
            </w:pPr>
          </w:p>
        </w:tc>
        <w:tc>
          <w:tcPr>
            <w:tcW w:w="1650" w:type="dxa"/>
            <w:vAlign w:val="top"/>
          </w:tcPr>
          <w:p w14:paraId="17A892B7">
            <w:pPr>
              <w:rPr>
                <w:rFonts w:ascii="Arial"/>
                <w:color w:val="auto"/>
                <w:sz w:val="21"/>
                <w:highlight w:val="none"/>
              </w:rPr>
            </w:pPr>
          </w:p>
        </w:tc>
        <w:tc>
          <w:tcPr>
            <w:tcW w:w="1815" w:type="dxa"/>
            <w:vAlign w:val="top"/>
          </w:tcPr>
          <w:p w14:paraId="571759D0">
            <w:pPr>
              <w:rPr>
                <w:rFonts w:ascii="Arial"/>
                <w:color w:val="auto"/>
                <w:sz w:val="21"/>
                <w:highlight w:val="none"/>
              </w:rPr>
            </w:pPr>
          </w:p>
        </w:tc>
        <w:tc>
          <w:tcPr>
            <w:tcW w:w="1960" w:type="dxa"/>
            <w:vAlign w:val="top"/>
          </w:tcPr>
          <w:p w14:paraId="6647F999">
            <w:pPr>
              <w:rPr>
                <w:rFonts w:ascii="Arial"/>
                <w:color w:val="auto"/>
                <w:sz w:val="21"/>
                <w:highlight w:val="none"/>
              </w:rPr>
            </w:pPr>
          </w:p>
        </w:tc>
        <w:tc>
          <w:tcPr>
            <w:tcW w:w="2737" w:type="dxa"/>
            <w:vAlign w:val="top"/>
          </w:tcPr>
          <w:p w14:paraId="57B56D67">
            <w:pPr>
              <w:rPr>
                <w:rFonts w:ascii="Arial"/>
                <w:color w:val="auto"/>
                <w:sz w:val="21"/>
                <w:highlight w:val="none"/>
              </w:rPr>
            </w:pPr>
          </w:p>
        </w:tc>
      </w:tr>
      <w:tr w14:paraId="65C2B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20" w:type="dxa"/>
            <w:vAlign w:val="top"/>
          </w:tcPr>
          <w:p w14:paraId="6C4F7107">
            <w:pPr>
              <w:rPr>
                <w:rFonts w:ascii="Arial"/>
                <w:color w:val="auto"/>
                <w:sz w:val="21"/>
                <w:highlight w:val="none"/>
              </w:rPr>
            </w:pPr>
          </w:p>
        </w:tc>
        <w:tc>
          <w:tcPr>
            <w:tcW w:w="1650" w:type="dxa"/>
            <w:vAlign w:val="top"/>
          </w:tcPr>
          <w:p w14:paraId="39CF06A9">
            <w:pPr>
              <w:rPr>
                <w:rFonts w:ascii="Arial"/>
                <w:color w:val="auto"/>
                <w:sz w:val="21"/>
                <w:highlight w:val="none"/>
              </w:rPr>
            </w:pPr>
          </w:p>
        </w:tc>
        <w:tc>
          <w:tcPr>
            <w:tcW w:w="1815" w:type="dxa"/>
            <w:vAlign w:val="top"/>
          </w:tcPr>
          <w:p w14:paraId="4D52E3B2">
            <w:pPr>
              <w:rPr>
                <w:rFonts w:ascii="Arial"/>
                <w:color w:val="auto"/>
                <w:sz w:val="21"/>
                <w:highlight w:val="none"/>
              </w:rPr>
            </w:pPr>
          </w:p>
        </w:tc>
        <w:tc>
          <w:tcPr>
            <w:tcW w:w="1960" w:type="dxa"/>
            <w:vAlign w:val="top"/>
          </w:tcPr>
          <w:p w14:paraId="68E3561D">
            <w:pPr>
              <w:rPr>
                <w:rFonts w:ascii="Arial"/>
                <w:color w:val="auto"/>
                <w:sz w:val="21"/>
                <w:highlight w:val="none"/>
              </w:rPr>
            </w:pPr>
          </w:p>
        </w:tc>
        <w:tc>
          <w:tcPr>
            <w:tcW w:w="2737" w:type="dxa"/>
            <w:vAlign w:val="top"/>
          </w:tcPr>
          <w:p w14:paraId="207E1459">
            <w:pPr>
              <w:rPr>
                <w:rFonts w:ascii="Arial"/>
                <w:color w:val="auto"/>
                <w:sz w:val="21"/>
                <w:highlight w:val="none"/>
              </w:rPr>
            </w:pPr>
          </w:p>
        </w:tc>
      </w:tr>
      <w:tr w14:paraId="760C0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20" w:type="dxa"/>
            <w:vAlign w:val="top"/>
          </w:tcPr>
          <w:p w14:paraId="71E51FDD">
            <w:pPr>
              <w:rPr>
                <w:rFonts w:ascii="Arial"/>
                <w:color w:val="auto"/>
                <w:sz w:val="21"/>
                <w:highlight w:val="none"/>
              </w:rPr>
            </w:pPr>
          </w:p>
        </w:tc>
        <w:tc>
          <w:tcPr>
            <w:tcW w:w="1650" w:type="dxa"/>
            <w:vAlign w:val="top"/>
          </w:tcPr>
          <w:p w14:paraId="671AE691">
            <w:pPr>
              <w:rPr>
                <w:rFonts w:ascii="Arial"/>
                <w:color w:val="auto"/>
                <w:sz w:val="21"/>
                <w:highlight w:val="none"/>
              </w:rPr>
            </w:pPr>
          </w:p>
        </w:tc>
        <w:tc>
          <w:tcPr>
            <w:tcW w:w="1815" w:type="dxa"/>
            <w:vAlign w:val="top"/>
          </w:tcPr>
          <w:p w14:paraId="10B5AD11">
            <w:pPr>
              <w:rPr>
                <w:rFonts w:ascii="Arial"/>
                <w:color w:val="auto"/>
                <w:sz w:val="21"/>
                <w:highlight w:val="none"/>
              </w:rPr>
            </w:pPr>
          </w:p>
        </w:tc>
        <w:tc>
          <w:tcPr>
            <w:tcW w:w="1960" w:type="dxa"/>
            <w:vAlign w:val="top"/>
          </w:tcPr>
          <w:p w14:paraId="6BFDF3CD">
            <w:pPr>
              <w:rPr>
                <w:rFonts w:ascii="Arial"/>
                <w:color w:val="auto"/>
                <w:sz w:val="21"/>
                <w:highlight w:val="none"/>
              </w:rPr>
            </w:pPr>
          </w:p>
        </w:tc>
        <w:tc>
          <w:tcPr>
            <w:tcW w:w="2737" w:type="dxa"/>
            <w:vAlign w:val="top"/>
          </w:tcPr>
          <w:p w14:paraId="36E15359">
            <w:pPr>
              <w:rPr>
                <w:rFonts w:ascii="Arial"/>
                <w:color w:val="auto"/>
                <w:sz w:val="21"/>
                <w:highlight w:val="none"/>
              </w:rPr>
            </w:pPr>
          </w:p>
        </w:tc>
      </w:tr>
    </w:tbl>
    <w:p w14:paraId="197B799B">
      <w:pPr>
        <w:rPr>
          <w:color w:val="auto"/>
          <w:spacing w:val="8"/>
          <w:sz w:val="20"/>
          <w:szCs w:val="20"/>
          <w:highlight w:val="none"/>
        </w:rPr>
      </w:pPr>
      <w:r>
        <w:rPr>
          <w:color w:val="auto"/>
          <w:spacing w:val="9"/>
          <w:sz w:val="20"/>
          <w:szCs w:val="20"/>
          <w:highlight w:val="none"/>
        </w:rPr>
        <w:t>注：所投产品、服务属于《山西省创新产品</w:t>
      </w:r>
      <w:r>
        <w:rPr>
          <w:color w:val="auto"/>
          <w:spacing w:val="8"/>
          <w:sz w:val="20"/>
          <w:szCs w:val="20"/>
          <w:highlight w:val="none"/>
        </w:rPr>
        <w:t>和服务推荐清单》</w:t>
      </w:r>
      <w:r>
        <w:rPr>
          <w:color w:val="auto"/>
          <w:spacing w:val="-56"/>
          <w:sz w:val="20"/>
          <w:szCs w:val="20"/>
          <w:highlight w:val="none"/>
        </w:rPr>
        <w:t xml:space="preserve"> </w:t>
      </w:r>
      <w:r>
        <w:rPr>
          <w:color w:val="auto"/>
          <w:spacing w:val="8"/>
          <w:sz w:val="20"/>
          <w:szCs w:val="20"/>
          <w:highlight w:val="none"/>
        </w:rPr>
        <w:t>内容的，附有效证明文件复印件。</w:t>
      </w:r>
    </w:p>
    <w:p w14:paraId="45E25290">
      <w:pPr>
        <w:pStyle w:val="9"/>
        <w:spacing w:before="78" w:line="219" w:lineRule="auto"/>
        <w:ind w:left="27"/>
        <w:outlineLvl w:val="2"/>
        <w:rPr>
          <w:b/>
          <w:bCs/>
          <w:color w:val="auto"/>
          <w:spacing w:val="-3"/>
          <w:sz w:val="24"/>
          <w:szCs w:val="24"/>
          <w:highlight w:val="none"/>
        </w:rPr>
      </w:pPr>
    </w:p>
    <w:p w14:paraId="51445EE0">
      <w:pPr>
        <w:pStyle w:val="9"/>
        <w:spacing w:before="78" w:line="219" w:lineRule="auto"/>
        <w:ind w:left="27"/>
        <w:outlineLvl w:val="2"/>
        <w:rPr>
          <w:color w:val="auto"/>
          <w:sz w:val="24"/>
          <w:szCs w:val="24"/>
          <w:highlight w:val="none"/>
        </w:rPr>
      </w:pPr>
      <w:r>
        <w:rPr>
          <w:b/>
          <w:bCs/>
          <w:color w:val="auto"/>
          <w:spacing w:val="-3"/>
          <w:sz w:val="24"/>
          <w:szCs w:val="24"/>
          <w:highlight w:val="none"/>
        </w:rPr>
        <w:t>（三）正版软件承诺格式（如不涉及可不提供）</w:t>
      </w:r>
    </w:p>
    <w:p w14:paraId="71765417">
      <w:pPr>
        <w:pStyle w:val="9"/>
        <w:spacing w:before="302" w:line="219" w:lineRule="auto"/>
        <w:ind w:left="3834"/>
        <w:outlineLvl w:val="3"/>
        <w:rPr>
          <w:color w:val="auto"/>
          <w:sz w:val="24"/>
          <w:szCs w:val="24"/>
          <w:highlight w:val="none"/>
        </w:rPr>
      </w:pPr>
      <w:r>
        <w:rPr>
          <w:b/>
          <w:bCs/>
          <w:color w:val="auto"/>
          <w:spacing w:val="-5"/>
          <w:sz w:val="24"/>
          <w:szCs w:val="24"/>
          <w:highlight w:val="none"/>
        </w:rPr>
        <w:t>正版软件承诺</w:t>
      </w:r>
    </w:p>
    <w:p w14:paraId="6B1D61FB">
      <w:pPr>
        <w:pStyle w:val="9"/>
        <w:tabs>
          <w:tab w:val="left" w:pos="262"/>
        </w:tabs>
        <w:spacing w:before="182" w:line="220" w:lineRule="auto"/>
        <w:ind w:left="6"/>
        <w:rPr>
          <w:color w:val="auto"/>
          <w:sz w:val="24"/>
          <w:szCs w:val="24"/>
          <w:highlight w:val="none"/>
        </w:rPr>
      </w:pPr>
      <w:r>
        <w:rPr>
          <w:color w:val="auto"/>
          <w:sz w:val="24"/>
          <w:szCs w:val="24"/>
          <w:highlight w:val="none"/>
          <w:u w:val="single" w:color="auto"/>
        </w:rPr>
        <w:tab/>
      </w:r>
      <w:r>
        <w:rPr>
          <w:rFonts w:ascii="宋体" w:hAnsi="宋体" w:eastAsia="宋体" w:cs="宋体"/>
          <w:color w:val="auto"/>
          <w:spacing w:val="-2"/>
          <w:sz w:val="24"/>
          <w:szCs w:val="24"/>
          <w:highlight w:val="none"/>
          <w:u w:val="single"/>
        </w:rPr>
        <w:t>（</w:t>
      </w:r>
      <w:r>
        <w:rPr>
          <w:rFonts w:hint="eastAsia" w:ascii="宋体" w:hAnsi="宋体" w:eastAsia="宋体" w:cs="宋体"/>
          <w:color w:val="auto"/>
          <w:spacing w:val="-2"/>
          <w:sz w:val="24"/>
          <w:szCs w:val="24"/>
          <w:highlight w:val="none"/>
          <w:u w:val="single"/>
          <w:lang w:val="en-US" w:eastAsia="zh-CN"/>
        </w:rPr>
        <w:t>采购</w:t>
      </w:r>
      <w:r>
        <w:rPr>
          <w:rFonts w:ascii="宋体" w:hAnsi="宋体" w:eastAsia="宋体" w:cs="宋体"/>
          <w:color w:val="auto"/>
          <w:spacing w:val="-2"/>
          <w:sz w:val="24"/>
          <w:szCs w:val="24"/>
          <w:highlight w:val="none"/>
          <w:u w:val="single"/>
        </w:rPr>
        <w:t>人）</w:t>
      </w:r>
      <w:r>
        <w:rPr>
          <w:color w:val="auto"/>
          <w:spacing w:val="18"/>
          <w:sz w:val="24"/>
          <w:szCs w:val="24"/>
          <w:highlight w:val="none"/>
          <w:u w:val="single" w:color="auto"/>
        </w:rPr>
        <w:t>：</w:t>
      </w:r>
    </w:p>
    <w:p w14:paraId="1C33A055">
      <w:pPr>
        <w:pStyle w:val="9"/>
        <w:spacing w:before="181" w:line="359" w:lineRule="auto"/>
        <w:ind w:left="17" w:right="97" w:firstLine="480"/>
        <w:jc w:val="both"/>
        <w:rPr>
          <w:color w:val="auto"/>
          <w:sz w:val="24"/>
          <w:szCs w:val="24"/>
          <w:highlight w:val="none"/>
        </w:rPr>
      </w:pPr>
      <w:r>
        <w:rPr>
          <w:color w:val="auto"/>
          <w:sz w:val="24"/>
          <w:szCs w:val="24"/>
          <w:highlight w:val="none"/>
        </w:rPr>
        <w:t>本</w:t>
      </w:r>
      <w:r>
        <w:rPr>
          <w:rFonts w:hint="eastAsia"/>
          <w:color w:val="auto"/>
          <w:sz w:val="24"/>
          <w:szCs w:val="24"/>
          <w:highlight w:val="none"/>
          <w:lang w:val="en-US" w:eastAsia="zh-CN"/>
        </w:rPr>
        <w:t>供应商</w:t>
      </w:r>
      <w:r>
        <w:rPr>
          <w:color w:val="auto"/>
          <w:sz w:val="24"/>
          <w:szCs w:val="24"/>
          <w:highlight w:val="none"/>
        </w:rPr>
        <w:t>现参与项目</w:t>
      </w:r>
      <w:r>
        <w:rPr>
          <w:color w:val="auto"/>
          <w:spacing w:val="-119"/>
          <w:sz w:val="24"/>
          <w:szCs w:val="24"/>
          <w:highlight w:val="none"/>
        </w:rPr>
        <w:t xml:space="preserve"> </w:t>
      </w:r>
      <w:r>
        <w:rPr>
          <w:color w:val="auto"/>
          <w:sz w:val="24"/>
          <w:szCs w:val="24"/>
          <w:highlight w:val="none"/>
          <w:u w:val="single" w:color="auto"/>
        </w:rPr>
        <w:t xml:space="preserve">                </w:t>
      </w:r>
      <w:r>
        <w:rPr>
          <w:color w:val="auto"/>
          <w:sz w:val="24"/>
          <w:szCs w:val="24"/>
          <w:highlight w:val="none"/>
        </w:rPr>
        <w:t>（项目编号</w:t>
      </w:r>
      <w:r>
        <w:rPr>
          <w:color w:val="auto"/>
          <w:spacing w:val="1"/>
          <w:sz w:val="24"/>
          <w:szCs w:val="24"/>
          <w:highlight w:val="none"/>
        </w:rPr>
        <w:t>：</w:t>
      </w:r>
      <w:r>
        <w:rPr>
          <w:color w:val="auto"/>
          <w:spacing w:val="1"/>
          <w:sz w:val="24"/>
          <w:szCs w:val="24"/>
          <w:highlight w:val="none"/>
          <w:u w:val="single" w:color="auto"/>
        </w:rPr>
        <w:t xml:space="preserve">               </w:t>
      </w:r>
      <w:r>
        <w:rPr>
          <w:color w:val="auto"/>
          <w:spacing w:val="-78"/>
          <w:sz w:val="24"/>
          <w:szCs w:val="24"/>
          <w:highlight w:val="none"/>
        </w:rPr>
        <w:t xml:space="preserve"> </w:t>
      </w:r>
      <w:r>
        <w:rPr>
          <w:color w:val="auto"/>
          <w:spacing w:val="1"/>
          <w:sz w:val="24"/>
          <w:szCs w:val="24"/>
          <w:highlight w:val="none"/>
        </w:rPr>
        <w:t>）</w:t>
      </w:r>
      <w:r>
        <w:rPr>
          <w:color w:val="auto"/>
          <w:sz w:val="24"/>
          <w:szCs w:val="24"/>
          <w:highlight w:val="none"/>
        </w:rPr>
        <w:t>的采购活</w:t>
      </w:r>
      <w:r>
        <w:rPr>
          <w:color w:val="auto"/>
          <w:spacing w:val="-2"/>
          <w:sz w:val="24"/>
          <w:szCs w:val="24"/>
          <w:highlight w:val="none"/>
        </w:rPr>
        <w:t>动，本公司承诺投报的计算机产品预装正版操作系统，投报的硬件产品内的预装软件为</w:t>
      </w:r>
      <w:r>
        <w:rPr>
          <w:color w:val="auto"/>
          <w:spacing w:val="-3"/>
          <w:sz w:val="24"/>
          <w:szCs w:val="24"/>
          <w:highlight w:val="none"/>
        </w:rPr>
        <w:t>正版软件。</w:t>
      </w:r>
    </w:p>
    <w:p w14:paraId="568EF5FE">
      <w:pPr>
        <w:pStyle w:val="9"/>
        <w:spacing w:before="1" w:line="218" w:lineRule="auto"/>
        <w:ind w:left="497"/>
        <w:rPr>
          <w:color w:val="auto"/>
          <w:sz w:val="24"/>
          <w:szCs w:val="24"/>
          <w:highlight w:val="none"/>
        </w:rPr>
      </w:pPr>
      <w:r>
        <w:rPr>
          <w:color w:val="auto"/>
          <w:sz w:val="24"/>
          <w:szCs w:val="24"/>
          <w:highlight w:val="none"/>
        </w:rPr>
        <w:t>本单位对上述声明内容的真实性负责。如有虚</w:t>
      </w:r>
      <w:r>
        <w:rPr>
          <w:color w:val="auto"/>
          <w:spacing w:val="-1"/>
          <w:sz w:val="24"/>
          <w:szCs w:val="24"/>
          <w:highlight w:val="none"/>
        </w:rPr>
        <w:t>假，将依法承担相应责任。</w:t>
      </w:r>
    </w:p>
    <w:p w14:paraId="08CF9712">
      <w:pPr>
        <w:pStyle w:val="7"/>
        <w:bidi w:val="0"/>
        <w:ind w:leftChars="1700"/>
        <w:rPr>
          <w:rFonts w:hint="eastAsia" w:ascii="宋体" w:hAnsi="宋体" w:eastAsia="宋体" w:cs="宋体"/>
          <w:color w:val="auto"/>
          <w:highlight w:val="none"/>
        </w:rPr>
      </w:pPr>
    </w:p>
    <w:p w14:paraId="610564E7">
      <w:pPr>
        <w:pStyle w:val="7"/>
        <w:bidi w:val="0"/>
        <w:ind w:leftChars="1700"/>
        <w:rPr>
          <w:rFonts w:hint="eastAsia" w:ascii="宋体" w:hAnsi="宋体" w:eastAsia="宋体" w:cs="宋体"/>
          <w:color w:val="auto"/>
          <w:highlight w:val="none"/>
        </w:rPr>
      </w:pPr>
    </w:p>
    <w:p w14:paraId="28522AFF">
      <w:pPr>
        <w:pStyle w:val="7"/>
        <w:bidi w:val="0"/>
        <w:ind w:leftChars="17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14:paraId="5F352912">
      <w:pPr>
        <w:pStyle w:val="7"/>
        <w:bidi w:val="0"/>
        <w:ind w:leftChars="17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日 期：</w:t>
      </w:r>
      <w:r>
        <w:rPr>
          <w:rFonts w:hint="eastAsia" w:ascii="宋体" w:hAnsi="宋体" w:eastAsia="宋体" w:cs="宋体"/>
          <w:color w:val="auto"/>
          <w:highlight w:val="none"/>
          <w:u w:val="single"/>
          <w:lang w:val="en-US" w:eastAsia="zh-CN"/>
        </w:rPr>
        <w:t xml:space="preserve">                           </w:t>
      </w:r>
    </w:p>
    <w:p w14:paraId="79BD6134">
      <w:pPr>
        <w:rPr>
          <w:rFonts w:hint="eastAsia" w:ascii="宋体" w:hAnsi="宋体" w:eastAsia="宋体" w:cs="宋体"/>
          <w:b/>
          <w:bCs/>
          <w:color w:val="auto"/>
          <w:spacing w:val="-3"/>
          <w:sz w:val="24"/>
          <w:szCs w:val="24"/>
          <w:highlight w:val="none"/>
          <w:lang w:val="en-US" w:eastAsia="zh-CN" w:bidi="ar-SA"/>
        </w:rPr>
      </w:pPr>
    </w:p>
    <w:p w14:paraId="15A2BBAD">
      <w:pPr>
        <w:adjustRightInd w:val="0"/>
        <w:snapToGrid w:val="0"/>
        <w:spacing w:line="360" w:lineRule="auto"/>
        <w:jc w:val="left"/>
        <w:rPr>
          <w:rFonts w:hint="eastAsia" w:ascii="宋体" w:hAnsi="宋体" w:eastAsia="宋体" w:cs="宋体"/>
          <w:b/>
          <w:bCs/>
          <w:color w:val="auto"/>
          <w:spacing w:val="-3"/>
          <w:sz w:val="24"/>
          <w:szCs w:val="24"/>
          <w:highlight w:val="none"/>
          <w:lang w:val="en-US" w:eastAsia="zh-CN" w:bidi="ar-SA"/>
        </w:rPr>
      </w:pPr>
      <w:r>
        <w:rPr>
          <w:rFonts w:hint="eastAsia" w:ascii="宋体" w:hAnsi="宋体" w:eastAsia="宋体" w:cs="宋体"/>
          <w:b/>
          <w:bCs/>
          <w:color w:val="auto"/>
          <w:spacing w:val="-3"/>
          <w:sz w:val="24"/>
          <w:szCs w:val="24"/>
          <w:highlight w:val="none"/>
          <w:lang w:val="en-US" w:eastAsia="en-US" w:bidi="ar-SA"/>
        </w:rPr>
        <w:t>（</w:t>
      </w:r>
      <w:r>
        <w:rPr>
          <w:rFonts w:hint="eastAsia" w:ascii="宋体" w:hAnsi="宋体" w:eastAsia="宋体" w:cs="宋体"/>
          <w:b/>
          <w:bCs/>
          <w:color w:val="auto"/>
          <w:spacing w:val="-3"/>
          <w:sz w:val="24"/>
          <w:szCs w:val="24"/>
          <w:highlight w:val="none"/>
          <w:lang w:val="en-US" w:eastAsia="zh-CN" w:bidi="ar-SA"/>
        </w:rPr>
        <w:t>四</w:t>
      </w:r>
      <w:r>
        <w:rPr>
          <w:rFonts w:hint="eastAsia" w:ascii="宋体" w:hAnsi="宋体" w:eastAsia="宋体" w:cs="宋体"/>
          <w:b/>
          <w:bCs/>
          <w:color w:val="auto"/>
          <w:spacing w:val="-3"/>
          <w:sz w:val="24"/>
          <w:szCs w:val="24"/>
          <w:highlight w:val="none"/>
          <w:lang w:val="en-US" w:eastAsia="en-US" w:bidi="ar-SA"/>
        </w:rPr>
        <w:t>）政府绿色采购优惠政策</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967"/>
        <w:gridCol w:w="2029"/>
        <w:gridCol w:w="1803"/>
        <w:gridCol w:w="2028"/>
      </w:tblGrid>
      <w:tr w14:paraId="1903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14:paraId="076A704A">
            <w:pPr>
              <w:jc w:val="center"/>
              <w:rPr>
                <w:rFonts w:hint="eastAsia" w:ascii="Arial" w:hAnsi="宋体" w:eastAsia="宋体" w:cs="Times New Roman"/>
                <w:color w:val="auto"/>
                <w:sz w:val="21"/>
                <w:highlight w:val="none"/>
              </w:rPr>
            </w:pPr>
            <w:r>
              <w:rPr>
                <w:rFonts w:hint="eastAsia" w:ascii="Arial" w:hAnsi="宋体" w:eastAsia="宋体" w:cs="Times New Roman"/>
                <w:color w:val="auto"/>
                <w:sz w:val="21"/>
                <w:highlight w:val="none"/>
              </w:rPr>
              <w:t>序号</w:t>
            </w:r>
          </w:p>
        </w:tc>
        <w:tc>
          <w:tcPr>
            <w:tcW w:w="1967" w:type="dxa"/>
            <w:tcBorders>
              <w:top w:val="single" w:color="auto" w:sz="4" w:space="0"/>
              <w:left w:val="single" w:color="auto" w:sz="4" w:space="0"/>
              <w:bottom w:val="single" w:color="auto" w:sz="4" w:space="0"/>
              <w:right w:val="single" w:color="auto" w:sz="4" w:space="0"/>
            </w:tcBorders>
            <w:noWrap w:val="0"/>
            <w:vAlign w:val="center"/>
          </w:tcPr>
          <w:p w14:paraId="3912717B">
            <w:pPr>
              <w:jc w:val="center"/>
              <w:rPr>
                <w:rFonts w:hint="eastAsia" w:ascii="Arial" w:hAnsi="宋体" w:eastAsia="宋体" w:cs="Times New Roman"/>
                <w:color w:val="auto"/>
                <w:sz w:val="21"/>
                <w:highlight w:val="none"/>
              </w:rPr>
            </w:pPr>
            <w:r>
              <w:rPr>
                <w:rFonts w:hint="eastAsia" w:ascii="Arial" w:hAnsi="宋体" w:eastAsia="宋体" w:cs="Times New Roman"/>
                <w:color w:val="auto"/>
                <w:sz w:val="21"/>
                <w:highlight w:val="none"/>
              </w:rPr>
              <w:t>产品名称</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0E002CE3">
            <w:pPr>
              <w:jc w:val="center"/>
              <w:rPr>
                <w:rFonts w:hint="eastAsia" w:ascii="Arial" w:hAnsi="宋体" w:eastAsia="宋体" w:cs="Times New Roman"/>
                <w:color w:val="auto"/>
                <w:sz w:val="21"/>
                <w:highlight w:val="none"/>
              </w:rPr>
            </w:pPr>
            <w:r>
              <w:rPr>
                <w:rFonts w:hint="eastAsia" w:ascii="Arial" w:hAnsi="宋体" w:eastAsia="宋体" w:cs="Times New Roman"/>
                <w:color w:val="auto"/>
                <w:sz w:val="21"/>
                <w:highlight w:val="none"/>
              </w:rPr>
              <w:t>制造商</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74B0362B">
            <w:pPr>
              <w:jc w:val="center"/>
              <w:rPr>
                <w:rFonts w:hint="eastAsia" w:ascii="Arial" w:hAnsi="宋体" w:eastAsia="宋体" w:cs="Times New Roman"/>
                <w:color w:val="auto"/>
                <w:sz w:val="21"/>
                <w:highlight w:val="none"/>
              </w:rPr>
            </w:pPr>
            <w:r>
              <w:rPr>
                <w:rFonts w:hint="eastAsia" w:ascii="Arial" w:hAnsi="宋体" w:eastAsia="宋体" w:cs="Times New Roman"/>
                <w:color w:val="auto"/>
                <w:sz w:val="21"/>
                <w:highlight w:val="none"/>
              </w:rPr>
              <w:t>产品型号</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3C8C7BF2">
            <w:pPr>
              <w:jc w:val="center"/>
              <w:rPr>
                <w:rFonts w:hint="eastAsia" w:ascii="Arial" w:hAnsi="宋体" w:eastAsia="宋体" w:cs="Times New Roman"/>
                <w:color w:val="auto"/>
                <w:sz w:val="21"/>
                <w:highlight w:val="none"/>
              </w:rPr>
            </w:pPr>
            <w:r>
              <w:rPr>
                <w:rFonts w:hint="eastAsia" w:ascii="Arial" w:hAnsi="宋体" w:eastAsia="宋体" w:cs="Times New Roman"/>
                <w:color w:val="auto"/>
                <w:sz w:val="21"/>
                <w:highlight w:val="none"/>
              </w:rPr>
              <w:t>备注</w:t>
            </w:r>
          </w:p>
        </w:tc>
      </w:tr>
      <w:tr w14:paraId="06D6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top"/>
          </w:tcPr>
          <w:p w14:paraId="7B490393">
            <w:pPr>
              <w:jc w:val="center"/>
              <w:rPr>
                <w:rFonts w:hint="eastAsia" w:ascii="Arial" w:hAnsi="宋体" w:eastAsia="宋体" w:cs="Times New Roman"/>
                <w:color w:val="auto"/>
                <w:sz w:val="21"/>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77E3EF78">
            <w:pPr>
              <w:jc w:val="center"/>
              <w:rPr>
                <w:rFonts w:hint="eastAsia" w:ascii="Arial" w:hAnsi="宋体" w:eastAsia="宋体" w:cs="Times New Roman"/>
                <w:color w:val="auto"/>
                <w:sz w:val="21"/>
                <w:highlight w:val="none"/>
              </w:rPr>
            </w:pPr>
          </w:p>
        </w:tc>
        <w:tc>
          <w:tcPr>
            <w:tcW w:w="2029" w:type="dxa"/>
            <w:tcBorders>
              <w:top w:val="single" w:color="auto" w:sz="4" w:space="0"/>
              <w:left w:val="single" w:color="auto" w:sz="4" w:space="0"/>
              <w:bottom w:val="single" w:color="auto" w:sz="4" w:space="0"/>
              <w:right w:val="single" w:color="auto" w:sz="4" w:space="0"/>
            </w:tcBorders>
            <w:noWrap w:val="0"/>
            <w:vAlign w:val="top"/>
          </w:tcPr>
          <w:p w14:paraId="184D85EF">
            <w:pPr>
              <w:jc w:val="center"/>
              <w:rPr>
                <w:rFonts w:hint="eastAsia" w:ascii="Arial" w:hAnsi="宋体" w:eastAsia="宋体" w:cs="Times New Roman"/>
                <w:color w:val="auto"/>
                <w:sz w:val="21"/>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6BD0F5BC">
            <w:pPr>
              <w:jc w:val="center"/>
              <w:rPr>
                <w:rFonts w:hint="eastAsia" w:ascii="Arial" w:hAnsi="宋体" w:eastAsia="宋体" w:cs="Times New Roman"/>
                <w:color w:val="auto"/>
                <w:sz w:val="21"/>
                <w:highlight w:val="none"/>
              </w:rPr>
            </w:pPr>
          </w:p>
        </w:tc>
        <w:tc>
          <w:tcPr>
            <w:tcW w:w="2028" w:type="dxa"/>
            <w:tcBorders>
              <w:top w:val="single" w:color="auto" w:sz="4" w:space="0"/>
              <w:left w:val="single" w:color="auto" w:sz="4" w:space="0"/>
              <w:bottom w:val="single" w:color="auto" w:sz="4" w:space="0"/>
              <w:right w:val="single" w:color="auto" w:sz="4" w:space="0"/>
            </w:tcBorders>
            <w:noWrap w:val="0"/>
            <w:vAlign w:val="top"/>
          </w:tcPr>
          <w:p w14:paraId="0E802FB5">
            <w:pPr>
              <w:jc w:val="center"/>
              <w:rPr>
                <w:rFonts w:hint="eastAsia" w:ascii="Arial" w:hAnsi="宋体" w:eastAsia="宋体" w:cs="Times New Roman"/>
                <w:color w:val="auto"/>
                <w:sz w:val="21"/>
                <w:highlight w:val="none"/>
              </w:rPr>
            </w:pPr>
          </w:p>
        </w:tc>
      </w:tr>
      <w:tr w14:paraId="1A80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top"/>
          </w:tcPr>
          <w:p w14:paraId="68696493">
            <w:pPr>
              <w:jc w:val="center"/>
              <w:rPr>
                <w:rFonts w:hint="eastAsia" w:ascii="Arial" w:hAnsi="宋体" w:eastAsia="宋体" w:cs="Times New Roman"/>
                <w:color w:val="auto"/>
                <w:sz w:val="21"/>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405EB213">
            <w:pPr>
              <w:jc w:val="center"/>
              <w:rPr>
                <w:rFonts w:hint="eastAsia" w:ascii="Arial" w:hAnsi="宋体" w:eastAsia="宋体" w:cs="Times New Roman"/>
                <w:color w:val="auto"/>
                <w:sz w:val="21"/>
                <w:highlight w:val="none"/>
              </w:rPr>
            </w:pPr>
          </w:p>
        </w:tc>
        <w:tc>
          <w:tcPr>
            <w:tcW w:w="2029" w:type="dxa"/>
            <w:tcBorders>
              <w:top w:val="single" w:color="auto" w:sz="4" w:space="0"/>
              <w:left w:val="single" w:color="auto" w:sz="4" w:space="0"/>
              <w:bottom w:val="single" w:color="auto" w:sz="4" w:space="0"/>
              <w:right w:val="single" w:color="auto" w:sz="4" w:space="0"/>
            </w:tcBorders>
            <w:noWrap w:val="0"/>
            <w:vAlign w:val="top"/>
          </w:tcPr>
          <w:p w14:paraId="4441E0EF">
            <w:pPr>
              <w:jc w:val="center"/>
              <w:rPr>
                <w:rFonts w:hint="eastAsia" w:ascii="Arial" w:hAnsi="宋体" w:eastAsia="宋体" w:cs="Times New Roman"/>
                <w:color w:val="auto"/>
                <w:sz w:val="21"/>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6E780AFC">
            <w:pPr>
              <w:jc w:val="center"/>
              <w:rPr>
                <w:rFonts w:hint="eastAsia" w:ascii="Arial" w:hAnsi="宋体" w:eastAsia="宋体" w:cs="Times New Roman"/>
                <w:color w:val="auto"/>
                <w:sz w:val="21"/>
                <w:highlight w:val="none"/>
              </w:rPr>
            </w:pPr>
          </w:p>
        </w:tc>
        <w:tc>
          <w:tcPr>
            <w:tcW w:w="2028" w:type="dxa"/>
            <w:tcBorders>
              <w:top w:val="single" w:color="auto" w:sz="4" w:space="0"/>
              <w:left w:val="single" w:color="auto" w:sz="4" w:space="0"/>
              <w:bottom w:val="single" w:color="auto" w:sz="4" w:space="0"/>
              <w:right w:val="single" w:color="auto" w:sz="4" w:space="0"/>
            </w:tcBorders>
            <w:noWrap w:val="0"/>
            <w:vAlign w:val="top"/>
          </w:tcPr>
          <w:p w14:paraId="0A3CBE69">
            <w:pPr>
              <w:jc w:val="center"/>
              <w:rPr>
                <w:rFonts w:hint="eastAsia" w:ascii="Arial" w:hAnsi="宋体" w:eastAsia="宋体" w:cs="Times New Roman"/>
                <w:color w:val="auto"/>
                <w:sz w:val="21"/>
                <w:highlight w:val="none"/>
              </w:rPr>
            </w:pPr>
          </w:p>
        </w:tc>
      </w:tr>
    </w:tbl>
    <w:p w14:paraId="64F4ABB7">
      <w:pPr>
        <w:bidi w:val="0"/>
        <w:rPr>
          <w:rFonts w:hint="eastAsia" w:ascii="Times New Roman" w:hAnsi="Times New Roman" w:eastAsia="宋体" w:cs="Times New Roman"/>
          <w:color w:val="auto"/>
          <w:highlight w:val="none"/>
          <w:lang w:val="en-US" w:eastAsia="zh-CN"/>
        </w:rPr>
      </w:pPr>
    </w:p>
    <w:p w14:paraId="617F1282">
      <w:pPr>
        <w:rPr>
          <w:rFonts w:hint="eastAsia" w:cs="宋体"/>
          <w:color w:val="auto"/>
          <w:highlight w:val="none"/>
        </w:rPr>
        <w:sectPr>
          <w:pgSz w:w="11906" w:h="16838"/>
          <w:pgMar w:top="1440" w:right="1440" w:bottom="1440" w:left="1440" w:header="624" w:footer="992" w:gutter="0"/>
          <w:pgNumType w:fmt="decimal"/>
          <w:cols w:space="425" w:num="1"/>
          <w:rtlGutter w:val="0"/>
          <w:docGrid w:type="lines" w:linePitch="312" w:charSpace="0"/>
        </w:sectPr>
      </w:pPr>
      <w:r>
        <w:rPr>
          <w:rFonts w:hint="eastAsia" w:ascii="宋体" w:hAnsi="宋体" w:eastAsia="宋体" w:cs="Times New Roman"/>
          <w:color w:val="auto"/>
          <w:spacing w:val="9"/>
          <w:sz w:val="20"/>
          <w:szCs w:val="20"/>
          <w:highlight w:val="none"/>
          <w:lang w:val="en-US" w:eastAsia="zh-CN"/>
        </w:rPr>
        <w:t>注：</w:t>
      </w:r>
      <w:r>
        <w:rPr>
          <w:rFonts w:hint="default" w:ascii="宋体" w:hAnsi="宋体" w:eastAsia="宋体" w:cs="Times New Roman"/>
          <w:color w:val="auto"/>
          <w:spacing w:val="9"/>
          <w:sz w:val="20"/>
          <w:szCs w:val="20"/>
          <w:highlight w:val="none"/>
          <w:lang w:val="en-US" w:eastAsia="zh-CN"/>
        </w:rPr>
        <w:t>绿色建材供应商在供货时应当出具所提供建材产品符合需求标准的证明性文件，包括国家统一推行的绿色建材产品认证证书，或符合需求标准的有效检测报告等。</w:t>
      </w:r>
      <w:r>
        <w:rPr>
          <w:rFonts w:hint="default" w:ascii="宋体" w:hAnsi="宋体"/>
          <w:color w:val="auto"/>
          <w:sz w:val="24"/>
          <w:highlight w:val="none"/>
        </w:rPr>
        <w:br w:type="page"/>
      </w:r>
    </w:p>
    <w:p w14:paraId="54DB2325">
      <w:pPr>
        <w:pStyle w:val="9"/>
        <w:spacing w:before="78" w:line="219" w:lineRule="auto"/>
        <w:ind w:left="19"/>
        <w:outlineLvl w:val="2"/>
        <w:rPr>
          <w:color w:val="auto"/>
          <w:sz w:val="24"/>
          <w:szCs w:val="24"/>
          <w:highlight w:val="none"/>
        </w:rPr>
      </w:pPr>
      <w:r>
        <w:rPr>
          <w:b/>
          <w:bCs/>
          <w:color w:val="auto"/>
          <w:spacing w:val="-3"/>
          <w:sz w:val="24"/>
          <w:szCs w:val="24"/>
          <w:highlight w:val="none"/>
        </w:rPr>
        <w:t>（</w:t>
      </w:r>
      <w:r>
        <w:rPr>
          <w:rFonts w:hint="eastAsia"/>
          <w:b/>
          <w:bCs/>
          <w:color w:val="auto"/>
          <w:spacing w:val="-3"/>
          <w:sz w:val="24"/>
          <w:szCs w:val="24"/>
          <w:highlight w:val="none"/>
          <w:lang w:val="en-US" w:eastAsia="zh-CN"/>
        </w:rPr>
        <w:t>五</w:t>
      </w:r>
      <w:r>
        <w:rPr>
          <w:b/>
          <w:bCs/>
          <w:color w:val="auto"/>
          <w:spacing w:val="-3"/>
          <w:sz w:val="24"/>
          <w:szCs w:val="24"/>
          <w:highlight w:val="none"/>
        </w:rPr>
        <w:t>）中小企业声明及证明材料（如不涉及可不提供）</w:t>
      </w:r>
    </w:p>
    <w:p w14:paraId="2D81DF8A">
      <w:pPr>
        <w:pStyle w:val="9"/>
        <w:spacing w:before="303" w:line="219" w:lineRule="auto"/>
        <w:ind w:left="3242"/>
        <w:outlineLvl w:val="3"/>
        <w:rPr>
          <w:b/>
          <w:bCs/>
          <w:color w:val="auto"/>
          <w:spacing w:val="-5"/>
          <w:sz w:val="24"/>
          <w:szCs w:val="24"/>
          <w:highlight w:val="none"/>
        </w:rPr>
      </w:pPr>
      <w:r>
        <w:rPr>
          <w:b/>
          <w:bCs/>
          <w:color w:val="auto"/>
          <w:spacing w:val="-5"/>
          <w:sz w:val="24"/>
          <w:szCs w:val="24"/>
          <w:highlight w:val="none"/>
        </w:rPr>
        <w:t>中小企业声明函</w:t>
      </w:r>
    </w:p>
    <w:p w14:paraId="4AD4A510">
      <w:pPr>
        <w:pStyle w:val="9"/>
        <w:keepNext w:val="0"/>
        <w:keepLines w:val="0"/>
        <w:pageBreakBefore w:val="0"/>
        <w:widowControl w:val="0"/>
        <w:kinsoku/>
        <w:wordWrap/>
        <w:overflowPunct/>
        <w:topLinePunct w:val="0"/>
        <w:autoSpaceDE/>
        <w:autoSpaceDN/>
        <w:bidi w:val="0"/>
        <w:adjustRightInd w:val="0"/>
        <w:snapToGrid/>
        <w:spacing w:line="240" w:lineRule="auto"/>
        <w:ind w:left="3243"/>
        <w:textAlignment w:val="baseline"/>
        <w:outlineLvl w:val="3"/>
        <w:rPr>
          <w:b/>
          <w:bCs/>
          <w:color w:val="auto"/>
          <w:spacing w:val="-5"/>
          <w:sz w:val="2"/>
          <w:szCs w:val="2"/>
          <w:highlight w:val="none"/>
        </w:rPr>
      </w:pPr>
    </w:p>
    <w:p w14:paraId="23736C2C">
      <w:pPr>
        <w:pStyle w:val="7"/>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（单位名称）的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（项目名称）采购活动，服务全部由符合政策要求的中小企业承接。相关企业（含联合体中的中小企业、签订分包意向协议的中小企业）的具体情况如下：</w:t>
      </w:r>
    </w:p>
    <w:p w14:paraId="1F912BC2">
      <w:pPr>
        <w:pStyle w:val="7"/>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（标的名称），属于</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（采购文件中明确的所属行业）；承接企业为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（企业名称），从业人员</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人，营业收入为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万元，资产总额为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万元，属于</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（中型企业、小型企业、微型企业）；</w:t>
      </w:r>
    </w:p>
    <w:p w14:paraId="4554BBBB">
      <w:pPr>
        <w:pStyle w:val="7"/>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（标的名称），属于</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（采购文件中明确的所属行业）；承接企业为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（企业名称），从业人员</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人，营业收入为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万元，资产总额为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万元，属于</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（中型企业、小型企业、微型企业）；</w:t>
      </w:r>
    </w:p>
    <w:p w14:paraId="1DB5C4AD">
      <w:pPr>
        <w:pStyle w:val="7"/>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p w14:paraId="0651C8A6">
      <w:pPr>
        <w:pStyle w:val="7"/>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以上企业，不属于大企业的分支机构，不存在控股股东为大企业的情形，也不存在与大企业的负责人为同一人的情形。</w:t>
      </w:r>
    </w:p>
    <w:p w14:paraId="7ABB7CCF">
      <w:pPr>
        <w:pStyle w:val="7"/>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本企业对上述声明内容的真实性负责。如有虚假，将依法承担相应责任。</w:t>
      </w:r>
    </w:p>
    <w:p w14:paraId="4893D2AA">
      <w:pPr>
        <w:pStyle w:val="7"/>
        <w:bidi w:val="0"/>
        <w:rPr>
          <w:rFonts w:hint="eastAsia" w:ascii="宋体" w:hAnsi="宋体" w:eastAsia="宋体" w:cs="宋体"/>
          <w:color w:val="auto"/>
          <w:highlight w:val="none"/>
          <w:lang w:val="en-US" w:eastAsia="zh-CN"/>
        </w:rPr>
      </w:pPr>
    </w:p>
    <w:p w14:paraId="4600D31C">
      <w:pPr>
        <w:pStyle w:val="7"/>
        <w:bidi w:val="0"/>
        <w:rPr>
          <w:rFonts w:hint="eastAsia" w:ascii="宋体" w:hAnsi="宋体" w:eastAsia="宋体" w:cs="宋体"/>
          <w:color w:val="auto"/>
          <w:highlight w:val="none"/>
          <w:lang w:val="en-US" w:eastAsia="zh-CN"/>
        </w:rPr>
      </w:pPr>
    </w:p>
    <w:p w14:paraId="1654914F">
      <w:pPr>
        <w:pStyle w:val="7"/>
        <w:bidi w:val="0"/>
        <w:ind w:leftChars="17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14:paraId="0841CCA6">
      <w:pPr>
        <w:pStyle w:val="7"/>
        <w:bidi w:val="0"/>
        <w:ind w:leftChars="17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日 期：</w:t>
      </w:r>
      <w:r>
        <w:rPr>
          <w:rFonts w:hint="eastAsia" w:ascii="宋体" w:hAnsi="宋体" w:eastAsia="宋体" w:cs="宋体"/>
          <w:color w:val="auto"/>
          <w:highlight w:val="none"/>
          <w:u w:val="single"/>
          <w:lang w:val="en-US" w:eastAsia="zh-CN"/>
        </w:rPr>
        <w:t xml:space="preserve">                           </w:t>
      </w:r>
    </w:p>
    <w:p w14:paraId="1FD5CCBF">
      <w:pPr>
        <w:spacing w:line="277" w:lineRule="auto"/>
        <w:rPr>
          <w:rFonts w:ascii="Arial"/>
          <w:color w:val="auto"/>
          <w:sz w:val="21"/>
          <w:highlight w:val="none"/>
        </w:rPr>
      </w:pPr>
    </w:p>
    <w:p w14:paraId="66BE8E51">
      <w:pPr>
        <w:spacing w:line="277" w:lineRule="auto"/>
        <w:rPr>
          <w:rFonts w:ascii="Arial"/>
          <w:color w:val="auto"/>
          <w:sz w:val="21"/>
          <w:highlight w:val="none"/>
        </w:rPr>
      </w:pPr>
    </w:p>
    <w:p w14:paraId="0D28F8EC">
      <w:pPr>
        <w:spacing w:line="277" w:lineRule="auto"/>
        <w:rPr>
          <w:rFonts w:ascii="Arial"/>
          <w:color w:val="auto"/>
          <w:sz w:val="21"/>
          <w:highlight w:val="none"/>
        </w:rPr>
      </w:pPr>
    </w:p>
    <w:p w14:paraId="3D12BAC9">
      <w:pPr>
        <w:spacing w:line="277" w:lineRule="auto"/>
        <w:rPr>
          <w:rFonts w:ascii="Arial"/>
          <w:color w:val="auto"/>
          <w:sz w:val="21"/>
          <w:highlight w:val="none"/>
        </w:rPr>
      </w:pPr>
    </w:p>
    <w:p w14:paraId="15EEE69D">
      <w:pPr>
        <w:spacing w:line="277" w:lineRule="auto"/>
        <w:rPr>
          <w:rFonts w:ascii="Arial"/>
          <w:color w:val="auto"/>
          <w:sz w:val="21"/>
          <w:highlight w:val="none"/>
        </w:rPr>
      </w:pPr>
    </w:p>
    <w:p w14:paraId="2BAC453F">
      <w:pPr>
        <w:pStyle w:val="9"/>
        <w:spacing w:before="66" w:line="225" w:lineRule="auto"/>
        <w:jc w:val="right"/>
        <w:rPr>
          <w:color w:val="auto"/>
          <w:sz w:val="20"/>
          <w:szCs w:val="20"/>
          <w:highlight w:val="none"/>
        </w:rPr>
      </w:pPr>
      <w:r>
        <w:rPr>
          <w:b/>
          <w:bCs/>
          <w:color w:val="auto"/>
          <w:spacing w:val="7"/>
          <w:sz w:val="20"/>
          <w:szCs w:val="20"/>
          <w:highlight w:val="none"/>
        </w:rPr>
        <w:t>注：①从业人员、营业收入、资产总额填报上一年度数据,无上一年度数据的新成立企业可不填报；</w:t>
      </w:r>
    </w:p>
    <w:p w14:paraId="49E5F689">
      <w:pPr>
        <w:pStyle w:val="7"/>
        <w:ind w:left="4093" w:leftChars="0" w:hanging="4093" w:hangingChars="1888"/>
        <w:rPr>
          <w:rFonts w:cs="宋体"/>
          <w:color w:val="auto"/>
          <w:highlight w:val="none"/>
          <w:u w:val="single"/>
        </w:rPr>
      </w:pPr>
      <w:r>
        <w:rPr>
          <w:b/>
          <w:bCs/>
          <w:color w:val="auto"/>
          <w:spacing w:val="8"/>
          <w:sz w:val="20"/>
          <w:szCs w:val="20"/>
          <w:highlight w:val="none"/>
        </w:rPr>
        <w:t>②供应商为中小企业的，</w:t>
      </w:r>
      <w:r>
        <w:rPr>
          <w:rFonts w:hint="eastAsia"/>
          <w:b/>
          <w:bCs/>
          <w:color w:val="auto"/>
          <w:spacing w:val="8"/>
          <w:sz w:val="20"/>
          <w:szCs w:val="20"/>
          <w:highlight w:val="none"/>
          <w:lang w:val="en-US" w:eastAsia="zh-CN"/>
        </w:rPr>
        <w:t>采购</w:t>
      </w:r>
      <w:r>
        <w:rPr>
          <w:b/>
          <w:bCs/>
          <w:color w:val="auto"/>
          <w:spacing w:val="8"/>
          <w:sz w:val="20"/>
          <w:szCs w:val="20"/>
          <w:highlight w:val="none"/>
        </w:rPr>
        <w:t>代理机构随成交结果同时公告其《中小企业声</w:t>
      </w:r>
      <w:r>
        <w:rPr>
          <w:b/>
          <w:bCs/>
          <w:color w:val="auto"/>
          <w:spacing w:val="7"/>
          <w:sz w:val="20"/>
          <w:szCs w:val="20"/>
          <w:highlight w:val="none"/>
        </w:rPr>
        <w:t>明函》。</w:t>
      </w:r>
    </w:p>
    <w:p w14:paraId="54B6633D">
      <w:pPr>
        <w:pStyle w:val="7"/>
        <w:ind w:firstLine="480"/>
        <w:rPr>
          <w:rFonts w:cs="宋体"/>
          <w:color w:val="auto"/>
          <w:highlight w:val="none"/>
        </w:rPr>
      </w:pPr>
      <w:r>
        <w:rPr>
          <w:rFonts w:hint="eastAsia" w:cs="宋体"/>
          <w:color w:val="auto"/>
          <w:highlight w:val="none"/>
        </w:rPr>
        <w:br w:type="page"/>
      </w:r>
    </w:p>
    <w:p w14:paraId="6937E16C">
      <w:pPr>
        <w:pStyle w:val="9"/>
        <w:spacing w:before="78" w:line="219" w:lineRule="auto"/>
        <w:ind w:left="19"/>
        <w:outlineLvl w:val="2"/>
        <w:rPr>
          <w:rFonts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w:t>
      </w:r>
      <w:r>
        <w:rPr>
          <w:rFonts w:hint="eastAsia"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）残疾人福利性单位声明函格式（</w:t>
      </w:r>
      <w:r>
        <w:rPr>
          <w:b/>
          <w:bCs/>
          <w:color w:val="auto"/>
          <w:spacing w:val="-3"/>
          <w:sz w:val="24"/>
          <w:szCs w:val="24"/>
          <w:highlight w:val="none"/>
        </w:rPr>
        <w:t>如不涉及可不提供</w:t>
      </w:r>
      <w:r>
        <w:rPr>
          <w:rFonts w:hint="eastAsia" w:ascii="宋体" w:hAnsi="宋体" w:eastAsia="宋体" w:cs="宋体"/>
          <w:b/>
          <w:bCs/>
          <w:color w:val="auto"/>
          <w:spacing w:val="-3"/>
          <w:sz w:val="24"/>
          <w:szCs w:val="24"/>
          <w:highlight w:val="none"/>
        </w:rPr>
        <w:t>）</w:t>
      </w:r>
    </w:p>
    <w:p w14:paraId="65979E7C">
      <w:pPr>
        <w:pStyle w:val="7"/>
        <w:ind w:firstLine="480"/>
        <w:rPr>
          <w:rFonts w:cs="宋体"/>
          <w:color w:val="auto"/>
          <w:highlight w:val="none"/>
        </w:rPr>
      </w:pPr>
    </w:p>
    <w:p w14:paraId="57756FDD">
      <w:pPr>
        <w:jc w:val="center"/>
        <w:rPr>
          <w:rFonts w:cs="宋体"/>
          <w:b/>
          <w:bCs/>
          <w:color w:val="auto"/>
          <w:highlight w:val="none"/>
        </w:rPr>
      </w:pPr>
      <w:r>
        <w:rPr>
          <w:rFonts w:hint="eastAsia" w:cs="宋体"/>
          <w:b/>
          <w:bCs/>
          <w:color w:val="auto"/>
          <w:highlight w:val="none"/>
        </w:rPr>
        <w:t>残疾人福利性单位声明函</w:t>
      </w:r>
    </w:p>
    <w:p w14:paraId="30526645">
      <w:pPr>
        <w:pStyle w:val="7"/>
        <w:ind w:firstLine="480"/>
        <w:rPr>
          <w:rFonts w:cs="宋体"/>
          <w:color w:val="auto"/>
          <w:highlight w:val="none"/>
        </w:rPr>
      </w:pPr>
    </w:p>
    <w:p w14:paraId="18AB8A3A">
      <w:pPr>
        <w:pStyle w:val="7"/>
        <w:ind w:firstLine="480"/>
        <w:rPr>
          <w:rFonts w:cs="宋体"/>
          <w:color w:val="auto"/>
          <w:highlight w:val="none"/>
        </w:rPr>
      </w:pPr>
      <w:r>
        <w:rPr>
          <w:rFonts w:hint="eastAsia" w:cs="宋体"/>
          <w:color w:val="auto"/>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宋体"/>
          <w:color w:val="auto"/>
          <w:highlight w:val="none"/>
          <w:u w:val="single"/>
        </w:rPr>
        <w:t xml:space="preserve">          </w:t>
      </w:r>
      <w:r>
        <w:rPr>
          <w:rFonts w:hint="eastAsia" w:cs="宋体"/>
          <w:color w:val="auto"/>
          <w:highlight w:val="none"/>
        </w:rPr>
        <w:t>单位的</w:t>
      </w:r>
      <w:r>
        <w:rPr>
          <w:rFonts w:hint="eastAsia" w:cs="宋体"/>
          <w:color w:val="auto"/>
          <w:highlight w:val="none"/>
          <w:u w:val="single"/>
        </w:rPr>
        <w:t xml:space="preserve">         </w:t>
      </w:r>
      <w:r>
        <w:rPr>
          <w:rFonts w:hint="eastAsia" w:cs="宋体"/>
          <w:color w:val="auto"/>
          <w:highlight w:val="none"/>
        </w:rPr>
        <w:t>项目（项目编号：</w:t>
      </w:r>
      <w:r>
        <w:rPr>
          <w:rFonts w:hint="eastAsia" w:cs="宋体"/>
          <w:color w:val="auto"/>
          <w:highlight w:val="none"/>
          <w:u w:val="single"/>
        </w:rPr>
        <w:t xml:space="preserve">         </w:t>
      </w:r>
      <w:r>
        <w:rPr>
          <w:rFonts w:hint="eastAsia" w:cs="宋体"/>
          <w:color w:val="auto"/>
          <w:highlight w:val="none"/>
        </w:rPr>
        <w:t>）采购活动提供本单位制造的货物（由本单位承担工程/提供服务），或者提供其他残疾人福利性单位制造的货物（不包括使用非残疾人福利性单位注册商标的货物）。</w:t>
      </w:r>
    </w:p>
    <w:p w14:paraId="506D3A0D">
      <w:pPr>
        <w:pStyle w:val="7"/>
        <w:ind w:firstLine="480"/>
        <w:rPr>
          <w:rFonts w:cs="宋体"/>
          <w:color w:val="auto"/>
          <w:highlight w:val="none"/>
        </w:rPr>
      </w:pPr>
      <w:r>
        <w:rPr>
          <w:rFonts w:hint="eastAsia" w:cs="宋体"/>
          <w:color w:val="auto"/>
          <w:highlight w:val="none"/>
        </w:rPr>
        <w:t>本单位对上述声明的真实性负责。如有虚假，将依法承担相应责任。</w:t>
      </w:r>
    </w:p>
    <w:p w14:paraId="556BFAEB">
      <w:pPr>
        <w:pStyle w:val="7"/>
        <w:ind w:firstLine="480"/>
        <w:rPr>
          <w:rFonts w:cs="宋体"/>
          <w:color w:val="auto"/>
          <w:highlight w:val="none"/>
        </w:rPr>
      </w:pPr>
    </w:p>
    <w:p w14:paraId="6D621D04">
      <w:pPr>
        <w:pStyle w:val="7"/>
        <w:ind w:left="4080" w:leftChars="17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443C681C">
      <w:pPr>
        <w:pStyle w:val="7"/>
        <w:ind w:left="4080" w:leftChars="1700" w:firstLine="480"/>
        <w:rPr>
          <w:rFonts w:cs="宋体"/>
          <w:color w:val="auto"/>
          <w:highlight w:val="none"/>
          <w:u w:val="single"/>
        </w:rPr>
      </w:pPr>
      <w:r>
        <w:rPr>
          <w:rFonts w:hint="eastAsia" w:cs="宋体"/>
          <w:color w:val="auto"/>
          <w:highlight w:val="none"/>
        </w:rPr>
        <w:t>日 期：</w:t>
      </w:r>
      <w:r>
        <w:rPr>
          <w:rFonts w:hint="eastAsia" w:cs="宋体"/>
          <w:color w:val="auto"/>
          <w:highlight w:val="none"/>
          <w:u w:val="single"/>
        </w:rPr>
        <w:t xml:space="preserve">                           </w:t>
      </w:r>
    </w:p>
    <w:p w14:paraId="6E42E95D">
      <w:pPr>
        <w:pStyle w:val="9"/>
        <w:spacing w:before="78" w:line="219" w:lineRule="auto"/>
        <w:ind w:left="19"/>
        <w:outlineLvl w:val="2"/>
        <w:rPr>
          <w:rFonts w:hint="eastAsia" w:ascii="宋体" w:hAnsi="宋体" w:eastAsia="宋体" w:cs="宋体"/>
          <w:b/>
          <w:bCs/>
          <w:color w:val="auto"/>
          <w:spacing w:val="-3"/>
          <w:sz w:val="24"/>
          <w:szCs w:val="24"/>
          <w:highlight w:val="none"/>
        </w:rPr>
      </w:pPr>
    </w:p>
    <w:p w14:paraId="1478B168">
      <w:pPr>
        <w:pStyle w:val="9"/>
        <w:spacing w:before="78" w:line="219" w:lineRule="auto"/>
        <w:ind w:left="19"/>
        <w:outlineLvl w:val="2"/>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w:t>
      </w:r>
      <w:r>
        <w:rPr>
          <w:rFonts w:hint="eastAsia" w:cs="宋体"/>
          <w:b/>
          <w:bCs/>
          <w:color w:val="auto"/>
          <w:spacing w:val="-3"/>
          <w:sz w:val="24"/>
          <w:szCs w:val="24"/>
          <w:highlight w:val="none"/>
          <w:lang w:val="en-US" w:eastAsia="zh-CN"/>
        </w:rPr>
        <w:t>七</w:t>
      </w:r>
      <w:r>
        <w:rPr>
          <w:rFonts w:hint="eastAsia" w:ascii="宋体" w:hAnsi="宋体" w:eastAsia="宋体" w:cs="宋体"/>
          <w:b/>
          <w:bCs/>
          <w:color w:val="auto"/>
          <w:spacing w:val="-3"/>
          <w:sz w:val="24"/>
          <w:szCs w:val="24"/>
          <w:highlight w:val="none"/>
        </w:rPr>
        <w:t>）监狱企业声明函（</w:t>
      </w:r>
      <w:r>
        <w:rPr>
          <w:b/>
          <w:bCs/>
          <w:color w:val="auto"/>
          <w:spacing w:val="-3"/>
          <w:sz w:val="24"/>
          <w:szCs w:val="24"/>
          <w:highlight w:val="none"/>
        </w:rPr>
        <w:t>如不涉及可不提供</w:t>
      </w:r>
      <w:r>
        <w:rPr>
          <w:rFonts w:hint="eastAsia" w:ascii="宋体" w:hAnsi="宋体" w:eastAsia="宋体" w:cs="宋体"/>
          <w:b/>
          <w:bCs/>
          <w:color w:val="auto"/>
          <w:spacing w:val="-3"/>
          <w:sz w:val="24"/>
          <w:szCs w:val="24"/>
          <w:highlight w:val="none"/>
        </w:rPr>
        <w:t>）</w:t>
      </w:r>
    </w:p>
    <w:p w14:paraId="44C5CC1E">
      <w:pPr>
        <w:pStyle w:val="7"/>
        <w:ind w:firstLine="0" w:firstLineChars="0"/>
        <w:jc w:val="center"/>
        <w:rPr>
          <w:rFonts w:cs="宋体"/>
          <w:color w:val="auto"/>
          <w:highlight w:val="none"/>
        </w:rPr>
      </w:pPr>
    </w:p>
    <w:p w14:paraId="5E445F8A">
      <w:pPr>
        <w:pStyle w:val="7"/>
        <w:ind w:firstLine="0" w:firstLineChars="0"/>
        <w:jc w:val="center"/>
        <w:rPr>
          <w:rFonts w:cs="宋体"/>
          <w:b/>
          <w:bCs/>
          <w:color w:val="auto"/>
          <w:highlight w:val="none"/>
        </w:rPr>
      </w:pPr>
      <w:r>
        <w:rPr>
          <w:rFonts w:hint="eastAsia" w:cs="宋体"/>
          <w:b/>
          <w:bCs/>
          <w:color w:val="auto"/>
          <w:highlight w:val="none"/>
        </w:rPr>
        <w:t>监狱企业声明函</w:t>
      </w:r>
    </w:p>
    <w:p w14:paraId="1CA9B5E9">
      <w:pPr>
        <w:pStyle w:val="7"/>
        <w:ind w:firstLine="0" w:firstLineChars="0"/>
        <w:jc w:val="center"/>
        <w:rPr>
          <w:rFonts w:cs="宋体"/>
          <w:color w:val="auto"/>
          <w:highlight w:val="none"/>
        </w:rPr>
      </w:pPr>
    </w:p>
    <w:p w14:paraId="2C298C85">
      <w:pPr>
        <w:pStyle w:val="7"/>
        <w:ind w:firstLine="480"/>
        <w:rPr>
          <w:rFonts w:cs="宋体"/>
          <w:color w:val="auto"/>
          <w:highlight w:val="none"/>
        </w:rPr>
      </w:pPr>
      <w:r>
        <w:rPr>
          <w:rFonts w:hint="eastAsia" w:cs="宋体"/>
          <w:color w:val="auto"/>
          <w:highlight w:val="none"/>
        </w:rPr>
        <w:t>本公司郑重声明，根据财政部、司法部发布的《关于政府采购支持监狱企业发展有关问题的通知》的规定，本单位为符合条件的监狱企业单位，且本单位参加</w:t>
      </w:r>
      <w:r>
        <w:rPr>
          <w:rFonts w:hint="eastAsia" w:cs="宋体"/>
          <w:color w:val="auto"/>
          <w:highlight w:val="none"/>
          <w:u w:val="single"/>
        </w:rPr>
        <w:t xml:space="preserve">          </w:t>
      </w:r>
      <w:r>
        <w:rPr>
          <w:rFonts w:hint="eastAsia" w:cs="宋体"/>
          <w:color w:val="auto"/>
          <w:highlight w:val="none"/>
        </w:rPr>
        <w:t>单位的</w:t>
      </w:r>
      <w:r>
        <w:rPr>
          <w:rFonts w:hint="eastAsia" w:cs="宋体"/>
          <w:color w:val="auto"/>
          <w:highlight w:val="none"/>
          <w:u w:val="single"/>
        </w:rPr>
        <w:t xml:space="preserve">         </w:t>
      </w:r>
      <w:r>
        <w:rPr>
          <w:rFonts w:hint="eastAsia" w:cs="宋体"/>
          <w:color w:val="auto"/>
          <w:highlight w:val="none"/>
        </w:rPr>
        <w:t>项目（项目编号：</w:t>
      </w:r>
      <w:r>
        <w:rPr>
          <w:rFonts w:hint="eastAsia" w:cs="宋体"/>
          <w:color w:val="auto"/>
          <w:highlight w:val="none"/>
          <w:u w:val="single"/>
        </w:rPr>
        <w:t xml:space="preserve">         </w:t>
      </w:r>
      <w:r>
        <w:rPr>
          <w:rFonts w:hint="eastAsia" w:cs="宋体"/>
          <w:color w:val="auto"/>
          <w:highlight w:val="none"/>
        </w:rPr>
        <w:t>）采购活动提供本单位制造的货物（由本单位承担工程/提供服务），或者提供其他监狱企业单位制造的货物（不包括使用非残监狱企业单位注册商标的货物。）</w:t>
      </w:r>
    </w:p>
    <w:p w14:paraId="62F73E48">
      <w:pPr>
        <w:pStyle w:val="7"/>
        <w:ind w:firstLine="480"/>
        <w:rPr>
          <w:rFonts w:cs="宋体"/>
          <w:color w:val="auto"/>
          <w:highlight w:val="none"/>
        </w:rPr>
      </w:pPr>
      <w:r>
        <w:rPr>
          <w:rFonts w:hint="eastAsia" w:cs="宋体"/>
          <w:color w:val="auto"/>
          <w:highlight w:val="none"/>
        </w:rPr>
        <w:t>本公司对上述声明的真实性负责。如有虚假，将依法承担相应责任。</w:t>
      </w:r>
    </w:p>
    <w:p w14:paraId="3A5BC16C">
      <w:pPr>
        <w:pStyle w:val="7"/>
        <w:ind w:firstLine="480"/>
        <w:rPr>
          <w:rFonts w:cs="宋体"/>
          <w:color w:val="auto"/>
          <w:highlight w:val="none"/>
        </w:rPr>
      </w:pPr>
    </w:p>
    <w:p w14:paraId="52F386B9">
      <w:pPr>
        <w:pStyle w:val="7"/>
        <w:ind w:left="4080" w:leftChars="17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7A9A1C2A">
      <w:pPr>
        <w:pStyle w:val="7"/>
        <w:ind w:left="4080" w:leftChars="1700" w:firstLine="480"/>
        <w:rPr>
          <w:rFonts w:cs="宋体"/>
          <w:color w:val="auto"/>
          <w:highlight w:val="none"/>
          <w:u w:val="single"/>
        </w:rPr>
      </w:pPr>
      <w:r>
        <w:rPr>
          <w:rFonts w:hint="eastAsia" w:cs="宋体"/>
          <w:color w:val="auto"/>
          <w:highlight w:val="none"/>
        </w:rPr>
        <w:t>日 期：</w:t>
      </w:r>
      <w:r>
        <w:rPr>
          <w:rFonts w:hint="eastAsia" w:cs="宋体"/>
          <w:color w:val="auto"/>
          <w:highlight w:val="none"/>
          <w:u w:val="single"/>
        </w:rPr>
        <w:t xml:space="preserve">                           </w:t>
      </w:r>
    </w:p>
    <w:p w14:paraId="7CDFFDA6">
      <w:pPr>
        <w:pStyle w:val="7"/>
        <w:ind w:firstLine="480"/>
        <w:rPr>
          <w:rFonts w:hint="eastAsia" w:cs="宋体"/>
          <w:color w:val="auto"/>
          <w:highlight w:val="none"/>
        </w:rPr>
        <w:sectPr>
          <w:pgSz w:w="11906" w:h="16838"/>
          <w:pgMar w:top="1440" w:right="1440" w:bottom="1440" w:left="1440" w:header="624" w:footer="992" w:gutter="0"/>
          <w:pgNumType w:fmt="decimal"/>
          <w:cols w:space="425" w:num="1"/>
          <w:rtlGutter w:val="0"/>
          <w:docGrid w:type="lines" w:linePitch="312" w:charSpace="0"/>
        </w:sectPr>
      </w:pPr>
      <w:r>
        <w:rPr>
          <w:rFonts w:hint="eastAsia" w:cs="宋体"/>
          <w:color w:val="auto"/>
          <w:highlight w:val="none"/>
        </w:rPr>
        <w:t>注：供应商须提供由省级以上监狱管理局、戒毒管理局（含新疆生产建设兵团）出具的属于监狱企业的证明文件。</w:t>
      </w:r>
    </w:p>
    <w:p w14:paraId="33C34B06">
      <w:pPr>
        <w:pStyle w:val="9"/>
        <w:spacing w:before="78" w:line="219" w:lineRule="auto"/>
        <w:ind w:left="20"/>
        <w:outlineLvl w:val="2"/>
        <w:rPr>
          <w:color w:val="auto"/>
          <w:sz w:val="24"/>
          <w:szCs w:val="24"/>
          <w:highlight w:val="none"/>
        </w:rPr>
      </w:pPr>
      <w:r>
        <w:rPr>
          <w:b/>
          <w:bCs/>
          <w:color w:val="auto"/>
          <w:spacing w:val="-3"/>
          <w:sz w:val="24"/>
          <w:szCs w:val="24"/>
          <w:highlight w:val="none"/>
        </w:rPr>
        <w:t>（</w:t>
      </w:r>
      <w:r>
        <w:rPr>
          <w:rFonts w:hint="eastAsia"/>
          <w:b/>
          <w:bCs/>
          <w:color w:val="auto"/>
          <w:spacing w:val="-3"/>
          <w:sz w:val="24"/>
          <w:szCs w:val="24"/>
          <w:highlight w:val="none"/>
          <w:lang w:val="en-US" w:eastAsia="zh-CN"/>
        </w:rPr>
        <w:t>八</w:t>
      </w:r>
      <w:r>
        <w:rPr>
          <w:b/>
          <w:bCs/>
          <w:color w:val="auto"/>
          <w:spacing w:val="-3"/>
          <w:sz w:val="24"/>
          <w:szCs w:val="24"/>
          <w:highlight w:val="none"/>
        </w:rPr>
        <w:t>）商品包装和快递包装承诺格式</w:t>
      </w:r>
      <w:r>
        <w:rPr>
          <w:color w:val="auto"/>
          <w:spacing w:val="-3"/>
          <w:sz w:val="24"/>
          <w:szCs w:val="24"/>
          <w:highlight w:val="none"/>
        </w:rPr>
        <w:t xml:space="preserve"> </w:t>
      </w:r>
      <w:r>
        <w:rPr>
          <w:b/>
          <w:bCs/>
          <w:color w:val="auto"/>
          <w:spacing w:val="-3"/>
          <w:sz w:val="24"/>
          <w:szCs w:val="24"/>
          <w:highlight w:val="none"/>
        </w:rPr>
        <w:t>（如不涉及可不提供）</w:t>
      </w:r>
    </w:p>
    <w:p w14:paraId="77BE6A51">
      <w:pPr>
        <w:pStyle w:val="9"/>
        <w:spacing w:before="305" w:line="219" w:lineRule="auto"/>
        <w:ind w:left="3225"/>
        <w:outlineLvl w:val="3"/>
        <w:rPr>
          <w:b w:val="0"/>
          <w:bCs w:val="0"/>
          <w:color w:val="auto"/>
          <w:sz w:val="24"/>
          <w:szCs w:val="24"/>
          <w:highlight w:val="none"/>
        </w:rPr>
      </w:pPr>
      <w:r>
        <w:rPr>
          <w:b/>
          <w:bCs/>
          <w:color w:val="auto"/>
          <w:spacing w:val="-3"/>
          <w:sz w:val="24"/>
          <w:szCs w:val="24"/>
          <w:highlight w:val="none"/>
        </w:rPr>
        <w:t>商品包装和快递包装承诺</w:t>
      </w:r>
    </w:p>
    <w:p w14:paraId="7E2B6071">
      <w:pPr>
        <w:pStyle w:val="9"/>
        <w:spacing w:before="182" w:line="359" w:lineRule="auto"/>
        <w:ind w:left="10" w:right="97" w:firstLine="480"/>
        <w:jc w:val="both"/>
        <w:rPr>
          <w:color w:val="auto"/>
          <w:spacing w:val="-1"/>
          <w:sz w:val="24"/>
          <w:szCs w:val="24"/>
          <w:highlight w:val="none"/>
        </w:rPr>
      </w:pPr>
      <w:r>
        <w:rPr>
          <w:color w:val="auto"/>
          <w:spacing w:val="-1"/>
          <w:sz w:val="24"/>
          <w:szCs w:val="24"/>
          <w:highlight w:val="none"/>
        </w:rPr>
        <w:t>本</w:t>
      </w:r>
      <w:r>
        <w:rPr>
          <w:rFonts w:hint="eastAsia"/>
          <w:color w:val="auto"/>
          <w:spacing w:val="-1"/>
          <w:sz w:val="24"/>
          <w:szCs w:val="24"/>
          <w:highlight w:val="none"/>
          <w:lang w:val="en-US" w:eastAsia="zh-CN"/>
        </w:rPr>
        <w:t>供应商</w:t>
      </w:r>
      <w:r>
        <w:rPr>
          <w:color w:val="auto"/>
          <w:spacing w:val="-1"/>
          <w:sz w:val="24"/>
          <w:szCs w:val="24"/>
          <w:highlight w:val="none"/>
        </w:rPr>
        <w:t>现参与</w:t>
      </w:r>
      <w:r>
        <w:rPr>
          <w:rFonts w:hint="eastAsia"/>
          <w:color w:val="auto"/>
          <w:spacing w:val="-1"/>
          <w:sz w:val="24"/>
          <w:szCs w:val="24"/>
          <w:highlight w:val="none"/>
          <w:u w:val="single"/>
          <w:lang w:val="en-US" w:eastAsia="zh-CN"/>
        </w:rPr>
        <w:t xml:space="preserve">          </w:t>
      </w:r>
      <w:r>
        <w:rPr>
          <w:color w:val="auto"/>
          <w:spacing w:val="-1"/>
          <w:sz w:val="24"/>
          <w:szCs w:val="24"/>
          <w:highlight w:val="none"/>
        </w:rPr>
        <w:t>项目（项目编号：</w:t>
      </w:r>
      <w:r>
        <w:rPr>
          <w:rFonts w:hint="eastAsia"/>
          <w:color w:val="auto"/>
          <w:spacing w:val="-1"/>
          <w:sz w:val="24"/>
          <w:szCs w:val="24"/>
          <w:highlight w:val="none"/>
          <w:u w:val="single"/>
          <w:lang w:val="en-US" w:eastAsia="zh-CN"/>
        </w:rPr>
        <w:t xml:space="preserve">          </w:t>
      </w:r>
      <w:r>
        <w:rPr>
          <w:color w:val="auto"/>
          <w:spacing w:val="-2"/>
          <w:sz w:val="24"/>
          <w:szCs w:val="24"/>
          <w:highlight w:val="none"/>
        </w:rPr>
        <w:t>）的采购活动，本公司承诺所供商品包装符合《商品包装政府采购需求标准（试行）》，快递包装符合《快</w:t>
      </w:r>
      <w:r>
        <w:rPr>
          <w:color w:val="auto"/>
          <w:spacing w:val="-1"/>
          <w:sz w:val="24"/>
          <w:szCs w:val="24"/>
          <w:highlight w:val="none"/>
        </w:rPr>
        <w:t>递包装政府采购需求标准（试行）》。</w:t>
      </w:r>
    </w:p>
    <w:p w14:paraId="60AB36CF">
      <w:pPr>
        <w:pStyle w:val="9"/>
        <w:spacing w:before="182" w:line="359" w:lineRule="auto"/>
        <w:ind w:left="10" w:right="97" w:firstLine="480"/>
        <w:jc w:val="both"/>
        <w:rPr>
          <w:color w:val="auto"/>
          <w:spacing w:val="-1"/>
          <w:sz w:val="24"/>
          <w:szCs w:val="24"/>
          <w:highlight w:val="none"/>
        </w:rPr>
      </w:pPr>
      <w:r>
        <w:rPr>
          <w:color w:val="auto"/>
          <w:spacing w:val="-1"/>
          <w:sz w:val="24"/>
          <w:szCs w:val="24"/>
          <w:highlight w:val="none"/>
        </w:rPr>
        <w:t>本单位对上述声明的真实性负责。如有虚假，将依法承担相应责任。</w:t>
      </w:r>
    </w:p>
    <w:p w14:paraId="731CDD91">
      <w:pPr>
        <w:pStyle w:val="9"/>
        <w:spacing w:before="182" w:line="359" w:lineRule="auto"/>
        <w:ind w:left="10" w:right="97" w:firstLine="480"/>
        <w:jc w:val="both"/>
        <w:rPr>
          <w:color w:val="auto"/>
          <w:spacing w:val="-1"/>
          <w:sz w:val="24"/>
          <w:szCs w:val="24"/>
          <w:highlight w:val="none"/>
        </w:rPr>
      </w:pPr>
    </w:p>
    <w:p w14:paraId="1DA7E9EF">
      <w:pPr>
        <w:pStyle w:val="7"/>
        <w:ind w:left="4080" w:leftChars="17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6B23B572">
      <w:pPr>
        <w:pStyle w:val="7"/>
        <w:ind w:left="4080" w:leftChars="1700" w:firstLine="480"/>
        <w:rPr>
          <w:rFonts w:cs="宋体"/>
          <w:color w:val="auto"/>
          <w:highlight w:val="none"/>
          <w:u w:val="single"/>
        </w:rPr>
      </w:pPr>
      <w:r>
        <w:rPr>
          <w:rFonts w:hint="eastAsia" w:cs="宋体"/>
          <w:color w:val="auto"/>
          <w:highlight w:val="none"/>
        </w:rPr>
        <w:t>日 期：</w:t>
      </w:r>
      <w:r>
        <w:rPr>
          <w:rFonts w:hint="eastAsia" w:cs="宋体"/>
          <w:color w:val="auto"/>
          <w:highlight w:val="none"/>
          <w:u w:val="single"/>
        </w:rPr>
        <w:t xml:space="preserve">                           </w:t>
      </w:r>
    </w:p>
    <w:p w14:paraId="408A5324">
      <w:pPr>
        <w:pStyle w:val="9"/>
        <w:spacing w:before="182" w:line="359" w:lineRule="auto"/>
        <w:ind w:left="10" w:right="97" w:firstLine="480"/>
        <w:jc w:val="both"/>
        <w:rPr>
          <w:color w:val="auto"/>
          <w:spacing w:val="-1"/>
          <w:sz w:val="24"/>
          <w:szCs w:val="24"/>
          <w:highlight w:val="none"/>
        </w:rPr>
      </w:pPr>
    </w:p>
    <w:p w14:paraId="1F0271BF">
      <w:pPr>
        <w:pStyle w:val="9"/>
        <w:spacing w:before="182" w:line="359" w:lineRule="auto"/>
        <w:ind w:left="10" w:right="97" w:firstLine="480"/>
        <w:jc w:val="both"/>
        <w:rPr>
          <w:color w:val="auto"/>
          <w:spacing w:val="-1"/>
          <w:sz w:val="24"/>
          <w:szCs w:val="24"/>
          <w:highlight w:val="none"/>
        </w:rPr>
      </w:pPr>
    </w:p>
    <w:p w14:paraId="2CC35C9D">
      <w:pPr>
        <w:pStyle w:val="9"/>
        <w:spacing w:before="314" w:line="219" w:lineRule="auto"/>
        <w:ind w:left="19"/>
        <w:outlineLvl w:val="2"/>
        <w:rPr>
          <w:color w:val="auto"/>
          <w:sz w:val="24"/>
          <w:szCs w:val="24"/>
          <w:highlight w:val="none"/>
        </w:rPr>
      </w:pPr>
      <w:bookmarkStart w:id="102" w:name="bookmark28"/>
      <w:bookmarkEnd w:id="102"/>
      <w:r>
        <w:rPr>
          <w:b/>
          <w:bCs/>
          <w:color w:val="auto"/>
          <w:spacing w:val="-3"/>
          <w:sz w:val="24"/>
          <w:szCs w:val="24"/>
          <w:highlight w:val="none"/>
        </w:rPr>
        <w:t>（</w:t>
      </w:r>
      <w:r>
        <w:rPr>
          <w:rFonts w:hint="eastAsia"/>
          <w:b/>
          <w:bCs/>
          <w:color w:val="auto"/>
          <w:spacing w:val="-3"/>
          <w:sz w:val="24"/>
          <w:szCs w:val="24"/>
          <w:highlight w:val="none"/>
          <w:lang w:val="en-US" w:eastAsia="zh-CN"/>
        </w:rPr>
        <w:t>九</w:t>
      </w:r>
      <w:r>
        <w:rPr>
          <w:b/>
          <w:bCs/>
          <w:color w:val="auto"/>
          <w:spacing w:val="-3"/>
          <w:sz w:val="24"/>
          <w:szCs w:val="24"/>
          <w:highlight w:val="none"/>
        </w:rPr>
        <w:t>）符合绿色数据中心建设要求承诺书格式（如不涉及可不提供）</w:t>
      </w:r>
    </w:p>
    <w:p w14:paraId="4BEB2180">
      <w:pPr>
        <w:pStyle w:val="9"/>
        <w:spacing w:before="180" w:line="219" w:lineRule="auto"/>
        <w:ind w:left="2739"/>
        <w:outlineLvl w:val="2"/>
        <w:rPr>
          <w:color w:val="auto"/>
          <w:sz w:val="24"/>
          <w:szCs w:val="24"/>
          <w:highlight w:val="none"/>
        </w:rPr>
      </w:pPr>
      <w:r>
        <w:rPr>
          <w:b/>
          <w:bCs/>
          <w:color w:val="auto"/>
          <w:spacing w:val="-3"/>
          <w:sz w:val="24"/>
          <w:szCs w:val="24"/>
          <w:highlight w:val="none"/>
        </w:rPr>
        <w:t>符合绿色数据中心建设要求承诺书</w:t>
      </w:r>
    </w:p>
    <w:p w14:paraId="0FB5C1C5">
      <w:pPr>
        <w:pStyle w:val="9"/>
        <w:spacing w:before="185" w:line="359" w:lineRule="auto"/>
        <w:ind w:left="12" w:right="8" w:firstLine="477"/>
        <w:jc w:val="both"/>
        <w:rPr>
          <w:color w:val="auto"/>
          <w:sz w:val="24"/>
          <w:szCs w:val="24"/>
          <w:highlight w:val="none"/>
        </w:rPr>
      </w:pPr>
      <w:r>
        <w:rPr>
          <w:color w:val="auto"/>
          <w:spacing w:val="-1"/>
          <w:sz w:val="24"/>
          <w:szCs w:val="24"/>
          <w:highlight w:val="none"/>
        </w:rPr>
        <w:t>本</w:t>
      </w:r>
      <w:r>
        <w:rPr>
          <w:rFonts w:hint="eastAsia"/>
          <w:color w:val="auto"/>
          <w:spacing w:val="-1"/>
          <w:sz w:val="24"/>
          <w:szCs w:val="24"/>
          <w:highlight w:val="none"/>
          <w:lang w:val="en-US" w:eastAsia="zh-CN"/>
        </w:rPr>
        <w:t>供应商</w:t>
      </w:r>
      <w:r>
        <w:rPr>
          <w:color w:val="auto"/>
          <w:spacing w:val="-1"/>
          <w:sz w:val="24"/>
          <w:szCs w:val="24"/>
          <w:highlight w:val="none"/>
        </w:rPr>
        <w:t>现参与</w:t>
      </w:r>
      <w:r>
        <w:rPr>
          <w:rFonts w:hint="eastAsia"/>
          <w:color w:val="auto"/>
          <w:spacing w:val="-1"/>
          <w:sz w:val="24"/>
          <w:szCs w:val="24"/>
          <w:highlight w:val="none"/>
          <w:u w:val="single"/>
          <w:lang w:val="en-US" w:eastAsia="zh-CN"/>
        </w:rPr>
        <w:t xml:space="preserve">          </w:t>
      </w:r>
      <w:r>
        <w:rPr>
          <w:color w:val="auto"/>
          <w:spacing w:val="-1"/>
          <w:sz w:val="24"/>
          <w:szCs w:val="24"/>
          <w:highlight w:val="none"/>
        </w:rPr>
        <w:t>项目（项目编号：</w:t>
      </w:r>
      <w:r>
        <w:rPr>
          <w:rFonts w:hint="eastAsia"/>
          <w:color w:val="auto"/>
          <w:spacing w:val="-1"/>
          <w:sz w:val="24"/>
          <w:szCs w:val="24"/>
          <w:highlight w:val="none"/>
          <w:u w:val="single"/>
          <w:lang w:val="en-US" w:eastAsia="zh-CN"/>
        </w:rPr>
        <w:t xml:space="preserve">          </w:t>
      </w:r>
      <w:r>
        <w:rPr>
          <w:color w:val="auto"/>
          <w:spacing w:val="-2"/>
          <w:sz w:val="24"/>
          <w:szCs w:val="24"/>
          <w:highlight w:val="none"/>
        </w:rPr>
        <w:t>）的采购活动，本公司承诺所提供并完成数据中心建设内容及标准符合绿色数据中心建设有关要求，完全满足或优于项目采购需求。</w:t>
      </w:r>
    </w:p>
    <w:p w14:paraId="5A57E29D">
      <w:pPr>
        <w:pStyle w:val="9"/>
        <w:spacing w:line="218" w:lineRule="auto"/>
        <w:ind w:left="489"/>
        <w:rPr>
          <w:color w:val="auto"/>
          <w:sz w:val="24"/>
          <w:szCs w:val="24"/>
          <w:highlight w:val="none"/>
        </w:rPr>
      </w:pPr>
      <w:r>
        <w:rPr>
          <w:color w:val="auto"/>
          <w:spacing w:val="-1"/>
          <w:sz w:val="24"/>
          <w:szCs w:val="24"/>
          <w:highlight w:val="none"/>
        </w:rPr>
        <w:t>本单位对上述声明的真实性负责。如有虚假，将依法承担相应责任。</w:t>
      </w:r>
    </w:p>
    <w:p w14:paraId="3370CDB2">
      <w:pPr>
        <w:pStyle w:val="9"/>
        <w:spacing w:before="181" w:line="219" w:lineRule="auto"/>
        <w:ind w:left="488"/>
        <w:rPr>
          <w:color w:val="auto"/>
          <w:sz w:val="24"/>
          <w:szCs w:val="24"/>
          <w:highlight w:val="none"/>
        </w:rPr>
      </w:pPr>
      <w:r>
        <w:rPr>
          <w:color w:val="auto"/>
          <w:spacing w:val="-3"/>
          <w:sz w:val="24"/>
          <w:szCs w:val="24"/>
          <w:highlight w:val="none"/>
        </w:rPr>
        <w:t>特此声明</w:t>
      </w:r>
    </w:p>
    <w:p w14:paraId="0E99EEBE">
      <w:pPr>
        <w:pStyle w:val="9"/>
        <w:spacing w:before="182" w:line="359" w:lineRule="auto"/>
        <w:ind w:left="10" w:leftChars="0" w:right="97" w:hanging="10" w:firstLineChars="0"/>
        <w:jc w:val="both"/>
        <w:rPr>
          <w:color w:val="auto"/>
          <w:spacing w:val="-1"/>
          <w:sz w:val="24"/>
          <w:szCs w:val="24"/>
          <w:highlight w:val="none"/>
        </w:rPr>
      </w:pPr>
    </w:p>
    <w:p w14:paraId="66EA56BA">
      <w:pPr>
        <w:pStyle w:val="7"/>
        <w:ind w:left="4080" w:leftChars="17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2736F1F0">
      <w:pPr>
        <w:pStyle w:val="7"/>
        <w:ind w:left="4080" w:leftChars="1700" w:firstLine="480"/>
        <w:rPr>
          <w:rFonts w:cs="宋体"/>
          <w:color w:val="auto"/>
          <w:highlight w:val="none"/>
          <w:u w:val="single"/>
        </w:rPr>
      </w:pPr>
      <w:r>
        <w:rPr>
          <w:rFonts w:hint="eastAsia" w:cs="宋体"/>
          <w:color w:val="auto"/>
          <w:highlight w:val="none"/>
        </w:rPr>
        <w:t>日 期：</w:t>
      </w:r>
      <w:r>
        <w:rPr>
          <w:rFonts w:hint="eastAsia" w:cs="宋体"/>
          <w:color w:val="auto"/>
          <w:highlight w:val="none"/>
          <w:u w:val="single"/>
        </w:rPr>
        <w:t xml:space="preserve">                           </w:t>
      </w:r>
    </w:p>
    <w:p w14:paraId="3EACEF5F">
      <w:pPr>
        <w:pStyle w:val="9"/>
        <w:spacing w:before="182" w:line="359" w:lineRule="auto"/>
        <w:ind w:left="10" w:leftChars="0" w:right="97" w:hanging="10" w:firstLineChars="0"/>
        <w:jc w:val="both"/>
        <w:rPr>
          <w:color w:val="auto"/>
          <w:spacing w:val="-1"/>
          <w:sz w:val="24"/>
          <w:szCs w:val="24"/>
          <w:highlight w:val="none"/>
        </w:rPr>
      </w:pPr>
    </w:p>
    <w:p w14:paraId="46BF83FE">
      <w:pPr>
        <w:pStyle w:val="9"/>
        <w:spacing w:before="182" w:line="359" w:lineRule="auto"/>
        <w:ind w:left="10" w:leftChars="0" w:right="97" w:hanging="10" w:firstLineChars="0"/>
        <w:jc w:val="both"/>
        <w:rPr>
          <w:color w:val="auto"/>
          <w:spacing w:val="-1"/>
          <w:sz w:val="24"/>
          <w:szCs w:val="24"/>
          <w:highlight w:val="none"/>
        </w:rPr>
        <w:sectPr>
          <w:pgSz w:w="11906" w:h="16838"/>
          <w:pgMar w:top="1440" w:right="1440" w:bottom="1440" w:left="1440" w:header="624" w:footer="992" w:gutter="0"/>
          <w:pgNumType w:fmt="decimal"/>
          <w:cols w:space="425" w:num="1"/>
          <w:rtlGutter w:val="0"/>
          <w:docGrid w:type="lines" w:linePitch="312" w:charSpace="0"/>
        </w:sectPr>
      </w:pPr>
    </w:p>
    <w:p w14:paraId="337F7AD5">
      <w:pPr>
        <w:pStyle w:val="9"/>
        <w:spacing w:before="79" w:line="219" w:lineRule="auto"/>
        <w:ind w:left="19"/>
        <w:outlineLvl w:val="2"/>
        <w:rPr>
          <w:color w:val="auto"/>
          <w:sz w:val="24"/>
          <w:szCs w:val="24"/>
          <w:highlight w:val="none"/>
        </w:rPr>
      </w:pPr>
      <w:r>
        <w:rPr>
          <w:b/>
          <w:bCs/>
          <w:color w:val="auto"/>
          <w:spacing w:val="-3"/>
          <w:sz w:val="24"/>
          <w:szCs w:val="24"/>
          <w:highlight w:val="none"/>
        </w:rPr>
        <w:t>（</w:t>
      </w:r>
      <w:r>
        <w:rPr>
          <w:rFonts w:hint="eastAsia"/>
          <w:b/>
          <w:bCs/>
          <w:color w:val="auto"/>
          <w:spacing w:val="-3"/>
          <w:sz w:val="24"/>
          <w:szCs w:val="24"/>
          <w:highlight w:val="none"/>
          <w:lang w:val="en-US" w:eastAsia="zh-CN"/>
        </w:rPr>
        <w:t>十</w:t>
      </w:r>
      <w:r>
        <w:rPr>
          <w:b/>
          <w:bCs/>
          <w:color w:val="auto"/>
          <w:spacing w:val="-3"/>
          <w:sz w:val="24"/>
          <w:szCs w:val="24"/>
          <w:highlight w:val="none"/>
        </w:rPr>
        <w:t>）关于符合本国产品标准的声明函（如不涉及可不提供）</w:t>
      </w:r>
    </w:p>
    <w:p w14:paraId="5EE11176">
      <w:pPr>
        <w:pStyle w:val="9"/>
        <w:spacing w:before="181" w:line="219" w:lineRule="auto"/>
        <w:ind w:left="3100"/>
        <w:rPr>
          <w:color w:val="auto"/>
          <w:sz w:val="24"/>
          <w:szCs w:val="24"/>
          <w:highlight w:val="none"/>
        </w:rPr>
      </w:pPr>
      <w:r>
        <w:rPr>
          <w:b/>
          <w:bCs/>
          <w:color w:val="auto"/>
          <w:spacing w:val="-3"/>
          <w:sz w:val="24"/>
          <w:szCs w:val="24"/>
          <w:highlight w:val="none"/>
        </w:rPr>
        <w:t>关于符合本国产品标准的声明函</w:t>
      </w:r>
    </w:p>
    <w:p w14:paraId="0DE5876C">
      <w:pPr>
        <w:pStyle w:val="9"/>
        <w:spacing w:before="185" w:line="354" w:lineRule="auto"/>
        <w:ind w:left="10" w:right="8" w:firstLine="479"/>
        <w:jc w:val="both"/>
        <w:rPr>
          <w:color w:val="auto"/>
          <w:sz w:val="24"/>
          <w:szCs w:val="24"/>
          <w:highlight w:val="none"/>
        </w:rPr>
      </w:pPr>
      <w:r>
        <w:rPr>
          <w:color w:val="auto"/>
          <w:spacing w:val="-2"/>
          <w:sz w:val="24"/>
          <w:szCs w:val="24"/>
          <w:highlight w:val="none"/>
        </w:rPr>
        <w:t>本公司（单位）郑重声明，根据《国务院办公厅关于在政府采购中实施本国产品标</w:t>
      </w:r>
      <w:r>
        <w:rPr>
          <w:color w:val="auto"/>
          <w:spacing w:val="-3"/>
          <w:sz w:val="24"/>
          <w:szCs w:val="24"/>
          <w:highlight w:val="none"/>
        </w:rPr>
        <w:t>准及相关政策的通知》（国办发〔2025〕34</w:t>
      </w:r>
      <w:r>
        <w:rPr>
          <w:color w:val="auto"/>
          <w:spacing w:val="-45"/>
          <w:sz w:val="24"/>
          <w:szCs w:val="24"/>
          <w:highlight w:val="none"/>
        </w:rPr>
        <w:t xml:space="preserve"> </w:t>
      </w:r>
      <w:r>
        <w:rPr>
          <w:color w:val="auto"/>
          <w:spacing w:val="-3"/>
          <w:sz w:val="24"/>
          <w:szCs w:val="24"/>
          <w:highlight w:val="none"/>
        </w:rPr>
        <w:t>号）的规定，</w:t>
      </w:r>
      <w:r>
        <w:rPr>
          <w:color w:val="auto"/>
          <w:spacing w:val="-4"/>
          <w:sz w:val="24"/>
          <w:szCs w:val="24"/>
          <w:highlight w:val="none"/>
        </w:rPr>
        <w:t>本公司（单位）提供的以下产</w:t>
      </w:r>
      <w:r>
        <w:rPr>
          <w:color w:val="auto"/>
          <w:spacing w:val="-1"/>
          <w:sz w:val="24"/>
          <w:szCs w:val="24"/>
          <w:highlight w:val="none"/>
        </w:rPr>
        <w:t>品属于本国产品。具体情况如下：</w:t>
      </w:r>
    </w:p>
    <w:p w14:paraId="1DF541B3">
      <w:pPr>
        <w:pStyle w:val="9"/>
        <w:spacing w:before="2" w:line="317" w:lineRule="auto"/>
        <w:ind w:left="30" w:right="8" w:firstLine="475"/>
        <w:rPr>
          <w:color w:val="auto"/>
          <w:sz w:val="24"/>
          <w:szCs w:val="24"/>
          <w:highlight w:val="none"/>
        </w:rPr>
      </w:pPr>
      <w:r>
        <w:rPr>
          <w:color w:val="auto"/>
          <w:spacing w:val="-5"/>
          <w:sz w:val="24"/>
          <w:szCs w:val="24"/>
          <w:highlight w:val="none"/>
        </w:rPr>
        <w:t>1.</w:t>
      </w:r>
      <w:r>
        <w:rPr>
          <w:color w:val="auto"/>
          <w:spacing w:val="-5"/>
          <w:sz w:val="24"/>
          <w:szCs w:val="24"/>
          <w:highlight w:val="none"/>
          <w:u w:val="single" w:color="auto"/>
        </w:rPr>
        <w:t>（产品名称</w:t>
      </w:r>
      <w:r>
        <w:rPr>
          <w:color w:val="auto"/>
          <w:spacing w:val="-27"/>
          <w:sz w:val="24"/>
          <w:szCs w:val="24"/>
          <w:highlight w:val="none"/>
          <w:u w:val="single" w:color="auto"/>
        </w:rPr>
        <w:t xml:space="preserve"> </w:t>
      </w:r>
      <w:r>
        <w:rPr>
          <w:color w:val="auto"/>
          <w:spacing w:val="-5"/>
          <w:sz w:val="24"/>
          <w:szCs w:val="24"/>
          <w:highlight w:val="none"/>
          <w:u w:val="single" w:color="auto"/>
        </w:rPr>
        <w:t>1）</w:t>
      </w:r>
      <w:r>
        <w:rPr>
          <w:color w:val="auto"/>
          <w:spacing w:val="-5"/>
          <w:position w:val="12"/>
          <w:sz w:val="12"/>
          <w:szCs w:val="12"/>
          <w:highlight w:val="none"/>
        </w:rPr>
        <w:t>1</w:t>
      </w:r>
      <w:r>
        <w:rPr>
          <w:color w:val="auto"/>
          <w:spacing w:val="-31"/>
          <w:position w:val="12"/>
          <w:sz w:val="12"/>
          <w:szCs w:val="12"/>
          <w:highlight w:val="none"/>
        </w:rPr>
        <w:t xml:space="preserve"> </w:t>
      </w:r>
      <w:r>
        <w:rPr>
          <w:color w:val="auto"/>
          <w:spacing w:val="-5"/>
          <w:sz w:val="24"/>
          <w:szCs w:val="24"/>
          <w:highlight w:val="none"/>
        </w:rPr>
        <w:t>，生产厂为</w:t>
      </w:r>
      <w:r>
        <w:rPr>
          <w:color w:val="auto"/>
          <w:spacing w:val="-5"/>
          <w:sz w:val="24"/>
          <w:szCs w:val="24"/>
          <w:highlight w:val="none"/>
          <w:u w:val="single" w:color="auto"/>
        </w:rPr>
        <w:t>（厂名）</w:t>
      </w:r>
      <w:r>
        <w:rPr>
          <w:color w:val="auto"/>
          <w:spacing w:val="-5"/>
          <w:position w:val="12"/>
          <w:sz w:val="12"/>
          <w:szCs w:val="12"/>
          <w:highlight w:val="none"/>
        </w:rPr>
        <w:t>2</w:t>
      </w:r>
      <w:r>
        <w:rPr>
          <w:color w:val="auto"/>
          <w:spacing w:val="-31"/>
          <w:position w:val="12"/>
          <w:sz w:val="12"/>
          <w:szCs w:val="12"/>
          <w:highlight w:val="none"/>
        </w:rPr>
        <w:t xml:space="preserve"> </w:t>
      </w:r>
      <w:r>
        <w:rPr>
          <w:color w:val="auto"/>
          <w:spacing w:val="-5"/>
          <w:sz w:val="24"/>
          <w:szCs w:val="24"/>
          <w:highlight w:val="none"/>
        </w:rPr>
        <w:t>，厂址为</w:t>
      </w:r>
      <w:r>
        <w:rPr>
          <w:color w:val="auto"/>
          <w:spacing w:val="-5"/>
          <w:sz w:val="24"/>
          <w:szCs w:val="24"/>
          <w:highlight w:val="none"/>
          <w:u w:val="single" w:color="auto"/>
        </w:rPr>
        <w:t>（生产厂址）</w:t>
      </w:r>
      <w:r>
        <w:rPr>
          <w:color w:val="auto"/>
          <w:spacing w:val="-5"/>
          <w:sz w:val="24"/>
          <w:szCs w:val="24"/>
          <w:highlight w:val="none"/>
        </w:rPr>
        <w:t>。</w:t>
      </w:r>
      <w:r>
        <w:rPr>
          <w:color w:val="auto"/>
          <w:spacing w:val="-5"/>
          <w:sz w:val="24"/>
          <w:szCs w:val="24"/>
          <w:highlight w:val="none"/>
          <w:u w:val="single" w:color="auto"/>
        </w:rPr>
        <w:t>（产品名称</w:t>
      </w:r>
      <w:r>
        <w:rPr>
          <w:color w:val="auto"/>
          <w:spacing w:val="-33"/>
          <w:sz w:val="24"/>
          <w:szCs w:val="24"/>
          <w:highlight w:val="none"/>
          <w:u w:val="single" w:color="auto"/>
        </w:rPr>
        <w:t xml:space="preserve"> </w:t>
      </w:r>
      <w:r>
        <w:rPr>
          <w:color w:val="auto"/>
          <w:spacing w:val="-5"/>
          <w:sz w:val="24"/>
          <w:szCs w:val="24"/>
          <w:highlight w:val="none"/>
          <w:u w:val="single" w:color="auto"/>
        </w:rPr>
        <w:t>1）</w:t>
      </w:r>
      <w:r>
        <w:rPr>
          <w:color w:val="auto"/>
          <w:spacing w:val="-5"/>
          <w:sz w:val="24"/>
          <w:szCs w:val="24"/>
          <w:highlight w:val="none"/>
        </w:rPr>
        <w:t>的</w:t>
      </w:r>
      <w:r>
        <w:rPr>
          <w:color w:val="auto"/>
          <w:spacing w:val="-3"/>
          <w:sz w:val="24"/>
          <w:szCs w:val="24"/>
          <w:highlight w:val="none"/>
        </w:rPr>
        <w:t>中国境内生产的组件成本占比≥</w:t>
      </w:r>
      <w:r>
        <w:rPr>
          <w:color w:val="auto"/>
          <w:spacing w:val="-3"/>
          <w:sz w:val="24"/>
          <w:szCs w:val="24"/>
          <w:highlight w:val="none"/>
          <w:u w:val="single" w:color="auto"/>
        </w:rPr>
        <w:t>（规定比例）</w:t>
      </w:r>
      <w:r>
        <w:rPr>
          <w:color w:val="auto"/>
          <w:spacing w:val="-3"/>
          <w:position w:val="11"/>
          <w:sz w:val="12"/>
          <w:szCs w:val="12"/>
          <w:highlight w:val="none"/>
        </w:rPr>
        <w:t>3</w:t>
      </w:r>
      <w:r>
        <w:rPr>
          <w:color w:val="auto"/>
          <w:spacing w:val="-12"/>
          <w:position w:val="11"/>
          <w:sz w:val="12"/>
          <w:szCs w:val="12"/>
          <w:highlight w:val="none"/>
        </w:rPr>
        <w:t xml:space="preserve"> </w:t>
      </w:r>
      <w:r>
        <w:rPr>
          <w:color w:val="auto"/>
          <w:spacing w:val="-3"/>
          <w:sz w:val="24"/>
          <w:szCs w:val="24"/>
          <w:highlight w:val="none"/>
        </w:rPr>
        <w:t>。</w:t>
      </w:r>
      <w:r>
        <w:rPr>
          <w:color w:val="auto"/>
          <w:spacing w:val="-3"/>
          <w:sz w:val="24"/>
          <w:szCs w:val="24"/>
          <w:highlight w:val="none"/>
          <w:u w:val="single" w:color="auto"/>
        </w:rPr>
        <w:t>（产品名称</w:t>
      </w:r>
      <w:r>
        <w:rPr>
          <w:color w:val="auto"/>
          <w:spacing w:val="-33"/>
          <w:sz w:val="24"/>
          <w:szCs w:val="24"/>
          <w:highlight w:val="none"/>
          <w:u w:val="single" w:color="auto"/>
        </w:rPr>
        <w:t xml:space="preserve"> </w:t>
      </w:r>
      <w:r>
        <w:rPr>
          <w:color w:val="auto"/>
          <w:spacing w:val="-3"/>
          <w:sz w:val="24"/>
          <w:szCs w:val="24"/>
          <w:highlight w:val="none"/>
          <w:u w:val="single" w:color="auto"/>
        </w:rPr>
        <w:t>1）</w:t>
      </w:r>
      <w:r>
        <w:rPr>
          <w:color w:val="auto"/>
          <w:spacing w:val="-3"/>
          <w:sz w:val="24"/>
          <w:szCs w:val="24"/>
          <w:highlight w:val="none"/>
        </w:rPr>
        <w:t>的</w:t>
      </w:r>
      <w:r>
        <w:rPr>
          <w:color w:val="auto"/>
          <w:spacing w:val="-3"/>
          <w:sz w:val="24"/>
          <w:szCs w:val="24"/>
          <w:highlight w:val="none"/>
          <w:u w:val="single" w:color="auto"/>
        </w:rPr>
        <w:t>（关键组件）</w:t>
      </w:r>
      <w:r>
        <w:rPr>
          <w:color w:val="auto"/>
          <w:spacing w:val="-3"/>
          <w:position w:val="11"/>
          <w:sz w:val="12"/>
          <w:szCs w:val="12"/>
          <w:highlight w:val="none"/>
        </w:rPr>
        <w:t>4</w:t>
      </w:r>
      <w:r>
        <w:rPr>
          <w:color w:val="auto"/>
          <w:spacing w:val="-20"/>
          <w:position w:val="11"/>
          <w:sz w:val="12"/>
          <w:szCs w:val="12"/>
          <w:highlight w:val="none"/>
        </w:rPr>
        <w:t xml:space="preserve"> </w:t>
      </w:r>
      <w:r>
        <w:rPr>
          <w:color w:val="auto"/>
          <w:spacing w:val="-3"/>
          <w:sz w:val="24"/>
          <w:szCs w:val="24"/>
          <w:highlight w:val="none"/>
        </w:rPr>
        <w:t>在中国境内生产。</w:t>
      </w:r>
      <w:r>
        <w:rPr>
          <w:color w:val="auto"/>
          <w:spacing w:val="-3"/>
          <w:sz w:val="24"/>
          <w:szCs w:val="24"/>
          <w:highlight w:val="none"/>
          <w:u w:val="single" w:color="auto"/>
        </w:rPr>
        <w:t>（产品名称</w:t>
      </w:r>
      <w:r>
        <w:rPr>
          <w:color w:val="auto"/>
          <w:spacing w:val="-15"/>
          <w:sz w:val="24"/>
          <w:szCs w:val="24"/>
          <w:highlight w:val="none"/>
          <w:u w:val="single" w:color="auto"/>
        </w:rPr>
        <w:t xml:space="preserve"> </w:t>
      </w:r>
      <w:r>
        <w:rPr>
          <w:color w:val="auto"/>
          <w:spacing w:val="-3"/>
          <w:sz w:val="24"/>
          <w:szCs w:val="24"/>
          <w:highlight w:val="none"/>
          <w:u w:val="single" w:color="auto"/>
        </w:rPr>
        <w:t>1）</w:t>
      </w:r>
      <w:r>
        <w:rPr>
          <w:color w:val="auto"/>
          <w:spacing w:val="-3"/>
          <w:sz w:val="24"/>
          <w:szCs w:val="24"/>
          <w:highlight w:val="none"/>
        </w:rPr>
        <w:t>的</w:t>
      </w:r>
      <w:r>
        <w:rPr>
          <w:color w:val="auto"/>
          <w:spacing w:val="-3"/>
          <w:sz w:val="24"/>
          <w:szCs w:val="24"/>
          <w:highlight w:val="none"/>
          <w:u w:val="single" w:color="auto"/>
        </w:rPr>
        <w:t>（关键工序）</w:t>
      </w:r>
      <w:r>
        <w:rPr>
          <w:color w:val="auto"/>
          <w:spacing w:val="-3"/>
          <w:position w:val="12"/>
          <w:sz w:val="12"/>
          <w:szCs w:val="12"/>
          <w:highlight w:val="none"/>
        </w:rPr>
        <w:t>5</w:t>
      </w:r>
      <w:r>
        <w:rPr>
          <w:color w:val="auto"/>
          <w:spacing w:val="-20"/>
          <w:position w:val="12"/>
          <w:sz w:val="12"/>
          <w:szCs w:val="12"/>
          <w:highlight w:val="none"/>
        </w:rPr>
        <w:t xml:space="preserve"> </w:t>
      </w:r>
      <w:r>
        <w:rPr>
          <w:color w:val="auto"/>
          <w:spacing w:val="-3"/>
          <w:sz w:val="24"/>
          <w:szCs w:val="24"/>
          <w:highlight w:val="none"/>
        </w:rPr>
        <w:t>在中国境内完成。</w:t>
      </w:r>
    </w:p>
    <w:p w14:paraId="3C6152F7">
      <w:pPr>
        <w:pStyle w:val="9"/>
        <w:spacing w:before="183" w:line="312" w:lineRule="auto"/>
        <w:ind w:left="9" w:right="20" w:firstLine="481"/>
        <w:rPr>
          <w:color w:val="auto"/>
          <w:sz w:val="24"/>
          <w:szCs w:val="24"/>
          <w:highlight w:val="none"/>
        </w:rPr>
      </w:pPr>
      <w:r>
        <w:rPr>
          <w:color w:val="auto"/>
          <w:spacing w:val="-2"/>
          <w:sz w:val="24"/>
          <w:szCs w:val="24"/>
          <w:highlight w:val="none"/>
        </w:rPr>
        <w:t>2.</w:t>
      </w:r>
      <w:r>
        <w:rPr>
          <w:color w:val="auto"/>
          <w:spacing w:val="-2"/>
          <w:sz w:val="24"/>
          <w:szCs w:val="24"/>
          <w:highlight w:val="none"/>
          <w:u w:val="single" w:color="auto"/>
        </w:rPr>
        <w:t>（产品名称</w:t>
      </w:r>
      <w:r>
        <w:rPr>
          <w:color w:val="auto"/>
          <w:spacing w:val="-48"/>
          <w:sz w:val="24"/>
          <w:szCs w:val="24"/>
          <w:highlight w:val="none"/>
          <w:u w:val="single" w:color="auto"/>
        </w:rPr>
        <w:t xml:space="preserve"> </w:t>
      </w:r>
      <w:r>
        <w:rPr>
          <w:color w:val="auto"/>
          <w:spacing w:val="-2"/>
          <w:sz w:val="24"/>
          <w:szCs w:val="24"/>
          <w:highlight w:val="none"/>
          <w:u w:val="single" w:color="auto"/>
        </w:rPr>
        <w:t>2</w:t>
      </w:r>
      <w:r>
        <w:rPr>
          <w:color w:val="auto"/>
          <w:spacing w:val="7"/>
          <w:sz w:val="24"/>
          <w:szCs w:val="24"/>
          <w:highlight w:val="none"/>
          <w:u w:val="single" w:color="auto"/>
        </w:rPr>
        <w:t>）</w:t>
      </w:r>
      <w:r>
        <w:rPr>
          <w:color w:val="auto"/>
          <w:spacing w:val="7"/>
          <w:sz w:val="24"/>
          <w:szCs w:val="24"/>
          <w:highlight w:val="none"/>
        </w:rPr>
        <w:t>，</w:t>
      </w:r>
      <w:r>
        <w:rPr>
          <w:color w:val="auto"/>
          <w:spacing w:val="-2"/>
          <w:sz w:val="24"/>
          <w:szCs w:val="24"/>
          <w:highlight w:val="none"/>
        </w:rPr>
        <w:t>生产厂为</w:t>
      </w:r>
      <w:r>
        <w:rPr>
          <w:color w:val="auto"/>
          <w:spacing w:val="-2"/>
          <w:sz w:val="24"/>
          <w:szCs w:val="24"/>
          <w:highlight w:val="none"/>
          <w:u w:val="single" w:color="auto"/>
        </w:rPr>
        <w:t>（厂名</w:t>
      </w:r>
      <w:r>
        <w:rPr>
          <w:color w:val="auto"/>
          <w:spacing w:val="7"/>
          <w:sz w:val="24"/>
          <w:szCs w:val="24"/>
          <w:highlight w:val="none"/>
          <w:u w:val="single" w:color="auto"/>
        </w:rPr>
        <w:t>）</w:t>
      </w:r>
      <w:r>
        <w:rPr>
          <w:color w:val="auto"/>
          <w:spacing w:val="7"/>
          <w:sz w:val="24"/>
          <w:szCs w:val="24"/>
          <w:highlight w:val="none"/>
        </w:rPr>
        <w:t>，</w:t>
      </w:r>
      <w:r>
        <w:rPr>
          <w:color w:val="auto"/>
          <w:spacing w:val="-2"/>
          <w:sz w:val="24"/>
          <w:szCs w:val="24"/>
          <w:highlight w:val="none"/>
        </w:rPr>
        <w:t>厂址为</w:t>
      </w:r>
      <w:r>
        <w:rPr>
          <w:color w:val="auto"/>
          <w:spacing w:val="-2"/>
          <w:sz w:val="24"/>
          <w:szCs w:val="24"/>
          <w:highlight w:val="none"/>
          <w:u w:val="single" w:color="auto"/>
        </w:rPr>
        <w:t>（生产厂址）</w:t>
      </w:r>
      <w:r>
        <w:rPr>
          <w:color w:val="auto"/>
          <w:spacing w:val="-2"/>
          <w:sz w:val="24"/>
          <w:szCs w:val="24"/>
          <w:highlight w:val="none"/>
        </w:rPr>
        <w:t>。</w:t>
      </w:r>
      <w:r>
        <w:rPr>
          <w:color w:val="auto"/>
          <w:spacing w:val="-2"/>
          <w:sz w:val="24"/>
          <w:szCs w:val="24"/>
          <w:highlight w:val="none"/>
          <w:u w:val="single" w:color="auto"/>
        </w:rPr>
        <w:t>（产品名称</w:t>
      </w:r>
      <w:r>
        <w:rPr>
          <w:color w:val="auto"/>
          <w:spacing w:val="-48"/>
          <w:sz w:val="24"/>
          <w:szCs w:val="24"/>
          <w:highlight w:val="none"/>
          <w:u w:val="single" w:color="auto"/>
        </w:rPr>
        <w:t xml:space="preserve"> </w:t>
      </w:r>
      <w:r>
        <w:rPr>
          <w:color w:val="auto"/>
          <w:spacing w:val="-2"/>
          <w:sz w:val="24"/>
          <w:szCs w:val="24"/>
          <w:highlight w:val="none"/>
          <w:u w:val="single" w:color="auto"/>
        </w:rPr>
        <w:t>2）</w:t>
      </w:r>
      <w:r>
        <w:rPr>
          <w:color w:val="auto"/>
          <w:spacing w:val="-2"/>
          <w:sz w:val="24"/>
          <w:szCs w:val="24"/>
          <w:highlight w:val="none"/>
        </w:rPr>
        <w:t>的</w:t>
      </w:r>
      <w:r>
        <w:rPr>
          <w:color w:val="auto"/>
          <w:spacing w:val="-1"/>
          <w:sz w:val="24"/>
          <w:szCs w:val="24"/>
          <w:highlight w:val="none"/>
        </w:rPr>
        <w:t>中国境内生产的组件成本占比≥</w:t>
      </w:r>
      <w:r>
        <w:rPr>
          <w:color w:val="auto"/>
          <w:spacing w:val="-1"/>
          <w:sz w:val="24"/>
          <w:szCs w:val="24"/>
          <w:highlight w:val="none"/>
          <w:u w:val="single" w:color="auto"/>
        </w:rPr>
        <w:t>（规定比例）</w:t>
      </w:r>
      <w:r>
        <w:rPr>
          <w:color w:val="auto"/>
          <w:spacing w:val="-1"/>
          <w:sz w:val="24"/>
          <w:szCs w:val="24"/>
          <w:highlight w:val="none"/>
        </w:rPr>
        <w:t>。</w:t>
      </w:r>
      <w:r>
        <w:rPr>
          <w:color w:val="auto"/>
          <w:spacing w:val="-1"/>
          <w:sz w:val="24"/>
          <w:szCs w:val="24"/>
          <w:highlight w:val="none"/>
          <w:u w:val="single" w:color="auto"/>
        </w:rPr>
        <w:t>（产品名称</w:t>
      </w:r>
      <w:r>
        <w:rPr>
          <w:color w:val="auto"/>
          <w:spacing w:val="-34"/>
          <w:sz w:val="24"/>
          <w:szCs w:val="24"/>
          <w:highlight w:val="none"/>
          <w:u w:val="single" w:color="auto"/>
        </w:rPr>
        <w:t xml:space="preserve"> </w:t>
      </w:r>
      <w:r>
        <w:rPr>
          <w:color w:val="auto"/>
          <w:spacing w:val="-1"/>
          <w:sz w:val="24"/>
          <w:szCs w:val="24"/>
          <w:highlight w:val="none"/>
          <w:u w:val="single" w:color="auto"/>
        </w:rPr>
        <w:t>2）</w:t>
      </w:r>
      <w:r>
        <w:rPr>
          <w:color w:val="auto"/>
          <w:spacing w:val="-1"/>
          <w:sz w:val="24"/>
          <w:szCs w:val="24"/>
          <w:highlight w:val="none"/>
        </w:rPr>
        <w:t>的</w:t>
      </w:r>
      <w:r>
        <w:rPr>
          <w:color w:val="auto"/>
          <w:spacing w:val="-1"/>
          <w:sz w:val="24"/>
          <w:szCs w:val="24"/>
          <w:highlight w:val="none"/>
          <w:u w:val="single" w:color="auto"/>
        </w:rPr>
        <w:t>（关键组件）</w:t>
      </w:r>
      <w:r>
        <w:rPr>
          <w:color w:val="auto"/>
          <w:spacing w:val="-1"/>
          <w:sz w:val="24"/>
          <w:szCs w:val="24"/>
          <w:highlight w:val="none"/>
        </w:rPr>
        <w:t>在中国境内生产。</w:t>
      </w:r>
      <w:r>
        <w:rPr>
          <w:color w:val="auto"/>
          <w:spacing w:val="-1"/>
          <w:sz w:val="24"/>
          <w:szCs w:val="24"/>
          <w:highlight w:val="none"/>
          <w:u w:val="single" w:color="auto"/>
        </w:rPr>
        <w:t>（产品名称</w:t>
      </w:r>
      <w:r>
        <w:rPr>
          <w:color w:val="auto"/>
          <w:spacing w:val="-45"/>
          <w:sz w:val="24"/>
          <w:szCs w:val="24"/>
          <w:highlight w:val="none"/>
          <w:u w:val="single" w:color="auto"/>
        </w:rPr>
        <w:t xml:space="preserve"> </w:t>
      </w:r>
      <w:r>
        <w:rPr>
          <w:color w:val="auto"/>
          <w:spacing w:val="-1"/>
          <w:sz w:val="24"/>
          <w:szCs w:val="24"/>
          <w:highlight w:val="none"/>
          <w:u w:val="single" w:color="auto"/>
        </w:rPr>
        <w:t>2）</w:t>
      </w:r>
      <w:r>
        <w:rPr>
          <w:color w:val="auto"/>
          <w:spacing w:val="-1"/>
          <w:sz w:val="24"/>
          <w:szCs w:val="24"/>
          <w:highlight w:val="none"/>
        </w:rPr>
        <w:t>的</w:t>
      </w:r>
      <w:r>
        <w:rPr>
          <w:color w:val="auto"/>
          <w:spacing w:val="-1"/>
          <w:sz w:val="24"/>
          <w:szCs w:val="24"/>
          <w:highlight w:val="none"/>
          <w:u w:val="single" w:color="auto"/>
        </w:rPr>
        <w:t>（关键工序）</w:t>
      </w:r>
      <w:r>
        <w:rPr>
          <w:color w:val="auto"/>
          <w:spacing w:val="-1"/>
          <w:sz w:val="24"/>
          <w:szCs w:val="24"/>
          <w:highlight w:val="none"/>
        </w:rPr>
        <w:t>在中国境内完成。</w:t>
      </w:r>
    </w:p>
    <w:p w14:paraId="4604250B">
      <w:pPr>
        <w:pStyle w:val="9"/>
        <w:spacing w:before="182" w:line="378" w:lineRule="exact"/>
        <w:ind w:left="503"/>
        <w:rPr>
          <w:color w:val="auto"/>
          <w:sz w:val="24"/>
          <w:szCs w:val="24"/>
          <w:highlight w:val="none"/>
        </w:rPr>
      </w:pPr>
      <w:r>
        <w:rPr>
          <w:color w:val="auto"/>
          <w:spacing w:val="-13"/>
          <w:position w:val="3"/>
          <w:sz w:val="24"/>
          <w:szCs w:val="24"/>
          <w:highlight w:val="none"/>
        </w:rPr>
        <w:t>……</w:t>
      </w:r>
    </w:p>
    <w:p w14:paraId="05B70C59">
      <w:pPr>
        <w:pStyle w:val="9"/>
        <w:spacing w:before="88" w:line="219" w:lineRule="auto"/>
        <w:jc w:val="right"/>
        <w:rPr>
          <w:color w:val="auto"/>
          <w:sz w:val="24"/>
          <w:szCs w:val="24"/>
          <w:highlight w:val="none"/>
        </w:rPr>
      </w:pPr>
      <w:r>
        <w:rPr>
          <w:color w:val="auto"/>
          <w:spacing w:val="-1"/>
          <w:sz w:val="24"/>
          <w:szCs w:val="24"/>
          <w:highlight w:val="none"/>
        </w:rPr>
        <w:t>本公司（单位）对上述声明内容的真实性负责</w:t>
      </w:r>
      <w:r>
        <w:rPr>
          <w:color w:val="auto"/>
          <w:spacing w:val="-2"/>
          <w:sz w:val="24"/>
          <w:szCs w:val="24"/>
          <w:highlight w:val="none"/>
        </w:rPr>
        <w:t>。如有虚假，愿承担相应法律责任。</w:t>
      </w:r>
    </w:p>
    <w:p w14:paraId="496E0240">
      <w:pPr>
        <w:spacing w:line="423" w:lineRule="auto"/>
        <w:rPr>
          <w:rFonts w:ascii="Arial"/>
          <w:color w:val="auto"/>
          <w:sz w:val="21"/>
          <w:highlight w:val="none"/>
        </w:rPr>
      </w:pPr>
    </w:p>
    <w:p w14:paraId="79D5B4C3">
      <w:pPr>
        <w:spacing w:line="423" w:lineRule="auto"/>
        <w:rPr>
          <w:rFonts w:ascii="Arial"/>
          <w:color w:val="auto"/>
          <w:sz w:val="21"/>
          <w:highlight w:val="none"/>
        </w:rPr>
      </w:pPr>
    </w:p>
    <w:p w14:paraId="58D05F25">
      <w:pPr>
        <w:pStyle w:val="9"/>
        <w:spacing w:before="66" w:line="219" w:lineRule="auto"/>
        <w:ind w:left="5391"/>
        <w:rPr>
          <w:color w:val="auto"/>
          <w:sz w:val="24"/>
          <w:szCs w:val="24"/>
          <w:highlight w:val="none"/>
        </w:rPr>
      </w:pPr>
      <w:r>
        <w:rPr>
          <w:color w:val="auto"/>
          <w:spacing w:val="-2"/>
          <w:sz w:val="24"/>
          <w:szCs w:val="24"/>
          <w:highlight w:val="none"/>
        </w:rPr>
        <w:t>公司（单位）名称（盖章</w:t>
      </w:r>
      <w:r>
        <w:rPr>
          <w:color w:val="auto"/>
          <w:spacing w:val="2"/>
          <w:sz w:val="24"/>
          <w:szCs w:val="24"/>
          <w:highlight w:val="none"/>
        </w:rPr>
        <w:t>）：</w:t>
      </w:r>
    </w:p>
    <w:p w14:paraId="73733A4F">
      <w:pPr>
        <w:spacing w:line="284" w:lineRule="auto"/>
        <w:rPr>
          <w:rFonts w:ascii="Arial"/>
          <w:color w:val="auto"/>
          <w:sz w:val="21"/>
          <w:highlight w:val="none"/>
        </w:rPr>
      </w:pPr>
    </w:p>
    <w:p w14:paraId="695DCE35">
      <w:pPr>
        <w:pStyle w:val="9"/>
        <w:spacing w:before="78" w:line="219" w:lineRule="auto"/>
        <w:ind w:left="5449"/>
        <w:outlineLvl w:val="1"/>
        <w:rPr>
          <w:color w:val="auto"/>
          <w:sz w:val="24"/>
          <w:szCs w:val="24"/>
          <w:highlight w:val="none"/>
        </w:rPr>
      </w:pPr>
      <w:r>
        <w:rPr>
          <w:color w:val="auto"/>
          <w:spacing w:val="-13"/>
          <w:sz w:val="24"/>
          <w:szCs w:val="24"/>
          <w:highlight w:val="none"/>
        </w:rPr>
        <w:t>日期：</w:t>
      </w:r>
      <w:r>
        <w:rPr>
          <w:color w:val="auto"/>
          <w:spacing w:val="1"/>
          <w:sz w:val="24"/>
          <w:szCs w:val="24"/>
          <w:highlight w:val="none"/>
        </w:rPr>
        <w:t xml:space="preserve">       </w:t>
      </w:r>
      <w:r>
        <w:rPr>
          <w:color w:val="auto"/>
          <w:spacing w:val="-13"/>
          <w:sz w:val="24"/>
          <w:szCs w:val="24"/>
          <w:highlight w:val="none"/>
        </w:rPr>
        <w:t>年</w:t>
      </w:r>
      <w:r>
        <w:rPr>
          <w:color w:val="auto"/>
          <w:spacing w:val="4"/>
          <w:sz w:val="24"/>
          <w:szCs w:val="24"/>
          <w:highlight w:val="none"/>
        </w:rPr>
        <w:t xml:space="preserve">    </w:t>
      </w:r>
      <w:r>
        <w:rPr>
          <w:color w:val="auto"/>
          <w:spacing w:val="-13"/>
          <w:sz w:val="24"/>
          <w:szCs w:val="24"/>
          <w:highlight w:val="none"/>
        </w:rPr>
        <w:t>月</w:t>
      </w:r>
      <w:r>
        <w:rPr>
          <w:color w:val="auto"/>
          <w:spacing w:val="13"/>
          <w:sz w:val="24"/>
          <w:szCs w:val="24"/>
          <w:highlight w:val="none"/>
        </w:rPr>
        <w:t xml:space="preserve">    </w:t>
      </w:r>
      <w:r>
        <w:rPr>
          <w:color w:val="auto"/>
          <w:spacing w:val="-13"/>
          <w:sz w:val="24"/>
          <w:szCs w:val="24"/>
          <w:highlight w:val="none"/>
        </w:rPr>
        <w:t>日</w:t>
      </w:r>
    </w:p>
    <w:p w14:paraId="44095028">
      <w:pPr>
        <w:spacing w:line="423" w:lineRule="auto"/>
        <w:rPr>
          <w:rFonts w:ascii="Arial"/>
          <w:color w:val="auto"/>
          <w:sz w:val="21"/>
          <w:highlight w:val="none"/>
        </w:rPr>
      </w:pPr>
    </w:p>
    <w:p w14:paraId="36B3B1FB">
      <w:pPr>
        <w:spacing w:line="423" w:lineRule="auto"/>
        <w:rPr>
          <w:rFonts w:ascii="Arial"/>
          <w:color w:val="auto"/>
          <w:sz w:val="21"/>
          <w:highlight w:val="none"/>
        </w:rPr>
      </w:pPr>
    </w:p>
    <w:p w14:paraId="3DAC257E">
      <w:pPr>
        <w:pStyle w:val="9"/>
        <w:spacing w:before="65" w:line="228" w:lineRule="auto"/>
        <w:ind w:left="442"/>
        <w:rPr>
          <w:color w:val="auto"/>
          <w:sz w:val="20"/>
          <w:szCs w:val="20"/>
          <w:highlight w:val="none"/>
        </w:rPr>
      </w:pPr>
      <w:r>
        <w:rPr>
          <w:color w:val="auto"/>
          <w:spacing w:val="6"/>
          <w:sz w:val="20"/>
          <w:szCs w:val="20"/>
          <w:highlight w:val="none"/>
        </w:rPr>
        <w:t>1.产品如有型号，请在“产品名称</w:t>
      </w:r>
      <w:r>
        <w:rPr>
          <w:color w:val="auto"/>
          <w:spacing w:val="-54"/>
          <w:sz w:val="20"/>
          <w:szCs w:val="20"/>
          <w:highlight w:val="none"/>
        </w:rPr>
        <w:t xml:space="preserve"> </w:t>
      </w:r>
      <w:r>
        <w:rPr>
          <w:color w:val="auto"/>
          <w:spacing w:val="6"/>
          <w:sz w:val="20"/>
          <w:szCs w:val="20"/>
          <w:highlight w:val="none"/>
        </w:rPr>
        <w:t>”栏一并填写。</w:t>
      </w:r>
    </w:p>
    <w:p w14:paraId="5A058C0B">
      <w:pPr>
        <w:pStyle w:val="9"/>
        <w:spacing w:before="161" w:line="228" w:lineRule="auto"/>
        <w:ind w:left="429"/>
        <w:rPr>
          <w:color w:val="auto"/>
          <w:sz w:val="20"/>
          <w:szCs w:val="20"/>
          <w:highlight w:val="none"/>
        </w:rPr>
      </w:pPr>
      <w:r>
        <w:rPr>
          <w:color w:val="auto"/>
          <w:spacing w:val="9"/>
          <w:sz w:val="20"/>
          <w:szCs w:val="20"/>
          <w:highlight w:val="none"/>
        </w:rPr>
        <w:t>2.生产厂名与厂址应与生产厂营业执照载明的相关信息保持一</w:t>
      </w:r>
      <w:r>
        <w:rPr>
          <w:color w:val="auto"/>
          <w:spacing w:val="8"/>
          <w:sz w:val="20"/>
          <w:szCs w:val="20"/>
          <w:highlight w:val="none"/>
        </w:rPr>
        <w:t>致。</w:t>
      </w:r>
    </w:p>
    <w:p w14:paraId="5DF5D69D">
      <w:pPr>
        <w:pStyle w:val="9"/>
        <w:spacing w:before="161" w:line="227" w:lineRule="auto"/>
        <w:ind w:left="431"/>
        <w:rPr>
          <w:color w:val="auto"/>
          <w:sz w:val="20"/>
          <w:szCs w:val="20"/>
          <w:highlight w:val="none"/>
        </w:rPr>
      </w:pPr>
      <w:r>
        <w:rPr>
          <w:color w:val="auto"/>
          <w:spacing w:val="8"/>
          <w:sz w:val="20"/>
          <w:szCs w:val="20"/>
          <w:highlight w:val="none"/>
        </w:rPr>
        <w:t>3.该产品的中国境内生产的组件成本占比相关要求实施前，“规定比例</w:t>
      </w:r>
      <w:r>
        <w:rPr>
          <w:color w:val="auto"/>
          <w:spacing w:val="-53"/>
          <w:sz w:val="20"/>
          <w:szCs w:val="20"/>
          <w:highlight w:val="none"/>
        </w:rPr>
        <w:t xml:space="preserve"> </w:t>
      </w:r>
      <w:r>
        <w:rPr>
          <w:color w:val="auto"/>
          <w:spacing w:val="8"/>
          <w:sz w:val="20"/>
          <w:szCs w:val="20"/>
          <w:highlight w:val="none"/>
        </w:rPr>
        <w:t>”栏可不填，下同。</w:t>
      </w:r>
    </w:p>
    <w:p w14:paraId="2364758A">
      <w:pPr>
        <w:pStyle w:val="9"/>
        <w:spacing w:before="162" w:line="228" w:lineRule="auto"/>
        <w:ind w:left="426"/>
        <w:rPr>
          <w:color w:val="auto"/>
          <w:sz w:val="20"/>
          <w:szCs w:val="20"/>
          <w:highlight w:val="none"/>
        </w:rPr>
      </w:pPr>
      <w:r>
        <w:rPr>
          <w:color w:val="auto"/>
          <w:spacing w:val="8"/>
          <w:sz w:val="20"/>
          <w:szCs w:val="20"/>
          <w:highlight w:val="none"/>
        </w:rPr>
        <w:t>4.该产品的关键组件要求实施前，“关键组件</w:t>
      </w:r>
      <w:r>
        <w:rPr>
          <w:color w:val="auto"/>
          <w:spacing w:val="-69"/>
          <w:sz w:val="20"/>
          <w:szCs w:val="20"/>
          <w:highlight w:val="none"/>
        </w:rPr>
        <w:t xml:space="preserve"> </w:t>
      </w:r>
      <w:r>
        <w:rPr>
          <w:color w:val="auto"/>
          <w:spacing w:val="8"/>
          <w:sz w:val="20"/>
          <w:szCs w:val="20"/>
          <w:highlight w:val="none"/>
        </w:rPr>
        <w:t>”栏可不填，下同。</w:t>
      </w:r>
    </w:p>
    <w:p w14:paraId="7824766D">
      <w:pPr>
        <w:pStyle w:val="9"/>
        <w:spacing w:before="163" w:line="228" w:lineRule="auto"/>
        <w:ind w:left="431"/>
        <w:rPr>
          <w:color w:val="auto"/>
          <w:sz w:val="20"/>
          <w:szCs w:val="20"/>
          <w:highlight w:val="none"/>
        </w:rPr>
      </w:pPr>
      <w:r>
        <w:rPr>
          <w:color w:val="auto"/>
          <w:spacing w:val="8"/>
          <w:sz w:val="20"/>
          <w:szCs w:val="20"/>
          <w:highlight w:val="none"/>
        </w:rPr>
        <w:t>5.该产品的关键工序要求实施前，“关键工序</w:t>
      </w:r>
      <w:r>
        <w:rPr>
          <w:color w:val="auto"/>
          <w:spacing w:val="-70"/>
          <w:sz w:val="20"/>
          <w:szCs w:val="20"/>
          <w:highlight w:val="none"/>
        </w:rPr>
        <w:t xml:space="preserve"> </w:t>
      </w:r>
      <w:r>
        <w:rPr>
          <w:color w:val="auto"/>
          <w:spacing w:val="8"/>
          <w:sz w:val="20"/>
          <w:szCs w:val="20"/>
          <w:highlight w:val="none"/>
        </w:rPr>
        <w:t>”栏可不填</w:t>
      </w:r>
      <w:r>
        <w:rPr>
          <w:color w:val="auto"/>
          <w:spacing w:val="7"/>
          <w:sz w:val="20"/>
          <w:szCs w:val="20"/>
          <w:highlight w:val="none"/>
        </w:rPr>
        <w:t>，下同。</w:t>
      </w:r>
    </w:p>
    <w:p w14:paraId="0D7818AF">
      <w:pPr>
        <w:pStyle w:val="9"/>
        <w:spacing w:before="182" w:line="359" w:lineRule="auto"/>
        <w:ind w:left="10" w:leftChars="0" w:right="97" w:hanging="10" w:firstLineChars="0"/>
        <w:jc w:val="both"/>
        <w:rPr>
          <w:color w:val="auto"/>
          <w:spacing w:val="-1"/>
          <w:sz w:val="24"/>
          <w:szCs w:val="24"/>
          <w:highlight w:val="none"/>
        </w:rPr>
        <w:sectPr>
          <w:pgSz w:w="11906" w:h="16838"/>
          <w:pgMar w:top="1440" w:right="1440" w:bottom="1440" w:left="1440" w:header="624" w:footer="992" w:gutter="0"/>
          <w:pgNumType w:fmt="decimal"/>
          <w:cols w:space="425" w:num="1"/>
          <w:rtlGutter w:val="0"/>
          <w:docGrid w:type="lines" w:linePitch="312" w:charSpace="0"/>
        </w:sectPr>
      </w:pPr>
    </w:p>
    <w:p w14:paraId="4D283237">
      <w:pPr>
        <w:pStyle w:val="4"/>
        <w:rPr>
          <w:rFonts w:cs="宋体"/>
          <w:color w:val="auto"/>
          <w:highlight w:val="none"/>
        </w:rPr>
      </w:pPr>
      <w:r>
        <w:rPr>
          <w:rFonts w:hint="eastAsia" w:cs="宋体"/>
          <w:color w:val="auto"/>
          <w:highlight w:val="none"/>
        </w:rPr>
        <w:t>9.本项目的特定资格要求证明材料</w:t>
      </w:r>
    </w:p>
    <w:p w14:paraId="1D3F9CE5">
      <w:pPr>
        <w:pStyle w:val="7"/>
        <w:ind w:firstLine="480"/>
        <w:rPr>
          <w:rFonts w:cs="宋体"/>
          <w:color w:val="auto"/>
          <w:highlight w:val="none"/>
        </w:rPr>
      </w:pPr>
    </w:p>
    <w:p w14:paraId="5680F6FF">
      <w:pPr>
        <w:rPr>
          <w:rFonts w:cs="宋体"/>
          <w:color w:val="auto"/>
          <w:highlight w:val="none"/>
        </w:rPr>
      </w:pPr>
    </w:p>
    <w:p w14:paraId="5768D835">
      <w:pPr>
        <w:rPr>
          <w:rFonts w:cs="宋体"/>
          <w:color w:val="auto"/>
          <w:highlight w:val="none"/>
        </w:rPr>
        <w:sectPr>
          <w:pgSz w:w="11906" w:h="16838"/>
          <w:pgMar w:top="1440" w:right="1440" w:bottom="1440" w:left="1440" w:header="624" w:footer="992" w:gutter="0"/>
          <w:pgNumType w:fmt="decimal"/>
          <w:cols w:space="425" w:num="1"/>
          <w:rtlGutter w:val="0"/>
          <w:docGrid w:type="lines" w:linePitch="312" w:charSpace="0"/>
        </w:sectPr>
      </w:pPr>
    </w:p>
    <w:p w14:paraId="5038B0C2">
      <w:pPr>
        <w:pStyle w:val="4"/>
        <w:rPr>
          <w:rFonts w:cs="宋体"/>
          <w:color w:val="auto"/>
          <w:highlight w:val="none"/>
        </w:rPr>
      </w:pPr>
      <w:r>
        <w:rPr>
          <w:rFonts w:hint="eastAsia" w:cs="宋体"/>
          <w:color w:val="auto"/>
          <w:highlight w:val="none"/>
        </w:rPr>
        <w:t>10.具备法律、行政法规规定的其他条件证明文件（如有）</w:t>
      </w:r>
    </w:p>
    <w:p w14:paraId="2DE42596">
      <w:pPr>
        <w:rPr>
          <w:color w:val="auto"/>
          <w:highlight w:val="none"/>
        </w:rPr>
      </w:pPr>
    </w:p>
    <w:p w14:paraId="55CA61C1">
      <w:pPr>
        <w:rPr>
          <w:rFonts w:cs="宋体"/>
          <w:color w:val="auto"/>
          <w:highlight w:val="none"/>
        </w:rPr>
      </w:pPr>
      <w:r>
        <w:rPr>
          <w:rFonts w:hint="eastAsia" w:cs="宋体"/>
          <w:color w:val="auto"/>
          <w:highlight w:val="none"/>
        </w:rPr>
        <w:br w:type="page"/>
      </w:r>
    </w:p>
    <w:p w14:paraId="69F90C8A">
      <w:pPr>
        <w:pStyle w:val="3"/>
        <w:ind w:firstLine="0" w:firstLineChars="0"/>
        <w:jc w:val="center"/>
        <w:rPr>
          <w:rFonts w:cs="宋体"/>
          <w:color w:val="auto"/>
          <w:highlight w:val="none"/>
        </w:rPr>
      </w:pPr>
      <w:r>
        <w:rPr>
          <w:rFonts w:hint="eastAsia" w:cs="宋体"/>
          <w:color w:val="auto"/>
          <w:highlight w:val="none"/>
        </w:rPr>
        <w:t>商务、技术文件</w:t>
      </w:r>
    </w:p>
    <w:p w14:paraId="1C4C7658">
      <w:pPr>
        <w:pStyle w:val="4"/>
        <w:rPr>
          <w:rFonts w:cs="宋体"/>
          <w:color w:val="auto"/>
          <w:highlight w:val="none"/>
        </w:rPr>
      </w:pPr>
      <w:r>
        <w:rPr>
          <w:rFonts w:hint="eastAsia" w:cs="宋体"/>
          <w:color w:val="auto"/>
          <w:highlight w:val="none"/>
        </w:rPr>
        <w:t>1.法定代表人（负责人）身份证明书格式</w:t>
      </w:r>
    </w:p>
    <w:p w14:paraId="69A2FFEC">
      <w:pPr>
        <w:snapToGrid w:val="0"/>
        <w:ind w:left="482" w:hanging="482" w:hangingChars="200"/>
        <w:jc w:val="center"/>
        <w:rPr>
          <w:rFonts w:cs="宋体"/>
          <w:b/>
          <w:color w:val="auto"/>
          <w:szCs w:val="24"/>
          <w:highlight w:val="none"/>
        </w:rPr>
      </w:pPr>
    </w:p>
    <w:p w14:paraId="3693D07D">
      <w:pPr>
        <w:jc w:val="center"/>
        <w:rPr>
          <w:rFonts w:cs="宋体"/>
          <w:color w:val="auto"/>
          <w:highlight w:val="none"/>
        </w:rPr>
      </w:pPr>
      <w:r>
        <w:rPr>
          <w:rFonts w:hint="eastAsia" w:cs="宋体"/>
          <w:color w:val="auto"/>
          <w:highlight w:val="none"/>
        </w:rPr>
        <w:t>法定代表人（负责人）身份证明书</w:t>
      </w:r>
    </w:p>
    <w:p w14:paraId="34CF9AFD">
      <w:pPr>
        <w:rPr>
          <w:rFonts w:cs="宋体"/>
          <w:color w:val="auto"/>
          <w:highlight w:val="none"/>
        </w:rPr>
      </w:pPr>
      <w:r>
        <w:rPr>
          <w:rFonts w:hint="eastAsia" w:cs="宋体"/>
          <w:color w:val="auto"/>
          <w:highlight w:val="none"/>
        </w:rPr>
        <w:t>单位名称：</w:t>
      </w:r>
      <w:r>
        <w:rPr>
          <w:rFonts w:hint="eastAsia" w:cs="宋体"/>
          <w:color w:val="auto"/>
          <w:highlight w:val="none"/>
          <w:u w:val="single"/>
        </w:rPr>
        <w:t xml:space="preserve">                                           </w:t>
      </w:r>
    </w:p>
    <w:p w14:paraId="6AD20A5A">
      <w:pPr>
        <w:rPr>
          <w:rFonts w:cs="宋体"/>
          <w:color w:val="auto"/>
          <w:highlight w:val="none"/>
        </w:rPr>
      </w:pPr>
      <w:r>
        <w:rPr>
          <w:rFonts w:hint="eastAsia" w:cs="宋体"/>
          <w:color w:val="auto"/>
          <w:highlight w:val="none"/>
        </w:rPr>
        <w:t>单位性质：</w:t>
      </w:r>
      <w:r>
        <w:rPr>
          <w:rFonts w:hint="eastAsia" w:cs="宋体"/>
          <w:color w:val="auto"/>
          <w:highlight w:val="none"/>
          <w:u w:val="single"/>
        </w:rPr>
        <w:t xml:space="preserve">                                           </w:t>
      </w:r>
    </w:p>
    <w:p w14:paraId="0E4BDA0B">
      <w:pPr>
        <w:rPr>
          <w:rFonts w:cs="宋体"/>
          <w:color w:val="auto"/>
          <w:highlight w:val="none"/>
        </w:rPr>
      </w:pPr>
      <w:r>
        <w:rPr>
          <w:rFonts w:hint="eastAsia" w:cs="宋体"/>
          <w:color w:val="auto"/>
          <w:highlight w:val="none"/>
        </w:rPr>
        <w:t>地    址：</w:t>
      </w:r>
      <w:r>
        <w:rPr>
          <w:rFonts w:hint="eastAsia" w:cs="宋体"/>
          <w:color w:val="auto"/>
          <w:highlight w:val="none"/>
          <w:u w:val="single"/>
        </w:rPr>
        <w:t xml:space="preserve">                                           </w:t>
      </w:r>
    </w:p>
    <w:p w14:paraId="44D4C4A9">
      <w:pPr>
        <w:rPr>
          <w:rFonts w:cs="宋体"/>
          <w:color w:val="auto"/>
          <w:highlight w:val="none"/>
        </w:rPr>
      </w:pPr>
      <w:r>
        <w:rPr>
          <w:rFonts w:hint="eastAsia" w:cs="宋体"/>
          <w:color w:val="auto"/>
          <w:highlight w:val="none"/>
        </w:rPr>
        <w:t>成立时间：</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1A6A1CE6">
      <w:pPr>
        <w:rPr>
          <w:rFonts w:cs="宋体"/>
          <w:color w:val="auto"/>
          <w:highlight w:val="none"/>
        </w:rPr>
      </w:pPr>
      <w:r>
        <w:rPr>
          <w:rFonts w:hint="eastAsia" w:cs="宋体"/>
          <w:color w:val="auto"/>
          <w:highlight w:val="none"/>
        </w:rPr>
        <w:t>经营期限：</w:t>
      </w:r>
      <w:r>
        <w:rPr>
          <w:rFonts w:hint="eastAsia" w:cs="宋体"/>
          <w:color w:val="auto"/>
          <w:highlight w:val="none"/>
          <w:u w:val="single"/>
        </w:rPr>
        <w:t xml:space="preserve">                                           </w:t>
      </w:r>
    </w:p>
    <w:p w14:paraId="1F337183">
      <w:pPr>
        <w:rPr>
          <w:rFonts w:cs="宋体"/>
          <w:color w:val="auto"/>
          <w:highlight w:val="none"/>
        </w:rPr>
      </w:pPr>
      <w:r>
        <w:rPr>
          <w:rFonts w:hint="eastAsia" w:cs="宋体"/>
          <w:color w:val="auto"/>
          <w:highlight w:val="none"/>
        </w:rPr>
        <w:t>姓    名：</w:t>
      </w:r>
      <w:r>
        <w:rPr>
          <w:rFonts w:hint="eastAsia" w:cs="宋体"/>
          <w:color w:val="auto"/>
          <w:highlight w:val="none"/>
          <w:u w:val="single"/>
        </w:rPr>
        <w:t xml:space="preserve">            </w:t>
      </w:r>
      <w:r>
        <w:rPr>
          <w:rFonts w:hint="eastAsia" w:cs="宋体"/>
          <w:color w:val="auto"/>
          <w:highlight w:val="none"/>
        </w:rPr>
        <w:t xml:space="preserve">  性  别：</w:t>
      </w:r>
      <w:r>
        <w:rPr>
          <w:rFonts w:hint="eastAsia" w:cs="宋体"/>
          <w:color w:val="auto"/>
          <w:highlight w:val="none"/>
          <w:u w:val="single"/>
        </w:rPr>
        <w:t xml:space="preserve">                     </w:t>
      </w:r>
    </w:p>
    <w:p w14:paraId="12A4B53D">
      <w:pPr>
        <w:rPr>
          <w:rFonts w:cs="宋体"/>
          <w:color w:val="auto"/>
          <w:highlight w:val="none"/>
        </w:rPr>
      </w:pPr>
      <w:r>
        <w:rPr>
          <w:rFonts w:hint="eastAsia" w:cs="宋体"/>
          <w:color w:val="auto"/>
          <w:highlight w:val="none"/>
        </w:rPr>
        <w:t>年    龄：</w:t>
      </w:r>
      <w:r>
        <w:rPr>
          <w:rFonts w:hint="eastAsia" w:cs="宋体"/>
          <w:color w:val="auto"/>
          <w:highlight w:val="none"/>
          <w:u w:val="single"/>
        </w:rPr>
        <w:t xml:space="preserve">            </w:t>
      </w:r>
      <w:r>
        <w:rPr>
          <w:rFonts w:hint="eastAsia" w:cs="宋体"/>
          <w:color w:val="auto"/>
          <w:highlight w:val="none"/>
        </w:rPr>
        <w:t xml:space="preserve">  职  务：</w:t>
      </w:r>
      <w:r>
        <w:rPr>
          <w:rFonts w:hint="eastAsia" w:cs="宋体"/>
          <w:color w:val="auto"/>
          <w:highlight w:val="none"/>
          <w:u w:val="single"/>
        </w:rPr>
        <w:t xml:space="preserve">                     </w:t>
      </w:r>
    </w:p>
    <w:p w14:paraId="605458AD">
      <w:pPr>
        <w:rPr>
          <w:rFonts w:cs="宋体"/>
          <w:color w:val="auto"/>
          <w:highlight w:val="none"/>
        </w:rPr>
      </w:pPr>
      <w:r>
        <w:rPr>
          <w:rFonts w:hint="eastAsia" w:cs="宋体"/>
          <w:color w:val="auto"/>
          <w:highlight w:val="none"/>
        </w:rPr>
        <w:t>系</w:t>
      </w:r>
      <w:r>
        <w:rPr>
          <w:rFonts w:hint="eastAsia" w:cs="宋体"/>
          <w:color w:val="auto"/>
          <w:highlight w:val="none"/>
          <w:u w:val="single"/>
        </w:rPr>
        <w:t xml:space="preserve">       （供应商名称）</w:t>
      </w:r>
      <w:r>
        <w:rPr>
          <w:rFonts w:hint="eastAsia" w:cs="宋体"/>
          <w:color w:val="auto"/>
          <w:highlight w:val="none"/>
        </w:rPr>
        <w:t>的法定代表人。</w:t>
      </w:r>
    </w:p>
    <w:p w14:paraId="765B35DA">
      <w:pPr>
        <w:rPr>
          <w:rFonts w:cs="宋体"/>
          <w:color w:val="auto"/>
          <w:highlight w:val="none"/>
        </w:rPr>
      </w:pPr>
    </w:p>
    <w:p w14:paraId="1BD74984">
      <w:pPr>
        <w:pStyle w:val="7"/>
        <w:ind w:firstLine="480"/>
        <w:rPr>
          <w:rFonts w:cs="宋体"/>
          <w:color w:val="auto"/>
          <w:highlight w:val="none"/>
        </w:rPr>
      </w:pPr>
      <w:r>
        <w:rPr>
          <w:rFonts w:hint="eastAsia" w:cs="宋体"/>
          <w:color w:val="auto"/>
          <w:highlight w:val="none"/>
        </w:rPr>
        <w:t>特此证明。</w:t>
      </w:r>
    </w:p>
    <w:p w14:paraId="7D9BD1E0">
      <w:pPr>
        <w:rPr>
          <w:rFonts w:cs="宋体"/>
          <w:color w:val="auto"/>
          <w:highlight w:val="none"/>
        </w:rPr>
      </w:pPr>
    </w:p>
    <w:p w14:paraId="4B4442FD">
      <w:pPr>
        <w:pStyle w:val="7"/>
        <w:ind w:left="2640" w:leftChars="11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27545743">
      <w:pPr>
        <w:pStyle w:val="7"/>
        <w:ind w:left="2640" w:leftChars="1100" w:firstLine="480"/>
        <w:rPr>
          <w:rFonts w:cs="宋体"/>
          <w:color w:val="auto"/>
          <w:highlight w:val="none"/>
        </w:rPr>
      </w:pPr>
      <w:r>
        <w:rPr>
          <w:rFonts w:hint="eastAsia" w:cs="宋体"/>
          <w:color w:val="auto"/>
          <w:highlight w:val="none"/>
        </w:rPr>
        <w:t>法定代表人或供应商代表(签字）：</w:t>
      </w:r>
      <w:r>
        <w:rPr>
          <w:rFonts w:hint="eastAsia" w:cs="宋体"/>
          <w:color w:val="auto"/>
          <w:highlight w:val="none"/>
          <w:u w:val="single"/>
        </w:rPr>
        <w:t xml:space="preserve">              </w:t>
      </w:r>
    </w:p>
    <w:p w14:paraId="05754EAB">
      <w:pPr>
        <w:pStyle w:val="7"/>
        <w:ind w:left="2640" w:leftChars="1100" w:firstLine="480"/>
        <w:rPr>
          <w:rFonts w:cs="宋体"/>
          <w:color w:val="auto"/>
          <w:highlight w:val="none"/>
        </w:rPr>
      </w:pPr>
      <w:r>
        <w:rPr>
          <w:rFonts w:hint="eastAsia" w:cs="宋体"/>
          <w:color w:val="auto"/>
          <w:highlight w:val="none"/>
        </w:rPr>
        <w:t>日 期：</w:t>
      </w:r>
      <w:r>
        <w:rPr>
          <w:rFonts w:hint="eastAsia" w:cs="宋体"/>
          <w:color w:val="auto"/>
          <w:highlight w:val="none"/>
          <w:u w:val="single"/>
        </w:rPr>
        <w:t xml:space="preserve">                                      </w:t>
      </w:r>
    </w:p>
    <w:p w14:paraId="64025093">
      <w:pPr>
        <w:rPr>
          <w:rFonts w:cs="宋体"/>
          <w:color w:val="auto"/>
          <w:highlight w:val="none"/>
        </w:rPr>
      </w:pPr>
    </w:p>
    <w:p w14:paraId="60EB3C78">
      <w:pPr>
        <w:rPr>
          <w:rFonts w:cs="宋体"/>
          <w:color w:val="auto"/>
          <w:highlight w:val="none"/>
        </w:rPr>
      </w:pPr>
    </w:p>
    <w:p w14:paraId="2B37FEBA">
      <w:pPr>
        <w:rPr>
          <w:rFonts w:cs="宋体"/>
          <w:color w:val="auto"/>
          <w:highlight w:val="none"/>
        </w:rPr>
      </w:pPr>
      <w:r>
        <w:rPr>
          <w:rFonts w:hint="eastAsia" w:cs="宋体"/>
          <w:color w:val="auto"/>
          <w:highlight w:val="none"/>
        </w:rPr>
        <w:t>附法定代表人（负责人）身份证明正反面扫描件或影印件。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B76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7AD179CC">
            <w:pPr>
              <w:rPr>
                <w:rFonts w:cs="宋体"/>
                <w:color w:val="auto"/>
                <w:szCs w:val="24"/>
                <w:highlight w:val="none"/>
              </w:rPr>
            </w:pPr>
          </w:p>
        </w:tc>
        <w:tc>
          <w:tcPr>
            <w:tcW w:w="4615" w:type="dxa"/>
          </w:tcPr>
          <w:p w14:paraId="0D87FDF7">
            <w:pPr>
              <w:rPr>
                <w:rFonts w:cs="宋体"/>
                <w:color w:val="auto"/>
                <w:szCs w:val="24"/>
                <w:highlight w:val="none"/>
              </w:rPr>
            </w:pPr>
          </w:p>
        </w:tc>
      </w:tr>
    </w:tbl>
    <w:p w14:paraId="0CF1816F">
      <w:pPr>
        <w:rPr>
          <w:rFonts w:cs="宋体"/>
          <w:b/>
          <w:color w:val="auto"/>
          <w:szCs w:val="24"/>
          <w:highlight w:val="none"/>
        </w:rPr>
      </w:pPr>
      <w:r>
        <w:rPr>
          <w:rFonts w:hint="eastAsia" w:cs="宋体"/>
          <w:b/>
          <w:color w:val="auto"/>
          <w:szCs w:val="24"/>
          <w:highlight w:val="none"/>
        </w:rPr>
        <w:br w:type="page"/>
      </w:r>
    </w:p>
    <w:p w14:paraId="27D6EAF0">
      <w:pPr>
        <w:pStyle w:val="4"/>
        <w:rPr>
          <w:rFonts w:cs="宋体"/>
          <w:color w:val="auto"/>
          <w:highlight w:val="none"/>
        </w:rPr>
      </w:pPr>
      <w:r>
        <w:rPr>
          <w:rFonts w:hint="eastAsia" w:cs="宋体"/>
          <w:color w:val="auto"/>
          <w:highlight w:val="none"/>
        </w:rPr>
        <w:t>2.法定代表人（负责人）授权委托书格式</w:t>
      </w:r>
    </w:p>
    <w:p w14:paraId="05A98847">
      <w:pPr>
        <w:rPr>
          <w:color w:val="auto"/>
          <w:highlight w:val="none"/>
        </w:rPr>
      </w:pPr>
    </w:p>
    <w:p w14:paraId="13D26D07">
      <w:pPr>
        <w:snapToGrid w:val="0"/>
        <w:ind w:left="480" w:hanging="480" w:hangingChars="200"/>
        <w:jc w:val="center"/>
        <w:rPr>
          <w:rFonts w:cs="宋体"/>
          <w:bCs/>
          <w:color w:val="auto"/>
          <w:szCs w:val="24"/>
          <w:highlight w:val="none"/>
        </w:rPr>
      </w:pPr>
      <w:r>
        <w:rPr>
          <w:rFonts w:hint="eastAsia" w:cs="宋体"/>
          <w:bCs/>
          <w:color w:val="auto"/>
          <w:szCs w:val="24"/>
          <w:highlight w:val="none"/>
        </w:rPr>
        <w:t>法定代表人（负责人）授权委托书</w:t>
      </w:r>
    </w:p>
    <w:p w14:paraId="52CADDBF">
      <w:pPr>
        <w:rPr>
          <w:rFonts w:cs="宋体"/>
          <w:color w:val="auto"/>
          <w:highlight w:val="none"/>
        </w:rPr>
      </w:pPr>
      <w:r>
        <w:rPr>
          <w:rFonts w:hint="eastAsia" w:cs="宋体"/>
          <w:color w:val="auto"/>
          <w:highlight w:val="none"/>
          <w:u w:val="single"/>
        </w:rPr>
        <w:t xml:space="preserve">              </w:t>
      </w:r>
      <w:r>
        <w:rPr>
          <w:rFonts w:hint="eastAsia" w:cs="宋体"/>
          <w:color w:val="auto"/>
          <w:highlight w:val="none"/>
        </w:rPr>
        <w:t>（代理机构名称）：</w:t>
      </w:r>
    </w:p>
    <w:p w14:paraId="5746CEEC">
      <w:pPr>
        <w:pStyle w:val="7"/>
        <w:ind w:firstLine="480"/>
        <w:rPr>
          <w:rFonts w:cs="宋体"/>
          <w:color w:val="auto"/>
          <w:highlight w:val="none"/>
        </w:rPr>
      </w:pPr>
      <w:r>
        <w:rPr>
          <w:rFonts w:hint="eastAsia" w:cs="宋体"/>
          <w:color w:val="auto"/>
          <w:highlight w:val="none"/>
        </w:rPr>
        <w:t>本授权书声明：注册于</w:t>
      </w:r>
      <w:r>
        <w:rPr>
          <w:rFonts w:hint="eastAsia" w:cs="宋体"/>
          <w:color w:val="auto"/>
          <w:highlight w:val="none"/>
          <w:u w:val="single"/>
        </w:rPr>
        <w:t xml:space="preserve">             </w:t>
      </w:r>
      <w:r>
        <w:rPr>
          <w:rFonts w:hint="eastAsia" w:cs="宋体"/>
          <w:color w:val="auto"/>
          <w:highlight w:val="none"/>
        </w:rPr>
        <w:t>（供应商住址）的</w:t>
      </w:r>
      <w:r>
        <w:rPr>
          <w:rFonts w:hint="eastAsia" w:cs="宋体"/>
          <w:color w:val="auto"/>
          <w:highlight w:val="none"/>
          <w:u w:val="single"/>
        </w:rPr>
        <w:t xml:space="preserve">            </w:t>
      </w:r>
      <w:r>
        <w:rPr>
          <w:rFonts w:hint="eastAsia" w:cs="宋体"/>
          <w:color w:val="auto"/>
          <w:highlight w:val="none"/>
        </w:rPr>
        <w:t>（供应商名称）法定代表人</w:t>
      </w:r>
      <w:r>
        <w:rPr>
          <w:rFonts w:hint="eastAsia" w:cs="宋体"/>
          <w:color w:val="auto"/>
          <w:highlight w:val="none"/>
          <w:u w:val="single"/>
        </w:rPr>
        <w:t xml:space="preserve">            </w:t>
      </w:r>
      <w:r>
        <w:rPr>
          <w:rFonts w:hint="eastAsia" w:cs="宋体"/>
          <w:color w:val="auto"/>
          <w:highlight w:val="none"/>
        </w:rPr>
        <w:t>（法定代表人姓名、职务）代表本公司授权</w:t>
      </w:r>
      <w:r>
        <w:rPr>
          <w:rFonts w:hint="eastAsia" w:cs="宋体"/>
          <w:color w:val="auto"/>
          <w:highlight w:val="none"/>
          <w:u w:val="single"/>
        </w:rPr>
        <w:t xml:space="preserve">           </w:t>
      </w:r>
      <w:r>
        <w:rPr>
          <w:rFonts w:hint="eastAsia" w:cs="宋体"/>
          <w:color w:val="auto"/>
          <w:highlight w:val="none"/>
        </w:rPr>
        <w:t>（被授权人姓名、职务）为本公司的合法代理人，就贵方组织的</w:t>
      </w:r>
      <w:r>
        <w:rPr>
          <w:rFonts w:hint="eastAsia" w:cs="宋体"/>
          <w:color w:val="auto"/>
          <w:highlight w:val="none"/>
          <w:u w:val="single"/>
        </w:rPr>
        <w:t xml:space="preserve">               </w:t>
      </w:r>
      <w:r>
        <w:rPr>
          <w:rFonts w:hint="eastAsia" w:cs="宋体"/>
          <w:color w:val="auto"/>
          <w:highlight w:val="none"/>
        </w:rPr>
        <w:t>项目，项目编号：</w:t>
      </w:r>
      <w:r>
        <w:rPr>
          <w:rFonts w:hint="eastAsia" w:cs="宋体"/>
          <w:color w:val="auto"/>
          <w:highlight w:val="none"/>
          <w:u w:val="single"/>
        </w:rPr>
        <w:t xml:space="preserve">               </w:t>
      </w:r>
      <w:r>
        <w:rPr>
          <w:rFonts w:hint="eastAsia" w:cs="宋体"/>
          <w:color w:val="auto"/>
          <w:highlight w:val="none"/>
        </w:rPr>
        <w:t>，以本公司名义处理一切与之有关的事务。</w:t>
      </w:r>
    </w:p>
    <w:p w14:paraId="588C8976">
      <w:pPr>
        <w:pStyle w:val="7"/>
        <w:ind w:firstLine="480"/>
        <w:rPr>
          <w:rFonts w:cs="宋体"/>
          <w:color w:val="auto"/>
          <w:highlight w:val="none"/>
        </w:rPr>
      </w:pPr>
      <w:r>
        <w:rPr>
          <w:rFonts w:hint="eastAsia" w:cs="宋体"/>
          <w:color w:val="auto"/>
          <w:highlight w:val="none"/>
        </w:rPr>
        <w:t>本授权书于</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日起生效。</w:t>
      </w:r>
    </w:p>
    <w:p w14:paraId="08D79CCC">
      <w:pPr>
        <w:pStyle w:val="7"/>
        <w:ind w:firstLine="480"/>
        <w:rPr>
          <w:rFonts w:cs="宋体"/>
          <w:color w:val="auto"/>
          <w:highlight w:val="none"/>
        </w:rPr>
      </w:pPr>
    </w:p>
    <w:p w14:paraId="06112677">
      <w:pPr>
        <w:pStyle w:val="7"/>
        <w:ind w:firstLine="480"/>
        <w:rPr>
          <w:rFonts w:cs="宋体"/>
          <w:color w:val="auto"/>
          <w:highlight w:val="none"/>
        </w:rPr>
      </w:pPr>
      <w:r>
        <w:rPr>
          <w:rFonts w:hint="eastAsia" w:cs="宋体"/>
          <w:color w:val="auto"/>
          <w:highlight w:val="none"/>
        </w:rPr>
        <w:t>特此声明</w:t>
      </w:r>
    </w:p>
    <w:p w14:paraId="1CD5DC64">
      <w:pPr>
        <w:pStyle w:val="7"/>
        <w:ind w:firstLine="480"/>
        <w:rPr>
          <w:rFonts w:cs="宋体"/>
          <w:color w:val="auto"/>
          <w:highlight w:val="none"/>
        </w:rPr>
      </w:pPr>
    </w:p>
    <w:p w14:paraId="3198C921">
      <w:pPr>
        <w:pStyle w:val="7"/>
        <w:ind w:left="3120" w:leftChars="13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69343D25">
      <w:pPr>
        <w:pStyle w:val="7"/>
        <w:ind w:left="3120" w:leftChars="1300" w:firstLine="480"/>
        <w:rPr>
          <w:rFonts w:cs="宋体"/>
          <w:color w:val="auto"/>
          <w:highlight w:val="none"/>
        </w:rPr>
      </w:pPr>
      <w:r>
        <w:rPr>
          <w:rFonts w:hint="eastAsia" w:cs="宋体"/>
          <w:color w:val="auto"/>
          <w:highlight w:val="none"/>
        </w:rPr>
        <w:t>法定代表人（负责人）：</w:t>
      </w:r>
      <w:r>
        <w:rPr>
          <w:rFonts w:hint="eastAsia" w:cs="宋体"/>
          <w:color w:val="auto"/>
          <w:highlight w:val="none"/>
          <w:u w:val="single"/>
        </w:rPr>
        <w:t xml:space="preserve">      </w:t>
      </w:r>
      <w:r>
        <w:rPr>
          <w:rFonts w:hint="eastAsia" w:cs="宋体"/>
          <w:color w:val="auto"/>
          <w:highlight w:val="none"/>
        </w:rPr>
        <w:t>（签字或盖章）</w:t>
      </w:r>
    </w:p>
    <w:p w14:paraId="4E6064DC">
      <w:pPr>
        <w:pStyle w:val="7"/>
        <w:ind w:left="3120" w:leftChars="1300" w:firstLine="480"/>
        <w:rPr>
          <w:rFonts w:cs="宋体"/>
          <w:color w:val="auto"/>
          <w:highlight w:val="none"/>
        </w:rPr>
      </w:pPr>
      <w:r>
        <w:rPr>
          <w:rFonts w:hint="eastAsia" w:cs="宋体"/>
          <w:color w:val="auto"/>
          <w:highlight w:val="none"/>
        </w:rPr>
        <w:t>授权代表：</w:t>
      </w:r>
      <w:r>
        <w:rPr>
          <w:rFonts w:hint="eastAsia" w:cs="宋体"/>
          <w:color w:val="auto"/>
          <w:highlight w:val="none"/>
          <w:u w:val="single"/>
        </w:rPr>
        <w:t xml:space="preserve">                  </w:t>
      </w:r>
      <w:r>
        <w:rPr>
          <w:rFonts w:hint="eastAsia" w:cs="宋体"/>
          <w:color w:val="auto"/>
          <w:highlight w:val="none"/>
        </w:rPr>
        <w:t>（签字或盖章）</w:t>
      </w:r>
    </w:p>
    <w:p w14:paraId="7EF5C827">
      <w:pPr>
        <w:pStyle w:val="7"/>
        <w:ind w:firstLine="480"/>
        <w:rPr>
          <w:rFonts w:cs="宋体"/>
          <w:color w:val="auto"/>
          <w:highlight w:val="none"/>
        </w:rPr>
      </w:pPr>
      <w:r>
        <w:rPr>
          <w:rFonts w:hint="eastAsia" w:cs="宋体"/>
          <w:color w:val="auto"/>
          <w:highlight w:val="none"/>
        </w:rPr>
        <w:t>附授权代表身份证明正反面扫描件或影印件。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5C5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4615" w:type="dxa"/>
          </w:tcPr>
          <w:p w14:paraId="05FA640F">
            <w:pPr>
              <w:rPr>
                <w:rFonts w:cs="宋体"/>
                <w:color w:val="auto"/>
                <w:szCs w:val="24"/>
                <w:highlight w:val="none"/>
              </w:rPr>
            </w:pPr>
          </w:p>
        </w:tc>
        <w:tc>
          <w:tcPr>
            <w:tcW w:w="4615" w:type="dxa"/>
          </w:tcPr>
          <w:p w14:paraId="290D400E">
            <w:pPr>
              <w:rPr>
                <w:rFonts w:cs="宋体"/>
                <w:color w:val="auto"/>
                <w:szCs w:val="24"/>
                <w:highlight w:val="none"/>
              </w:rPr>
            </w:pPr>
          </w:p>
        </w:tc>
      </w:tr>
    </w:tbl>
    <w:p w14:paraId="371B9586">
      <w:pPr>
        <w:pStyle w:val="7"/>
        <w:ind w:firstLine="482"/>
        <w:rPr>
          <w:rFonts w:cs="宋体"/>
          <w:b/>
          <w:bCs/>
          <w:color w:val="auto"/>
          <w:highlight w:val="none"/>
        </w:rPr>
      </w:pPr>
      <w:r>
        <w:rPr>
          <w:rFonts w:hint="eastAsia" w:cs="宋体"/>
          <w:b/>
          <w:bCs/>
          <w:color w:val="auto"/>
          <w:highlight w:val="none"/>
        </w:rPr>
        <w:t>注：</w:t>
      </w:r>
    </w:p>
    <w:p w14:paraId="475001A7">
      <w:pPr>
        <w:pStyle w:val="7"/>
        <w:ind w:firstLine="482"/>
        <w:rPr>
          <w:rFonts w:cs="宋体"/>
          <w:b/>
          <w:bCs/>
          <w:color w:val="auto"/>
          <w:highlight w:val="none"/>
        </w:rPr>
      </w:pPr>
      <w:r>
        <w:rPr>
          <w:rFonts w:hint="eastAsia" w:cs="宋体"/>
          <w:b/>
          <w:bCs/>
          <w:color w:val="auto"/>
          <w:highlight w:val="none"/>
        </w:rPr>
        <w:t xml:space="preserve">1. 除可填报项目外，对本法定代表人授权委托书内容的修改将被视为未实质性响应，从而导致该响应文件被拒绝； </w:t>
      </w:r>
    </w:p>
    <w:p w14:paraId="6EA6C3B0">
      <w:pPr>
        <w:pStyle w:val="7"/>
        <w:ind w:firstLine="482"/>
        <w:rPr>
          <w:rFonts w:cs="宋体"/>
          <w:b/>
          <w:bCs/>
          <w:color w:val="auto"/>
          <w:highlight w:val="none"/>
        </w:rPr>
      </w:pPr>
      <w:r>
        <w:rPr>
          <w:rFonts w:hint="eastAsia" w:cs="宋体"/>
          <w:b/>
          <w:bCs/>
          <w:color w:val="auto"/>
          <w:highlight w:val="none"/>
        </w:rPr>
        <w:t>2. 若供应商授权代表为 法定代表人或负责人的可不提供。</w:t>
      </w:r>
    </w:p>
    <w:p w14:paraId="0AF08A9E">
      <w:pPr>
        <w:rPr>
          <w:rFonts w:cs="宋体"/>
          <w:b/>
          <w:bCs/>
          <w:color w:val="auto"/>
          <w:highlight w:val="none"/>
        </w:rPr>
      </w:pPr>
      <w:r>
        <w:rPr>
          <w:rFonts w:hint="eastAsia" w:cs="宋体"/>
          <w:b/>
          <w:bCs/>
          <w:color w:val="auto"/>
          <w:highlight w:val="none"/>
        </w:rPr>
        <w:br w:type="page"/>
      </w:r>
    </w:p>
    <w:p w14:paraId="1A3B02AD">
      <w:pPr>
        <w:pStyle w:val="4"/>
        <w:rPr>
          <w:rFonts w:cs="宋体"/>
          <w:color w:val="auto"/>
          <w:highlight w:val="none"/>
        </w:rPr>
      </w:pPr>
      <w:r>
        <w:rPr>
          <w:rFonts w:hint="eastAsia" w:cs="宋体"/>
          <w:color w:val="auto"/>
          <w:highlight w:val="none"/>
        </w:rPr>
        <w:t>3.磋商函格式</w:t>
      </w:r>
    </w:p>
    <w:p w14:paraId="340E7695">
      <w:pPr>
        <w:jc w:val="center"/>
        <w:rPr>
          <w:rFonts w:cs="宋体"/>
          <w:color w:val="auto"/>
          <w:highlight w:val="none"/>
        </w:rPr>
      </w:pPr>
      <w:r>
        <w:rPr>
          <w:rFonts w:hint="eastAsia" w:cs="宋体"/>
          <w:color w:val="auto"/>
          <w:highlight w:val="none"/>
        </w:rPr>
        <w:t>磋  商  函</w:t>
      </w:r>
    </w:p>
    <w:p w14:paraId="3AA26787">
      <w:pPr>
        <w:jc w:val="center"/>
        <w:rPr>
          <w:rFonts w:cs="宋体"/>
          <w:color w:val="auto"/>
          <w:highlight w:val="none"/>
        </w:rPr>
      </w:pPr>
    </w:p>
    <w:p w14:paraId="38B2A62A">
      <w:pPr>
        <w:rPr>
          <w:rFonts w:cs="宋体"/>
          <w:color w:val="auto"/>
          <w:highlight w:val="none"/>
        </w:rPr>
      </w:pPr>
      <w:r>
        <w:rPr>
          <w:rFonts w:hint="eastAsia" w:cs="宋体"/>
          <w:color w:val="auto"/>
          <w:highlight w:val="none"/>
          <w:u w:val="single"/>
        </w:rPr>
        <w:t xml:space="preserve">              </w:t>
      </w:r>
      <w:r>
        <w:rPr>
          <w:rFonts w:hint="eastAsia" w:cs="宋体"/>
          <w:color w:val="auto"/>
          <w:highlight w:val="none"/>
        </w:rPr>
        <w:t>（采购人名称）：</w:t>
      </w:r>
    </w:p>
    <w:p w14:paraId="370C27FC">
      <w:pPr>
        <w:pStyle w:val="7"/>
        <w:ind w:firstLine="480"/>
        <w:rPr>
          <w:rFonts w:cs="宋体"/>
          <w:color w:val="auto"/>
          <w:highlight w:val="none"/>
        </w:rPr>
      </w:pPr>
      <w:r>
        <w:rPr>
          <w:rFonts w:hint="eastAsia" w:cs="宋体"/>
          <w:color w:val="auto"/>
          <w:highlight w:val="none"/>
          <w:u w:val="single"/>
        </w:rPr>
        <w:t xml:space="preserve">                         </w:t>
      </w:r>
      <w:r>
        <w:rPr>
          <w:rFonts w:hint="eastAsia" w:cs="宋体"/>
          <w:color w:val="auto"/>
          <w:highlight w:val="none"/>
        </w:rPr>
        <w:t>(供应商全称)授权</w:t>
      </w:r>
      <w:r>
        <w:rPr>
          <w:rFonts w:hint="eastAsia" w:cs="宋体"/>
          <w:color w:val="auto"/>
          <w:highlight w:val="none"/>
          <w:u w:val="single"/>
        </w:rPr>
        <w:t xml:space="preserve">          </w:t>
      </w:r>
      <w:r>
        <w:rPr>
          <w:rFonts w:hint="eastAsia" w:cs="宋体"/>
          <w:color w:val="auto"/>
          <w:highlight w:val="none"/>
        </w:rPr>
        <w:t>(供应商代表姓名)</w:t>
      </w:r>
      <w:r>
        <w:rPr>
          <w:rFonts w:hint="eastAsia" w:cs="宋体"/>
          <w:color w:val="auto"/>
          <w:highlight w:val="none"/>
          <w:u w:val="single"/>
        </w:rPr>
        <w:t xml:space="preserve">          </w:t>
      </w:r>
      <w:r>
        <w:rPr>
          <w:rFonts w:hint="eastAsia" w:cs="宋体"/>
          <w:color w:val="auto"/>
          <w:highlight w:val="none"/>
        </w:rPr>
        <w:t>(职务或职称)为我方代表，参加贵方组织的</w:t>
      </w:r>
      <w:r>
        <w:rPr>
          <w:rFonts w:hint="eastAsia" w:cs="宋体"/>
          <w:color w:val="auto"/>
          <w:highlight w:val="none"/>
          <w:u w:val="single"/>
        </w:rPr>
        <w:t xml:space="preserve">            </w:t>
      </w:r>
      <w:r>
        <w:rPr>
          <w:rFonts w:hint="eastAsia" w:cs="宋体"/>
          <w:color w:val="auto"/>
          <w:highlight w:val="none"/>
        </w:rPr>
        <w:t>(项目名称、项目编号)招标的有关活动，并对此项目进行投标。为此：</w:t>
      </w:r>
    </w:p>
    <w:p w14:paraId="3BD7DF94">
      <w:pPr>
        <w:pStyle w:val="7"/>
        <w:ind w:firstLine="480"/>
        <w:rPr>
          <w:rFonts w:cs="宋体"/>
          <w:color w:val="auto"/>
          <w:highlight w:val="none"/>
        </w:rPr>
      </w:pPr>
      <w:r>
        <w:rPr>
          <w:rFonts w:hint="eastAsia" w:cs="宋体"/>
          <w:color w:val="auto"/>
          <w:highlight w:val="none"/>
        </w:rPr>
        <w:t>1、我方同意在本项目磋商文件中规定的磋商日起的有效期90日历天内遵守本响应文件中的承诺且在此期限期满之前均具有约束力。</w:t>
      </w:r>
    </w:p>
    <w:p w14:paraId="741A3566">
      <w:pPr>
        <w:pStyle w:val="7"/>
        <w:ind w:firstLine="480"/>
        <w:rPr>
          <w:rFonts w:cs="宋体"/>
          <w:color w:val="auto"/>
          <w:highlight w:val="none"/>
        </w:rPr>
      </w:pPr>
      <w:r>
        <w:rPr>
          <w:rFonts w:hint="eastAsia" w:cs="宋体"/>
          <w:color w:val="auto"/>
          <w:highlight w:val="none"/>
        </w:rPr>
        <w:t>2、我方承诺已经具备本项目规定的参加采购活动的供应商应当具备的全部条件。</w:t>
      </w:r>
    </w:p>
    <w:p w14:paraId="153D21D3">
      <w:pPr>
        <w:pStyle w:val="7"/>
        <w:ind w:firstLine="480"/>
        <w:rPr>
          <w:rFonts w:cs="宋体"/>
          <w:color w:val="auto"/>
          <w:highlight w:val="none"/>
        </w:rPr>
      </w:pPr>
      <w:r>
        <w:rPr>
          <w:rFonts w:hint="eastAsia" w:cs="宋体"/>
          <w:color w:val="auto"/>
          <w:highlight w:val="none"/>
        </w:rPr>
        <w:t>3、提供供应商须知规定的全部响应文件，包括响应文件正本、副本。</w:t>
      </w:r>
    </w:p>
    <w:p w14:paraId="7B9F7059">
      <w:pPr>
        <w:pStyle w:val="7"/>
        <w:ind w:firstLine="480"/>
        <w:rPr>
          <w:rFonts w:cs="宋体"/>
          <w:color w:val="auto"/>
          <w:highlight w:val="none"/>
        </w:rPr>
      </w:pPr>
      <w:r>
        <w:rPr>
          <w:rFonts w:hint="eastAsia" w:cs="宋体"/>
          <w:color w:val="auto"/>
          <w:highlight w:val="none"/>
        </w:rPr>
        <w:t>4、按磋商文件要求提供和交付的服务的磋商报价详见磋商一览表。</w:t>
      </w:r>
    </w:p>
    <w:p w14:paraId="68FF2D31">
      <w:pPr>
        <w:pStyle w:val="7"/>
        <w:ind w:firstLine="480"/>
        <w:rPr>
          <w:rFonts w:cs="宋体"/>
          <w:color w:val="auto"/>
          <w:highlight w:val="none"/>
        </w:rPr>
      </w:pPr>
      <w:r>
        <w:rPr>
          <w:rFonts w:hint="eastAsia" w:cs="宋体"/>
          <w:color w:val="auto"/>
          <w:highlight w:val="none"/>
        </w:rPr>
        <w:t>5、保证忠实地执行双方所签订的合同，并承担合同规定的责任和义务。</w:t>
      </w:r>
    </w:p>
    <w:p w14:paraId="44D8962F">
      <w:pPr>
        <w:pStyle w:val="7"/>
        <w:ind w:firstLine="480"/>
        <w:rPr>
          <w:rFonts w:cs="宋体"/>
          <w:color w:val="auto"/>
          <w:highlight w:val="none"/>
        </w:rPr>
      </w:pPr>
      <w:r>
        <w:rPr>
          <w:rFonts w:hint="eastAsia" w:cs="宋体"/>
          <w:color w:val="auto"/>
          <w:highlight w:val="none"/>
        </w:rPr>
        <w:t>6、承诺完全满足和磋商响应磋商文件中的各项服务要求。</w:t>
      </w:r>
    </w:p>
    <w:p w14:paraId="1E1A8A23">
      <w:pPr>
        <w:pStyle w:val="7"/>
        <w:ind w:firstLine="480"/>
        <w:rPr>
          <w:rFonts w:cs="宋体"/>
          <w:color w:val="auto"/>
          <w:highlight w:val="none"/>
        </w:rPr>
      </w:pPr>
      <w:r>
        <w:rPr>
          <w:rFonts w:hint="eastAsia" w:cs="宋体"/>
          <w:color w:val="auto"/>
          <w:highlight w:val="none"/>
        </w:rPr>
        <w:t>7、保证遵守磋商文件的规定。</w:t>
      </w:r>
    </w:p>
    <w:p w14:paraId="4541D190">
      <w:pPr>
        <w:pStyle w:val="7"/>
        <w:ind w:firstLine="480"/>
        <w:rPr>
          <w:rFonts w:cs="宋体"/>
          <w:color w:val="auto"/>
          <w:highlight w:val="none"/>
        </w:rPr>
      </w:pPr>
      <w:r>
        <w:rPr>
          <w:rFonts w:hint="eastAsia" w:cs="宋体"/>
          <w:color w:val="auto"/>
          <w:highlight w:val="none"/>
        </w:rPr>
        <w:t>8、如果在磋商后规定的投标有效期内撤回报价，我方的磋商保证金可被贵方没收。</w:t>
      </w:r>
    </w:p>
    <w:p w14:paraId="03A760E6">
      <w:pPr>
        <w:pStyle w:val="7"/>
        <w:ind w:firstLine="480"/>
        <w:rPr>
          <w:rFonts w:cs="宋体"/>
          <w:color w:val="auto"/>
          <w:highlight w:val="none"/>
        </w:rPr>
      </w:pPr>
      <w:r>
        <w:rPr>
          <w:rFonts w:hint="eastAsia" w:cs="宋体"/>
          <w:color w:val="auto"/>
          <w:highlight w:val="none"/>
        </w:rPr>
        <w:t>9、我方完全理解贵方不一定接受最低价的报价。</w:t>
      </w:r>
    </w:p>
    <w:p w14:paraId="2EFED6DF">
      <w:pPr>
        <w:pStyle w:val="7"/>
        <w:ind w:firstLine="480"/>
        <w:rPr>
          <w:rFonts w:cs="宋体"/>
          <w:color w:val="auto"/>
          <w:highlight w:val="none"/>
        </w:rPr>
      </w:pPr>
      <w:r>
        <w:rPr>
          <w:rFonts w:hint="eastAsia" w:cs="宋体"/>
          <w:color w:val="auto"/>
          <w:highlight w:val="none"/>
        </w:rPr>
        <w:t>10、我方愿意向贵方提供任何与本项报价有关的数据、情况和技术资料。若贵方需要，我方愿意提供我方做出的一切承诺的证明材料。</w:t>
      </w:r>
    </w:p>
    <w:p w14:paraId="5598A00C">
      <w:pPr>
        <w:pStyle w:val="7"/>
        <w:ind w:firstLine="480"/>
        <w:rPr>
          <w:rFonts w:cs="宋体"/>
          <w:color w:val="auto"/>
          <w:highlight w:val="none"/>
        </w:rPr>
      </w:pPr>
      <w:r>
        <w:rPr>
          <w:rFonts w:hint="eastAsia" w:cs="宋体"/>
          <w:color w:val="auto"/>
          <w:highlight w:val="none"/>
        </w:rPr>
        <w:t>11、我方已详细审核全部响应文件，包括响应文件修改书（如有的话）、参考资料及有关附件，确认无误。</w:t>
      </w:r>
    </w:p>
    <w:p w14:paraId="5C0243FA">
      <w:pPr>
        <w:pStyle w:val="7"/>
        <w:ind w:firstLine="480"/>
        <w:rPr>
          <w:rFonts w:cs="宋体"/>
          <w:color w:val="auto"/>
          <w:highlight w:val="none"/>
        </w:rPr>
      </w:pPr>
      <w:r>
        <w:rPr>
          <w:rFonts w:hint="eastAsia" w:cs="宋体"/>
          <w:color w:val="auto"/>
          <w:highlight w:val="none"/>
        </w:rPr>
        <w:t>12、我方承诺：采购人若需追加采购本项目磋商文件所列相关服务的，在不改变合同其他实质性条款的前提下，按相同或更优惠的折扣率保证服务。</w:t>
      </w:r>
    </w:p>
    <w:p w14:paraId="0711E4FA">
      <w:pPr>
        <w:pStyle w:val="7"/>
        <w:ind w:firstLine="480"/>
        <w:rPr>
          <w:rFonts w:cs="宋体"/>
          <w:color w:val="auto"/>
          <w:highlight w:val="none"/>
        </w:rPr>
      </w:pPr>
      <w:r>
        <w:rPr>
          <w:rFonts w:hint="eastAsia" w:cs="宋体"/>
          <w:color w:val="auto"/>
          <w:highlight w:val="none"/>
        </w:rPr>
        <w:t>13、我方承诺接受磋商文件中《合同条款》的全部条款且无任何异议。</w:t>
      </w:r>
    </w:p>
    <w:p w14:paraId="56BDA0FA">
      <w:pPr>
        <w:pStyle w:val="7"/>
        <w:ind w:firstLine="480"/>
        <w:rPr>
          <w:rFonts w:cs="宋体"/>
          <w:color w:val="auto"/>
          <w:highlight w:val="none"/>
        </w:rPr>
      </w:pPr>
      <w:r>
        <w:rPr>
          <w:rFonts w:hint="eastAsia" w:cs="宋体"/>
          <w:color w:val="auto"/>
          <w:highlight w:val="none"/>
        </w:rPr>
        <w:t>14、我方将严格遵守相关法律法规的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632F929E">
      <w:pPr>
        <w:pStyle w:val="7"/>
        <w:ind w:firstLine="480"/>
        <w:rPr>
          <w:rFonts w:cs="宋体"/>
          <w:color w:val="auto"/>
          <w:highlight w:val="none"/>
        </w:rPr>
      </w:pPr>
      <w:r>
        <w:rPr>
          <w:rFonts w:hint="eastAsia" w:cs="宋体"/>
          <w:color w:val="auto"/>
          <w:highlight w:val="none"/>
        </w:rPr>
        <w:t>（1）提供虚假材料谋取成交、成交的；</w:t>
      </w:r>
    </w:p>
    <w:p w14:paraId="55410D70">
      <w:pPr>
        <w:pStyle w:val="7"/>
        <w:ind w:firstLine="480"/>
        <w:rPr>
          <w:rFonts w:cs="宋体"/>
          <w:color w:val="auto"/>
          <w:highlight w:val="none"/>
        </w:rPr>
      </w:pPr>
      <w:r>
        <w:rPr>
          <w:rFonts w:hint="eastAsia" w:cs="宋体"/>
          <w:color w:val="auto"/>
          <w:highlight w:val="none"/>
        </w:rPr>
        <w:t>（2）采取不正当手段诋毁、排挤其他供应商的；</w:t>
      </w:r>
    </w:p>
    <w:p w14:paraId="18D6A1D9">
      <w:pPr>
        <w:pStyle w:val="7"/>
        <w:ind w:firstLine="480"/>
        <w:rPr>
          <w:rFonts w:cs="宋体"/>
          <w:color w:val="auto"/>
          <w:highlight w:val="none"/>
        </w:rPr>
      </w:pPr>
      <w:r>
        <w:rPr>
          <w:rFonts w:hint="eastAsia" w:cs="宋体"/>
          <w:color w:val="auto"/>
          <w:highlight w:val="none"/>
        </w:rPr>
        <w:t>（3）与采购人、其它供应商或者采购代理机构工作人员恶意串通的</w:t>
      </w:r>
    </w:p>
    <w:p w14:paraId="761A2055">
      <w:pPr>
        <w:pStyle w:val="7"/>
        <w:ind w:firstLine="480"/>
        <w:rPr>
          <w:rFonts w:cs="宋体"/>
          <w:color w:val="auto"/>
          <w:highlight w:val="none"/>
        </w:rPr>
      </w:pPr>
      <w:r>
        <w:rPr>
          <w:rFonts w:hint="eastAsia" w:cs="宋体"/>
          <w:color w:val="auto"/>
          <w:highlight w:val="none"/>
        </w:rPr>
        <w:t>（4）向采购人、采购代理机构工作人员行贿或者提供其他不正当利益的；</w:t>
      </w:r>
    </w:p>
    <w:p w14:paraId="2FDE0845">
      <w:pPr>
        <w:pStyle w:val="7"/>
        <w:ind w:firstLine="480"/>
        <w:rPr>
          <w:rFonts w:cs="宋体"/>
          <w:color w:val="auto"/>
          <w:highlight w:val="none"/>
        </w:rPr>
      </w:pPr>
      <w:r>
        <w:rPr>
          <w:rFonts w:hint="eastAsia" w:cs="宋体"/>
          <w:color w:val="auto"/>
          <w:highlight w:val="none"/>
        </w:rPr>
        <w:t>（5）未经采购代理机构同意，在采购过程中与采购人进行协商磋商的；</w:t>
      </w:r>
    </w:p>
    <w:p w14:paraId="1378E78B">
      <w:pPr>
        <w:pStyle w:val="7"/>
        <w:ind w:firstLine="480"/>
        <w:rPr>
          <w:rFonts w:cs="宋体"/>
          <w:color w:val="auto"/>
          <w:highlight w:val="none"/>
        </w:rPr>
      </w:pPr>
      <w:r>
        <w:rPr>
          <w:rFonts w:hint="eastAsia" w:cs="宋体"/>
          <w:color w:val="auto"/>
          <w:highlight w:val="none"/>
        </w:rPr>
        <w:t>（6）拒绝有关部门监督检查或提供虚假情况的。</w:t>
      </w:r>
    </w:p>
    <w:p w14:paraId="79E85138">
      <w:pPr>
        <w:pStyle w:val="7"/>
        <w:ind w:firstLine="480"/>
        <w:rPr>
          <w:rFonts w:cs="宋体"/>
          <w:color w:val="auto"/>
          <w:highlight w:val="none"/>
        </w:rPr>
      </w:pPr>
    </w:p>
    <w:p w14:paraId="171A052F">
      <w:pPr>
        <w:pStyle w:val="7"/>
        <w:ind w:firstLine="480"/>
        <w:rPr>
          <w:rFonts w:cs="宋体"/>
          <w:color w:val="auto"/>
          <w:highlight w:val="none"/>
        </w:rPr>
      </w:pPr>
      <w:r>
        <w:rPr>
          <w:rFonts w:hint="eastAsia" w:cs="宋体"/>
          <w:color w:val="auto"/>
          <w:highlight w:val="none"/>
        </w:rPr>
        <w:t>所有有关本投标的一切往来联系方式为：</w:t>
      </w:r>
    </w:p>
    <w:p w14:paraId="2BD168C7">
      <w:pPr>
        <w:pStyle w:val="7"/>
        <w:ind w:firstLine="480"/>
        <w:rPr>
          <w:rFonts w:cs="宋体"/>
          <w:color w:val="auto"/>
          <w:highlight w:val="none"/>
        </w:rPr>
      </w:pPr>
      <w:r>
        <w:rPr>
          <w:rFonts w:hint="eastAsia" w:cs="宋体"/>
          <w:color w:val="auto"/>
          <w:highlight w:val="none"/>
        </w:rPr>
        <w:t>地址：</w:t>
      </w:r>
      <w:r>
        <w:rPr>
          <w:rFonts w:hint="eastAsia" w:cs="宋体"/>
          <w:color w:val="auto"/>
          <w:highlight w:val="none"/>
          <w:u w:val="single"/>
        </w:rPr>
        <w:t xml:space="preserve">                                </w:t>
      </w:r>
    </w:p>
    <w:p w14:paraId="5D202E21">
      <w:pPr>
        <w:pStyle w:val="7"/>
        <w:ind w:firstLine="480"/>
        <w:rPr>
          <w:rFonts w:cs="宋体"/>
          <w:color w:val="auto"/>
          <w:highlight w:val="none"/>
        </w:rPr>
      </w:pPr>
      <w:r>
        <w:rPr>
          <w:rFonts w:hint="eastAsia" w:cs="宋体"/>
          <w:color w:val="auto"/>
          <w:highlight w:val="none"/>
        </w:rPr>
        <w:t>邮编：</w:t>
      </w:r>
      <w:r>
        <w:rPr>
          <w:rFonts w:hint="eastAsia" w:cs="宋体"/>
          <w:color w:val="auto"/>
          <w:highlight w:val="none"/>
          <w:u w:val="single"/>
        </w:rPr>
        <w:t xml:space="preserve">                                </w:t>
      </w:r>
    </w:p>
    <w:p w14:paraId="4325A86C">
      <w:pPr>
        <w:pStyle w:val="7"/>
        <w:ind w:firstLine="480"/>
        <w:rPr>
          <w:rFonts w:cs="宋体"/>
          <w:color w:val="auto"/>
          <w:highlight w:val="none"/>
        </w:rPr>
      </w:pPr>
      <w:r>
        <w:rPr>
          <w:rFonts w:hint="eastAsia" w:cs="宋体"/>
          <w:color w:val="auto"/>
          <w:highlight w:val="none"/>
        </w:rPr>
        <w:t>电话：</w:t>
      </w:r>
      <w:r>
        <w:rPr>
          <w:rFonts w:hint="eastAsia" w:cs="宋体"/>
          <w:color w:val="auto"/>
          <w:highlight w:val="none"/>
          <w:u w:val="single"/>
        </w:rPr>
        <w:t xml:space="preserve">                                </w:t>
      </w:r>
    </w:p>
    <w:p w14:paraId="3B9FA720">
      <w:pPr>
        <w:pStyle w:val="7"/>
        <w:ind w:firstLine="480"/>
        <w:rPr>
          <w:rFonts w:cs="宋体"/>
          <w:color w:val="auto"/>
          <w:highlight w:val="none"/>
        </w:rPr>
      </w:pPr>
      <w:r>
        <w:rPr>
          <w:rFonts w:hint="eastAsia" w:cs="宋体"/>
          <w:color w:val="auto"/>
          <w:highlight w:val="none"/>
        </w:rPr>
        <w:t>传真：</w:t>
      </w:r>
      <w:r>
        <w:rPr>
          <w:rFonts w:hint="eastAsia" w:cs="宋体"/>
          <w:color w:val="auto"/>
          <w:highlight w:val="none"/>
          <w:u w:val="single"/>
        </w:rPr>
        <w:t xml:space="preserve">                                </w:t>
      </w:r>
    </w:p>
    <w:p w14:paraId="07DEA7DA">
      <w:pPr>
        <w:pStyle w:val="7"/>
        <w:ind w:firstLine="480"/>
        <w:rPr>
          <w:rFonts w:cs="宋体"/>
          <w:color w:val="auto"/>
          <w:highlight w:val="none"/>
        </w:rPr>
      </w:pPr>
      <w:r>
        <w:rPr>
          <w:rFonts w:hint="eastAsia" w:cs="宋体"/>
          <w:color w:val="auto"/>
          <w:highlight w:val="none"/>
        </w:rPr>
        <w:t>供应商代表姓名：</w:t>
      </w:r>
      <w:r>
        <w:rPr>
          <w:rFonts w:hint="eastAsia" w:cs="宋体"/>
          <w:color w:val="auto"/>
          <w:highlight w:val="none"/>
          <w:u w:val="single"/>
        </w:rPr>
        <w:t xml:space="preserve">                                </w:t>
      </w:r>
    </w:p>
    <w:p w14:paraId="5520945A">
      <w:pPr>
        <w:pStyle w:val="7"/>
        <w:ind w:firstLine="480"/>
        <w:rPr>
          <w:rFonts w:cs="宋体"/>
          <w:color w:val="auto"/>
          <w:highlight w:val="none"/>
        </w:rPr>
      </w:pPr>
      <w:r>
        <w:rPr>
          <w:rFonts w:hint="eastAsia" w:cs="宋体"/>
          <w:color w:val="auto"/>
          <w:highlight w:val="none"/>
        </w:rPr>
        <w:t>供应商代表联系电话：</w:t>
      </w:r>
      <w:r>
        <w:rPr>
          <w:rFonts w:hint="eastAsia" w:cs="宋体"/>
          <w:color w:val="auto"/>
          <w:highlight w:val="none"/>
          <w:u w:val="single"/>
        </w:rPr>
        <w:t xml:space="preserve">          </w:t>
      </w:r>
      <w:r>
        <w:rPr>
          <w:rFonts w:hint="eastAsia" w:cs="宋体"/>
          <w:color w:val="auto"/>
          <w:highlight w:val="none"/>
        </w:rPr>
        <w:t>（办公）</w:t>
      </w:r>
      <w:r>
        <w:rPr>
          <w:rFonts w:hint="eastAsia" w:cs="宋体"/>
          <w:color w:val="auto"/>
          <w:highlight w:val="none"/>
          <w:u w:val="single"/>
        </w:rPr>
        <w:t xml:space="preserve">          </w:t>
      </w:r>
      <w:r>
        <w:rPr>
          <w:rFonts w:hint="eastAsia" w:cs="宋体"/>
          <w:color w:val="auto"/>
          <w:highlight w:val="none"/>
        </w:rPr>
        <w:t>（移动）</w:t>
      </w:r>
    </w:p>
    <w:p w14:paraId="688A9C40">
      <w:pPr>
        <w:pStyle w:val="7"/>
        <w:ind w:firstLine="480"/>
        <w:rPr>
          <w:rFonts w:cs="宋体"/>
          <w:color w:val="auto"/>
          <w:highlight w:val="none"/>
        </w:rPr>
      </w:pPr>
      <w:r>
        <w:rPr>
          <w:rFonts w:hint="eastAsia" w:cs="宋体"/>
          <w:color w:val="auto"/>
          <w:highlight w:val="none"/>
        </w:rPr>
        <w:t>E-mail：</w:t>
      </w:r>
      <w:r>
        <w:rPr>
          <w:rFonts w:hint="eastAsia" w:cs="宋体"/>
          <w:color w:val="auto"/>
          <w:highlight w:val="none"/>
          <w:u w:val="single"/>
        </w:rPr>
        <w:t xml:space="preserve">                   </w:t>
      </w:r>
    </w:p>
    <w:p w14:paraId="1B579E85">
      <w:pPr>
        <w:pStyle w:val="7"/>
        <w:ind w:firstLine="480"/>
        <w:rPr>
          <w:rFonts w:cs="宋体"/>
          <w:color w:val="auto"/>
          <w:highlight w:val="none"/>
        </w:rPr>
      </w:pPr>
    </w:p>
    <w:p w14:paraId="2747F1A1">
      <w:pPr>
        <w:pStyle w:val="7"/>
        <w:ind w:firstLine="480"/>
        <w:rPr>
          <w:rFonts w:cs="宋体"/>
          <w:color w:val="auto"/>
          <w:highlight w:val="none"/>
        </w:rPr>
      </w:pPr>
    </w:p>
    <w:p w14:paraId="26D32B5B">
      <w:pPr>
        <w:pStyle w:val="7"/>
        <w:ind w:left="2160" w:leftChars="9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3B55543C">
      <w:pPr>
        <w:pStyle w:val="7"/>
        <w:ind w:left="2160" w:leftChars="900" w:firstLine="480"/>
        <w:rPr>
          <w:rFonts w:cs="宋体"/>
          <w:color w:val="auto"/>
          <w:highlight w:val="none"/>
        </w:rPr>
      </w:pPr>
      <w:r>
        <w:rPr>
          <w:rFonts w:hint="eastAsia" w:cs="宋体"/>
          <w:color w:val="auto"/>
          <w:highlight w:val="none"/>
        </w:rPr>
        <w:t>法定代表人或供应商代表(签字）：</w:t>
      </w:r>
      <w:r>
        <w:rPr>
          <w:rFonts w:hint="eastAsia" w:cs="宋体"/>
          <w:color w:val="auto"/>
          <w:highlight w:val="none"/>
          <w:u w:val="single"/>
        </w:rPr>
        <w:t xml:space="preserve">                </w:t>
      </w:r>
    </w:p>
    <w:p w14:paraId="33F8BBDC">
      <w:pPr>
        <w:pStyle w:val="7"/>
        <w:ind w:left="2160" w:leftChars="900" w:firstLine="480"/>
        <w:rPr>
          <w:rFonts w:cs="宋体"/>
          <w:color w:val="auto"/>
          <w:highlight w:val="none"/>
        </w:rPr>
      </w:pPr>
      <w:r>
        <w:rPr>
          <w:rFonts w:hint="eastAsia" w:cs="宋体"/>
          <w:color w:val="auto"/>
          <w:highlight w:val="none"/>
        </w:rPr>
        <w:t>日 期：</w:t>
      </w:r>
      <w:r>
        <w:rPr>
          <w:rFonts w:hint="eastAsia" w:cs="宋体"/>
          <w:color w:val="auto"/>
          <w:highlight w:val="none"/>
          <w:u w:val="single"/>
        </w:rPr>
        <w:t xml:space="preserve">                                        </w:t>
      </w:r>
    </w:p>
    <w:p w14:paraId="7B085E18">
      <w:pPr>
        <w:rPr>
          <w:rFonts w:cs="宋体"/>
          <w:b/>
          <w:bCs/>
          <w:color w:val="auto"/>
          <w:highlight w:val="none"/>
        </w:rPr>
      </w:pPr>
      <w:r>
        <w:rPr>
          <w:rFonts w:hint="eastAsia" w:cs="宋体"/>
          <w:b/>
          <w:bCs/>
          <w:color w:val="auto"/>
          <w:highlight w:val="none"/>
        </w:rPr>
        <w:br w:type="page"/>
      </w:r>
    </w:p>
    <w:p w14:paraId="3A360FB4">
      <w:pPr>
        <w:pStyle w:val="4"/>
        <w:rPr>
          <w:rFonts w:cs="宋体"/>
          <w:color w:val="auto"/>
          <w:highlight w:val="none"/>
        </w:rPr>
      </w:pPr>
      <w:r>
        <w:rPr>
          <w:rFonts w:hint="eastAsia" w:cs="宋体"/>
          <w:color w:val="auto"/>
          <w:highlight w:val="none"/>
        </w:rPr>
        <w:t>4.报价一览表（格式）</w:t>
      </w:r>
    </w:p>
    <w:p w14:paraId="5D1B392D">
      <w:pPr>
        <w:jc w:val="both"/>
        <w:rPr>
          <w:rFonts w:cs="宋体"/>
          <w:b/>
          <w:bCs/>
          <w:color w:val="auto"/>
          <w:highlight w:val="none"/>
        </w:rPr>
      </w:pPr>
    </w:p>
    <w:tbl>
      <w:tblPr>
        <w:tblStyle w:val="18"/>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4"/>
        <w:gridCol w:w="5585"/>
      </w:tblGrid>
      <w:tr w14:paraId="176D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vMerge w:val="restart"/>
            <w:vAlign w:val="center"/>
          </w:tcPr>
          <w:p w14:paraId="418C68C2">
            <w:pPr>
              <w:pStyle w:val="15"/>
              <w:rPr>
                <w:rFonts w:cs="宋体"/>
                <w:color w:val="auto"/>
                <w:highlight w:val="none"/>
              </w:rPr>
            </w:pPr>
            <w:r>
              <w:rPr>
                <w:rFonts w:hint="eastAsia" w:cs="宋体"/>
                <w:color w:val="auto"/>
                <w:highlight w:val="none"/>
              </w:rPr>
              <w:t>磋商报价（元）</w:t>
            </w:r>
          </w:p>
        </w:tc>
        <w:tc>
          <w:tcPr>
            <w:tcW w:w="5585" w:type="dxa"/>
            <w:vAlign w:val="center"/>
          </w:tcPr>
          <w:p w14:paraId="36FE0540">
            <w:pPr>
              <w:pStyle w:val="15"/>
              <w:jc w:val="left"/>
              <w:rPr>
                <w:rFonts w:cs="宋体"/>
                <w:color w:val="auto"/>
                <w:highlight w:val="none"/>
              </w:rPr>
            </w:pPr>
            <w:r>
              <w:rPr>
                <w:rFonts w:hint="eastAsia" w:cs="宋体"/>
                <w:color w:val="auto"/>
                <w:highlight w:val="none"/>
              </w:rPr>
              <w:t>大写：</w:t>
            </w:r>
          </w:p>
        </w:tc>
      </w:tr>
      <w:tr w14:paraId="3207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vMerge w:val="continue"/>
            <w:vAlign w:val="center"/>
          </w:tcPr>
          <w:p w14:paraId="54AA0B83">
            <w:pPr>
              <w:pStyle w:val="15"/>
              <w:rPr>
                <w:rFonts w:cs="宋体"/>
                <w:color w:val="auto"/>
                <w:highlight w:val="none"/>
              </w:rPr>
            </w:pPr>
          </w:p>
        </w:tc>
        <w:tc>
          <w:tcPr>
            <w:tcW w:w="5585" w:type="dxa"/>
            <w:vAlign w:val="center"/>
          </w:tcPr>
          <w:p w14:paraId="15AF5D19">
            <w:pPr>
              <w:pStyle w:val="15"/>
              <w:jc w:val="left"/>
              <w:rPr>
                <w:rFonts w:cs="宋体"/>
                <w:color w:val="auto"/>
                <w:highlight w:val="none"/>
              </w:rPr>
            </w:pPr>
            <w:r>
              <w:rPr>
                <w:rFonts w:hint="eastAsia" w:cs="宋体"/>
                <w:color w:val="auto"/>
                <w:highlight w:val="none"/>
              </w:rPr>
              <w:t>小写：</w:t>
            </w:r>
          </w:p>
        </w:tc>
      </w:tr>
      <w:tr w14:paraId="3E91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vAlign w:val="center"/>
          </w:tcPr>
          <w:p w14:paraId="64BF5CFB">
            <w:pPr>
              <w:pStyle w:val="15"/>
              <w:rPr>
                <w:rFonts w:cs="宋体"/>
                <w:color w:val="auto"/>
                <w:highlight w:val="none"/>
              </w:rPr>
            </w:pPr>
            <w:r>
              <w:rPr>
                <w:rFonts w:hint="eastAsia" w:cs="宋体"/>
                <w:color w:val="auto"/>
                <w:highlight w:val="none"/>
              </w:rPr>
              <w:t>合同履约期限</w:t>
            </w:r>
          </w:p>
        </w:tc>
        <w:tc>
          <w:tcPr>
            <w:tcW w:w="5585" w:type="dxa"/>
            <w:vAlign w:val="center"/>
          </w:tcPr>
          <w:p w14:paraId="338A9FA4">
            <w:pPr>
              <w:pStyle w:val="15"/>
              <w:rPr>
                <w:rFonts w:cs="宋体"/>
                <w:color w:val="auto"/>
                <w:highlight w:val="none"/>
              </w:rPr>
            </w:pPr>
          </w:p>
        </w:tc>
      </w:tr>
      <w:tr w14:paraId="1C12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vAlign w:val="center"/>
          </w:tcPr>
          <w:p w14:paraId="239715B5">
            <w:pPr>
              <w:pStyle w:val="15"/>
              <w:rPr>
                <w:rFonts w:cs="宋体"/>
                <w:color w:val="auto"/>
                <w:highlight w:val="none"/>
              </w:rPr>
            </w:pPr>
            <w:r>
              <w:rPr>
                <w:rFonts w:hint="eastAsia" w:cs="宋体"/>
                <w:color w:val="auto"/>
                <w:highlight w:val="none"/>
              </w:rPr>
              <w:t>付款方式</w:t>
            </w:r>
          </w:p>
        </w:tc>
        <w:tc>
          <w:tcPr>
            <w:tcW w:w="5585" w:type="dxa"/>
            <w:vAlign w:val="center"/>
          </w:tcPr>
          <w:p w14:paraId="1ACD4957">
            <w:pPr>
              <w:pStyle w:val="15"/>
              <w:rPr>
                <w:rFonts w:cs="宋体"/>
                <w:color w:val="auto"/>
                <w:highlight w:val="none"/>
              </w:rPr>
            </w:pPr>
          </w:p>
        </w:tc>
      </w:tr>
      <w:tr w14:paraId="7985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vAlign w:val="center"/>
          </w:tcPr>
          <w:p w14:paraId="29038DC4">
            <w:pPr>
              <w:pStyle w:val="15"/>
              <w:rPr>
                <w:rFonts w:cs="宋体"/>
                <w:color w:val="auto"/>
                <w:highlight w:val="none"/>
              </w:rPr>
            </w:pPr>
            <w:r>
              <w:rPr>
                <w:rFonts w:hint="eastAsia" w:cs="宋体"/>
                <w:color w:val="auto"/>
                <w:highlight w:val="none"/>
              </w:rPr>
              <w:t>质量要求</w:t>
            </w:r>
          </w:p>
        </w:tc>
        <w:tc>
          <w:tcPr>
            <w:tcW w:w="5585" w:type="dxa"/>
            <w:vAlign w:val="center"/>
          </w:tcPr>
          <w:p w14:paraId="4280CE3C">
            <w:pPr>
              <w:pStyle w:val="15"/>
              <w:rPr>
                <w:rFonts w:cs="宋体"/>
                <w:color w:val="auto"/>
                <w:highlight w:val="none"/>
              </w:rPr>
            </w:pPr>
          </w:p>
        </w:tc>
      </w:tr>
      <w:tr w14:paraId="40DF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3254" w:type="dxa"/>
            <w:vAlign w:val="center"/>
          </w:tcPr>
          <w:p w14:paraId="7D69B798">
            <w:pPr>
              <w:pStyle w:val="15"/>
              <w:rPr>
                <w:rFonts w:cs="宋体"/>
                <w:color w:val="auto"/>
                <w:highlight w:val="none"/>
              </w:rPr>
            </w:pPr>
            <w:r>
              <w:rPr>
                <w:rFonts w:hint="eastAsia" w:cs="宋体"/>
                <w:color w:val="auto"/>
                <w:highlight w:val="none"/>
              </w:rPr>
              <w:t>备注</w:t>
            </w:r>
          </w:p>
        </w:tc>
        <w:tc>
          <w:tcPr>
            <w:tcW w:w="5585" w:type="dxa"/>
            <w:vAlign w:val="center"/>
          </w:tcPr>
          <w:p w14:paraId="3764305F">
            <w:pPr>
              <w:pStyle w:val="15"/>
              <w:rPr>
                <w:rFonts w:cs="宋体"/>
                <w:color w:val="auto"/>
                <w:highlight w:val="none"/>
              </w:rPr>
            </w:pPr>
          </w:p>
        </w:tc>
      </w:tr>
    </w:tbl>
    <w:p w14:paraId="3731735F">
      <w:pPr>
        <w:rPr>
          <w:rFonts w:cs="宋体"/>
          <w:color w:val="auto"/>
          <w:highlight w:val="none"/>
        </w:rPr>
      </w:pPr>
    </w:p>
    <w:p w14:paraId="6D46DA31">
      <w:pPr>
        <w:rPr>
          <w:rFonts w:cs="宋体"/>
          <w:color w:val="auto"/>
          <w:highlight w:val="none"/>
        </w:rPr>
      </w:pPr>
    </w:p>
    <w:p w14:paraId="76560CAF">
      <w:pPr>
        <w:pStyle w:val="7"/>
        <w:ind w:left="2160" w:leftChars="900" w:firstLine="48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（盖章）</w:t>
      </w:r>
    </w:p>
    <w:p w14:paraId="35CD4AFA">
      <w:pPr>
        <w:pStyle w:val="7"/>
        <w:ind w:left="2160" w:leftChars="900" w:firstLine="480"/>
        <w:rPr>
          <w:rFonts w:cs="宋体"/>
          <w:color w:val="auto"/>
          <w:highlight w:val="none"/>
        </w:rPr>
      </w:pPr>
      <w:r>
        <w:rPr>
          <w:rFonts w:hint="eastAsia" w:cs="宋体"/>
          <w:color w:val="auto"/>
          <w:highlight w:val="none"/>
        </w:rPr>
        <w:t>法定代表人或供应商代表(签字）：</w:t>
      </w:r>
      <w:r>
        <w:rPr>
          <w:rFonts w:hint="eastAsia" w:cs="宋体"/>
          <w:color w:val="auto"/>
          <w:highlight w:val="none"/>
          <w:u w:val="single"/>
        </w:rPr>
        <w:t xml:space="preserve">                </w:t>
      </w:r>
    </w:p>
    <w:p w14:paraId="4ABC8C79">
      <w:pPr>
        <w:pStyle w:val="7"/>
        <w:ind w:left="2160" w:leftChars="900" w:firstLine="480"/>
        <w:rPr>
          <w:rFonts w:hint="eastAsia" w:cs="宋体"/>
          <w:color w:val="auto"/>
          <w:highlight w:val="none"/>
          <w:u w:val="single"/>
        </w:rPr>
        <w:sectPr>
          <w:pgSz w:w="11905" w:h="16838"/>
          <w:pgMar w:top="1440" w:right="1440" w:bottom="1440" w:left="1440" w:header="624" w:footer="992" w:gutter="0"/>
          <w:pgNumType w:fmt="decimal"/>
          <w:cols w:space="720" w:num="1"/>
          <w:titlePg/>
          <w:rtlGutter w:val="0"/>
          <w:docGrid w:linePitch="312" w:charSpace="0"/>
        </w:sectPr>
      </w:pPr>
      <w:r>
        <w:rPr>
          <w:rFonts w:hint="eastAsia" w:cs="宋体"/>
          <w:color w:val="auto"/>
          <w:highlight w:val="none"/>
        </w:rPr>
        <w:t>日 期：</w:t>
      </w:r>
      <w:r>
        <w:rPr>
          <w:rFonts w:hint="eastAsia" w:cs="宋体"/>
          <w:color w:val="auto"/>
          <w:highlight w:val="none"/>
          <w:u w:val="single"/>
        </w:rPr>
        <w:t xml:space="preserve">                                        </w:t>
      </w:r>
    </w:p>
    <w:p w14:paraId="03876994">
      <w:pPr>
        <w:jc w:val="center"/>
        <w:rPr>
          <w:rFonts w:hint="eastAsia"/>
          <w:b/>
          <w:bCs/>
          <w:color w:val="auto"/>
          <w:sz w:val="28"/>
          <w:szCs w:val="21"/>
          <w:highlight w:val="none"/>
          <w:lang w:val="en-US" w:eastAsia="zh-CN"/>
        </w:rPr>
      </w:pPr>
      <w:r>
        <w:rPr>
          <w:rFonts w:hint="eastAsia"/>
          <w:b/>
          <w:bCs/>
          <w:color w:val="auto"/>
          <w:sz w:val="28"/>
          <w:szCs w:val="21"/>
          <w:highlight w:val="none"/>
          <w:lang w:val="en-US" w:eastAsia="zh-CN"/>
        </w:rPr>
        <w:t>分项报价</w:t>
      </w:r>
    </w:p>
    <w:p w14:paraId="58AFD4A1">
      <w:pPr>
        <w:numPr>
          <w:ilvl w:val="0"/>
          <w:numId w:val="0"/>
        </w:numPr>
        <w:rPr>
          <w:rFonts w:hint="eastAsia" w:eastAsia="宋体"/>
          <w:b w:val="0"/>
          <w:bCs w:val="0"/>
          <w:snapToGrid/>
          <w:color w:val="auto"/>
          <w:sz w:val="24"/>
          <w:szCs w:val="24"/>
          <w:highlight w:val="none"/>
          <w:lang w:eastAsia="zh-CN"/>
        </w:rPr>
      </w:pPr>
      <w:r>
        <w:rPr>
          <w:rFonts w:hint="eastAsia"/>
          <w:b w:val="0"/>
          <w:bCs w:val="0"/>
          <w:snapToGrid/>
          <w:color w:val="auto"/>
          <w:sz w:val="24"/>
          <w:szCs w:val="24"/>
          <w:highlight w:val="none"/>
          <w:lang w:eastAsia="zh-CN"/>
        </w:rPr>
        <w:t>（</w:t>
      </w:r>
      <w:r>
        <w:rPr>
          <w:rFonts w:hint="eastAsia"/>
          <w:b w:val="0"/>
          <w:bCs w:val="0"/>
          <w:snapToGrid/>
          <w:color w:val="auto"/>
          <w:sz w:val="24"/>
          <w:szCs w:val="24"/>
          <w:highlight w:val="none"/>
          <w:lang w:val="en-US" w:eastAsia="zh-CN"/>
        </w:rPr>
        <w:t>一</w:t>
      </w:r>
      <w:r>
        <w:rPr>
          <w:rFonts w:hint="eastAsia"/>
          <w:b w:val="0"/>
          <w:bCs w:val="0"/>
          <w:snapToGrid/>
          <w:color w:val="auto"/>
          <w:sz w:val="24"/>
          <w:szCs w:val="24"/>
          <w:highlight w:val="none"/>
          <w:lang w:eastAsia="zh-CN"/>
        </w:rPr>
        <w:t>）</w:t>
      </w:r>
      <w:r>
        <w:rPr>
          <w:rFonts w:hint="eastAsia" w:cs="宋体"/>
          <w:b w:val="0"/>
          <w:bCs w:val="0"/>
          <w:color w:val="auto"/>
          <w:highlight w:val="none"/>
          <w:lang w:val="fr-FR"/>
        </w:rPr>
        <w:t>侯村乡大碾沟村崩塌地质灾害治理工程</w:t>
      </w:r>
    </w:p>
    <w:tbl>
      <w:tblPr>
        <w:tblStyle w:val="18"/>
        <w:tblW w:w="4976"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61"/>
        <w:gridCol w:w="2838"/>
        <w:gridCol w:w="933"/>
        <w:gridCol w:w="1289"/>
        <w:gridCol w:w="1495"/>
        <w:gridCol w:w="1581"/>
      </w:tblGrid>
      <w:tr w14:paraId="34CD9C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atLeast"/>
        </w:trPr>
        <w:tc>
          <w:tcPr>
            <w:tcW w:w="577" w:type="pct"/>
            <w:shd w:val="clear" w:color="auto" w:fill="auto"/>
            <w:noWrap w:val="0"/>
            <w:vAlign w:val="center"/>
          </w:tcPr>
          <w:p w14:paraId="035CDDBA">
            <w:pPr>
              <w:widowControl/>
              <w:adjustRightInd/>
              <w:snapToGrid/>
              <w:spacing w:line="240" w:lineRule="auto"/>
              <w:ind w:firstLine="0"/>
              <w:jc w:val="center"/>
              <w:rPr>
                <w:rFonts w:hint="eastAsia" w:eastAsia="宋体"/>
                <w:snapToGrid/>
                <w:color w:val="auto"/>
                <w:sz w:val="24"/>
                <w:szCs w:val="24"/>
                <w:highlight w:val="none"/>
                <w:lang w:eastAsia="zh-CN"/>
              </w:rPr>
            </w:pPr>
            <w:r>
              <w:rPr>
                <w:rFonts w:hint="eastAsia"/>
                <w:snapToGrid/>
                <w:color w:val="auto"/>
                <w:sz w:val="24"/>
                <w:szCs w:val="24"/>
                <w:highlight w:val="none"/>
                <w:lang w:val="en-US" w:eastAsia="zh-CN"/>
              </w:rPr>
              <w:t>序号</w:t>
            </w:r>
          </w:p>
        </w:tc>
        <w:tc>
          <w:tcPr>
            <w:tcW w:w="1543" w:type="pct"/>
            <w:shd w:val="clear" w:color="auto" w:fill="auto"/>
            <w:noWrap w:val="0"/>
            <w:vAlign w:val="center"/>
          </w:tcPr>
          <w:p w14:paraId="19A62718">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监测工程</w:t>
            </w:r>
          </w:p>
        </w:tc>
        <w:tc>
          <w:tcPr>
            <w:tcW w:w="507" w:type="pct"/>
            <w:shd w:val="clear" w:color="auto" w:fill="auto"/>
            <w:noWrap/>
            <w:vAlign w:val="center"/>
          </w:tcPr>
          <w:p w14:paraId="04458944">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lang w:val="en-US" w:eastAsia="zh-CN"/>
              </w:rPr>
              <w:t>单位</w:t>
            </w:r>
            <w:r>
              <w:rPr>
                <w:rFonts w:hint="eastAsia"/>
                <w:snapToGrid/>
                <w:color w:val="auto"/>
                <w:sz w:val="24"/>
                <w:szCs w:val="24"/>
                <w:highlight w:val="none"/>
              </w:rPr>
              <w:t>　</w:t>
            </w:r>
          </w:p>
        </w:tc>
        <w:tc>
          <w:tcPr>
            <w:tcW w:w="701" w:type="pct"/>
            <w:shd w:val="clear" w:color="auto" w:fill="auto"/>
            <w:noWrap/>
            <w:vAlign w:val="center"/>
          </w:tcPr>
          <w:p w14:paraId="68A5A38E">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lang w:val="en-US" w:eastAsia="zh-CN"/>
              </w:rPr>
              <w:t>数量</w:t>
            </w:r>
            <w:r>
              <w:rPr>
                <w:rFonts w:hint="eastAsia"/>
                <w:snapToGrid/>
                <w:color w:val="auto"/>
                <w:sz w:val="24"/>
                <w:szCs w:val="24"/>
                <w:highlight w:val="none"/>
              </w:rPr>
              <w:t>　</w:t>
            </w:r>
          </w:p>
        </w:tc>
        <w:tc>
          <w:tcPr>
            <w:tcW w:w="813" w:type="pct"/>
            <w:shd w:val="clear" w:color="auto" w:fill="auto"/>
            <w:noWrap/>
            <w:vAlign w:val="center"/>
          </w:tcPr>
          <w:p w14:paraId="630B424A">
            <w:pPr>
              <w:widowControl/>
              <w:adjustRightInd/>
              <w:snapToGrid/>
              <w:spacing w:line="240" w:lineRule="auto"/>
              <w:ind w:firstLine="0"/>
              <w:jc w:val="center"/>
              <w:rPr>
                <w:rFonts w:hint="eastAsia" w:eastAsiaTheme="minorEastAsia"/>
                <w:snapToGrid/>
                <w:color w:val="auto"/>
                <w:sz w:val="24"/>
                <w:szCs w:val="24"/>
                <w:highlight w:val="none"/>
                <w:lang w:val="en-US" w:eastAsia="zh-CN"/>
              </w:rPr>
            </w:pPr>
            <w:r>
              <w:rPr>
                <w:rFonts w:hint="eastAsia"/>
                <w:snapToGrid/>
                <w:color w:val="auto"/>
                <w:sz w:val="24"/>
                <w:szCs w:val="24"/>
                <w:highlight w:val="none"/>
                <w:lang w:val="en-US" w:eastAsia="zh-CN"/>
              </w:rPr>
              <w:t>单价（元）</w:t>
            </w:r>
          </w:p>
        </w:tc>
        <w:tc>
          <w:tcPr>
            <w:tcW w:w="856" w:type="pct"/>
            <w:shd w:val="clear" w:color="auto" w:fill="auto"/>
            <w:noWrap w:val="0"/>
            <w:vAlign w:val="center"/>
          </w:tcPr>
          <w:p w14:paraId="3869B8AC">
            <w:pPr>
              <w:widowControl/>
              <w:adjustRightInd/>
              <w:snapToGrid/>
              <w:spacing w:line="240" w:lineRule="auto"/>
              <w:ind w:firstLine="0"/>
              <w:jc w:val="center"/>
              <w:rPr>
                <w:rFonts w:hint="default" w:eastAsia="宋体"/>
                <w:snapToGrid/>
                <w:color w:val="auto"/>
                <w:sz w:val="24"/>
                <w:szCs w:val="24"/>
                <w:highlight w:val="none"/>
                <w:lang w:val="en-US" w:eastAsia="zh-CN"/>
              </w:rPr>
            </w:pPr>
            <w:r>
              <w:rPr>
                <w:rFonts w:hint="eastAsia"/>
                <w:snapToGrid/>
                <w:color w:val="auto"/>
                <w:sz w:val="24"/>
                <w:szCs w:val="24"/>
                <w:highlight w:val="none"/>
                <w:lang w:val="en-US" w:eastAsia="zh-CN"/>
              </w:rPr>
              <w:t>总价（元）</w:t>
            </w:r>
          </w:p>
        </w:tc>
      </w:tr>
      <w:tr w14:paraId="564622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6" w:hRule="atLeast"/>
        </w:trPr>
        <w:tc>
          <w:tcPr>
            <w:tcW w:w="577" w:type="pct"/>
            <w:shd w:val="clear" w:color="auto" w:fill="auto"/>
            <w:noWrap w:val="0"/>
            <w:vAlign w:val="center"/>
          </w:tcPr>
          <w:p w14:paraId="4FFB5FA8">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1</w:t>
            </w:r>
          </w:p>
        </w:tc>
        <w:tc>
          <w:tcPr>
            <w:tcW w:w="1543" w:type="pct"/>
            <w:shd w:val="clear" w:color="auto" w:fill="auto"/>
            <w:noWrap w:val="0"/>
            <w:vAlign w:val="center"/>
          </w:tcPr>
          <w:p w14:paraId="5B962812">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基准点</w:t>
            </w:r>
          </w:p>
        </w:tc>
        <w:tc>
          <w:tcPr>
            <w:tcW w:w="507" w:type="pct"/>
            <w:shd w:val="clear" w:color="auto" w:fill="auto"/>
            <w:noWrap w:val="0"/>
            <w:vAlign w:val="center"/>
          </w:tcPr>
          <w:p w14:paraId="47FB03BF">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701" w:type="pct"/>
            <w:shd w:val="clear" w:color="auto" w:fill="auto"/>
            <w:noWrap w:val="0"/>
            <w:vAlign w:val="center"/>
          </w:tcPr>
          <w:p w14:paraId="54EC5586">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5.00</w:t>
            </w:r>
          </w:p>
        </w:tc>
        <w:tc>
          <w:tcPr>
            <w:tcW w:w="813" w:type="pct"/>
            <w:shd w:val="clear" w:color="auto" w:fill="auto"/>
            <w:noWrap w:val="0"/>
            <w:vAlign w:val="center"/>
          </w:tcPr>
          <w:p w14:paraId="3CA400E1">
            <w:pPr>
              <w:widowControl/>
              <w:adjustRightInd/>
              <w:snapToGrid/>
              <w:spacing w:line="240" w:lineRule="auto"/>
              <w:ind w:firstLine="0"/>
              <w:jc w:val="center"/>
              <w:rPr>
                <w:rFonts w:hint="eastAsia"/>
                <w:snapToGrid/>
                <w:color w:val="auto"/>
                <w:sz w:val="24"/>
                <w:szCs w:val="24"/>
                <w:highlight w:val="none"/>
              </w:rPr>
            </w:pPr>
          </w:p>
        </w:tc>
        <w:tc>
          <w:tcPr>
            <w:tcW w:w="856" w:type="pct"/>
            <w:shd w:val="clear" w:color="auto" w:fill="auto"/>
            <w:noWrap w:val="0"/>
            <w:vAlign w:val="center"/>
          </w:tcPr>
          <w:p w14:paraId="33CAED39">
            <w:pPr>
              <w:widowControl/>
              <w:adjustRightInd/>
              <w:snapToGrid/>
              <w:spacing w:line="240" w:lineRule="auto"/>
              <w:ind w:firstLine="0"/>
              <w:jc w:val="center"/>
              <w:rPr>
                <w:rFonts w:hint="eastAsia"/>
                <w:snapToGrid/>
                <w:color w:val="auto"/>
                <w:sz w:val="24"/>
                <w:szCs w:val="24"/>
                <w:highlight w:val="none"/>
              </w:rPr>
            </w:pPr>
          </w:p>
        </w:tc>
      </w:tr>
      <w:tr w14:paraId="37471D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6" w:hRule="atLeast"/>
        </w:trPr>
        <w:tc>
          <w:tcPr>
            <w:tcW w:w="577" w:type="pct"/>
            <w:shd w:val="clear" w:color="auto" w:fill="auto"/>
            <w:noWrap w:val="0"/>
            <w:vAlign w:val="center"/>
          </w:tcPr>
          <w:p w14:paraId="306072F1">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2</w:t>
            </w:r>
          </w:p>
        </w:tc>
        <w:tc>
          <w:tcPr>
            <w:tcW w:w="1543" w:type="pct"/>
            <w:shd w:val="clear" w:color="auto" w:fill="auto"/>
            <w:noWrap w:val="0"/>
            <w:vAlign w:val="center"/>
          </w:tcPr>
          <w:p w14:paraId="63B5F353">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施工安全监测点</w:t>
            </w:r>
          </w:p>
        </w:tc>
        <w:tc>
          <w:tcPr>
            <w:tcW w:w="507" w:type="pct"/>
            <w:shd w:val="clear" w:color="auto" w:fill="auto"/>
            <w:noWrap w:val="0"/>
            <w:vAlign w:val="center"/>
          </w:tcPr>
          <w:p w14:paraId="4ED279EE">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701" w:type="pct"/>
            <w:shd w:val="clear" w:color="auto" w:fill="auto"/>
            <w:noWrap w:val="0"/>
            <w:vAlign w:val="center"/>
          </w:tcPr>
          <w:p w14:paraId="1CCBDB17">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5.00</w:t>
            </w:r>
          </w:p>
        </w:tc>
        <w:tc>
          <w:tcPr>
            <w:tcW w:w="813" w:type="pct"/>
            <w:shd w:val="clear" w:color="auto" w:fill="auto"/>
            <w:noWrap w:val="0"/>
            <w:vAlign w:val="center"/>
          </w:tcPr>
          <w:p w14:paraId="3DF3DCF6">
            <w:pPr>
              <w:widowControl/>
              <w:adjustRightInd/>
              <w:snapToGrid/>
              <w:spacing w:line="240" w:lineRule="auto"/>
              <w:ind w:firstLine="0"/>
              <w:jc w:val="center"/>
              <w:rPr>
                <w:rFonts w:hint="eastAsia"/>
                <w:snapToGrid/>
                <w:color w:val="auto"/>
                <w:sz w:val="24"/>
                <w:szCs w:val="24"/>
                <w:highlight w:val="none"/>
              </w:rPr>
            </w:pPr>
          </w:p>
        </w:tc>
        <w:tc>
          <w:tcPr>
            <w:tcW w:w="856" w:type="pct"/>
            <w:shd w:val="clear" w:color="auto" w:fill="auto"/>
            <w:noWrap w:val="0"/>
            <w:vAlign w:val="center"/>
          </w:tcPr>
          <w:p w14:paraId="1D9F5EAD">
            <w:pPr>
              <w:widowControl/>
              <w:adjustRightInd/>
              <w:snapToGrid/>
              <w:spacing w:line="240" w:lineRule="auto"/>
              <w:ind w:firstLine="0"/>
              <w:jc w:val="center"/>
              <w:rPr>
                <w:rFonts w:hint="eastAsia"/>
                <w:snapToGrid/>
                <w:color w:val="auto"/>
                <w:sz w:val="24"/>
                <w:szCs w:val="24"/>
                <w:highlight w:val="none"/>
              </w:rPr>
            </w:pPr>
          </w:p>
        </w:tc>
      </w:tr>
      <w:tr w14:paraId="4EF450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6" w:hRule="atLeast"/>
        </w:trPr>
        <w:tc>
          <w:tcPr>
            <w:tcW w:w="577" w:type="pct"/>
            <w:shd w:val="clear" w:color="auto" w:fill="auto"/>
            <w:noWrap w:val="0"/>
            <w:vAlign w:val="center"/>
          </w:tcPr>
          <w:p w14:paraId="0632C06D">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3</w:t>
            </w:r>
          </w:p>
        </w:tc>
        <w:tc>
          <w:tcPr>
            <w:tcW w:w="1543" w:type="pct"/>
            <w:shd w:val="clear" w:color="auto" w:fill="auto"/>
            <w:noWrap w:val="0"/>
            <w:vAlign w:val="center"/>
          </w:tcPr>
          <w:p w14:paraId="5B22B859">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治理效果监测点</w:t>
            </w:r>
          </w:p>
        </w:tc>
        <w:tc>
          <w:tcPr>
            <w:tcW w:w="507" w:type="pct"/>
            <w:shd w:val="clear" w:color="auto" w:fill="auto"/>
            <w:noWrap w:val="0"/>
            <w:vAlign w:val="center"/>
          </w:tcPr>
          <w:p w14:paraId="26A0F0D1">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701" w:type="pct"/>
            <w:shd w:val="clear" w:color="auto" w:fill="auto"/>
            <w:noWrap w:val="0"/>
            <w:vAlign w:val="center"/>
          </w:tcPr>
          <w:p w14:paraId="2F3B51EA">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10.00</w:t>
            </w:r>
          </w:p>
        </w:tc>
        <w:tc>
          <w:tcPr>
            <w:tcW w:w="813" w:type="pct"/>
            <w:shd w:val="clear" w:color="auto" w:fill="auto"/>
            <w:noWrap w:val="0"/>
            <w:vAlign w:val="center"/>
          </w:tcPr>
          <w:p w14:paraId="7E478D11">
            <w:pPr>
              <w:widowControl/>
              <w:adjustRightInd/>
              <w:snapToGrid/>
              <w:spacing w:line="240" w:lineRule="auto"/>
              <w:ind w:firstLine="0"/>
              <w:jc w:val="center"/>
              <w:rPr>
                <w:rFonts w:hint="eastAsia"/>
                <w:snapToGrid/>
                <w:color w:val="auto"/>
                <w:sz w:val="24"/>
                <w:szCs w:val="24"/>
                <w:highlight w:val="none"/>
              </w:rPr>
            </w:pPr>
          </w:p>
        </w:tc>
        <w:tc>
          <w:tcPr>
            <w:tcW w:w="856" w:type="pct"/>
            <w:shd w:val="clear" w:color="auto" w:fill="auto"/>
            <w:noWrap w:val="0"/>
            <w:vAlign w:val="center"/>
          </w:tcPr>
          <w:p w14:paraId="78A96E6F">
            <w:pPr>
              <w:widowControl/>
              <w:adjustRightInd/>
              <w:snapToGrid/>
              <w:spacing w:line="240" w:lineRule="auto"/>
              <w:ind w:firstLine="0"/>
              <w:jc w:val="center"/>
              <w:rPr>
                <w:rFonts w:hint="eastAsia"/>
                <w:snapToGrid/>
                <w:color w:val="auto"/>
                <w:sz w:val="24"/>
                <w:szCs w:val="24"/>
                <w:highlight w:val="none"/>
              </w:rPr>
            </w:pPr>
          </w:p>
        </w:tc>
      </w:tr>
      <w:tr w14:paraId="134F04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6" w:hRule="atLeast"/>
        </w:trPr>
        <w:tc>
          <w:tcPr>
            <w:tcW w:w="577" w:type="pct"/>
            <w:shd w:val="clear" w:color="auto" w:fill="auto"/>
            <w:noWrap w:val="0"/>
            <w:vAlign w:val="center"/>
          </w:tcPr>
          <w:p w14:paraId="557BC252">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4</w:t>
            </w:r>
          </w:p>
        </w:tc>
        <w:tc>
          <w:tcPr>
            <w:tcW w:w="1543" w:type="pct"/>
            <w:shd w:val="clear" w:color="auto" w:fill="auto"/>
            <w:noWrap w:val="0"/>
            <w:vAlign w:val="center"/>
          </w:tcPr>
          <w:p w14:paraId="489A7E5B">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施工安全监测</w:t>
            </w:r>
          </w:p>
        </w:tc>
        <w:tc>
          <w:tcPr>
            <w:tcW w:w="507" w:type="pct"/>
            <w:shd w:val="clear" w:color="auto" w:fill="auto"/>
            <w:noWrap w:val="0"/>
            <w:vAlign w:val="center"/>
          </w:tcPr>
          <w:p w14:paraId="62F8EAAC">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点次</w:t>
            </w:r>
          </w:p>
        </w:tc>
        <w:tc>
          <w:tcPr>
            <w:tcW w:w="701" w:type="pct"/>
            <w:shd w:val="clear" w:color="auto" w:fill="auto"/>
            <w:noWrap w:val="0"/>
            <w:vAlign w:val="center"/>
          </w:tcPr>
          <w:p w14:paraId="56622BCD">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300.00</w:t>
            </w:r>
          </w:p>
        </w:tc>
        <w:tc>
          <w:tcPr>
            <w:tcW w:w="813" w:type="pct"/>
            <w:shd w:val="clear" w:color="auto" w:fill="auto"/>
            <w:noWrap w:val="0"/>
            <w:vAlign w:val="center"/>
          </w:tcPr>
          <w:p w14:paraId="0CA178A6">
            <w:pPr>
              <w:widowControl/>
              <w:adjustRightInd/>
              <w:snapToGrid/>
              <w:spacing w:line="240" w:lineRule="auto"/>
              <w:ind w:firstLine="0"/>
              <w:jc w:val="center"/>
              <w:rPr>
                <w:rFonts w:hint="eastAsia"/>
                <w:snapToGrid/>
                <w:color w:val="auto"/>
                <w:sz w:val="24"/>
                <w:szCs w:val="24"/>
                <w:highlight w:val="none"/>
              </w:rPr>
            </w:pPr>
          </w:p>
        </w:tc>
        <w:tc>
          <w:tcPr>
            <w:tcW w:w="856" w:type="pct"/>
            <w:shd w:val="clear" w:color="auto" w:fill="auto"/>
            <w:noWrap w:val="0"/>
            <w:vAlign w:val="center"/>
          </w:tcPr>
          <w:p w14:paraId="5799943B">
            <w:pPr>
              <w:widowControl/>
              <w:adjustRightInd/>
              <w:snapToGrid/>
              <w:spacing w:line="240" w:lineRule="auto"/>
              <w:ind w:firstLine="0"/>
              <w:jc w:val="center"/>
              <w:rPr>
                <w:rFonts w:hint="eastAsia"/>
                <w:snapToGrid/>
                <w:color w:val="auto"/>
                <w:sz w:val="24"/>
                <w:szCs w:val="24"/>
                <w:highlight w:val="none"/>
              </w:rPr>
            </w:pPr>
          </w:p>
        </w:tc>
      </w:tr>
      <w:tr w14:paraId="32D5DE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6" w:hRule="atLeast"/>
        </w:trPr>
        <w:tc>
          <w:tcPr>
            <w:tcW w:w="577" w:type="pct"/>
            <w:shd w:val="clear" w:color="auto" w:fill="auto"/>
            <w:noWrap w:val="0"/>
            <w:vAlign w:val="center"/>
          </w:tcPr>
          <w:p w14:paraId="3632420D">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5</w:t>
            </w:r>
          </w:p>
        </w:tc>
        <w:tc>
          <w:tcPr>
            <w:tcW w:w="1543" w:type="pct"/>
            <w:shd w:val="clear" w:color="auto" w:fill="auto"/>
            <w:noWrap w:val="0"/>
            <w:vAlign w:val="center"/>
          </w:tcPr>
          <w:p w14:paraId="7E637107">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治理效果监测</w:t>
            </w:r>
          </w:p>
        </w:tc>
        <w:tc>
          <w:tcPr>
            <w:tcW w:w="507" w:type="pct"/>
            <w:shd w:val="clear" w:color="auto" w:fill="auto"/>
            <w:noWrap w:val="0"/>
            <w:vAlign w:val="center"/>
          </w:tcPr>
          <w:p w14:paraId="640D5B77">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点次</w:t>
            </w:r>
          </w:p>
        </w:tc>
        <w:tc>
          <w:tcPr>
            <w:tcW w:w="701" w:type="pct"/>
            <w:shd w:val="clear" w:color="auto" w:fill="auto"/>
            <w:noWrap w:val="0"/>
            <w:vAlign w:val="center"/>
          </w:tcPr>
          <w:p w14:paraId="0B4ACA68">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360.00</w:t>
            </w:r>
          </w:p>
        </w:tc>
        <w:tc>
          <w:tcPr>
            <w:tcW w:w="813" w:type="pct"/>
            <w:shd w:val="clear" w:color="auto" w:fill="auto"/>
            <w:noWrap w:val="0"/>
            <w:vAlign w:val="center"/>
          </w:tcPr>
          <w:p w14:paraId="2B8D7B3B">
            <w:pPr>
              <w:widowControl/>
              <w:adjustRightInd/>
              <w:snapToGrid/>
              <w:spacing w:line="240" w:lineRule="auto"/>
              <w:ind w:firstLine="0"/>
              <w:jc w:val="center"/>
              <w:rPr>
                <w:rFonts w:hint="eastAsia"/>
                <w:snapToGrid/>
                <w:color w:val="auto"/>
                <w:sz w:val="24"/>
                <w:szCs w:val="24"/>
                <w:highlight w:val="none"/>
              </w:rPr>
            </w:pPr>
          </w:p>
        </w:tc>
        <w:tc>
          <w:tcPr>
            <w:tcW w:w="856" w:type="pct"/>
            <w:shd w:val="clear" w:color="auto" w:fill="auto"/>
            <w:noWrap w:val="0"/>
            <w:vAlign w:val="center"/>
          </w:tcPr>
          <w:p w14:paraId="46BDD7F9">
            <w:pPr>
              <w:widowControl/>
              <w:adjustRightInd/>
              <w:snapToGrid/>
              <w:spacing w:line="240" w:lineRule="auto"/>
              <w:ind w:firstLine="0"/>
              <w:jc w:val="center"/>
              <w:rPr>
                <w:rFonts w:hint="eastAsia"/>
                <w:snapToGrid/>
                <w:color w:val="auto"/>
                <w:sz w:val="24"/>
                <w:szCs w:val="24"/>
                <w:highlight w:val="none"/>
              </w:rPr>
            </w:pPr>
          </w:p>
        </w:tc>
      </w:tr>
      <w:tr w14:paraId="20529E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3" w:hRule="atLeast"/>
        </w:trPr>
        <w:tc>
          <w:tcPr>
            <w:tcW w:w="5000" w:type="pct"/>
            <w:gridSpan w:val="6"/>
            <w:shd w:val="clear" w:color="auto" w:fill="auto"/>
            <w:noWrap w:val="0"/>
            <w:vAlign w:val="center"/>
          </w:tcPr>
          <w:p w14:paraId="321BB4BC">
            <w:pPr>
              <w:widowControl/>
              <w:adjustRightInd/>
              <w:snapToGrid/>
              <w:spacing w:line="240" w:lineRule="auto"/>
              <w:ind w:firstLine="0"/>
              <w:jc w:val="left"/>
              <w:rPr>
                <w:rFonts w:hint="eastAsia" w:eastAsia="宋体"/>
                <w:snapToGrid/>
                <w:color w:val="auto"/>
                <w:sz w:val="24"/>
                <w:szCs w:val="24"/>
                <w:highlight w:val="none"/>
                <w:lang w:val="en-US" w:eastAsia="zh-CN"/>
              </w:rPr>
            </w:pPr>
            <w:r>
              <w:rPr>
                <w:rFonts w:hint="eastAsia"/>
                <w:snapToGrid/>
                <w:color w:val="auto"/>
                <w:sz w:val="24"/>
                <w:szCs w:val="24"/>
                <w:highlight w:val="none"/>
                <w:lang w:val="en-US" w:eastAsia="zh-CN"/>
              </w:rPr>
              <w:t>合计：</w:t>
            </w:r>
          </w:p>
        </w:tc>
      </w:tr>
    </w:tbl>
    <w:p w14:paraId="37F1F2BD">
      <w:pPr>
        <w:numPr>
          <w:ilvl w:val="0"/>
          <w:numId w:val="0"/>
        </w:numPr>
        <w:rPr>
          <w:rFonts w:hint="eastAsia" w:ascii="Times New Roman" w:hAnsi="Times New Roman" w:eastAsia="宋体" w:cs="Times New Roman"/>
          <w:b/>
          <w:bCs/>
          <w:color w:val="auto"/>
          <w:kern w:val="0"/>
          <w:sz w:val="24"/>
          <w:szCs w:val="24"/>
          <w:highlight w:val="none"/>
        </w:rPr>
      </w:pPr>
    </w:p>
    <w:p w14:paraId="6DA3B2C6">
      <w:pPr>
        <w:numPr>
          <w:ilvl w:val="0"/>
          <w:numId w:val="0"/>
        </w:numPr>
        <w:rPr>
          <w:rFonts w:hint="eastAsia"/>
          <w:b w:val="0"/>
          <w:bCs w:val="0"/>
          <w:snapToGrid/>
          <w:color w:val="auto"/>
          <w:sz w:val="24"/>
          <w:szCs w:val="24"/>
          <w:highlight w:val="none"/>
          <w:lang w:eastAsia="zh-CN"/>
        </w:rPr>
      </w:pPr>
      <w:r>
        <w:rPr>
          <w:rFonts w:hint="eastAsia"/>
          <w:b w:val="0"/>
          <w:bCs w:val="0"/>
          <w:snapToGrid/>
          <w:color w:val="auto"/>
          <w:sz w:val="24"/>
          <w:szCs w:val="24"/>
          <w:highlight w:val="none"/>
          <w:lang w:eastAsia="zh-CN"/>
        </w:rPr>
        <w:t>（</w:t>
      </w:r>
      <w:r>
        <w:rPr>
          <w:rFonts w:hint="eastAsia"/>
          <w:b w:val="0"/>
          <w:bCs w:val="0"/>
          <w:snapToGrid/>
          <w:color w:val="auto"/>
          <w:sz w:val="24"/>
          <w:szCs w:val="24"/>
          <w:highlight w:val="none"/>
          <w:lang w:val="en-US" w:eastAsia="zh-CN"/>
        </w:rPr>
        <w:t>二</w:t>
      </w:r>
      <w:r>
        <w:rPr>
          <w:rFonts w:hint="eastAsia"/>
          <w:b w:val="0"/>
          <w:bCs w:val="0"/>
          <w:snapToGrid/>
          <w:color w:val="auto"/>
          <w:sz w:val="24"/>
          <w:szCs w:val="24"/>
          <w:highlight w:val="none"/>
          <w:lang w:eastAsia="zh-CN"/>
        </w:rPr>
        <w:t>）侯村乡黄道沟崩塌地质灾害治理工程</w:t>
      </w:r>
    </w:p>
    <w:tbl>
      <w:tblPr>
        <w:tblStyle w:val="18"/>
        <w:tblW w:w="4976"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2840"/>
        <w:gridCol w:w="971"/>
        <w:gridCol w:w="1255"/>
        <w:gridCol w:w="1499"/>
        <w:gridCol w:w="1568"/>
      </w:tblGrid>
      <w:tr w14:paraId="777052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5" w:hRule="atLeast"/>
        </w:trPr>
        <w:tc>
          <w:tcPr>
            <w:tcW w:w="1064" w:type="dxa"/>
            <w:shd w:val="clear" w:color="auto" w:fill="auto"/>
            <w:noWrap w:val="0"/>
            <w:vAlign w:val="center"/>
          </w:tcPr>
          <w:p w14:paraId="526FA2E1">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序号</w:t>
            </w:r>
          </w:p>
        </w:tc>
        <w:tc>
          <w:tcPr>
            <w:tcW w:w="2840" w:type="dxa"/>
            <w:shd w:val="clear" w:color="auto" w:fill="auto"/>
            <w:noWrap w:val="0"/>
            <w:vAlign w:val="center"/>
          </w:tcPr>
          <w:p w14:paraId="78BCE2EB">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监测工程</w:t>
            </w:r>
          </w:p>
        </w:tc>
        <w:tc>
          <w:tcPr>
            <w:tcW w:w="971" w:type="dxa"/>
            <w:shd w:val="clear" w:color="auto" w:fill="auto"/>
            <w:noWrap/>
            <w:vAlign w:val="center"/>
          </w:tcPr>
          <w:p w14:paraId="2DABE4F0">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单位</w:t>
            </w:r>
            <w:r>
              <w:rPr>
                <w:rFonts w:hint="eastAsia"/>
                <w:snapToGrid/>
                <w:color w:val="auto"/>
                <w:sz w:val="24"/>
                <w:szCs w:val="24"/>
                <w:highlight w:val="none"/>
              </w:rPr>
              <w:t>　</w:t>
            </w:r>
          </w:p>
        </w:tc>
        <w:tc>
          <w:tcPr>
            <w:tcW w:w="1255" w:type="dxa"/>
            <w:shd w:val="clear" w:color="auto" w:fill="auto"/>
            <w:noWrap/>
            <w:vAlign w:val="center"/>
          </w:tcPr>
          <w:p w14:paraId="5C2B9A3A">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数量</w:t>
            </w:r>
            <w:r>
              <w:rPr>
                <w:rFonts w:hint="eastAsia"/>
                <w:snapToGrid/>
                <w:color w:val="auto"/>
                <w:sz w:val="24"/>
                <w:szCs w:val="24"/>
                <w:highlight w:val="none"/>
              </w:rPr>
              <w:t>　</w:t>
            </w:r>
          </w:p>
        </w:tc>
        <w:tc>
          <w:tcPr>
            <w:tcW w:w="1499" w:type="dxa"/>
            <w:shd w:val="clear" w:color="auto" w:fill="auto"/>
            <w:noWrap/>
            <w:vAlign w:val="center"/>
          </w:tcPr>
          <w:p w14:paraId="089D550D">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单价（元）</w:t>
            </w:r>
          </w:p>
        </w:tc>
        <w:tc>
          <w:tcPr>
            <w:tcW w:w="1568" w:type="dxa"/>
            <w:shd w:val="clear" w:color="auto" w:fill="auto"/>
            <w:noWrap w:val="0"/>
            <w:vAlign w:val="center"/>
          </w:tcPr>
          <w:p w14:paraId="58E50C77">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总价（元）</w:t>
            </w:r>
          </w:p>
        </w:tc>
      </w:tr>
      <w:tr w14:paraId="22F256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1064" w:type="dxa"/>
            <w:shd w:val="clear" w:color="auto" w:fill="auto"/>
            <w:noWrap w:val="0"/>
            <w:vAlign w:val="center"/>
          </w:tcPr>
          <w:p w14:paraId="1BF4A055">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1</w:t>
            </w:r>
          </w:p>
        </w:tc>
        <w:tc>
          <w:tcPr>
            <w:tcW w:w="2840" w:type="dxa"/>
            <w:shd w:val="clear" w:color="auto" w:fill="auto"/>
            <w:noWrap w:val="0"/>
            <w:vAlign w:val="center"/>
          </w:tcPr>
          <w:p w14:paraId="2AB5941C">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基准点</w:t>
            </w:r>
          </w:p>
        </w:tc>
        <w:tc>
          <w:tcPr>
            <w:tcW w:w="971" w:type="dxa"/>
            <w:shd w:val="clear" w:color="auto" w:fill="auto"/>
            <w:noWrap w:val="0"/>
            <w:vAlign w:val="center"/>
          </w:tcPr>
          <w:p w14:paraId="44A6BC30">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55" w:type="dxa"/>
            <w:shd w:val="clear" w:color="auto" w:fill="auto"/>
            <w:noWrap w:val="0"/>
            <w:vAlign w:val="center"/>
          </w:tcPr>
          <w:p w14:paraId="34C3EF76">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3.00</w:t>
            </w:r>
          </w:p>
        </w:tc>
        <w:tc>
          <w:tcPr>
            <w:tcW w:w="1499" w:type="dxa"/>
            <w:shd w:val="clear" w:color="auto" w:fill="auto"/>
            <w:noWrap w:val="0"/>
            <w:vAlign w:val="center"/>
          </w:tcPr>
          <w:p w14:paraId="6AFEBFE9">
            <w:pPr>
              <w:widowControl/>
              <w:adjustRightInd/>
              <w:snapToGrid/>
              <w:spacing w:line="240" w:lineRule="auto"/>
              <w:ind w:firstLine="0"/>
              <w:jc w:val="center"/>
              <w:rPr>
                <w:rFonts w:hint="eastAsia"/>
                <w:snapToGrid/>
                <w:color w:val="auto"/>
                <w:sz w:val="24"/>
                <w:szCs w:val="24"/>
                <w:highlight w:val="none"/>
              </w:rPr>
            </w:pPr>
          </w:p>
        </w:tc>
        <w:tc>
          <w:tcPr>
            <w:tcW w:w="1568" w:type="dxa"/>
            <w:shd w:val="clear" w:color="auto" w:fill="auto"/>
            <w:noWrap w:val="0"/>
            <w:vAlign w:val="center"/>
          </w:tcPr>
          <w:p w14:paraId="0BC76E26">
            <w:pPr>
              <w:widowControl/>
              <w:adjustRightInd/>
              <w:snapToGrid/>
              <w:spacing w:line="240" w:lineRule="auto"/>
              <w:ind w:firstLine="0"/>
              <w:jc w:val="center"/>
              <w:rPr>
                <w:rFonts w:hint="eastAsia"/>
                <w:snapToGrid/>
                <w:color w:val="auto"/>
                <w:sz w:val="24"/>
                <w:szCs w:val="24"/>
                <w:highlight w:val="none"/>
              </w:rPr>
            </w:pPr>
          </w:p>
        </w:tc>
      </w:tr>
      <w:tr w14:paraId="710523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1064" w:type="dxa"/>
            <w:shd w:val="clear" w:color="auto" w:fill="auto"/>
            <w:noWrap w:val="0"/>
            <w:vAlign w:val="center"/>
          </w:tcPr>
          <w:p w14:paraId="284ED739">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2</w:t>
            </w:r>
          </w:p>
        </w:tc>
        <w:tc>
          <w:tcPr>
            <w:tcW w:w="2840" w:type="dxa"/>
            <w:shd w:val="clear" w:color="auto" w:fill="auto"/>
            <w:noWrap w:val="0"/>
            <w:vAlign w:val="center"/>
          </w:tcPr>
          <w:p w14:paraId="3BE23F05">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施工安全监测点</w:t>
            </w:r>
          </w:p>
        </w:tc>
        <w:tc>
          <w:tcPr>
            <w:tcW w:w="971" w:type="dxa"/>
            <w:shd w:val="clear" w:color="auto" w:fill="auto"/>
            <w:noWrap w:val="0"/>
            <w:vAlign w:val="center"/>
          </w:tcPr>
          <w:p w14:paraId="1194328F">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55" w:type="dxa"/>
            <w:shd w:val="clear" w:color="auto" w:fill="auto"/>
            <w:noWrap w:val="0"/>
            <w:vAlign w:val="center"/>
          </w:tcPr>
          <w:p w14:paraId="56C80A9A">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3.00</w:t>
            </w:r>
          </w:p>
        </w:tc>
        <w:tc>
          <w:tcPr>
            <w:tcW w:w="1499" w:type="dxa"/>
            <w:shd w:val="clear" w:color="auto" w:fill="auto"/>
            <w:noWrap w:val="0"/>
            <w:vAlign w:val="center"/>
          </w:tcPr>
          <w:p w14:paraId="206F386C">
            <w:pPr>
              <w:widowControl/>
              <w:adjustRightInd/>
              <w:snapToGrid/>
              <w:spacing w:line="240" w:lineRule="auto"/>
              <w:ind w:firstLine="0"/>
              <w:jc w:val="center"/>
              <w:rPr>
                <w:rFonts w:hint="eastAsia"/>
                <w:snapToGrid/>
                <w:color w:val="auto"/>
                <w:sz w:val="24"/>
                <w:szCs w:val="24"/>
                <w:highlight w:val="none"/>
              </w:rPr>
            </w:pPr>
          </w:p>
        </w:tc>
        <w:tc>
          <w:tcPr>
            <w:tcW w:w="1568" w:type="dxa"/>
            <w:shd w:val="clear" w:color="auto" w:fill="auto"/>
            <w:noWrap w:val="0"/>
            <w:vAlign w:val="center"/>
          </w:tcPr>
          <w:p w14:paraId="4BDCBBB2">
            <w:pPr>
              <w:widowControl/>
              <w:adjustRightInd/>
              <w:snapToGrid/>
              <w:spacing w:line="240" w:lineRule="auto"/>
              <w:ind w:firstLine="0"/>
              <w:jc w:val="center"/>
              <w:rPr>
                <w:rFonts w:hint="eastAsia"/>
                <w:snapToGrid/>
                <w:color w:val="auto"/>
                <w:sz w:val="24"/>
                <w:szCs w:val="24"/>
                <w:highlight w:val="none"/>
              </w:rPr>
            </w:pPr>
          </w:p>
        </w:tc>
      </w:tr>
      <w:tr w14:paraId="643184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1064" w:type="dxa"/>
            <w:shd w:val="clear" w:color="auto" w:fill="auto"/>
            <w:noWrap w:val="0"/>
            <w:vAlign w:val="center"/>
          </w:tcPr>
          <w:p w14:paraId="6347D4F7">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3</w:t>
            </w:r>
          </w:p>
        </w:tc>
        <w:tc>
          <w:tcPr>
            <w:tcW w:w="2840" w:type="dxa"/>
            <w:shd w:val="clear" w:color="auto" w:fill="auto"/>
            <w:noWrap w:val="0"/>
            <w:vAlign w:val="center"/>
          </w:tcPr>
          <w:p w14:paraId="399293C7">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治理效果监测点</w:t>
            </w:r>
          </w:p>
        </w:tc>
        <w:tc>
          <w:tcPr>
            <w:tcW w:w="971" w:type="dxa"/>
            <w:shd w:val="clear" w:color="auto" w:fill="auto"/>
            <w:noWrap w:val="0"/>
            <w:vAlign w:val="center"/>
          </w:tcPr>
          <w:p w14:paraId="79BFC577">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55" w:type="dxa"/>
            <w:shd w:val="clear" w:color="auto" w:fill="auto"/>
            <w:noWrap w:val="0"/>
            <w:vAlign w:val="center"/>
          </w:tcPr>
          <w:p w14:paraId="2D2D3630">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6.00</w:t>
            </w:r>
          </w:p>
        </w:tc>
        <w:tc>
          <w:tcPr>
            <w:tcW w:w="1499" w:type="dxa"/>
            <w:shd w:val="clear" w:color="auto" w:fill="auto"/>
            <w:noWrap w:val="0"/>
            <w:vAlign w:val="center"/>
          </w:tcPr>
          <w:p w14:paraId="7AA2A4D5">
            <w:pPr>
              <w:widowControl/>
              <w:adjustRightInd/>
              <w:snapToGrid/>
              <w:spacing w:line="240" w:lineRule="auto"/>
              <w:ind w:firstLine="0"/>
              <w:jc w:val="center"/>
              <w:rPr>
                <w:rFonts w:hint="eastAsia"/>
                <w:snapToGrid/>
                <w:color w:val="auto"/>
                <w:sz w:val="24"/>
                <w:szCs w:val="24"/>
                <w:highlight w:val="none"/>
              </w:rPr>
            </w:pPr>
          </w:p>
        </w:tc>
        <w:tc>
          <w:tcPr>
            <w:tcW w:w="1568" w:type="dxa"/>
            <w:shd w:val="clear" w:color="auto" w:fill="auto"/>
            <w:noWrap w:val="0"/>
            <w:vAlign w:val="center"/>
          </w:tcPr>
          <w:p w14:paraId="0AC8786D">
            <w:pPr>
              <w:widowControl/>
              <w:adjustRightInd/>
              <w:snapToGrid/>
              <w:spacing w:line="240" w:lineRule="auto"/>
              <w:ind w:firstLine="0"/>
              <w:jc w:val="center"/>
              <w:rPr>
                <w:rFonts w:hint="eastAsia"/>
                <w:snapToGrid/>
                <w:color w:val="auto"/>
                <w:sz w:val="24"/>
                <w:szCs w:val="24"/>
                <w:highlight w:val="none"/>
              </w:rPr>
            </w:pPr>
          </w:p>
        </w:tc>
      </w:tr>
      <w:tr w14:paraId="4F087B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1064" w:type="dxa"/>
            <w:shd w:val="clear" w:color="auto" w:fill="auto"/>
            <w:noWrap w:val="0"/>
            <w:vAlign w:val="center"/>
          </w:tcPr>
          <w:p w14:paraId="24738B6B">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4</w:t>
            </w:r>
          </w:p>
        </w:tc>
        <w:tc>
          <w:tcPr>
            <w:tcW w:w="2840" w:type="dxa"/>
            <w:shd w:val="clear" w:color="auto" w:fill="auto"/>
            <w:noWrap w:val="0"/>
            <w:vAlign w:val="center"/>
          </w:tcPr>
          <w:p w14:paraId="42D56D50">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施工安全监测</w:t>
            </w:r>
          </w:p>
        </w:tc>
        <w:tc>
          <w:tcPr>
            <w:tcW w:w="971" w:type="dxa"/>
            <w:shd w:val="clear" w:color="auto" w:fill="auto"/>
            <w:noWrap w:val="0"/>
            <w:vAlign w:val="center"/>
          </w:tcPr>
          <w:p w14:paraId="681F96B4">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点次</w:t>
            </w:r>
          </w:p>
        </w:tc>
        <w:tc>
          <w:tcPr>
            <w:tcW w:w="1255" w:type="dxa"/>
            <w:shd w:val="clear" w:color="auto" w:fill="auto"/>
            <w:noWrap w:val="0"/>
            <w:vAlign w:val="center"/>
          </w:tcPr>
          <w:p w14:paraId="06407921">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270.00</w:t>
            </w:r>
          </w:p>
        </w:tc>
        <w:tc>
          <w:tcPr>
            <w:tcW w:w="1499" w:type="dxa"/>
            <w:shd w:val="clear" w:color="auto" w:fill="auto"/>
            <w:noWrap w:val="0"/>
            <w:vAlign w:val="center"/>
          </w:tcPr>
          <w:p w14:paraId="6779086C">
            <w:pPr>
              <w:widowControl/>
              <w:adjustRightInd/>
              <w:snapToGrid/>
              <w:spacing w:line="240" w:lineRule="auto"/>
              <w:ind w:firstLine="0"/>
              <w:jc w:val="center"/>
              <w:rPr>
                <w:rFonts w:hint="eastAsia"/>
                <w:snapToGrid/>
                <w:color w:val="auto"/>
                <w:sz w:val="24"/>
                <w:szCs w:val="24"/>
                <w:highlight w:val="none"/>
              </w:rPr>
            </w:pPr>
          </w:p>
        </w:tc>
        <w:tc>
          <w:tcPr>
            <w:tcW w:w="1568" w:type="dxa"/>
            <w:shd w:val="clear" w:color="auto" w:fill="auto"/>
            <w:noWrap w:val="0"/>
            <w:vAlign w:val="center"/>
          </w:tcPr>
          <w:p w14:paraId="1369207E">
            <w:pPr>
              <w:widowControl/>
              <w:adjustRightInd/>
              <w:snapToGrid/>
              <w:spacing w:line="240" w:lineRule="auto"/>
              <w:ind w:firstLine="0"/>
              <w:jc w:val="center"/>
              <w:rPr>
                <w:rFonts w:hint="eastAsia"/>
                <w:snapToGrid/>
                <w:color w:val="auto"/>
                <w:sz w:val="24"/>
                <w:szCs w:val="24"/>
                <w:highlight w:val="none"/>
              </w:rPr>
            </w:pPr>
          </w:p>
        </w:tc>
      </w:tr>
      <w:tr w14:paraId="035B4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1064" w:type="dxa"/>
            <w:shd w:val="clear" w:color="auto" w:fill="auto"/>
            <w:noWrap w:val="0"/>
            <w:vAlign w:val="center"/>
          </w:tcPr>
          <w:p w14:paraId="4856CA55">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5</w:t>
            </w:r>
          </w:p>
        </w:tc>
        <w:tc>
          <w:tcPr>
            <w:tcW w:w="2840" w:type="dxa"/>
            <w:shd w:val="clear" w:color="auto" w:fill="auto"/>
            <w:noWrap w:val="0"/>
            <w:vAlign w:val="center"/>
          </w:tcPr>
          <w:p w14:paraId="4A217DDE">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治理效果监测</w:t>
            </w:r>
          </w:p>
        </w:tc>
        <w:tc>
          <w:tcPr>
            <w:tcW w:w="971" w:type="dxa"/>
            <w:shd w:val="clear" w:color="auto" w:fill="auto"/>
            <w:noWrap w:val="0"/>
            <w:vAlign w:val="center"/>
          </w:tcPr>
          <w:p w14:paraId="44AC3926">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点次</w:t>
            </w:r>
          </w:p>
        </w:tc>
        <w:tc>
          <w:tcPr>
            <w:tcW w:w="1255" w:type="dxa"/>
            <w:shd w:val="clear" w:color="auto" w:fill="auto"/>
            <w:noWrap w:val="0"/>
            <w:vAlign w:val="center"/>
          </w:tcPr>
          <w:p w14:paraId="630280E5">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216.00</w:t>
            </w:r>
          </w:p>
        </w:tc>
        <w:tc>
          <w:tcPr>
            <w:tcW w:w="1499" w:type="dxa"/>
            <w:shd w:val="clear" w:color="auto" w:fill="auto"/>
            <w:noWrap w:val="0"/>
            <w:vAlign w:val="center"/>
          </w:tcPr>
          <w:p w14:paraId="526A0293">
            <w:pPr>
              <w:widowControl/>
              <w:adjustRightInd/>
              <w:snapToGrid/>
              <w:spacing w:line="240" w:lineRule="auto"/>
              <w:ind w:firstLine="0"/>
              <w:jc w:val="center"/>
              <w:rPr>
                <w:rFonts w:hint="eastAsia"/>
                <w:snapToGrid/>
                <w:color w:val="auto"/>
                <w:sz w:val="24"/>
                <w:szCs w:val="24"/>
                <w:highlight w:val="none"/>
              </w:rPr>
            </w:pPr>
          </w:p>
        </w:tc>
        <w:tc>
          <w:tcPr>
            <w:tcW w:w="1568" w:type="dxa"/>
            <w:shd w:val="clear" w:color="auto" w:fill="auto"/>
            <w:noWrap w:val="0"/>
            <w:vAlign w:val="center"/>
          </w:tcPr>
          <w:p w14:paraId="1043386C">
            <w:pPr>
              <w:widowControl/>
              <w:adjustRightInd/>
              <w:snapToGrid/>
              <w:spacing w:line="240" w:lineRule="auto"/>
              <w:ind w:firstLine="0"/>
              <w:jc w:val="center"/>
              <w:rPr>
                <w:rFonts w:hint="eastAsia"/>
                <w:snapToGrid/>
                <w:color w:val="auto"/>
                <w:sz w:val="24"/>
                <w:szCs w:val="24"/>
                <w:highlight w:val="none"/>
              </w:rPr>
            </w:pPr>
          </w:p>
        </w:tc>
      </w:tr>
      <w:tr w14:paraId="7585D7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9197" w:type="dxa"/>
            <w:gridSpan w:val="6"/>
            <w:shd w:val="clear" w:color="auto" w:fill="auto"/>
            <w:noWrap w:val="0"/>
            <w:vAlign w:val="center"/>
          </w:tcPr>
          <w:p w14:paraId="0BD951C7">
            <w:pPr>
              <w:widowControl/>
              <w:adjustRightInd/>
              <w:snapToGrid/>
              <w:spacing w:line="240" w:lineRule="auto"/>
              <w:ind w:firstLine="0"/>
              <w:jc w:val="left"/>
              <w:rPr>
                <w:rFonts w:hint="eastAsia"/>
                <w:snapToGrid/>
                <w:color w:val="auto"/>
                <w:sz w:val="24"/>
                <w:szCs w:val="24"/>
                <w:highlight w:val="none"/>
              </w:rPr>
            </w:pPr>
            <w:r>
              <w:rPr>
                <w:rFonts w:hint="eastAsia"/>
                <w:snapToGrid/>
                <w:color w:val="auto"/>
                <w:sz w:val="24"/>
                <w:szCs w:val="24"/>
                <w:highlight w:val="none"/>
                <w:lang w:val="en-US" w:eastAsia="zh-CN"/>
              </w:rPr>
              <w:t>合计：</w:t>
            </w:r>
          </w:p>
        </w:tc>
      </w:tr>
    </w:tbl>
    <w:p w14:paraId="26F67573">
      <w:pPr>
        <w:numPr>
          <w:ilvl w:val="0"/>
          <w:numId w:val="0"/>
        </w:numPr>
        <w:rPr>
          <w:rFonts w:hint="eastAsia"/>
          <w:snapToGrid/>
          <w:color w:val="auto"/>
          <w:sz w:val="24"/>
          <w:szCs w:val="24"/>
          <w:highlight w:val="none"/>
        </w:rPr>
      </w:pPr>
    </w:p>
    <w:p w14:paraId="1370E1E2">
      <w:pPr>
        <w:numPr>
          <w:ilvl w:val="0"/>
          <w:numId w:val="0"/>
        </w:numPr>
        <w:rPr>
          <w:rFonts w:hint="eastAsia"/>
          <w:b w:val="0"/>
          <w:bCs w:val="0"/>
          <w:snapToGrid/>
          <w:color w:val="auto"/>
          <w:sz w:val="24"/>
          <w:szCs w:val="24"/>
          <w:highlight w:val="none"/>
          <w:lang w:eastAsia="zh-CN"/>
        </w:rPr>
      </w:pPr>
      <w:r>
        <w:rPr>
          <w:rFonts w:hint="eastAsia"/>
          <w:b w:val="0"/>
          <w:bCs w:val="0"/>
          <w:snapToGrid/>
          <w:color w:val="auto"/>
          <w:sz w:val="24"/>
          <w:szCs w:val="24"/>
          <w:highlight w:val="none"/>
          <w:lang w:eastAsia="zh-CN"/>
        </w:rPr>
        <w:t>（</w:t>
      </w:r>
      <w:r>
        <w:rPr>
          <w:rFonts w:hint="eastAsia"/>
          <w:b w:val="0"/>
          <w:bCs w:val="0"/>
          <w:snapToGrid/>
          <w:color w:val="auto"/>
          <w:sz w:val="24"/>
          <w:szCs w:val="24"/>
          <w:highlight w:val="none"/>
          <w:lang w:val="en-US" w:eastAsia="zh-CN"/>
        </w:rPr>
        <w:t>三</w:t>
      </w:r>
      <w:r>
        <w:rPr>
          <w:rFonts w:hint="eastAsia"/>
          <w:b w:val="0"/>
          <w:bCs w:val="0"/>
          <w:snapToGrid/>
          <w:color w:val="auto"/>
          <w:sz w:val="24"/>
          <w:szCs w:val="24"/>
          <w:highlight w:val="none"/>
          <w:lang w:eastAsia="zh-CN"/>
        </w:rPr>
        <w:t>）侯村乡园子村崩塌地质灾害治理工程</w:t>
      </w:r>
    </w:p>
    <w:tbl>
      <w:tblPr>
        <w:tblStyle w:val="18"/>
        <w:tblW w:w="4997"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70"/>
        <w:gridCol w:w="2852"/>
        <w:gridCol w:w="957"/>
        <w:gridCol w:w="1277"/>
        <w:gridCol w:w="1506"/>
        <w:gridCol w:w="1573"/>
      </w:tblGrid>
      <w:tr w14:paraId="4A9518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trPr>
        <w:tc>
          <w:tcPr>
            <w:tcW w:w="1070" w:type="dxa"/>
            <w:shd w:val="clear" w:color="auto" w:fill="auto"/>
            <w:noWrap w:val="0"/>
            <w:vAlign w:val="center"/>
          </w:tcPr>
          <w:p w14:paraId="506506A7">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序号</w:t>
            </w:r>
          </w:p>
        </w:tc>
        <w:tc>
          <w:tcPr>
            <w:tcW w:w="2853" w:type="dxa"/>
            <w:shd w:val="clear" w:color="auto" w:fill="auto"/>
            <w:noWrap w:val="0"/>
            <w:vAlign w:val="center"/>
          </w:tcPr>
          <w:p w14:paraId="5E27634E">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监测工程</w:t>
            </w:r>
          </w:p>
        </w:tc>
        <w:tc>
          <w:tcPr>
            <w:tcW w:w="957" w:type="dxa"/>
            <w:shd w:val="clear" w:color="auto" w:fill="auto"/>
            <w:noWrap/>
            <w:vAlign w:val="center"/>
          </w:tcPr>
          <w:p w14:paraId="6480CDEF">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单位</w:t>
            </w:r>
            <w:r>
              <w:rPr>
                <w:rFonts w:hint="eastAsia"/>
                <w:snapToGrid/>
                <w:color w:val="auto"/>
                <w:sz w:val="24"/>
                <w:szCs w:val="24"/>
                <w:highlight w:val="none"/>
              </w:rPr>
              <w:t>　</w:t>
            </w:r>
          </w:p>
        </w:tc>
        <w:tc>
          <w:tcPr>
            <w:tcW w:w="1277" w:type="dxa"/>
            <w:shd w:val="clear" w:color="auto" w:fill="auto"/>
            <w:noWrap/>
            <w:vAlign w:val="center"/>
          </w:tcPr>
          <w:p w14:paraId="3964A02B">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数量</w:t>
            </w:r>
            <w:r>
              <w:rPr>
                <w:rFonts w:hint="eastAsia"/>
                <w:snapToGrid/>
                <w:color w:val="auto"/>
                <w:sz w:val="24"/>
                <w:szCs w:val="24"/>
                <w:highlight w:val="none"/>
              </w:rPr>
              <w:t>　</w:t>
            </w:r>
          </w:p>
        </w:tc>
        <w:tc>
          <w:tcPr>
            <w:tcW w:w="1506" w:type="dxa"/>
            <w:shd w:val="clear" w:color="auto" w:fill="auto"/>
            <w:noWrap/>
            <w:vAlign w:val="center"/>
          </w:tcPr>
          <w:p w14:paraId="74525B53">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单价（元）</w:t>
            </w:r>
          </w:p>
        </w:tc>
        <w:tc>
          <w:tcPr>
            <w:tcW w:w="1573" w:type="dxa"/>
            <w:shd w:val="clear" w:color="auto" w:fill="auto"/>
            <w:noWrap w:val="0"/>
            <w:vAlign w:val="center"/>
          </w:tcPr>
          <w:p w14:paraId="0C38F85C">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总价（元）</w:t>
            </w:r>
          </w:p>
        </w:tc>
      </w:tr>
      <w:tr w14:paraId="3B4AE9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3" w:hRule="atLeast"/>
        </w:trPr>
        <w:tc>
          <w:tcPr>
            <w:tcW w:w="1070" w:type="dxa"/>
            <w:shd w:val="clear" w:color="auto" w:fill="auto"/>
            <w:noWrap w:val="0"/>
            <w:vAlign w:val="center"/>
          </w:tcPr>
          <w:p w14:paraId="3F20F9F5">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1</w:t>
            </w:r>
          </w:p>
        </w:tc>
        <w:tc>
          <w:tcPr>
            <w:tcW w:w="2853" w:type="dxa"/>
            <w:shd w:val="clear" w:color="auto" w:fill="auto"/>
            <w:noWrap w:val="0"/>
            <w:vAlign w:val="center"/>
          </w:tcPr>
          <w:p w14:paraId="2FC6EB29">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基准点</w:t>
            </w:r>
          </w:p>
        </w:tc>
        <w:tc>
          <w:tcPr>
            <w:tcW w:w="957" w:type="dxa"/>
            <w:shd w:val="clear" w:color="auto" w:fill="auto"/>
            <w:noWrap w:val="0"/>
            <w:vAlign w:val="center"/>
          </w:tcPr>
          <w:p w14:paraId="59E0D296">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77" w:type="dxa"/>
            <w:shd w:val="clear" w:color="auto" w:fill="auto"/>
            <w:noWrap w:val="0"/>
            <w:vAlign w:val="center"/>
          </w:tcPr>
          <w:p w14:paraId="2726A1F3">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3.00</w:t>
            </w:r>
          </w:p>
        </w:tc>
        <w:tc>
          <w:tcPr>
            <w:tcW w:w="1506" w:type="dxa"/>
            <w:shd w:val="clear" w:color="auto" w:fill="auto"/>
            <w:noWrap w:val="0"/>
            <w:vAlign w:val="center"/>
          </w:tcPr>
          <w:p w14:paraId="4D8654A5">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2BC9AE73">
            <w:pPr>
              <w:widowControl/>
              <w:adjustRightInd/>
              <w:snapToGrid/>
              <w:spacing w:line="240" w:lineRule="auto"/>
              <w:ind w:firstLine="0"/>
              <w:jc w:val="center"/>
              <w:rPr>
                <w:rFonts w:hint="eastAsia"/>
                <w:snapToGrid/>
                <w:color w:val="auto"/>
                <w:sz w:val="24"/>
                <w:szCs w:val="24"/>
                <w:highlight w:val="none"/>
              </w:rPr>
            </w:pPr>
          </w:p>
        </w:tc>
      </w:tr>
      <w:tr w14:paraId="11D99F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3" w:hRule="atLeast"/>
        </w:trPr>
        <w:tc>
          <w:tcPr>
            <w:tcW w:w="1070" w:type="dxa"/>
            <w:shd w:val="clear" w:color="auto" w:fill="auto"/>
            <w:noWrap w:val="0"/>
            <w:vAlign w:val="center"/>
          </w:tcPr>
          <w:p w14:paraId="03F93E07">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2</w:t>
            </w:r>
          </w:p>
        </w:tc>
        <w:tc>
          <w:tcPr>
            <w:tcW w:w="2853" w:type="dxa"/>
            <w:shd w:val="clear" w:color="auto" w:fill="auto"/>
            <w:noWrap w:val="0"/>
            <w:vAlign w:val="center"/>
          </w:tcPr>
          <w:p w14:paraId="4ED5D1D6">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施工安全监测点</w:t>
            </w:r>
          </w:p>
        </w:tc>
        <w:tc>
          <w:tcPr>
            <w:tcW w:w="957" w:type="dxa"/>
            <w:shd w:val="clear" w:color="auto" w:fill="auto"/>
            <w:noWrap w:val="0"/>
            <w:vAlign w:val="center"/>
          </w:tcPr>
          <w:p w14:paraId="79C40493">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77" w:type="dxa"/>
            <w:shd w:val="clear" w:color="auto" w:fill="auto"/>
            <w:noWrap w:val="0"/>
            <w:vAlign w:val="center"/>
          </w:tcPr>
          <w:p w14:paraId="5CCC941D">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3.00</w:t>
            </w:r>
          </w:p>
        </w:tc>
        <w:tc>
          <w:tcPr>
            <w:tcW w:w="1506" w:type="dxa"/>
            <w:shd w:val="clear" w:color="auto" w:fill="auto"/>
            <w:noWrap w:val="0"/>
            <w:vAlign w:val="center"/>
          </w:tcPr>
          <w:p w14:paraId="76217772">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6D73E1B4">
            <w:pPr>
              <w:widowControl/>
              <w:adjustRightInd/>
              <w:snapToGrid/>
              <w:spacing w:line="240" w:lineRule="auto"/>
              <w:ind w:firstLine="0"/>
              <w:jc w:val="center"/>
              <w:rPr>
                <w:rFonts w:hint="eastAsia"/>
                <w:snapToGrid/>
                <w:color w:val="auto"/>
                <w:sz w:val="24"/>
                <w:szCs w:val="24"/>
                <w:highlight w:val="none"/>
              </w:rPr>
            </w:pPr>
          </w:p>
        </w:tc>
      </w:tr>
      <w:tr w14:paraId="05AF74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3" w:hRule="atLeast"/>
        </w:trPr>
        <w:tc>
          <w:tcPr>
            <w:tcW w:w="1070" w:type="dxa"/>
            <w:shd w:val="clear" w:color="auto" w:fill="auto"/>
            <w:noWrap w:val="0"/>
            <w:vAlign w:val="center"/>
          </w:tcPr>
          <w:p w14:paraId="3CF4A716">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3</w:t>
            </w:r>
          </w:p>
        </w:tc>
        <w:tc>
          <w:tcPr>
            <w:tcW w:w="2853" w:type="dxa"/>
            <w:shd w:val="clear" w:color="auto" w:fill="auto"/>
            <w:noWrap w:val="0"/>
            <w:vAlign w:val="center"/>
          </w:tcPr>
          <w:p w14:paraId="6BF73F94">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治理效果监测点</w:t>
            </w:r>
          </w:p>
        </w:tc>
        <w:tc>
          <w:tcPr>
            <w:tcW w:w="957" w:type="dxa"/>
            <w:shd w:val="clear" w:color="auto" w:fill="auto"/>
            <w:noWrap w:val="0"/>
            <w:vAlign w:val="center"/>
          </w:tcPr>
          <w:p w14:paraId="1366D654">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77" w:type="dxa"/>
            <w:shd w:val="clear" w:color="auto" w:fill="auto"/>
            <w:noWrap w:val="0"/>
            <w:vAlign w:val="center"/>
          </w:tcPr>
          <w:p w14:paraId="439EC9FE">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6.00</w:t>
            </w:r>
          </w:p>
        </w:tc>
        <w:tc>
          <w:tcPr>
            <w:tcW w:w="1506" w:type="dxa"/>
            <w:shd w:val="clear" w:color="auto" w:fill="auto"/>
            <w:noWrap w:val="0"/>
            <w:vAlign w:val="center"/>
          </w:tcPr>
          <w:p w14:paraId="2E9906A5">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7B256AD8">
            <w:pPr>
              <w:widowControl/>
              <w:adjustRightInd/>
              <w:snapToGrid/>
              <w:spacing w:line="240" w:lineRule="auto"/>
              <w:ind w:firstLine="0"/>
              <w:jc w:val="center"/>
              <w:rPr>
                <w:rFonts w:hint="eastAsia"/>
                <w:snapToGrid/>
                <w:color w:val="auto"/>
                <w:sz w:val="24"/>
                <w:szCs w:val="24"/>
                <w:highlight w:val="none"/>
              </w:rPr>
            </w:pPr>
          </w:p>
        </w:tc>
      </w:tr>
      <w:tr w14:paraId="1DF75A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3" w:hRule="atLeast"/>
        </w:trPr>
        <w:tc>
          <w:tcPr>
            <w:tcW w:w="1070" w:type="dxa"/>
            <w:shd w:val="clear" w:color="auto" w:fill="auto"/>
            <w:noWrap w:val="0"/>
            <w:vAlign w:val="center"/>
          </w:tcPr>
          <w:p w14:paraId="3CE3DBBC">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4</w:t>
            </w:r>
          </w:p>
        </w:tc>
        <w:tc>
          <w:tcPr>
            <w:tcW w:w="2853" w:type="dxa"/>
            <w:shd w:val="clear" w:color="auto" w:fill="auto"/>
            <w:noWrap w:val="0"/>
            <w:vAlign w:val="center"/>
          </w:tcPr>
          <w:p w14:paraId="7880A22B">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施工安全监测</w:t>
            </w:r>
          </w:p>
        </w:tc>
        <w:tc>
          <w:tcPr>
            <w:tcW w:w="957" w:type="dxa"/>
            <w:shd w:val="clear" w:color="auto" w:fill="auto"/>
            <w:noWrap w:val="0"/>
            <w:vAlign w:val="center"/>
          </w:tcPr>
          <w:p w14:paraId="59ED7D5C">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点次</w:t>
            </w:r>
          </w:p>
        </w:tc>
        <w:tc>
          <w:tcPr>
            <w:tcW w:w="1277" w:type="dxa"/>
            <w:shd w:val="clear" w:color="auto" w:fill="auto"/>
            <w:noWrap w:val="0"/>
            <w:vAlign w:val="center"/>
          </w:tcPr>
          <w:p w14:paraId="6F049BCA">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270.00</w:t>
            </w:r>
          </w:p>
        </w:tc>
        <w:tc>
          <w:tcPr>
            <w:tcW w:w="1506" w:type="dxa"/>
            <w:shd w:val="clear" w:color="auto" w:fill="auto"/>
            <w:noWrap w:val="0"/>
            <w:vAlign w:val="center"/>
          </w:tcPr>
          <w:p w14:paraId="679644B2">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146F3382">
            <w:pPr>
              <w:widowControl/>
              <w:adjustRightInd/>
              <w:snapToGrid/>
              <w:spacing w:line="240" w:lineRule="auto"/>
              <w:ind w:firstLine="0"/>
              <w:jc w:val="center"/>
              <w:rPr>
                <w:rFonts w:hint="eastAsia"/>
                <w:snapToGrid/>
                <w:color w:val="auto"/>
                <w:sz w:val="24"/>
                <w:szCs w:val="24"/>
                <w:highlight w:val="none"/>
              </w:rPr>
            </w:pPr>
          </w:p>
        </w:tc>
      </w:tr>
      <w:tr w14:paraId="25FB83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3" w:hRule="atLeast"/>
        </w:trPr>
        <w:tc>
          <w:tcPr>
            <w:tcW w:w="1070" w:type="dxa"/>
            <w:shd w:val="clear" w:color="auto" w:fill="auto"/>
            <w:noWrap w:val="0"/>
            <w:vAlign w:val="center"/>
          </w:tcPr>
          <w:p w14:paraId="032F0E90">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5</w:t>
            </w:r>
          </w:p>
        </w:tc>
        <w:tc>
          <w:tcPr>
            <w:tcW w:w="2853" w:type="dxa"/>
            <w:shd w:val="clear" w:color="auto" w:fill="auto"/>
            <w:noWrap w:val="0"/>
            <w:vAlign w:val="center"/>
          </w:tcPr>
          <w:p w14:paraId="5E6AC667">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治理效果监测</w:t>
            </w:r>
          </w:p>
        </w:tc>
        <w:tc>
          <w:tcPr>
            <w:tcW w:w="957" w:type="dxa"/>
            <w:shd w:val="clear" w:color="auto" w:fill="auto"/>
            <w:noWrap w:val="0"/>
            <w:vAlign w:val="center"/>
          </w:tcPr>
          <w:p w14:paraId="10DE3908">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点次</w:t>
            </w:r>
          </w:p>
        </w:tc>
        <w:tc>
          <w:tcPr>
            <w:tcW w:w="1277" w:type="dxa"/>
            <w:shd w:val="clear" w:color="auto" w:fill="auto"/>
            <w:noWrap w:val="0"/>
            <w:vAlign w:val="center"/>
          </w:tcPr>
          <w:p w14:paraId="590950C5">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216.00</w:t>
            </w:r>
          </w:p>
        </w:tc>
        <w:tc>
          <w:tcPr>
            <w:tcW w:w="1506" w:type="dxa"/>
            <w:shd w:val="clear" w:color="auto" w:fill="auto"/>
            <w:noWrap w:val="0"/>
            <w:vAlign w:val="center"/>
          </w:tcPr>
          <w:p w14:paraId="7D4596E3">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168E36F1">
            <w:pPr>
              <w:widowControl/>
              <w:adjustRightInd/>
              <w:snapToGrid/>
              <w:spacing w:line="240" w:lineRule="auto"/>
              <w:ind w:firstLine="0"/>
              <w:jc w:val="center"/>
              <w:rPr>
                <w:rFonts w:hint="eastAsia"/>
                <w:snapToGrid/>
                <w:color w:val="auto"/>
                <w:sz w:val="24"/>
                <w:szCs w:val="24"/>
                <w:highlight w:val="none"/>
              </w:rPr>
            </w:pPr>
          </w:p>
        </w:tc>
      </w:tr>
      <w:tr w14:paraId="7FFF3B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7" w:hRule="atLeast"/>
        </w:trPr>
        <w:tc>
          <w:tcPr>
            <w:tcW w:w="9236" w:type="dxa"/>
            <w:gridSpan w:val="6"/>
            <w:shd w:val="clear" w:color="auto" w:fill="auto"/>
            <w:noWrap w:val="0"/>
            <w:vAlign w:val="center"/>
          </w:tcPr>
          <w:p w14:paraId="06D1C766">
            <w:pPr>
              <w:widowControl/>
              <w:adjustRightInd/>
              <w:snapToGrid/>
              <w:spacing w:line="240" w:lineRule="auto"/>
              <w:ind w:firstLine="0"/>
              <w:jc w:val="left"/>
              <w:rPr>
                <w:rFonts w:hint="eastAsia"/>
                <w:snapToGrid/>
                <w:color w:val="auto"/>
                <w:sz w:val="24"/>
                <w:szCs w:val="24"/>
                <w:highlight w:val="none"/>
              </w:rPr>
            </w:pPr>
            <w:r>
              <w:rPr>
                <w:rFonts w:hint="eastAsia"/>
                <w:snapToGrid/>
                <w:color w:val="auto"/>
                <w:sz w:val="24"/>
                <w:szCs w:val="24"/>
                <w:highlight w:val="none"/>
                <w:lang w:val="en-US" w:eastAsia="zh-CN"/>
              </w:rPr>
              <w:t>合计：</w:t>
            </w:r>
          </w:p>
        </w:tc>
      </w:tr>
    </w:tbl>
    <w:p w14:paraId="60EB6F6C">
      <w:pPr>
        <w:numPr>
          <w:ilvl w:val="0"/>
          <w:numId w:val="0"/>
        </w:numPr>
        <w:rPr>
          <w:rFonts w:hint="eastAsia"/>
          <w:b w:val="0"/>
          <w:bCs w:val="0"/>
          <w:snapToGrid/>
          <w:color w:val="auto"/>
          <w:sz w:val="24"/>
          <w:szCs w:val="24"/>
          <w:highlight w:val="none"/>
          <w:lang w:eastAsia="zh-CN"/>
        </w:rPr>
      </w:pPr>
      <w:r>
        <w:rPr>
          <w:rFonts w:hint="eastAsia"/>
          <w:b w:val="0"/>
          <w:bCs w:val="0"/>
          <w:snapToGrid/>
          <w:color w:val="auto"/>
          <w:sz w:val="24"/>
          <w:szCs w:val="24"/>
          <w:highlight w:val="none"/>
          <w:lang w:eastAsia="zh-CN"/>
        </w:rPr>
        <w:t>（</w:t>
      </w:r>
      <w:r>
        <w:rPr>
          <w:rFonts w:hint="eastAsia"/>
          <w:b w:val="0"/>
          <w:bCs w:val="0"/>
          <w:snapToGrid/>
          <w:color w:val="auto"/>
          <w:sz w:val="24"/>
          <w:szCs w:val="24"/>
          <w:highlight w:val="none"/>
          <w:lang w:val="en-US" w:eastAsia="zh-CN"/>
        </w:rPr>
        <w:t>四</w:t>
      </w:r>
      <w:r>
        <w:rPr>
          <w:rFonts w:hint="eastAsia"/>
          <w:b w:val="0"/>
          <w:bCs w:val="0"/>
          <w:snapToGrid/>
          <w:color w:val="auto"/>
          <w:sz w:val="24"/>
          <w:szCs w:val="24"/>
          <w:highlight w:val="none"/>
          <w:lang w:eastAsia="zh-CN"/>
        </w:rPr>
        <w:t>）大盂镇东南窊村崩塌地质灾害治理工程</w:t>
      </w:r>
    </w:p>
    <w:tbl>
      <w:tblPr>
        <w:tblStyle w:val="18"/>
        <w:tblW w:w="4997"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69"/>
        <w:gridCol w:w="2853"/>
        <w:gridCol w:w="957"/>
        <w:gridCol w:w="1278"/>
        <w:gridCol w:w="1505"/>
        <w:gridCol w:w="1573"/>
      </w:tblGrid>
      <w:tr w14:paraId="63C1EB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2" w:hRule="atLeast"/>
        </w:trPr>
        <w:tc>
          <w:tcPr>
            <w:tcW w:w="1070" w:type="dxa"/>
            <w:shd w:val="clear" w:color="auto" w:fill="auto"/>
            <w:noWrap w:val="0"/>
            <w:vAlign w:val="center"/>
          </w:tcPr>
          <w:p w14:paraId="479BAA3B">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序号</w:t>
            </w:r>
          </w:p>
        </w:tc>
        <w:tc>
          <w:tcPr>
            <w:tcW w:w="2854" w:type="dxa"/>
            <w:shd w:val="clear" w:color="auto" w:fill="auto"/>
            <w:noWrap w:val="0"/>
            <w:vAlign w:val="center"/>
          </w:tcPr>
          <w:p w14:paraId="4C07592E">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监测工程</w:t>
            </w:r>
          </w:p>
        </w:tc>
        <w:tc>
          <w:tcPr>
            <w:tcW w:w="957" w:type="dxa"/>
            <w:shd w:val="clear" w:color="auto" w:fill="auto"/>
            <w:noWrap/>
            <w:vAlign w:val="center"/>
          </w:tcPr>
          <w:p w14:paraId="3D46FE3D">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单位</w:t>
            </w:r>
            <w:r>
              <w:rPr>
                <w:rFonts w:hint="eastAsia"/>
                <w:snapToGrid/>
                <w:color w:val="auto"/>
                <w:sz w:val="24"/>
                <w:szCs w:val="24"/>
                <w:highlight w:val="none"/>
              </w:rPr>
              <w:t>　</w:t>
            </w:r>
          </w:p>
        </w:tc>
        <w:tc>
          <w:tcPr>
            <w:tcW w:w="1278" w:type="dxa"/>
            <w:shd w:val="clear" w:color="auto" w:fill="auto"/>
            <w:noWrap/>
            <w:vAlign w:val="center"/>
          </w:tcPr>
          <w:p w14:paraId="54A3A7B7">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数量</w:t>
            </w:r>
            <w:r>
              <w:rPr>
                <w:rFonts w:hint="eastAsia"/>
                <w:snapToGrid/>
                <w:color w:val="auto"/>
                <w:sz w:val="24"/>
                <w:szCs w:val="24"/>
                <w:highlight w:val="none"/>
              </w:rPr>
              <w:t>　</w:t>
            </w:r>
          </w:p>
        </w:tc>
        <w:tc>
          <w:tcPr>
            <w:tcW w:w="1505" w:type="dxa"/>
            <w:shd w:val="clear" w:color="auto" w:fill="auto"/>
            <w:noWrap/>
            <w:vAlign w:val="center"/>
          </w:tcPr>
          <w:p w14:paraId="04518A6E">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单价（元）</w:t>
            </w:r>
          </w:p>
        </w:tc>
        <w:tc>
          <w:tcPr>
            <w:tcW w:w="1573" w:type="dxa"/>
            <w:shd w:val="clear" w:color="auto" w:fill="auto"/>
            <w:noWrap w:val="0"/>
            <w:vAlign w:val="center"/>
          </w:tcPr>
          <w:p w14:paraId="405FE051">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总价（元）</w:t>
            </w:r>
          </w:p>
        </w:tc>
      </w:tr>
      <w:tr w14:paraId="44E1C1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1070" w:type="dxa"/>
            <w:shd w:val="clear" w:color="auto" w:fill="auto"/>
            <w:noWrap w:val="0"/>
            <w:vAlign w:val="center"/>
          </w:tcPr>
          <w:p w14:paraId="60874883">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1</w:t>
            </w:r>
          </w:p>
        </w:tc>
        <w:tc>
          <w:tcPr>
            <w:tcW w:w="2854" w:type="dxa"/>
            <w:shd w:val="clear" w:color="auto" w:fill="auto"/>
            <w:noWrap w:val="0"/>
            <w:vAlign w:val="center"/>
          </w:tcPr>
          <w:p w14:paraId="6B283CD2">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基准点</w:t>
            </w:r>
          </w:p>
        </w:tc>
        <w:tc>
          <w:tcPr>
            <w:tcW w:w="957" w:type="dxa"/>
            <w:shd w:val="clear" w:color="auto" w:fill="auto"/>
            <w:noWrap w:val="0"/>
            <w:vAlign w:val="center"/>
          </w:tcPr>
          <w:p w14:paraId="5786ED1F">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78" w:type="dxa"/>
            <w:shd w:val="clear" w:color="auto" w:fill="auto"/>
            <w:noWrap w:val="0"/>
            <w:vAlign w:val="center"/>
          </w:tcPr>
          <w:p w14:paraId="11A62CC6">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3.00</w:t>
            </w:r>
          </w:p>
        </w:tc>
        <w:tc>
          <w:tcPr>
            <w:tcW w:w="1505" w:type="dxa"/>
            <w:shd w:val="clear" w:color="auto" w:fill="auto"/>
            <w:noWrap w:val="0"/>
            <w:vAlign w:val="center"/>
          </w:tcPr>
          <w:p w14:paraId="533985FE">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2CF9DBC7">
            <w:pPr>
              <w:widowControl/>
              <w:adjustRightInd/>
              <w:snapToGrid/>
              <w:spacing w:line="240" w:lineRule="auto"/>
              <w:ind w:firstLine="0"/>
              <w:jc w:val="center"/>
              <w:rPr>
                <w:rFonts w:hint="eastAsia"/>
                <w:snapToGrid/>
                <w:color w:val="auto"/>
                <w:sz w:val="24"/>
                <w:szCs w:val="24"/>
                <w:highlight w:val="none"/>
              </w:rPr>
            </w:pPr>
          </w:p>
        </w:tc>
      </w:tr>
      <w:tr w14:paraId="596CEF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1070" w:type="dxa"/>
            <w:shd w:val="clear" w:color="auto" w:fill="auto"/>
            <w:noWrap w:val="0"/>
            <w:vAlign w:val="center"/>
          </w:tcPr>
          <w:p w14:paraId="464D2485">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2</w:t>
            </w:r>
          </w:p>
        </w:tc>
        <w:tc>
          <w:tcPr>
            <w:tcW w:w="2854" w:type="dxa"/>
            <w:shd w:val="clear" w:color="auto" w:fill="auto"/>
            <w:noWrap w:val="0"/>
            <w:vAlign w:val="center"/>
          </w:tcPr>
          <w:p w14:paraId="2DD37D3B">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施工安全监测点</w:t>
            </w:r>
          </w:p>
        </w:tc>
        <w:tc>
          <w:tcPr>
            <w:tcW w:w="957" w:type="dxa"/>
            <w:shd w:val="clear" w:color="auto" w:fill="auto"/>
            <w:noWrap w:val="0"/>
            <w:vAlign w:val="center"/>
          </w:tcPr>
          <w:p w14:paraId="4161F202">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78" w:type="dxa"/>
            <w:shd w:val="clear" w:color="auto" w:fill="auto"/>
            <w:noWrap w:val="0"/>
            <w:vAlign w:val="center"/>
          </w:tcPr>
          <w:p w14:paraId="3E60FAED">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4.00</w:t>
            </w:r>
          </w:p>
        </w:tc>
        <w:tc>
          <w:tcPr>
            <w:tcW w:w="1505" w:type="dxa"/>
            <w:shd w:val="clear" w:color="auto" w:fill="auto"/>
            <w:noWrap w:val="0"/>
            <w:vAlign w:val="center"/>
          </w:tcPr>
          <w:p w14:paraId="3A5A426D">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1D702356">
            <w:pPr>
              <w:widowControl/>
              <w:adjustRightInd/>
              <w:snapToGrid/>
              <w:spacing w:line="240" w:lineRule="auto"/>
              <w:ind w:firstLine="0"/>
              <w:jc w:val="center"/>
              <w:rPr>
                <w:rFonts w:hint="eastAsia"/>
                <w:snapToGrid/>
                <w:color w:val="auto"/>
                <w:sz w:val="24"/>
                <w:szCs w:val="24"/>
                <w:highlight w:val="none"/>
              </w:rPr>
            </w:pPr>
          </w:p>
        </w:tc>
      </w:tr>
      <w:tr w14:paraId="44A631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1070" w:type="dxa"/>
            <w:shd w:val="clear" w:color="auto" w:fill="auto"/>
            <w:noWrap w:val="0"/>
            <w:vAlign w:val="center"/>
          </w:tcPr>
          <w:p w14:paraId="54417139">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3</w:t>
            </w:r>
          </w:p>
        </w:tc>
        <w:tc>
          <w:tcPr>
            <w:tcW w:w="2854" w:type="dxa"/>
            <w:shd w:val="clear" w:color="auto" w:fill="auto"/>
            <w:noWrap w:val="0"/>
            <w:vAlign w:val="center"/>
          </w:tcPr>
          <w:p w14:paraId="4DA0AAEC">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治理效果监测点</w:t>
            </w:r>
          </w:p>
        </w:tc>
        <w:tc>
          <w:tcPr>
            <w:tcW w:w="957" w:type="dxa"/>
            <w:shd w:val="clear" w:color="auto" w:fill="auto"/>
            <w:noWrap w:val="0"/>
            <w:vAlign w:val="center"/>
          </w:tcPr>
          <w:p w14:paraId="07DD0DFF">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78" w:type="dxa"/>
            <w:shd w:val="clear" w:color="auto" w:fill="auto"/>
            <w:noWrap w:val="0"/>
            <w:vAlign w:val="center"/>
          </w:tcPr>
          <w:p w14:paraId="45FD03F9">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8.00</w:t>
            </w:r>
          </w:p>
        </w:tc>
        <w:tc>
          <w:tcPr>
            <w:tcW w:w="1505" w:type="dxa"/>
            <w:shd w:val="clear" w:color="auto" w:fill="auto"/>
            <w:noWrap w:val="0"/>
            <w:vAlign w:val="center"/>
          </w:tcPr>
          <w:p w14:paraId="24392281">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58E4E81B">
            <w:pPr>
              <w:widowControl/>
              <w:adjustRightInd/>
              <w:snapToGrid/>
              <w:spacing w:line="240" w:lineRule="auto"/>
              <w:ind w:firstLine="0"/>
              <w:jc w:val="center"/>
              <w:rPr>
                <w:rFonts w:hint="eastAsia"/>
                <w:snapToGrid/>
                <w:color w:val="auto"/>
                <w:sz w:val="24"/>
                <w:szCs w:val="24"/>
                <w:highlight w:val="none"/>
              </w:rPr>
            </w:pPr>
          </w:p>
        </w:tc>
      </w:tr>
      <w:tr w14:paraId="68DC16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1070" w:type="dxa"/>
            <w:shd w:val="clear" w:color="auto" w:fill="auto"/>
            <w:noWrap w:val="0"/>
            <w:vAlign w:val="center"/>
          </w:tcPr>
          <w:p w14:paraId="3844C27C">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4</w:t>
            </w:r>
          </w:p>
        </w:tc>
        <w:tc>
          <w:tcPr>
            <w:tcW w:w="2854" w:type="dxa"/>
            <w:shd w:val="clear" w:color="auto" w:fill="auto"/>
            <w:noWrap w:val="0"/>
            <w:vAlign w:val="center"/>
          </w:tcPr>
          <w:p w14:paraId="4ACEC154">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施工安全监测</w:t>
            </w:r>
          </w:p>
        </w:tc>
        <w:tc>
          <w:tcPr>
            <w:tcW w:w="957" w:type="dxa"/>
            <w:shd w:val="clear" w:color="auto" w:fill="auto"/>
            <w:noWrap w:val="0"/>
            <w:vAlign w:val="center"/>
          </w:tcPr>
          <w:p w14:paraId="50644A31">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点次</w:t>
            </w:r>
          </w:p>
        </w:tc>
        <w:tc>
          <w:tcPr>
            <w:tcW w:w="1278" w:type="dxa"/>
            <w:shd w:val="clear" w:color="auto" w:fill="auto"/>
            <w:noWrap w:val="0"/>
            <w:vAlign w:val="center"/>
          </w:tcPr>
          <w:p w14:paraId="3714A669">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240.00</w:t>
            </w:r>
          </w:p>
        </w:tc>
        <w:tc>
          <w:tcPr>
            <w:tcW w:w="1505" w:type="dxa"/>
            <w:shd w:val="clear" w:color="auto" w:fill="auto"/>
            <w:noWrap w:val="0"/>
            <w:vAlign w:val="center"/>
          </w:tcPr>
          <w:p w14:paraId="4DDDB557">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16A6DFCA">
            <w:pPr>
              <w:widowControl/>
              <w:adjustRightInd/>
              <w:snapToGrid/>
              <w:spacing w:line="240" w:lineRule="auto"/>
              <w:ind w:firstLine="0"/>
              <w:jc w:val="center"/>
              <w:rPr>
                <w:rFonts w:hint="eastAsia"/>
                <w:snapToGrid/>
                <w:color w:val="auto"/>
                <w:sz w:val="24"/>
                <w:szCs w:val="24"/>
                <w:highlight w:val="none"/>
              </w:rPr>
            </w:pPr>
          </w:p>
        </w:tc>
      </w:tr>
      <w:tr w14:paraId="2A34B3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6" w:hRule="atLeast"/>
        </w:trPr>
        <w:tc>
          <w:tcPr>
            <w:tcW w:w="1070" w:type="dxa"/>
            <w:shd w:val="clear" w:color="auto" w:fill="auto"/>
            <w:noWrap w:val="0"/>
            <w:vAlign w:val="center"/>
          </w:tcPr>
          <w:p w14:paraId="787A9EC4">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5</w:t>
            </w:r>
          </w:p>
        </w:tc>
        <w:tc>
          <w:tcPr>
            <w:tcW w:w="2854" w:type="dxa"/>
            <w:shd w:val="clear" w:color="auto" w:fill="auto"/>
            <w:noWrap w:val="0"/>
            <w:vAlign w:val="center"/>
          </w:tcPr>
          <w:p w14:paraId="1D881FCE">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治理效果监测</w:t>
            </w:r>
          </w:p>
        </w:tc>
        <w:tc>
          <w:tcPr>
            <w:tcW w:w="957" w:type="dxa"/>
            <w:shd w:val="clear" w:color="auto" w:fill="auto"/>
            <w:noWrap w:val="0"/>
            <w:vAlign w:val="center"/>
          </w:tcPr>
          <w:p w14:paraId="74BF57AE">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点次</w:t>
            </w:r>
          </w:p>
        </w:tc>
        <w:tc>
          <w:tcPr>
            <w:tcW w:w="1278" w:type="dxa"/>
            <w:shd w:val="clear" w:color="auto" w:fill="auto"/>
            <w:noWrap w:val="0"/>
            <w:vAlign w:val="center"/>
          </w:tcPr>
          <w:p w14:paraId="6C758482">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288.00</w:t>
            </w:r>
          </w:p>
        </w:tc>
        <w:tc>
          <w:tcPr>
            <w:tcW w:w="1505" w:type="dxa"/>
            <w:shd w:val="clear" w:color="auto" w:fill="auto"/>
            <w:noWrap w:val="0"/>
            <w:vAlign w:val="center"/>
          </w:tcPr>
          <w:p w14:paraId="0E1267B0">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3428AA7E">
            <w:pPr>
              <w:widowControl/>
              <w:adjustRightInd/>
              <w:snapToGrid/>
              <w:spacing w:line="240" w:lineRule="auto"/>
              <w:ind w:firstLine="0"/>
              <w:jc w:val="center"/>
              <w:rPr>
                <w:rFonts w:hint="eastAsia"/>
                <w:snapToGrid/>
                <w:color w:val="auto"/>
                <w:sz w:val="24"/>
                <w:szCs w:val="24"/>
                <w:highlight w:val="none"/>
              </w:rPr>
            </w:pPr>
          </w:p>
        </w:tc>
      </w:tr>
      <w:tr w14:paraId="08E171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8" w:hRule="atLeast"/>
        </w:trPr>
        <w:tc>
          <w:tcPr>
            <w:tcW w:w="9237" w:type="dxa"/>
            <w:gridSpan w:val="6"/>
            <w:shd w:val="clear" w:color="auto" w:fill="auto"/>
            <w:noWrap w:val="0"/>
            <w:vAlign w:val="center"/>
          </w:tcPr>
          <w:p w14:paraId="6D3073F5">
            <w:pPr>
              <w:widowControl/>
              <w:adjustRightInd/>
              <w:snapToGrid/>
              <w:spacing w:line="240" w:lineRule="auto"/>
              <w:ind w:firstLine="0"/>
              <w:jc w:val="left"/>
              <w:rPr>
                <w:rFonts w:hint="eastAsia"/>
                <w:snapToGrid/>
                <w:color w:val="auto"/>
                <w:sz w:val="24"/>
                <w:szCs w:val="24"/>
                <w:highlight w:val="none"/>
              </w:rPr>
            </w:pPr>
            <w:r>
              <w:rPr>
                <w:rFonts w:hint="eastAsia"/>
                <w:snapToGrid/>
                <w:color w:val="auto"/>
                <w:sz w:val="24"/>
                <w:szCs w:val="24"/>
                <w:highlight w:val="none"/>
                <w:lang w:val="en-US" w:eastAsia="zh-CN"/>
              </w:rPr>
              <w:t>合计：</w:t>
            </w:r>
          </w:p>
        </w:tc>
      </w:tr>
    </w:tbl>
    <w:p w14:paraId="726B95DA">
      <w:pPr>
        <w:numPr>
          <w:ilvl w:val="0"/>
          <w:numId w:val="0"/>
        </w:numPr>
        <w:rPr>
          <w:rFonts w:hint="eastAsia"/>
          <w:b w:val="0"/>
          <w:bCs w:val="0"/>
          <w:snapToGrid/>
          <w:color w:val="auto"/>
          <w:sz w:val="24"/>
          <w:szCs w:val="24"/>
          <w:highlight w:val="none"/>
          <w:lang w:eastAsia="zh-CN"/>
        </w:rPr>
      </w:pPr>
    </w:p>
    <w:p w14:paraId="5C185434">
      <w:pPr>
        <w:numPr>
          <w:ilvl w:val="0"/>
          <w:numId w:val="0"/>
        </w:numPr>
        <w:rPr>
          <w:rFonts w:hint="eastAsia"/>
          <w:b w:val="0"/>
          <w:bCs w:val="0"/>
          <w:snapToGrid/>
          <w:color w:val="auto"/>
          <w:sz w:val="24"/>
          <w:szCs w:val="24"/>
          <w:highlight w:val="none"/>
          <w:lang w:eastAsia="zh-CN"/>
        </w:rPr>
      </w:pPr>
      <w:r>
        <w:rPr>
          <w:rFonts w:hint="eastAsia"/>
          <w:b w:val="0"/>
          <w:bCs w:val="0"/>
          <w:snapToGrid/>
          <w:color w:val="auto"/>
          <w:sz w:val="24"/>
          <w:szCs w:val="24"/>
          <w:highlight w:val="none"/>
          <w:lang w:eastAsia="zh-CN"/>
        </w:rPr>
        <w:t>（</w:t>
      </w:r>
      <w:r>
        <w:rPr>
          <w:rFonts w:hint="eastAsia"/>
          <w:b w:val="0"/>
          <w:bCs w:val="0"/>
          <w:snapToGrid/>
          <w:color w:val="auto"/>
          <w:sz w:val="24"/>
          <w:szCs w:val="24"/>
          <w:highlight w:val="none"/>
          <w:lang w:val="en-US" w:eastAsia="zh-CN"/>
        </w:rPr>
        <w:t>五</w:t>
      </w:r>
      <w:r>
        <w:rPr>
          <w:rFonts w:hint="eastAsia"/>
          <w:b w:val="0"/>
          <w:bCs w:val="0"/>
          <w:snapToGrid/>
          <w:color w:val="auto"/>
          <w:sz w:val="24"/>
          <w:szCs w:val="24"/>
          <w:highlight w:val="none"/>
          <w:lang w:eastAsia="zh-CN"/>
        </w:rPr>
        <w:t>）东黄水镇石沟东村崩塌地质灾害治理工程</w:t>
      </w:r>
    </w:p>
    <w:tbl>
      <w:tblPr>
        <w:tblStyle w:val="18"/>
        <w:tblW w:w="4997"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69"/>
        <w:gridCol w:w="2853"/>
        <w:gridCol w:w="957"/>
        <w:gridCol w:w="1278"/>
        <w:gridCol w:w="1505"/>
        <w:gridCol w:w="1573"/>
      </w:tblGrid>
      <w:tr w14:paraId="73FB37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2" w:hRule="atLeast"/>
        </w:trPr>
        <w:tc>
          <w:tcPr>
            <w:tcW w:w="1070" w:type="dxa"/>
            <w:shd w:val="clear" w:color="auto" w:fill="auto"/>
            <w:noWrap w:val="0"/>
            <w:vAlign w:val="center"/>
          </w:tcPr>
          <w:p w14:paraId="307E2DFA">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序号</w:t>
            </w:r>
          </w:p>
        </w:tc>
        <w:tc>
          <w:tcPr>
            <w:tcW w:w="2854" w:type="dxa"/>
            <w:shd w:val="clear" w:color="auto" w:fill="auto"/>
            <w:noWrap w:val="0"/>
            <w:vAlign w:val="center"/>
          </w:tcPr>
          <w:p w14:paraId="08A824AD">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监测工程</w:t>
            </w:r>
          </w:p>
        </w:tc>
        <w:tc>
          <w:tcPr>
            <w:tcW w:w="957" w:type="dxa"/>
            <w:shd w:val="clear" w:color="auto" w:fill="auto"/>
            <w:noWrap/>
            <w:vAlign w:val="center"/>
          </w:tcPr>
          <w:p w14:paraId="3DD3CD88">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单位</w:t>
            </w:r>
            <w:r>
              <w:rPr>
                <w:rFonts w:hint="eastAsia"/>
                <w:snapToGrid/>
                <w:color w:val="auto"/>
                <w:sz w:val="24"/>
                <w:szCs w:val="24"/>
                <w:highlight w:val="none"/>
              </w:rPr>
              <w:t>　</w:t>
            </w:r>
          </w:p>
        </w:tc>
        <w:tc>
          <w:tcPr>
            <w:tcW w:w="1278" w:type="dxa"/>
            <w:shd w:val="clear" w:color="auto" w:fill="auto"/>
            <w:noWrap/>
            <w:vAlign w:val="center"/>
          </w:tcPr>
          <w:p w14:paraId="37950D49">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数量</w:t>
            </w:r>
            <w:r>
              <w:rPr>
                <w:rFonts w:hint="eastAsia"/>
                <w:snapToGrid/>
                <w:color w:val="auto"/>
                <w:sz w:val="24"/>
                <w:szCs w:val="24"/>
                <w:highlight w:val="none"/>
              </w:rPr>
              <w:t>　</w:t>
            </w:r>
          </w:p>
        </w:tc>
        <w:tc>
          <w:tcPr>
            <w:tcW w:w="1505" w:type="dxa"/>
            <w:shd w:val="clear" w:color="auto" w:fill="auto"/>
            <w:noWrap/>
            <w:vAlign w:val="center"/>
          </w:tcPr>
          <w:p w14:paraId="762C6639">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单价（元）</w:t>
            </w:r>
          </w:p>
        </w:tc>
        <w:tc>
          <w:tcPr>
            <w:tcW w:w="1573" w:type="dxa"/>
            <w:shd w:val="clear" w:color="auto" w:fill="auto"/>
            <w:noWrap w:val="0"/>
            <w:vAlign w:val="center"/>
          </w:tcPr>
          <w:p w14:paraId="70A99BDE">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lang w:val="en-US" w:eastAsia="zh-CN"/>
              </w:rPr>
              <w:t>总价（元）</w:t>
            </w:r>
          </w:p>
        </w:tc>
      </w:tr>
      <w:tr w14:paraId="14943A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4" w:hRule="atLeast"/>
        </w:trPr>
        <w:tc>
          <w:tcPr>
            <w:tcW w:w="1070" w:type="dxa"/>
            <w:shd w:val="clear" w:color="auto" w:fill="auto"/>
            <w:noWrap w:val="0"/>
            <w:vAlign w:val="center"/>
          </w:tcPr>
          <w:p w14:paraId="4BF79144">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1</w:t>
            </w:r>
          </w:p>
        </w:tc>
        <w:tc>
          <w:tcPr>
            <w:tcW w:w="2854" w:type="dxa"/>
            <w:shd w:val="clear" w:color="auto" w:fill="auto"/>
            <w:noWrap w:val="0"/>
            <w:vAlign w:val="center"/>
          </w:tcPr>
          <w:p w14:paraId="3E1D9B2C">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基准点</w:t>
            </w:r>
          </w:p>
        </w:tc>
        <w:tc>
          <w:tcPr>
            <w:tcW w:w="957" w:type="dxa"/>
            <w:shd w:val="clear" w:color="auto" w:fill="auto"/>
            <w:noWrap w:val="0"/>
            <w:vAlign w:val="center"/>
          </w:tcPr>
          <w:p w14:paraId="5EE92B4A">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78" w:type="dxa"/>
            <w:shd w:val="clear" w:color="auto" w:fill="auto"/>
            <w:noWrap w:val="0"/>
            <w:vAlign w:val="center"/>
          </w:tcPr>
          <w:p w14:paraId="189CEEB2">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3.00</w:t>
            </w:r>
          </w:p>
        </w:tc>
        <w:tc>
          <w:tcPr>
            <w:tcW w:w="1505" w:type="dxa"/>
            <w:shd w:val="clear" w:color="auto" w:fill="auto"/>
            <w:noWrap w:val="0"/>
            <w:vAlign w:val="center"/>
          </w:tcPr>
          <w:p w14:paraId="49B7862A">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7F731C39">
            <w:pPr>
              <w:widowControl/>
              <w:adjustRightInd/>
              <w:snapToGrid/>
              <w:spacing w:line="240" w:lineRule="auto"/>
              <w:ind w:firstLine="0"/>
              <w:jc w:val="center"/>
              <w:rPr>
                <w:rFonts w:hint="eastAsia"/>
                <w:snapToGrid/>
                <w:color w:val="auto"/>
                <w:sz w:val="24"/>
                <w:szCs w:val="24"/>
                <w:highlight w:val="none"/>
              </w:rPr>
            </w:pPr>
          </w:p>
        </w:tc>
      </w:tr>
      <w:tr w14:paraId="65BF65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4" w:hRule="atLeast"/>
        </w:trPr>
        <w:tc>
          <w:tcPr>
            <w:tcW w:w="1070" w:type="dxa"/>
            <w:shd w:val="clear" w:color="auto" w:fill="auto"/>
            <w:noWrap w:val="0"/>
            <w:vAlign w:val="center"/>
          </w:tcPr>
          <w:p w14:paraId="284B9DFB">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2</w:t>
            </w:r>
          </w:p>
        </w:tc>
        <w:tc>
          <w:tcPr>
            <w:tcW w:w="2854" w:type="dxa"/>
            <w:shd w:val="clear" w:color="auto" w:fill="auto"/>
            <w:noWrap w:val="0"/>
            <w:vAlign w:val="center"/>
          </w:tcPr>
          <w:p w14:paraId="65F8EB37">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施工安全监测点</w:t>
            </w:r>
          </w:p>
        </w:tc>
        <w:tc>
          <w:tcPr>
            <w:tcW w:w="957" w:type="dxa"/>
            <w:shd w:val="clear" w:color="auto" w:fill="auto"/>
            <w:noWrap w:val="0"/>
            <w:vAlign w:val="center"/>
          </w:tcPr>
          <w:p w14:paraId="24638B21">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78" w:type="dxa"/>
            <w:shd w:val="clear" w:color="auto" w:fill="auto"/>
            <w:noWrap w:val="0"/>
            <w:vAlign w:val="center"/>
          </w:tcPr>
          <w:p w14:paraId="22463595">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2.00</w:t>
            </w:r>
          </w:p>
        </w:tc>
        <w:tc>
          <w:tcPr>
            <w:tcW w:w="1505" w:type="dxa"/>
            <w:shd w:val="clear" w:color="auto" w:fill="auto"/>
            <w:noWrap w:val="0"/>
            <w:vAlign w:val="center"/>
          </w:tcPr>
          <w:p w14:paraId="78AAA3B1">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3D1FF246">
            <w:pPr>
              <w:widowControl/>
              <w:adjustRightInd/>
              <w:snapToGrid/>
              <w:spacing w:line="240" w:lineRule="auto"/>
              <w:ind w:firstLine="0"/>
              <w:jc w:val="center"/>
              <w:rPr>
                <w:rFonts w:hint="eastAsia"/>
                <w:snapToGrid/>
                <w:color w:val="auto"/>
                <w:sz w:val="24"/>
                <w:szCs w:val="24"/>
                <w:highlight w:val="none"/>
              </w:rPr>
            </w:pPr>
          </w:p>
        </w:tc>
      </w:tr>
      <w:tr w14:paraId="721441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4" w:hRule="atLeast"/>
        </w:trPr>
        <w:tc>
          <w:tcPr>
            <w:tcW w:w="1070" w:type="dxa"/>
            <w:shd w:val="clear" w:color="auto" w:fill="auto"/>
            <w:noWrap w:val="0"/>
            <w:vAlign w:val="center"/>
          </w:tcPr>
          <w:p w14:paraId="1F841D8A">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3</w:t>
            </w:r>
          </w:p>
        </w:tc>
        <w:tc>
          <w:tcPr>
            <w:tcW w:w="2854" w:type="dxa"/>
            <w:shd w:val="clear" w:color="auto" w:fill="auto"/>
            <w:noWrap w:val="0"/>
            <w:vAlign w:val="center"/>
          </w:tcPr>
          <w:p w14:paraId="1095843E">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治理效果监测点</w:t>
            </w:r>
          </w:p>
        </w:tc>
        <w:tc>
          <w:tcPr>
            <w:tcW w:w="957" w:type="dxa"/>
            <w:shd w:val="clear" w:color="auto" w:fill="auto"/>
            <w:noWrap w:val="0"/>
            <w:vAlign w:val="center"/>
          </w:tcPr>
          <w:p w14:paraId="1A6289FD">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w:t>
            </w:r>
          </w:p>
        </w:tc>
        <w:tc>
          <w:tcPr>
            <w:tcW w:w="1278" w:type="dxa"/>
            <w:shd w:val="clear" w:color="auto" w:fill="auto"/>
            <w:noWrap w:val="0"/>
            <w:vAlign w:val="center"/>
          </w:tcPr>
          <w:p w14:paraId="041A3310">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4.00</w:t>
            </w:r>
          </w:p>
        </w:tc>
        <w:tc>
          <w:tcPr>
            <w:tcW w:w="1505" w:type="dxa"/>
            <w:shd w:val="clear" w:color="auto" w:fill="auto"/>
            <w:noWrap w:val="0"/>
            <w:vAlign w:val="center"/>
          </w:tcPr>
          <w:p w14:paraId="1F6A1DFB">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6AAED633">
            <w:pPr>
              <w:widowControl/>
              <w:adjustRightInd/>
              <w:snapToGrid/>
              <w:spacing w:line="240" w:lineRule="auto"/>
              <w:ind w:firstLine="0"/>
              <w:jc w:val="center"/>
              <w:rPr>
                <w:rFonts w:hint="eastAsia"/>
                <w:snapToGrid/>
                <w:color w:val="auto"/>
                <w:sz w:val="24"/>
                <w:szCs w:val="24"/>
                <w:highlight w:val="none"/>
              </w:rPr>
            </w:pPr>
          </w:p>
        </w:tc>
      </w:tr>
      <w:tr w14:paraId="7C1FE6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4" w:hRule="atLeast"/>
        </w:trPr>
        <w:tc>
          <w:tcPr>
            <w:tcW w:w="1070" w:type="dxa"/>
            <w:shd w:val="clear" w:color="auto" w:fill="auto"/>
            <w:noWrap w:val="0"/>
            <w:vAlign w:val="center"/>
          </w:tcPr>
          <w:p w14:paraId="0D30D0D9">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4</w:t>
            </w:r>
          </w:p>
        </w:tc>
        <w:tc>
          <w:tcPr>
            <w:tcW w:w="2854" w:type="dxa"/>
            <w:shd w:val="clear" w:color="auto" w:fill="auto"/>
            <w:noWrap w:val="0"/>
            <w:vAlign w:val="center"/>
          </w:tcPr>
          <w:p w14:paraId="6BCD7190">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施工安全监测</w:t>
            </w:r>
          </w:p>
        </w:tc>
        <w:tc>
          <w:tcPr>
            <w:tcW w:w="957" w:type="dxa"/>
            <w:shd w:val="clear" w:color="auto" w:fill="auto"/>
            <w:noWrap w:val="0"/>
            <w:vAlign w:val="center"/>
          </w:tcPr>
          <w:p w14:paraId="25E3A7F2">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点次</w:t>
            </w:r>
          </w:p>
        </w:tc>
        <w:tc>
          <w:tcPr>
            <w:tcW w:w="1278" w:type="dxa"/>
            <w:shd w:val="clear" w:color="auto" w:fill="auto"/>
            <w:noWrap w:val="0"/>
            <w:vAlign w:val="center"/>
          </w:tcPr>
          <w:p w14:paraId="477ECE84">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180.00</w:t>
            </w:r>
          </w:p>
        </w:tc>
        <w:tc>
          <w:tcPr>
            <w:tcW w:w="1505" w:type="dxa"/>
            <w:shd w:val="clear" w:color="auto" w:fill="auto"/>
            <w:noWrap w:val="0"/>
            <w:vAlign w:val="center"/>
          </w:tcPr>
          <w:p w14:paraId="104F65E0">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5E5F7C2F">
            <w:pPr>
              <w:widowControl/>
              <w:adjustRightInd/>
              <w:snapToGrid/>
              <w:spacing w:line="240" w:lineRule="auto"/>
              <w:ind w:firstLine="0"/>
              <w:jc w:val="center"/>
              <w:rPr>
                <w:rFonts w:hint="eastAsia"/>
                <w:snapToGrid/>
                <w:color w:val="auto"/>
                <w:sz w:val="24"/>
                <w:szCs w:val="24"/>
                <w:highlight w:val="none"/>
              </w:rPr>
            </w:pPr>
          </w:p>
        </w:tc>
      </w:tr>
      <w:tr w14:paraId="35EC07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4" w:hRule="atLeast"/>
        </w:trPr>
        <w:tc>
          <w:tcPr>
            <w:tcW w:w="1070" w:type="dxa"/>
            <w:shd w:val="clear" w:color="auto" w:fill="auto"/>
            <w:noWrap w:val="0"/>
            <w:vAlign w:val="center"/>
          </w:tcPr>
          <w:p w14:paraId="1954174A">
            <w:pPr>
              <w:widowControl/>
              <w:adjustRightInd/>
              <w:snapToGrid/>
              <w:spacing w:line="240" w:lineRule="auto"/>
              <w:ind w:firstLine="0" w:firstLineChars="0"/>
              <w:jc w:val="center"/>
              <w:rPr>
                <w:rFonts w:hint="eastAsia"/>
                <w:snapToGrid/>
                <w:color w:val="auto"/>
                <w:sz w:val="24"/>
                <w:szCs w:val="24"/>
                <w:highlight w:val="none"/>
              </w:rPr>
            </w:pPr>
            <w:r>
              <w:rPr>
                <w:rFonts w:hint="eastAsia"/>
                <w:snapToGrid/>
                <w:color w:val="auto"/>
                <w:sz w:val="24"/>
                <w:szCs w:val="24"/>
                <w:highlight w:val="none"/>
              </w:rPr>
              <w:t>5</w:t>
            </w:r>
          </w:p>
        </w:tc>
        <w:tc>
          <w:tcPr>
            <w:tcW w:w="2854" w:type="dxa"/>
            <w:shd w:val="clear" w:color="auto" w:fill="auto"/>
            <w:noWrap w:val="0"/>
            <w:vAlign w:val="center"/>
          </w:tcPr>
          <w:p w14:paraId="6DE113E8">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治理效果监测</w:t>
            </w:r>
          </w:p>
        </w:tc>
        <w:tc>
          <w:tcPr>
            <w:tcW w:w="957" w:type="dxa"/>
            <w:shd w:val="clear" w:color="auto" w:fill="auto"/>
            <w:noWrap w:val="0"/>
            <w:vAlign w:val="center"/>
          </w:tcPr>
          <w:p w14:paraId="2B8BCB64">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点次</w:t>
            </w:r>
          </w:p>
        </w:tc>
        <w:tc>
          <w:tcPr>
            <w:tcW w:w="1278" w:type="dxa"/>
            <w:shd w:val="clear" w:color="auto" w:fill="auto"/>
            <w:noWrap w:val="0"/>
            <w:vAlign w:val="center"/>
          </w:tcPr>
          <w:p w14:paraId="112A10EC">
            <w:pPr>
              <w:widowControl/>
              <w:adjustRightInd/>
              <w:snapToGrid/>
              <w:spacing w:line="240" w:lineRule="auto"/>
              <w:ind w:firstLine="0"/>
              <w:jc w:val="center"/>
              <w:rPr>
                <w:rFonts w:hint="eastAsia"/>
                <w:snapToGrid/>
                <w:color w:val="auto"/>
                <w:sz w:val="24"/>
                <w:szCs w:val="24"/>
                <w:highlight w:val="none"/>
              </w:rPr>
            </w:pPr>
            <w:r>
              <w:rPr>
                <w:rFonts w:hint="eastAsia"/>
                <w:snapToGrid/>
                <w:color w:val="auto"/>
                <w:sz w:val="24"/>
                <w:szCs w:val="24"/>
                <w:highlight w:val="none"/>
              </w:rPr>
              <w:t>144.00</w:t>
            </w:r>
          </w:p>
        </w:tc>
        <w:tc>
          <w:tcPr>
            <w:tcW w:w="1505" w:type="dxa"/>
            <w:shd w:val="clear" w:color="auto" w:fill="auto"/>
            <w:noWrap w:val="0"/>
            <w:vAlign w:val="center"/>
          </w:tcPr>
          <w:p w14:paraId="44D1D821">
            <w:pPr>
              <w:widowControl/>
              <w:adjustRightInd/>
              <w:snapToGrid/>
              <w:spacing w:line="240" w:lineRule="auto"/>
              <w:ind w:firstLine="0"/>
              <w:jc w:val="center"/>
              <w:rPr>
                <w:rFonts w:hint="eastAsia"/>
                <w:snapToGrid/>
                <w:color w:val="auto"/>
                <w:sz w:val="24"/>
                <w:szCs w:val="24"/>
                <w:highlight w:val="none"/>
              </w:rPr>
            </w:pPr>
          </w:p>
        </w:tc>
        <w:tc>
          <w:tcPr>
            <w:tcW w:w="1573" w:type="dxa"/>
            <w:shd w:val="clear" w:color="auto" w:fill="auto"/>
            <w:noWrap w:val="0"/>
            <w:vAlign w:val="center"/>
          </w:tcPr>
          <w:p w14:paraId="31F5C1B3">
            <w:pPr>
              <w:widowControl/>
              <w:adjustRightInd/>
              <w:snapToGrid/>
              <w:spacing w:line="240" w:lineRule="auto"/>
              <w:ind w:firstLine="0"/>
              <w:jc w:val="center"/>
              <w:rPr>
                <w:rFonts w:hint="eastAsia"/>
                <w:snapToGrid/>
                <w:color w:val="auto"/>
                <w:sz w:val="24"/>
                <w:szCs w:val="24"/>
                <w:highlight w:val="none"/>
              </w:rPr>
            </w:pPr>
          </w:p>
        </w:tc>
      </w:tr>
      <w:tr w14:paraId="33F044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0" w:hRule="atLeast"/>
        </w:trPr>
        <w:tc>
          <w:tcPr>
            <w:tcW w:w="9237" w:type="dxa"/>
            <w:gridSpan w:val="6"/>
            <w:shd w:val="clear" w:color="auto" w:fill="auto"/>
            <w:noWrap w:val="0"/>
            <w:vAlign w:val="center"/>
          </w:tcPr>
          <w:p w14:paraId="5C33AE68">
            <w:pPr>
              <w:widowControl/>
              <w:adjustRightInd/>
              <w:snapToGrid/>
              <w:spacing w:line="240" w:lineRule="auto"/>
              <w:ind w:firstLine="0"/>
              <w:jc w:val="left"/>
              <w:rPr>
                <w:rFonts w:hint="eastAsia"/>
                <w:snapToGrid/>
                <w:color w:val="auto"/>
                <w:sz w:val="24"/>
                <w:szCs w:val="24"/>
                <w:highlight w:val="none"/>
              </w:rPr>
            </w:pPr>
            <w:r>
              <w:rPr>
                <w:rFonts w:hint="eastAsia"/>
                <w:snapToGrid/>
                <w:color w:val="auto"/>
                <w:sz w:val="24"/>
                <w:szCs w:val="24"/>
                <w:highlight w:val="none"/>
                <w:lang w:val="en-US" w:eastAsia="zh-CN"/>
              </w:rPr>
              <w:t>合计：</w:t>
            </w:r>
          </w:p>
        </w:tc>
      </w:tr>
    </w:tbl>
    <w:p w14:paraId="25ABFCE9">
      <w:pPr>
        <w:rPr>
          <w:rFonts w:hint="default"/>
          <w:color w:val="auto"/>
          <w:highlight w:val="none"/>
          <w:lang w:val="en-US" w:eastAsia="zh-CN"/>
        </w:rPr>
      </w:pPr>
    </w:p>
    <w:p w14:paraId="61C3B9E7">
      <w:pPr>
        <w:rPr>
          <w:rFonts w:cs="宋体"/>
          <w:color w:val="auto"/>
          <w:highlight w:val="none"/>
          <w:u w:val="single"/>
        </w:rPr>
      </w:pPr>
      <w:r>
        <w:rPr>
          <w:rFonts w:hint="eastAsia" w:cs="宋体"/>
          <w:color w:val="auto"/>
          <w:highlight w:val="none"/>
          <w:u w:val="single"/>
        </w:rPr>
        <w:br w:type="page"/>
      </w:r>
    </w:p>
    <w:p w14:paraId="5D2CEC58">
      <w:pPr>
        <w:pStyle w:val="4"/>
        <w:rPr>
          <w:rFonts w:cs="宋体"/>
          <w:color w:val="auto"/>
          <w:highlight w:val="none"/>
        </w:rPr>
      </w:pPr>
      <w:r>
        <w:rPr>
          <w:rFonts w:hint="eastAsia" w:cs="宋体"/>
          <w:color w:val="auto"/>
          <w:highlight w:val="none"/>
        </w:rPr>
        <w:t>5.供应商及项目管理机构情况表</w:t>
      </w:r>
    </w:p>
    <w:p w14:paraId="4C7A4E23">
      <w:pPr>
        <w:jc w:val="center"/>
        <w:rPr>
          <w:rFonts w:cs="宋体"/>
          <w:color w:val="auto"/>
          <w:szCs w:val="24"/>
          <w:highlight w:val="none"/>
        </w:rPr>
      </w:pPr>
      <w:r>
        <w:rPr>
          <w:rFonts w:hint="eastAsia" w:cs="宋体"/>
          <w:color w:val="auto"/>
          <w:szCs w:val="24"/>
          <w:highlight w:val="none"/>
        </w:rPr>
        <w:t>（一）供应商基本情况表</w:t>
      </w:r>
    </w:p>
    <w:tbl>
      <w:tblPr>
        <w:tblStyle w:val="18"/>
        <w:tblpPr w:leftFromText="180" w:rightFromText="180" w:vertAnchor="text" w:horzAnchor="page" w:tblpX="1503" w:tblpY="310"/>
        <w:tblOverlap w:val="never"/>
        <w:tblW w:w="8939" w:type="dxa"/>
        <w:tblInd w:w="0" w:type="dxa"/>
        <w:tblLayout w:type="fixed"/>
        <w:tblCellMar>
          <w:top w:w="0" w:type="dxa"/>
          <w:left w:w="0" w:type="dxa"/>
          <w:bottom w:w="0" w:type="dxa"/>
          <w:right w:w="0" w:type="dxa"/>
        </w:tblCellMar>
      </w:tblPr>
      <w:tblGrid>
        <w:gridCol w:w="1963"/>
        <w:gridCol w:w="1066"/>
        <w:gridCol w:w="1339"/>
        <w:gridCol w:w="1136"/>
        <w:gridCol w:w="623"/>
        <w:gridCol w:w="1088"/>
        <w:gridCol w:w="314"/>
        <w:gridCol w:w="489"/>
        <w:gridCol w:w="921"/>
      </w:tblGrid>
      <w:tr w14:paraId="61AF6C1C">
        <w:tblPrEx>
          <w:tblCellMar>
            <w:top w:w="0" w:type="dxa"/>
            <w:left w:w="0" w:type="dxa"/>
            <w:bottom w:w="0" w:type="dxa"/>
            <w:right w:w="0" w:type="dxa"/>
          </w:tblCellMar>
        </w:tblPrEx>
        <w:trPr>
          <w:trHeight w:val="654" w:hRule="atLeast"/>
        </w:trPr>
        <w:tc>
          <w:tcPr>
            <w:tcW w:w="1963" w:type="dxa"/>
            <w:tcBorders>
              <w:top w:val="single" w:color="000000" w:sz="4" w:space="0"/>
              <w:left w:val="single" w:color="000000" w:sz="4" w:space="0"/>
              <w:bottom w:val="single" w:color="000000" w:sz="4" w:space="0"/>
              <w:right w:val="single" w:color="000000" w:sz="4" w:space="0"/>
            </w:tcBorders>
            <w:vAlign w:val="center"/>
          </w:tcPr>
          <w:p w14:paraId="08F30A1C">
            <w:pPr>
              <w:jc w:val="center"/>
              <w:rPr>
                <w:rFonts w:cs="宋体"/>
                <w:color w:val="auto"/>
                <w:szCs w:val="24"/>
                <w:highlight w:val="none"/>
              </w:rPr>
            </w:pPr>
            <w:r>
              <w:rPr>
                <w:rFonts w:hint="eastAsia" w:cs="宋体"/>
                <w:color w:val="auto"/>
                <w:szCs w:val="24"/>
                <w:highlight w:val="none"/>
              </w:rPr>
              <w:t>供应商名称</w:t>
            </w:r>
          </w:p>
        </w:tc>
        <w:tc>
          <w:tcPr>
            <w:tcW w:w="6976" w:type="dxa"/>
            <w:gridSpan w:val="8"/>
            <w:tcBorders>
              <w:top w:val="single" w:color="000000" w:sz="4" w:space="0"/>
              <w:left w:val="nil"/>
              <w:bottom w:val="single" w:color="000000" w:sz="4" w:space="0"/>
              <w:right w:val="single" w:color="000000" w:sz="4" w:space="0"/>
            </w:tcBorders>
            <w:vAlign w:val="center"/>
          </w:tcPr>
          <w:p w14:paraId="7ECC6766">
            <w:pPr>
              <w:jc w:val="center"/>
              <w:rPr>
                <w:rFonts w:cs="宋体"/>
                <w:color w:val="auto"/>
                <w:szCs w:val="24"/>
                <w:highlight w:val="none"/>
              </w:rPr>
            </w:pPr>
          </w:p>
        </w:tc>
      </w:tr>
      <w:tr w14:paraId="25CBB490">
        <w:tblPrEx>
          <w:tblCellMar>
            <w:top w:w="0" w:type="dxa"/>
            <w:left w:w="0" w:type="dxa"/>
            <w:bottom w:w="0" w:type="dxa"/>
            <w:right w:w="0" w:type="dxa"/>
          </w:tblCellMar>
        </w:tblPrEx>
        <w:trPr>
          <w:trHeight w:val="789" w:hRule="atLeast"/>
        </w:trPr>
        <w:tc>
          <w:tcPr>
            <w:tcW w:w="1963" w:type="dxa"/>
            <w:tcBorders>
              <w:top w:val="single" w:color="000000" w:sz="4" w:space="0"/>
              <w:left w:val="single" w:color="000000" w:sz="4" w:space="0"/>
              <w:bottom w:val="single" w:color="auto" w:sz="4" w:space="0"/>
              <w:right w:val="single" w:color="000000" w:sz="4" w:space="0"/>
            </w:tcBorders>
            <w:vAlign w:val="center"/>
          </w:tcPr>
          <w:p w14:paraId="4FC44EC5">
            <w:pPr>
              <w:jc w:val="center"/>
              <w:rPr>
                <w:rFonts w:cs="宋体"/>
                <w:color w:val="auto"/>
                <w:szCs w:val="24"/>
                <w:highlight w:val="none"/>
              </w:rPr>
            </w:pPr>
            <w:r>
              <w:rPr>
                <w:rFonts w:hint="eastAsia" w:cs="宋体"/>
                <w:color w:val="auto"/>
                <w:szCs w:val="24"/>
                <w:highlight w:val="none"/>
              </w:rPr>
              <w:t>地址</w:t>
            </w:r>
          </w:p>
        </w:tc>
        <w:tc>
          <w:tcPr>
            <w:tcW w:w="3541" w:type="dxa"/>
            <w:gridSpan w:val="3"/>
            <w:tcBorders>
              <w:top w:val="single" w:color="000000" w:sz="4" w:space="0"/>
              <w:left w:val="nil"/>
              <w:bottom w:val="single" w:color="auto" w:sz="4" w:space="0"/>
              <w:right w:val="single" w:color="000000" w:sz="4" w:space="0"/>
            </w:tcBorders>
            <w:vAlign w:val="center"/>
          </w:tcPr>
          <w:p w14:paraId="1BC59DF0">
            <w:pPr>
              <w:jc w:val="center"/>
              <w:rPr>
                <w:rFonts w:cs="宋体"/>
                <w:color w:val="auto"/>
                <w:szCs w:val="24"/>
                <w:highlight w:val="none"/>
              </w:rPr>
            </w:pPr>
          </w:p>
        </w:tc>
        <w:tc>
          <w:tcPr>
            <w:tcW w:w="1711" w:type="dxa"/>
            <w:gridSpan w:val="2"/>
            <w:tcBorders>
              <w:top w:val="single" w:color="000000" w:sz="4" w:space="0"/>
              <w:left w:val="nil"/>
              <w:bottom w:val="single" w:color="auto" w:sz="4" w:space="0"/>
              <w:right w:val="single" w:color="000000" w:sz="4" w:space="0"/>
            </w:tcBorders>
            <w:vAlign w:val="center"/>
          </w:tcPr>
          <w:p w14:paraId="05C2985B">
            <w:pPr>
              <w:jc w:val="center"/>
              <w:rPr>
                <w:rFonts w:cs="宋体"/>
                <w:color w:val="auto"/>
                <w:szCs w:val="24"/>
                <w:highlight w:val="none"/>
              </w:rPr>
            </w:pPr>
            <w:r>
              <w:rPr>
                <w:rFonts w:hint="eastAsia" w:cs="宋体"/>
                <w:color w:val="auto"/>
                <w:szCs w:val="24"/>
                <w:highlight w:val="none"/>
              </w:rPr>
              <w:t>邮政编码</w:t>
            </w:r>
          </w:p>
        </w:tc>
        <w:tc>
          <w:tcPr>
            <w:tcW w:w="1724" w:type="dxa"/>
            <w:gridSpan w:val="3"/>
            <w:tcBorders>
              <w:top w:val="single" w:color="000000" w:sz="4" w:space="0"/>
              <w:left w:val="nil"/>
              <w:bottom w:val="single" w:color="auto" w:sz="4" w:space="0"/>
              <w:right w:val="single" w:color="000000" w:sz="4" w:space="0"/>
            </w:tcBorders>
            <w:vAlign w:val="center"/>
          </w:tcPr>
          <w:p w14:paraId="7625D25F">
            <w:pPr>
              <w:jc w:val="center"/>
              <w:rPr>
                <w:rFonts w:cs="宋体"/>
                <w:color w:val="auto"/>
                <w:szCs w:val="24"/>
                <w:highlight w:val="none"/>
              </w:rPr>
            </w:pPr>
          </w:p>
        </w:tc>
      </w:tr>
      <w:tr w14:paraId="03CFD018">
        <w:tblPrEx>
          <w:tblCellMar>
            <w:top w:w="0" w:type="dxa"/>
            <w:left w:w="0" w:type="dxa"/>
            <w:bottom w:w="0" w:type="dxa"/>
            <w:right w:w="0" w:type="dxa"/>
          </w:tblCellMar>
        </w:tblPrEx>
        <w:trPr>
          <w:trHeight w:val="789" w:hRule="atLeast"/>
        </w:trPr>
        <w:tc>
          <w:tcPr>
            <w:tcW w:w="1963" w:type="dxa"/>
            <w:tcBorders>
              <w:top w:val="single" w:color="auto" w:sz="4" w:space="0"/>
              <w:left w:val="single" w:color="000000" w:sz="4" w:space="0"/>
              <w:bottom w:val="single" w:color="000000" w:sz="4" w:space="0"/>
              <w:right w:val="single" w:color="000000" w:sz="4" w:space="0"/>
            </w:tcBorders>
            <w:vAlign w:val="center"/>
          </w:tcPr>
          <w:p w14:paraId="25BB82AB">
            <w:pPr>
              <w:jc w:val="center"/>
              <w:rPr>
                <w:rFonts w:cs="宋体"/>
                <w:color w:val="auto"/>
                <w:szCs w:val="24"/>
                <w:highlight w:val="none"/>
              </w:rPr>
            </w:pPr>
            <w:r>
              <w:rPr>
                <w:rFonts w:hint="eastAsia" w:cs="宋体"/>
                <w:color w:val="auto"/>
                <w:szCs w:val="24"/>
                <w:highlight w:val="none"/>
              </w:rPr>
              <w:t>企业性质</w:t>
            </w:r>
          </w:p>
        </w:tc>
        <w:tc>
          <w:tcPr>
            <w:tcW w:w="3541" w:type="dxa"/>
            <w:gridSpan w:val="3"/>
            <w:tcBorders>
              <w:top w:val="single" w:color="auto" w:sz="4" w:space="0"/>
              <w:left w:val="nil"/>
              <w:bottom w:val="single" w:color="000000" w:sz="4" w:space="0"/>
              <w:right w:val="single" w:color="000000" w:sz="4" w:space="0"/>
            </w:tcBorders>
            <w:vAlign w:val="center"/>
          </w:tcPr>
          <w:p w14:paraId="377908C9">
            <w:pPr>
              <w:jc w:val="center"/>
              <w:rPr>
                <w:rFonts w:cs="宋体"/>
                <w:color w:val="auto"/>
                <w:szCs w:val="24"/>
                <w:highlight w:val="none"/>
              </w:rPr>
            </w:pPr>
          </w:p>
        </w:tc>
        <w:tc>
          <w:tcPr>
            <w:tcW w:w="1711" w:type="dxa"/>
            <w:gridSpan w:val="2"/>
            <w:tcBorders>
              <w:top w:val="single" w:color="auto" w:sz="4" w:space="0"/>
              <w:left w:val="nil"/>
              <w:bottom w:val="single" w:color="000000" w:sz="4" w:space="0"/>
              <w:right w:val="single" w:color="000000" w:sz="4" w:space="0"/>
            </w:tcBorders>
            <w:vAlign w:val="center"/>
          </w:tcPr>
          <w:p w14:paraId="1DF2F618">
            <w:pPr>
              <w:jc w:val="center"/>
              <w:rPr>
                <w:rFonts w:cs="宋体"/>
                <w:color w:val="auto"/>
                <w:szCs w:val="24"/>
                <w:highlight w:val="none"/>
              </w:rPr>
            </w:pPr>
            <w:r>
              <w:rPr>
                <w:rFonts w:hint="eastAsia" w:cs="宋体"/>
                <w:color w:val="auto"/>
                <w:szCs w:val="24"/>
                <w:highlight w:val="none"/>
              </w:rPr>
              <w:t>主管部门</w:t>
            </w:r>
          </w:p>
        </w:tc>
        <w:tc>
          <w:tcPr>
            <w:tcW w:w="1724" w:type="dxa"/>
            <w:gridSpan w:val="3"/>
            <w:tcBorders>
              <w:top w:val="single" w:color="auto" w:sz="4" w:space="0"/>
              <w:left w:val="nil"/>
              <w:bottom w:val="single" w:color="000000" w:sz="4" w:space="0"/>
              <w:right w:val="single" w:color="000000" w:sz="4" w:space="0"/>
            </w:tcBorders>
            <w:vAlign w:val="center"/>
          </w:tcPr>
          <w:p w14:paraId="71CE543E">
            <w:pPr>
              <w:jc w:val="center"/>
              <w:rPr>
                <w:rFonts w:cs="宋体"/>
                <w:color w:val="auto"/>
                <w:szCs w:val="24"/>
                <w:highlight w:val="none"/>
              </w:rPr>
            </w:pPr>
          </w:p>
        </w:tc>
      </w:tr>
      <w:tr w14:paraId="67D2AB80">
        <w:tblPrEx>
          <w:tblCellMar>
            <w:top w:w="0" w:type="dxa"/>
            <w:left w:w="0" w:type="dxa"/>
            <w:bottom w:w="0" w:type="dxa"/>
            <w:right w:w="0" w:type="dxa"/>
          </w:tblCellMar>
        </w:tblPrEx>
        <w:trPr>
          <w:trHeight w:val="716" w:hRule="atLeast"/>
        </w:trPr>
        <w:tc>
          <w:tcPr>
            <w:tcW w:w="1963" w:type="dxa"/>
            <w:vMerge w:val="restart"/>
            <w:tcBorders>
              <w:top w:val="nil"/>
              <w:left w:val="single" w:color="000000" w:sz="4" w:space="0"/>
              <w:bottom w:val="single" w:color="000000" w:sz="4" w:space="0"/>
              <w:right w:val="single" w:color="000000" w:sz="4" w:space="0"/>
            </w:tcBorders>
            <w:vAlign w:val="center"/>
          </w:tcPr>
          <w:p w14:paraId="1064E42F">
            <w:pPr>
              <w:jc w:val="center"/>
              <w:rPr>
                <w:rFonts w:cs="宋体"/>
                <w:color w:val="auto"/>
                <w:szCs w:val="24"/>
                <w:highlight w:val="none"/>
              </w:rPr>
            </w:pPr>
            <w:r>
              <w:rPr>
                <w:rFonts w:hint="eastAsia" w:cs="宋体"/>
                <w:color w:val="auto"/>
                <w:szCs w:val="24"/>
                <w:highlight w:val="none"/>
              </w:rPr>
              <w:t>联系方式</w:t>
            </w:r>
          </w:p>
        </w:tc>
        <w:tc>
          <w:tcPr>
            <w:tcW w:w="1066" w:type="dxa"/>
            <w:tcBorders>
              <w:top w:val="single" w:color="000000" w:sz="4" w:space="0"/>
              <w:left w:val="nil"/>
              <w:bottom w:val="single" w:color="000000" w:sz="4" w:space="0"/>
              <w:right w:val="single" w:color="000000" w:sz="4" w:space="0"/>
            </w:tcBorders>
            <w:vAlign w:val="center"/>
          </w:tcPr>
          <w:p w14:paraId="01F7BCEA">
            <w:pPr>
              <w:jc w:val="center"/>
              <w:rPr>
                <w:rFonts w:cs="宋体"/>
                <w:color w:val="auto"/>
                <w:szCs w:val="24"/>
                <w:highlight w:val="none"/>
              </w:rPr>
            </w:pPr>
            <w:r>
              <w:rPr>
                <w:rFonts w:hint="eastAsia" w:cs="宋体"/>
                <w:color w:val="auto"/>
                <w:szCs w:val="24"/>
                <w:highlight w:val="none"/>
              </w:rPr>
              <w:t>联系人</w:t>
            </w:r>
          </w:p>
        </w:tc>
        <w:tc>
          <w:tcPr>
            <w:tcW w:w="2475" w:type="dxa"/>
            <w:gridSpan w:val="2"/>
            <w:tcBorders>
              <w:top w:val="single" w:color="000000" w:sz="4" w:space="0"/>
              <w:left w:val="nil"/>
              <w:bottom w:val="single" w:color="000000" w:sz="4" w:space="0"/>
              <w:right w:val="single" w:color="000000" w:sz="4" w:space="0"/>
            </w:tcBorders>
            <w:vAlign w:val="center"/>
          </w:tcPr>
          <w:p w14:paraId="6A6A862F">
            <w:pPr>
              <w:jc w:val="center"/>
              <w:rPr>
                <w:rFonts w:cs="宋体"/>
                <w:color w:val="auto"/>
                <w:szCs w:val="24"/>
                <w:highlight w:val="none"/>
              </w:rPr>
            </w:pPr>
          </w:p>
        </w:tc>
        <w:tc>
          <w:tcPr>
            <w:tcW w:w="1711" w:type="dxa"/>
            <w:gridSpan w:val="2"/>
            <w:tcBorders>
              <w:top w:val="single" w:color="000000" w:sz="4" w:space="0"/>
              <w:left w:val="nil"/>
              <w:bottom w:val="single" w:color="000000" w:sz="4" w:space="0"/>
              <w:right w:val="single" w:color="000000" w:sz="4" w:space="0"/>
            </w:tcBorders>
            <w:vAlign w:val="center"/>
          </w:tcPr>
          <w:p w14:paraId="3904C874">
            <w:pPr>
              <w:jc w:val="center"/>
              <w:rPr>
                <w:rFonts w:cs="宋体"/>
                <w:color w:val="auto"/>
                <w:szCs w:val="24"/>
                <w:highlight w:val="none"/>
              </w:rPr>
            </w:pPr>
            <w:r>
              <w:rPr>
                <w:rFonts w:hint="eastAsia" w:cs="宋体"/>
                <w:color w:val="auto"/>
                <w:szCs w:val="24"/>
                <w:highlight w:val="none"/>
              </w:rPr>
              <w:t>电话</w:t>
            </w:r>
          </w:p>
        </w:tc>
        <w:tc>
          <w:tcPr>
            <w:tcW w:w="1724" w:type="dxa"/>
            <w:gridSpan w:val="3"/>
            <w:tcBorders>
              <w:top w:val="single" w:color="000000" w:sz="4" w:space="0"/>
              <w:left w:val="nil"/>
              <w:bottom w:val="single" w:color="000000" w:sz="4" w:space="0"/>
              <w:right w:val="single" w:color="000000" w:sz="4" w:space="0"/>
            </w:tcBorders>
            <w:vAlign w:val="center"/>
          </w:tcPr>
          <w:p w14:paraId="628567DB">
            <w:pPr>
              <w:jc w:val="center"/>
              <w:rPr>
                <w:rFonts w:cs="宋体"/>
                <w:color w:val="auto"/>
                <w:szCs w:val="24"/>
                <w:highlight w:val="none"/>
              </w:rPr>
            </w:pPr>
          </w:p>
        </w:tc>
      </w:tr>
      <w:tr w14:paraId="148D2B42">
        <w:tblPrEx>
          <w:tblCellMar>
            <w:top w:w="0" w:type="dxa"/>
            <w:left w:w="0" w:type="dxa"/>
            <w:bottom w:w="0" w:type="dxa"/>
            <w:right w:w="0" w:type="dxa"/>
          </w:tblCellMar>
        </w:tblPrEx>
        <w:trPr>
          <w:trHeight w:val="716" w:hRule="atLeast"/>
        </w:trPr>
        <w:tc>
          <w:tcPr>
            <w:tcW w:w="1963" w:type="dxa"/>
            <w:vMerge w:val="continue"/>
            <w:tcBorders>
              <w:top w:val="nil"/>
              <w:left w:val="single" w:color="000000" w:sz="4" w:space="0"/>
              <w:bottom w:val="single" w:color="000000" w:sz="4" w:space="0"/>
              <w:right w:val="single" w:color="000000" w:sz="4" w:space="0"/>
            </w:tcBorders>
            <w:vAlign w:val="center"/>
          </w:tcPr>
          <w:p w14:paraId="01C545B1">
            <w:pPr>
              <w:jc w:val="center"/>
              <w:rPr>
                <w:rFonts w:cs="宋体"/>
                <w:color w:val="auto"/>
                <w:szCs w:val="24"/>
                <w:highlight w:val="none"/>
              </w:rPr>
            </w:pPr>
          </w:p>
        </w:tc>
        <w:tc>
          <w:tcPr>
            <w:tcW w:w="1066" w:type="dxa"/>
            <w:tcBorders>
              <w:top w:val="single" w:color="000000" w:sz="4" w:space="0"/>
              <w:left w:val="nil"/>
              <w:bottom w:val="single" w:color="000000" w:sz="4" w:space="0"/>
              <w:right w:val="single" w:color="000000" w:sz="4" w:space="0"/>
            </w:tcBorders>
            <w:vAlign w:val="center"/>
          </w:tcPr>
          <w:p w14:paraId="0102C016">
            <w:pPr>
              <w:jc w:val="center"/>
              <w:rPr>
                <w:rFonts w:cs="宋体"/>
                <w:color w:val="auto"/>
                <w:szCs w:val="24"/>
                <w:highlight w:val="none"/>
              </w:rPr>
            </w:pPr>
            <w:r>
              <w:rPr>
                <w:rFonts w:hint="eastAsia" w:cs="宋体"/>
                <w:color w:val="auto"/>
                <w:szCs w:val="24"/>
                <w:highlight w:val="none"/>
              </w:rPr>
              <w:t>传 真</w:t>
            </w:r>
          </w:p>
        </w:tc>
        <w:tc>
          <w:tcPr>
            <w:tcW w:w="2475" w:type="dxa"/>
            <w:gridSpan w:val="2"/>
            <w:tcBorders>
              <w:top w:val="single" w:color="000000" w:sz="4" w:space="0"/>
              <w:left w:val="nil"/>
              <w:bottom w:val="single" w:color="000000" w:sz="4" w:space="0"/>
              <w:right w:val="single" w:color="000000" w:sz="4" w:space="0"/>
            </w:tcBorders>
            <w:vAlign w:val="center"/>
          </w:tcPr>
          <w:p w14:paraId="4C7BEE13">
            <w:pPr>
              <w:jc w:val="center"/>
              <w:rPr>
                <w:rFonts w:cs="宋体"/>
                <w:color w:val="auto"/>
                <w:szCs w:val="24"/>
                <w:highlight w:val="none"/>
              </w:rPr>
            </w:pPr>
          </w:p>
        </w:tc>
        <w:tc>
          <w:tcPr>
            <w:tcW w:w="1711" w:type="dxa"/>
            <w:gridSpan w:val="2"/>
            <w:tcBorders>
              <w:top w:val="single" w:color="000000" w:sz="4" w:space="0"/>
              <w:left w:val="nil"/>
              <w:bottom w:val="single" w:color="000000" w:sz="4" w:space="0"/>
              <w:right w:val="single" w:color="000000" w:sz="4" w:space="0"/>
            </w:tcBorders>
            <w:vAlign w:val="center"/>
          </w:tcPr>
          <w:p w14:paraId="68C1CB46">
            <w:pPr>
              <w:jc w:val="center"/>
              <w:rPr>
                <w:rFonts w:cs="宋体"/>
                <w:color w:val="auto"/>
                <w:szCs w:val="24"/>
                <w:highlight w:val="none"/>
              </w:rPr>
            </w:pPr>
            <w:r>
              <w:rPr>
                <w:rFonts w:hint="eastAsia" w:cs="宋体"/>
                <w:color w:val="auto"/>
                <w:szCs w:val="24"/>
                <w:highlight w:val="none"/>
              </w:rPr>
              <w:t>邮箱</w:t>
            </w:r>
          </w:p>
        </w:tc>
        <w:tc>
          <w:tcPr>
            <w:tcW w:w="1724" w:type="dxa"/>
            <w:gridSpan w:val="3"/>
            <w:tcBorders>
              <w:top w:val="single" w:color="000000" w:sz="4" w:space="0"/>
              <w:left w:val="nil"/>
              <w:bottom w:val="single" w:color="000000" w:sz="4" w:space="0"/>
              <w:right w:val="single" w:color="000000" w:sz="4" w:space="0"/>
            </w:tcBorders>
            <w:vAlign w:val="center"/>
          </w:tcPr>
          <w:p w14:paraId="7A6DA036">
            <w:pPr>
              <w:jc w:val="center"/>
              <w:rPr>
                <w:rFonts w:cs="宋体"/>
                <w:color w:val="auto"/>
                <w:szCs w:val="24"/>
                <w:highlight w:val="none"/>
              </w:rPr>
            </w:pPr>
          </w:p>
        </w:tc>
      </w:tr>
      <w:tr w14:paraId="1C78CF00">
        <w:tblPrEx>
          <w:tblCellMar>
            <w:top w:w="0" w:type="dxa"/>
            <w:left w:w="0" w:type="dxa"/>
            <w:bottom w:w="0" w:type="dxa"/>
            <w:right w:w="0" w:type="dxa"/>
          </w:tblCellMar>
        </w:tblPrEx>
        <w:trPr>
          <w:trHeight w:val="618" w:hRule="atLeast"/>
        </w:trPr>
        <w:tc>
          <w:tcPr>
            <w:tcW w:w="1963" w:type="dxa"/>
            <w:tcBorders>
              <w:top w:val="single" w:color="000000" w:sz="4" w:space="0"/>
              <w:left w:val="single" w:color="000000" w:sz="4" w:space="0"/>
              <w:bottom w:val="single" w:color="000000" w:sz="4" w:space="0"/>
              <w:right w:val="single" w:color="000000" w:sz="4" w:space="0"/>
            </w:tcBorders>
            <w:vAlign w:val="center"/>
          </w:tcPr>
          <w:p w14:paraId="1AD6444A">
            <w:pPr>
              <w:jc w:val="center"/>
              <w:rPr>
                <w:rFonts w:cs="宋体"/>
                <w:color w:val="auto"/>
                <w:szCs w:val="24"/>
                <w:highlight w:val="none"/>
              </w:rPr>
            </w:pPr>
            <w:r>
              <w:rPr>
                <w:rFonts w:hint="eastAsia" w:cs="宋体"/>
                <w:color w:val="auto"/>
                <w:szCs w:val="24"/>
                <w:highlight w:val="none"/>
              </w:rPr>
              <w:t>法定代表人</w:t>
            </w:r>
          </w:p>
        </w:tc>
        <w:tc>
          <w:tcPr>
            <w:tcW w:w="1066" w:type="dxa"/>
            <w:tcBorders>
              <w:top w:val="single" w:color="000000" w:sz="4" w:space="0"/>
              <w:left w:val="nil"/>
              <w:bottom w:val="single" w:color="000000" w:sz="4" w:space="0"/>
              <w:right w:val="single" w:color="000000" w:sz="4" w:space="0"/>
            </w:tcBorders>
            <w:vAlign w:val="center"/>
          </w:tcPr>
          <w:p w14:paraId="021C9722">
            <w:pPr>
              <w:jc w:val="center"/>
              <w:rPr>
                <w:rFonts w:cs="宋体"/>
                <w:color w:val="auto"/>
                <w:szCs w:val="24"/>
                <w:highlight w:val="none"/>
              </w:rPr>
            </w:pPr>
            <w:r>
              <w:rPr>
                <w:rFonts w:hint="eastAsia" w:cs="宋体"/>
                <w:color w:val="auto"/>
                <w:szCs w:val="24"/>
                <w:highlight w:val="none"/>
              </w:rPr>
              <w:t>姓 名</w:t>
            </w:r>
          </w:p>
        </w:tc>
        <w:tc>
          <w:tcPr>
            <w:tcW w:w="1339" w:type="dxa"/>
            <w:tcBorders>
              <w:top w:val="single" w:color="000000" w:sz="4" w:space="0"/>
              <w:left w:val="nil"/>
              <w:bottom w:val="single" w:color="000000" w:sz="4" w:space="0"/>
              <w:right w:val="single" w:color="000000" w:sz="4" w:space="0"/>
            </w:tcBorders>
            <w:vAlign w:val="center"/>
          </w:tcPr>
          <w:p w14:paraId="45DF92E7">
            <w:pPr>
              <w:jc w:val="center"/>
              <w:rPr>
                <w:rFonts w:cs="宋体"/>
                <w:color w:val="auto"/>
                <w:szCs w:val="24"/>
                <w:highlight w:val="none"/>
              </w:rPr>
            </w:pPr>
          </w:p>
        </w:tc>
        <w:tc>
          <w:tcPr>
            <w:tcW w:w="1136" w:type="dxa"/>
            <w:tcBorders>
              <w:top w:val="single" w:color="000000" w:sz="4" w:space="0"/>
              <w:left w:val="nil"/>
              <w:bottom w:val="single" w:color="000000" w:sz="4" w:space="0"/>
              <w:right w:val="single" w:color="000000" w:sz="4" w:space="0"/>
            </w:tcBorders>
            <w:vAlign w:val="center"/>
          </w:tcPr>
          <w:p w14:paraId="254AE7B8">
            <w:pPr>
              <w:jc w:val="center"/>
              <w:rPr>
                <w:rFonts w:cs="宋体"/>
                <w:color w:val="auto"/>
                <w:szCs w:val="24"/>
                <w:highlight w:val="none"/>
              </w:rPr>
            </w:pPr>
            <w:r>
              <w:rPr>
                <w:rFonts w:hint="eastAsia" w:cs="宋体"/>
                <w:color w:val="auto"/>
                <w:szCs w:val="24"/>
                <w:highlight w:val="none"/>
              </w:rPr>
              <w:t>技术职称</w:t>
            </w:r>
          </w:p>
        </w:tc>
        <w:tc>
          <w:tcPr>
            <w:tcW w:w="1711" w:type="dxa"/>
            <w:gridSpan w:val="2"/>
            <w:tcBorders>
              <w:top w:val="single" w:color="000000" w:sz="4" w:space="0"/>
              <w:left w:val="nil"/>
              <w:bottom w:val="single" w:color="000000" w:sz="4" w:space="0"/>
              <w:right w:val="single" w:color="000000" w:sz="4" w:space="0"/>
            </w:tcBorders>
            <w:vAlign w:val="center"/>
          </w:tcPr>
          <w:p w14:paraId="04C2984A">
            <w:pPr>
              <w:jc w:val="center"/>
              <w:rPr>
                <w:rFonts w:cs="宋体"/>
                <w:color w:val="auto"/>
                <w:szCs w:val="24"/>
                <w:highlight w:val="none"/>
              </w:rPr>
            </w:pPr>
          </w:p>
        </w:tc>
        <w:tc>
          <w:tcPr>
            <w:tcW w:w="803" w:type="dxa"/>
            <w:gridSpan w:val="2"/>
            <w:tcBorders>
              <w:top w:val="single" w:color="000000" w:sz="4" w:space="0"/>
              <w:left w:val="nil"/>
              <w:bottom w:val="single" w:color="000000" w:sz="4" w:space="0"/>
              <w:right w:val="single" w:color="000000" w:sz="4" w:space="0"/>
            </w:tcBorders>
            <w:vAlign w:val="center"/>
          </w:tcPr>
          <w:p w14:paraId="2264C51B">
            <w:pPr>
              <w:jc w:val="center"/>
              <w:rPr>
                <w:rFonts w:cs="宋体"/>
                <w:color w:val="auto"/>
                <w:szCs w:val="24"/>
                <w:highlight w:val="none"/>
              </w:rPr>
            </w:pPr>
            <w:r>
              <w:rPr>
                <w:rFonts w:hint="eastAsia" w:cs="宋体"/>
                <w:color w:val="auto"/>
                <w:szCs w:val="24"/>
                <w:highlight w:val="none"/>
              </w:rPr>
              <w:t>电话</w:t>
            </w:r>
          </w:p>
        </w:tc>
        <w:tc>
          <w:tcPr>
            <w:tcW w:w="921" w:type="dxa"/>
            <w:tcBorders>
              <w:top w:val="single" w:color="000000" w:sz="4" w:space="0"/>
              <w:left w:val="nil"/>
              <w:bottom w:val="single" w:color="000000" w:sz="4" w:space="0"/>
              <w:right w:val="single" w:color="000000" w:sz="4" w:space="0"/>
            </w:tcBorders>
            <w:vAlign w:val="center"/>
          </w:tcPr>
          <w:p w14:paraId="437BE654">
            <w:pPr>
              <w:jc w:val="center"/>
              <w:rPr>
                <w:rFonts w:cs="宋体"/>
                <w:color w:val="auto"/>
                <w:szCs w:val="24"/>
                <w:highlight w:val="none"/>
              </w:rPr>
            </w:pPr>
          </w:p>
        </w:tc>
      </w:tr>
      <w:tr w14:paraId="5FACD5F3">
        <w:tblPrEx>
          <w:tblCellMar>
            <w:top w:w="0" w:type="dxa"/>
            <w:left w:w="0" w:type="dxa"/>
            <w:bottom w:w="0" w:type="dxa"/>
            <w:right w:w="0" w:type="dxa"/>
          </w:tblCellMar>
        </w:tblPrEx>
        <w:trPr>
          <w:trHeight w:val="751" w:hRule="atLeast"/>
        </w:trPr>
        <w:tc>
          <w:tcPr>
            <w:tcW w:w="1963" w:type="dxa"/>
            <w:tcBorders>
              <w:top w:val="single" w:color="000000" w:sz="4" w:space="0"/>
              <w:left w:val="single" w:color="000000" w:sz="4" w:space="0"/>
              <w:bottom w:val="single" w:color="000000" w:sz="4" w:space="0"/>
              <w:right w:val="single" w:color="000000" w:sz="4" w:space="0"/>
            </w:tcBorders>
            <w:vAlign w:val="center"/>
          </w:tcPr>
          <w:p w14:paraId="60EC247A">
            <w:pPr>
              <w:jc w:val="center"/>
              <w:rPr>
                <w:rFonts w:cs="宋体"/>
                <w:color w:val="auto"/>
                <w:szCs w:val="24"/>
                <w:highlight w:val="none"/>
              </w:rPr>
            </w:pPr>
            <w:r>
              <w:rPr>
                <w:rFonts w:hint="eastAsia" w:cs="宋体"/>
                <w:color w:val="auto"/>
                <w:szCs w:val="24"/>
                <w:highlight w:val="none"/>
              </w:rPr>
              <w:t>成立和注册时间</w:t>
            </w:r>
          </w:p>
        </w:tc>
        <w:tc>
          <w:tcPr>
            <w:tcW w:w="3541" w:type="dxa"/>
            <w:gridSpan w:val="3"/>
            <w:tcBorders>
              <w:top w:val="single" w:color="000000" w:sz="4" w:space="0"/>
              <w:left w:val="nil"/>
              <w:bottom w:val="single" w:color="000000" w:sz="4" w:space="0"/>
              <w:right w:val="single" w:color="000000" w:sz="4" w:space="0"/>
            </w:tcBorders>
            <w:vAlign w:val="center"/>
          </w:tcPr>
          <w:p w14:paraId="5B390A52">
            <w:pPr>
              <w:jc w:val="center"/>
              <w:rPr>
                <w:rFonts w:cs="宋体"/>
                <w:color w:val="auto"/>
                <w:szCs w:val="24"/>
                <w:highlight w:val="none"/>
              </w:rPr>
            </w:pPr>
          </w:p>
        </w:tc>
        <w:tc>
          <w:tcPr>
            <w:tcW w:w="3435" w:type="dxa"/>
            <w:gridSpan w:val="5"/>
            <w:tcBorders>
              <w:top w:val="single" w:color="000000" w:sz="4" w:space="0"/>
              <w:left w:val="nil"/>
              <w:bottom w:val="single" w:color="000000" w:sz="4" w:space="0"/>
              <w:right w:val="single" w:color="000000" w:sz="4" w:space="0"/>
            </w:tcBorders>
            <w:vAlign w:val="center"/>
          </w:tcPr>
          <w:p w14:paraId="33346EB9">
            <w:pPr>
              <w:jc w:val="center"/>
              <w:rPr>
                <w:rFonts w:cs="宋体"/>
                <w:color w:val="auto"/>
                <w:szCs w:val="24"/>
                <w:highlight w:val="none"/>
              </w:rPr>
            </w:pPr>
            <w:r>
              <w:rPr>
                <w:rFonts w:hint="eastAsia" w:cs="宋体"/>
                <w:color w:val="auto"/>
                <w:szCs w:val="24"/>
                <w:highlight w:val="none"/>
              </w:rPr>
              <w:t>技术人员总人数：</w:t>
            </w:r>
          </w:p>
        </w:tc>
      </w:tr>
      <w:tr w14:paraId="59B7A8A6">
        <w:tblPrEx>
          <w:tblCellMar>
            <w:top w:w="0" w:type="dxa"/>
            <w:left w:w="0" w:type="dxa"/>
            <w:bottom w:w="0" w:type="dxa"/>
            <w:right w:w="0" w:type="dxa"/>
          </w:tblCellMar>
        </w:tblPrEx>
        <w:trPr>
          <w:trHeight w:val="914" w:hRule="atLeast"/>
        </w:trPr>
        <w:tc>
          <w:tcPr>
            <w:tcW w:w="1963" w:type="dxa"/>
            <w:tcBorders>
              <w:top w:val="single" w:color="000000" w:sz="4" w:space="0"/>
              <w:left w:val="single" w:color="000000" w:sz="4" w:space="0"/>
              <w:bottom w:val="single" w:color="000000" w:sz="4" w:space="0"/>
              <w:right w:val="single" w:color="000000" w:sz="4" w:space="0"/>
            </w:tcBorders>
            <w:vAlign w:val="center"/>
          </w:tcPr>
          <w:p w14:paraId="0300D02D">
            <w:pPr>
              <w:jc w:val="center"/>
              <w:rPr>
                <w:rFonts w:cs="宋体"/>
                <w:color w:val="auto"/>
                <w:szCs w:val="24"/>
                <w:highlight w:val="none"/>
              </w:rPr>
            </w:pPr>
            <w:r>
              <w:rPr>
                <w:rFonts w:hint="eastAsia" w:cs="宋体"/>
                <w:color w:val="auto"/>
                <w:szCs w:val="24"/>
                <w:highlight w:val="none"/>
              </w:rPr>
              <w:t>企业资质</w:t>
            </w:r>
          </w:p>
          <w:p w14:paraId="40468A77">
            <w:pPr>
              <w:jc w:val="center"/>
              <w:rPr>
                <w:rFonts w:cs="宋体"/>
                <w:color w:val="auto"/>
                <w:szCs w:val="24"/>
                <w:highlight w:val="none"/>
              </w:rPr>
            </w:pPr>
            <w:r>
              <w:rPr>
                <w:rFonts w:hint="eastAsia" w:cs="宋体"/>
                <w:color w:val="auto"/>
                <w:szCs w:val="24"/>
                <w:highlight w:val="none"/>
              </w:rPr>
              <w:t>证书编号</w:t>
            </w:r>
          </w:p>
        </w:tc>
        <w:tc>
          <w:tcPr>
            <w:tcW w:w="3541" w:type="dxa"/>
            <w:gridSpan w:val="3"/>
            <w:tcBorders>
              <w:top w:val="single" w:color="000000" w:sz="4" w:space="0"/>
              <w:left w:val="nil"/>
              <w:bottom w:val="single" w:color="000000" w:sz="4" w:space="0"/>
              <w:right w:val="single" w:color="000000" w:sz="4" w:space="0"/>
            </w:tcBorders>
            <w:vAlign w:val="center"/>
          </w:tcPr>
          <w:p w14:paraId="5ED69953">
            <w:pPr>
              <w:jc w:val="center"/>
              <w:rPr>
                <w:rFonts w:cs="宋体"/>
                <w:color w:val="auto"/>
                <w:szCs w:val="24"/>
                <w:highlight w:val="none"/>
              </w:rPr>
            </w:pPr>
          </w:p>
        </w:tc>
        <w:tc>
          <w:tcPr>
            <w:tcW w:w="623" w:type="dxa"/>
            <w:vMerge w:val="restart"/>
            <w:tcBorders>
              <w:top w:val="nil"/>
              <w:left w:val="nil"/>
              <w:right w:val="single" w:color="auto" w:sz="4" w:space="0"/>
            </w:tcBorders>
            <w:vAlign w:val="center"/>
          </w:tcPr>
          <w:p w14:paraId="5F578C24">
            <w:pPr>
              <w:jc w:val="center"/>
              <w:rPr>
                <w:rFonts w:cs="宋体"/>
                <w:color w:val="auto"/>
                <w:szCs w:val="24"/>
                <w:highlight w:val="none"/>
              </w:rPr>
            </w:pPr>
            <w:r>
              <w:rPr>
                <w:rFonts w:hint="eastAsia" w:cs="宋体"/>
                <w:color w:val="auto"/>
                <w:szCs w:val="24"/>
                <w:highlight w:val="none"/>
              </w:rPr>
              <w:t>其中</w:t>
            </w:r>
          </w:p>
        </w:tc>
        <w:tc>
          <w:tcPr>
            <w:tcW w:w="1402" w:type="dxa"/>
            <w:gridSpan w:val="2"/>
            <w:tcBorders>
              <w:top w:val="single" w:color="000000" w:sz="4" w:space="0"/>
              <w:left w:val="nil"/>
              <w:bottom w:val="single" w:color="000000" w:sz="4" w:space="0"/>
              <w:right w:val="single" w:color="000000" w:sz="4" w:space="0"/>
            </w:tcBorders>
            <w:vAlign w:val="center"/>
          </w:tcPr>
          <w:p w14:paraId="51A6B3E8">
            <w:pPr>
              <w:jc w:val="center"/>
              <w:rPr>
                <w:rFonts w:cs="宋体"/>
                <w:color w:val="auto"/>
                <w:szCs w:val="24"/>
                <w:highlight w:val="none"/>
              </w:rPr>
            </w:pPr>
            <w:r>
              <w:rPr>
                <w:rFonts w:hint="eastAsia" w:cs="宋体"/>
                <w:color w:val="auto"/>
                <w:szCs w:val="24"/>
                <w:highlight w:val="none"/>
              </w:rPr>
              <w:t>职称</w:t>
            </w:r>
          </w:p>
        </w:tc>
        <w:tc>
          <w:tcPr>
            <w:tcW w:w="1410" w:type="dxa"/>
            <w:gridSpan w:val="2"/>
            <w:tcBorders>
              <w:top w:val="single" w:color="000000" w:sz="4" w:space="0"/>
              <w:left w:val="nil"/>
              <w:bottom w:val="single" w:color="000000" w:sz="4" w:space="0"/>
              <w:right w:val="single" w:color="000000" w:sz="4" w:space="0"/>
            </w:tcBorders>
            <w:vAlign w:val="center"/>
          </w:tcPr>
          <w:p w14:paraId="179C8237">
            <w:pPr>
              <w:jc w:val="center"/>
              <w:rPr>
                <w:rFonts w:cs="宋体"/>
                <w:color w:val="auto"/>
                <w:szCs w:val="24"/>
                <w:highlight w:val="none"/>
              </w:rPr>
            </w:pPr>
            <w:r>
              <w:rPr>
                <w:rFonts w:hint="eastAsia" w:cs="宋体"/>
                <w:color w:val="auto"/>
                <w:szCs w:val="24"/>
                <w:highlight w:val="none"/>
              </w:rPr>
              <w:t>人数</w:t>
            </w:r>
          </w:p>
        </w:tc>
      </w:tr>
      <w:tr w14:paraId="05AC557A">
        <w:tblPrEx>
          <w:tblCellMar>
            <w:top w:w="0" w:type="dxa"/>
            <w:left w:w="0" w:type="dxa"/>
            <w:bottom w:w="0" w:type="dxa"/>
            <w:right w:w="0" w:type="dxa"/>
          </w:tblCellMar>
        </w:tblPrEx>
        <w:trPr>
          <w:trHeight w:val="751" w:hRule="atLeast"/>
        </w:trPr>
        <w:tc>
          <w:tcPr>
            <w:tcW w:w="1963" w:type="dxa"/>
            <w:tcBorders>
              <w:top w:val="single" w:color="000000" w:sz="4" w:space="0"/>
              <w:left w:val="single" w:color="000000" w:sz="4" w:space="0"/>
              <w:bottom w:val="single" w:color="000000" w:sz="4" w:space="0"/>
              <w:right w:val="single" w:color="000000" w:sz="4" w:space="0"/>
            </w:tcBorders>
            <w:vAlign w:val="center"/>
          </w:tcPr>
          <w:p w14:paraId="050E32CE">
            <w:pPr>
              <w:jc w:val="center"/>
              <w:rPr>
                <w:rFonts w:cs="宋体"/>
                <w:color w:val="auto"/>
                <w:szCs w:val="24"/>
                <w:highlight w:val="none"/>
              </w:rPr>
            </w:pPr>
            <w:r>
              <w:rPr>
                <w:rFonts w:hint="eastAsia" w:cs="宋体"/>
                <w:color w:val="auto"/>
                <w:szCs w:val="24"/>
                <w:highlight w:val="none"/>
              </w:rPr>
              <w:t>营业执照号</w:t>
            </w:r>
          </w:p>
        </w:tc>
        <w:tc>
          <w:tcPr>
            <w:tcW w:w="3541" w:type="dxa"/>
            <w:gridSpan w:val="3"/>
            <w:tcBorders>
              <w:top w:val="single" w:color="000000" w:sz="4" w:space="0"/>
              <w:left w:val="nil"/>
              <w:bottom w:val="single" w:color="000000" w:sz="4" w:space="0"/>
              <w:right w:val="single" w:color="000000" w:sz="4" w:space="0"/>
            </w:tcBorders>
            <w:vAlign w:val="center"/>
          </w:tcPr>
          <w:p w14:paraId="571CBADB">
            <w:pPr>
              <w:jc w:val="center"/>
              <w:rPr>
                <w:rFonts w:cs="宋体"/>
                <w:color w:val="auto"/>
                <w:szCs w:val="24"/>
                <w:highlight w:val="none"/>
              </w:rPr>
            </w:pPr>
          </w:p>
        </w:tc>
        <w:tc>
          <w:tcPr>
            <w:tcW w:w="623" w:type="dxa"/>
            <w:vMerge w:val="continue"/>
            <w:tcBorders>
              <w:left w:val="nil"/>
              <w:right w:val="single" w:color="auto" w:sz="4" w:space="0"/>
            </w:tcBorders>
            <w:vAlign w:val="center"/>
          </w:tcPr>
          <w:p w14:paraId="0C563213">
            <w:pPr>
              <w:jc w:val="center"/>
              <w:rPr>
                <w:rFonts w:cs="宋体"/>
                <w:color w:val="auto"/>
                <w:szCs w:val="24"/>
                <w:highlight w:val="none"/>
              </w:rPr>
            </w:pPr>
          </w:p>
        </w:tc>
        <w:tc>
          <w:tcPr>
            <w:tcW w:w="1402" w:type="dxa"/>
            <w:gridSpan w:val="2"/>
            <w:tcBorders>
              <w:top w:val="single" w:color="000000" w:sz="4" w:space="0"/>
              <w:left w:val="nil"/>
              <w:bottom w:val="single" w:color="000000" w:sz="4" w:space="0"/>
              <w:right w:val="single" w:color="000000" w:sz="4" w:space="0"/>
            </w:tcBorders>
            <w:vAlign w:val="center"/>
          </w:tcPr>
          <w:p w14:paraId="4F4E5847">
            <w:pPr>
              <w:jc w:val="center"/>
              <w:rPr>
                <w:rFonts w:cs="宋体"/>
                <w:color w:val="auto"/>
                <w:szCs w:val="24"/>
                <w:highlight w:val="none"/>
              </w:rPr>
            </w:pPr>
          </w:p>
        </w:tc>
        <w:tc>
          <w:tcPr>
            <w:tcW w:w="1410" w:type="dxa"/>
            <w:gridSpan w:val="2"/>
            <w:tcBorders>
              <w:top w:val="single" w:color="000000" w:sz="4" w:space="0"/>
              <w:left w:val="nil"/>
              <w:bottom w:val="single" w:color="000000" w:sz="4" w:space="0"/>
              <w:right w:val="single" w:color="000000" w:sz="4" w:space="0"/>
            </w:tcBorders>
            <w:vAlign w:val="center"/>
          </w:tcPr>
          <w:p w14:paraId="51BDBE48">
            <w:pPr>
              <w:jc w:val="center"/>
              <w:rPr>
                <w:rFonts w:cs="宋体"/>
                <w:color w:val="auto"/>
                <w:szCs w:val="24"/>
                <w:highlight w:val="none"/>
              </w:rPr>
            </w:pPr>
          </w:p>
        </w:tc>
      </w:tr>
      <w:tr w14:paraId="1808AD7D">
        <w:tblPrEx>
          <w:tblCellMar>
            <w:top w:w="0" w:type="dxa"/>
            <w:left w:w="0" w:type="dxa"/>
            <w:bottom w:w="0" w:type="dxa"/>
            <w:right w:w="0" w:type="dxa"/>
          </w:tblCellMar>
        </w:tblPrEx>
        <w:trPr>
          <w:trHeight w:val="751" w:hRule="atLeast"/>
        </w:trPr>
        <w:tc>
          <w:tcPr>
            <w:tcW w:w="1963" w:type="dxa"/>
            <w:tcBorders>
              <w:top w:val="single" w:color="000000" w:sz="4" w:space="0"/>
              <w:left w:val="single" w:color="000000" w:sz="4" w:space="0"/>
              <w:bottom w:val="single" w:color="000000" w:sz="4" w:space="0"/>
              <w:right w:val="single" w:color="000000" w:sz="4" w:space="0"/>
            </w:tcBorders>
            <w:vAlign w:val="center"/>
          </w:tcPr>
          <w:p w14:paraId="758D222E">
            <w:pPr>
              <w:jc w:val="center"/>
              <w:rPr>
                <w:rFonts w:cs="宋体"/>
                <w:color w:val="auto"/>
                <w:szCs w:val="24"/>
                <w:highlight w:val="none"/>
              </w:rPr>
            </w:pPr>
            <w:r>
              <w:rPr>
                <w:rFonts w:hint="eastAsia" w:cs="宋体"/>
                <w:color w:val="auto"/>
                <w:szCs w:val="24"/>
                <w:highlight w:val="none"/>
              </w:rPr>
              <w:t>注册资金</w:t>
            </w:r>
          </w:p>
        </w:tc>
        <w:tc>
          <w:tcPr>
            <w:tcW w:w="3541" w:type="dxa"/>
            <w:gridSpan w:val="3"/>
            <w:tcBorders>
              <w:top w:val="single" w:color="000000" w:sz="4" w:space="0"/>
              <w:left w:val="nil"/>
              <w:bottom w:val="single" w:color="000000" w:sz="4" w:space="0"/>
              <w:right w:val="single" w:color="auto" w:sz="4" w:space="0"/>
            </w:tcBorders>
            <w:vAlign w:val="center"/>
          </w:tcPr>
          <w:p w14:paraId="75BC0780">
            <w:pPr>
              <w:jc w:val="center"/>
              <w:rPr>
                <w:rFonts w:cs="宋体"/>
                <w:color w:val="auto"/>
                <w:szCs w:val="24"/>
                <w:highlight w:val="none"/>
              </w:rPr>
            </w:pPr>
          </w:p>
        </w:tc>
        <w:tc>
          <w:tcPr>
            <w:tcW w:w="623" w:type="dxa"/>
            <w:vMerge w:val="continue"/>
            <w:tcBorders>
              <w:left w:val="nil"/>
              <w:right w:val="single" w:color="auto" w:sz="4" w:space="0"/>
            </w:tcBorders>
            <w:vAlign w:val="center"/>
          </w:tcPr>
          <w:p w14:paraId="549D6545">
            <w:pPr>
              <w:jc w:val="center"/>
              <w:rPr>
                <w:rFonts w:cs="宋体"/>
                <w:color w:val="auto"/>
                <w:szCs w:val="24"/>
                <w:highlight w:val="none"/>
              </w:rPr>
            </w:pPr>
          </w:p>
        </w:tc>
        <w:tc>
          <w:tcPr>
            <w:tcW w:w="1402" w:type="dxa"/>
            <w:gridSpan w:val="2"/>
            <w:tcBorders>
              <w:top w:val="single" w:color="000000" w:sz="4" w:space="0"/>
              <w:left w:val="nil"/>
              <w:bottom w:val="single" w:color="000000" w:sz="4" w:space="0"/>
              <w:right w:val="single" w:color="auto" w:sz="4" w:space="0"/>
            </w:tcBorders>
            <w:vAlign w:val="center"/>
          </w:tcPr>
          <w:p w14:paraId="10D57AB7">
            <w:pPr>
              <w:jc w:val="center"/>
              <w:rPr>
                <w:rFonts w:cs="宋体"/>
                <w:color w:val="auto"/>
                <w:szCs w:val="24"/>
                <w:highlight w:val="none"/>
              </w:rPr>
            </w:pPr>
          </w:p>
        </w:tc>
        <w:tc>
          <w:tcPr>
            <w:tcW w:w="1410" w:type="dxa"/>
            <w:gridSpan w:val="2"/>
            <w:tcBorders>
              <w:top w:val="single" w:color="000000" w:sz="4" w:space="0"/>
              <w:left w:val="nil"/>
              <w:bottom w:val="single" w:color="000000" w:sz="4" w:space="0"/>
              <w:right w:val="single" w:color="000000" w:sz="4" w:space="0"/>
            </w:tcBorders>
            <w:vAlign w:val="center"/>
          </w:tcPr>
          <w:p w14:paraId="5834E40D">
            <w:pPr>
              <w:jc w:val="center"/>
              <w:rPr>
                <w:rFonts w:cs="宋体"/>
                <w:color w:val="auto"/>
                <w:szCs w:val="24"/>
                <w:highlight w:val="none"/>
              </w:rPr>
            </w:pPr>
          </w:p>
        </w:tc>
      </w:tr>
      <w:tr w14:paraId="1F31D05A">
        <w:tblPrEx>
          <w:tblCellMar>
            <w:top w:w="0" w:type="dxa"/>
            <w:left w:w="0" w:type="dxa"/>
            <w:bottom w:w="0" w:type="dxa"/>
            <w:right w:w="0" w:type="dxa"/>
          </w:tblCellMar>
        </w:tblPrEx>
        <w:trPr>
          <w:trHeight w:val="751" w:hRule="atLeast"/>
        </w:trPr>
        <w:tc>
          <w:tcPr>
            <w:tcW w:w="1963" w:type="dxa"/>
            <w:tcBorders>
              <w:top w:val="single" w:color="000000" w:sz="4" w:space="0"/>
              <w:left w:val="single" w:color="000000" w:sz="4" w:space="0"/>
              <w:bottom w:val="single" w:color="000000" w:sz="4" w:space="0"/>
              <w:right w:val="single" w:color="000000" w:sz="4" w:space="0"/>
            </w:tcBorders>
            <w:vAlign w:val="center"/>
          </w:tcPr>
          <w:p w14:paraId="5D016AAF">
            <w:pPr>
              <w:jc w:val="center"/>
              <w:rPr>
                <w:rFonts w:cs="宋体"/>
                <w:color w:val="auto"/>
                <w:szCs w:val="24"/>
                <w:highlight w:val="none"/>
              </w:rPr>
            </w:pPr>
            <w:r>
              <w:rPr>
                <w:rFonts w:hint="eastAsia" w:cs="宋体"/>
                <w:color w:val="auto"/>
                <w:szCs w:val="24"/>
                <w:highlight w:val="none"/>
              </w:rPr>
              <w:t>开户银行</w:t>
            </w:r>
          </w:p>
        </w:tc>
        <w:tc>
          <w:tcPr>
            <w:tcW w:w="3541" w:type="dxa"/>
            <w:gridSpan w:val="3"/>
            <w:tcBorders>
              <w:top w:val="single" w:color="000000" w:sz="4" w:space="0"/>
              <w:left w:val="nil"/>
              <w:bottom w:val="single" w:color="000000" w:sz="4" w:space="0"/>
              <w:right w:val="single" w:color="auto" w:sz="4" w:space="0"/>
            </w:tcBorders>
            <w:vAlign w:val="center"/>
          </w:tcPr>
          <w:p w14:paraId="36DBD05C">
            <w:pPr>
              <w:jc w:val="center"/>
              <w:rPr>
                <w:rFonts w:cs="宋体"/>
                <w:color w:val="auto"/>
                <w:szCs w:val="24"/>
                <w:highlight w:val="none"/>
              </w:rPr>
            </w:pPr>
          </w:p>
        </w:tc>
        <w:tc>
          <w:tcPr>
            <w:tcW w:w="623" w:type="dxa"/>
            <w:vMerge w:val="continue"/>
            <w:tcBorders>
              <w:left w:val="nil"/>
              <w:right w:val="single" w:color="auto" w:sz="4" w:space="0"/>
            </w:tcBorders>
            <w:vAlign w:val="center"/>
          </w:tcPr>
          <w:p w14:paraId="13C70F36">
            <w:pPr>
              <w:jc w:val="center"/>
              <w:rPr>
                <w:rFonts w:cs="宋体"/>
                <w:color w:val="auto"/>
                <w:szCs w:val="24"/>
                <w:highlight w:val="none"/>
              </w:rPr>
            </w:pPr>
          </w:p>
        </w:tc>
        <w:tc>
          <w:tcPr>
            <w:tcW w:w="1402" w:type="dxa"/>
            <w:gridSpan w:val="2"/>
            <w:tcBorders>
              <w:top w:val="single" w:color="000000" w:sz="4" w:space="0"/>
              <w:left w:val="nil"/>
              <w:bottom w:val="single" w:color="000000" w:sz="4" w:space="0"/>
              <w:right w:val="single" w:color="auto" w:sz="4" w:space="0"/>
            </w:tcBorders>
            <w:vAlign w:val="center"/>
          </w:tcPr>
          <w:p w14:paraId="1594730C">
            <w:pPr>
              <w:jc w:val="center"/>
              <w:rPr>
                <w:rFonts w:cs="宋体"/>
                <w:color w:val="auto"/>
                <w:szCs w:val="24"/>
                <w:highlight w:val="none"/>
              </w:rPr>
            </w:pPr>
          </w:p>
        </w:tc>
        <w:tc>
          <w:tcPr>
            <w:tcW w:w="1410" w:type="dxa"/>
            <w:gridSpan w:val="2"/>
            <w:tcBorders>
              <w:top w:val="single" w:color="000000" w:sz="4" w:space="0"/>
              <w:left w:val="nil"/>
              <w:bottom w:val="single" w:color="000000" w:sz="4" w:space="0"/>
              <w:right w:val="single" w:color="000000" w:sz="4" w:space="0"/>
            </w:tcBorders>
            <w:vAlign w:val="center"/>
          </w:tcPr>
          <w:p w14:paraId="43578A2B">
            <w:pPr>
              <w:jc w:val="center"/>
              <w:rPr>
                <w:rFonts w:cs="宋体"/>
                <w:color w:val="auto"/>
                <w:szCs w:val="24"/>
                <w:highlight w:val="none"/>
              </w:rPr>
            </w:pPr>
          </w:p>
        </w:tc>
      </w:tr>
      <w:tr w14:paraId="43030F01">
        <w:tblPrEx>
          <w:tblCellMar>
            <w:top w:w="0" w:type="dxa"/>
            <w:left w:w="0" w:type="dxa"/>
            <w:bottom w:w="0" w:type="dxa"/>
            <w:right w:w="0" w:type="dxa"/>
          </w:tblCellMar>
        </w:tblPrEx>
        <w:trPr>
          <w:trHeight w:val="751" w:hRule="atLeast"/>
        </w:trPr>
        <w:tc>
          <w:tcPr>
            <w:tcW w:w="1963" w:type="dxa"/>
            <w:tcBorders>
              <w:top w:val="single" w:color="000000" w:sz="4" w:space="0"/>
              <w:left w:val="single" w:color="000000" w:sz="4" w:space="0"/>
              <w:bottom w:val="single" w:color="000000" w:sz="4" w:space="0"/>
              <w:right w:val="single" w:color="000000" w:sz="4" w:space="0"/>
            </w:tcBorders>
            <w:vAlign w:val="center"/>
          </w:tcPr>
          <w:p w14:paraId="1DD84AB2">
            <w:pPr>
              <w:jc w:val="center"/>
              <w:rPr>
                <w:rFonts w:cs="宋体"/>
                <w:color w:val="auto"/>
                <w:szCs w:val="24"/>
                <w:highlight w:val="none"/>
              </w:rPr>
            </w:pPr>
            <w:r>
              <w:rPr>
                <w:rFonts w:hint="eastAsia" w:cs="宋体"/>
                <w:color w:val="auto"/>
                <w:szCs w:val="24"/>
                <w:highlight w:val="none"/>
              </w:rPr>
              <w:t>账号</w:t>
            </w:r>
          </w:p>
        </w:tc>
        <w:tc>
          <w:tcPr>
            <w:tcW w:w="3541" w:type="dxa"/>
            <w:gridSpan w:val="3"/>
            <w:tcBorders>
              <w:top w:val="single" w:color="000000" w:sz="4" w:space="0"/>
              <w:left w:val="nil"/>
              <w:bottom w:val="single" w:color="000000" w:sz="4" w:space="0"/>
              <w:right w:val="single" w:color="auto" w:sz="4" w:space="0"/>
            </w:tcBorders>
            <w:vAlign w:val="center"/>
          </w:tcPr>
          <w:p w14:paraId="19323F69">
            <w:pPr>
              <w:jc w:val="center"/>
              <w:rPr>
                <w:rFonts w:cs="宋体"/>
                <w:color w:val="auto"/>
                <w:szCs w:val="24"/>
                <w:highlight w:val="none"/>
              </w:rPr>
            </w:pPr>
          </w:p>
        </w:tc>
        <w:tc>
          <w:tcPr>
            <w:tcW w:w="623" w:type="dxa"/>
            <w:vMerge w:val="continue"/>
            <w:tcBorders>
              <w:left w:val="nil"/>
              <w:bottom w:val="single" w:color="000000" w:sz="4" w:space="0"/>
              <w:right w:val="single" w:color="auto" w:sz="4" w:space="0"/>
            </w:tcBorders>
            <w:vAlign w:val="center"/>
          </w:tcPr>
          <w:p w14:paraId="6E4B9F00">
            <w:pPr>
              <w:jc w:val="center"/>
              <w:rPr>
                <w:rFonts w:cs="宋体"/>
                <w:color w:val="auto"/>
                <w:szCs w:val="24"/>
                <w:highlight w:val="none"/>
              </w:rPr>
            </w:pPr>
          </w:p>
        </w:tc>
        <w:tc>
          <w:tcPr>
            <w:tcW w:w="1402" w:type="dxa"/>
            <w:gridSpan w:val="2"/>
            <w:tcBorders>
              <w:top w:val="single" w:color="000000" w:sz="4" w:space="0"/>
              <w:left w:val="nil"/>
              <w:bottom w:val="single" w:color="000000" w:sz="4" w:space="0"/>
              <w:right w:val="single" w:color="auto" w:sz="4" w:space="0"/>
            </w:tcBorders>
            <w:vAlign w:val="center"/>
          </w:tcPr>
          <w:p w14:paraId="5C059D03">
            <w:pPr>
              <w:jc w:val="center"/>
              <w:rPr>
                <w:rFonts w:cs="宋体"/>
                <w:color w:val="auto"/>
                <w:szCs w:val="24"/>
                <w:highlight w:val="none"/>
              </w:rPr>
            </w:pPr>
          </w:p>
        </w:tc>
        <w:tc>
          <w:tcPr>
            <w:tcW w:w="1410" w:type="dxa"/>
            <w:gridSpan w:val="2"/>
            <w:tcBorders>
              <w:top w:val="single" w:color="000000" w:sz="4" w:space="0"/>
              <w:left w:val="nil"/>
              <w:bottom w:val="single" w:color="000000" w:sz="4" w:space="0"/>
              <w:right w:val="single" w:color="000000" w:sz="4" w:space="0"/>
            </w:tcBorders>
            <w:vAlign w:val="center"/>
          </w:tcPr>
          <w:p w14:paraId="47E2BFF8">
            <w:pPr>
              <w:jc w:val="center"/>
              <w:rPr>
                <w:rFonts w:cs="宋体"/>
                <w:color w:val="auto"/>
                <w:szCs w:val="24"/>
                <w:highlight w:val="none"/>
              </w:rPr>
            </w:pPr>
          </w:p>
        </w:tc>
      </w:tr>
      <w:tr w14:paraId="1665EB96">
        <w:tblPrEx>
          <w:tblCellMar>
            <w:top w:w="0" w:type="dxa"/>
            <w:left w:w="0" w:type="dxa"/>
            <w:bottom w:w="0" w:type="dxa"/>
            <w:right w:w="0" w:type="dxa"/>
          </w:tblCellMar>
        </w:tblPrEx>
        <w:trPr>
          <w:trHeight w:val="1158" w:hRule="atLeast"/>
        </w:trPr>
        <w:tc>
          <w:tcPr>
            <w:tcW w:w="1963" w:type="dxa"/>
            <w:tcBorders>
              <w:top w:val="single" w:color="000000" w:sz="4" w:space="0"/>
              <w:left w:val="single" w:color="000000" w:sz="4" w:space="0"/>
              <w:bottom w:val="single" w:color="000000" w:sz="4" w:space="0"/>
              <w:right w:val="single" w:color="000000" w:sz="4" w:space="0"/>
            </w:tcBorders>
            <w:vAlign w:val="center"/>
          </w:tcPr>
          <w:p w14:paraId="7F3756A5">
            <w:pPr>
              <w:jc w:val="center"/>
              <w:rPr>
                <w:rFonts w:cs="宋体"/>
                <w:color w:val="auto"/>
                <w:szCs w:val="24"/>
                <w:highlight w:val="none"/>
              </w:rPr>
            </w:pPr>
            <w:r>
              <w:rPr>
                <w:rFonts w:hint="eastAsia" w:cs="宋体"/>
                <w:color w:val="auto"/>
                <w:szCs w:val="24"/>
                <w:highlight w:val="none"/>
              </w:rPr>
              <w:t>经营范围</w:t>
            </w:r>
          </w:p>
        </w:tc>
        <w:tc>
          <w:tcPr>
            <w:tcW w:w="6976" w:type="dxa"/>
            <w:gridSpan w:val="8"/>
            <w:tcBorders>
              <w:top w:val="single" w:color="000000" w:sz="4" w:space="0"/>
              <w:left w:val="nil"/>
              <w:bottom w:val="single" w:color="000000" w:sz="4" w:space="0"/>
              <w:right w:val="single" w:color="000000" w:sz="4" w:space="0"/>
            </w:tcBorders>
            <w:vAlign w:val="center"/>
          </w:tcPr>
          <w:p w14:paraId="2BEB9912">
            <w:pPr>
              <w:jc w:val="center"/>
              <w:rPr>
                <w:rFonts w:cs="宋体"/>
                <w:color w:val="auto"/>
                <w:szCs w:val="24"/>
                <w:highlight w:val="none"/>
              </w:rPr>
            </w:pPr>
          </w:p>
        </w:tc>
      </w:tr>
      <w:tr w14:paraId="04ECB784">
        <w:tblPrEx>
          <w:tblCellMar>
            <w:top w:w="0" w:type="dxa"/>
            <w:left w:w="0" w:type="dxa"/>
            <w:bottom w:w="0" w:type="dxa"/>
            <w:right w:w="0" w:type="dxa"/>
          </w:tblCellMar>
        </w:tblPrEx>
        <w:trPr>
          <w:trHeight w:val="909" w:hRule="atLeast"/>
        </w:trPr>
        <w:tc>
          <w:tcPr>
            <w:tcW w:w="1963" w:type="dxa"/>
            <w:tcBorders>
              <w:top w:val="single" w:color="000000" w:sz="4" w:space="0"/>
              <w:left w:val="single" w:color="000000" w:sz="4" w:space="0"/>
              <w:bottom w:val="single" w:color="000000" w:sz="4" w:space="0"/>
              <w:right w:val="single" w:color="000000" w:sz="4" w:space="0"/>
            </w:tcBorders>
            <w:vAlign w:val="center"/>
          </w:tcPr>
          <w:p w14:paraId="391D34DF">
            <w:pPr>
              <w:jc w:val="center"/>
              <w:rPr>
                <w:rFonts w:cs="宋体"/>
                <w:color w:val="auto"/>
                <w:szCs w:val="24"/>
                <w:highlight w:val="none"/>
              </w:rPr>
            </w:pPr>
            <w:r>
              <w:rPr>
                <w:rFonts w:hint="eastAsia" w:cs="宋体"/>
                <w:color w:val="auto"/>
                <w:szCs w:val="24"/>
                <w:highlight w:val="none"/>
              </w:rPr>
              <w:t>备注</w:t>
            </w:r>
          </w:p>
        </w:tc>
        <w:tc>
          <w:tcPr>
            <w:tcW w:w="6976" w:type="dxa"/>
            <w:gridSpan w:val="8"/>
            <w:tcBorders>
              <w:top w:val="single" w:color="000000" w:sz="4" w:space="0"/>
              <w:left w:val="nil"/>
              <w:bottom w:val="single" w:color="000000" w:sz="4" w:space="0"/>
              <w:right w:val="single" w:color="000000" w:sz="4" w:space="0"/>
            </w:tcBorders>
            <w:vAlign w:val="center"/>
          </w:tcPr>
          <w:p w14:paraId="4FC75F3B">
            <w:pPr>
              <w:jc w:val="center"/>
              <w:rPr>
                <w:rFonts w:cs="宋体"/>
                <w:color w:val="auto"/>
                <w:szCs w:val="24"/>
                <w:highlight w:val="none"/>
              </w:rPr>
            </w:pPr>
          </w:p>
        </w:tc>
      </w:tr>
    </w:tbl>
    <w:p w14:paraId="0F827B8F">
      <w:pPr>
        <w:adjustRightInd/>
        <w:spacing w:before="120" w:beforeLines="50" w:after="240" w:afterLines="100"/>
        <w:jc w:val="center"/>
        <w:textAlignment w:val="auto"/>
        <w:outlineLvl w:val="1"/>
        <w:rPr>
          <w:rFonts w:ascii="仿宋" w:hAnsi="仿宋" w:eastAsia="仿宋" w:cs="仿宋"/>
          <w:b/>
          <w:bCs/>
          <w:color w:val="auto"/>
          <w:sz w:val="28"/>
          <w:szCs w:val="28"/>
          <w:highlight w:val="none"/>
        </w:rPr>
        <w:sectPr>
          <w:pgSz w:w="11905" w:h="16838"/>
          <w:pgMar w:top="1440" w:right="1440" w:bottom="1440" w:left="1440" w:header="624" w:footer="992" w:gutter="0"/>
          <w:pgNumType w:fmt="decimal"/>
          <w:cols w:space="720" w:num="1"/>
          <w:titlePg/>
          <w:rtlGutter w:val="0"/>
          <w:docGrid w:linePitch="312" w:charSpace="0"/>
        </w:sectPr>
      </w:pPr>
    </w:p>
    <w:p w14:paraId="7BD6F7CA">
      <w:pPr>
        <w:jc w:val="center"/>
        <w:rPr>
          <w:rFonts w:cs="宋体"/>
          <w:color w:val="auto"/>
          <w:szCs w:val="24"/>
          <w:highlight w:val="none"/>
        </w:rPr>
      </w:pPr>
      <w:r>
        <w:rPr>
          <w:rFonts w:hint="eastAsia" w:cs="宋体"/>
          <w:color w:val="auto"/>
          <w:szCs w:val="24"/>
          <w:highlight w:val="none"/>
        </w:rPr>
        <w:t>（二）近三年项目业绩情况</w:t>
      </w:r>
    </w:p>
    <w:p w14:paraId="0A5E5997">
      <w:pPr>
        <w:rPr>
          <w:rFonts w:cs="宋体"/>
          <w:color w:val="auto"/>
          <w:szCs w:val="24"/>
          <w:highlight w:val="none"/>
        </w:rPr>
      </w:pPr>
    </w:p>
    <w:tbl>
      <w:tblPr>
        <w:tblStyle w:val="1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6421"/>
      </w:tblGrid>
      <w:tr w14:paraId="2022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538" w:type="dxa"/>
            <w:vAlign w:val="center"/>
          </w:tcPr>
          <w:p w14:paraId="554EFBDA">
            <w:pPr>
              <w:pStyle w:val="25"/>
              <w:adjustRightInd/>
              <w:spacing w:line="360" w:lineRule="auto"/>
              <w:ind w:firstLine="0"/>
              <w:jc w:val="center"/>
              <w:textAlignment w:val="auto"/>
              <w:rPr>
                <w:color w:val="auto"/>
                <w:sz w:val="24"/>
                <w:szCs w:val="20"/>
                <w:highlight w:val="none"/>
                <w:lang w:val="en-US" w:eastAsia="zh-CN" w:bidi="ar-SA"/>
              </w:rPr>
            </w:pPr>
            <w:r>
              <w:rPr>
                <w:rFonts w:hint="eastAsia"/>
                <w:color w:val="auto"/>
                <w:sz w:val="24"/>
                <w:szCs w:val="20"/>
                <w:highlight w:val="none"/>
                <w:lang w:val="en-US" w:eastAsia="zh-CN" w:bidi="ar-SA"/>
              </w:rPr>
              <w:t>项目名称</w:t>
            </w:r>
          </w:p>
        </w:tc>
        <w:tc>
          <w:tcPr>
            <w:tcW w:w="6421" w:type="dxa"/>
            <w:vAlign w:val="bottom"/>
          </w:tcPr>
          <w:p w14:paraId="5CB6A467">
            <w:pPr>
              <w:snapToGrid w:val="0"/>
              <w:jc w:val="center"/>
              <w:rPr>
                <w:rFonts w:cs="宋体"/>
                <w:color w:val="auto"/>
                <w:szCs w:val="24"/>
                <w:highlight w:val="none"/>
              </w:rPr>
            </w:pPr>
          </w:p>
        </w:tc>
      </w:tr>
      <w:tr w14:paraId="7E38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538" w:type="dxa"/>
            <w:vAlign w:val="center"/>
          </w:tcPr>
          <w:p w14:paraId="65F06BAC">
            <w:pPr>
              <w:pStyle w:val="25"/>
              <w:adjustRightInd/>
              <w:spacing w:line="360" w:lineRule="auto"/>
              <w:ind w:firstLine="0"/>
              <w:jc w:val="center"/>
              <w:textAlignment w:val="auto"/>
              <w:rPr>
                <w:color w:val="auto"/>
                <w:sz w:val="24"/>
                <w:szCs w:val="20"/>
                <w:highlight w:val="none"/>
                <w:lang w:val="en-US" w:eastAsia="zh-CN" w:bidi="ar-SA"/>
              </w:rPr>
            </w:pPr>
            <w:r>
              <w:rPr>
                <w:rFonts w:hint="eastAsia"/>
                <w:color w:val="auto"/>
                <w:sz w:val="24"/>
                <w:szCs w:val="20"/>
                <w:highlight w:val="none"/>
                <w:lang w:val="en-US" w:eastAsia="zh-CN" w:bidi="ar-SA"/>
              </w:rPr>
              <w:t>服务内容</w:t>
            </w:r>
          </w:p>
        </w:tc>
        <w:tc>
          <w:tcPr>
            <w:tcW w:w="6421" w:type="dxa"/>
            <w:vAlign w:val="bottom"/>
          </w:tcPr>
          <w:p w14:paraId="239591B4">
            <w:pPr>
              <w:snapToGrid w:val="0"/>
              <w:jc w:val="center"/>
              <w:rPr>
                <w:rFonts w:cs="宋体"/>
                <w:color w:val="auto"/>
                <w:szCs w:val="24"/>
                <w:highlight w:val="none"/>
              </w:rPr>
            </w:pPr>
          </w:p>
        </w:tc>
      </w:tr>
      <w:tr w14:paraId="1985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538" w:type="dxa"/>
            <w:vAlign w:val="center"/>
          </w:tcPr>
          <w:p w14:paraId="0A9665B1">
            <w:pPr>
              <w:pStyle w:val="25"/>
              <w:adjustRightInd/>
              <w:spacing w:line="360" w:lineRule="auto"/>
              <w:ind w:firstLine="0"/>
              <w:jc w:val="center"/>
              <w:textAlignment w:val="auto"/>
              <w:rPr>
                <w:color w:val="auto"/>
                <w:sz w:val="24"/>
                <w:szCs w:val="20"/>
                <w:highlight w:val="none"/>
                <w:lang w:val="en-US" w:eastAsia="zh-CN" w:bidi="ar-SA"/>
              </w:rPr>
            </w:pPr>
            <w:r>
              <w:rPr>
                <w:rFonts w:hint="eastAsia"/>
                <w:color w:val="auto"/>
                <w:sz w:val="24"/>
                <w:szCs w:val="20"/>
                <w:highlight w:val="none"/>
                <w:lang w:val="en-US" w:eastAsia="zh-CN" w:bidi="ar-SA"/>
              </w:rPr>
              <w:t>委托人/发包人名称</w:t>
            </w:r>
          </w:p>
        </w:tc>
        <w:tc>
          <w:tcPr>
            <w:tcW w:w="6421" w:type="dxa"/>
            <w:vAlign w:val="bottom"/>
          </w:tcPr>
          <w:p w14:paraId="1F388CD5">
            <w:pPr>
              <w:snapToGrid w:val="0"/>
              <w:jc w:val="center"/>
              <w:rPr>
                <w:rFonts w:cs="宋体"/>
                <w:color w:val="auto"/>
                <w:szCs w:val="24"/>
                <w:highlight w:val="none"/>
              </w:rPr>
            </w:pPr>
          </w:p>
        </w:tc>
      </w:tr>
      <w:tr w14:paraId="389D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538" w:type="dxa"/>
            <w:vAlign w:val="center"/>
          </w:tcPr>
          <w:p w14:paraId="6CE1DCC3">
            <w:pPr>
              <w:pStyle w:val="25"/>
              <w:adjustRightInd/>
              <w:spacing w:line="360" w:lineRule="auto"/>
              <w:ind w:firstLine="0"/>
              <w:jc w:val="center"/>
              <w:textAlignment w:val="auto"/>
              <w:rPr>
                <w:color w:val="auto"/>
                <w:sz w:val="24"/>
                <w:szCs w:val="20"/>
                <w:highlight w:val="none"/>
                <w:lang w:val="en-US" w:eastAsia="zh-CN" w:bidi="ar-SA"/>
              </w:rPr>
            </w:pPr>
            <w:r>
              <w:rPr>
                <w:rFonts w:hint="eastAsia"/>
                <w:color w:val="auto"/>
                <w:sz w:val="24"/>
                <w:szCs w:val="20"/>
                <w:highlight w:val="none"/>
                <w:lang w:val="en-US" w:eastAsia="zh-CN" w:bidi="ar-SA"/>
              </w:rPr>
              <w:t>委托人/发包人联系人及电话</w:t>
            </w:r>
          </w:p>
        </w:tc>
        <w:tc>
          <w:tcPr>
            <w:tcW w:w="6421" w:type="dxa"/>
            <w:vAlign w:val="bottom"/>
          </w:tcPr>
          <w:p w14:paraId="396998DC">
            <w:pPr>
              <w:snapToGrid w:val="0"/>
              <w:jc w:val="center"/>
              <w:rPr>
                <w:rFonts w:cs="宋体"/>
                <w:color w:val="auto"/>
                <w:szCs w:val="24"/>
                <w:highlight w:val="none"/>
              </w:rPr>
            </w:pPr>
          </w:p>
        </w:tc>
      </w:tr>
      <w:tr w14:paraId="0F30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538" w:type="dxa"/>
            <w:vAlign w:val="center"/>
          </w:tcPr>
          <w:p w14:paraId="3051C5D5">
            <w:pPr>
              <w:pStyle w:val="25"/>
              <w:adjustRightInd/>
              <w:spacing w:line="360" w:lineRule="auto"/>
              <w:ind w:firstLine="0"/>
              <w:jc w:val="center"/>
              <w:textAlignment w:val="auto"/>
              <w:rPr>
                <w:color w:val="auto"/>
                <w:sz w:val="24"/>
                <w:szCs w:val="20"/>
                <w:highlight w:val="none"/>
                <w:lang w:val="en-US" w:eastAsia="zh-CN" w:bidi="ar-SA"/>
              </w:rPr>
            </w:pPr>
            <w:r>
              <w:rPr>
                <w:rFonts w:hint="eastAsia"/>
                <w:color w:val="auto"/>
                <w:sz w:val="24"/>
                <w:szCs w:val="20"/>
                <w:highlight w:val="none"/>
                <w:lang w:val="en-US" w:eastAsia="zh-CN" w:bidi="ar-SA"/>
              </w:rPr>
              <w:t>合同价格</w:t>
            </w:r>
          </w:p>
        </w:tc>
        <w:tc>
          <w:tcPr>
            <w:tcW w:w="6421" w:type="dxa"/>
            <w:vAlign w:val="bottom"/>
          </w:tcPr>
          <w:p w14:paraId="20910C7B">
            <w:pPr>
              <w:snapToGrid w:val="0"/>
              <w:jc w:val="center"/>
              <w:rPr>
                <w:rFonts w:cs="宋体"/>
                <w:color w:val="auto"/>
                <w:szCs w:val="24"/>
                <w:highlight w:val="none"/>
              </w:rPr>
            </w:pPr>
          </w:p>
        </w:tc>
      </w:tr>
      <w:tr w14:paraId="2AF2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538" w:type="dxa"/>
            <w:vAlign w:val="center"/>
          </w:tcPr>
          <w:p w14:paraId="2132443C">
            <w:pPr>
              <w:pStyle w:val="25"/>
              <w:adjustRightInd/>
              <w:spacing w:line="360" w:lineRule="auto"/>
              <w:ind w:firstLine="0"/>
              <w:jc w:val="center"/>
              <w:textAlignment w:val="auto"/>
              <w:rPr>
                <w:color w:val="auto"/>
                <w:sz w:val="24"/>
                <w:szCs w:val="20"/>
                <w:highlight w:val="none"/>
                <w:lang w:val="en-US" w:eastAsia="zh-CN" w:bidi="ar-SA"/>
              </w:rPr>
            </w:pPr>
            <w:r>
              <w:rPr>
                <w:rFonts w:hint="eastAsia"/>
                <w:color w:val="auto"/>
                <w:sz w:val="24"/>
                <w:szCs w:val="20"/>
                <w:highlight w:val="none"/>
                <w:lang w:val="en-US" w:eastAsia="zh-CN" w:bidi="ar-SA"/>
              </w:rPr>
              <w:t>服务是否完成</w:t>
            </w:r>
          </w:p>
        </w:tc>
        <w:tc>
          <w:tcPr>
            <w:tcW w:w="6421" w:type="dxa"/>
            <w:vAlign w:val="bottom"/>
          </w:tcPr>
          <w:p w14:paraId="7BC7D86A">
            <w:pPr>
              <w:snapToGrid w:val="0"/>
              <w:jc w:val="center"/>
              <w:rPr>
                <w:rFonts w:cs="宋体"/>
                <w:color w:val="auto"/>
                <w:szCs w:val="24"/>
                <w:highlight w:val="none"/>
              </w:rPr>
            </w:pPr>
          </w:p>
        </w:tc>
      </w:tr>
      <w:tr w14:paraId="03D8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538" w:type="dxa"/>
            <w:vAlign w:val="center"/>
          </w:tcPr>
          <w:p w14:paraId="3004AB9E">
            <w:pPr>
              <w:pStyle w:val="25"/>
              <w:adjustRightInd/>
              <w:spacing w:line="360" w:lineRule="auto"/>
              <w:ind w:firstLine="0"/>
              <w:jc w:val="center"/>
              <w:textAlignment w:val="auto"/>
              <w:rPr>
                <w:color w:val="auto"/>
                <w:sz w:val="24"/>
                <w:szCs w:val="20"/>
                <w:highlight w:val="none"/>
                <w:lang w:val="en-US" w:eastAsia="zh-CN" w:bidi="ar-SA"/>
              </w:rPr>
            </w:pPr>
            <w:r>
              <w:rPr>
                <w:rFonts w:hint="eastAsia"/>
                <w:color w:val="auto"/>
                <w:sz w:val="24"/>
                <w:szCs w:val="20"/>
                <w:highlight w:val="none"/>
                <w:lang w:val="en-US" w:eastAsia="zh-CN" w:bidi="ar-SA"/>
              </w:rPr>
              <w:t>项目负责人(如有)</w:t>
            </w:r>
          </w:p>
        </w:tc>
        <w:tc>
          <w:tcPr>
            <w:tcW w:w="6421" w:type="dxa"/>
            <w:vAlign w:val="bottom"/>
          </w:tcPr>
          <w:p w14:paraId="695E53D9">
            <w:pPr>
              <w:snapToGrid w:val="0"/>
              <w:jc w:val="center"/>
              <w:rPr>
                <w:rFonts w:cs="宋体"/>
                <w:color w:val="auto"/>
                <w:szCs w:val="24"/>
                <w:highlight w:val="none"/>
              </w:rPr>
            </w:pPr>
          </w:p>
        </w:tc>
      </w:tr>
      <w:tr w14:paraId="1E0F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538" w:type="dxa"/>
            <w:vAlign w:val="center"/>
          </w:tcPr>
          <w:p w14:paraId="0B6956C8">
            <w:pPr>
              <w:pStyle w:val="25"/>
              <w:adjustRightInd/>
              <w:spacing w:line="360" w:lineRule="auto"/>
              <w:ind w:firstLine="0"/>
              <w:jc w:val="center"/>
              <w:textAlignment w:val="auto"/>
              <w:rPr>
                <w:color w:val="auto"/>
                <w:sz w:val="24"/>
                <w:szCs w:val="20"/>
                <w:highlight w:val="none"/>
                <w:lang w:val="en-US" w:eastAsia="zh-CN" w:bidi="ar-SA"/>
              </w:rPr>
            </w:pPr>
            <w:r>
              <w:rPr>
                <w:rFonts w:hint="eastAsia"/>
                <w:color w:val="auto"/>
                <w:sz w:val="24"/>
                <w:szCs w:val="20"/>
                <w:highlight w:val="none"/>
                <w:lang w:val="en-US" w:eastAsia="zh-CN" w:bidi="ar-SA"/>
              </w:rPr>
              <w:t>项目概况及供应商 履约情况</w:t>
            </w:r>
          </w:p>
        </w:tc>
        <w:tc>
          <w:tcPr>
            <w:tcW w:w="6421" w:type="dxa"/>
            <w:vAlign w:val="bottom"/>
          </w:tcPr>
          <w:p w14:paraId="38926415">
            <w:pPr>
              <w:snapToGrid w:val="0"/>
              <w:jc w:val="center"/>
              <w:rPr>
                <w:rFonts w:cs="宋体"/>
                <w:color w:val="auto"/>
                <w:szCs w:val="24"/>
                <w:highlight w:val="none"/>
              </w:rPr>
            </w:pPr>
          </w:p>
        </w:tc>
      </w:tr>
      <w:tr w14:paraId="220D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538" w:type="dxa"/>
            <w:vAlign w:val="center"/>
          </w:tcPr>
          <w:p w14:paraId="6855EE79">
            <w:pPr>
              <w:pStyle w:val="25"/>
              <w:adjustRightInd/>
              <w:spacing w:line="360" w:lineRule="auto"/>
              <w:ind w:firstLine="0"/>
              <w:jc w:val="center"/>
              <w:textAlignment w:val="auto"/>
              <w:rPr>
                <w:color w:val="auto"/>
                <w:sz w:val="24"/>
                <w:szCs w:val="20"/>
                <w:highlight w:val="none"/>
                <w:lang w:val="en-US" w:eastAsia="zh-CN" w:bidi="ar-SA"/>
              </w:rPr>
            </w:pPr>
            <w:r>
              <w:rPr>
                <w:rFonts w:hint="eastAsia"/>
                <w:color w:val="auto"/>
                <w:sz w:val="24"/>
                <w:szCs w:val="20"/>
                <w:highlight w:val="none"/>
                <w:lang w:val="en-US" w:eastAsia="zh-CN" w:bidi="ar-SA"/>
              </w:rPr>
              <w:t>备注</w:t>
            </w:r>
          </w:p>
        </w:tc>
        <w:tc>
          <w:tcPr>
            <w:tcW w:w="6421" w:type="dxa"/>
            <w:vAlign w:val="bottom"/>
          </w:tcPr>
          <w:p w14:paraId="7776CBA6">
            <w:pPr>
              <w:snapToGrid w:val="0"/>
              <w:jc w:val="center"/>
              <w:rPr>
                <w:rFonts w:cs="宋体"/>
                <w:color w:val="auto"/>
                <w:szCs w:val="24"/>
                <w:highlight w:val="none"/>
              </w:rPr>
            </w:pPr>
          </w:p>
        </w:tc>
      </w:tr>
    </w:tbl>
    <w:p w14:paraId="631924B1">
      <w:pPr>
        <w:spacing w:line="400" w:lineRule="exact"/>
        <w:ind w:left="-2"/>
        <w:rPr>
          <w:rFonts w:cs="宋体"/>
          <w:bCs/>
          <w:color w:val="auto"/>
          <w:szCs w:val="24"/>
          <w:highlight w:val="none"/>
        </w:rPr>
      </w:pPr>
      <w:r>
        <w:rPr>
          <w:rFonts w:hint="eastAsia" w:cs="宋体"/>
          <w:color w:val="auto"/>
          <w:szCs w:val="24"/>
          <w:highlight w:val="none"/>
        </w:rPr>
        <w:t>备注：</w:t>
      </w:r>
      <w:r>
        <w:rPr>
          <w:rFonts w:hint="eastAsia" w:cs="宋体"/>
          <w:bCs/>
          <w:color w:val="auto"/>
          <w:szCs w:val="24"/>
          <w:highlight w:val="none"/>
        </w:rPr>
        <w:t>1、</w:t>
      </w:r>
      <w:r>
        <w:rPr>
          <w:rFonts w:hint="eastAsia" w:cs="宋体"/>
          <w:color w:val="auto"/>
          <w:szCs w:val="24"/>
          <w:highlight w:val="none"/>
        </w:rPr>
        <w:t>业绩以合同（合同首页、合同金额所在页、签字盖章页）证明材料的复印件为准。</w:t>
      </w:r>
    </w:p>
    <w:p w14:paraId="6A679AB8">
      <w:pPr>
        <w:pStyle w:val="1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8" w:firstLineChars="266"/>
        <w:rPr>
          <w:rFonts w:ascii="宋体" w:hAnsi="宋体" w:cs="宋体"/>
          <w:bCs/>
          <w:color w:val="auto"/>
          <w:sz w:val="24"/>
          <w:szCs w:val="24"/>
          <w:highlight w:val="none"/>
        </w:rPr>
        <w:sectPr>
          <w:pgSz w:w="11906" w:h="16838"/>
          <w:pgMar w:top="1440" w:right="1440" w:bottom="1440" w:left="1440" w:header="851" w:footer="992" w:gutter="0"/>
          <w:pgNumType w:fmt="decimal"/>
          <w:cols w:space="720" w:num="1"/>
          <w:rtlGutter w:val="0"/>
          <w:docGrid w:type="lines" w:linePitch="312" w:charSpace="0"/>
        </w:sectPr>
      </w:pPr>
      <w:r>
        <w:rPr>
          <w:rFonts w:hint="eastAsia" w:ascii="宋体" w:hAnsi="宋体" w:cs="宋体"/>
          <w:bCs/>
          <w:color w:val="auto"/>
          <w:sz w:val="24"/>
          <w:szCs w:val="24"/>
          <w:highlight w:val="none"/>
        </w:rPr>
        <w:t>每张表格只填写一个项目，并标明序号。</w:t>
      </w:r>
    </w:p>
    <w:p w14:paraId="65F0B2C2">
      <w:pPr>
        <w:jc w:val="center"/>
        <w:rPr>
          <w:rFonts w:cs="宋体"/>
          <w:color w:val="auto"/>
          <w:szCs w:val="24"/>
          <w:highlight w:val="none"/>
        </w:rPr>
      </w:pPr>
      <w:r>
        <w:rPr>
          <w:rFonts w:hint="eastAsia" w:cs="宋体"/>
          <w:color w:val="auto"/>
          <w:szCs w:val="24"/>
          <w:highlight w:val="none"/>
        </w:rPr>
        <w:t>（三）项目管理机构配备情况表</w:t>
      </w:r>
    </w:p>
    <w:p w14:paraId="7E0D1AD8">
      <w:pPr>
        <w:pStyle w:val="6"/>
        <w:ind w:left="480"/>
        <w:rPr>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0516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36D14C6C">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序号</w:t>
            </w:r>
          </w:p>
        </w:tc>
        <w:tc>
          <w:tcPr>
            <w:tcW w:w="1435" w:type="dxa"/>
            <w:vMerge w:val="restart"/>
            <w:shd w:val="clear" w:color="auto" w:fill="FFFFFF"/>
            <w:vAlign w:val="center"/>
          </w:tcPr>
          <w:p w14:paraId="4AC7BB15">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本项目任职</w:t>
            </w:r>
          </w:p>
        </w:tc>
        <w:tc>
          <w:tcPr>
            <w:tcW w:w="1133" w:type="dxa"/>
            <w:vMerge w:val="restart"/>
            <w:shd w:val="clear" w:color="auto" w:fill="FFFFFF"/>
            <w:vAlign w:val="center"/>
          </w:tcPr>
          <w:p w14:paraId="20F3EB27">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姓名</w:t>
            </w:r>
          </w:p>
        </w:tc>
        <w:tc>
          <w:tcPr>
            <w:tcW w:w="686" w:type="dxa"/>
            <w:vMerge w:val="restart"/>
            <w:shd w:val="clear" w:color="auto" w:fill="FFFFFF"/>
            <w:vAlign w:val="center"/>
          </w:tcPr>
          <w:p w14:paraId="0836C029">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职称</w:t>
            </w:r>
          </w:p>
        </w:tc>
        <w:tc>
          <w:tcPr>
            <w:tcW w:w="677" w:type="dxa"/>
            <w:vMerge w:val="restart"/>
            <w:shd w:val="clear" w:color="auto" w:fill="FFFFFF"/>
            <w:vAlign w:val="center"/>
          </w:tcPr>
          <w:p w14:paraId="71BABA48">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专业</w:t>
            </w:r>
          </w:p>
        </w:tc>
        <w:tc>
          <w:tcPr>
            <w:tcW w:w="2938" w:type="dxa"/>
            <w:gridSpan w:val="3"/>
            <w:shd w:val="clear" w:color="auto" w:fill="FFFFFF"/>
            <w:vAlign w:val="center"/>
          </w:tcPr>
          <w:p w14:paraId="4ED94520">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执业或职业资格证明</w:t>
            </w:r>
          </w:p>
        </w:tc>
        <w:tc>
          <w:tcPr>
            <w:tcW w:w="1382" w:type="dxa"/>
            <w:vMerge w:val="restart"/>
            <w:shd w:val="clear" w:color="auto" w:fill="FFFFFF"/>
            <w:vAlign w:val="center"/>
          </w:tcPr>
          <w:p w14:paraId="0382A343">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备注</w:t>
            </w:r>
          </w:p>
        </w:tc>
      </w:tr>
      <w:tr w14:paraId="2B36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BAB804E">
            <w:pPr>
              <w:adjustRightInd/>
              <w:ind w:firstLine="480" w:firstLineChars="200"/>
              <w:jc w:val="center"/>
              <w:textAlignment w:val="auto"/>
              <w:rPr>
                <w:rFonts w:cs="宋体"/>
                <w:bCs/>
                <w:color w:val="auto"/>
                <w:szCs w:val="24"/>
                <w:highlight w:val="none"/>
              </w:rPr>
            </w:pPr>
          </w:p>
        </w:tc>
        <w:tc>
          <w:tcPr>
            <w:tcW w:w="1435" w:type="dxa"/>
            <w:vMerge w:val="continue"/>
            <w:shd w:val="clear" w:color="auto" w:fill="FFFFFF"/>
            <w:vAlign w:val="center"/>
          </w:tcPr>
          <w:p w14:paraId="19D03A9B">
            <w:pPr>
              <w:adjustRightInd/>
              <w:ind w:firstLine="480" w:firstLineChars="200"/>
              <w:jc w:val="center"/>
              <w:textAlignment w:val="auto"/>
              <w:rPr>
                <w:rFonts w:cs="宋体"/>
                <w:bCs/>
                <w:color w:val="auto"/>
                <w:szCs w:val="24"/>
                <w:highlight w:val="none"/>
              </w:rPr>
            </w:pPr>
          </w:p>
        </w:tc>
        <w:tc>
          <w:tcPr>
            <w:tcW w:w="1133" w:type="dxa"/>
            <w:vMerge w:val="continue"/>
            <w:shd w:val="clear" w:color="auto" w:fill="FFFFFF"/>
            <w:vAlign w:val="center"/>
          </w:tcPr>
          <w:p w14:paraId="773EB753">
            <w:pPr>
              <w:adjustRightInd/>
              <w:ind w:firstLine="480" w:firstLineChars="200"/>
              <w:jc w:val="center"/>
              <w:textAlignment w:val="auto"/>
              <w:rPr>
                <w:rFonts w:cs="宋体"/>
                <w:bCs/>
                <w:color w:val="auto"/>
                <w:szCs w:val="24"/>
                <w:highlight w:val="none"/>
              </w:rPr>
            </w:pPr>
          </w:p>
        </w:tc>
        <w:tc>
          <w:tcPr>
            <w:tcW w:w="686" w:type="dxa"/>
            <w:vMerge w:val="continue"/>
            <w:shd w:val="clear" w:color="auto" w:fill="FFFFFF"/>
            <w:vAlign w:val="center"/>
          </w:tcPr>
          <w:p w14:paraId="298E1216">
            <w:pPr>
              <w:adjustRightInd/>
              <w:ind w:firstLine="480" w:firstLineChars="200"/>
              <w:jc w:val="center"/>
              <w:textAlignment w:val="auto"/>
              <w:rPr>
                <w:rFonts w:cs="宋体"/>
                <w:bCs/>
                <w:color w:val="auto"/>
                <w:szCs w:val="24"/>
                <w:highlight w:val="none"/>
              </w:rPr>
            </w:pPr>
          </w:p>
        </w:tc>
        <w:tc>
          <w:tcPr>
            <w:tcW w:w="677" w:type="dxa"/>
            <w:vMerge w:val="continue"/>
            <w:shd w:val="clear" w:color="auto" w:fill="FFFFFF"/>
            <w:vAlign w:val="center"/>
          </w:tcPr>
          <w:p w14:paraId="5B9D45D3">
            <w:pPr>
              <w:adjustRightInd/>
              <w:ind w:firstLine="480" w:firstLineChars="200"/>
              <w:jc w:val="center"/>
              <w:textAlignment w:val="auto"/>
              <w:rPr>
                <w:rFonts w:cs="宋体"/>
                <w:bCs/>
                <w:color w:val="auto"/>
                <w:szCs w:val="24"/>
                <w:highlight w:val="none"/>
              </w:rPr>
            </w:pPr>
          </w:p>
        </w:tc>
        <w:tc>
          <w:tcPr>
            <w:tcW w:w="1238" w:type="dxa"/>
            <w:shd w:val="clear" w:color="auto" w:fill="FFFFFF"/>
            <w:vAlign w:val="center"/>
          </w:tcPr>
          <w:p w14:paraId="4EBCAED0">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证书名称</w:t>
            </w:r>
          </w:p>
        </w:tc>
        <w:tc>
          <w:tcPr>
            <w:tcW w:w="850" w:type="dxa"/>
            <w:shd w:val="clear" w:color="auto" w:fill="FFFFFF"/>
            <w:vAlign w:val="center"/>
          </w:tcPr>
          <w:p w14:paraId="20828CA7">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级别</w:t>
            </w:r>
          </w:p>
        </w:tc>
        <w:tc>
          <w:tcPr>
            <w:tcW w:w="850" w:type="dxa"/>
            <w:shd w:val="clear" w:color="auto" w:fill="FFFFFF"/>
            <w:vAlign w:val="center"/>
          </w:tcPr>
          <w:p w14:paraId="0E5ED5AC">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证号</w:t>
            </w:r>
          </w:p>
        </w:tc>
        <w:tc>
          <w:tcPr>
            <w:tcW w:w="1382" w:type="dxa"/>
            <w:vMerge w:val="continue"/>
            <w:shd w:val="clear" w:color="auto" w:fill="FFFFFF"/>
            <w:vAlign w:val="center"/>
          </w:tcPr>
          <w:p w14:paraId="212FD239">
            <w:pPr>
              <w:adjustRightInd/>
              <w:ind w:firstLine="480" w:firstLineChars="200"/>
              <w:jc w:val="center"/>
              <w:textAlignment w:val="auto"/>
              <w:rPr>
                <w:rFonts w:cs="宋体"/>
                <w:bCs/>
                <w:color w:val="auto"/>
                <w:szCs w:val="24"/>
                <w:highlight w:val="none"/>
              </w:rPr>
            </w:pPr>
          </w:p>
        </w:tc>
      </w:tr>
      <w:tr w14:paraId="73D6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512EAB1">
            <w:pPr>
              <w:adjustRightInd/>
              <w:jc w:val="center"/>
              <w:textAlignment w:val="auto"/>
              <w:rPr>
                <w:rFonts w:cs="宋体"/>
                <w:bCs/>
                <w:color w:val="auto"/>
                <w:szCs w:val="24"/>
                <w:highlight w:val="none"/>
              </w:rPr>
            </w:pPr>
          </w:p>
        </w:tc>
        <w:tc>
          <w:tcPr>
            <w:tcW w:w="1435" w:type="dxa"/>
            <w:shd w:val="clear" w:color="auto" w:fill="FFFFFF"/>
            <w:vAlign w:val="center"/>
          </w:tcPr>
          <w:p w14:paraId="0F48731B">
            <w:pPr>
              <w:adjustRightInd/>
              <w:jc w:val="center"/>
              <w:textAlignment w:val="auto"/>
              <w:rPr>
                <w:rFonts w:cs="宋体"/>
                <w:bCs/>
                <w:color w:val="auto"/>
                <w:szCs w:val="24"/>
                <w:highlight w:val="none"/>
              </w:rPr>
            </w:pPr>
          </w:p>
        </w:tc>
        <w:tc>
          <w:tcPr>
            <w:tcW w:w="1133" w:type="dxa"/>
            <w:shd w:val="clear" w:color="auto" w:fill="FFFFFF"/>
            <w:vAlign w:val="center"/>
          </w:tcPr>
          <w:p w14:paraId="15C29F6D">
            <w:pPr>
              <w:adjustRightInd/>
              <w:jc w:val="center"/>
              <w:textAlignment w:val="auto"/>
              <w:rPr>
                <w:rFonts w:cs="宋体"/>
                <w:bCs/>
                <w:color w:val="auto"/>
                <w:szCs w:val="24"/>
                <w:highlight w:val="none"/>
              </w:rPr>
            </w:pPr>
          </w:p>
        </w:tc>
        <w:tc>
          <w:tcPr>
            <w:tcW w:w="686" w:type="dxa"/>
            <w:shd w:val="clear" w:color="auto" w:fill="FFFFFF"/>
            <w:vAlign w:val="center"/>
          </w:tcPr>
          <w:p w14:paraId="0EE0E872">
            <w:pPr>
              <w:adjustRightInd/>
              <w:jc w:val="center"/>
              <w:textAlignment w:val="auto"/>
              <w:rPr>
                <w:rFonts w:cs="宋体"/>
                <w:bCs/>
                <w:color w:val="auto"/>
                <w:szCs w:val="24"/>
                <w:highlight w:val="none"/>
              </w:rPr>
            </w:pPr>
          </w:p>
        </w:tc>
        <w:tc>
          <w:tcPr>
            <w:tcW w:w="677" w:type="dxa"/>
            <w:shd w:val="clear" w:color="auto" w:fill="FFFFFF"/>
            <w:vAlign w:val="center"/>
          </w:tcPr>
          <w:p w14:paraId="2359A9D4">
            <w:pPr>
              <w:adjustRightInd/>
              <w:jc w:val="center"/>
              <w:textAlignment w:val="auto"/>
              <w:rPr>
                <w:rFonts w:cs="宋体"/>
                <w:bCs/>
                <w:color w:val="auto"/>
                <w:szCs w:val="24"/>
                <w:highlight w:val="none"/>
              </w:rPr>
            </w:pPr>
          </w:p>
        </w:tc>
        <w:tc>
          <w:tcPr>
            <w:tcW w:w="1238" w:type="dxa"/>
            <w:shd w:val="clear" w:color="auto" w:fill="FFFFFF"/>
            <w:vAlign w:val="center"/>
          </w:tcPr>
          <w:p w14:paraId="7008A23E">
            <w:pPr>
              <w:adjustRightInd/>
              <w:jc w:val="center"/>
              <w:textAlignment w:val="auto"/>
              <w:rPr>
                <w:rFonts w:cs="宋体"/>
                <w:bCs/>
                <w:color w:val="auto"/>
                <w:szCs w:val="24"/>
                <w:highlight w:val="none"/>
              </w:rPr>
            </w:pPr>
          </w:p>
        </w:tc>
        <w:tc>
          <w:tcPr>
            <w:tcW w:w="850" w:type="dxa"/>
            <w:shd w:val="clear" w:color="auto" w:fill="FFFFFF"/>
            <w:vAlign w:val="center"/>
          </w:tcPr>
          <w:p w14:paraId="03A4C108">
            <w:pPr>
              <w:adjustRightInd/>
              <w:jc w:val="center"/>
              <w:textAlignment w:val="auto"/>
              <w:rPr>
                <w:rFonts w:cs="宋体"/>
                <w:bCs/>
                <w:color w:val="auto"/>
                <w:szCs w:val="24"/>
                <w:highlight w:val="none"/>
              </w:rPr>
            </w:pPr>
          </w:p>
        </w:tc>
        <w:tc>
          <w:tcPr>
            <w:tcW w:w="850" w:type="dxa"/>
            <w:shd w:val="clear" w:color="auto" w:fill="FFFFFF"/>
            <w:vAlign w:val="center"/>
          </w:tcPr>
          <w:p w14:paraId="10C855DD">
            <w:pPr>
              <w:adjustRightInd/>
              <w:jc w:val="center"/>
              <w:textAlignment w:val="auto"/>
              <w:rPr>
                <w:rFonts w:cs="宋体"/>
                <w:bCs/>
                <w:color w:val="auto"/>
                <w:szCs w:val="24"/>
                <w:highlight w:val="none"/>
              </w:rPr>
            </w:pPr>
          </w:p>
        </w:tc>
        <w:tc>
          <w:tcPr>
            <w:tcW w:w="1382" w:type="dxa"/>
            <w:shd w:val="clear" w:color="auto" w:fill="FFFFFF"/>
            <w:vAlign w:val="center"/>
          </w:tcPr>
          <w:p w14:paraId="6195F064">
            <w:pPr>
              <w:adjustRightInd/>
              <w:jc w:val="center"/>
              <w:textAlignment w:val="auto"/>
              <w:rPr>
                <w:rFonts w:cs="宋体"/>
                <w:bCs/>
                <w:color w:val="auto"/>
                <w:szCs w:val="24"/>
                <w:highlight w:val="none"/>
              </w:rPr>
            </w:pPr>
          </w:p>
        </w:tc>
      </w:tr>
      <w:tr w14:paraId="3CCE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71D2D8C">
            <w:pPr>
              <w:adjustRightInd/>
              <w:jc w:val="center"/>
              <w:textAlignment w:val="auto"/>
              <w:rPr>
                <w:rFonts w:cs="宋体"/>
                <w:bCs/>
                <w:color w:val="auto"/>
                <w:szCs w:val="24"/>
                <w:highlight w:val="none"/>
              </w:rPr>
            </w:pPr>
          </w:p>
        </w:tc>
        <w:tc>
          <w:tcPr>
            <w:tcW w:w="1435" w:type="dxa"/>
            <w:shd w:val="clear" w:color="auto" w:fill="FFFFFF"/>
            <w:vAlign w:val="center"/>
          </w:tcPr>
          <w:p w14:paraId="6C8E958E">
            <w:pPr>
              <w:adjustRightInd/>
              <w:jc w:val="center"/>
              <w:textAlignment w:val="auto"/>
              <w:rPr>
                <w:rFonts w:cs="宋体"/>
                <w:bCs/>
                <w:color w:val="auto"/>
                <w:szCs w:val="24"/>
                <w:highlight w:val="none"/>
              </w:rPr>
            </w:pPr>
          </w:p>
        </w:tc>
        <w:tc>
          <w:tcPr>
            <w:tcW w:w="1133" w:type="dxa"/>
            <w:shd w:val="clear" w:color="auto" w:fill="FFFFFF"/>
            <w:vAlign w:val="center"/>
          </w:tcPr>
          <w:p w14:paraId="16A3ED6A">
            <w:pPr>
              <w:adjustRightInd/>
              <w:jc w:val="center"/>
              <w:textAlignment w:val="auto"/>
              <w:rPr>
                <w:rFonts w:cs="宋体"/>
                <w:bCs/>
                <w:color w:val="auto"/>
                <w:szCs w:val="24"/>
                <w:highlight w:val="none"/>
              </w:rPr>
            </w:pPr>
          </w:p>
        </w:tc>
        <w:tc>
          <w:tcPr>
            <w:tcW w:w="686" w:type="dxa"/>
            <w:shd w:val="clear" w:color="auto" w:fill="FFFFFF"/>
            <w:vAlign w:val="center"/>
          </w:tcPr>
          <w:p w14:paraId="4CDF256F">
            <w:pPr>
              <w:adjustRightInd/>
              <w:jc w:val="center"/>
              <w:textAlignment w:val="auto"/>
              <w:rPr>
                <w:rFonts w:cs="宋体"/>
                <w:bCs/>
                <w:color w:val="auto"/>
                <w:szCs w:val="24"/>
                <w:highlight w:val="none"/>
              </w:rPr>
            </w:pPr>
          </w:p>
        </w:tc>
        <w:tc>
          <w:tcPr>
            <w:tcW w:w="677" w:type="dxa"/>
            <w:shd w:val="clear" w:color="auto" w:fill="FFFFFF"/>
            <w:vAlign w:val="center"/>
          </w:tcPr>
          <w:p w14:paraId="19071207">
            <w:pPr>
              <w:adjustRightInd/>
              <w:jc w:val="center"/>
              <w:textAlignment w:val="auto"/>
              <w:rPr>
                <w:rFonts w:cs="宋体"/>
                <w:bCs/>
                <w:color w:val="auto"/>
                <w:szCs w:val="24"/>
                <w:highlight w:val="none"/>
              </w:rPr>
            </w:pPr>
          </w:p>
        </w:tc>
        <w:tc>
          <w:tcPr>
            <w:tcW w:w="1238" w:type="dxa"/>
            <w:shd w:val="clear" w:color="auto" w:fill="FFFFFF"/>
            <w:vAlign w:val="center"/>
          </w:tcPr>
          <w:p w14:paraId="56D788AA">
            <w:pPr>
              <w:adjustRightInd/>
              <w:jc w:val="center"/>
              <w:textAlignment w:val="auto"/>
              <w:rPr>
                <w:rFonts w:cs="宋体"/>
                <w:bCs/>
                <w:color w:val="auto"/>
                <w:szCs w:val="24"/>
                <w:highlight w:val="none"/>
              </w:rPr>
            </w:pPr>
          </w:p>
        </w:tc>
        <w:tc>
          <w:tcPr>
            <w:tcW w:w="850" w:type="dxa"/>
            <w:shd w:val="clear" w:color="auto" w:fill="FFFFFF"/>
            <w:vAlign w:val="center"/>
          </w:tcPr>
          <w:p w14:paraId="733D50D7">
            <w:pPr>
              <w:adjustRightInd/>
              <w:jc w:val="center"/>
              <w:textAlignment w:val="auto"/>
              <w:rPr>
                <w:rFonts w:cs="宋体"/>
                <w:bCs/>
                <w:color w:val="auto"/>
                <w:szCs w:val="24"/>
                <w:highlight w:val="none"/>
              </w:rPr>
            </w:pPr>
          </w:p>
        </w:tc>
        <w:tc>
          <w:tcPr>
            <w:tcW w:w="850" w:type="dxa"/>
            <w:shd w:val="clear" w:color="auto" w:fill="FFFFFF"/>
            <w:vAlign w:val="center"/>
          </w:tcPr>
          <w:p w14:paraId="6733228C">
            <w:pPr>
              <w:adjustRightInd/>
              <w:jc w:val="center"/>
              <w:textAlignment w:val="auto"/>
              <w:rPr>
                <w:rFonts w:cs="宋体"/>
                <w:bCs/>
                <w:color w:val="auto"/>
                <w:szCs w:val="24"/>
                <w:highlight w:val="none"/>
              </w:rPr>
            </w:pPr>
          </w:p>
        </w:tc>
        <w:tc>
          <w:tcPr>
            <w:tcW w:w="1382" w:type="dxa"/>
            <w:shd w:val="clear" w:color="auto" w:fill="FFFFFF"/>
            <w:vAlign w:val="center"/>
          </w:tcPr>
          <w:p w14:paraId="4EB19463">
            <w:pPr>
              <w:adjustRightInd/>
              <w:jc w:val="center"/>
              <w:textAlignment w:val="auto"/>
              <w:rPr>
                <w:rFonts w:cs="宋体"/>
                <w:bCs/>
                <w:color w:val="auto"/>
                <w:szCs w:val="24"/>
                <w:highlight w:val="none"/>
              </w:rPr>
            </w:pPr>
          </w:p>
        </w:tc>
      </w:tr>
      <w:tr w14:paraId="36AC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8659AB7">
            <w:pPr>
              <w:adjustRightInd/>
              <w:jc w:val="center"/>
              <w:textAlignment w:val="auto"/>
              <w:rPr>
                <w:rFonts w:cs="宋体"/>
                <w:bCs/>
                <w:color w:val="auto"/>
                <w:szCs w:val="24"/>
                <w:highlight w:val="none"/>
              </w:rPr>
            </w:pPr>
          </w:p>
        </w:tc>
        <w:tc>
          <w:tcPr>
            <w:tcW w:w="1435" w:type="dxa"/>
            <w:shd w:val="clear" w:color="auto" w:fill="FFFFFF"/>
            <w:vAlign w:val="center"/>
          </w:tcPr>
          <w:p w14:paraId="3475AE1D">
            <w:pPr>
              <w:adjustRightInd/>
              <w:jc w:val="center"/>
              <w:textAlignment w:val="auto"/>
              <w:rPr>
                <w:rFonts w:cs="宋体"/>
                <w:bCs/>
                <w:color w:val="auto"/>
                <w:szCs w:val="24"/>
                <w:highlight w:val="none"/>
              </w:rPr>
            </w:pPr>
          </w:p>
        </w:tc>
        <w:tc>
          <w:tcPr>
            <w:tcW w:w="1133" w:type="dxa"/>
            <w:shd w:val="clear" w:color="auto" w:fill="FFFFFF"/>
            <w:vAlign w:val="center"/>
          </w:tcPr>
          <w:p w14:paraId="6B5FBE3A">
            <w:pPr>
              <w:adjustRightInd/>
              <w:jc w:val="center"/>
              <w:textAlignment w:val="auto"/>
              <w:rPr>
                <w:rFonts w:cs="宋体"/>
                <w:bCs/>
                <w:color w:val="auto"/>
                <w:szCs w:val="24"/>
                <w:highlight w:val="none"/>
              </w:rPr>
            </w:pPr>
          </w:p>
        </w:tc>
        <w:tc>
          <w:tcPr>
            <w:tcW w:w="686" w:type="dxa"/>
            <w:shd w:val="clear" w:color="auto" w:fill="FFFFFF"/>
            <w:vAlign w:val="center"/>
          </w:tcPr>
          <w:p w14:paraId="6D55B443">
            <w:pPr>
              <w:adjustRightInd/>
              <w:jc w:val="center"/>
              <w:textAlignment w:val="auto"/>
              <w:rPr>
                <w:rFonts w:cs="宋体"/>
                <w:bCs/>
                <w:color w:val="auto"/>
                <w:szCs w:val="24"/>
                <w:highlight w:val="none"/>
              </w:rPr>
            </w:pPr>
          </w:p>
        </w:tc>
        <w:tc>
          <w:tcPr>
            <w:tcW w:w="677" w:type="dxa"/>
            <w:shd w:val="clear" w:color="auto" w:fill="FFFFFF"/>
            <w:vAlign w:val="center"/>
          </w:tcPr>
          <w:p w14:paraId="4586B278">
            <w:pPr>
              <w:adjustRightInd/>
              <w:jc w:val="center"/>
              <w:textAlignment w:val="auto"/>
              <w:rPr>
                <w:rFonts w:cs="宋体"/>
                <w:bCs/>
                <w:color w:val="auto"/>
                <w:szCs w:val="24"/>
                <w:highlight w:val="none"/>
              </w:rPr>
            </w:pPr>
          </w:p>
        </w:tc>
        <w:tc>
          <w:tcPr>
            <w:tcW w:w="1238" w:type="dxa"/>
            <w:shd w:val="clear" w:color="auto" w:fill="FFFFFF"/>
            <w:vAlign w:val="center"/>
          </w:tcPr>
          <w:p w14:paraId="477DA740">
            <w:pPr>
              <w:adjustRightInd/>
              <w:jc w:val="center"/>
              <w:textAlignment w:val="auto"/>
              <w:rPr>
                <w:rFonts w:cs="宋体"/>
                <w:bCs/>
                <w:color w:val="auto"/>
                <w:szCs w:val="24"/>
                <w:highlight w:val="none"/>
              </w:rPr>
            </w:pPr>
          </w:p>
        </w:tc>
        <w:tc>
          <w:tcPr>
            <w:tcW w:w="850" w:type="dxa"/>
            <w:shd w:val="clear" w:color="auto" w:fill="FFFFFF"/>
            <w:vAlign w:val="center"/>
          </w:tcPr>
          <w:p w14:paraId="29A7D67A">
            <w:pPr>
              <w:adjustRightInd/>
              <w:jc w:val="center"/>
              <w:textAlignment w:val="auto"/>
              <w:rPr>
                <w:rFonts w:cs="宋体"/>
                <w:bCs/>
                <w:color w:val="auto"/>
                <w:szCs w:val="24"/>
                <w:highlight w:val="none"/>
              </w:rPr>
            </w:pPr>
          </w:p>
        </w:tc>
        <w:tc>
          <w:tcPr>
            <w:tcW w:w="850" w:type="dxa"/>
            <w:shd w:val="clear" w:color="auto" w:fill="FFFFFF"/>
            <w:vAlign w:val="center"/>
          </w:tcPr>
          <w:p w14:paraId="755D3240">
            <w:pPr>
              <w:adjustRightInd/>
              <w:jc w:val="center"/>
              <w:textAlignment w:val="auto"/>
              <w:rPr>
                <w:rFonts w:cs="宋体"/>
                <w:bCs/>
                <w:color w:val="auto"/>
                <w:szCs w:val="24"/>
                <w:highlight w:val="none"/>
              </w:rPr>
            </w:pPr>
          </w:p>
        </w:tc>
        <w:tc>
          <w:tcPr>
            <w:tcW w:w="1382" w:type="dxa"/>
            <w:shd w:val="clear" w:color="auto" w:fill="FFFFFF"/>
            <w:vAlign w:val="center"/>
          </w:tcPr>
          <w:p w14:paraId="10DBF1C9">
            <w:pPr>
              <w:adjustRightInd/>
              <w:jc w:val="center"/>
              <w:textAlignment w:val="auto"/>
              <w:rPr>
                <w:rFonts w:cs="宋体"/>
                <w:bCs/>
                <w:color w:val="auto"/>
                <w:szCs w:val="24"/>
                <w:highlight w:val="none"/>
              </w:rPr>
            </w:pPr>
          </w:p>
        </w:tc>
      </w:tr>
      <w:tr w14:paraId="13DC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C311FB5">
            <w:pPr>
              <w:adjustRightInd/>
              <w:jc w:val="center"/>
              <w:textAlignment w:val="auto"/>
              <w:rPr>
                <w:rFonts w:cs="宋体"/>
                <w:bCs/>
                <w:color w:val="auto"/>
                <w:szCs w:val="24"/>
                <w:highlight w:val="none"/>
              </w:rPr>
            </w:pPr>
          </w:p>
        </w:tc>
        <w:tc>
          <w:tcPr>
            <w:tcW w:w="1435" w:type="dxa"/>
            <w:shd w:val="clear" w:color="auto" w:fill="FFFFFF"/>
            <w:vAlign w:val="center"/>
          </w:tcPr>
          <w:p w14:paraId="430CF1B3">
            <w:pPr>
              <w:adjustRightInd/>
              <w:jc w:val="center"/>
              <w:textAlignment w:val="auto"/>
              <w:rPr>
                <w:rFonts w:cs="宋体"/>
                <w:bCs/>
                <w:color w:val="auto"/>
                <w:szCs w:val="24"/>
                <w:highlight w:val="none"/>
              </w:rPr>
            </w:pPr>
          </w:p>
        </w:tc>
        <w:tc>
          <w:tcPr>
            <w:tcW w:w="1133" w:type="dxa"/>
            <w:shd w:val="clear" w:color="auto" w:fill="FFFFFF"/>
            <w:vAlign w:val="center"/>
          </w:tcPr>
          <w:p w14:paraId="7A1EBB3B">
            <w:pPr>
              <w:adjustRightInd/>
              <w:jc w:val="center"/>
              <w:textAlignment w:val="auto"/>
              <w:rPr>
                <w:rFonts w:cs="宋体"/>
                <w:bCs/>
                <w:color w:val="auto"/>
                <w:szCs w:val="24"/>
                <w:highlight w:val="none"/>
              </w:rPr>
            </w:pPr>
          </w:p>
        </w:tc>
        <w:tc>
          <w:tcPr>
            <w:tcW w:w="686" w:type="dxa"/>
            <w:shd w:val="clear" w:color="auto" w:fill="FFFFFF"/>
            <w:vAlign w:val="center"/>
          </w:tcPr>
          <w:p w14:paraId="719FCBC1">
            <w:pPr>
              <w:adjustRightInd/>
              <w:jc w:val="center"/>
              <w:textAlignment w:val="auto"/>
              <w:rPr>
                <w:rFonts w:cs="宋体"/>
                <w:bCs/>
                <w:color w:val="auto"/>
                <w:szCs w:val="24"/>
                <w:highlight w:val="none"/>
              </w:rPr>
            </w:pPr>
          </w:p>
        </w:tc>
        <w:tc>
          <w:tcPr>
            <w:tcW w:w="677" w:type="dxa"/>
            <w:shd w:val="clear" w:color="auto" w:fill="FFFFFF"/>
            <w:vAlign w:val="center"/>
          </w:tcPr>
          <w:p w14:paraId="337F7EE3">
            <w:pPr>
              <w:adjustRightInd/>
              <w:jc w:val="center"/>
              <w:textAlignment w:val="auto"/>
              <w:rPr>
                <w:rFonts w:cs="宋体"/>
                <w:bCs/>
                <w:color w:val="auto"/>
                <w:szCs w:val="24"/>
                <w:highlight w:val="none"/>
              </w:rPr>
            </w:pPr>
          </w:p>
        </w:tc>
        <w:tc>
          <w:tcPr>
            <w:tcW w:w="1238" w:type="dxa"/>
            <w:shd w:val="clear" w:color="auto" w:fill="FFFFFF"/>
            <w:vAlign w:val="center"/>
          </w:tcPr>
          <w:p w14:paraId="5389811E">
            <w:pPr>
              <w:adjustRightInd/>
              <w:jc w:val="center"/>
              <w:textAlignment w:val="auto"/>
              <w:rPr>
                <w:rFonts w:cs="宋体"/>
                <w:bCs/>
                <w:color w:val="auto"/>
                <w:szCs w:val="24"/>
                <w:highlight w:val="none"/>
              </w:rPr>
            </w:pPr>
          </w:p>
        </w:tc>
        <w:tc>
          <w:tcPr>
            <w:tcW w:w="850" w:type="dxa"/>
            <w:shd w:val="clear" w:color="auto" w:fill="FFFFFF"/>
            <w:vAlign w:val="center"/>
          </w:tcPr>
          <w:p w14:paraId="1A60E060">
            <w:pPr>
              <w:adjustRightInd/>
              <w:jc w:val="center"/>
              <w:textAlignment w:val="auto"/>
              <w:rPr>
                <w:rFonts w:cs="宋体"/>
                <w:bCs/>
                <w:color w:val="auto"/>
                <w:szCs w:val="24"/>
                <w:highlight w:val="none"/>
              </w:rPr>
            </w:pPr>
          </w:p>
        </w:tc>
        <w:tc>
          <w:tcPr>
            <w:tcW w:w="850" w:type="dxa"/>
            <w:shd w:val="clear" w:color="auto" w:fill="FFFFFF"/>
            <w:vAlign w:val="center"/>
          </w:tcPr>
          <w:p w14:paraId="77887E26">
            <w:pPr>
              <w:adjustRightInd/>
              <w:jc w:val="center"/>
              <w:textAlignment w:val="auto"/>
              <w:rPr>
                <w:rFonts w:cs="宋体"/>
                <w:bCs/>
                <w:color w:val="auto"/>
                <w:szCs w:val="24"/>
                <w:highlight w:val="none"/>
              </w:rPr>
            </w:pPr>
          </w:p>
        </w:tc>
        <w:tc>
          <w:tcPr>
            <w:tcW w:w="1382" w:type="dxa"/>
            <w:shd w:val="clear" w:color="auto" w:fill="FFFFFF"/>
            <w:vAlign w:val="center"/>
          </w:tcPr>
          <w:p w14:paraId="4D41F221">
            <w:pPr>
              <w:adjustRightInd/>
              <w:jc w:val="center"/>
              <w:textAlignment w:val="auto"/>
              <w:rPr>
                <w:rFonts w:cs="宋体"/>
                <w:bCs/>
                <w:color w:val="auto"/>
                <w:szCs w:val="24"/>
                <w:highlight w:val="none"/>
              </w:rPr>
            </w:pPr>
          </w:p>
        </w:tc>
      </w:tr>
      <w:tr w14:paraId="0157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F3F93B7">
            <w:pPr>
              <w:adjustRightInd/>
              <w:jc w:val="center"/>
              <w:textAlignment w:val="auto"/>
              <w:rPr>
                <w:rFonts w:cs="宋体"/>
                <w:bCs/>
                <w:color w:val="auto"/>
                <w:szCs w:val="24"/>
                <w:highlight w:val="none"/>
              </w:rPr>
            </w:pPr>
          </w:p>
        </w:tc>
        <w:tc>
          <w:tcPr>
            <w:tcW w:w="1435" w:type="dxa"/>
            <w:shd w:val="clear" w:color="auto" w:fill="FFFFFF"/>
            <w:vAlign w:val="center"/>
          </w:tcPr>
          <w:p w14:paraId="0F5E3DE4">
            <w:pPr>
              <w:adjustRightInd/>
              <w:jc w:val="center"/>
              <w:textAlignment w:val="auto"/>
              <w:rPr>
                <w:rFonts w:cs="宋体"/>
                <w:bCs/>
                <w:color w:val="auto"/>
                <w:szCs w:val="24"/>
                <w:highlight w:val="none"/>
              </w:rPr>
            </w:pPr>
          </w:p>
        </w:tc>
        <w:tc>
          <w:tcPr>
            <w:tcW w:w="1133" w:type="dxa"/>
            <w:shd w:val="clear" w:color="auto" w:fill="FFFFFF"/>
            <w:vAlign w:val="center"/>
          </w:tcPr>
          <w:p w14:paraId="3F9B56A9">
            <w:pPr>
              <w:adjustRightInd/>
              <w:jc w:val="center"/>
              <w:textAlignment w:val="auto"/>
              <w:rPr>
                <w:rFonts w:cs="宋体"/>
                <w:bCs/>
                <w:color w:val="auto"/>
                <w:szCs w:val="24"/>
                <w:highlight w:val="none"/>
              </w:rPr>
            </w:pPr>
          </w:p>
        </w:tc>
        <w:tc>
          <w:tcPr>
            <w:tcW w:w="686" w:type="dxa"/>
            <w:shd w:val="clear" w:color="auto" w:fill="FFFFFF"/>
            <w:vAlign w:val="center"/>
          </w:tcPr>
          <w:p w14:paraId="7B820A7F">
            <w:pPr>
              <w:adjustRightInd/>
              <w:jc w:val="center"/>
              <w:textAlignment w:val="auto"/>
              <w:rPr>
                <w:rFonts w:cs="宋体"/>
                <w:bCs/>
                <w:color w:val="auto"/>
                <w:szCs w:val="24"/>
                <w:highlight w:val="none"/>
              </w:rPr>
            </w:pPr>
          </w:p>
        </w:tc>
        <w:tc>
          <w:tcPr>
            <w:tcW w:w="677" w:type="dxa"/>
            <w:shd w:val="clear" w:color="auto" w:fill="FFFFFF"/>
            <w:vAlign w:val="center"/>
          </w:tcPr>
          <w:p w14:paraId="6E590C7D">
            <w:pPr>
              <w:adjustRightInd/>
              <w:jc w:val="center"/>
              <w:textAlignment w:val="auto"/>
              <w:rPr>
                <w:rFonts w:cs="宋体"/>
                <w:bCs/>
                <w:color w:val="auto"/>
                <w:szCs w:val="24"/>
                <w:highlight w:val="none"/>
              </w:rPr>
            </w:pPr>
          </w:p>
        </w:tc>
        <w:tc>
          <w:tcPr>
            <w:tcW w:w="1238" w:type="dxa"/>
            <w:shd w:val="clear" w:color="auto" w:fill="FFFFFF"/>
            <w:vAlign w:val="center"/>
          </w:tcPr>
          <w:p w14:paraId="17C4DEA0">
            <w:pPr>
              <w:adjustRightInd/>
              <w:jc w:val="center"/>
              <w:textAlignment w:val="auto"/>
              <w:rPr>
                <w:rFonts w:cs="宋体"/>
                <w:bCs/>
                <w:color w:val="auto"/>
                <w:szCs w:val="24"/>
                <w:highlight w:val="none"/>
              </w:rPr>
            </w:pPr>
          </w:p>
        </w:tc>
        <w:tc>
          <w:tcPr>
            <w:tcW w:w="850" w:type="dxa"/>
            <w:shd w:val="clear" w:color="auto" w:fill="FFFFFF"/>
            <w:vAlign w:val="center"/>
          </w:tcPr>
          <w:p w14:paraId="783C7E0C">
            <w:pPr>
              <w:adjustRightInd/>
              <w:jc w:val="center"/>
              <w:textAlignment w:val="auto"/>
              <w:rPr>
                <w:rFonts w:cs="宋体"/>
                <w:bCs/>
                <w:color w:val="auto"/>
                <w:szCs w:val="24"/>
                <w:highlight w:val="none"/>
              </w:rPr>
            </w:pPr>
          </w:p>
        </w:tc>
        <w:tc>
          <w:tcPr>
            <w:tcW w:w="850" w:type="dxa"/>
            <w:shd w:val="clear" w:color="auto" w:fill="FFFFFF"/>
            <w:vAlign w:val="center"/>
          </w:tcPr>
          <w:p w14:paraId="2A4A916E">
            <w:pPr>
              <w:adjustRightInd/>
              <w:jc w:val="center"/>
              <w:textAlignment w:val="auto"/>
              <w:rPr>
                <w:rFonts w:cs="宋体"/>
                <w:bCs/>
                <w:color w:val="auto"/>
                <w:szCs w:val="24"/>
                <w:highlight w:val="none"/>
              </w:rPr>
            </w:pPr>
          </w:p>
        </w:tc>
        <w:tc>
          <w:tcPr>
            <w:tcW w:w="1382" w:type="dxa"/>
            <w:shd w:val="clear" w:color="auto" w:fill="FFFFFF"/>
            <w:vAlign w:val="center"/>
          </w:tcPr>
          <w:p w14:paraId="01955B8A">
            <w:pPr>
              <w:adjustRightInd/>
              <w:jc w:val="center"/>
              <w:textAlignment w:val="auto"/>
              <w:rPr>
                <w:rFonts w:cs="宋体"/>
                <w:bCs/>
                <w:color w:val="auto"/>
                <w:szCs w:val="24"/>
                <w:highlight w:val="none"/>
              </w:rPr>
            </w:pPr>
          </w:p>
        </w:tc>
      </w:tr>
      <w:tr w14:paraId="0CCA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9B64BC3">
            <w:pPr>
              <w:adjustRightInd/>
              <w:jc w:val="center"/>
              <w:textAlignment w:val="auto"/>
              <w:rPr>
                <w:rFonts w:cs="宋体"/>
                <w:bCs/>
                <w:color w:val="auto"/>
                <w:szCs w:val="24"/>
                <w:highlight w:val="none"/>
              </w:rPr>
            </w:pPr>
          </w:p>
        </w:tc>
        <w:tc>
          <w:tcPr>
            <w:tcW w:w="1435" w:type="dxa"/>
            <w:shd w:val="clear" w:color="auto" w:fill="FFFFFF"/>
            <w:vAlign w:val="center"/>
          </w:tcPr>
          <w:p w14:paraId="21488AA2">
            <w:pPr>
              <w:adjustRightInd/>
              <w:jc w:val="center"/>
              <w:textAlignment w:val="auto"/>
              <w:rPr>
                <w:rFonts w:cs="宋体"/>
                <w:bCs/>
                <w:color w:val="auto"/>
                <w:szCs w:val="24"/>
                <w:highlight w:val="none"/>
              </w:rPr>
            </w:pPr>
          </w:p>
        </w:tc>
        <w:tc>
          <w:tcPr>
            <w:tcW w:w="1133" w:type="dxa"/>
            <w:shd w:val="clear" w:color="auto" w:fill="FFFFFF"/>
            <w:vAlign w:val="center"/>
          </w:tcPr>
          <w:p w14:paraId="7E44ACFE">
            <w:pPr>
              <w:adjustRightInd/>
              <w:jc w:val="center"/>
              <w:textAlignment w:val="auto"/>
              <w:rPr>
                <w:rFonts w:cs="宋体"/>
                <w:bCs/>
                <w:color w:val="auto"/>
                <w:szCs w:val="24"/>
                <w:highlight w:val="none"/>
              </w:rPr>
            </w:pPr>
          </w:p>
        </w:tc>
        <w:tc>
          <w:tcPr>
            <w:tcW w:w="686" w:type="dxa"/>
            <w:shd w:val="clear" w:color="auto" w:fill="FFFFFF"/>
            <w:vAlign w:val="center"/>
          </w:tcPr>
          <w:p w14:paraId="6BB8C953">
            <w:pPr>
              <w:adjustRightInd/>
              <w:jc w:val="center"/>
              <w:textAlignment w:val="auto"/>
              <w:rPr>
                <w:rFonts w:cs="宋体"/>
                <w:bCs/>
                <w:color w:val="auto"/>
                <w:szCs w:val="24"/>
                <w:highlight w:val="none"/>
              </w:rPr>
            </w:pPr>
          </w:p>
        </w:tc>
        <w:tc>
          <w:tcPr>
            <w:tcW w:w="677" w:type="dxa"/>
            <w:shd w:val="clear" w:color="auto" w:fill="FFFFFF"/>
            <w:vAlign w:val="center"/>
          </w:tcPr>
          <w:p w14:paraId="05354AA3">
            <w:pPr>
              <w:adjustRightInd/>
              <w:jc w:val="center"/>
              <w:textAlignment w:val="auto"/>
              <w:rPr>
                <w:rFonts w:cs="宋体"/>
                <w:bCs/>
                <w:color w:val="auto"/>
                <w:szCs w:val="24"/>
                <w:highlight w:val="none"/>
              </w:rPr>
            </w:pPr>
          </w:p>
        </w:tc>
        <w:tc>
          <w:tcPr>
            <w:tcW w:w="1238" w:type="dxa"/>
            <w:shd w:val="clear" w:color="auto" w:fill="FFFFFF"/>
            <w:vAlign w:val="center"/>
          </w:tcPr>
          <w:p w14:paraId="7AD8EE29">
            <w:pPr>
              <w:adjustRightInd/>
              <w:jc w:val="center"/>
              <w:textAlignment w:val="auto"/>
              <w:rPr>
                <w:rFonts w:cs="宋体"/>
                <w:bCs/>
                <w:color w:val="auto"/>
                <w:szCs w:val="24"/>
                <w:highlight w:val="none"/>
              </w:rPr>
            </w:pPr>
          </w:p>
        </w:tc>
        <w:tc>
          <w:tcPr>
            <w:tcW w:w="850" w:type="dxa"/>
            <w:shd w:val="clear" w:color="auto" w:fill="FFFFFF"/>
            <w:vAlign w:val="center"/>
          </w:tcPr>
          <w:p w14:paraId="43931C03">
            <w:pPr>
              <w:adjustRightInd/>
              <w:jc w:val="center"/>
              <w:textAlignment w:val="auto"/>
              <w:rPr>
                <w:rFonts w:cs="宋体"/>
                <w:bCs/>
                <w:color w:val="auto"/>
                <w:szCs w:val="24"/>
                <w:highlight w:val="none"/>
              </w:rPr>
            </w:pPr>
          </w:p>
        </w:tc>
        <w:tc>
          <w:tcPr>
            <w:tcW w:w="850" w:type="dxa"/>
            <w:shd w:val="clear" w:color="auto" w:fill="FFFFFF"/>
            <w:vAlign w:val="center"/>
          </w:tcPr>
          <w:p w14:paraId="219092FE">
            <w:pPr>
              <w:adjustRightInd/>
              <w:jc w:val="center"/>
              <w:textAlignment w:val="auto"/>
              <w:rPr>
                <w:rFonts w:cs="宋体"/>
                <w:bCs/>
                <w:color w:val="auto"/>
                <w:szCs w:val="24"/>
                <w:highlight w:val="none"/>
              </w:rPr>
            </w:pPr>
          </w:p>
        </w:tc>
        <w:tc>
          <w:tcPr>
            <w:tcW w:w="1382" w:type="dxa"/>
            <w:shd w:val="clear" w:color="auto" w:fill="FFFFFF"/>
            <w:vAlign w:val="center"/>
          </w:tcPr>
          <w:p w14:paraId="5500062C">
            <w:pPr>
              <w:adjustRightInd/>
              <w:jc w:val="center"/>
              <w:textAlignment w:val="auto"/>
              <w:rPr>
                <w:rFonts w:cs="宋体"/>
                <w:bCs/>
                <w:color w:val="auto"/>
                <w:szCs w:val="24"/>
                <w:highlight w:val="none"/>
              </w:rPr>
            </w:pPr>
          </w:p>
        </w:tc>
      </w:tr>
      <w:tr w14:paraId="3ED9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38F3017">
            <w:pPr>
              <w:adjustRightInd/>
              <w:jc w:val="center"/>
              <w:textAlignment w:val="auto"/>
              <w:rPr>
                <w:rFonts w:cs="宋体"/>
                <w:bCs/>
                <w:color w:val="auto"/>
                <w:szCs w:val="24"/>
                <w:highlight w:val="none"/>
              </w:rPr>
            </w:pPr>
          </w:p>
        </w:tc>
        <w:tc>
          <w:tcPr>
            <w:tcW w:w="1435" w:type="dxa"/>
            <w:shd w:val="clear" w:color="auto" w:fill="FFFFFF"/>
            <w:vAlign w:val="center"/>
          </w:tcPr>
          <w:p w14:paraId="7B51E7D2">
            <w:pPr>
              <w:adjustRightInd/>
              <w:jc w:val="center"/>
              <w:textAlignment w:val="auto"/>
              <w:rPr>
                <w:rFonts w:cs="宋体"/>
                <w:bCs/>
                <w:color w:val="auto"/>
                <w:szCs w:val="24"/>
                <w:highlight w:val="none"/>
              </w:rPr>
            </w:pPr>
          </w:p>
        </w:tc>
        <w:tc>
          <w:tcPr>
            <w:tcW w:w="1133" w:type="dxa"/>
            <w:shd w:val="clear" w:color="auto" w:fill="FFFFFF"/>
            <w:vAlign w:val="center"/>
          </w:tcPr>
          <w:p w14:paraId="0E2AA5D1">
            <w:pPr>
              <w:adjustRightInd/>
              <w:jc w:val="center"/>
              <w:textAlignment w:val="auto"/>
              <w:rPr>
                <w:rFonts w:cs="宋体"/>
                <w:bCs/>
                <w:color w:val="auto"/>
                <w:szCs w:val="24"/>
                <w:highlight w:val="none"/>
              </w:rPr>
            </w:pPr>
          </w:p>
        </w:tc>
        <w:tc>
          <w:tcPr>
            <w:tcW w:w="686" w:type="dxa"/>
            <w:shd w:val="clear" w:color="auto" w:fill="FFFFFF"/>
            <w:vAlign w:val="center"/>
          </w:tcPr>
          <w:p w14:paraId="56366B90">
            <w:pPr>
              <w:adjustRightInd/>
              <w:jc w:val="center"/>
              <w:textAlignment w:val="auto"/>
              <w:rPr>
                <w:rFonts w:cs="宋体"/>
                <w:bCs/>
                <w:color w:val="auto"/>
                <w:szCs w:val="24"/>
                <w:highlight w:val="none"/>
              </w:rPr>
            </w:pPr>
          </w:p>
        </w:tc>
        <w:tc>
          <w:tcPr>
            <w:tcW w:w="677" w:type="dxa"/>
            <w:shd w:val="clear" w:color="auto" w:fill="FFFFFF"/>
            <w:vAlign w:val="center"/>
          </w:tcPr>
          <w:p w14:paraId="22B1EC5A">
            <w:pPr>
              <w:adjustRightInd/>
              <w:jc w:val="center"/>
              <w:textAlignment w:val="auto"/>
              <w:rPr>
                <w:rFonts w:cs="宋体"/>
                <w:bCs/>
                <w:color w:val="auto"/>
                <w:szCs w:val="24"/>
                <w:highlight w:val="none"/>
              </w:rPr>
            </w:pPr>
          </w:p>
        </w:tc>
        <w:tc>
          <w:tcPr>
            <w:tcW w:w="1238" w:type="dxa"/>
            <w:shd w:val="clear" w:color="auto" w:fill="FFFFFF"/>
            <w:vAlign w:val="center"/>
          </w:tcPr>
          <w:p w14:paraId="75DFEC34">
            <w:pPr>
              <w:adjustRightInd/>
              <w:jc w:val="center"/>
              <w:textAlignment w:val="auto"/>
              <w:rPr>
                <w:rFonts w:cs="宋体"/>
                <w:bCs/>
                <w:color w:val="auto"/>
                <w:szCs w:val="24"/>
                <w:highlight w:val="none"/>
              </w:rPr>
            </w:pPr>
          </w:p>
        </w:tc>
        <w:tc>
          <w:tcPr>
            <w:tcW w:w="850" w:type="dxa"/>
            <w:shd w:val="clear" w:color="auto" w:fill="FFFFFF"/>
            <w:vAlign w:val="center"/>
          </w:tcPr>
          <w:p w14:paraId="469BD20A">
            <w:pPr>
              <w:adjustRightInd/>
              <w:jc w:val="center"/>
              <w:textAlignment w:val="auto"/>
              <w:rPr>
                <w:rFonts w:cs="宋体"/>
                <w:bCs/>
                <w:color w:val="auto"/>
                <w:szCs w:val="24"/>
                <w:highlight w:val="none"/>
              </w:rPr>
            </w:pPr>
          </w:p>
        </w:tc>
        <w:tc>
          <w:tcPr>
            <w:tcW w:w="850" w:type="dxa"/>
            <w:shd w:val="clear" w:color="auto" w:fill="FFFFFF"/>
            <w:vAlign w:val="center"/>
          </w:tcPr>
          <w:p w14:paraId="1320C151">
            <w:pPr>
              <w:adjustRightInd/>
              <w:jc w:val="center"/>
              <w:textAlignment w:val="auto"/>
              <w:rPr>
                <w:rFonts w:cs="宋体"/>
                <w:bCs/>
                <w:color w:val="auto"/>
                <w:szCs w:val="24"/>
                <w:highlight w:val="none"/>
              </w:rPr>
            </w:pPr>
          </w:p>
        </w:tc>
        <w:tc>
          <w:tcPr>
            <w:tcW w:w="1382" w:type="dxa"/>
            <w:shd w:val="clear" w:color="auto" w:fill="FFFFFF"/>
            <w:vAlign w:val="center"/>
          </w:tcPr>
          <w:p w14:paraId="2C2F53E0">
            <w:pPr>
              <w:adjustRightInd/>
              <w:jc w:val="center"/>
              <w:textAlignment w:val="auto"/>
              <w:rPr>
                <w:rFonts w:cs="宋体"/>
                <w:bCs/>
                <w:color w:val="auto"/>
                <w:szCs w:val="24"/>
                <w:highlight w:val="none"/>
              </w:rPr>
            </w:pPr>
          </w:p>
        </w:tc>
      </w:tr>
      <w:tr w14:paraId="5F3B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94A255B">
            <w:pPr>
              <w:adjustRightInd/>
              <w:jc w:val="center"/>
              <w:textAlignment w:val="auto"/>
              <w:rPr>
                <w:rFonts w:cs="宋体"/>
                <w:bCs/>
                <w:color w:val="auto"/>
                <w:szCs w:val="24"/>
                <w:highlight w:val="none"/>
              </w:rPr>
            </w:pPr>
          </w:p>
        </w:tc>
        <w:tc>
          <w:tcPr>
            <w:tcW w:w="1435" w:type="dxa"/>
            <w:shd w:val="clear" w:color="auto" w:fill="FFFFFF"/>
            <w:vAlign w:val="center"/>
          </w:tcPr>
          <w:p w14:paraId="64D222DA">
            <w:pPr>
              <w:adjustRightInd/>
              <w:jc w:val="center"/>
              <w:textAlignment w:val="auto"/>
              <w:rPr>
                <w:rFonts w:cs="宋体"/>
                <w:bCs/>
                <w:color w:val="auto"/>
                <w:szCs w:val="24"/>
                <w:highlight w:val="none"/>
              </w:rPr>
            </w:pPr>
          </w:p>
        </w:tc>
        <w:tc>
          <w:tcPr>
            <w:tcW w:w="1133" w:type="dxa"/>
            <w:shd w:val="clear" w:color="auto" w:fill="FFFFFF"/>
            <w:vAlign w:val="center"/>
          </w:tcPr>
          <w:p w14:paraId="170963C2">
            <w:pPr>
              <w:adjustRightInd/>
              <w:jc w:val="center"/>
              <w:textAlignment w:val="auto"/>
              <w:rPr>
                <w:rFonts w:cs="宋体"/>
                <w:bCs/>
                <w:color w:val="auto"/>
                <w:szCs w:val="24"/>
                <w:highlight w:val="none"/>
              </w:rPr>
            </w:pPr>
          </w:p>
        </w:tc>
        <w:tc>
          <w:tcPr>
            <w:tcW w:w="686" w:type="dxa"/>
            <w:shd w:val="clear" w:color="auto" w:fill="FFFFFF"/>
            <w:vAlign w:val="center"/>
          </w:tcPr>
          <w:p w14:paraId="24C259CD">
            <w:pPr>
              <w:adjustRightInd/>
              <w:jc w:val="center"/>
              <w:textAlignment w:val="auto"/>
              <w:rPr>
                <w:rFonts w:cs="宋体"/>
                <w:bCs/>
                <w:color w:val="auto"/>
                <w:szCs w:val="24"/>
                <w:highlight w:val="none"/>
              </w:rPr>
            </w:pPr>
          </w:p>
        </w:tc>
        <w:tc>
          <w:tcPr>
            <w:tcW w:w="677" w:type="dxa"/>
            <w:shd w:val="clear" w:color="auto" w:fill="FFFFFF"/>
            <w:vAlign w:val="center"/>
          </w:tcPr>
          <w:p w14:paraId="315D5070">
            <w:pPr>
              <w:adjustRightInd/>
              <w:jc w:val="center"/>
              <w:textAlignment w:val="auto"/>
              <w:rPr>
                <w:rFonts w:cs="宋体"/>
                <w:bCs/>
                <w:color w:val="auto"/>
                <w:szCs w:val="24"/>
                <w:highlight w:val="none"/>
              </w:rPr>
            </w:pPr>
          </w:p>
        </w:tc>
        <w:tc>
          <w:tcPr>
            <w:tcW w:w="1238" w:type="dxa"/>
            <w:shd w:val="clear" w:color="auto" w:fill="FFFFFF"/>
            <w:vAlign w:val="center"/>
          </w:tcPr>
          <w:p w14:paraId="78D90269">
            <w:pPr>
              <w:adjustRightInd/>
              <w:jc w:val="center"/>
              <w:textAlignment w:val="auto"/>
              <w:rPr>
                <w:rFonts w:cs="宋体"/>
                <w:bCs/>
                <w:color w:val="auto"/>
                <w:szCs w:val="24"/>
                <w:highlight w:val="none"/>
              </w:rPr>
            </w:pPr>
          </w:p>
        </w:tc>
        <w:tc>
          <w:tcPr>
            <w:tcW w:w="850" w:type="dxa"/>
            <w:shd w:val="clear" w:color="auto" w:fill="FFFFFF"/>
            <w:vAlign w:val="center"/>
          </w:tcPr>
          <w:p w14:paraId="5094A7F9">
            <w:pPr>
              <w:adjustRightInd/>
              <w:jc w:val="center"/>
              <w:textAlignment w:val="auto"/>
              <w:rPr>
                <w:rFonts w:cs="宋体"/>
                <w:bCs/>
                <w:color w:val="auto"/>
                <w:szCs w:val="24"/>
                <w:highlight w:val="none"/>
              </w:rPr>
            </w:pPr>
          </w:p>
        </w:tc>
        <w:tc>
          <w:tcPr>
            <w:tcW w:w="850" w:type="dxa"/>
            <w:shd w:val="clear" w:color="auto" w:fill="FFFFFF"/>
            <w:vAlign w:val="center"/>
          </w:tcPr>
          <w:p w14:paraId="178F0414">
            <w:pPr>
              <w:adjustRightInd/>
              <w:jc w:val="center"/>
              <w:textAlignment w:val="auto"/>
              <w:rPr>
                <w:rFonts w:cs="宋体"/>
                <w:bCs/>
                <w:color w:val="auto"/>
                <w:szCs w:val="24"/>
                <w:highlight w:val="none"/>
              </w:rPr>
            </w:pPr>
          </w:p>
        </w:tc>
        <w:tc>
          <w:tcPr>
            <w:tcW w:w="1382" w:type="dxa"/>
            <w:shd w:val="clear" w:color="auto" w:fill="FFFFFF"/>
            <w:vAlign w:val="center"/>
          </w:tcPr>
          <w:p w14:paraId="50A4A860">
            <w:pPr>
              <w:adjustRightInd/>
              <w:jc w:val="center"/>
              <w:textAlignment w:val="auto"/>
              <w:rPr>
                <w:rFonts w:cs="宋体"/>
                <w:bCs/>
                <w:color w:val="auto"/>
                <w:szCs w:val="24"/>
                <w:highlight w:val="none"/>
              </w:rPr>
            </w:pPr>
          </w:p>
        </w:tc>
      </w:tr>
      <w:tr w14:paraId="1056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5328F6E">
            <w:pPr>
              <w:adjustRightInd/>
              <w:jc w:val="center"/>
              <w:textAlignment w:val="auto"/>
              <w:rPr>
                <w:rFonts w:cs="宋体"/>
                <w:bCs/>
                <w:color w:val="auto"/>
                <w:szCs w:val="24"/>
                <w:highlight w:val="none"/>
              </w:rPr>
            </w:pPr>
          </w:p>
        </w:tc>
        <w:tc>
          <w:tcPr>
            <w:tcW w:w="1435" w:type="dxa"/>
            <w:shd w:val="clear" w:color="auto" w:fill="FFFFFF"/>
            <w:vAlign w:val="center"/>
          </w:tcPr>
          <w:p w14:paraId="0BF982F2">
            <w:pPr>
              <w:adjustRightInd/>
              <w:jc w:val="center"/>
              <w:textAlignment w:val="auto"/>
              <w:rPr>
                <w:rFonts w:cs="宋体"/>
                <w:bCs/>
                <w:color w:val="auto"/>
                <w:szCs w:val="24"/>
                <w:highlight w:val="none"/>
              </w:rPr>
            </w:pPr>
          </w:p>
        </w:tc>
        <w:tc>
          <w:tcPr>
            <w:tcW w:w="1133" w:type="dxa"/>
            <w:shd w:val="clear" w:color="auto" w:fill="FFFFFF"/>
            <w:vAlign w:val="center"/>
          </w:tcPr>
          <w:p w14:paraId="168D6906">
            <w:pPr>
              <w:adjustRightInd/>
              <w:jc w:val="center"/>
              <w:textAlignment w:val="auto"/>
              <w:rPr>
                <w:rFonts w:cs="宋体"/>
                <w:bCs/>
                <w:color w:val="auto"/>
                <w:szCs w:val="24"/>
                <w:highlight w:val="none"/>
              </w:rPr>
            </w:pPr>
          </w:p>
        </w:tc>
        <w:tc>
          <w:tcPr>
            <w:tcW w:w="686" w:type="dxa"/>
            <w:shd w:val="clear" w:color="auto" w:fill="FFFFFF"/>
            <w:vAlign w:val="center"/>
          </w:tcPr>
          <w:p w14:paraId="6C6A3032">
            <w:pPr>
              <w:adjustRightInd/>
              <w:jc w:val="center"/>
              <w:textAlignment w:val="auto"/>
              <w:rPr>
                <w:rFonts w:cs="宋体"/>
                <w:bCs/>
                <w:color w:val="auto"/>
                <w:szCs w:val="24"/>
                <w:highlight w:val="none"/>
              </w:rPr>
            </w:pPr>
          </w:p>
        </w:tc>
        <w:tc>
          <w:tcPr>
            <w:tcW w:w="677" w:type="dxa"/>
            <w:shd w:val="clear" w:color="auto" w:fill="FFFFFF"/>
            <w:vAlign w:val="center"/>
          </w:tcPr>
          <w:p w14:paraId="2D02683B">
            <w:pPr>
              <w:adjustRightInd/>
              <w:jc w:val="center"/>
              <w:textAlignment w:val="auto"/>
              <w:rPr>
                <w:rFonts w:cs="宋体"/>
                <w:bCs/>
                <w:color w:val="auto"/>
                <w:szCs w:val="24"/>
                <w:highlight w:val="none"/>
              </w:rPr>
            </w:pPr>
          </w:p>
        </w:tc>
        <w:tc>
          <w:tcPr>
            <w:tcW w:w="1238" w:type="dxa"/>
            <w:shd w:val="clear" w:color="auto" w:fill="FFFFFF"/>
            <w:vAlign w:val="center"/>
          </w:tcPr>
          <w:p w14:paraId="16D2AE94">
            <w:pPr>
              <w:adjustRightInd/>
              <w:jc w:val="center"/>
              <w:textAlignment w:val="auto"/>
              <w:rPr>
                <w:rFonts w:cs="宋体"/>
                <w:bCs/>
                <w:color w:val="auto"/>
                <w:szCs w:val="24"/>
                <w:highlight w:val="none"/>
              </w:rPr>
            </w:pPr>
          </w:p>
        </w:tc>
        <w:tc>
          <w:tcPr>
            <w:tcW w:w="850" w:type="dxa"/>
            <w:shd w:val="clear" w:color="auto" w:fill="FFFFFF"/>
            <w:vAlign w:val="center"/>
          </w:tcPr>
          <w:p w14:paraId="2B83FD21">
            <w:pPr>
              <w:adjustRightInd/>
              <w:jc w:val="center"/>
              <w:textAlignment w:val="auto"/>
              <w:rPr>
                <w:rFonts w:cs="宋体"/>
                <w:bCs/>
                <w:color w:val="auto"/>
                <w:szCs w:val="24"/>
                <w:highlight w:val="none"/>
              </w:rPr>
            </w:pPr>
          </w:p>
        </w:tc>
        <w:tc>
          <w:tcPr>
            <w:tcW w:w="850" w:type="dxa"/>
            <w:shd w:val="clear" w:color="auto" w:fill="FFFFFF"/>
            <w:vAlign w:val="center"/>
          </w:tcPr>
          <w:p w14:paraId="6D94BF92">
            <w:pPr>
              <w:adjustRightInd/>
              <w:jc w:val="center"/>
              <w:textAlignment w:val="auto"/>
              <w:rPr>
                <w:rFonts w:cs="宋体"/>
                <w:bCs/>
                <w:color w:val="auto"/>
                <w:szCs w:val="24"/>
                <w:highlight w:val="none"/>
              </w:rPr>
            </w:pPr>
          </w:p>
        </w:tc>
        <w:tc>
          <w:tcPr>
            <w:tcW w:w="1382" w:type="dxa"/>
            <w:shd w:val="clear" w:color="auto" w:fill="FFFFFF"/>
            <w:vAlign w:val="center"/>
          </w:tcPr>
          <w:p w14:paraId="39E6B42A">
            <w:pPr>
              <w:adjustRightInd/>
              <w:jc w:val="center"/>
              <w:textAlignment w:val="auto"/>
              <w:rPr>
                <w:rFonts w:cs="宋体"/>
                <w:bCs/>
                <w:color w:val="auto"/>
                <w:szCs w:val="24"/>
                <w:highlight w:val="none"/>
              </w:rPr>
            </w:pPr>
          </w:p>
        </w:tc>
      </w:tr>
      <w:tr w14:paraId="5135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9B3121B">
            <w:pPr>
              <w:adjustRightInd/>
              <w:jc w:val="center"/>
              <w:textAlignment w:val="auto"/>
              <w:rPr>
                <w:rFonts w:cs="宋体"/>
                <w:bCs/>
                <w:color w:val="auto"/>
                <w:szCs w:val="24"/>
                <w:highlight w:val="none"/>
              </w:rPr>
            </w:pPr>
          </w:p>
        </w:tc>
        <w:tc>
          <w:tcPr>
            <w:tcW w:w="1435" w:type="dxa"/>
            <w:shd w:val="clear" w:color="auto" w:fill="FFFFFF"/>
            <w:vAlign w:val="center"/>
          </w:tcPr>
          <w:p w14:paraId="52BC3957">
            <w:pPr>
              <w:adjustRightInd/>
              <w:jc w:val="center"/>
              <w:textAlignment w:val="auto"/>
              <w:rPr>
                <w:rFonts w:cs="宋体"/>
                <w:bCs/>
                <w:color w:val="auto"/>
                <w:szCs w:val="24"/>
                <w:highlight w:val="none"/>
              </w:rPr>
            </w:pPr>
          </w:p>
        </w:tc>
        <w:tc>
          <w:tcPr>
            <w:tcW w:w="1133" w:type="dxa"/>
            <w:shd w:val="clear" w:color="auto" w:fill="FFFFFF"/>
            <w:vAlign w:val="center"/>
          </w:tcPr>
          <w:p w14:paraId="2DA0E488">
            <w:pPr>
              <w:adjustRightInd/>
              <w:jc w:val="center"/>
              <w:textAlignment w:val="auto"/>
              <w:rPr>
                <w:rFonts w:cs="宋体"/>
                <w:bCs/>
                <w:color w:val="auto"/>
                <w:szCs w:val="24"/>
                <w:highlight w:val="none"/>
              </w:rPr>
            </w:pPr>
          </w:p>
        </w:tc>
        <w:tc>
          <w:tcPr>
            <w:tcW w:w="686" w:type="dxa"/>
            <w:shd w:val="clear" w:color="auto" w:fill="FFFFFF"/>
            <w:vAlign w:val="center"/>
          </w:tcPr>
          <w:p w14:paraId="33A9858A">
            <w:pPr>
              <w:adjustRightInd/>
              <w:jc w:val="center"/>
              <w:textAlignment w:val="auto"/>
              <w:rPr>
                <w:rFonts w:cs="宋体"/>
                <w:bCs/>
                <w:color w:val="auto"/>
                <w:szCs w:val="24"/>
                <w:highlight w:val="none"/>
              </w:rPr>
            </w:pPr>
          </w:p>
        </w:tc>
        <w:tc>
          <w:tcPr>
            <w:tcW w:w="677" w:type="dxa"/>
            <w:shd w:val="clear" w:color="auto" w:fill="FFFFFF"/>
            <w:vAlign w:val="center"/>
          </w:tcPr>
          <w:p w14:paraId="4D3A8C60">
            <w:pPr>
              <w:adjustRightInd/>
              <w:jc w:val="center"/>
              <w:textAlignment w:val="auto"/>
              <w:rPr>
                <w:rFonts w:cs="宋体"/>
                <w:bCs/>
                <w:color w:val="auto"/>
                <w:szCs w:val="24"/>
                <w:highlight w:val="none"/>
              </w:rPr>
            </w:pPr>
          </w:p>
        </w:tc>
        <w:tc>
          <w:tcPr>
            <w:tcW w:w="1238" w:type="dxa"/>
            <w:shd w:val="clear" w:color="auto" w:fill="FFFFFF"/>
            <w:vAlign w:val="center"/>
          </w:tcPr>
          <w:p w14:paraId="798C2385">
            <w:pPr>
              <w:adjustRightInd/>
              <w:jc w:val="center"/>
              <w:textAlignment w:val="auto"/>
              <w:rPr>
                <w:rFonts w:cs="宋体"/>
                <w:bCs/>
                <w:color w:val="auto"/>
                <w:szCs w:val="24"/>
                <w:highlight w:val="none"/>
              </w:rPr>
            </w:pPr>
          </w:p>
        </w:tc>
        <w:tc>
          <w:tcPr>
            <w:tcW w:w="850" w:type="dxa"/>
            <w:shd w:val="clear" w:color="auto" w:fill="FFFFFF"/>
            <w:vAlign w:val="center"/>
          </w:tcPr>
          <w:p w14:paraId="712F9CAD">
            <w:pPr>
              <w:adjustRightInd/>
              <w:jc w:val="center"/>
              <w:textAlignment w:val="auto"/>
              <w:rPr>
                <w:rFonts w:cs="宋体"/>
                <w:bCs/>
                <w:color w:val="auto"/>
                <w:szCs w:val="24"/>
                <w:highlight w:val="none"/>
              </w:rPr>
            </w:pPr>
          </w:p>
        </w:tc>
        <w:tc>
          <w:tcPr>
            <w:tcW w:w="850" w:type="dxa"/>
            <w:shd w:val="clear" w:color="auto" w:fill="FFFFFF"/>
            <w:vAlign w:val="center"/>
          </w:tcPr>
          <w:p w14:paraId="0F5D895C">
            <w:pPr>
              <w:adjustRightInd/>
              <w:jc w:val="center"/>
              <w:textAlignment w:val="auto"/>
              <w:rPr>
                <w:rFonts w:cs="宋体"/>
                <w:bCs/>
                <w:color w:val="auto"/>
                <w:szCs w:val="24"/>
                <w:highlight w:val="none"/>
              </w:rPr>
            </w:pPr>
          </w:p>
        </w:tc>
        <w:tc>
          <w:tcPr>
            <w:tcW w:w="1382" w:type="dxa"/>
            <w:shd w:val="clear" w:color="auto" w:fill="FFFFFF"/>
            <w:vAlign w:val="center"/>
          </w:tcPr>
          <w:p w14:paraId="01E2B0E0">
            <w:pPr>
              <w:adjustRightInd/>
              <w:jc w:val="center"/>
              <w:textAlignment w:val="auto"/>
              <w:rPr>
                <w:rFonts w:cs="宋体"/>
                <w:bCs/>
                <w:color w:val="auto"/>
                <w:szCs w:val="24"/>
                <w:highlight w:val="none"/>
              </w:rPr>
            </w:pPr>
          </w:p>
        </w:tc>
      </w:tr>
      <w:tr w14:paraId="49D7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D267ACE">
            <w:pPr>
              <w:adjustRightInd/>
              <w:jc w:val="center"/>
              <w:textAlignment w:val="auto"/>
              <w:rPr>
                <w:rFonts w:cs="宋体"/>
                <w:bCs/>
                <w:color w:val="auto"/>
                <w:szCs w:val="24"/>
                <w:highlight w:val="none"/>
              </w:rPr>
            </w:pPr>
          </w:p>
        </w:tc>
        <w:tc>
          <w:tcPr>
            <w:tcW w:w="1435" w:type="dxa"/>
            <w:shd w:val="clear" w:color="auto" w:fill="FFFFFF"/>
            <w:vAlign w:val="center"/>
          </w:tcPr>
          <w:p w14:paraId="0931C65C">
            <w:pPr>
              <w:adjustRightInd/>
              <w:jc w:val="center"/>
              <w:textAlignment w:val="auto"/>
              <w:rPr>
                <w:rFonts w:cs="宋体"/>
                <w:bCs/>
                <w:color w:val="auto"/>
                <w:szCs w:val="24"/>
                <w:highlight w:val="none"/>
              </w:rPr>
            </w:pPr>
          </w:p>
        </w:tc>
        <w:tc>
          <w:tcPr>
            <w:tcW w:w="1133" w:type="dxa"/>
            <w:shd w:val="clear" w:color="auto" w:fill="FFFFFF"/>
            <w:vAlign w:val="center"/>
          </w:tcPr>
          <w:p w14:paraId="16A34C65">
            <w:pPr>
              <w:adjustRightInd/>
              <w:jc w:val="center"/>
              <w:textAlignment w:val="auto"/>
              <w:rPr>
                <w:rFonts w:cs="宋体"/>
                <w:bCs/>
                <w:color w:val="auto"/>
                <w:szCs w:val="24"/>
                <w:highlight w:val="none"/>
              </w:rPr>
            </w:pPr>
          </w:p>
        </w:tc>
        <w:tc>
          <w:tcPr>
            <w:tcW w:w="686" w:type="dxa"/>
            <w:shd w:val="clear" w:color="auto" w:fill="FFFFFF"/>
            <w:vAlign w:val="center"/>
          </w:tcPr>
          <w:p w14:paraId="6E696ECF">
            <w:pPr>
              <w:adjustRightInd/>
              <w:jc w:val="center"/>
              <w:textAlignment w:val="auto"/>
              <w:rPr>
                <w:rFonts w:cs="宋体"/>
                <w:bCs/>
                <w:color w:val="auto"/>
                <w:szCs w:val="24"/>
                <w:highlight w:val="none"/>
              </w:rPr>
            </w:pPr>
          </w:p>
        </w:tc>
        <w:tc>
          <w:tcPr>
            <w:tcW w:w="677" w:type="dxa"/>
            <w:shd w:val="clear" w:color="auto" w:fill="FFFFFF"/>
            <w:vAlign w:val="center"/>
          </w:tcPr>
          <w:p w14:paraId="412AFE97">
            <w:pPr>
              <w:adjustRightInd/>
              <w:jc w:val="center"/>
              <w:textAlignment w:val="auto"/>
              <w:rPr>
                <w:rFonts w:cs="宋体"/>
                <w:bCs/>
                <w:color w:val="auto"/>
                <w:szCs w:val="24"/>
                <w:highlight w:val="none"/>
              </w:rPr>
            </w:pPr>
          </w:p>
        </w:tc>
        <w:tc>
          <w:tcPr>
            <w:tcW w:w="1238" w:type="dxa"/>
            <w:shd w:val="clear" w:color="auto" w:fill="FFFFFF"/>
            <w:vAlign w:val="center"/>
          </w:tcPr>
          <w:p w14:paraId="29343D5C">
            <w:pPr>
              <w:adjustRightInd/>
              <w:jc w:val="center"/>
              <w:textAlignment w:val="auto"/>
              <w:rPr>
                <w:rFonts w:cs="宋体"/>
                <w:bCs/>
                <w:color w:val="auto"/>
                <w:szCs w:val="24"/>
                <w:highlight w:val="none"/>
              </w:rPr>
            </w:pPr>
          </w:p>
        </w:tc>
        <w:tc>
          <w:tcPr>
            <w:tcW w:w="850" w:type="dxa"/>
            <w:shd w:val="clear" w:color="auto" w:fill="FFFFFF"/>
            <w:vAlign w:val="center"/>
          </w:tcPr>
          <w:p w14:paraId="056C58C0">
            <w:pPr>
              <w:adjustRightInd/>
              <w:jc w:val="center"/>
              <w:textAlignment w:val="auto"/>
              <w:rPr>
                <w:rFonts w:cs="宋体"/>
                <w:bCs/>
                <w:color w:val="auto"/>
                <w:szCs w:val="24"/>
                <w:highlight w:val="none"/>
              </w:rPr>
            </w:pPr>
          </w:p>
        </w:tc>
        <w:tc>
          <w:tcPr>
            <w:tcW w:w="850" w:type="dxa"/>
            <w:shd w:val="clear" w:color="auto" w:fill="FFFFFF"/>
            <w:vAlign w:val="center"/>
          </w:tcPr>
          <w:p w14:paraId="3E136F7A">
            <w:pPr>
              <w:adjustRightInd/>
              <w:jc w:val="center"/>
              <w:textAlignment w:val="auto"/>
              <w:rPr>
                <w:rFonts w:cs="宋体"/>
                <w:bCs/>
                <w:color w:val="auto"/>
                <w:szCs w:val="24"/>
                <w:highlight w:val="none"/>
              </w:rPr>
            </w:pPr>
          </w:p>
        </w:tc>
        <w:tc>
          <w:tcPr>
            <w:tcW w:w="1382" w:type="dxa"/>
            <w:shd w:val="clear" w:color="auto" w:fill="FFFFFF"/>
            <w:vAlign w:val="center"/>
          </w:tcPr>
          <w:p w14:paraId="7A7D3EF6">
            <w:pPr>
              <w:adjustRightInd/>
              <w:jc w:val="center"/>
              <w:textAlignment w:val="auto"/>
              <w:rPr>
                <w:rFonts w:cs="宋体"/>
                <w:bCs/>
                <w:color w:val="auto"/>
                <w:szCs w:val="24"/>
                <w:highlight w:val="none"/>
              </w:rPr>
            </w:pPr>
          </w:p>
        </w:tc>
      </w:tr>
      <w:tr w14:paraId="1BD3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F6397CC">
            <w:pPr>
              <w:adjustRightInd/>
              <w:jc w:val="center"/>
              <w:textAlignment w:val="auto"/>
              <w:rPr>
                <w:rFonts w:cs="宋体"/>
                <w:bCs/>
                <w:color w:val="auto"/>
                <w:szCs w:val="24"/>
                <w:highlight w:val="none"/>
              </w:rPr>
            </w:pPr>
          </w:p>
        </w:tc>
        <w:tc>
          <w:tcPr>
            <w:tcW w:w="1435" w:type="dxa"/>
            <w:shd w:val="clear" w:color="auto" w:fill="FFFFFF"/>
            <w:vAlign w:val="center"/>
          </w:tcPr>
          <w:p w14:paraId="45A8C23F">
            <w:pPr>
              <w:adjustRightInd/>
              <w:jc w:val="center"/>
              <w:textAlignment w:val="auto"/>
              <w:rPr>
                <w:rFonts w:cs="宋体"/>
                <w:bCs/>
                <w:color w:val="auto"/>
                <w:szCs w:val="24"/>
                <w:highlight w:val="none"/>
              </w:rPr>
            </w:pPr>
          </w:p>
        </w:tc>
        <w:tc>
          <w:tcPr>
            <w:tcW w:w="1133" w:type="dxa"/>
            <w:shd w:val="clear" w:color="auto" w:fill="FFFFFF"/>
            <w:vAlign w:val="center"/>
          </w:tcPr>
          <w:p w14:paraId="351C9502">
            <w:pPr>
              <w:adjustRightInd/>
              <w:jc w:val="center"/>
              <w:textAlignment w:val="auto"/>
              <w:rPr>
                <w:rFonts w:cs="宋体"/>
                <w:bCs/>
                <w:color w:val="auto"/>
                <w:szCs w:val="24"/>
                <w:highlight w:val="none"/>
              </w:rPr>
            </w:pPr>
          </w:p>
        </w:tc>
        <w:tc>
          <w:tcPr>
            <w:tcW w:w="686" w:type="dxa"/>
            <w:shd w:val="clear" w:color="auto" w:fill="FFFFFF"/>
            <w:vAlign w:val="center"/>
          </w:tcPr>
          <w:p w14:paraId="288F218F">
            <w:pPr>
              <w:adjustRightInd/>
              <w:jc w:val="center"/>
              <w:textAlignment w:val="auto"/>
              <w:rPr>
                <w:rFonts w:cs="宋体"/>
                <w:bCs/>
                <w:color w:val="auto"/>
                <w:szCs w:val="24"/>
                <w:highlight w:val="none"/>
              </w:rPr>
            </w:pPr>
          </w:p>
        </w:tc>
        <w:tc>
          <w:tcPr>
            <w:tcW w:w="677" w:type="dxa"/>
            <w:shd w:val="clear" w:color="auto" w:fill="FFFFFF"/>
            <w:vAlign w:val="center"/>
          </w:tcPr>
          <w:p w14:paraId="59F1374D">
            <w:pPr>
              <w:adjustRightInd/>
              <w:jc w:val="center"/>
              <w:textAlignment w:val="auto"/>
              <w:rPr>
                <w:rFonts w:cs="宋体"/>
                <w:bCs/>
                <w:color w:val="auto"/>
                <w:szCs w:val="24"/>
                <w:highlight w:val="none"/>
              </w:rPr>
            </w:pPr>
          </w:p>
        </w:tc>
        <w:tc>
          <w:tcPr>
            <w:tcW w:w="1238" w:type="dxa"/>
            <w:shd w:val="clear" w:color="auto" w:fill="FFFFFF"/>
            <w:vAlign w:val="center"/>
          </w:tcPr>
          <w:p w14:paraId="2DBF15B0">
            <w:pPr>
              <w:adjustRightInd/>
              <w:jc w:val="center"/>
              <w:textAlignment w:val="auto"/>
              <w:rPr>
                <w:rFonts w:cs="宋体"/>
                <w:bCs/>
                <w:color w:val="auto"/>
                <w:szCs w:val="24"/>
                <w:highlight w:val="none"/>
              </w:rPr>
            </w:pPr>
          </w:p>
        </w:tc>
        <w:tc>
          <w:tcPr>
            <w:tcW w:w="850" w:type="dxa"/>
            <w:shd w:val="clear" w:color="auto" w:fill="FFFFFF"/>
            <w:vAlign w:val="center"/>
          </w:tcPr>
          <w:p w14:paraId="49A1615A">
            <w:pPr>
              <w:adjustRightInd/>
              <w:jc w:val="center"/>
              <w:textAlignment w:val="auto"/>
              <w:rPr>
                <w:rFonts w:cs="宋体"/>
                <w:bCs/>
                <w:color w:val="auto"/>
                <w:szCs w:val="24"/>
                <w:highlight w:val="none"/>
              </w:rPr>
            </w:pPr>
          </w:p>
        </w:tc>
        <w:tc>
          <w:tcPr>
            <w:tcW w:w="850" w:type="dxa"/>
            <w:shd w:val="clear" w:color="auto" w:fill="FFFFFF"/>
            <w:vAlign w:val="center"/>
          </w:tcPr>
          <w:p w14:paraId="59B12640">
            <w:pPr>
              <w:adjustRightInd/>
              <w:jc w:val="center"/>
              <w:textAlignment w:val="auto"/>
              <w:rPr>
                <w:rFonts w:cs="宋体"/>
                <w:bCs/>
                <w:color w:val="auto"/>
                <w:szCs w:val="24"/>
                <w:highlight w:val="none"/>
              </w:rPr>
            </w:pPr>
          </w:p>
        </w:tc>
        <w:tc>
          <w:tcPr>
            <w:tcW w:w="1382" w:type="dxa"/>
            <w:shd w:val="clear" w:color="auto" w:fill="FFFFFF"/>
            <w:vAlign w:val="center"/>
          </w:tcPr>
          <w:p w14:paraId="4F346650">
            <w:pPr>
              <w:adjustRightInd/>
              <w:jc w:val="center"/>
              <w:textAlignment w:val="auto"/>
              <w:rPr>
                <w:rFonts w:cs="宋体"/>
                <w:bCs/>
                <w:color w:val="auto"/>
                <w:szCs w:val="24"/>
                <w:highlight w:val="none"/>
              </w:rPr>
            </w:pPr>
          </w:p>
        </w:tc>
      </w:tr>
      <w:tr w14:paraId="66F3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10E5CF1">
            <w:pPr>
              <w:adjustRightInd/>
              <w:jc w:val="center"/>
              <w:textAlignment w:val="auto"/>
              <w:rPr>
                <w:rFonts w:cs="宋体"/>
                <w:bCs/>
                <w:color w:val="auto"/>
                <w:szCs w:val="24"/>
                <w:highlight w:val="none"/>
              </w:rPr>
            </w:pPr>
          </w:p>
        </w:tc>
        <w:tc>
          <w:tcPr>
            <w:tcW w:w="1435" w:type="dxa"/>
            <w:shd w:val="clear" w:color="auto" w:fill="FFFFFF"/>
            <w:vAlign w:val="center"/>
          </w:tcPr>
          <w:p w14:paraId="04DFEA3E">
            <w:pPr>
              <w:adjustRightInd/>
              <w:jc w:val="center"/>
              <w:textAlignment w:val="auto"/>
              <w:rPr>
                <w:rFonts w:cs="宋体"/>
                <w:bCs/>
                <w:color w:val="auto"/>
                <w:szCs w:val="24"/>
                <w:highlight w:val="none"/>
              </w:rPr>
            </w:pPr>
          </w:p>
        </w:tc>
        <w:tc>
          <w:tcPr>
            <w:tcW w:w="1133" w:type="dxa"/>
            <w:shd w:val="clear" w:color="auto" w:fill="FFFFFF"/>
            <w:vAlign w:val="center"/>
          </w:tcPr>
          <w:p w14:paraId="228BA5FB">
            <w:pPr>
              <w:adjustRightInd/>
              <w:jc w:val="center"/>
              <w:textAlignment w:val="auto"/>
              <w:rPr>
                <w:rFonts w:cs="宋体"/>
                <w:bCs/>
                <w:color w:val="auto"/>
                <w:szCs w:val="24"/>
                <w:highlight w:val="none"/>
              </w:rPr>
            </w:pPr>
          </w:p>
        </w:tc>
        <w:tc>
          <w:tcPr>
            <w:tcW w:w="686" w:type="dxa"/>
            <w:shd w:val="clear" w:color="auto" w:fill="FFFFFF"/>
            <w:vAlign w:val="center"/>
          </w:tcPr>
          <w:p w14:paraId="001CB7E4">
            <w:pPr>
              <w:adjustRightInd/>
              <w:jc w:val="center"/>
              <w:textAlignment w:val="auto"/>
              <w:rPr>
                <w:rFonts w:cs="宋体"/>
                <w:bCs/>
                <w:color w:val="auto"/>
                <w:szCs w:val="24"/>
                <w:highlight w:val="none"/>
              </w:rPr>
            </w:pPr>
          </w:p>
        </w:tc>
        <w:tc>
          <w:tcPr>
            <w:tcW w:w="677" w:type="dxa"/>
            <w:shd w:val="clear" w:color="auto" w:fill="FFFFFF"/>
            <w:vAlign w:val="center"/>
          </w:tcPr>
          <w:p w14:paraId="1F3DE6DE">
            <w:pPr>
              <w:adjustRightInd/>
              <w:jc w:val="center"/>
              <w:textAlignment w:val="auto"/>
              <w:rPr>
                <w:rFonts w:cs="宋体"/>
                <w:bCs/>
                <w:color w:val="auto"/>
                <w:szCs w:val="24"/>
                <w:highlight w:val="none"/>
              </w:rPr>
            </w:pPr>
          </w:p>
        </w:tc>
        <w:tc>
          <w:tcPr>
            <w:tcW w:w="1238" w:type="dxa"/>
            <w:shd w:val="clear" w:color="auto" w:fill="FFFFFF"/>
            <w:vAlign w:val="center"/>
          </w:tcPr>
          <w:p w14:paraId="2DC10459">
            <w:pPr>
              <w:adjustRightInd/>
              <w:jc w:val="center"/>
              <w:textAlignment w:val="auto"/>
              <w:rPr>
                <w:rFonts w:cs="宋体"/>
                <w:bCs/>
                <w:color w:val="auto"/>
                <w:szCs w:val="24"/>
                <w:highlight w:val="none"/>
              </w:rPr>
            </w:pPr>
          </w:p>
        </w:tc>
        <w:tc>
          <w:tcPr>
            <w:tcW w:w="850" w:type="dxa"/>
            <w:shd w:val="clear" w:color="auto" w:fill="FFFFFF"/>
            <w:vAlign w:val="center"/>
          </w:tcPr>
          <w:p w14:paraId="0285C84B">
            <w:pPr>
              <w:adjustRightInd/>
              <w:jc w:val="center"/>
              <w:textAlignment w:val="auto"/>
              <w:rPr>
                <w:rFonts w:cs="宋体"/>
                <w:bCs/>
                <w:color w:val="auto"/>
                <w:szCs w:val="24"/>
                <w:highlight w:val="none"/>
              </w:rPr>
            </w:pPr>
          </w:p>
        </w:tc>
        <w:tc>
          <w:tcPr>
            <w:tcW w:w="850" w:type="dxa"/>
            <w:shd w:val="clear" w:color="auto" w:fill="FFFFFF"/>
            <w:vAlign w:val="center"/>
          </w:tcPr>
          <w:p w14:paraId="349C5461">
            <w:pPr>
              <w:adjustRightInd/>
              <w:jc w:val="center"/>
              <w:textAlignment w:val="auto"/>
              <w:rPr>
                <w:rFonts w:cs="宋体"/>
                <w:bCs/>
                <w:color w:val="auto"/>
                <w:szCs w:val="24"/>
                <w:highlight w:val="none"/>
              </w:rPr>
            </w:pPr>
          </w:p>
        </w:tc>
        <w:tc>
          <w:tcPr>
            <w:tcW w:w="1382" w:type="dxa"/>
            <w:shd w:val="clear" w:color="auto" w:fill="FFFFFF"/>
            <w:vAlign w:val="center"/>
          </w:tcPr>
          <w:p w14:paraId="578709E9">
            <w:pPr>
              <w:adjustRightInd/>
              <w:jc w:val="center"/>
              <w:textAlignment w:val="auto"/>
              <w:rPr>
                <w:rFonts w:cs="宋体"/>
                <w:bCs/>
                <w:color w:val="auto"/>
                <w:szCs w:val="24"/>
                <w:highlight w:val="none"/>
              </w:rPr>
            </w:pPr>
          </w:p>
        </w:tc>
      </w:tr>
      <w:tr w14:paraId="3CE0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1D5304D">
            <w:pPr>
              <w:adjustRightInd/>
              <w:jc w:val="center"/>
              <w:textAlignment w:val="auto"/>
              <w:rPr>
                <w:rFonts w:cs="宋体"/>
                <w:bCs/>
                <w:color w:val="auto"/>
                <w:szCs w:val="24"/>
                <w:highlight w:val="none"/>
              </w:rPr>
            </w:pPr>
          </w:p>
        </w:tc>
        <w:tc>
          <w:tcPr>
            <w:tcW w:w="1435" w:type="dxa"/>
            <w:shd w:val="clear" w:color="auto" w:fill="FFFFFF"/>
            <w:vAlign w:val="center"/>
          </w:tcPr>
          <w:p w14:paraId="5F55BE58">
            <w:pPr>
              <w:adjustRightInd/>
              <w:jc w:val="center"/>
              <w:textAlignment w:val="auto"/>
              <w:rPr>
                <w:rFonts w:cs="宋体"/>
                <w:bCs/>
                <w:color w:val="auto"/>
                <w:szCs w:val="24"/>
                <w:highlight w:val="none"/>
              </w:rPr>
            </w:pPr>
          </w:p>
        </w:tc>
        <w:tc>
          <w:tcPr>
            <w:tcW w:w="1133" w:type="dxa"/>
            <w:shd w:val="clear" w:color="auto" w:fill="FFFFFF"/>
            <w:vAlign w:val="center"/>
          </w:tcPr>
          <w:p w14:paraId="34926539">
            <w:pPr>
              <w:adjustRightInd/>
              <w:jc w:val="center"/>
              <w:textAlignment w:val="auto"/>
              <w:rPr>
                <w:rFonts w:cs="宋体"/>
                <w:bCs/>
                <w:color w:val="auto"/>
                <w:szCs w:val="24"/>
                <w:highlight w:val="none"/>
              </w:rPr>
            </w:pPr>
          </w:p>
        </w:tc>
        <w:tc>
          <w:tcPr>
            <w:tcW w:w="686" w:type="dxa"/>
            <w:shd w:val="clear" w:color="auto" w:fill="FFFFFF"/>
            <w:vAlign w:val="center"/>
          </w:tcPr>
          <w:p w14:paraId="1A0A3097">
            <w:pPr>
              <w:adjustRightInd/>
              <w:jc w:val="center"/>
              <w:textAlignment w:val="auto"/>
              <w:rPr>
                <w:rFonts w:cs="宋体"/>
                <w:bCs/>
                <w:color w:val="auto"/>
                <w:szCs w:val="24"/>
                <w:highlight w:val="none"/>
              </w:rPr>
            </w:pPr>
          </w:p>
        </w:tc>
        <w:tc>
          <w:tcPr>
            <w:tcW w:w="677" w:type="dxa"/>
            <w:shd w:val="clear" w:color="auto" w:fill="FFFFFF"/>
            <w:vAlign w:val="center"/>
          </w:tcPr>
          <w:p w14:paraId="04F100E8">
            <w:pPr>
              <w:adjustRightInd/>
              <w:jc w:val="center"/>
              <w:textAlignment w:val="auto"/>
              <w:rPr>
                <w:rFonts w:cs="宋体"/>
                <w:bCs/>
                <w:color w:val="auto"/>
                <w:szCs w:val="24"/>
                <w:highlight w:val="none"/>
              </w:rPr>
            </w:pPr>
          </w:p>
        </w:tc>
        <w:tc>
          <w:tcPr>
            <w:tcW w:w="1238" w:type="dxa"/>
            <w:shd w:val="clear" w:color="auto" w:fill="FFFFFF"/>
            <w:vAlign w:val="center"/>
          </w:tcPr>
          <w:p w14:paraId="6C22847E">
            <w:pPr>
              <w:adjustRightInd/>
              <w:jc w:val="center"/>
              <w:textAlignment w:val="auto"/>
              <w:rPr>
                <w:rFonts w:cs="宋体"/>
                <w:bCs/>
                <w:color w:val="auto"/>
                <w:szCs w:val="24"/>
                <w:highlight w:val="none"/>
              </w:rPr>
            </w:pPr>
          </w:p>
        </w:tc>
        <w:tc>
          <w:tcPr>
            <w:tcW w:w="850" w:type="dxa"/>
            <w:shd w:val="clear" w:color="auto" w:fill="FFFFFF"/>
            <w:vAlign w:val="center"/>
          </w:tcPr>
          <w:p w14:paraId="4DA490AD">
            <w:pPr>
              <w:adjustRightInd/>
              <w:jc w:val="center"/>
              <w:textAlignment w:val="auto"/>
              <w:rPr>
                <w:rFonts w:cs="宋体"/>
                <w:bCs/>
                <w:color w:val="auto"/>
                <w:szCs w:val="24"/>
                <w:highlight w:val="none"/>
              </w:rPr>
            </w:pPr>
          </w:p>
        </w:tc>
        <w:tc>
          <w:tcPr>
            <w:tcW w:w="850" w:type="dxa"/>
            <w:shd w:val="clear" w:color="auto" w:fill="FFFFFF"/>
            <w:vAlign w:val="center"/>
          </w:tcPr>
          <w:p w14:paraId="4ABB1159">
            <w:pPr>
              <w:adjustRightInd/>
              <w:jc w:val="center"/>
              <w:textAlignment w:val="auto"/>
              <w:rPr>
                <w:rFonts w:cs="宋体"/>
                <w:bCs/>
                <w:color w:val="auto"/>
                <w:szCs w:val="24"/>
                <w:highlight w:val="none"/>
              </w:rPr>
            </w:pPr>
          </w:p>
        </w:tc>
        <w:tc>
          <w:tcPr>
            <w:tcW w:w="1382" w:type="dxa"/>
            <w:shd w:val="clear" w:color="auto" w:fill="FFFFFF"/>
            <w:vAlign w:val="center"/>
          </w:tcPr>
          <w:p w14:paraId="4876831B">
            <w:pPr>
              <w:adjustRightInd/>
              <w:jc w:val="center"/>
              <w:textAlignment w:val="auto"/>
              <w:rPr>
                <w:rFonts w:cs="宋体"/>
                <w:bCs/>
                <w:color w:val="auto"/>
                <w:szCs w:val="24"/>
                <w:highlight w:val="none"/>
              </w:rPr>
            </w:pPr>
          </w:p>
        </w:tc>
      </w:tr>
      <w:tr w14:paraId="7692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13FFABD">
            <w:pPr>
              <w:adjustRightInd/>
              <w:jc w:val="center"/>
              <w:textAlignment w:val="auto"/>
              <w:rPr>
                <w:rFonts w:cs="宋体"/>
                <w:bCs/>
                <w:color w:val="auto"/>
                <w:szCs w:val="24"/>
                <w:highlight w:val="none"/>
              </w:rPr>
            </w:pPr>
          </w:p>
        </w:tc>
        <w:tc>
          <w:tcPr>
            <w:tcW w:w="1435" w:type="dxa"/>
            <w:shd w:val="clear" w:color="auto" w:fill="FFFFFF"/>
            <w:vAlign w:val="center"/>
          </w:tcPr>
          <w:p w14:paraId="507F3724">
            <w:pPr>
              <w:adjustRightInd/>
              <w:jc w:val="center"/>
              <w:textAlignment w:val="auto"/>
              <w:rPr>
                <w:rFonts w:cs="宋体"/>
                <w:bCs/>
                <w:color w:val="auto"/>
                <w:szCs w:val="24"/>
                <w:highlight w:val="none"/>
              </w:rPr>
            </w:pPr>
          </w:p>
        </w:tc>
        <w:tc>
          <w:tcPr>
            <w:tcW w:w="1133" w:type="dxa"/>
            <w:shd w:val="clear" w:color="auto" w:fill="FFFFFF"/>
            <w:vAlign w:val="center"/>
          </w:tcPr>
          <w:p w14:paraId="2815DBC0">
            <w:pPr>
              <w:adjustRightInd/>
              <w:jc w:val="center"/>
              <w:textAlignment w:val="auto"/>
              <w:rPr>
                <w:rFonts w:cs="宋体"/>
                <w:bCs/>
                <w:color w:val="auto"/>
                <w:szCs w:val="24"/>
                <w:highlight w:val="none"/>
              </w:rPr>
            </w:pPr>
          </w:p>
        </w:tc>
        <w:tc>
          <w:tcPr>
            <w:tcW w:w="686" w:type="dxa"/>
            <w:shd w:val="clear" w:color="auto" w:fill="FFFFFF"/>
            <w:vAlign w:val="center"/>
          </w:tcPr>
          <w:p w14:paraId="2A5FC3AA">
            <w:pPr>
              <w:adjustRightInd/>
              <w:jc w:val="center"/>
              <w:textAlignment w:val="auto"/>
              <w:rPr>
                <w:rFonts w:cs="宋体"/>
                <w:bCs/>
                <w:color w:val="auto"/>
                <w:szCs w:val="24"/>
                <w:highlight w:val="none"/>
              </w:rPr>
            </w:pPr>
          </w:p>
        </w:tc>
        <w:tc>
          <w:tcPr>
            <w:tcW w:w="677" w:type="dxa"/>
            <w:shd w:val="clear" w:color="auto" w:fill="FFFFFF"/>
            <w:vAlign w:val="center"/>
          </w:tcPr>
          <w:p w14:paraId="55ACC2E7">
            <w:pPr>
              <w:adjustRightInd/>
              <w:jc w:val="center"/>
              <w:textAlignment w:val="auto"/>
              <w:rPr>
                <w:rFonts w:cs="宋体"/>
                <w:bCs/>
                <w:color w:val="auto"/>
                <w:szCs w:val="24"/>
                <w:highlight w:val="none"/>
              </w:rPr>
            </w:pPr>
          </w:p>
        </w:tc>
        <w:tc>
          <w:tcPr>
            <w:tcW w:w="1238" w:type="dxa"/>
            <w:shd w:val="clear" w:color="auto" w:fill="FFFFFF"/>
            <w:vAlign w:val="center"/>
          </w:tcPr>
          <w:p w14:paraId="200FB2E9">
            <w:pPr>
              <w:adjustRightInd/>
              <w:jc w:val="center"/>
              <w:textAlignment w:val="auto"/>
              <w:rPr>
                <w:rFonts w:cs="宋体"/>
                <w:bCs/>
                <w:color w:val="auto"/>
                <w:szCs w:val="24"/>
                <w:highlight w:val="none"/>
              </w:rPr>
            </w:pPr>
          </w:p>
        </w:tc>
        <w:tc>
          <w:tcPr>
            <w:tcW w:w="850" w:type="dxa"/>
            <w:shd w:val="clear" w:color="auto" w:fill="FFFFFF"/>
            <w:vAlign w:val="center"/>
          </w:tcPr>
          <w:p w14:paraId="5C73485A">
            <w:pPr>
              <w:adjustRightInd/>
              <w:jc w:val="center"/>
              <w:textAlignment w:val="auto"/>
              <w:rPr>
                <w:rFonts w:cs="宋体"/>
                <w:bCs/>
                <w:color w:val="auto"/>
                <w:szCs w:val="24"/>
                <w:highlight w:val="none"/>
              </w:rPr>
            </w:pPr>
          </w:p>
        </w:tc>
        <w:tc>
          <w:tcPr>
            <w:tcW w:w="850" w:type="dxa"/>
            <w:shd w:val="clear" w:color="auto" w:fill="FFFFFF"/>
            <w:vAlign w:val="center"/>
          </w:tcPr>
          <w:p w14:paraId="24AC57D3">
            <w:pPr>
              <w:adjustRightInd/>
              <w:jc w:val="center"/>
              <w:textAlignment w:val="auto"/>
              <w:rPr>
                <w:rFonts w:cs="宋体"/>
                <w:bCs/>
                <w:color w:val="auto"/>
                <w:szCs w:val="24"/>
                <w:highlight w:val="none"/>
              </w:rPr>
            </w:pPr>
          </w:p>
        </w:tc>
        <w:tc>
          <w:tcPr>
            <w:tcW w:w="1382" w:type="dxa"/>
            <w:shd w:val="clear" w:color="auto" w:fill="FFFFFF"/>
            <w:vAlign w:val="center"/>
          </w:tcPr>
          <w:p w14:paraId="410365AF">
            <w:pPr>
              <w:adjustRightInd/>
              <w:jc w:val="center"/>
              <w:textAlignment w:val="auto"/>
              <w:rPr>
                <w:rFonts w:cs="宋体"/>
                <w:bCs/>
                <w:color w:val="auto"/>
                <w:szCs w:val="24"/>
                <w:highlight w:val="none"/>
              </w:rPr>
            </w:pPr>
          </w:p>
        </w:tc>
      </w:tr>
      <w:tr w14:paraId="0180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577745">
            <w:pPr>
              <w:adjustRightInd/>
              <w:jc w:val="center"/>
              <w:textAlignment w:val="auto"/>
              <w:rPr>
                <w:rFonts w:cs="宋体"/>
                <w:bCs/>
                <w:color w:val="auto"/>
                <w:szCs w:val="24"/>
                <w:highlight w:val="none"/>
              </w:rPr>
            </w:pPr>
          </w:p>
        </w:tc>
        <w:tc>
          <w:tcPr>
            <w:tcW w:w="1435" w:type="dxa"/>
            <w:shd w:val="clear" w:color="auto" w:fill="FFFFFF"/>
            <w:vAlign w:val="center"/>
          </w:tcPr>
          <w:p w14:paraId="05CEAE2F">
            <w:pPr>
              <w:adjustRightInd/>
              <w:jc w:val="center"/>
              <w:textAlignment w:val="auto"/>
              <w:rPr>
                <w:rFonts w:cs="宋体"/>
                <w:bCs/>
                <w:color w:val="auto"/>
                <w:szCs w:val="24"/>
                <w:highlight w:val="none"/>
              </w:rPr>
            </w:pPr>
          </w:p>
        </w:tc>
        <w:tc>
          <w:tcPr>
            <w:tcW w:w="1133" w:type="dxa"/>
            <w:shd w:val="clear" w:color="auto" w:fill="FFFFFF"/>
            <w:vAlign w:val="center"/>
          </w:tcPr>
          <w:p w14:paraId="1F1393BD">
            <w:pPr>
              <w:adjustRightInd/>
              <w:jc w:val="center"/>
              <w:textAlignment w:val="auto"/>
              <w:rPr>
                <w:rFonts w:cs="宋体"/>
                <w:bCs/>
                <w:color w:val="auto"/>
                <w:szCs w:val="24"/>
                <w:highlight w:val="none"/>
              </w:rPr>
            </w:pPr>
          </w:p>
        </w:tc>
        <w:tc>
          <w:tcPr>
            <w:tcW w:w="686" w:type="dxa"/>
            <w:shd w:val="clear" w:color="auto" w:fill="FFFFFF"/>
            <w:vAlign w:val="center"/>
          </w:tcPr>
          <w:p w14:paraId="395EC74B">
            <w:pPr>
              <w:adjustRightInd/>
              <w:jc w:val="center"/>
              <w:textAlignment w:val="auto"/>
              <w:rPr>
                <w:rFonts w:cs="宋体"/>
                <w:bCs/>
                <w:color w:val="auto"/>
                <w:szCs w:val="24"/>
                <w:highlight w:val="none"/>
              </w:rPr>
            </w:pPr>
          </w:p>
        </w:tc>
        <w:tc>
          <w:tcPr>
            <w:tcW w:w="677" w:type="dxa"/>
            <w:shd w:val="clear" w:color="auto" w:fill="FFFFFF"/>
            <w:vAlign w:val="center"/>
          </w:tcPr>
          <w:p w14:paraId="50BC9ED9">
            <w:pPr>
              <w:adjustRightInd/>
              <w:jc w:val="center"/>
              <w:textAlignment w:val="auto"/>
              <w:rPr>
                <w:rFonts w:cs="宋体"/>
                <w:bCs/>
                <w:color w:val="auto"/>
                <w:szCs w:val="24"/>
                <w:highlight w:val="none"/>
              </w:rPr>
            </w:pPr>
          </w:p>
        </w:tc>
        <w:tc>
          <w:tcPr>
            <w:tcW w:w="1238" w:type="dxa"/>
            <w:shd w:val="clear" w:color="auto" w:fill="FFFFFF"/>
            <w:vAlign w:val="center"/>
          </w:tcPr>
          <w:p w14:paraId="06A05D27">
            <w:pPr>
              <w:adjustRightInd/>
              <w:jc w:val="center"/>
              <w:textAlignment w:val="auto"/>
              <w:rPr>
                <w:rFonts w:cs="宋体"/>
                <w:bCs/>
                <w:color w:val="auto"/>
                <w:szCs w:val="24"/>
                <w:highlight w:val="none"/>
              </w:rPr>
            </w:pPr>
          </w:p>
        </w:tc>
        <w:tc>
          <w:tcPr>
            <w:tcW w:w="850" w:type="dxa"/>
            <w:shd w:val="clear" w:color="auto" w:fill="FFFFFF"/>
            <w:vAlign w:val="center"/>
          </w:tcPr>
          <w:p w14:paraId="6C7B6575">
            <w:pPr>
              <w:adjustRightInd/>
              <w:jc w:val="center"/>
              <w:textAlignment w:val="auto"/>
              <w:rPr>
                <w:rFonts w:cs="宋体"/>
                <w:bCs/>
                <w:color w:val="auto"/>
                <w:szCs w:val="24"/>
                <w:highlight w:val="none"/>
              </w:rPr>
            </w:pPr>
          </w:p>
        </w:tc>
        <w:tc>
          <w:tcPr>
            <w:tcW w:w="850" w:type="dxa"/>
            <w:shd w:val="clear" w:color="auto" w:fill="FFFFFF"/>
            <w:vAlign w:val="center"/>
          </w:tcPr>
          <w:p w14:paraId="65C4D908">
            <w:pPr>
              <w:adjustRightInd/>
              <w:jc w:val="center"/>
              <w:textAlignment w:val="auto"/>
              <w:rPr>
                <w:rFonts w:cs="宋体"/>
                <w:bCs/>
                <w:color w:val="auto"/>
                <w:szCs w:val="24"/>
                <w:highlight w:val="none"/>
              </w:rPr>
            </w:pPr>
          </w:p>
        </w:tc>
        <w:tc>
          <w:tcPr>
            <w:tcW w:w="1382" w:type="dxa"/>
            <w:shd w:val="clear" w:color="auto" w:fill="FFFFFF"/>
            <w:vAlign w:val="center"/>
          </w:tcPr>
          <w:p w14:paraId="0C765B75">
            <w:pPr>
              <w:adjustRightInd/>
              <w:jc w:val="center"/>
              <w:textAlignment w:val="auto"/>
              <w:rPr>
                <w:rFonts w:cs="宋体"/>
                <w:bCs/>
                <w:color w:val="auto"/>
                <w:szCs w:val="24"/>
                <w:highlight w:val="none"/>
              </w:rPr>
            </w:pPr>
          </w:p>
        </w:tc>
      </w:tr>
      <w:tr w14:paraId="413A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15FE4EE">
            <w:pPr>
              <w:adjustRightInd/>
              <w:jc w:val="center"/>
              <w:textAlignment w:val="auto"/>
              <w:rPr>
                <w:rFonts w:cs="宋体"/>
                <w:bCs/>
                <w:color w:val="auto"/>
                <w:szCs w:val="24"/>
                <w:highlight w:val="none"/>
              </w:rPr>
            </w:pPr>
          </w:p>
        </w:tc>
        <w:tc>
          <w:tcPr>
            <w:tcW w:w="1435" w:type="dxa"/>
            <w:shd w:val="clear" w:color="auto" w:fill="FFFFFF"/>
            <w:vAlign w:val="center"/>
          </w:tcPr>
          <w:p w14:paraId="300A6B04">
            <w:pPr>
              <w:adjustRightInd/>
              <w:jc w:val="center"/>
              <w:textAlignment w:val="auto"/>
              <w:rPr>
                <w:rFonts w:cs="宋体"/>
                <w:bCs/>
                <w:color w:val="auto"/>
                <w:szCs w:val="24"/>
                <w:highlight w:val="none"/>
              </w:rPr>
            </w:pPr>
          </w:p>
        </w:tc>
        <w:tc>
          <w:tcPr>
            <w:tcW w:w="1133" w:type="dxa"/>
            <w:shd w:val="clear" w:color="auto" w:fill="FFFFFF"/>
            <w:vAlign w:val="center"/>
          </w:tcPr>
          <w:p w14:paraId="6C4BD429">
            <w:pPr>
              <w:adjustRightInd/>
              <w:jc w:val="center"/>
              <w:textAlignment w:val="auto"/>
              <w:rPr>
                <w:rFonts w:cs="宋体"/>
                <w:bCs/>
                <w:color w:val="auto"/>
                <w:szCs w:val="24"/>
                <w:highlight w:val="none"/>
              </w:rPr>
            </w:pPr>
          </w:p>
        </w:tc>
        <w:tc>
          <w:tcPr>
            <w:tcW w:w="686" w:type="dxa"/>
            <w:shd w:val="clear" w:color="auto" w:fill="FFFFFF"/>
            <w:vAlign w:val="center"/>
          </w:tcPr>
          <w:p w14:paraId="41FB99F4">
            <w:pPr>
              <w:adjustRightInd/>
              <w:jc w:val="center"/>
              <w:textAlignment w:val="auto"/>
              <w:rPr>
                <w:rFonts w:cs="宋体"/>
                <w:bCs/>
                <w:color w:val="auto"/>
                <w:szCs w:val="24"/>
                <w:highlight w:val="none"/>
              </w:rPr>
            </w:pPr>
          </w:p>
        </w:tc>
        <w:tc>
          <w:tcPr>
            <w:tcW w:w="677" w:type="dxa"/>
            <w:shd w:val="clear" w:color="auto" w:fill="FFFFFF"/>
            <w:vAlign w:val="center"/>
          </w:tcPr>
          <w:p w14:paraId="078349C7">
            <w:pPr>
              <w:adjustRightInd/>
              <w:jc w:val="center"/>
              <w:textAlignment w:val="auto"/>
              <w:rPr>
                <w:rFonts w:cs="宋体"/>
                <w:bCs/>
                <w:color w:val="auto"/>
                <w:szCs w:val="24"/>
                <w:highlight w:val="none"/>
              </w:rPr>
            </w:pPr>
          </w:p>
        </w:tc>
        <w:tc>
          <w:tcPr>
            <w:tcW w:w="1238" w:type="dxa"/>
            <w:shd w:val="clear" w:color="auto" w:fill="FFFFFF"/>
            <w:vAlign w:val="center"/>
          </w:tcPr>
          <w:p w14:paraId="212FF134">
            <w:pPr>
              <w:adjustRightInd/>
              <w:jc w:val="center"/>
              <w:textAlignment w:val="auto"/>
              <w:rPr>
                <w:rFonts w:cs="宋体"/>
                <w:bCs/>
                <w:color w:val="auto"/>
                <w:szCs w:val="24"/>
                <w:highlight w:val="none"/>
              </w:rPr>
            </w:pPr>
          </w:p>
        </w:tc>
        <w:tc>
          <w:tcPr>
            <w:tcW w:w="850" w:type="dxa"/>
            <w:shd w:val="clear" w:color="auto" w:fill="FFFFFF"/>
            <w:vAlign w:val="center"/>
          </w:tcPr>
          <w:p w14:paraId="138A2B1C">
            <w:pPr>
              <w:adjustRightInd/>
              <w:jc w:val="center"/>
              <w:textAlignment w:val="auto"/>
              <w:rPr>
                <w:rFonts w:cs="宋体"/>
                <w:bCs/>
                <w:color w:val="auto"/>
                <w:szCs w:val="24"/>
                <w:highlight w:val="none"/>
              </w:rPr>
            </w:pPr>
          </w:p>
        </w:tc>
        <w:tc>
          <w:tcPr>
            <w:tcW w:w="850" w:type="dxa"/>
            <w:shd w:val="clear" w:color="auto" w:fill="FFFFFF"/>
            <w:vAlign w:val="center"/>
          </w:tcPr>
          <w:p w14:paraId="0CF46767">
            <w:pPr>
              <w:adjustRightInd/>
              <w:jc w:val="center"/>
              <w:textAlignment w:val="auto"/>
              <w:rPr>
                <w:rFonts w:cs="宋体"/>
                <w:bCs/>
                <w:color w:val="auto"/>
                <w:szCs w:val="24"/>
                <w:highlight w:val="none"/>
              </w:rPr>
            </w:pPr>
          </w:p>
        </w:tc>
        <w:tc>
          <w:tcPr>
            <w:tcW w:w="1382" w:type="dxa"/>
            <w:shd w:val="clear" w:color="auto" w:fill="FFFFFF"/>
            <w:vAlign w:val="center"/>
          </w:tcPr>
          <w:p w14:paraId="430848D5">
            <w:pPr>
              <w:adjustRightInd/>
              <w:jc w:val="center"/>
              <w:textAlignment w:val="auto"/>
              <w:rPr>
                <w:rFonts w:cs="宋体"/>
                <w:bCs/>
                <w:color w:val="auto"/>
                <w:szCs w:val="24"/>
                <w:highlight w:val="none"/>
              </w:rPr>
            </w:pPr>
          </w:p>
        </w:tc>
      </w:tr>
      <w:tr w14:paraId="31E1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BC5E9F1">
            <w:pPr>
              <w:adjustRightInd/>
              <w:jc w:val="center"/>
              <w:textAlignment w:val="auto"/>
              <w:rPr>
                <w:rFonts w:cs="宋体"/>
                <w:bCs/>
                <w:color w:val="auto"/>
                <w:szCs w:val="24"/>
                <w:highlight w:val="none"/>
              </w:rPr>
            </w:pPr>
          </w:p>
        </w:tc>
        <w:tc>
          <w:tcPr>
            <w:tcW w:w="1435" w:type="dxa"/>
            <w:shd w:val="clear" w:color="auto" w:fill="FFFFFF"/>
            <w:vAlign w:val="center"/>
          </w:tcPr>
          <w:p w14:paraId="00895A81">
            <w:pPr>
              <w:adjustRightInd/>
              <w:jc w:val="center"/>
              <w:textAlignment w:val="auto"/>
              <w:rPr>
                <w:rFonts w:cs="宋体"/>
                <w:bCs/>
                <w:color w:val="auto"/>
                <w:szCs w:val="24"/>
                <w:highlight w:val="none"/>
              </w:rPr>
            </w:pPr>
          </w:p>
        </w:tc>
        <w:tc>
          <w:tcPr>
            <w:tcW w:w="1133" w:type="dxa"/>
            <w:shd w:val="clear" w:color="auto" w:fill="FFFFFF"/>
            <w:vAlign w:val="center"/>
          </w:tcPr>
          <w:p w14:paraId="45FF263F">
            <w:pPr>
              <w:adjustRightInd/>
              <w:jc w:val="center"/>
              <w:textAlignment w:val="auto"/>
              <w:rPr>
                <w:rFonts w:cs="宋体"/>
                <w:bCs/>
                <w:color w:val="auto"/>
                <w:szCs w:val="24"/>
                <w:highlight w:val="none"/>
              </w:rPr>
            </w:pPr>
          </w:p>
        </w:tc>
        <w:tc>
          <w:tcPr>
            <w:tcW w:w="686" w:type="dxa"/>
            <w:shd w:val="clear" w:color="auto" w:fill="FFFFFF"/>
            <w:vAlign w:val="center"/>
          </w:tcPr>
          <w:p w14:paraId="51C80BF1">
            <w:pPr>
              <w:adjustRightInd/>
              <w:jc w:val="center"/>
              <w:textAlignment w:val="auto"/>
              <w:rPr>
                <w:rFonts w:cs="宋体"/>
                <w:bCs/>
                <w:color w:val="auto"/>
                <w:szCs w:val="24"/>
                <w:highlight w:val="none"/>
              </w:rPr>
            </w:pPr>
          </w:p>
        </w:tc>
        <w:tc>
          <w:tcPr>
            <w:tcW w:w="677" w:type="dxa"/>
            <w:shd w:val="clear" w:color="auto" w:fill="FFFFFF"/>
            <w:vAlign w:val="center"/>
          </w:tcPr>
          <w:p w14:paraId="487F5AAA">
            <w:pPr>
              <w:adjustRightInd/>
              <w:jc w:val="center"/>
              <w:textAlignment w:val="auto"/>
              <w:rPr>
                <w:rFonts w:cs="宋体"/>
                <w:bCs/>
                <w:color w:val="auto"/>
                <w:szCs w:val="24"/>
                <w:highlight w:val="none"/>
              </w:rPr>
            </w:pPr>
          </w:p>
        </w:tc>
        <w:tc>
          <w:tcPr>
            <w:tcW w:w="1238" w:type="dxa"/>
            <w:shd w:val="clear" w:color="auto" w:fill="FFFFFF"/>
            <w:vAlign w:val="center"/>
          </w:tcPr>
          <w:p w14:paraId="6B3E7291">
            <w:pPr>
              <w:adjustRightInd/>
              <w:jc w:val="center"/>
              <w:textAlignment w:val="auto"/>
              <w:rPr>
                <w:rFonts w:cs="宋体"/>
                <w:bCs/>
                <w:color w:val="auto"/>
                <w:szCs w:val="24"/>
                <w:highlight w:val="none"/>
              </w:rPr>
            </w:pPr>
          </w:p>
        </w:tc>
        <w:tc>
          <w:tcPr>
            <w:tcW w:w="850" w:type="dxa"/>
            <w:shd w:val="clear" w:color="auto" w:fill="FFFFFF"/>
            <w:vAlign w:val="center"/>
          </w:tcPr>
          <w:p w14:paraId="6DCE9D2B">
            <w:pPr>
              <w:adjustRightInd/>
              <w:jc w:val="center"/>
              <w:textAlignment w:val="auto"/>
              <w:rPr>
                <w:rFonts w:cs="宋体"/>
                <w:bCs/>
                <w:color w:val="auto"/>
                <w:szCs w:val="24"/>
                <w:highlight w:val="none"/>
              </w:rPr>
            </w:pPr>
          </w:p>
        </w:tc>
        <w:tc>
          <w:tcPr>
            <w:tcW w:w="850" w:type="dxa"/>
            <w:shd w:val="clear" w:color="auto" w:fill="FFFFFF"/>
            <w:vAlign w:val="center"/>
          </w:tcPr>
          <w:p w14:paraId="571291F0">
            <w:pPr>
              <w:adjustRightInd/>
              <w:jc w:val="center"/>
              <w:textAlignment w:val="auto"/>
              <w:rPr>
                <w:rFonts w:cs="宋体"/>
                <w:bCs/>
                <w:color w:val="auto"/>
                <w:szCs w:val="24"/>
                <w:highlight w:val="none"/>
              </w:rPr>
            </w:pPr>
          </w:p>
        </w:tc>
        <w:tc>
          <w:tcPr>
            <w:tcW w:w="1382" w:type="dxa"/>
            <w:shd w:val="clear" w:color="auto" w:fill="FFFFFF"/>
            <w:vAlign w:val="center"/>
          </w:tcPr>
          <w:p w14:paraId="0D388D28">
            <w:pPr>
              <w:adjustRightInd/>
              <w:jc w:val="center"/>
              <w:textAlignment w:val="auto"/>
              <w:rPr>
                <w:rFonts w:cs="宋体"/>
                <w:bCs/>
                <w:color w:val="auto"/>
                <w:szCs w:val="24"/>
                <w:highlight w:val="none"/>
              </w:rPr>
            </w:pPr>
          </w:p>
        </w:tc>
      </w:tr>
    </w:tbl>
    <w:p w14:paraId="2C41A651">
      <w:pPr>
        <w:snapToGrid w:val="0"/>
        <w:rPr>
          <w:rFonts w:cs="宋体"/>
          <w:color w:val="auto"/>
          <w:highlight w:val="none"/>
        </w:rPr>
      </w:pPr>
    </w:p>
    <w:p w14:paraId="1A39BF68">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firstLineChars="100"/>
        <w:rPr>
          <w:rFonts w:ascii="宋体" w:hAnsi="宋体" w:cs="宋体"/>
          <w:bCs/>
          <w:color w:val="auto"/>
          <w:sz w:val="24"/>
          <w:szCs w:val="24"/>
          <w:highlight w:val="none"/>
        </w:rPr>
        <w:sectPr>
          <w:pgSz w:w="11906" w:h="16838"/>
          <w:pgMar w:top="1440" w:right="1440" w:bottom="1440" w:left="1440" w:header="851" w:footer="992" w:gutter="0"/>
          <w:pgNumType w:fmt="decimal"/>
          <w:cols w:space="720" w:num="1"/>
          <w:rtlGutter w:val="0"/>
          <w:docGrid w:type="lines" w:linePitch="312" w:charSpace="0"/>
        </w:sectPr>
      </w:pPr>
      <w:r>
        <w:rPr>
          <w:rFonts w:hint="eastAsia" w:ascii="宋体" w:hAnsi="宋体" w:cs="宋体"/>
          <w:bCs/>
          <w:color w:val="auto"/>
          <w:sz w:val="24"/>
          <w:szCs w:val="24"/>
          <w:highlight w:val="none"/>
        </w:rPr>
        <w:t>备注：本表后附相关资信证件复印件</w:t>
      </w:r>
    </w:p>
    <w:p w14:paraId="28C0A6B6">
      <w:pPr>
        <w:jc w:val="center"/>
        <w:rPr>
          <w:rFonts w:cs="宋体"/>
          <w:color w:val="auto"/>
          <w:szCs w:val="24"/>
          <w:highlight w:val="none"/>
        </w:rPr>
      </w:pPr>
      <w:r>
        <w:rPr>
          <w:rFonts w:hint="eastAsia" w:cs="宋体"/>
          <w:color w:val="auto"/>
          <w:szCs w:val="24"/>
          <w:highlight w:val="none"/>
        </w:rPr>
        <w:t>（四）项目负责人简历表</w:t>
      </w:r>
    </w:p>
    <w:p w14:paraId="0BF3375C">
      <w:pPr>
        <w:pStyle w:val="6"/>
        <w:ind w:left="480"/>
        <w:rPr>
          <w:color w:val="auto"/>
          <w:highlight w:val="none"/>
        </w:rPr>
      </w:pPr>
    </w:p>
    <w:tbl>
      <w:tblPr>
        <w:tblStyle w:val="18"/>
        <w:tblW w:w="0" w:type="auto"/>
        <w:jc w:val="center"/>
        <w:tblLayout w:type="fixed"/>
        <w:tblCellMar>
          <w:top w:w="0" w:type="dxa"/>
          <w:left w:w="10" w:type="dxa"/>
          <w:bottom w:w="0" w:type="dxa"/>
          <w:right w:w="10" w:type="dxa"/>
        </w:tblCellMar>
      </w:tblPr>
      <w:tblGrid>
        <w:gridCol w:w="1205"/>
        <w:gridCol w:w="346"/>
        <w:gridCol w:w="696"/>
        <w:gridCol w:w="960"/>
        <w:gridCol w:w="1056"/>
        <w:gridCol w:w="691"/>
        <w:gridCol w:w="1258"/>
        <w:gridCol w:w="408"/>
        <w:gridCol w:w="2438"/>
      </w:tblGrid>
      <w:tr w14:paraId="6FAAA1E8">
        <w:tblPrEx>
          <w:tblCellMar>
            <w:top w:w="0" w:type="dxa"/>
            <w:left w:w="10" w:type="dxa"/>
            <w:bottom w:w="0" w:type="dxa"/>
            <w:right w:w="10" w:type="dxa"/>
          </w:tblCellMar>
        </w:tblPrEx>
        <w:trPr>
          <w:trHeight w:val="878" w:hRule="exact"/>
          <w:jc w:val="center"/>
        </w:trPr>
        <w:tc>
          <w:tcPr>
            <w:tcW w:w="1205" w:type="dxa"/>
            <w:tcBorders>
              <w:top w:val="single" w:color="auto" w:sz="4" w:space="0"/>
              <w:left w:val="single" w:color="auto" w:sz="4" w:space="0"/>
            </w:tcBorders>
            <w:shd w:val="clear" w:color="auto" w:fill="FFFFFF"/>
            <w:vAlign w:val="center"/>
          </w:tcPr>
          <w:p w14:paraId="38820DEE">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姓名</w:t>
            </w:r>
          </w:p>
        </w:tc>
        <w:tc>
          <w:tcPr>
            <w:tcW w:w="1042" w:type="dxa"/>
            <w:gridSpan w:val="2"/>
            <w:tcBorders>
              <w:top w:val="single" w:color="auto" w:sz="4" w:space="0"/>
              <w:left w:val="single" w:color="auto" w:sz="4" w:space="0"/>
            </w:tcBorders>
            <w:shd w:val="clear" w:color="auto" w:fill="FFFFFF"/>
            <w:vAlign w:val="center"/>
          </w:tcPr>
          <w:p w14:paraId="77EAE29E">
            <w:pPr>
              <w:adjustRightInd/>
              <w:jc w:val="center"/>
              <w:textAlignment w:val="auto"/>
              <w:rPr>
                <w:rFonts w:cs="宋体"/>
                <w:bCs/>
                <w:color w:val="auto"/>
                <w:szCs w:val="24"/>
                <w:highlight w:val="none"/>
              </w:rPr>
            </w:pPr>
          </w:p>
        </w:tc>
        <w:tc>
          <w:tcPr>
            <w:tcW w:w="960" w:type="dxa"/>
            <w:tcBorders>
              <w:top w:val="single" w:color="auto" w:sz="4" w:space="0"/>
              <w:left w:val="single" w:color="auto" w:sz="4" w:space="0"/>
            </w:tcBorders>
            <w:shd w:val="clear" w:color="auto" w:fill="FFFFFF"/>
            <w:vAlign w:val="center"/>
          </w:tcPr>
          <w:p w14:paraId="7B2A6A58">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年龄</w:t>
            </w:r>
          </w:p>
        </w:tc>
        <w:tc>
          <w:tcPr>
            <w:tcW w:w="1056" w:type="dxa"/>
            <w:tcBorders>
              <w:top w:val="single" w:color="auto" w:sz="4" w:space="0"/>
              <w:left w:val="single" w:color="auto" w:sz="4" w:space="0"/>
            </w:tcBorders>
            <w:shd w:val="clear" w:color="auto" w:fill="FFFFFF"/>
            <w:vAlign w:val="center"/>
          </w:tcPr>
          <w:p w14:paraId="79D5DF17">
            <w:pPr>
              <w:adjustRightInd/>
              <w:jc w:val="center"/>
              <w:textAlignment w:val="auto"/>
              <w:rPr>
                <w:rFonts w:cs="宋体"/>
                <w:bCs/>
                <w:color w:val="auto"/>
                <w:szCs w:val="24"/>
                <w:highlight w:val="none"/>
              </w:rPr>
            </w:pPr>
          </w:p>
        </w:tc>
        <w:tc>
          <w:tcPr>
            <w:tcW w:w="2357" w:type="dxa"/>
            <w:gridSpan w:val="3"/>
            <w:tcBorders>
              <w:top w:val="single" w:color="auto" w:sz="4" w:space="0"/>
              <w:left w:val="single" w:color="auto" w:sz="4" w:space="0"/>
            </w:tcBorders>
            <w:shd w:val="clear" w:color="auto" w:fill="FFFFFF"/>
            <w:vAlign w:val="center"/>
          </w:tcPr>
          <w:p w14:paraId="37C75CDF">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执业或职业</w:t>
            </w:r>
          </w:p>
          <w:p w14:paraId="531F4055">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资格证书名称</w:t>
            </w:r>
          </w:p>
        </w:tc>
        <w:tc>
          <w:tcPr>
            <w:tcW w:w="2438" w:type="dxa"/>
            <w:tcBorders>
              <w:top w:val="single" w:color="auto" w:sz="4" w:space="0"/>
              <w:left w:val="single" w:color="auto" w:sz="4" w:space="0"/>
              <w:right w:val="single" w:color="auto" w:sz="4" w:space="0"/>
            </w:tcBorders>
            <w:shd w:val="clear" w:color="auto" w:fill="FFFFFF"/>
            <w:vAlign w:val="center"/>
          </w:tcPr>
          <w:p w14:paraId="3C494AF0">
            <w:pPr>
              <w:adjustRightInd/>
              <w:jc w:val="center"/>
              <w:textAlignment w:val="auto"/>
              <w:rPr>
                <w:rFonts w:cs="宋体"/>
                <w:bCs/>
                <w:color w:val="auto"/>
                <w:szCs w:val="24"/>
                <w:highlight w:val="none"/>
              </w:rPr>
            </w:pPr>
          </w:p>
        </w:tc>
      </w:tr>
      <w:tr w14:paraId="0F5E2916">
        <w:tblPrEx>
          <w:tblCellMar>
            <w:top w:w="0" w:type="dxa"/>
            <w:left w:w="10" w:type="dxa"/>
            <w:bottom w:w="0" w:type="dxa"/>
            <w:right w:w="10" w:type="dxa"/>
          </w:tblCellMar>
        </w:tblPrEx>
        <w:trPr>
          <w:trHeight w:val="874" w:hRule="exact"/>
          <w:jc w:val="center"/>
        </w:trPr>
        <w:tc>
          <w:tcPr>
            <w:tcW w:w="1205" w:type="dxa"/>
            <w:tcBorders>
              <w:top w:val="single" w:color="auto" w:sz="4" w:space="0"/>
              <w:left w:val="single" w:color="auto" w:sz="4" w:space="0"/>
            </w:tcBorders>
            <w:shd w:val="clear" w:color="auto" w:fill="FFFFFF"/>
            <w:vAlign w:val="center"/>
          </w:tcPr>
          <w:p w14:paraId="0D3BD9F3">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职称</w:t>
            </w:r>
          </w:p>
        </w:tc>
        <w:tc>
          <w:tcPr>
            <w:tcW w:w="1042" w:type="dxa"/>
            <w:gridSpan w:val="2"/>
            <w:tcBorders>
              <w:top w:val="single" w:color="auto" w:sz="4" w:space="0"/>
              <w:left w:val="single" w:color="auto" w:sz="4" w:space="0"/>
            </w:tcBorders>
            <w:shd w:val="clear" w:color="auto" w:fill="FFFFFF"/>
            <w:vAlign w:val="center"/>
          </w:tcPr>
          <w:p w14:paraId="6C3809CE">
            <w:pPr>
              <w:adjustRightInd/>
              <w:jc w:val="center"/>
              <w:textAlignment w:val="auto"/>
              <w:rPr>
                <w:rFonts w:cs="宋体"/>
                <w:bCs/>
                <w:color w:val="auto"/>
                <w:szCs w:val="24"/>
                <w:highlight w:val="none"/>
              </w:rPr>
            </w:pPr>
          </w:p>
        </w:tc>
        <w:tc>
          <w:tcPr>
            <w:tcW w:w="960" w:type="dxa"/>
            <w:tcBorders>
              <w:top w:val="single" w:color="auto" w:sz="4" w:space="0"/>
              <w:left w:val="single" w:color="auto" w:sz="4" w:space="0"/>
            </w:tcBorders>
            <w:shd w:val="clear" w:color="auto" w:fill="FFFFFF"/>
            <w:vAlign w:val="center"/>
          </w:tcPr>
          <w:p w14:paraId="36CF6816">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学历</w:t>
            </w:r>
          </w:p>
        </w:tc>
        <w:tc>
          <w:tcPr>
            <w:tcW w:w="1056" w:type="dxa"/>
            <w:tcBorders>
              <w:top w:val="single" w:color="auto" w:sz="4" w:space="0"/>
              <w:left w:val="single" w:color="auto" w:sz="4" w:space="0"/>
            </w:tcBorders>
            <w:shd w:val="clear" w:color="auto" w:fill="FFFFFF"/>
            <w:vAlign w:val="center"/>
          </w:tcPr>
          <w:p w14:paraId="5DAB0672">
            <w:pPr>
              <w:adjustRightInd/>
              <w:jc w:val="center"/>
              <w:textAlignment w:val="auto"/>
              <w:rPr>
                <w:rFonts w:cs="宋体"/>
                <w:bCs/>
                <w:color w:val="auto"/>
                <w:szCs w:val="24"/>
                <w:highlight w:val="none"/>
              </w:rPr>
            </w:pPr>
          </w:p>
        </w:tc>
        <w:tc>
          <w:tcPr>
            <w:tcW w:w="2357" w:type="dxa"/>
            <w:gridSpan w:val="3"/>
            <w:tcBorders>
              <w:top w:val="single" w:color="auto" w:sz="4" w:space="0"/>
              <w:left w:val="single" w:color="auto" w:sz="4" w:space="0"/>
            </w:tcBorders>
            <w:shd w:val="clear" w:color="auto" w:fill="FFFFFF"/>
            <w:vAlign w:val="center"/>
          </w:tcPr>
          <w:p w14:paraId="07A0FFDF">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拟在本项目任职</w:t>
            </w:r>
          </w:p>
        </w:tc>
        <w:tc>
          <w:tcPr>
            <w:tcW w:w="2438" w:type="dxa"/>
            <w:tcBorders>
              <w:top w:val="single" w:color="auto" w:sz="4" w:space="0"/>
              <w:left w:val="single" w:color="auto" w:sz="4" w:space="0"/>
              <w:right w:val="single" w:color="auto" w:sz="4" w:space="0"/>
            </w:tcBorders>
            <w:shd w:val="clear" w:color="auto" w:fill="FFFFFF"/>
            <w:vAlign w:val="center"/>
          </w:tcPr>
          <w:p w14:paraId="33EDD024">
            <w:pPr>
              <w:adjustRightInd/>
              <w:jc w:val="center"/>
              <w:textAlignment w:val="auto"/>
              <w:rPr>
                <w:rFonts w:cs="宋体"/>
                <w:bCs/>
                <w:color w:val="auto"/>
                <w:szCs w:val="24"/>
                <w:highlight w:val="none"/>
              </w:rPr>
            </w:pPr>
          </w:p>
        </w:tc>
      </w:tr>
      <w:tr w14:paraId="2360D5AF">
        <w:tblPrEx>
          <w:tblCellMar>
            <w:top w:w="0" w:type="dxa"/>
            <w:left w:w="10" w:type="dxa"/>
            <w:bottom w:w="0" w:type="dxa"/>
            <w:right w:w="10" w:type="dxa"/>
          </w:tblCellMar>
        </w:tblPrEx>
        <w:trPr>
          <w:trHeight w:val="878" w:hRule="exact"/>
          <w:jc w:val="center"/>
        </w:trPr>
        <w:tc>
          <w:tcPr>
            <w:tcW w:w="1205" w:type="dxa"/>
            <w:tcBorders>
              <w:top w:val="single" w:color="auto" w:sz="4" w:space="0"/>
              <w:left w:val="single" w:color="auto" w:sz="4" w:space="0"/>
            </w:tcBorders>
            <w:shd w:val="clear" w:color="auto" w:fill="FFFFFF"/>
            <w:vAlign w:val="center"/>
          </w:tcPr>
          <w:p w14:paraId="5100158A">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工作年限</w:t>
            </w:r>
          </w:p>
        </w:tc>
        <w:tc>
          <w:tcPr>
            <w:tcW w:w="3058" w:type="dxa"/>
            <w:gridSpan w:val="4"/>
            <w:tcBorders>
              <w:top w:val="single" w:color="auto" w:sz="4" w:space="0"/>
              <w:left w:val="single" w:color="auto" w:sz="4" w:space="0"/>
            </w:tcBorders>
            <w:shd w:val="clear" w:color="auto" w:fill="FFFFFF"/>
            <w:vAlign w:val="center"/>
          </w:tcPr>
          <w:p w14:paraId="38D896D3">
            <w:pPr>
              <w:adjustRightInd/>
              <w:jc w:val="center"/>
              <w:textAlignment w:val="auto"/>
              <w:rPr>
                <w:rFonts w:cs="宋体"/>
                <w:bCs/>
                <w:color w:val="auto"/>
                <w:szCs w:val="24"/>
                <w:highlight w:val="none"/>
              </w:rPr>
            </w:pPr>
          </w:p>
        </w:tc>
        <w:tc>
          <w:tcPr>
            <w:tcW w:w="2357" w:type="dxa"/>
            <w:gridSpan w:val="3"/>
            <w:tcBorders>
              <w:top w:val="single" w:color="auto" w:sz="4" w:space="0"/>
              <w:left w:val="single" w:color="auto" w:sz="4" w:space="0"/>
            </w:tcBorders>
            <w:shd w:val="clear" w:color="auto" w:fill="FFFFFF"/>
            <w:vAlign w:val="center"/>
          </w:tcPr>
          <w:p w14:paraId="59F54CCF">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从事类似工作年限</w:t>
            </w:r>
          </w:p>
        </w:tc>
        <w:tc>
          <w:tcPr>
            <w:tcW w:w="2438" w:type="dxa"/>
            <w:tcBorders>
              <w:top w:val="single" w:color="auto" w:sz="4" w:space="0"/>
              <w:left w:val="single" w:color="auto" w:sz="4" w:space="0"/>
              <w:right w:val="single" w:color="auto" w:sz="4" w:space="0"/>
            </w:tcBorders>
            <w:shd w:val="clear" w:color="auto" w:fill="FFFFFF"/>
            <w:vAlign w:val="center"/>
          </w:tcPr>
          <w:p w14:paraId="69190656">
            <w:pPr>
              <w:adjustRightInd/>
              <w:jc w:val="center"/>
              <w:textAlignment w:val="auto"/>
              <w:rPr>
                <w:rFonts w:cs="宋体"/>
                <w:bCs/>
                <w:color w:val="auto"/>
                <w:szCs w:val="24"/>
                <w:highlight w:val="none"/>
              </w:rPr>
            </w:pPr>
          </w:p>
        </w:tc>
      </w:tr>
      <w:tr w14:paraId="2B447117">
        <w:tblPrEx>
          <w:tblCellMar>
            <w:top w:w="0" w:type="dxa"/>
            <w:left w:w="10" w:type="dxa"/>
            <w:bottom w:w="0" w:type="dxa"/>
            <w:right w:w="10" w:type="dxa"/>
          </w:tblCellMar>
        </w:tblPrEx>
        <w:trPr>
          <w:trHeight w:val="874" w:hRule="exact"/>
          <w:jc w:val="center"/>
        </w:trPr>
        <w:tc>
          <w:tcPr>
            <w:tcW w:w="1205" w:type="dxa"/>
            <w:tcBorders>
              <w:top w:val="single" w:color="auto" w:sz="4" w:space="0"/>
              <w:left w:val="single" w:color="auto" w:sz="4" w:space="0"/>
            </w:tcBorders>
            <w:shd w:val="clear" w:color="auto" w:fill="FFFFFF"/>
            <w:vAlign w:val="center"/>
          </w:tcPr>
          <w:p w14:paraId="7A898C8B">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毕业学校</w:t>
            </w:r>
          </w:p>
        </w:tc>
        <w:tc>
          <w:tcPr>
            <w:tcW w:w="7853" w:type="dxa"/>
            <w:gridSpan w:val="8"/>
            <w:tcBorders>
              <w:top w:val="single" w:color="auto" w:sz="4" w:space="0"/>
              <w:left w:val="single" w:color="auto" w:sz="4" w:space="0"/>
              <w:right w:val="single" w:color="auto" w:sz="4" w:space="0"/>
            </w:tcBorders>
            <w:shd w:val="clear" w:color="auto" w:fill="FFFFFF"/>
            <w:vAlign w:val="center"/>
          </w:tcPr>
          <w:p w14:paraId="07C6EC1F">
            <w:pPr>
              <w:pStyle w:val="25"/>
              <w:tabs>
                <w:tab w:val="left" w:pos="2021"/>
                <w:tab w:val="left" w:pos="3331"/>
              </w:tabs>
              <w:adjustRightInd/>
              <w:spacing w:line="360" w:lineRule="auto"/>
              <w:ind w:firstLine="480" w:firstLineChars="20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 xml:space="preserve">    年毕业于        学校    专业</w:t>
            </w:r>
          </w:p>
        </w:tc>
      </w:tr>
      <w:tr w14:paraId="13789B92">
        <w:tblPrEx>
          <w:tblCellMar>
            <w:top w:w="0" w:type="dxa"/>
            <w:left w:w="10" w:type="dxa"/>
            <w:bottom w:w="0" w:type="dxa"/>
            <w:right w:w="10" w:type="dxa"/>
          </w:tblCellMar>
        </w:tblPrEx>
        <w:trPr>
          <w:trHeight w:val="878" w:hRule="exact"/>
          <w:jc w:val="center"/>
        </w:trPr>
        <w:tc>
          <w:tcPr>
            <w:tcW w:w="9058"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372097CE">
            <w:pPr>
              <w:pStyle w:val="25"/>
              <w:adjustRightInd/>
              <w:spacing w:line="360" w:lineRule="auto"/>
              <w:ind w:firstLine="240" w:firstLineChars="100"/>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主要工作经历</w:t>
            </w:r>
          </w:p>
        </w:tc>
      </w:tr>
      <w:tr w14:paraId="18FEB8A5">
        <w:tblPrEx>
          <w:tblCellMar>
            <w:top w:w="0" w:type="dxa"/>
            <w:left w:w="10" w:type="dxa"/>
            <w:bottom w:w="0" w:type="dxa"/>
            <w:right w:w="10" w:type="dxa"/>
          </w:tblCellMar>
        </w:tblPrEx>
        <w:trPr>
          <w:trHeight w:val="874" w:hRule="exact"/>
          <w:jc w:val="center"/>
        </w:trPr>
        <w:tc>
          <w:tcPr>
            <w:tcW w:w="1551" w:type="dxa"/>
            <w:gridSpan w:val="2"/>
            <w:tcBorders>
              <w:top w:val="single" w:color="auto" w:sz="4" w:space="0"/>
              <w:left w:val="single" w:color="auto" w:sz="4" w:space="0"/>
            </w:tcBorders>
            <w:shd w:val="clear" w:color="auto" w:fill="FFFFFF"/>
            <w:vAlign w:val="center"/>
          </w:tcPr>
          <w:p w14:paraId="77FE6360">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时间</w:t>
            </w:r>
          </w:p>
        </w:tc>
        <w:tc>
          <w:tcPr>
            <w:tcW w:w="3403" w:type="dxa"/>
            <w:gridSpan w:val="4"/>
            <w:tcBorders>
              <w:top w:val="single" w:color="auto" w:sz="4" w:space="0"/>
              <w:left w:val="single" w:color="auto" w:sz="4" w:space="0"/>
            </w:tcBorders>
            <w:shd w:val="clear" w:color="auto" w:fill="FFFFFF"/>
            <w:vAlign w:val="center"/>
          </w:tcPr>
          <w:p w14:paraId="4FCD4B7A">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参加过的类似项目</w:t>
            </w:r>
          </w:p>
        </w:tc>
        <w:tc>
          <w:tcPr>
            <w:tcW w:w="1258" w:type="dxa"/>
            <w:tcBorders>
              <w:top w:val="single" w:color="auto" w:sz="4" w:space="0"/>
              <w:left w:val="single" w:color="auto" w:sz="4" w:space="0"/>
            </w:tcBorders>
            <w:shd w:val="clear" w:color="auto" w:fill="FFFFFF"/>
            <w:vAlign w:val="center"/>
          </w:tcPr>
          <w:p w14:paraId="6F14092D">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7EC992E2">
            <w:pPr>
              <w:pStyle w:val="25"/>
              <w:adjustRightInd/>
              <w:spacing w:line="360" w:lineRule="auto"/>
              <w:ind w:firstLine="0"/>
              <w:jc w:val="center"/>
              <w:textAlignment w:val="auto"/>
              <w:rPr>
                <w:bCs/>
                <w:color w:val="auto"/>
                <w:sz w:val="24"/>
                <w:szCs w:val="24"/>
                <w:highlight w:val="none"/>
                <w:lang w:val="en-US" w:eastAsia="zh-CN" w:bidi="ar-SA"/>
              </w:rPr>
            </w:pPr>
            <w:r>
              <w:rPr>
                <w:rFonts w:hint="eastAsia"/>
                <w:bCs/>
                <w:color w:val="auto"/>
                <w:sz w:val="24"/>
                <w:szCs w:val="24"/>
                <w:highlight w:val="none"/>
                <w:lang w:val="en-US" w:eastAsia="zh-CN" w:bidi="ar-SA"/>
              </w:rPr>
              <w:t>发包人及联系电话</w:t>
            </w:r>
          </w:p>
        </w:tc>
      </w:tr>
      <w:tr w14:paraId="2F018F78">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FFFFFF"/>
            <w:vAlign w:val="center"/>
          </w:tcPr>
          <w:p w14:paraId="33717E05">
            <w:pPr>
              <w:rPr>
                <w:rFonts w:cs="宋体"/>
                <w:bCs/>
                <w:color w:val="auto"/>
                <w:szCs w:val="24"/>
                <w:highlight w:val="none"/>
              </w:rPr>
            </w:pPr>
          </w:p>
        </w:tc>
        <w:tc>
          <w:tcPr>
            <w:tcW w:w="3403" w:type="dxa"/>
            <w:gridSpan w:val="4"/>
            <w:tcBorders>
              <w:top w:val="single" w:color="auto" w:sz="4" w:space="0"/>
              <w:left w:val="single" w:color="auto" w:sz="4" w:space="0"/>
              <w:bottom w:val="single" w:color="auto" w:sz="4" w:space="0"/>
            </w:tcBorders>
            <w:shd w:val="clear" w:color="auto" w:fill="FFFFFF"/>
            <w:vAlign w:val="center"/>
          </w:tcPr>
          <w:p w14:paraId="374AFDF5">
            <w:pPr>
              <w:rPr>
                <w:rFonts w:cs="宋体"/>
                <w:bCs/>
                <w:color w:val="auto"/>
                <w:szCs w:val="24"/>
                <w:highlight w:val="none"/>
              </w:rPr>
            </w:pPr>
          </w:p>
        </w:tc>
        <w:tc>
          <w:tcPr>
            <w:tcW w:w="1258" w:type="dxa"/>
            <w:tcBorders>
              <w:top w:val="single" w:color="auto" w:sz="4" w:space="0"/>
              <w:left w:val="single" w:color="auto" w:sz="4" w:space="0"/>
              <w:bottom w:val="single" w:color="auto" w:sz="4" w:space="0"/>
            </w:tcBorders>
            <w:shd w:val="clear" w:color="auto" w:fill="FFFFFF"/>
            <w:vAlign w:val="center"/>
          </w:tcPr>
          <w:p w14:paraId="03FB16E5">
            <w:pPr>
              <w:rPr>
                <w:rFonts w:cs="宋体"/>
                <w:bCs/>
                <w:color w:val="auto"/>
                <w:szCs w:val="24"/>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88B496">
            <w:pPr>
              <w:rPr>
                <w:rFonts w:cs="宋体"/>
                <w:bCs/>
                <w:color w:val="auto"/>
                <w:szCs w:val="24"/>
                <w:highlight w:val="none"/>
              </w:rPr>
            </w:pPr>
          </w:p>
        </w:tc>
      </w:tr>
      <w:tr w14:paraId="71B27FF5">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FFFFFF"/>
            <w:vAlign w:val="center"/>
          </w:tcPr>
          <w:p w14:paraId="6DC6E59D">
            <w:pPr>
              <w:rPr>
                <w:rFonts w:cs="宋体"/>
                <w:bCs/>
                <w:color w:val="auto"/>
                <w:szCs w:val="24"/>
                <w:highlight w:val="none"/>
              </w:rPr>
            </w:pPr>
          </w:p>
        </w:tc>
        <w:tc>
          <w:tcPr>
            <w:tcW w:w="3403" w:type="dxa"/>
            <w:gridSpan w:val="4"/>
            <w:tcBorders>
              <w:top w:val="single" w:color="auto" w:sz="4" w:space="0"/>
              <w:left w:val="single" w:color="auto" w:sz="4" w:space="0"/>
              <w:bottom w:val="single" w:color="auto" w:sz="4" w:space="0"/>
            </w:tcBorders>
            <w:shd w:val="clear" w:color="auto" w:fill="FFFFFF"/>
            <w:vAlign w:val="center"/>
          </w:tcPr>
          <w:p w14:paraId="2486B5EB">
            <w:pPr>
              <w:rPr>
                <w:rFonts w:cs="宋体"/>
                <w:bCs/>
                <w:color w:val="auto"/>
                <w:szCs w:val="24"/>
                <w:highlight w:val="none"/>
              </w:rPr>
            </w:pPr>
          </w:p>
        </w:tc>
        <w:tc>
          <w:tcPr>
            <w:tcW w:w="1258" w:type="dxa"/>
            <w:tcBorders>
              <w:top w:val="single" w:color="auto" w:sz="4" w:space="0"/>
              <w:left w:val="single" w:color="auto" w:sz="4" w:space="0"/>
              <w:bottom w:val="single" w:color="auto" w:sz="4" w:space="0"/>
            </w:tcBorders>
            <w:shd w:val="clear" w:color="auto" w:fill="FFFFFF"/>
            <w:vAlign w:val="center"/>
          </w:tcPr>
          <w:p w14:paraId="413447A2">
            <w:pPr>
              <w:rPr>
                <w:rFonts w:cs="宋体"/>
                <w:bCs/>
                <w:color w:val="auto"/>
                <w:szCs w:val="24"/>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4F6766">
            <w:pPr>
              <w:rPr>
                <w:rFonts w:cs="宋体"/>
                <w:bCs/>
                <w:color w:val="auto"/>
                <w:szCs w:val="24"/>
                <w:highlight w:val="none"/>
              </w:rPr>
            </w:pPr>
          </w:p>
        </w:tc>
      </w:tr>
      <w:tr w14:paraId="6C08BA31">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FFFFFF"/>
            <w:vAlign w:val="center"/>
          </w:tcPr>
          <w:p w14:paraId="12439E9C">
            <w:pPr>
              <w:rPr>
                <w:rFonts w:cs="宋体"/>
                <w:bCs/>
                <w:color w:val="auto"/>
                <w:szCs w:val="24"/>
                <w:highlight w:val="none"/>
              </w:rPr>
            </w:pPr>
          </w:p>
        </w:tc>
        <w:tc>
          <w:tcPr>
            <w:tcW w:w="3403" w:type="dxa"/>
            <w:gridSpan w:val="4"/>
            <w:tcBorders>
              <w:top w:val="single" w:color="auto" w:sz="4" w:space="0"/>
              <w:left w:val="single" w:color="auto" w:sz="4" w:space="0"/>
              <w:bottom w:val="single" w:color="auto" w:sz="4" w:space="0"/>
            </w:tcBorders>
            <w:shd w:val="clear" w:color="auto" w:fill="FFFFFF"/>
            <w:vAlign w:val="center"/>
          </w:tcPr>
          <w:p w14:paraId="1EA342D3">
            <w:pPr>
              <w:rPr>
                <w:rFonts w:cs="宋体"/>
                <w:bCs/>
                <w:color w:val="auto"/>
                <w:szCs w:val="24"/>
                <w:highlight w:val="none"/>
              </w:rPr>
            </w:pPr>
          </w:p>
        </w:tc>
        <w:tc>
          <w:tcPr>
            <w:tcW w:w="1258" w:type="dxa"/>
            <w:tcBorders>
              <w:top w:val="single" w:color="auto" w:sz="4" w:space="0"/>
              <w:left w:val="single" w:color="auto" w:sz="4" w:space="0"/>
              <w:bottom w:val="single" w:color="auto" w:sz="4" w:space="0"/>
            </w:tcBorders>
            <w:shd w:val="clear" w:color="auto" w:fill="FFFFFF"/>
            <w:vAlign w:val="center"/>
          </w:tcPr>
          <w:p w14:paraId="47DA89C1">
            <w:pPr>
              <w:rPr>
                <w:rFonts w:cs="宋体"/>
                <w:bCs/>
                <w:color w:val="auto"/>
                <w:szCs w:val="24"/>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B130F7">
            <w:pPr>
              <w:rPr>
                <w:rFonts w:cs="宋体"/>
                <w:bCs/>
                <w:color w:val="auto"/>
                <w:szCs w:val="24"/>
                <w:highlight w:val="none"/>
              </w:rPr>
            </w:pPr>
          </w:p>
        </w:tc>
      </w:tr>
      <w:tr w14:paraId="73F6961A">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FFFFFF"/>
            <w:vAlign w:val="center"/>
          </w:tcPr>
          <w:p w14:paraId="106EFD7A">
            <w:pPr>
              <w:rPr>
                <w:rFonts w:cs="宋体"/>
                <w:bCs/>
                <w:color w:val="auto"/>
                <w:szCs w:val="24"/>
                <w:highlight w:val="none"/>
              </w:rPr>
            </w:pPr>
          </w:p>
        </w:tc>
        <w:tc>
          <w:tcPr>
            <w:tcW w:w="3403" w:type="dxa"/>
            <w:gridSpan w:val="4"/>
            <w:tcBorders>
              <w:top w:val="single" w:color="auto" w:sz="4" w:space="0"/>
              <w:left w:val="single" w:color="auto" w:sz="4" w:space="0"/>
              <w:bottom w:val="single" w:color="auto" w:sz="4" w:space="0"/>
            </w:tcBorders>
            <w:shd w:val="clear" w:color="auto" w:fill="FFFFFF"/>
            <w:vAlign w:val="center"/>
          </w:tcPr>
          <w:p w14:paraId="6C39A792">
            <w:pPr>
              <w:rPr>
                <w:rFonts w:cs="宋体"/>
                <w:bCs/>
                <w:color w:val="auto"/>
                <w:szCs w:val="24"/>
                <w:highlight w:val="none"/>
              </w:rPr>
            </w:pPr>
          </w:p>
        </w:tc>
        <w:tc>
          <w:tcPr>
            <w:tcW w:w="1258" w:type="dxa"/>
            <w:tcBorders>
              <w:top w:val="single" w:color="auto" w:sz="4" w:space="0"/>
              <w:left w:val="single" w:color="auto" w:sz="4" w:space="0"/>
              <w:bottom w:val="single" w:color="auto" w:sz="4" w:space="0"/>
            </w:tcBorders>
            <w:shd w:val="clear" w:color="auto" w:fill="FFFFFF"/>
            <w:vAlign w:val="center"/>
          </w:tcPr>
          <w:p w14:paraId="41BA369C">
            <w:pPr>
              <w:rPr>
                <w:rFonts w:cs="宋体"/>
                <w:bCs/>
                <w:color w:val="auto"/>
                <w:szCs w:val="24"/>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7B3D6A">
            <w:pPr>
              <w:rPr>
                <w:rFonts w:cs="宋体"/>
                <w:bCs/>
                <w:color w:val="auto"/>
                <w:szCs w:val="24"/>
                <w:highlight w:val="none"/>
              </w:rPr>
            </w:pPr>
          </w:p>
        </w:tc>
      </w:tr>
      <w:tr w14:paraId="52E61F4F">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FFFFFF"/>
            <w:vAlign w:val="center"/>
          </w:tcPr>
          <w:p w14:paraId="429AE4E1">
            <w:pPr>
              <w:rPr>
                <w:rFonts w:cs="宋体"/>
                <w:bCs/>
                <w:color w:val="auto"/>
                <w:szCs w:val="24"/>
                <w:highlight w:val="none"/>
              </w:rPr>
            </w:pPr>
          </w:p>
        </w:tc>
        <w:tc>
          <w:tcPr>
            <w:tcW w:w="3403" w:type="dxa"/>
            <w:gridSpan w:val="4"/>
            <w:tcBorders>
              <w:top w:val="single" w:color="auto" w:sz="4" w:space="0"/>
              <w:left w:val="single" w:color="auto" w:sz="4" w:space="0"/>
              <w:bottom w:val="single" w:color="auto" w:sz="4" w:space="0"/>
            </w:tcBorders>
            <w:shd w:val="clear" w:color="auto" w:fill="FFFFFF"/>
            <w:vAlign w:val="center"/>
          </w:tcPr>
          <w:p w14:paraId="754F5460">
            <w:pPr>
              <w:rPr>
                <w:rFonts w:cs="宋体"/>
                <w:bCs/>
                <w:color w:val="auto"/>
                <w:szCs w:val="24"/>
                <w:highlight w:val="none"/>
              </w:rPr>
            </w:pPr>
          </w:p>
        </w:tc>
        <w:tc>
          <w:tcPr>
            <w:tcW w:w="1258" w:type="dxa"/>
            <w:tcBorders>
              <w:top w:val="single" w:color="auto" w:sz="4" w:space="0"/>
              <w:left w:val="single" w:color="auto" w:sz="4" w:space="0"/>
              <w:bottom w:val="single" w:color="auto" w:sz="4" w:space="0"/>
            </w:tcBorders>
            <w:shd w:val="clear" w:color="auto" w:fill="FFFFFF"/>
            <w:vAlign w:val="center"/>
          </w:tcPr>
          <w:p w14:paraId="1C9B7DD9">
            <w:pPr>
              <w:rPr>
                <w:rFonts w:cs="宋体"/>
                <w:bCs/>
                <w:color w:val="auto"/>
                <w:szCs w:val="24"/>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F3F7FA3">
            <w:pPr>
              <w:rPr>
                <w:rFonts w:cs="宋体"/>
                <w:bCs/>
                <w:color w:val="auto"/>
                <w:szCs w:val="24"/>
                <w:highlight w:val="none"/>
              </w:rPr>
            </w:pPr>
          </w:p>
        </w:tc>
      </w:tr>
    </w:tbl>
    <w:p w14:paraId="2D8F94D5">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bCs/>
          <w:color w:val="auto"/>
          <w:sz w:val="16"/>
          <w:szCs w:val="16"/>
          <w:highlight w:val="none"/>
        </w:rPr>
      </w:pPr>
    </w:p>
    <w:p w14:paraId="3A820C46">
      <w:pPr>
        <w:rPr>
          <w:rFonts w:cs="宋体"/>
          <w:bCs/>
          <w:color w:val="auto"/>
          <w:szCs w:val="24"/>
          <w:highlight w:val="none"/>
        </w:rPr>
      </w:pPr>
      <w:r>
        <w:rPr>
          <w:rFonts w:hint="eastAsia" w:cs="宋体"/>
          <w:bCs/>
          <w:color w:val="auto"/>
          <w:szCs w:val="24"/>
          <w:highlight w:val="none"/>
        </w:rPr>
        <w:t>备注：本表后附相关资信证件复印件</w:t>
      </w:r>
    </w:p>
    <w:p w14:paraId="5B2F5C25">
      <w:pPr>
        <w:rPr>
          <w:rFonts w:cs="宋体"/>
          <w:bCs/>
          <w:color w:val="auto"/>
          <w:szCs w:val="24"/>
          <w:highlight w:val="none"/>
        </w:rPr>
        <w:sectPr>
          <w:pgSz w:w="11906" w:h="16838"/>
          <w:pgMar w:top="1440" w:right="1440" w:bottom="1440" w:left="1440" w:header="624" w:footer="992" w:gutter="0"/>
          <w:pgNumType w:fmt="decimal"/>
          <w:cols w:space="425" w:num="1"/>
          <w:rtlGutter w:val="0"/>
          <w:docGrid w:type="lines" w:linePitch="312" w:charSpace="0"/>
        </w:sectPr>
      </w:pPr>
    </w:p>
    <w:p w14:paraId="2DC32828">
      <w:pPr>
        <w:pStyle w:val="4"/>
        <w:rPr>
          <w:rFonts w:cs="宋体"/>
          <w:color w:val="auto"/>
          <w:highlight w:val="none"/>
        </w:rPr>
      </w:pPr>
      <w:r>
        <w:rPr>
          <w:rFonts w:hint="eastAsia" w:cs="宋体"/>
          <w:color w:val="auto"/>
          <w:highlight w:val="none"/>
        </w:rPr>
        <w:t>6.技术服务方案</w:t>
      </w:r>
    </w:p>
    <w:p w14:paraId="4E5D30F7">
      <w:pPr>
        <w:pStyle w:val="7"/>
        <w:ind w:firstLine="480"/>
        <w:rPr>
          <w:rFonts w:cs="宋体"/>
          <w:color w:val="auto"/>
          <w:highlight w:val="none"/>
        </w:rPr>
      </w:pPr>
      <w:r>
        <w:rPr>
          <w:rFonts w:hint="eastAsia" w:cs="宋体"/>
          <w:color w:val="auto"/>
          <w:highlight w:val="none"/>
        </w:rPr>
        <w:t>格式自拟</w:t>
      </w:r>
    </w:p>
    <w:p w14:paraId="788C236F">
      <w:pPr>
        <w:tabs>
          <w:tab w:val="left" w:pos="567"/>
        </w:tabs>
        <w:topLinePunct/>
        <w:autoSpaceDE w:val="0"/>
        <w:autoSpaceDN w:val="0"/>
        <w:adjustRightInd/>
        <w:snapToGrid w:val="0"/>
        <w:spacing w:line="420" w:lineRule="exact"/>
        <w:ind w:firstLine="204" w:firstLineChars="85"/>
        <w:jc w:val="both"/>
        <w:textAlignment w:val="auto"/>
        <w:rPr>
          <w:rFonts w:cs="宋体"/>
          <w:color w:val="auto"/>
          <w:highlight w:val="none"/>
        </w:rPr>
        <w:sectPr>
          <w:pgSz w:w="11906" w:h="16838"/>
          <w:pgMar w:top="1440" w:right="1440" w:bottom="1440" w:left="1440" w:header="624" w:footer="992" w:gutter="0"/>
          <w:pgNumType w:fmt="decimal"/>
          <w:cols w:space="425" w:num="1"/>
          <w:rtlGutter w:val="0"/>
          <w:docGrid w:type="lines" w:linePitch="312" w:charSpace="0"/>
        </w:sectPr>
      </w:pPr>
    </w:p>
    <w:p w14:paraId="0FCE314E">
      <w:pPr>
        <w:pStyle w:val="4"/>
        <w:rPr>
          <w:rFonts w:cs="宋体"/>
          <w:color w:val="auto"/>
          <w:highlight w:val="none"/>
        </w:rPr>
      </w:pPr>
      <w:r>
        <w:rPr>
          <w:rFonts w:hint="eastAsia" w:cs="宋体"/>
          <w:color w:val="auto"/>
          <w:highlight w:val="none"/>
        </w:rPr>
        <w:t>7.供应商认为需要提供的其他商务、技术材料</w:t>
      </w:r>
    </w:p>
    <w:p w14:paraId="5E63BC35">
      <w:pPr>
        <w:adjustRightInd/>
        <w:jc w:val="center"/>
        <w:textAlignment w:val="auto"/>
        <w:rPr>
          <w:rFonts w:cs="宋体"/>
          <w:b/>
          <w:bCs/>
          <w:color w:val="auto"/>
          <w:szCs w:val="24"/>
          <w:highlight w:val="none"/>
          <w:lang w:bidi="en-US"/>
        </w:rPr>
      </w:pPr>
    </w:p>
    <w:p w14:paraId="08FD6CB6">
      <w:pPr>
        <w:pStyle w:val="7"/>
        <w:spacing w:line="500" w:lineRule="exact"/>
        <w:ind w:left="0" w:leftChars="0" w:firstLine="0" w:firstLineChars="0"/>
        <w:rPr>
          <w:rFonts w:cs="宋体"/>
          <w:b/>
          <w:bCs/>
          <w:color w:val="auto"/>
          <w:highlight w:val="none"/>
          <w:lang w:val="fr-FR"/>
        </w:rPr>
      </w:pPr>
    </w:p>
    <w:sectPr>
      <w:pgSz w:w="11906" w:h="16838"/>
      <w:pgMar w:top="1440" w:right="1440" w:bottom="1440" w:left="1440" w:header="624" w:footer="992" w:gutter="0"/>
      <w:pgNumType w:fmt="decimal"/>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548D">
    <w:pPr>
      <w:pStyle w:val="10"/>
      <w:jc w:val="center"/>
    </w:pPr>
    <w:r>
      <w:rPr>
        <w:rFonts w:hint="eastAsia"/>
      </w:rPr>
      <w:t>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147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42A7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442A7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AA8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6F55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66F55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D6941">
    <w:pPr>
      <w:pStyle w:val="12"/>
      <w:pBdr>
        <w:bottom w:val="none" w:color="auto" w:sz="0" w:space="1"/>
      </w:pBdr>
      <w:rPr>
        <w:rFonts w:hint="eastAsia" w:eastAsia="宋体"/>
        <w:lang w:eastAsia="zh-CN"/>
      </w:rPr>
    </w:pPr>
    <w:r>
      <w:rPr>
        <w:rFonts w:hint="eastAsia"/>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B4B8">
    <w:pPr>
      <w:pStyle w:val="12"/>
      <w:pBdr>
        <w:bottom w:val="none" w:color="auto" w:sz="0" w:space="1"/>
      </w:pBdr>
      <w:rPr>
        <w:rFonts w:hint="eastAsia" w:eastAsia="宋体"/>
        <w:b/>
        <w:bCs/>
        <w:lang w:eastAsia="zh-CN"/>
      </w:rPr>
    </w:pPr>
    <w:r>
      <w:rPr>
        <w:rFonts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6E696"/>
    <w:multiLevelType w:val="singleLevel"/>
    <w:tmpl w:val="8D36E696"/>
    <w:lvl w:ilvl="0" w:tentative="0">
      <w:start w:val="2"/>
      <w:numFmt w:val="decimal"/>
      <w:suff w:val="nothing"/>
      <w:lvlText w:val="%1、"/>
      <w:lvlJc w:val="left"/>
    </w:lvl>
  </w:abstractNum>
  <w:abstractNum w:abstractNumId="1">
    <w:nsid w:val="9BC05F4E"/>
    <w:multiLevelType w:val="singleLevel"/>
    <w:tmpl w:val="9BC05F4E"/>
    <w:lvl w:ilvl="0" w:tentative="0">
      <w:start w:val="1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2Y0YmI4OWMzNmMwZDU3ZTc2ZjZiZDRhZjUxMjkifQ=="/>
  </w:docVars>
  <w:rsids>
    <w:rsidRoot w:val="00172A27"/>
    <w:rsid w:val="000471FE"/>
    <w:rsid w:val="00172A27"/>
    <w:rsid w:val="00250F33"/>
    <w:rsid w:val="003578E1"/>
    <w:rsid w:val="004D6899"/>
    <w:rsid w:val="00657F3B"/>
    <w:rsid w:val="00867FFD"/>
    <w:rsid w:val="0087167F"/>
    <w:rsid w:val="00AB3197"/>
    <w:rsid w:val="00AB7314"/>
    <w:rsid w:val="00DA337B"/>
    <w:rsid w:val="00FC206D"/>
    <w:rsid w:val="0153582F"/>
    <w:rsid w:val="018E7169"/>
    <w:rsid w:val="01A3073B"/>
    <w:rsid w:val="01AD2ED4"/>
    <w:rsid w:val="01BD17FD"/>
    <w:rsid w:val="01D6466C"/>
    <w:rsid w:val="01ED7025"/>
    <w:rsid w:val="01F33470"/>
    <w:rsid w:val="01F52375"/>
    <w:rsid w:val="027F2F56"/>
    <w:rsid w:val="02A14C7A"/>
    <w:rsid w:val="02BF15A4"/>
    <w:rsid w:val="02E81B31"/>
    <w:rsid w:val="030D2310"/>
    <w:rsid w:val="0374238F"/>
    <w:rsid w:val="03BE360A"/>
    <w:rsid w:val="04161698"/>
    <w:rsid w:val="042913CB"/>
    <w:rsid w:val="04404C6C"/>
    <w:rsid w:val="04415C0A"/>
    <w:rsid w:val="04437768"/>
    <w:rsid w:val="04504BAA"/>
    <w:rsid w:val="045A3333"/>
    <w:rsid w:val="04793E4C"/>
    <w:rsid w:val="04B14F1D"/>
    <w:rsid w:val="04C17856"/>
    <w:rsid w:val="04F01EE9"/>
    <w:rsid w:val="052D1FA4"/>
    <w:rsid w:val="0548762F"/>
    <w:rsid w:val="05D62E8D"/>
    <w:rsid w:val="05FB28F4"/>
    <w:rsid w:val="0619183A"/>
    <w:rsid w:val="0619721E"/>
    <w:rsid w:val="061F2A86"/>
    <w:rsid w:val="0636392C"/>
    <w:rsid w:val="06540256"/>
    <w:rsid w:val="066E05B6"/>
    <w:rsid w:val="071D689A"/>
    <w:rsid w:val="071F6AB6"/>
    <w:rsid w:val="07267E44"/>
    <w:rsid w:val="075229E7"/>
    <w:rsid w:val="07DC380D"/>
    <w:rsid w:val="07E775D3"/>
    <w:rsid w:val="081B727D"/>
    <w:rsid w:val="0827779D"/>
    <w:rsid w:val="08387E2F"/>
    <w:rsid w:val="08534C69"/>
    <w:rsid w:val="0854453D"/>
    <w:rsid w:val="086329D2"/>
    <w:rsid w:val="087B583A"/>
    <w:rsid w:val="08F17FDE"/>
    <w:rsid w:val="08F71A98"/>
    <w:rsid w:val="09173EE8"/>
    <w:rsid w:val="0935436E"/>
    <w:rsid w:val="09434CDD"/>
    <w:rsid w:val="0963178D"/>
    <w:rsid w:val="099217C1"/>
    <w:rsid w:val="09FB1114"/>
    <w:rsid w:val="09FC5CFF"/>
    <w:rsid w:val="0A200B7B"/>
    <w:rsid w:val="0A4505E1"/>
    <w:rsid w:val="0A5B4037"/>
    <w:rsid w:val="0A5F5B47"/>
    <w:rsid w:val="0A9F23E7"/>
    <w:rsid w:val="0AA74DF8"/>
    <w:rsid w:val="0AC95F16"/>
    <w:rsid w:val="0AF12517"/>
    <w:rsid w:val="0AF67B2D"/>
    <w:rsid w:val="0B1F7084"/>
    <w:rsid w:val="0B2C17A1"/>
    <w:rsid w:val="0B786794"/>
    <w:rsid w:val="0B7E5F32"/>
    <w:rsid w:val="0B813DCE"/>
    <w:rsid w:val="0BBE4AEF"/>
    <w:rsid w:val="0BD04822"/>
    <w:rsid w:val="0BE33CF4"/>
    <w:rsid w:val="0C1741FF"/>
    <w:rsid w:val="0C283F64"/>
    <w:rsid w:val="0C711B61"/>
    <w:rsid w:val="0C8573BB"/>
    <w:rsid w:val="0C8A677F"/>
    <w:rsid w:val="0CB67574"/>
    <w:rsid w:val="0CBE28CD"/>
    <w:rsid w:val="0CFD51A3"/>
    <w:rsid w:val="0D1129FD"/>
    <w:rsid w:val="0D4A5F0F"/>
    <w:rsid w:val="0D69568B"/>
    <w:rsid w:val="0D7731A8"/>
    <w:rsid w:val="0D887163"/>
    <w:rsid w:val="0DAB23BC"/>
    <w:rsid w:val="0DB00467"/>
    <w:rsid w:val="0DCA31C6"/>
    <w:rsid w:val="0E146C48"/>
    <w:rsid w:val="0E3A01A6"/>
    <w:rsid w:val="0E4312DC"/>
    <w:rsid w:val="0E455054"/>
    <w:rsid w:val="0E5C05EF"/>
    <w:rsid w:val="0E715598"/>
    <w:rsid w:val="0ED70174"/>
    <w:rsid w:val="0EFD7E98"/>
    <w:rsid w:val="0F0A004B"/>
    <w:rsid w:val="0F1D38DB"/>
    <w:rsid w:val="0F3A3A29"/>
    <w:rsid w:val="0F40581B"/>
    <w:rsid w:val="0F696B20"/>
    <w:rsid w:val="0FBC1346"/>
    <w:rsid w:val="102852EB"/>
    <w:rsid w:val="102D3FF1"/>
    <w:rsid w:val="10645539"/>
    <w:rsid w:val="10685029"/>
    <w:rsid w:val="108F25B6"/>
    <w:rsid w:val="109220A6"/>
    <w:rsid w:val="10AB2ADB"/>
    <w:rsid w:val="10C04E65"/>
    <w:rsid w:val="10E8616A"/>
    <w:rsid w:val="110F1949"/>
    <w:rsid w:val="11547833"/>
    <w:rsid w:val="117E335D"/>
    <w:rsid w:val="117E5E93"/>
    <w:rsid w:val="11AB6040"/>
    <w:rsid w:val="11B00A36"/>
    <w:rsid w:val="11F254F3"/>
    <w:rsid w:val="120448F1"/>
    <w:rsid w:val="12103BCB"/>
    <w:rsid w:val="125A4E46"/>
    <w:rsid w:val="12811179"/>
    <w:rsid w:val="12A52565"/>
    <w:rsid w:val="12BC165D"/>
    <w:rsid w:val="12EA61CA"/>
    <w:rsid w:val="12F105C7"/>
    <w:rsid w:val="130C3149"/>
    <w:rsid w:val="130D1EB8"/>
    <w:rsid w:val="135950FD"/>
    <w:rsid w:val="13637D2A"/>
    <w:rsid w:val="138A418C"/>
    <w:rsid w:val="13B75003"/>
    <w:rsid w:val="14412BB5"/>
    <w:rsid w:val="14773A8D"/>
    <w:rsid w:val="148A7C64"/>
    <w:rsid w:val="14956609"/>
    <w:rsid w:val="14B46A8F"/>
    <w:rsid w:val="14BF4364"/>
    <w:rsid w:val="14F11A91"/>
    <w:rsid w:val="15712BD2"/>
    <w:rsid w:val="159348F7"/>
    <w:rsid w:val="15B900D5"/>
    <w:rsid w:val="164756E1"/>
    <w:rsid w:val="16500A3A"/>
    <w:rsid w:val="1658169C"/>
    <w:rsid w:val="16893F4C"/>
    <w:rsid w:val="16C136E5"/>
    <w:rsid w:val="170450F8"/>
    <w:rsid w:val="175400B6"/>
    <w:rsid w:val="1763479D"/>
    <w:rsid w:val="177922F0"/>
    <w:rsid w:val="177B7F9C"/>
    <w:rsid w:val="179149C3"/>
    <w:rsid w:val="17920BDE"/>
    <w:rsid w:val="18041ADC"/>
    <w:rsid w:val="18167A61"/>
    <w:rsid w:val="181D2B9D"/>
    <w:rsid w:val="186C7EA6"/>
    <w:rsid w:val="188B3FAB"/>
    <w:rsid w:val="189A2440"/>
    <w:rsid w:val="18A706B9"/>
    <w:rsid w:val="18C15C1F"/>
    <w:rsid w:val="18DA32B5"/>
    <w:rsid w:val="190653E0"/>
    <w:rsid w:val="19081EBB"/>
    <w:rsid w:val="190855FC"/>
    <w:rsid w:val="192A5572"/>
    <w:rsid w:val="196B7938"/>
    <w:rsid w:val="19BA0C94"/>
    <w:rsid w:val="19BC3D6B"/>
    <w:rsid w:val="1A0C2EC9"/>
    <w:rsid w:val="1A116732"/>
    <w:rsid w:val="1A28651B"/>
    <w:rsid w:val="1A706014"/>
    <w:rsid w:val="1A907657"/>
    <w:rsid w:val="1AA44EB0"/>
    <w:rsid w:val="1AB8095B"/>
    <w:rsid w:val="1ACE218B"/>
    <w:rsid w:val="1AE710A6"/>
    <w:rsid w:val="1AE71241"/>
    <w:rsid w:val="1AE856E5"/>
    <w:rsid w:val="1B207F49"/>
    <w:rsid w:val="1B375D24"/>
    <w:rsid w:val="1B684130"/>
    <w:rsid w:val="1BDA7D76"/>
    <w:rsid w:val="1BF14125"/>
    <w:rsid w:val="1C1C4F1A"/>
    <w:rsid w:val="1C250273"/>
    <w:rsid w:val="1C33473D"/>
    <w:rsid w:val="1C3B5B2F"/>
    <w:rsid w:val="1C3E1F2C"/>
    <w:rsid w:val="1C4050AC"/>
    <w:rsid w:val="1C424981"/>
    <w:rsid w:val="1C5823F6"/>
    <w:rsid w:val="1CA97820"/>
    <w:rsid w:val="1CC655B2"/>
    <w:rsid w:val="1CF3211F"/>
    <w:rsid w:val="1D04432C"/>
    <w:rsid w:val="1D2B6EEF"/>
    <w:rsid w:val="1D2D7103"/>
    <w:rsid w:val="1D37025D"/>
    <w:rsid w:val="1D497F91"/>
    <w:rsid w:val="1D4A4388"/>
    <w:rsid w:val="1D4D7A81"/>
    <w:rsid w:val="1D57445C"/>
    <w:rsid w:val="1D97350C"/>
    <w:rsid w:val="1D9751A0"/>
    <w:rsid w:val="1DB830C3"/>
    <w:rsid w:val="1DCD471E"/>
    <w:rsid w:val="1E002D45"/>
    <w:rsid w:val="1E403142"/>
    <w:rsid w:val="1E426EBA"/>
    <w:rsid w:val="1E4426D4"/>
    <w:rsid w:val="1E51534F"/>
    <w:rsid w:val="1E733517"/>
    <w:rsid w:val="1E892D3B"/>
    <w:rsid w:val="1ED55F80"/>
    <w:rsid w:val="1EFA59E6"/>
    <w:rsid w:val="1F2649AF"/>
    <w:rsid w:val="1F274302"/>
    <w:rsid w:val="1F374545"/>
    <w:rsid w:val="1F511C17"/>
    <w:rsid w:val="1F59095F"/>
    <w:rsid w:val="1F7807B2"/>
    <w:rsid w:val="1F9C4CF0"/>
    <w:rsid w:val="1FB55D05"/>
    <w:rsid w:val="1FEA5A5B"/>
    <w:rsid w:val="1FF22B62"/>
    <w:rsid w:val="200A1C59"/>
    <w:rsid w:val="200E6DAA"/>
    <w:rsid w:val="200F101E"/>
    <w:rsid w:val="202B1BD0"/>
    <w:rsid w:val="203B1E13"/>
    <w:rsid w:val="203E1903"/>
    <w:rsid w:val="205630F0"/>
    <w:rsid w:val="20875DE4"/>
    <w:rsid w:val="20A83220"/>
    <w:rsid w:val="20AC4ABE"/>
    <w:rsid w:val="20E73D48"/>
    <w:rsid w:val="20F6042F"/>
    <w:rsid w:val="21046ED6"/>
    <w:rsid w:val="21313216"/>
    <w:rsid w:val="21486EDD"/>
    <w:rsid w:val="21556F04"/>
    <w:rsid w:val="216655B5"/>
    <w:rsid w:val="21AE4866"/>
    <w:rsid w:val="21B31E7D"/>
    <w:rsid w:val="21F91F85"/>
    <w:rsid w:val="22105521"/>
    <w:rsid w:val="2221328A"/>
    <w:rsid w:val="22573150"/>
    <w:rsid w:val="2264275B"/>
    <w:rsid w:val="2265586D"/>
    <w:rsid w:val="226A2E83"/>
    <w:rsid w:val="227710FC"/>
    <w:rsid w:val="229B5462"/>
    <w:rsid w:val="22C5455D"/>
    <w:rsid w:val="22C8590B"/>
    <w:rsid w:val="22D70C31"/>
    <w:rsid w:val="22DB6740"/>
    <w:rsid w:val="22EE5862"/>
    <w:rsid w:val="23272B22"/>
    <w:rsid w:val="232A43C0"/>
    <w:rsid w:val="23492A98"/>
    <w:rsid w:val="23902475"/>
    <w:rsid w:val="23955CDE"/>
    <w:rsid w:val="23AE4FF1"/>
    <w:rsid w:val="23BD58B7"/>
    <w:rsid w:val="23D90F32"/>
    <w:rsid w:val="23E80503"/>
    <w:rsid w:val="23F5677C"/>
    <w:rsid w:val="23FE1AD5"/>
    <w:rsid w:val="240E5B84"/>
    <w:rsid w:val="241E2177"/>
    <w:rsid w:val="24443444"/>
    <w:rsid w:val="24480FA2"/>
    <w:rsid w:val="247578BD"/>
    <w:rsid w:val="24975A86"/>
    <w:rsid w:val="249A4A84"/>
    <w:rsid w:val="24C34ACD"/>
    <w:rsid w:val="24C85C3F"/>
    <w:rsid w:val="24CF6FCD"/>
    <w:rsid w:val="250C5C5E"/>
    <w:rsid w:val="252D1986"/>
    <w:rsid w:val="254C7172"/>
    <w:rsid w:val="259501CB"/>
    <w:rsid w:val="25C805EC"/>
    <w:rsid w:val="25CE3729"/>
    <w:rsid w:val="25F5515A"/>
    <w:rsid w:val="25FD7B6A"/>
    <w:rsid w:val="26025181"/>
    <w:rsid w:val="260C1E0E"/>
    <w:rsid w:val="261C6242"/>
    <w:rsid w:val="267C2649"/>
    <w:rsid w:val="268D0EEE"/>
    <w:rsid w:val="26A12BEB"/>
    <w:rsid w:val="26CF33EE"/>
    <w:rsid w:val="26FD43A2"/>
    <w:rsid w:val="26FE1DA7"/>
    <w:rsid w:val="271251B0"/>
    <w:rsid w:val="2725381D"/>
    <w:rsid w:val="273245C8"/>
    <w:rsid w:val="27374C7D"/>
    <w:rsid w:val="27455C6D"/>
    <w:rsid w:val="276854B7"/>
    <w:rsid w:val="27707328"/>
    <w:rsid w:val="27A42993"/>
    <w:rsid w:val="27C6290A"/>
    <w:rsid w:val="27D36DD5"/>
    <w:rsid w:val="280430C8"/>
    <w:rsid w:val="282E04AF"/>
    <w:rsid w:val="2838132E"/>
    <w:rsid w:val="285C6DCA"/>
    <w:rsid w:val="28844573"/>
    <w:rsid w:val="28AB0D8E"/>
    <w:rsid w:val="28B05368"/>
    <w:rsid w:val="28CF1C92"/>
    <w:rsid w:val="28D21782"/>
    <w:rsid w:val="290556B4"/>
    <w:rsid w:val="29211DC2"/>
    <w:rsid w:val="2927562A"/>
    <w:rsid w:val="29455AB0"/>
    <w:rsid w:val="296E036D"/>
    <w:rsid w:val="2987431B"/>
    <w:rsid w:val="29910CF5"/>
    <w:rsid w:val="29AD788C"/>
    <w:rsid w:val="29DB01C2"/>
    <w:rsid w:val="2A184B9A"/>
    <w:rsid w:val="2A1C2CB5"/>
    <w:rsid w:val="2A4E4E38"/>
    <w:rsid w:val="2A587A65"/>
    <w:rsid w:val="2A612DBE"/>
    <w:rsid w:val="2A9D36CA"/>
    <w:rsid w:val="2ACB46DB"/>
    <w:rsid w:val="2ACD3FAF"/>
    <w:rsid w:val="2AEB7B25"/>
    <w:rsid w:val="2B3A7BF8"/>
    <w:rsid w:val="2B3F257D"/>
    <w:rsid w:val="2B8E0140"/>
    <w:rsid w:val="2BAD5B8F"/>
    <w:rsid w:val="2BAE3DE1"/>
    <w:rsid w:val="2BCF3D57"/>
    <w:rsid w:val="2BE07D12"/>
    <w:rsid w:val="2C2E4F21"/>
    <w:rsid w:val="2C2F3AC5"/>
    <w:rsid w:val="2C504E98"/>
    <w:rsid w:val="2C7A3CC3"/>
    <w:rsid w:val="2C956D4E"/>
    <w:rsid w:val="2CD8092E"/>
    <w:rsid w:val="2CED0939"/>
    <w:rsid w:val="2CF77A09"/>
    <w:rsid w:val="2CF84372"/>
    <w:rsid w:val="2D2F71A3"/>
    <w:rsid w:val="2D8224FE"/>
    <w:rsid w:val="2D88240F"/>
    <w:rsid w:val="2DAC4350"/>
    <w:rsid w:val="2DB41456"/>
    <w:rsid w:val="2DC518B5"/>
    <w:rsid w:val="2DE6137F"/>
    <w:rsid w:val="2E0F2B31"/>
    <w:rsid w:val="2E112405"/>
    <w:rsid w:val="2E132621"/>
    <w:rsid w:val="2E3A195C"/>
    <w:rsid w:val="2F032695"/>
    <w:rsid w:val="2F0F0A9F"/>
    <w:rsid w:val="2F794705"/>
    <w:rsid w:val="2F9B28CE"/>
    <w:rsid w:val="2FD03ECC"/>
    <w:rsid w:val="2FD22068"/>
    <w:rsid w:val="30405223"/>
    <w:rsid w:val="304271ED"/>
    <w:rsid w:val="305A4537"/>
    <w:rsid w:val="307750E9"/>
    <w:rsid w:val="309B5A5D"/>
    <w:rsid w:val="30A01421"/>
    <w:rsid w:val="30AB6379"/>
    <w:rsid w:val="30B359F5"/>
    <w:rsid w:val="30B74C4B"/>
    <w:rsid w:val="30C3032E"/>
    <w:rsid w:val="30C419B0"/>
    <w:rsid w:val="30D065A7"/>
    <w:rsid w:val="30FA5E8E"/>
    <w:rsid w:val="30FE1366"/>
    <w:rsid w:val="313E79B5"/>
    <w:rsid w:val="318A49A8"/>
    <w:rsid w:val="318D560B"/>
    <w:rsid w:val="319D2A0D"/>
    <w:rsid w:val="31AA504A"/>
    <w:rsid w:val="31BB6DEC"/>
    <w:rsid w:val="31E85B72"/>
    <w:rsid w:val="31F7161A"/>
    <w:rsid w:val="32132BEF"/>
    <w:rsid w:val="32171FB4"/>
    <w:rsid w:val="3234700A"/>
    <w:rsid w:val="324C089B"/>
    <w:rsid w:val="325C2D04"/>
    <w:rsid w:val="326E6078"/>
    <w:rsid w:val="327306FD"/>
    <w:rsid w:val="327D6E87"/>
    <w:rsid w:val="32E14A9C"/>
    <w:rsid w:val="32E75E2A"/>
    <w:rsid w:val="32EB6EAF"/>
    <w:rsid w:val="333746BC"/>
    <w:rsid w:val="3367598D"/>
    <w:rsid w:val="336B25B7"/>
    <w:rsid w:val="33925D96"/>
    <w:rsid w:val="339A4C4A"/>
    <w:rsid w:val="33A361F5"/>
    <w:rsid w:val="33A45AC9"/>
    <w:rsid w:val="33B421B0"/>
    <w:rsid w:val="33BE3F06"/>
    <w:rsid w:val="33D91C17"/>
    <w:rsid w:val="33EA5BD2"/>
    <w:rsid w:val="33F064D7"/>
    <w:rsid w:val="340A6274"/>
    <w:rsid w:val="34256C0A"/>
    <w:rsid w:val="34472DB8"/>
    <w:rsid w:val="348E4659"/>
    <w:rsid w:val="34A55F9D"/>
    <w:rsid w:val="34BB131C"/>
    <w:rsid w:val="34BB30CA"/>
    <w:rsid w:val="34CC177B"/>
    <w:rsid w:val="34F34788"/>
    <w:rsid w:val="34FF1F6A"/>
    <w:rsid w:val="351741D7"/>
    <w:rsid w:val="351D3D85"/>
    <w:rsid w:val="35386E11"/>
    <w:rsid w:val="353A4937"/>
    <w:rsid w:val="35551771"/>
    <w:rsid w:val="35575A59"/>
    <w:rsid w:val="35613C72"/>
    <w:rsid w:val="35690D78"/>
    <w:rsid w:val="357F67EE"/>
    <w:rsid w:val="3589141A"/>
    <w:rsid w:val="359A7184"/>
    <w:rsid w:val="359F29EC"/>
    <w:rsid w:val="35C506A4"/>
    <w:rsid w:val="35CD1307"/>
    <w:rsid w:val="3614731F"/>
    <w:rsid w:val="36203B2D"/>
    <w:rsid w:val="36341386"/>
    <w:rsid w:val="363E2205"/>
    <w:rsid w:val="36B32779"/>
    <w:rsid w:val="36B6623F"/>
    <w:rsid w:val="372413FB"/>
    <w:rsid w:val="375A306E"/>
    <w:rsid w:val="375D490D"/>
    <w:rsid w:val="376A4133"/>
    <w:rsid w:val="37920A5A"/>
    <w:rsid w:val="379A790F"/>
    <w:rsid w:val="37AE6F16"/>
    <w:rsid w:val="37C30CF4"/>
    <w:rsid w:val="38080D1C"/>
    <w:rsid w:val="380D00E1"/>
    <w:rsid w:val="382B67B9"/>
    <w:rsid w:val="383E473E"/>
    <w:rsid w:val="38433B03"/>
    <w:rsid w:val="386817BB"/>
    <w:rsid w:val="38740160"/>
    <w:rsid w:val="3881462B"/>
    <w:rsid w:val="388C36FB"/>
    <w:rsid w:val="38975BFC"/>
    <w:rsid w:val="38A071A7"/>
    <w:rsid w:val="38B92017"/>
    <w:rsid w:val="38C528FA"/>
    <w:rsid w:val="38FE486E"/>
    <w:rsid w:val="3902576C"/>
    <w:rsid w:val="3930052B"/>
    <w:rsid w:val="3942025E"/>
    <w:rsid w:val="3962445C"/>
    <w:rsid w:val="399860D0"/>
    <w:rsid w:val="39BC591B"/>
    <w:rsid w:val="39C468CC"/>
    <w:rsid w:val="39CE564E"/>
    <w:rsid w:val="3A2B0CF2"/>
    <w:rsid w:val="3A361B71"/>
    <w:rsid w:val="3A563FC1"/>
    <w:rsid w:val="3A8B1791"/>
    <w:rsid w:val="3AAE6A08"/>
    <w:rsid w:val="3AB331C1"/>
    <w:rsid w:val="3AC56A51"/>
    <w:rsid w:val="3AC84793"/>
    <w:rsid w:val="3AEE064E"/>
    <w:rsid w:val="3B016796"/>
    <w:rsid w:val="3B084B8F"/>
    <w:rsid w:val="3B0F23C2"/>
    <w:rsid w:val="3B6334A6"/>
    <w:rsid w:val="3B844B5E"/>
    <w:rsid w:val="3BA161F2"/>
    <w:rsid w:val="3BBD597A"/>
    <w:rsid w:val="3BDF3B42"/>
    <w:rsid w:val="3BEB0E2D"/>
    <w:rsid w:val="3C074E47"/>
    <w:rsid w:val="3C2679C3"/>
    <w:rsid w:val="3C577B7C"/>
    <w:rsid w:val="3C5A441A"/>
    <w:rsid w:val="3C5A766D"/>
    <w:rsid w:val="3C77021F"/>
    <w:rsid w:val="3C814BF9"/>
    <w:rsid w:val="3C8B7826"/>
    <w:rsid w:val="3CAA0A65"/>
    <w:rsid w:val="3CB44FCF"/>
    <w:rsid w:val="3CC50F8A"/>
    <w:rsid w:val="3CC60841"/>
    <w:rsid w:val="3CCD6091"/>
    <w:rsid w:val="3CE8111C"/>
    <w:rsid w:val="3D386E55"/>
    <w:rsid w:val="3D4445A5"/>
    <w:rsid w:val="3D483969"/>
    <w:rsid w:val="3D5F13DF"/>
    <w:rsid w:val="3D7333A9"/>
    <w:rsid w:val="3D8250CD"/>
    <w:rsid w:val="3D89645B"/>
    <w:rsid w:val="3D9A41C5"/>
    <w:rsid w:val="3DAC5CA6"/>
    <w:rsid w:val="3DB334D8"/>
    <w:rsid w:val="3DBF00CF"/>
    <w:rsid w:val="3DDF7E2A"/>
    <w:rsid w:val="3DE11DF4"/>
    <w:rsid w:val="3DF77869"/>
    <w:rsid w:val="3E253996"/>
    <w:rsid w:val="3E3068D7"/>
    <w:rsid w:val="3EA31D29"/>
    <w:rsid w:val="3EB47508"/>
    <w:rsid w:val="3ED5122D"/>
    <w:rsid w:val="3EE222F5"/>
    <w:rsid w:val="3F2F6B8F"/>
    <w:rsid w:val="3F38241D"/>
    <w:rsid w:val="3FB35A12"/>
    <w:rsid w:val="3FB5178A"/>
    <w:rsid w:val="400B13AA"/>
    <w:rsid w:val="401C7C6C"/>
    <w:rsid w:val="401E584A"/>
    <w:rsid w:val="40356427"/>
    <w:rsid w:val="40464190"/>
    <w:rsid w:val="40777D30"/>
    <w:rsid w:val="407F58F4"/>
    <w:rsid w:val="407F76A2"/>
    <w:rsid w:val="408679EE"/>
    <w:rsid w:val="4099592E"/>
    <w:rsid w:val="409C46F8"/>
    <w:rsid w:val="40C94DC1"/>
    <w:rsid w:val="40CD665F"/>
    <w:rsid w:val="40E35245"/>
    <w:rsid w:val="40E4515D"/>
    <w:rsid w:val="40F167F2"/>
    <w:rsid w:val="40F7192E"/>
    <w:rsid w:val="40FE2CBD"/>
    <w:rsid w:val="41A82C28"/>
    <w:rsid w:val="41E55C2A"/>
    <w:rsid w:val="42187DAE"/>
    <w:rsid w:val="421E49BB"/>
    <w:rsid w:val="427F607F"/>
    <w:rsid w:val="42D53EF1"/>
    <w:rsid w:val="42F223AD"/>
    <w:rsid w:val="42F26851"/>
    <w:rsid w:val="42F779C3"/>
    <w:rsid w:val="43234C5C"/>
    <w:rsid w:val="437C597B"/>
    <w:rsid w:val="438751EB"/>
    <w:rsid w:val="43E066A9"/>
    <w:rsid w:val="445826E4"/>
    <w:rsid w:val="44727C49"/>
    <w:rsid w:val="448160DE"/>
    <w:rsid w:val="448D4A83"/>
    <w:rsid w:val="44913E48"/>
    <w:rsid w:val="44B87626"/>
    <w:rsid w:val="44C61D43"/>
    <w:rsid w:val="44CC6C2E"/>
    <w:rsid w:val="44E64193"/>
    <w:rsid w:val="45513D03"/>
    <w:rsid w:val="45B85B30"/>
    <w:rsid w:val="45CA5863"/>
    <w:rsid w:val="45D51691"/>
    <w:rsid w:val="45EF7078"/>
    <w:rsid w:val="4629583F"/>
    <w:rsid w:val="46902C06"/>
    <w:rsid w:val="46947B83"/>
    <w:rsid w:val="469B2D5C"/>
    <w:rsid w:val="46AE6F33"/>
    <w:rsid w:val="46C73B51"/>
    <w:rsid w:val="46E666CD"/>
    <w:rsid w:val="4714323A"/>
    <w:rsid w:val="475A2C17"/>
    <w:rsid w:val="478163F5"/>
    <w:rsid w:val="478A34FC"/>
    <w:rsid w:val="47FA219A"/>
    <w:rsid w:val="47FD3CCE"/>
    <w:rsid w:val="481F0851"/>
    <w:rsid w:val="48335942"/>
    <w:rsid w:val="485A1120"/>
    <w:rsid w:val="48772333"/>
    <w:rsid w:val="48830B4B"/>
    <w:rsid w:val="489932CB"/>
    <w:rsid w:val="48BD345D"/>
    <w:rsid w:val="48D04F3E"/>
    <w:rsid w:val="48F21359"/>
    <w:rsid w:val="48F86243"/>
    <w:rsid w:val="493F20C4"/>
    <w:rsid w:val="4944592C"/>
    <w:rsid w:val="494D47E1"/>
    <w:rsid w:val="496164DE"/>
    <w:rsid w:val="49B011A5"/>
    <w:rsid w:val="49B02FC2"/>
    <w:rsid w:val="49BC3715"/>
    <w:rsid w:val="49D2773F"/>
    <w:rsid w:val="4A067D00"/>
    <w:rsid w:val="4A0F5443"/>
    <w:rsid w:val="4A2D63C1"/>
    <w:rsid w:val="4A7162AD"/>
    <w:rsid w:val="4A9B73AF"/>
    <w:rsid w:val="4AA04DE4"/>
    <w:rsid w:val="4AB12B4E"/>
    <w:rsid w:val="4AB50B69"/>
    <w:rsid w:val="4ADE1BFE"/>
    <w:rsid w:val="4AEE78FE"/>
    <w:rsid w:val="4B007631"/>
    <w:rsid w:val="4B1A6945"/>
    <w:rsid w:val="4B3237D4"/>
    <w:rsid w:val="4B63653E"/>
    <w:rsid w:val="4B72052F"/>
    <w:rsid w:val="4B7C13AE"/>
    <w:rsid w:val="4B847C88"/>
    <w:rsid w:val="4B92472D"/>
    <w:rsid w:val="4B983D0E"/>
    <w:rsid w:val="4BA10E14"/>
    <w:rsid w:val="4BA12BC2"/>
    <w:rsid w:val="4BD44D46"/>
    <w:rsid w:val="4BDC3BFA"/>
    <w:rsid w:val="4C003D8D"/>
    <w:rsid w:val="4C0F2222"/>
    <w:rsid w:val="4C1A7DDB"/>
    <w:rsid w:val="4C1C66ED"/>
    <w:rsid w:val="4C2061DD"/>
    <w:rsid w:val="4C261319"/>
    <w:rsid w:val="4C2832E3"/>
    <w:rsid w:val="4C6B4F7E"/>
    <w:rsid w:val="4C8E043C"/>
    <w:rsid w:val="4C9149E5"/>
    <w:rsid w:val="4C9170DB"/>
    <w:rsid w:val="4C974697"/>
    <w:rsid w:val="4CA010CC"/>
    <w:rsid w:val="4CC27294"/>
    <w:rsid w:val="4CD945DE"/>
    <w:rsid w:val="4CE54D31"/>
    <w:rsid w:val="4CF97807"/>
    <w:rsid w:val="4D010AA1"/>
    <w:rsid w:val="4D135D42"/>
    <w:rsid w:val="4D203FBB"/>
    <w:rsid w:val="4D2361F3"/>
    <w:rsid w:val="4D2B4E39"/>
    <w:rsid w:val="4D4759EB"/>
    <w:rsid w:val="4D754306"/>
    <w:rsid w:val="4DAE1AD6"/>
    <w:rsid w:val="4DCD3D8A"/>
    <w:rsid w:val="4DE66FB2"/>
    <w:rsid w:val="4E191136"/>
    <w:rsid w:val="4E192EE4"/>
    <w:rsid w:val="4E323FA5"/>
    <w:rsid w:val="4E5C1022"/>
    <w:rsid w:val="4E5E123E"/>
    <w:rsid w:val="4E670790"/>
    <w:rsid w:val="4E7C16C5"/>
    <w:rsid w:val="4E9764FE"/>
    <w:rsid w:val="4E984750"/>
    <w:rsid w:val="4EAC01FC"/>
    <w:rsid w:val="4F62393B"/>
    <w:rsid w:val="4F6E064A"/>
    <w:rsid w:val="4F786330"/>
    <w:rsid w:val="4F89005F"/>
    <w:rsid w:val="4FB54E8E"/>
    <w:rsid w:val="4FBA6948"/>
    <w:rsid w:val="4FD34851"/>
    <w:rsid w:val="4FE87012"/>
    <w:rsid w:val="50025BF9"/>
    <w:rsid w:val="502142D2"/>
    <w:rsid w:val="503C7F21"/>
    <w:rsid w:val="50685AF9"/>
    <w:rsid w:val="50907D8E"/>
    <w:rsid w:val="50940F47"/>
    <w:rsid w:val="50A70C7B"/>
    <w:rsid w:val="50C335DB"/>
    <w:rsid w:val="50FE2865"/>
    <w:rsid w:val="51071719"/>
    <w:rsid w:val="51273B6A"/>
    <w:rsid w:val="513B5A9E"/>
    <w:rsid w:val="5160707C"/>
    <w:rsid w:val="518C60C3"/>
    <w:rsid w:val="51F443DD"/>
    <w:rsid w:val="52326C6A"/>
    <w:rsid w:val="52374280"/>
    <w:rsid w:val="52734B8D"/>
    <w:rsid w:val="529F5982"/>
    <w:rsid w:val="52A22E15"/>
    <w:rsid w:val="52A631B4"/>
    <w:rsid w:val="52AD32CA"/>
    <w:rsid w:val="52BA3B63"/>
    <w:rsid w:val="52CD0741"/>
    <w:rsid w:val="52D23FA9"/>
    <w:rsid w:val="52EF3DF8"/>
    <w:rsid w:val="534E7AD3"/>
    <w:rsid w:val="53535F63"/>
    <w:rsid w:val="53590226"/>
    <w:rsid w:val="53715570"/>
    <w:rsid w:val="53740BBC"/>
    <w:rsid w:val="53876B42"/>
    <w:rsid w:val="53A07C03"/>
    <w:rsid w:val="53A5346C"/>
    <w:rsid w:val="53A70F92"/>
    <w:rsid w:val="53B611D5"/>
    <w:rsid w:val="53D31D87"/>
    <w:rsid w:val="53E75832"/>
    <w:rsid w:val="544467E1"/>
    <w:rsid w:val="54534C37"/>
    <w:rsid w:val="546649A9"/>
    <w:rsid w:val="548B08B3"/>
    <w:rsid w:val="548C0722"/>
    <w:rsid w:val="548D63DA"/>
    <w:rsid w:val="55112807"/>
    <w:rsid w:val="55236D3E"/>
    <w:rsid w:val="55436A98"/>
    <w:rsid w:val="558A2919"/>
    <w:rsid w:val="55BD1336"/>
    <w:rsid w:val="55C37BD9"/>
    <w:rsid w:val="55DD513F"/>
    <w:rsid w:val="55EF39DE"/>
    <w:rsid w:val="55FA0D27"/>
    <w:rsid w:val="560E354A"/>
    <w:rsid w:val="56446F6C"/>
    <w:rsid w:val="565F3DA6"/>
    <w:rsid w:val="566B005F"/>
    <w:rsid w:val="56811F6E"/>
    <w:rsid w:val="56880033"/>
    <w:rsid w:val="56B539C6"/>
    <w:rsid w:val="56ED13B1"/>
    <w:rsid w:val="56EE0C86"/>
    <w:rsid w:val="571701DC"/>
    <w:rsid w:val="573214BA"/>
    <w:rsid w:val="573302F3"/>
    <w:rsid w:val="574404EC"/>
    <w:rsid w:val="57802226"/>
    <w:rsid w:val="578D66F1"/>
    <w:rsid w:val="57CD1396"/>
    <w:rsid w:val="57CD4D3F"/>
    <w:rsid w:val="57D858E2"/>
    <w:rsid w:val="57DE6F4C"/>
    <w:rsid w:val="57EC1669"/>
    <w:rsid w:val="57F56770"/>
    <w:rsid w:val="5806097D"/>
    <w:rsid w:val="580E15DF"/>
    <w:rsid w:val="583B7EFB"/>
    <w:rsid w:val="58562F86"/>
    <w:rsid w:val="58675193"/>
    <w:rsid w:val="58823D7B"/>
    <w:rsid w:val="58CD4FF7"/>
    <w:rsid w:val="58E52DF2"/>
    <w:rsid w:val="58FF717A"/>
    <w:rsid w:val="593432C8"/>
    <w:rsid w:val="599E6993"/>
    <w:rsid w:val="59AD4F44"/>
    <w:rsid w:val="5A201CF2"/>
    <w:rsid w:val="5A2055FA"/>
    <w:rsid w:val="5A987886"/>
    <w:rsid w:val="5AB3021C"/>
    <w:rsid w:val="5AD2661F"/>
    <w:rsid w:val="5B297369"/>
    <w:rsid w:val="5B3B0BA6"/>
    <w:rsid w:val="5BBA55DA"/>
    <w:rsid w:val="5C237623"/>
    <w:rsid w:val="5C34538D"/>
    <w:rsid w:val="5C473312"/>
    <w:rsid w:val="5C480E38"/>
    <w:rsid w:val="5C4B6886"/>
    <w:rsid w:val="5C4C26D6"/>
    <w:rsid w:val="5C5872CD"/>
    <w:rsid w:val="5C6519EA"/>
    <w:rsid w:val="5CAA0CCB"/>
    <w:rsid w:val="5CCC3817"/>
    <w:rsid w:val="5CD10E2D"/>
    <w:rsid w:val="5D8C53D2"/>
    <w:rsid w:val="5DAB167E"/>
    <w:rsid w:val="5DB46785"/>
    <w:rsid w:val="5DB524FD"/>
    <w:rsid w:val="5DC56BE4"/>
    <w:rsid w:val="5E4A70E9"/>
    <w:rsid w:val="5E550596"/>
    <w:rsid w:val="5E563CE0"/>
    <w:rsid w:val="5E5A37D0"/>
    <w:rsid w:val="5E875C48"/>
    <w:rsid w:val="5EBB1D95"/>
    <w:rsid w:val="5EBD3D5F"/>
    <w:rsid w:val="5EC549C2"/>
    <w:rsid w:val="5EDD61AF"/>
    <w:rsid w:val="5EF96775"/>
    <w:rsid w:val="5F2142EE"/>
    <w:rsid w:val="5F3202A9"/>
    <w:rsid w:val="5F3F4774"/>
    <w:rsid w:val="5F5E109E"/>
    <w:rsid w:val="5F6146EB"/>
    <w:rsid w:val="5F6E5059"/>
    <w:rsid w:val="5F7A57AC"/>
    <w:rsid w:val="5FA23262"/>
    <w:rsid w:val="601B0D3D"/>
    <w:rsid w:val="60255718"/>
    <w:rsid w:val="60546BB6"/>
    <w:rsid w:val="60D61108"/>
    <w:rsid w:val="60DB227B"/>
    <w:rsid w:val="60EE1FAE"/>
    <w:rsid w:val="60F670B5"/>
    <w:rsid w:val="60FF41BB"/>
    <w:rsid w:val="610447E2"/>
    <w:rsid w:val="610E43FE"/>
    <w:rsid w:val="611A38A2"/>
    <w:rsid w:val="615F2EAC"/>
    <w:rsid w:val="61691F7C"/>
    <w:rsid w:val="619A2136"/>
    <w:rsid w:val="61AE5BE1"/>
    <w:rsid w:val="61E810F3"/>
    <w:rsid w:val="61FA2BD4"/>
    <w:rsid w:val="62141EE8"/>
    <w:rsid w:val="623936FD"/>
    <w:rsid w:val="624502F4"/>
    <w:rsid w:val="626B7BBE"/>
    <w:rsid w:val="629D3C8C"/>
    <w:rsid w:val="629E17B2"/>
    <w:rsid w:val="62A56FE4"/>
    <w:rsid w:val="62B0343B"/>
    <w:rsid w:val="62B334AF"/>
    <w:rsid w:val="63021701"/>
    <w:rsid w:val="631A37CF"/>
    <w:rsid w:val="634117F1"/>
    <w:rsid w:val="634E142A"/>
    <w:rsid w:val="634E4F86"/>
    <w:rsid w:val="63506F50"/>
    <w:rsid w:val="63620A31"/>
    <w:rsid w:val="636350EF"/>
    <w:rsid w:val="63744A2C"/>
    <w:rsid w:val="637C7D45"/>
    <w:rsid w:val="63B864AB"/>
    <w:rsid w:val="63BD3EBA"/>
    <w:rsid w:val="63CB65D6"/>
    <w:rsid w:val="63E853DA"/>
    <w:rsid w:val="64047A7A"/>
    <w:rsid w:val="64124146"/>
    <w:rsid w:val="641F6922"/>
    <w:rsid w:val="64243F39"/>
    <w:rsid w:val="646A5DEF"/>
    <w:rsid w:val="649C7F73"/>
    <w:rsid w:val="64A14D94"/>
    <w:rsid w:val="64C41444"/>
    <w:rsid w:val="64DD2A65"/>
    <w:rsid w:val="65006754"/>
    <w:rsid w:val="65013FCF"/>
    <w:rsid w:val="65242442"/>
    <w:rsid w:val="65B337C6"/>
    <w:rsid w:val="65BA4A33"/>
    <w:rsid w:val="65CC4888"/>
    <w:rsid w:val="65CE23AE"/>
    <w:rsid w:val="65E01A70"/>
    <w:rsid w:val="65F362B8"/>
    <w:rsid w:val="6616004D"/>
    <w:rsid w:val="66173D55"/>
    <w:rsid w:val="665723A3"/>
    <w:rsid w:val="66A001EE"/>
    <w:rsid w:val="66A82BFF"/>
    <w:rsid w:val="66BA3BAB"/>
    <w:rsid w:val="66D460EA"/>
    <w:rsid w:val="66EF1FB8"/>
    <w:rsid w:val="66F50B51"/>
    <w:rsid w:val="66FE4F15"/>
    <w:rsid w:val="671500AF"/>
    <w:rsid w:val="67660D4B"/>
    <w:rsid w:val="67675304"/>
    <w:rsid w:val="676E19F2"/>
    <w:rsid w:val="677A0A3F"/>
    <w:rsid w:val="67966EFB"/>
    <w:rsid w:val="67AE693B"/>
    <w:rsid w:val="67EC2FBF"/>
    <w:rsid w:val="6808604B"/>
    <w:rsid w:val="689C4BF4"/>
    <w:rsid w:val="68BF2482"/>
    <w:rsid w:val="68CD1043"/>
    <w:rsid w:val="68E56887"/>
    <w:rsid w:val="6931512E"/>
    <w:rsid w:val="6933534A"/>
    <w:rsid w:val="694331C7"/>
    <w:rsid w:val="69453CDE"/>
    <w:rsid w:val="694D5CE0"/>
    <w:rsid w:val="69594684"/>
    <w:rsid w:val="69CE6E20"/>
    <w:rsid w:val="69D837FB"/>
    <w:rsid w:val="69E55F18"/>
    <w:rsid w:val="6A1862EE"/>
    <w:rsid w:val="6A2D7FEB"/>
    <w:rsid w:val="6A3824EC"/>
    <w:rsid w:val="6A6053C5"/>
    <w:rsid w:val="6A7D43A3"/>
    <w:rsid w:val="6A8A46FA"/>
    <w:rsid w:val="6A8F4802"/>
    <w:rsid w:val="6AC76598"/>
    <w:rsid w:val="6B264A3A"/>
    <w:rsid w:val="6B39651C"/>
    <w:rsid w:val="6B4C44A1"/>
    <w:rsid w:val="6B622A80"/>
    <w:rsid w:val="6B86436B"/>
    <w:rsid w:val="6B882FFF"/>
    <w:rsid w:val="6B916358"/>
    <w:rsid w:val="6BB43DF4"/>
    <w:rsid w:val="6BBB1626"/>
    <w:rsid w:val="6BBD1BF1"/>
    <w:rsid w:val="6BCB61ED"/>
    <w:rsid w:val="6BD36970"/>
    <w:rsid w:val="6BF3491C"/>
    <w:rsid w:val="6BFA3EFD"/>
    <w:rsid w:val="6C042FCD"/>
    <w:rsid w:val="6C1D7BEB"/>
    <w:rsid w:val="6C447E3D"/>
    <w:rsid w:val="6C5A7C87"/>
    <w:rsid w:val="6C723639"/>
    <w:rsid w:val="6C7A6DEC"/>
    <w:rsid w:val="6D0518C6"/>
    <w:rsid w:val="6D090170"/>
    <w:rsid w:val="6D0B3EE8"/>
    <w:rsid w:val="6D171B39"/>
    <w:rsid w:val="6D210DD1"/>
    <w:rsid w:val="6D21195D"/>
    <w:rsid w:val="6D64012D"/>
    <w:rsid w:val="6DC347C2"/>
    <w:rsid w:val="6DEF7365"/>
    <w:rsid w:val="6DFA6436"/>
    <w:rsid w:val="6E0C6169"/>
    <w:rsid w:val="6E414065"/>
    <w:rsid w:val="6E4B503C"/>
    <w:rsid w:val="6E7F693B"/>
    <w:rsid w:val="6E9F4EB7"/>
    <w:rsid w:val="6EA42846"/>
    <w:rsid w:val="6EB44A35"/>
    <w:rsid w:val="6EB8009F"/>
    <w:rsid w:val="6EC32CCC"/>
    <w:rsid w:val="6EDC5B3C"/>
    <w:rsid w:val="6EDD18B4"/>
    <w:rsid w:val="6EF07839"/>
    <w:rsid w:val="6EF966EE"/>
    <w:rsid w:val="6F4638FD"/>
    <w:rsid w:val="6F6F4C02"/>
    <w:rsid w:val="6F7915DC"/>
    <w:rsid w:val="6F817E1F"/>
    <w:rsid w:val="6F8C57B4"/>
    <w:rsid w:val="6FB76092"/>
    <w:rsid w:val="6FC00FB9"/>
    <w:rsid w:val="6FE70842"/>
    <w:rsid w:val="6FEC1DAE"/>
    <w:rsid w:val="70376893"/>
    <w:rsid w:val="70383246"/>
    <w:rsid w:val="705636CC"/>
    <w:rsid w:val="705D2856"/>
    <w:rsid w:val="70666005"/>
    <w:rsid w:val="708244C1"/>
    <w:rsid w:val="70912956"/>
    <w:rsid w:val="70B12FF8"/>
    <w:rsid w:val="70C74299"/>
    <w:rsid w:val="70DF7B65"/>
    <w:rsid w:val="71015D2D"/>
    <w:rsid w:val="711F7F62"/>
    <w:rsid w:val="71270FB3"/>
    <w:rsid w:val="712B2DAA"/>
    <w:rsid w:val="71375FB2"/>
    <w:rsid w:val="713F23B2"/>
    <w:rsid w:val="714D0F73"/>
    <w:rsid w:val="715E0A8A"/>
    <w:rsid w:val="715E4F2E"/>
    <w:rsid w:val="717E112C"/>
    <w:rsid w:val="719459D5"/>
    <w:rsid w:val="71AC61CF"/>
    <w:rsid w:val="71B25C57"/>
    <w:rsid w:val="71C64881"/>
    <w:rsid w:val="71E01DE7"/>
    <w:rsid w:val="71E60A7F"/>
    <w:rsid w:val="7205184D"/>
    <w:rsid w:val="723F63AD"/>
    <w:rsid w:val="724063E2"/>
    <w:rsid w:val="72671BC0"/>
    <w:rsid w:val="72760055"/>
    <w:rsid w:val="72802C82"/>
    <w:rsid w:val="72822E9E"/>
    <w:rsid w:val="72AC7F1B"/>
    <w:rsid w:val="72C86E42"/>
    <w:rsid w:val="72D62A8A"/>
    <w:rsid w:val="72E41463"/>
    <w:rsid w:val="72E476B5"/>
    <w:rsid w:val="72F35B4A"/>
    <w:rsid w:val="72F5541E"/>
    <w:rsid w:val="7306587D"/>
    <w:rsid w:val="731F249B"/>
    <w:rsid w:val="73306456"/>
    <w:rsid w:val="73315CF5"/>
    <w:rsid w:val="73351CBE"/>
    <w:rsid w:val="735A7977"/>
    <w:rsid w:val="736B748E"/>
    <w:rsid w:val="736E111C"/>
    <w:rsid w:val="73A330CC"/>
    <w:rsid w:val="73B83485"/>
    <w:rsid w:val="73D273D8"/>
    <w:rsid w:val="73DE2356"/>
    <w:rsid w:val="73EA67FE"/>
    <w:rsid w:val="74063A62"/>
    <w:rsid w:val="74072B3C"/>
    <w:rsid w:val="742064CB"/>
    <w:rsid w:val="74364C97"/>
    <w:rsid w:val="744877CF"/>
    <w:rsid w:val="7452064E"/>
    <w:rsid w:val="74571197"/>
    <w:rsid w:val="74C80D22"/>
    <w:rsid w:val="74D3178F"/>
    <w:rsid w:val="74F3598D"/>
    <w:rsid w:val="751D6EAE"/>
    <w:rsid w:val="752842C2"/>
    <w:rsid w:val="755723C0"/>
    <w:rsid w:val="7568182B"/>
    <w:rsid w:val="75862CA5"/>
    <w:rsid w:val="75B23A9A"/>
    <w:rsid w:val="75BA294F"/>
    <w:rsid w:val="75BE5F9B"/>
    <w:rsid w:val="75CF560F"/>
    <w:rsid w:val="75D61A57"/>
    <w:rsid w:val="75E10FA4"/>
    <w:rsid w:val="75F95225"/>
    <w:rsid w:val="76010736"/>
    <w:rsid w:val="763A73D5"/>
    <w:rsid w:val="76424E1E"/>
    <w:rsid w:val="76766876"/>
    <w:rsid w:val="7682346D"/>
    <w:rsid w:val="76DD68F5"/>
    <w:rsid w:val="76E2215D"/>
    <w:rsid w:val="778012CE"/>
    <w:rsid w:val="778B45A3"/>
    <w:rsid w:val="778D152D"/>
    <w:rsid w:val="779416A9"/>
    <w:rsid w:val="77A86F03"/>
    <w:rsid w:val="77E43CB3"/>
    <w:rsid w:val="78232A2D"/>
    <w:rsid w:val="783469E8"/>
    <w:rsid w:val="78564A3A"/>
    <w:rsid w:val="785A4732"/>
    <w:rsid w:val="786A6126"/>
    <w:rsid w:val="788A03B6"/>
    <w:rsid w:val="78961451"/>
    <w:rsid w:val="78B87E3D"/>
    <w:rsid w:val="78B9704A"/>
    <w:rsid w:val="78E57CE3"/>
    <w:rsid w:val="78EC72C3"/>
    <w:rsid w:val="78F456DD"/>
    <w:rsid w:val="791B54B2"/>
    <w:rsid w:val="793C564A"/>
    <w:rsid w:val="797470B7"/>
    <w:rsid w:val="79DC10E6"/>
    <w:rsid w:val="79E24D27"/>
    <w:rsid w:val="79E65AC0"/>
    <w:rsid w:val="79FF4DD4"/>
    <w:rsid w:val="7A480529"/>
    <w:rsid w:val="7A664E53"/>
    <w:rsid w:val="7AA02F03"/>
    <w:rsid w:val="7AA8546C"/>
    <w:rsid w:val="7ADD1ABD"/>
    <w:rsid w:val="7B1D7C08"/>
    <w:rsid w:val="7B424F78"/>
    <w:rsid w:val="7B4707E1"/>
    <w:rsid w:val="7B5B603A"/>
    <w:rsid w:val="7B5F3D7C"/>
    <w:rsid w:val="7B6167B8"/>
    <w:rsid w:val="7B9553D2"/>
    <w:rsid w:val="7C2E6F21"/>
    <w:rsid w:val="7C484810"/>
    <w:rsid w:val="7C600257"/>
    <w:rsid w:val="7C7B2E38"/>
    <w:rsid w:val="7C7F3FAA"/>
    <w:rsid w:val="7C870F4B"/>
    <w:rsid w:val="7C8B26DA"/>
    <w:rsid w:val="7CAC1243"/>
    <w:rsid w:val="7CEA3B1A"/>
    <w:rsid w:val="7D39684F"/>
    <w:rsid w:val="7D3A46A5"/>
    <w:rsid w:val="7D420743"/>
    <w:rsid w:val="7D494860"/>
    <w:rsid w:val="7D521489"/>
    <w:rsid w:val="7D6531A0"/>
    <w:rsid w:val="7D715FE9"/>
    <w:rsid w:val="7D871368"/>
    <w:rsid w:val="7DC12ACC"/>
    <w:rsid w:val="7DC803E2"/>
    <w:rsid w:val="7DE71E07"/>
    <w:rsid w:val="7DF12C86"/>
    <w:rsid w:val="7E002369"/>
    <w:rsid w:val="7E3239CA"/>
    <w:rsid w:val="7E971A7F"/>
    <w:rsid w:val="7EB268B9"/>
    <w:rsid w:val="7EC14D4E"/>
    <w:rsid w:val="7EC65EC0"/>
    <w:rsid w:val="7EF44B03"/>
    <w:rsid w:val="7EFB0260"/>
    <w:rsid w:val="7F016EF9"/>
    <w:rsid w:val="7F0569E9"/>
    <w:rsid w:val="7F315A30"/>
    <w:rsid w:val="7F3177DE"/>
    <w:rsid w:val="7F4339B5"/>
    <w:rsid w:val="7F8042C1"/>
    <w:rsid w:val="7FA929B5"/>
    <w:rsid w:val="7FB81CAD"/>
    <w:rsid w:val="7FCB5E84"/>
    <w:rsid w:val="7FF13975"/>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uto"/>
      <w:textAlignment w:val="baseline"/>
    </w:pPr>
    <w:rPr>
      <w:rFonts w:ascii="宋体" w:hAnsi="宋体" w:eastAsia="宋体" w:cs="Times New Roman"/>
      <w:sz w:val="24"/>
      <w:lang w:val="en-US" w:eastAsia="zh-CN" w:bidi="ar-SA"/>
    </w:rPr>
  </w:style>
  <w:style w:type="paragraph" w:styleId="2">
    <w:name w:val="heading 1"/>
    <w:basedOn w:val="1"/>
    <w:next w:val="1"/>
    <w:autoRedefine/>
    <w:qFormat/>
    <w:uiPriority w:val="0"/>
    <w:pPr>
      <w:keepNext/>
      <w:keepLines/>
      <w:jc w:val="center"/>
      <w:outlineLvl w:val="0"/>
    </w:pPr>
    <w:rPr>
      <w:b/>
      <w:kern w:val="44"/>
      <w:sz w:val="28"/>
    </w:rPr>
  </w:style>
  <w:style w:type="paragraph" w:styleId="3">
    <w:name w:val="heading 2"/>
    <w:basedOn w:val="1"/>
    <w:next w:val="1"/>
    <w:autoRedefine/>
    <w:unhideWhenUsed/>
    <w:qFormat/>
    <w:uiPriority w:val="0"/>
    <w:pPr>
      <w:keepNext/>
      <w:keepLines/>
      <w:ind w:firstLine="643" w:firstLineChars="200"/>
      <w:outlineLvl w:val="1"/>
    </w:pPr>
    <w:rPr>
      <w:b/>
    </w:rPr>
  </w:style>
  <w:style w:type="paragraph" w:styleId="4">
    <w:name w:val="heading 3"/>
    <w:basedOn w:val="1"/>
    <w:next w:val="1"/>
    <w:link w:val="23"/>
    <w:autoRedefine/>
    <w:unhideWhenUsed/>
    <w:qFormat/>
    <w:uiPriority w:val="0"/>
    <w:pPr>
      <w:keepNext/>
      <w:keepLines/>
      <w:outlineLvl w:val="2"/>
    </w:pPr>
    <w:rPr>
      <w:b/>
    </w:rPr>
  </w:style>
  <w:style w:type="paragraph" w:styleId="5">
    <w:name w:val="heading 5"/>
    <w:basedOn w:val="1"/>
    <w:next w:val="1"/>
    <w:unhideWhenUsed/>
    <w:qFormat/>
    <w:uiPriority w:val="0"/>
    <w:pPr>
      <w:keepNext/>
      <w:keepLines/>
      <w:spacing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textAlignment w:val="auto"/>
    </w:pPr>
    <w:rPr>
      <w:rFonts w:ascii="Calibri" w:hAnsi="Calibri" w:cs="黑体"/>
    </w:rPr>
  </w:style>
  <w:style w:type="paragraph" w:styleId="7">
    <w:name w:val="Normal Indent"/>
    <w:basedOn w:val="1"/>
    <w:next w:val="1"/>
    <w:autoRedefine/>
    <w:qFormat/>
    <w:uiPriority w:val="0"/>
    <w:pPr>
      <w:ind w:firstLine="420" w:firstLineChars="200"/>
    </w:pPr>
  </w:style>
  <w:style w:type="paragraph" w:styleId="8">
    <w:name w:val="toa heading"/>
    <w:basedOn w:val="1"/>
    <w:next w:val="1"/>
    <w:autoRedefine/>
    <w:qFormat/>
    <w:uiPriority w:val="0"/>
    <w:pPr>
      <w:spacing w:before="120"/>
    </w:pPr>
    <w:rPr>
      <w:rFonts w:ascii="Arial" w:hAnsi="Arial" w:cs="Arial"/>
      <w:szCs w:val="24"/>
    </w:rPr>
  </w:style>
  <w:style w:type="paragraph" w:styleId="9">
    <w:name w:val="Body Text"/>
    <w:basedOn w:val="1"/>
    <w:semiHidden/>
    <w:qFormat/>
    <w:uiPriority w:val="0"/>
    <w:rPr>
      <w:rFonts w:ascii="宋体" w:hAnsi="宋体" w:eastAsia="宋体" w:cs="宋体"/>
      <w:sz w:val="30"/>
      <w:szCs w:val="30"/>
      <w:lang w:val="en-US" w:eastAsia="en-US" w:bidi="ar-SA"/>
    </w:rPr>
  </w:style>
  <w:style w:type="paragraph" w:styleId="10">
    <w:name w:val="footer"/>
    <w:basedOn w:val="1"/>
    <w:autoRedefine/>
    <w:qFormat/>
    <w:uiPriority w:val="0"/>
    <w:pPr>
      <w:tabs>
        <w:tab w:val="center" w:pos="4153"/>
        <w:tab w:val="right" w:pos="8306"/>
      </w:tabs>
      <w:snapToGrid w:val="0"/>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toc 1"/>
    <w:basedOn w:val="1"/>
    <w:next w:val="1"/>
    <w:autoRedefine/>
    <w:qFormat/>
    <w:uiPriority w:val="0"/>
    <w:pPr>
      <w:spacing w:line="500" w:lineRule="exact"/>
    </w:pPr>
    <w:rPr>
      <w:b/>
    </w:rPr>
  </w:style>
  <w:style w:type="paragraph" w:styleId="14">
    <w:name w:val="Subtitle"/>
    <w:basedOn w:val="1"/>
    <w:next w:val="1"/>
    <w:autoRedefine/>
    <w:qFormat/>
    <w:uiPriority w:val="11"/>
    <w:pPr>
      <w:snapToGrid w:val="0"/>
      <w:spacing w:beforeLines="10" w:line="300" w:lineRule="auto"/>
      <w:ind w:firstLine="200" w:firstLineChars="200"/>
      <w:outlineLvl w:val="1"/>
    </w:pPr>
    <w:rPr>
      <w:rFonts w:ascii="Cambria" w:hAnsi="Cambria"/>
      <w:b/>
      <w:bCs/>
      <w:kern w:val="28"/>
      <w:sz w:val="28"/>
      <w:szCs w:val="32"/>
    </w:rPr>
  </w:style>
  <w:style w:type="paragraph" w:styleId="15">
    <w:name w:val="List"/>
    <w:basedOn w:val="1"/>
    <w:autoRedefine/>
    <w:qFormat/>
    <w:uiPriority w:val="0"/>
    <w:pPr>
      <w:jc w:val="center"/>
    </w:pPr>
  </w:style>
  <w:style w:type="paragraph" w:styleId="16">
    <w:name w:val="HTML Preformatted"/>
    <w:basedOn w:val="1"/>
    <w:qFormat/>
    <w:uiPriority w:val="0"/>
    <w:rPr>
      <w:rFonts w:ascii="Courier New" w:hAnsi="Courier New"/>
      <w:sz w:val="20"/>
    </w:rPr>
  </w:style>
  <w:style w:type="paragraph" w:styleId="17">
    <w:name w:val="Normal (Web)"/>
    <w:basedOn w:val="1"/>
    <w:qFormat/>
    <w:uiPriority w:val="0"/>
    <w:pPr>
      <w:spacing w:beforeAutospacing="1" w:afterAutospacing="1"/>
    </w:p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TML Sample"/>
    <w:basedOn w:val="20"/>
    <w:qFormat/>
    <w:uiPriority w:val="0"/>
    <w:rPr>
      <w:rFonts w:ascii="Courier New" w:hAnsi="Courier New"/>
    </w:rPr>
  </w:style>
  <w:style w:type="character" w:customStyle="1" w:styleId="23">
    <w:name w:val="标题 3 字符"/>
    <w:link w:val="4"/>
    <w:autoRedefine/>
    <w:qFormat/>
    <w:uiPriority w:val="0"/>
    <w:rPr>
      <w:rFonts w:ascii="宋体" w:hAnsi="宋体" w:eastAsia="宋体"/>
      <w:b/>
      <w:sz w:val="24"/>
    </w:rPr>
  </w:style>
  <w:style w:type="character" w:customStyle="1" w:styleId="24">
    <w:name w:val="NormalCharacter"/>
    <w:qFormat/>
    <w:uiPriority w:val="0"/>
  </w:style>
  <w:style w:type="paragraph" w:customStyle="1" w:styleId="25">
    <w:name w:val="Other|1"/>
    <w:basedOn w:val="1"/>
    <w:qFormat/>
    <w:uiPriority w:val="0"/>
    <w:pPr>
      <w:spacing w:line="420" w:lineRule="auto"/>
      <w:ind w:firstLine="400"/>
    </w:pPr>
    <w:rPr>
      <w:rFonts w:cs="宋体"/>
      <w:sz w:val="22"/>
      <w:szCs w:val="22"/>
      <w:lang w:val="zh-TW" w:eastAsia="zh-TW" w:bidi="zh-TW"/>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样式"/>
    <w:unhideWhenUsed/>
    <w:qFormat/>
    <w:uiPriority w:val="0"/>
    <w:pPr>
      <w:widowControl w:val="0"/>
      <w:autoSpaceDE w:val="0"/>
      <w:autoSpaceDN w:val="0"/>
    </w:pPr>
    <w:rPr>
      <w:rFonts w:hint="eastAsia"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1251</Words>
  <Characters>1447</Characters>
  <Lines>58</Lines>
  <Paragraphs>72</Paragraphs>
  <TotalTime>153</TotalTime>
  <ScaleCrop>false</ScaleCrop>
  <LinksUpToDate>false</LinksUpToDate>
  <CharactersWithSpaces>1687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2023-05-30T01:59:00Z</dcterms:created>
  <dc:creator>Administrator</dc:creator>
  <cp:lastModifiedBy>  囍 大 普 奔</cp:lastModifiedBy>
  <dcterms:modified xsi:type="dcterms:W3CDTF">2026-04-22T09:56:20Z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F871CAAA4F534CCD99B09D862B476305_13</vt:lpwstr>
  </property>
  <property fmtid="{D5CDD505-2E9C-101B-9397-08002B2CF9AE}" pid="4" name="KSOTemplateDocerSaveRecord">
    <vt:lpwstr>eyJoZGlkIjoiM2E5N2Q4NTE1NzU5MDhmN2U5NDQwZTUzZmEwNzg5YTgiLCJ1c2VySWQiOiI0NjE1NzQxODMifQ==</vt:lpwstr>
  </property>
</Properties>
</file>