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7A44">
      <w:pPr>
        <w:autoSpaceDE w:val="0"/>
        <w:autoSpaceDN w:val="0"/>
        <w:spacing w:line="360" w:lineRule="auto"/>
        <w:rPr>
          <w:rFonts w:ascii="仿宋" w:hAnsi="仿宋" w:eastAsia="仿宋" w:cs="仿宋"/>
          <w:b/>
          <w:bCs/>
          <w:color w:val="000000"/>
          <w:sz w:val="32"/>
          <w:szCs w:val="32"/>
        </w:rPr>
      </w:pPr>
      <w:r>
        <w:rPr>
          <w:rFonts w:hint="eastAsia" w:ascii="仿宋" w:hAnsi="仿宋" w:eastAsia="仿宋" w:cs="仿宋"/>
          <w:b/>
          <w:bCs/>
          <w:color w:val="000000"/>
          <w:sz w:val="30"/>
          <w:szCs w:val="30"/>
        </w:rPr>
        <w:t>项目编号：</w:t>
      </w:r>
      <w:r>
        <w:rPr>
          <w:rFonts w:hint="eastAsia" w:ascii="仿宋" w:hAnsi="仿宋" w:eastAsia="仿宋" w:cs="仿宋"/>
          <w:b/>
          <w:bCs/>
          <w:color w:val="000000"/>
          <w:sz w:val="30"/>
          <w:szCs w:val="30"/>
          <w:lang w:eastAsia="zh-CN"/>
        </w:rPr>
        <w:t>XJFZYCG(GK)-2026-04-1</w:t>
      </w:r>
      <w:r>
        <w:rPr>
          <w:rFonts w:hint="eastAsia" w:ascii="仿宋" w:hAnsi="仿宋" w:eastAsia="仿宋" w:cs="仿宋"/>
          <w:b/>
          <w:bCs/>
          <w:color w:val="000000"/>
          <w:sz w:val="30"/>
          <w:szCs w:val="30"/>
        </w:rPr>
        <w:t xml:space="preserve">  </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val="en-US" w:eastAsia="zh-CN"/>
        </w:rPr>
        <w:t>采购</w:t>
      </w:r>
      <w:r>
        <w:rPr>
          <w:rFonts w:hint="eastAsia" w:ascii="仿宋" w:hAnsi="仿宋" w:eastAsia="仿宋" w:cs="仿宋"/>
          <w:b/>
          <w:bCs/>
          <w:color w:val="000000"/>
          <w:sz w:val="32"/>
          <w:szCs w:val="32"/>
        </w:rPr>
        <w:t>】</w:t>
      </w:r>
    </w:p>
    <w:p w14:paraId="6AF9C3C9">
      <w:pPr>
        <w:widowControl/>
        <w:autoSpaceDE w:val="0"/>
        <w:autoSpaceDN w:val="0"/>
        <w:spacing w:line="500" w:lineRule="exact"/>
        <w:ind w:right="-26"/>
        <w:jc w:val="center"/>
        <w:textAlignment w:val="bottom"/>
        <w:rPr>
          <w:rFonts w:ascii="仿宋" w:hAnsi="仿宋" w:eastAsia="仿宋" w:cs="仿宋"/>
          <w:b/>
          <w:color w:val="000000"/>
          <w:kern w:val="0"/>
          <w:sz w:val="36"/>
          <w:szCs w:val="36"/>
        </w:rPr>
      </w:pPr>
      <w:r>
        <w:rPr>
          <w:rFonts w:hint="eastAsia" w:ascii="仿宋" w:hAnsi="仿宋" w:eastAsia="仿宋" w:cs="仿宋"/>
          <w:b/>
          <w:color w:val="000000"/>
          <w:kern w:val="0"/>
          <w:sz w:val="36"/>
          <w:szCs w:val="36"/>
        </w:rPr>
        <w:t xml:space="preserve">  </w:t>
      </w:r>
    </w:p>
    <w:p w14:paraId="16DE147B">
      <w:pPr>
        <w:pStyle w:val="2"/>
        <w:ind w:firstLine="0"/>
        <w:jc w:val="center"/>
        <w:rPr>
          <w:rFonts w:hint="eastAsia" w:hAnsi="宋体" w:eastAsia="宋体" w:cs="宋体"/>
          <w:b/>
          <w:bCs/>
          <w:color w:val="000000"/>
          <w:sz w:val="44"/>
          <w:szCs w:val="44"/>
          <w:lang w:eastAsia="zh-CN"/>
        </w:rPr>
      </w:pPr>
      <w:r>
        <w:rPr>
          <w:rFonts w:hint="eastAsia" w:hAnsi="宋体" w:cs="宋体"/>
          <w:b/>
          <w:bCs/>
          <w:color w:val="000000"/>
          <w:sz w:val="44"/>
          <w:szCs w:val="44"/>
          <w:lang w:eastAsia="zh-CN"/>
        </w:rPr>
        <w:t>移动执法系统运维服务项目(二次）</w:t>
      </w:r>
    </w:p>
    <w:p w14:paraId="165A8E99">
      <w:pPr>
        <w:pStyle w:val="2"/>
        <w:rPr>
          <w:color w:val="000000"/>
        </w:rPr>
      </w:pPr>
    </w:p>
    <w:p w14:paraId="2CA4DCA2">
      <w:pPr>
        <w:autoSpaceDE w:val="0"/>
        <w:autoSpaceDN w:val="0"/>
        <w:jc w:val="center"/>
        <w:rPr>
          <w:rFonts w:ascii="仿宋" w:hAnsi="仿宋" w:eastAsia="仿宋" w:cs="仿宋"/>
          <w:b/>
          <w:bCs/>
          <w:color w:val="000000"/>
          <w:sz w:val="30"/>
          <w:szCs w:val="30"/>
          <w:lang w:val="zh-CN"/>
        </w:rPr>
      </w:pPr>
      <w:r>
        <w:rPr>
          <w:rFonts w:hint="eastAsia" w:ascii="仿宋" w:hAnsi="仿宋" w:eastAsia="仿宋" w:cs="仿宋"/>
          <w:b/>
          <w:bCs/>
          <w:color w:val="000000"/>
          <w:sz w:val="30"/>
          <w:szCs w:val="30"/>
          <w:lang w:val="zh-CN"/>
        </w:rPr>
        <w:t>（综合评分</w:t>
      </w:r>
      <w:r>
        <w:rPr>
          <w:rFonts w:hint="eastAsia" w:ascii="仿宋" w:hAnsi="仿宋" w:eastAsia="仿宋" w:cs="仿宋"/>
          <w:b/>
          <w:bCs/>
          <w:color w:val="000000"/>
          <w:kern w:val="0"/>
          <w:sz w:val="30"/>
          <w:szCs w:val="30"/>
        </w:rPr>
        <w:t>法</w:t>
      </w:r>
      <w:r>
        <w:rPr>
          <w:rFonts w:hint="eastAsia" w:ascii="仿宋" w:hAnsi="仿宋" w:eastAsia="仿宋" w:cs="仿宋"/>
          <w:b/>
          <w:bCs/>
          <w:color w:val="000000"/>
          <w:sz w:val="30"/>
          <w:szCs w:val="30"/>
          <w:lang w:val="zh-CN"/>
        </w:rPr>
        <w:t>）</w:t>
      </w:r>
    </w:p>
    <w:p w14:paraId="778C08A6">
      <w:pPr>
        <w:widowControl/>
        <w:autoSpaceDE w:val="0"/>
        <w:autoSpaceDN w:val="0"/>
        <w:ind w:right="-26"/>
        <w:textAlignment w:val="bottom"/>
        <w:rPr>
          <w:rFonts w:ascii="仿宋" w:hAnsi="仿宋" w:eastAsia="仿宋" w:cs="仿宋"/>
          <w:b/>
          <w:color w:val="000000"/>
          <w:sz w:val="96"/>
          <w:szCs w:val="96"/>
        </w:rPr>
      </w:pPr>
      <w:r>
        <w:rPr>
          <w:rFonts w:ascii="仿宋" w:hAnsi="仿宋" w:eastAsia="仿宋" w:cs="仿宋"/>
          <w:color w:val="000000"/>
        </w:rPr>
        <mc:AlternateContent>
          <mc:Choice Requires="wps">
            <w:drawing>
              <wp:anchor distT="0" distB="0" distL="0" distR="0" simplePos="0" relativeHeight="251660288"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1026"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24.4pt;margin-top:1pt;height:0.75pt;width:503.25pt;z-index:251660288;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gjRSbXAAAABwEAAA8AAAAAAAAAAQAgAAAAIgAAAGRycy9kb3ducmV2LnhtbFBL&#10;AQIUABQAAAAIAIdO4kBzU/gA9wEAAOkDAAAOAAAAAAAAAAEAIAAAACYBAABkcnMvZTJvRG9jLnht&#10;bFBLBQYAAAAABgAGAFkBAACPBQAAAAA=&#10;">
                <v:fill on="f" focussize="0,0"/>
                <v:stroke weight="4pt" color="#000000" linestyle="thickBetweenThin" joinstyle="round"/>
                <v:imagedata o:title=""/>
                <o:lock v:ext="edit" aspectratio="f"/>
              </v:line>
            </w:pict>
          </mc:Fallback>
        </mc:AlternateContent>
      </w:r>
    </w:p>
    <w:p w14:paraId="2B915834">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招</w:t>
      </w:r>
    </w:p>
    <w:p w14:paraId="2618A688">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标</w:t>
      </w:r>
    </w:p>
    <w:p w14:paraId="48CF27CC">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文</w:t>
      </w:r>
    </w:p>
    <w:p w14:paraId="0C93048D">
      <w:pPr>
        <w:widowControl/>
        <w:autoSpaceDE w:val="0"/>
        <w:autoSpaceDN w:val="0"/>
        <w:ind w:right="-26"/>
        <w:jc w:val="center"/>
        <w:textAlignment w:val="bottom"/>
        <w:rPr>
          <w:rFonts w:ascii="仿宋" w:hAnsi="仿宋" w:eastAsia="仿宋" w:cs="仿宋"/>
          <w:b/>
          <w:color w:val="000000"/>
          <w:sz w:val="96"/>
          <w:szCs w:val="96"/>
        </w:rPr>
      </w:pPr>
      <w:r>
        <w:rPr>
          <w:rFonts w:hint="eastAsia" w:ascii="仿宋" w:hAnsi="仿宋" w:eastAsia="仿宋" w:cs="仿宋"/>
          <w:b/>
          <w:color w:val="000000"/>
          <w:sz w:val="96"/>
          <w:szCs w:val="96"/>
        </w:rPr>
        <w:t>件</w:t>
      </w:r>
    </w:p>
    <w:p w14:paraId="201CBE97">
      <w:pPr>
        <w:widowControl/>
        <w:autoSpaceDE w:val="0"/>
        <w:autoSpaceDN w:val="0"/>
        <w:ind w:right="-26"/>
        <w:textAlignment w:val="bottom"/>
        <w:rPr>
          <w:rFonts w:ascii="仿宋" w:hAnsi="仿宋" w:eastAsia="仿宋" w:cs="仿宋"/>
          <w:b/>
          <w:color w:val="000000"/>
          <w:sz w:val="32"/>
        </w:rPr>
      </w:pPr>
    </w:p>
    <w:p w14:paraId="199649C7">
      <w:pPr>
        <w:widowControl/>
        <w:autoSpaceDE w:val="0"/>
        <w:autoSpaceDN w:val="0"/>
        <w:ind w:right="-26"/>
        <w:textAlignment w:val="bottom"/>
        <w:rPr>
          <w:rFonts w:ascii="仿宋" w:hAnsi="仿宋" w:eastAsia="仿宋" w:cs="仿宋"/>
          <w:b/>
          <w:color w:val="000000"/>
          <w:sz w:val="32"/>
        </w:rPr>
      </w:pPr>
    </w:p>
    <w:p w14:paraId="66F04804">
      <w:pPr>
        <w:pStyle w:val="2"/>
        <w:rPr>
          <w:color w:val="000000"/>
        </w:rPr>
      </w:pPr>
    </w:p>
    <w:p w14:paraId="50246376">
      <w:pPr>
        <w:widowControl/>
        <w:autoSpaceDE w:val="0"/>
        <w:autoSpaceDN w:val="0"/>
        <w:ind w:right="-26"/>
        <w:textAlignment w:val="bottom"/>
        <w:rPr>
          <w:rFonts w:hint="eastAsia" w:ascii="仿宋" w:hAnsi="仿宋" w:eastAsia="仿宋" w:cs="仿宋"/>
          <w:b/>
          <w:color w:val="000000"/>
          <w:sz w:val="32"/>
          <w:lang w:eastAsia="zh-CN"/>
        </w:rPr>
      </w:pPr>
      <w:r>
        <w:rPr>
          <w:rFonts w:hint="eastAsia" w:ascii="仿宋" w:hAnsi="仿宋" w:eastAsia="仿宋" w:cs="仿宋"/>
          <w:b/>
          <w:color w:val="000000"/>
          <w:sz w:val="32"/>
        </w:rPr>
        <w:t>招 标 人：</w:t>
      </w:r>
      <w:r>
        <w:rPr>
          <w:rFonts w:hint="eastAsia" w:ascii="仿宋" w:hAnsi="仿宋" w:eastAsia="仿宋" w:cs="仿宋"/>
          <w:b/>
          <w:color w:val="000000"/>
          <w:sz w:val="32"/>
          <w:lang w:eastAsia="zh-CN"/>
        </w:rPr>
        <w:t>喀什某单位</w:t>
      </w:r>
    </w:p>
    <w:p w14:paraId="2CC9EA28">
      <w:pPr>
        <w:widowControl/>
        <w:autoSpaceDE w:val="0"/>
        <w:autoSpaceDN w:val="0"/>
        <w:ind w:right="-26"/>
        <w:textAlignment w:val="bottom"/>
        <w:rPr>
          <w:rFonts w:ascii="仿宋" w:hAnsi="仿宋" w:eastAsia="仿宋" w:cs="仿宋"/>
          <w:b/>
          <w:color w:val="000000"/>
          <w:sz w:val="32"/>
        </w:rPr>
      </w:pPr>
    </w:p>
    <w:p w14:paraId="6F336FA4">
      <w:pPr>
        <w:widowControl/>
        <w:autoSpaceDE w:val="0"/>
        <w:autoSpaceDN w:val="0"/>
        <w:ind w:right="-26"/>
        <w:textAlignment w:val="bottom"/>
        <w:rPr>
          <w:rFonts w:hint="eastAsia" w:ascii="仿宋" w:hAnsi="仿宋" w:eastAsia="仿宋" w:cs="仿宋"/>
          <w:color w:val="000000"/>
          <w:sz w:val="84"/>
          <w:szCs w:val="84"/>
          <w:lang w:eastAsia="zh-CN"/>
        </w:rPr>
      </w:pPr>
      <w:r>
        <w:rPr>
          <w:rFonts w:hint="eastAsia" w:ascii="仿宋" w:hAnsi="仿宋" w:eastAsia="仿宋" w:cs="仿宋"/>
          <w:b/>
          <w:color w:val="000000"/>
          <w:sz w:val="32"/>
        </w:rPr>
        <w:t>代理机构：</w:t>
      </w:r>
      <w:r>
        <w:rPr>
          <w:rFonts w:hint="eastAsia" w:ascii="仿宋" w:hAnsi="仿宋" w:eastAsia="仿宋" w:cs="仿宋"/>
          <w:b/>
          <w:color w:val="000000"/>
          <w:sz w:val="32"/>
          <w:lang w:eastAsia="zh-CN"/>
        </w:rPr>
        <w:t>新疆方中圆工程项目管理有限公司</w:t>
      </w:r>
    </w:p>
    <w:p w14:paraId="1AF7347E">
      <w:pPr>
        <w:pStyle w:val="27"/>
        <w:rPr>
          <w:rFonts w:ascii="仿宋" w:hAnsi="仿宋" w:eastAsia="仿宋" w:cs="仿宋"/>
          <w:b/>
          <w:color w:val="000000"/>
          <w:sz w:val="52"/>
          <w:szCs w:val="52"/>
        </w:rPr>
      </w:pPr>
    </w:p>
    <w:p w14:paraId="6B6A23B2">
      <w:pPr>
        <w:pStyle w:val="2"/>
        <w:ind w:firstLine="0"/>
        <w:jc w:val="center"/>
        <w:rPr>
          <w:rFonts w:hAnsi="宋体" w:cs="宋体"/>
          <w:b/>
          <w:bCs/>
          <w:color w:val="000000"/>
          <w:sz w:val="44"/>
          <w:szCs w:val="44"/>
        </w:rPr>
      </w:pPr>
    </w:p>
    <w:p w14:paraId="0936CE30">
      <w:pPr>
        <w:pStyle w:val="2"/>
        <w:ind w:firstLine="0"/>
        <w:jc w:val="center"/>
        <w:rPr>
          <w:rFonts w:hAnsi="宋体" w:cs="宋体"/>
          <w:b/>
          <w:bCs/>
          <w:color w:val="000000"/>
          <w:sz w:val="44"/>
          <w:szCs w:val="44"/>
        </w:rPr>
      </w:pPr>
    </w:p>
    <w:p w14:paraId="3CF0B4BE">
      <w:pPr>
        <w:pStyle w:val="2"/>
        <w:ind w:firstLine="0"/>
        <w:jc w:val="center"/>
        <w:rPr>
          <w:rFonts w:hint="eastAsia" w:ascii="仿宋" w:hAnsi="仿宋" w:eastAsia="仿宋" w:cs="仿宋"/>
          <w:b/>
          <w:color w:val="000000"/>
          <w:kern w:val="2"/>
          <w:sz w:val="32"/>
          <w:szCs w:val="32"/>
          <w:lang w:val="en-US" w:eastAsia="zh-CN" w:bidi="ar-SA"/>
        </w:rPr>
      </w:pPr>
      <w:r>
        <w:rPr>
          <w:rFonts w:hint="eastAsia" w:ascii="仿宋" w:hAnsi="仿宋" w:eastAsia="仿宋" w:cs="仿宋"/>
          <w:b/>
          <w:color w:val="000000"/>
          <w:kern w:val="2"/>
          <w:sz w:val="32"/>
          <w:szCs w:val="32"/>
          <w:lang w:val="en-US" w:eastAsia="zh-CN" w:bidi="ar-SA"/>
        </w:rPr>
        <w:t>移动执法系统运维服务项目(二次）</w:t>
      </w:r>
    </w:p>
    <w:p w14:paraId="2EB8798B">
      <w:pPr>
        <w:spacing w:line="240" w:lineRule="atLeast"/>
        <w:jc w:val="center"/>
        <w:rPr>
          <w:rFonts w:ascii="仿宋" w:hAnsi="仿宋" w:eastAsia="仿宋" w:cs="仿宋"/>
          <w:b/>
          <w:color w:val="000000"/>
          <w:kern w:val="0"/>
          <w:sz w:val="44"/>
          <w:szCs w:val="44"/>
        </w:rPr>
      </w:pPr>
    </w:p>
    <w:p w14:paraId="3D44309E">
      <w:pPr>
        <w:rPr>
          <w:color w:val="000000"/>
        </w:rPr>
      </w:pPr>
    </w:p>
    <w:p w14:paraId="3BE183D9">
      <w:pPr>
        <w:pStyle w:val="27"/>
        <w:rPr>
          <w:color w:val="000000"/>
        </w:rPr>
      </w:pPr>
    </w:p>
    <w:p w14:paraId="43B84FA5">
      <w:pPr>
        <w:pStyle w:val="27"/>
        <w:rPr>
          <w:color w:val="000000"/>
        </w:rPr>
      </w:pPr>
    </w:p>
    <w:p w14:paraId="4900C5B1">
      <w:pPr>
        <w:spacing w:line="240" w:lineRule="atLeast"/>
        <w:ind w:left="1079"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招标文件</w:t>
      </w:r>
    </w:p>
    <w:p w14:paraId="24497E7E">
      <w:pPr>
        <w:spacing w:line="240" w:lineRule="atLeast"/>
        <w:ind w:firstLine="1500" w:firstLineChars="500"/>
        <w:rPr>
          <w:rFonts w:ascii="仿宋" w:hAnsi="仿宋" w:eastAsia="仿宋" w:cs="仿宋"/>
          <w:b/>
          <w:color w:val="000000"/>
          <w:sz w:val="30"/>
          <w:szCs w:val="30"/>
        </w:rPr>
      </w:pPr>
    </w:p>
    <w:p w14:paraId="52E2EE2A">
      <w:pPr>
        <w:spacing w:line="240" w:lineRule="atLeast"/>
        <w:ind w:firstLine="1600" w:firstLineChars="500"/>
        <w:rPr>
          <w:rFonts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XJFZYCG(GK)-2026-04-1</w:t>
      </w:r>
      <w:r>
        <w:rPr>
          <w:rFonts w:hint="eastAsia" w:ascii="仿宋" w:hAnsi="仿宋" w:eastAsia="仿宋" w:cs="仿宋"/>
          <w:b/>
          <w:color w:val="000000"/>
          <w:sz w:val="32"/>
          <w:szCs w:val="32"/>
        </w:rPr>
        <w:t>）</w:t>
      </w:r>
    </w:p>
    <w:p w14:paraId="2BCF5CC5">
      <w:pPr>
        <w:spacing w:line="240" w:lineRule="atLeast"/>
        <w:ind w:left="1079" w:leftChars="257" w:hanging="540"/>
        <w:rPr>
          <w:rFonts w:ascii="仿宋" w:hAnsi="仿宋" w:eastAsia="仿宋" w:cs="仿宋"/>
          <w:b/>
          <w:color w:val="000000"/>
          <w:sz w:val="32"/>
          <w:szCs w:val="32"/>
        </w:rPr>
      </w:pPr>
    </w:p>
    <w:p w14:paraId="45F4BA4F">
      <w:pPr>
        <w:spacing w:line="240" w:lineRule="atLeast"/>
        <w:ind w:firstLine="3840" w:firstLineChars="1200"/>
        <w:jc w:val="left"/>
        <w:rPr>
          <w:rFonts w:ascii="仿宋" w:hAnsi="仿宋" w:eastAsia="仿宋" w:cs="仿宋"/>
          <w:b/>
          <w:color w:val="000000"/>
          <w:sz w:val="32"/>
          <w:szCs w:val="32"/>
        </w:rPr>
      </w:pPr>
      <w:r>
        <w:rPr>
          <w:rFonts w:hint="eastAsia" w:ascii="仿宋" w:hAnsi="仿宋" w:eastAsia="仿宋" w:cs="仿宋"/>
          <w:b/>
          <w:color w:val="000000"/>
          <w:sz w:val="32"/>
          <w:szCs w:val="32"/>
        </w:rPr>
        <w:t>第一册</w:t>
      </w:r>
    </w:p>
    <w:p w14:paraId="706575A8">
      <w:pPr>
        <w:spacing w:line="240" w:lineRule="atLeast"/>
        <w:ind w:left="1079" w:leftChars="257" w:hanging="540"/>
        <w:jc w:val="center"/>
        <w:rPr>
          <w:rFonts w:ascii="仿宋" w:hAnsi="仿宋" w:eastAsia="仿宋" w:cs="仿宋"/>
          <w:b/>
          <w:color w:val="000000"/>
          <w:sz w:val="52"/>
        </w:rPr>
      </w:pPr>
    </w:p>
    <w:p w14:paraId="17FE8345">
      <w:pPr>
        <w:pStyle w:val="27"/>
        <w:rPr>
          <w:rFonts w:ascii="仿宋" w:hAnsi="仿宋" w:eastAsia="仿宋" w:cs="仿宋"/>
          <w:color w:val="000000"/>
        </w:rPr>
      </w:pPr>
    </w:p>
    <w:p w14:paraId="0A0E1886">
      <w:pPr>
        <w:pStyle w:val="27"/>
        <w:rPr>
          <w:rFonts w:ascii="仿宋" w:hAnsi="仿宋" w:eastAsia="仿宋" w:cs="仿宋"/>
          <w:color w:val="000000"/>
        </w:rPr>
      </w:pPr>
    </w:p>
    <w:p w14:paraId="6281DC59">
      <w:pPr>
        <w:pStyle w:val="27"/>
        <w:rPr>
          <w:rFonts w:ascii="仿宋" w:hAnsi="仿宋" w:eastAsia="仿宋" w:cs="仿宋"/>
          <w:color w:val="000000"/>
        </w:rPr>
      </w:pPr>
    </w:p>
    <w:p w14:paraId="01D32972">
      <w:pPr>
        <w:pStyle w:val="27"/>
        <w:rPr>
          <w:rFonts w:ascii="仿宋" w:hAnsi="仿宋" w:eastAsia="仿宋" w:cs="仿宋"/>
          <w:color w:val="000000"/>
        </w:rPr>
      </w:pPr>
    </w:p>
    <w:p w14:paraId="22AEA57B">
      <w:pPr>
        <w:pStyle w:val="27"/>
        <w:rPr>
          <w:rFonts w:ascii="仿宋" w:hAnsi="仿宋" w:eastAsia="仿宋" w:cs="仿宋"/>
          <w:color w:val="000000"/>
        </w:rPr>
      </w:pPr>
    </w:p>
    <w:p w14:paraId="706FFDDE">
      <w:pPr>
        <w:spacing w:line="360" w:lineRule="auto"/>
        <w:rPr>
          <w:rFonts w:ascii="仿宋" w:hAnsi="仿宋" w:eastAsia="仿宋" w:cs="仿宋"/>
          <w:b/>
          <w:bCs/>
          <w:color w:val="000000"/>
          <w:sz w:val="30"/>
          <w:szCs w:val="30"/>
          <w:u w:val="single"/>
        </w:rPr>
      </w:pPr>
      <w:r>
        <w:rPr>
          <w:rFonts w:hint="eastAsia" w:ascii="仿宋" w:hAnsi="仿宋" w:eastAsia="仿宋" w:cs="仿宋"/>
          <w:b/>
          <w:bCs/>
          <w:color w:val="000000"/>
          <w:sz w:val="30"/>
          <w:szCs w:val="30"/>
        </w:rPr>
        <w:t>招    标   人：</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val="en-US" w:eastAsia="zh-CN"/>
        </w:rPr>
        <w:t xml:space="preserve">     </w:t>
      </w:r>
      <w:r>
        <w:rPr>
          <w:rFonts w:hint="eastAsia" w:ascii="仿宋" w:hAnsi="仿宋" w:eastAsia="仿宋" w:cs="仿宋"/>
          <w:b/>
          <w:bCs/>
          <w:color w:val="000000"/>
          <w:sz w:val="30"/>
          <w:szCs w:val="30"/>
          <w:u w:val="single"/>
          <w:lang w:eastAsia="zh-CN"/>
        </w:rPr>
        <w:t>喀什某单位</w:t>
      </w:r>
      <w:r>
        <w:rPr>
          <w:rFonts w:hint="eastAsia" w:ascii="仿宋" w:hAnsi="仿宋" w:eastAsia="仿宋" w:cs="仿宋"/>
          <w:b/>
          <w:bCs/>
          <w:color w:val="000000"/>
          <w:sz w:val="30"/>
          <w:szCs w:val="30"/>
          <w:u w:val="single"/>
        </w:rPr>
        <w:t xml:space="preserve">                              </w:t>
      </w:r>
    </w:p>
    <w:p w14:paraId="0F42BECF">
      <w:pPr>
        <w:pStyle w:val="33"/>
        <w:spacing w:before="75" w:beforeAutospacing="0" w:after="75" w:afterAutospacing="0" w:line="420" w:lineRule="exact"/>
        <w:rPr>
          <w:rFonts w:ascii="仿宋" w:hAnsi="仿宋" w:eastAsia="仿宋" w:cs="仿宋"/>
          <w:b/>
          <w:bCs/>
          <w:color w:val="000000"/>
          <w:kern w:val="2"/>
          <w:sz w:val="30"/>
          <w:szCs w:val="30"/>
          <w:u w:val="single"/>
        </w:rPr>
      </w:pPr>
      <w:r>
        <w:rPr>
          <w:rFonts w:hint="eastAsia" w:ascii="仿宋" w:hAnsi="仿宋" w:eastAsia="仿宋" w:cs="仿宋"/>
          <w:b/>
          <w:bCs/>
          <w:color w:val="000000"/>
          <w:kern w:val="2"/>
          <w:sz w:val="30"/>
          <w:szCs w:val="30"/>
        </w:rPr>
        <w:t>联    系   人：</w:t>
      </w:r>
      <w:r>
        <w:rPr>
          <w:rFonts w:hint="eastAsia" w:ascii="仿宋" w:hAnsi="仿宋" w:eastAsia="仿宋" w:cs="仿宋"/>
          <w:b/>
          <w:bCs/>
          <w:color w:val="000000"/>
          <w:kern w:val="2"/>
          <w:sz w:val="30"/>
          <w:szCs w:val="30"/>
          <w:u w:val="single"/>
        </w:rPr>
        <w:t xml:space="preserve">               </w:t>
      </w:r>
      <w:r>
        <w:rPr>
          <w:rFonts w:hint="eastAsia" w:ascii="仿宋" w:hAnsi="仿宋" w:eastAsia="仿宋" w:cs="仿宋"/>
          <w:b/>
          <w:bCs/>
          <w:color w:val="000000"/>
          <w:kern w:val="2"/>
          <w:sz w:val="30"/>
          <w:szCs w:val="30"/>
          <w:u w:val="single"/>
          <w:lang w:val="en-US" w:eastAsia="zh-CN"/>
        </w:rPr>
        <w:t xml:space="preserve"> </w:t>
      </w:r>
      <w:r>
        <w:rPr>
          <w:rFonts w:hint="eastAsia" w:ascii="仿宋" w:hAnsi="仿宋" w:eastAsia="仿宋" w:cs="仿宋"/>
          <w:b/>
          <w:bCs/>
          <w:color w:val="000000"/>
          <w:kern w:val="2"/>
          <w:sz w:val="30"/>
          <w:szCs w:val="30"/>
          <w:u w:val="single"/>
          <w:lang w:eastAsia="zh-CN"/>
        </w:rPr>
        <w:t>胡诗坤</w:t>
      </w:r>
      <w:r>
        <w:rPr>
          <w:rFonts w:hint="eastAsia" w:ascii="仿宋" w:hAnsi="仿宋" w:eastAsia="仿宋" w:cs="仿宋"/>
          <w:b/>
          <w:bCs/>
          <w:color w:val="000000"/>
          <w:kern w:val="2"/>
          <w:sz w:val="30"/>
          <w:szCs w:val="30"/>
          <w:u w:val="single"/>
        </w:rPr>
        <w:t xml:space="preserve">                                     </w:t>
      </w:r>
    </w:p>
    <w:p w14:paraId="799EB751">
      <w:pPr>
        <w:pStyle w:val="33"/>
        <w:spacing w:before="75" w:beforeAutospacing="0" w:after="75" w:afterAutospacing="0" w:line="420" w:lineRule="exact"/>
        <w:rPr>
          <w:rFonts w:ascii="仿宋" w:hAnsi="仿宋" w:eastAsia="仿宋" w:cs="仿宋"/>
          <w:b/>
          <w:bCs/>
          <w:color w:val="000000"/>
          <w:kern w:val="2"/>
          <w:sz w:val="30"/>
          <w:szCs w:val="30"/>
          <w:u w:val="single"/>
        </w:rPr>
      </w:pPr>
      <w:r>
        <w:rPr>
          <w:rFonts w:hint="eastAsia" w:ascii="仿宋" w:hAnsi="仿宋" w:eastAsia="仿宋" w:cs="仿宋"/>
          <w:b/>
          <w:bCs/>
          <w:color w:val="000000"/>
          <w:kern w:val="2"/>
          <w:sz w:val="30"/>
          <w:szCs w:val="30"/>
        </w:rPr>
        <w:t>联  系  电 话：</w:t>
      </w:r>
      <w:r>
        <w:rPr>
          <w:rFonts w:hint="eastAsia" w:ascii="仿宋" w:hAnsi="仿宋" w:eastAsia="仿宋" w:cs="仿宋"/>
          <w:b/>
          <w:bCs/>
          <w:color w:val="000000"/>
          <w:kern w:val="2"/>
          <w:sz w:val="30"/>
          <w:szCs w:val="30"/>
          <w:u w:val="single"/>
        </w:rPr>
        <w:t xml:space="preserve">            </w:t>
      </w:r>
      <w:r>
        <w:rPr>
          <w:rFonts w:hint="eastAsia" w:ascii="仿宋" w:hAnsi="仿宋" w:eastAsia="仿宋" w:cs="仿宋"/>
          <w:b/>
          <w:bCs/>
          <w:color w:val="000000"/>
          <w:kern w:val="2"/>
          <w:sz w:val="30"/>
          <w:szCs w:val="30"/>
          <w:u w:val="single"/>
          <w:lang w:eastAsia="zh-CN"/>
        </w:rPr>
        <w:t>13319982163</w:t>
      </w:r>
      <w:r>
        <w:rPr>
          <w:rFonts w:hint="eastAsia" w:ascii="仿宋" w:hAnsi="仿宋" w:eastAsia="仿宋" w:cs="仿宋"/>
          <w:b/>
          <w:bCs/>
          <w:color w:val="000000"/>
          <w:kern w:val="2"/>
          <w:sz w:val="30"/>
          <w:szCs w:val="30"/>
          <w:u w:val="single"/>
        </w:rPr>
        <w:t xml:space="preserve">                                   </w:t>
      </w:r>
    </w:p>
    <w:p w14:paraId="034C306D">
      <w:pPr>
        <w:pStyle w:val="33"/>
        <w:spacing w:before="75" w:beforeAutospacing="0" w:after="75" w:afterAutospacing="0" w:line="420" w:lineRule="exac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采 购代理机构：</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新疆方中圆工程项目管理有限公司</w:t>
      </w:r>
      <w:r>
        <w:rPr>
          <w:rFonts w:hint="eastAsia" w:ascii="仿宋" w:hAnsi="仿宋" w:eastAsia="仿宋" w:cs="仿宋"/>
          <w:b/>
          <w:bCs/>
          <w:color w:val="000000"/>
          <w:sz w:val="30"/>
          <w:szCs w:val="30"/>
          <w:u w:val="single"/>
        </w:rPr>
        <w:t xml:space="preserve">           </w:t>
      </w:r>
    </w:p>
    <w:p w14:paraId="43779C52">
      <w:pPr>
        <w:spacing w:line="500" w:lineRule="exact"/>
        <w:ind w:left="2096" w:hanging="2088" w:hangingChars="696"/>
        <w:jc w:val="lef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代</w:t>
      </w:r>
      <w:r>
        <w:rPr>
          <w:rFonts w:hint="eastAsia" w:ascii="仿宋" w:hAnsi="仿宋" w:eastAsia="仿宋" w:cs="仿宋"/>
          <w:b/>
          <w:bCs/>
          <w:color w:val="000000"/>
          <w:sz w:val="30"/>
          <w:szCs w:val="30"/>
          <w:lang w:val="en-US" w:eastAsia="zh-CN"/>
        </w:rPr>
        <w:t xml:space="preserve"> </w:t>
      </w:r>
      <w:r>
        <w:rPr>
          <w:rFonts w:hint="eastAsia" w:ascii="仿宋" w:hAnsi="仿宋" w:eastAsia="仿宋" w:cs="仿宋"/>
          <w:b/>
          <w:bCs/>
          <w:color w:val="000000"/>
          <w:sz w:val="30"/>
          <w:szCs w:val="30"/>
        </w:rPr>
        <w:t>理机构地址：</w:t>
      </w:r>
      <w:r>
        <w:rPr>
          <w:rFonts w:hint="eastAsia" w:ascii="仿宋" w:hAnsi="仿宋" w:eastAsia="仿宋" w:cs="仿宋"/>
          <w:b/>
          <w:bCs/>
          <w:color w:val="000000"/>
          <w:sz w:val="30"/>
          <w:szCs w:val="30"/>
          <w:u w:val="single"/>
          <w:lang w:val="en-US" w:eastAsia="zh-CN"/>
        </w:rPr>
        <w:t xml:space="preserve">     </w:t>
      </w:r>
      <w:r>
        <w:rPr>
          <w:rFonts w:hint="eastAsia" w:ascii="仿宋" w:hAnsi="仿宋" w:eastAsia="仿宋" w:cs="仿宋"/>
          <w:b/>
          <w:bCs/>
          <w:color w:val="000000"/>
          <w:sz w:val="30"/>
          <w:szCs w:val="30"/>
          <w:u w:val="single"/>
          <w:lang w:eastAsia="zh-CN"/>
        </w:rPr>
        <w:t>新疆喀什经开区深喀大道浙商大厦14楼</w:t>
      </w:r>
      <w:r>
        <w:rPr>
          <w:rFonts w:hint="eastAsia" w:ascii="仿宋" w:hAnsi="仿宋" w:eastAsia="仿宋" w:cs="仿宋"/>
          <w:b/>
          <w:bCs/>
          <w:color w:val="000000"/>
          <w:sz w:val="30"/>
          <w:szCs w:val="30"/>
          <w:u w:val="single"/>
        </w:rPr>
        <w:t xml:space="preserve">                                </w:t>
      </w:r>
    </w:p>
    <w:p w14:paraId="523F0944">
      <w:pPr>
        <w:spacing w:line="500" w:lineRule="exac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联    系   人：</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张皓旭</w:t>
      </w:r>
      <w:r>
        <w:rPr>
          <w:rFonts w:hint="eastAsia" w:ascii="仿宋" w:hAnsi="仿宋" w:eastAsia="仿宋" w:cs="仿宋"/>
          <w:b/>
          <w:bCs/>
          <w:color w:val="000000"/>
          <w:sz w:val="30"/>
          <w:szCs w:val="30"/>
          <w:u w:val="single"/>
        </w:rPr>
        <w:t xml:space="preserve">                                         </w:t>
      </w:r>
    </w:p>
    <w:p w14:paraId="2229EDCC">
      <w:pPr>
        <w:spacing w:line="500" w:lineRule="exact"/>
        <w:rPr>
          <w:rFonts w:ascii="仿宋" w:hAnsi="仿宋" w:eastAsia="仿宋" w:cs="仿宋"/>
          <w:b/>
          <w:bCs/>
          <w:color w:val="000000"/>
          <w:sz w:val="30"/>
          <w:szCs w:val="30"/>
          <w:u w:val="single"/>
        </w:rPr>
      </w:pPr>
      <w:r>
        <w:rPr>
          <w:rFonts w:hint="eastAsia" w:ascii="仿宋" w:hAnsi="仿宋" w:eastAsia="仿宋" w:cs="仿宋"/>
          <w:b/>
          <w:bCs/>
          <w:color w:val="000000"/>
          <w:sz w:val="30"/>
          <w:szCs w:val="30"/>
        </w:rPr>
        <w:t>联  系  电 话：</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13779489028</w:t>
      </w:r>
      <w:r>
        <w:rPr>
          <w:rFonts w:hint="eastAsia" w:ascii="仿宋" w:hAnsi="仿宋" w:eastAsia="仿宋" w:cs="仿宋"/>
          <w:b/>
          <w:bCs/>
          <w:color w:val="000000"/>
          <w:sz w:val="30"/>
          <w:szCs w:val="30"/>
          <w:u w:val="single"/>
        </w:rPr>
        <w:t xml:space="preserve">                                     </w:t>
      </w:r>
    </w:p>
    <w:p w14:paraId="3E2FAC5D">
      <w:pPr>
        <w:spacing w:line="600" w:lineRule="exact"/>
        <w:rPr>
          <w:rFonts w:ascii="仿宋" w:hAnsi="仿宋" w:eastAsia="仿宋" w:cs="仿宋"/>
          <w:b/>
          <w:color w:val="000000"/>
          <w:sz w:val="52"/>
        </w:rPr>
      </w:pPr>
      <w:r>
        <w:rPr>
          <w:rFonts w:hint="eastAsia" w:ascii="仿宋" w:hAnsi="仿宋" w:eastAsia="仿宋" w:cs="仿宋"/>
          <w:b/>
          <w:bCs/>
          <w:color w:val="000000"/>
          <w:sz w:val="30"/>
          <w:szCs w:val="30"/>
        </w:rPr>
        <w:t xml:space="preserve">发  出 </w:t>
      </w:r>
      <w:r>
        <w:rPr>
          <w:rFonts w:hint="eastAsia" w:ascii="仿宋" w:hAnsi="仿宋" w:eastAsia="仿宋" w:cs="仿宋"/>
          <w:b/>
          <w:bCs/>
          <w:color w:val="000000"/>
          <w:sz w:val="30"/>
          <w:szCs w:val="30"/>
          <w:lang w:val="en-US" w:eastAsia="zh-CN"/>
        </w:rPr>
        <w:t xml:space="preserve"> </w:t>
      </w:r>
      <w:r>
        <w:rPr>
          <w:rFonts w:hint="eastAsia" w:ascii="仿宋" w:hAnsi="仿宋" w:eastAsia="仿宋" w:cs="仿宋"/>
          <w:b/>
          <w:bCs/>
          <w:color w:val="000000"/>
          <w:sz w:val="30"/>
          <w:szCs w:val="30"/>
        </w:rPr>
        <w:t>日 期：</w:t>
      </w:r>
      <w:r>
        <w:rPr>
          <w:rFonts w:hint="eastAsia" w:ascii="仿宋" w:hAnsi="仿宋" w:eastAsia="仿宋" w:cs="仿宋"/>
          <w:b/>
          <w:bCs/>
          <w:color w:val="000000"/>
          <w:sz w:val="30"/>
          <w:szCs w:val="30"/>
          <w:u w:val="single"/>
        </w:rPr>
        <w:t xml:space="preserve">             202</w:t>
      </w:r>
      <w:r>
        <w:rPr>
          <w:rFonts w:hint="eastAsia" w:ascii="仿宋" w:hAnsi="仿宋" w:eastAsia="仿宋" w:cs="仿宋"/>
          <w:b/>
          <w:bCs/>
          <w:color w:val="000000"/>
          <w:sz w:val="30"/>
          <w:szCs w:val="30"/>
          <w:u w:val="single"/>
          <w:lang w:val="en-US" w:eastAsia="zh-CN"/>
        </w:rPr>
        <w:t>6</w:t>
      </w:r>
      <w:r>
        <w:rPr>
          <w:rFonts w:hint="eastAsia" w:ascii="仿宋" w:hAnsi="仿宋" w:eastAsia="仿宋" w:cs="仿宋"/>
          <w:b/>
          <w:bCs/>
          <w:color w:val="000000"/>
          <w:sz w:val="30"/>
          <w:szCs w:val="30"/>
          <w:u w:val="single"/>
        </w:rPr>
        <w:t>年</w:t>
      </w:r>
      <w:r>
        <w:rPr>
          <w:rFonts w:hint="eastAsia" w:ascii="仿宋" w:hAnsi="仿宋" w:eastAsia="仿宋" w:cs="仿宋"/>
          <w:b/>
          <w:bCs/>
          <w:color w:val="000000"/>
          <w:sz w:val="30"/>
          <w:szCs w:val="30"/>
          <w:u w:val="single"/>
          <w:lang w:val="en-US" w:eastAsia="zh-CN"/>
        </w:rPr>
        <w:t>4</w:t>
      </w:r>
      <w:r>
        <w:rPr>
          <w:rFonts w:hint="eastAsia" w:ascii="仿宋" w:hAnsi="仿宋" w:eastAsia="仿宋" w:cs="仿宋"/>
          <w:b/>
          <w:bCs/>
          <w:color w:val="000000"/>
          <w:sz w:val="30"/>
          <w:szCs w:val="30"/>
          <w:u w:val="single"/>
        </w:rPr>
        <w:t xml:space="preserve">月                  </w:t>
      </w:r>
    </w:p>
    <w:p w14:paraId="430D7A4F">
      <w:pPr>
        <w:rPr>
          <w:rFonts w:ascii="仿宋" w:hAnsi="仿宋" w:eastAsia="仿宋" w:cs="仿宋"/>
          <w:b/>
          <w:color w:val="000000"/>
          <w:sz w:val="30"/>
          <w:szCs w:val="30"/>
        </w:rPr>
      </w:pPr>
      <w:r>
        <w:rPr>
          <w:rFonts w:ascii="仿宋" w:hAnsi="仿宋" w:eastAsia="仿宋" w:cs="仿宋"/>
          <w:b/>
          <w:color w:val="000000"/>
          <w:sz w:val="30"/>
          <w:szCs w:val="30"/>
        </w:rPr>
        <w:br w:type="page"/>
      </w:r>
    </w:p>
    <w:p w14:paraId="5C0C14AC">
      <w:pPr>
        <w:pStyle w:val="27"/>
        <w:rPr>
          <w:color w:val="000000"/>
        </w:rPr>
      </w:pPr>
    </w:p>
    <w:p w14:paraId="492336BE">
      <w:pPr>
        <w:spacing w:line="240" w:lineRule="atLeast"/>
        <w:jc w:val="center"/>
        <w:rPr>
          <w:rFonts w:ascii="仿宋" w:hAnsi="仿宋" w:eastAsia="仿宋" w:cs="仿宋"/>
          <w:b/>
          <w:color w:val="000000"/>
          <w:sz w:val="30"/>
          <w:szCs w:val="30"/>
        </w:rPr>
      </w:pPr>
      <w:r>
        <w:rPr>
          <w:rFonts w:hint="eastAsia" w:ascii="仿宋" w:hAnsi="仿宋" w:eastAsia="仿宋" w:cs="仿宋"/>
          <w:b/>
          <w:color w:val="000000"/>
          <w:sz w:val="30"/>
          <w:szCs w:val="30"/>
        </w:rPr>
        <w:t>目录</w:t>
      </w:r>
    </w:p>
    <w:p w14:paraId="749F67A0">
      <w:pPr>
        <w:pStyle w:val="25"/>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TOC \o "1-3" \h \z \u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_Toc854 </w:instrText>
      </w:r>
      <w:r>
        <w:rPr>
          <w:rFonts w:hint="eastAsia" w:ascii="仿宋" w:hAnsi="仿宋" w:eastAsia="仿宋" w:cs="仿宋"/>
          <w:kern w:val="0"/>
          <w:szCs w:val="21"/>
        </w:rPr>
        <w:fldChar w:fldCharType="separate"/>
      </w:r>
      <w:r>
        <w:rPr>
          <w:rFonts w:hint="eastAsia" w:ascii="仿宋_GB2312" w:eastAsia="仿宋_GB2312" w:cs="Times New Roman"/>
          <w:kern w:val="44"/>
          <w:szCs w:val="20"/>
          <w:lang w:val="en-US" w:eastAsia="zh-CN" w:bidi="ar-SA"/>
        </w:rPr>
        <w:t>第一章、投标人须知</w:t>
      </w:r>
      <w:r>
        <w:tab/>
      </w:r>
      <w:r>
        <w:fldChar w:fldCharType="begin"/>
      </w:r>
      <w:r>
        <w:instrText xml:space="preserve"> PAGEREF _Toc854 \h </w:instrText>
      </w:r>
      <w:r>
        <w:fldChar w:fldCharType="separate"/>
      </w:r>
      <w:r>
        <w:t>6</w:t>
      </w:r>
      <w:r>
        <w:fldChar w:fldCharType="end"/>
      </w:r>
      <w:r>
        <w:rPr>
          <w:rFonts w:hint="eastAsia" w:ascii="仿宋" w:hAnsi="仿宋" w:eastAsia="仿宋" w:cs="仿宋"/>
          <w:color w:val="000000"/>
          <w:kern w:val="0"/>
          <w:szCs w:val="21"/>
        </w:rPr>
        <w:fldChar w:fldCharType="end"/>
      </w:r>
    </w:p>
    <w:p w14:paraId="3F9D4DCA">
      <w:pPr>
        <w:pStyle w:val="25"/>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_Toc23011 </w:instrText>
      </w:r>
      <w:r>
        <w:rPr>
          <w:rFonts w:hint="eastAsia" w:ascii="仿宋" w:hAnsi="仿宋" w:eastAsia="仿宋" w:cs="仿宋"/>
          <w:kern w:val="0"/>
          <w:szCs w:val="21"/>
        </w:rPr>
        <w:fldChar w:fldCharType="separate"/>
      </w:r>
      <w:r>
        <w:rPr>
          <w:rFonts w:hint="eastAsia" w:ascii="仿宋_GB2312" w:eastAsia="仿宋_GB2312" w:cs="Times New Roman"/>
          <w:kern w:val="44"/>
          <w:szCs w:val="20"/>
          <w:lang w:val="en-US" w:eastAsia="zh-CN" w:bidi="ar-SA"/>
        </w:rPr>
        <w:t>第二章、</w:t>
      </w:r>
      <w:r>
        <w:rPr>
          <w:rFonts w:hint="eastAsia" w:ascii="仿宋_GB2312" w:hAnsi="Times New Roman" w:eastAsia="仿宋_GB2312" w:cs="Times New Roman"/>
          <w:kern w:val="44"/>
          <w:szCs w:val="20"/>
          <w:lang w:val="en-US" w:eastAsia="zh-CN" w:bidi="ar-SA"/>
        </w:rPr>
        <w:t>投标文件格式</w:t>
      </w:r>
      <w:r>
        <w:tab/>
      </w:r>
      <w:r>
        <w:fldChar w:fldCharType="begin"/>
      </w:r>
      <w:r>
        <w:instrText xml:space="preserve"> PAGEREF _Toc23011 \h </w:instrText>
      </w:r>
      <w:r>
        <w:fldChar w:fldCharType="separate"/>
      </w:r>
      <w:r>
        <w:t>20</w:t>
      </w:r>
      <w:r>
        <w:fldChar w:fldCharType="end"/>
      </w:r>
      <w:r>
        <w:rPr>
          <w:rFonts w:hint="eastAsia" w:ascii="仿宋" w:hAnsi="仿宋" w:eastAsia="仿宋" w:cs="仿宋"/>
          <w:color w:val="000000"/>
          <w:kern w:val="0"/>
          <w:szCs w:val="21"/>
        </w:rPr>
        <w:fldChar w:fldCharType="end"/>
      </w:r>
    </w:p>
    <w:p w14:paraId="0D922535">
      <w:pPr>
        <w:pStyle w:val="30"/>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_Toc16768 </w:instrText>
      </w:r>
      <w:r>
        <w:rPr>
          <w:rFonts w:hint="eastAsia" w:ascii="仿宋" w:hAnsi="仿宋" w:eastAsia="仿宋" w:cs="仿宋"/>
          <w:kern w:val="0"/>
          <w:szCs w:val="21"/>
        </w:rPr>
        <w:fldChar w:fldCharType="separate"/>
      </w:r>
      <w:r>
        <w:rPr>
          <w:rFonts w:hint="eastAsia" w:ascii="仿宋" w:hAnsi="仿宋" w:eastAsia="仿宋" w:cs="仿宋"/>
        </w:rPr>
        <w:t>第一部分 开标一览表及资格证明文件</w:t>
      </w:r>
      <w:r>
        <w:tab/>
      </w:r>
      <w:r>
        <w:fldChar w:fldCharType="begin"/>
      </w:r>
      <w:r>
        <w:instrText xml:space="preserve"> PAGEREF _Toc16768 \h </w:instrText>
      </w:r>
      <w:r>
        <w:fldChar w:fldCharType="separate"/>
      </w:r>
      <w:r>
        <w:t>20</w:t>
      </w:r>
      <w:r>
        <w:fldChar w:fldCharType="end"/>
      </w:r>
      <w:r>
        <w:rPr>
          <w:rFonts w:hint="eastAsia" w:ascii="仿宋" w:hAnsi="仿宋" w:eastAsia="仿宋" w:cs="仿宋"/>
          <w:color w:val="000000"/>
          <w:kern w:val="0"/>
          <w:szCs w:val="21"/>
        </w:rPr>
        <w:fldChar w:fldCharType="end"/>
      </w:r>
    </w:p>
    <w:p w14:paraId="7A2ED3CC">
      <w:pPr>
        <w:pStyle w:val="30"/>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_Toc12675 </w:instrText>
      </w:r>
      <w:r>
        <w:rPr>
          <w:rFonts w:hint="eastAsia" w:ascii="仿宋" w:hAnsi="仿宋" w:eastAsia="仿宋" w:cs="仿宋"/>
          <w:kern w:val="0"/>
          <w:szCs w:val="21"/>
        </w:rPr>
        <w:fldChar w:fldCharType="separate"/>
      </w:r>
      <w:r>
        <w:rPr>
          <w:rFonts w:hint="eastAsia" w:ascii="仿宋" w:hAnsi="仿宋" w:eastAsia="仿宋" w:cs="仿宋"/>
        </w:rPr>
        <w:t>第二部分  商务及技术文件</w:t>
      </w:r>
      <w:r>
        <w:tab/>
      </w:r>
      <w:r>
        <w:fldChar w:fldCharType="begin"/>
      </w:r>
      <w:r>
        <w:instrText xml:space="preserve"> PAGEREF _Toc12675 \h </w:instrText>
      </w:r>
      <w:r>
        <w:fldChar w:fldCharType="separate"/>
      </w:r>
      <w:r>
        <w:t>28</w:t>
      </w:r>
      <w:r>
        <w:fldChar w:fldCharType="end"/>
      </w:r>
      <w:r>
        <w:rPr>
          <w:rFonts w:hint="eastAsia" w:ascii="仿宋" w:hAnsi="仿宋" w:eastAsia="仿宋" w:cs="仿宋"/>
          <w:color w:val="000000"/>
          <w:kern w:val="0"/>
          <w:szCs w:val="21"/>
        </w:rPr>
        <w:fldChar w:fldCharType="end"/>
      </w:r>
    </w:p>
    <w:p w14:paraId="5269653B">
      <w:pPr>
        <w:pStyle w:val="25"/>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_Toc25610 </w:instrText>
      </w:r>
      <w:r>
        <w:rPr>
          <w:rFonts w:hint="eastAsia" w:ascii="仿宋" w:hAnsi="仿宋" w:eastAsia="仿宋" w:cs="仿宋"/>
          <w:kern w:val="0"/>
          <w:szCs w:val="21"/>
        </w:rPr>
        <w:fldChar w:fldCharType="separate"/>
      </w:r>
      <w:r>
        <w:rPr>
          <w:rFonts w:hint="eastAsia" w:ascii="仿宋_GB2312" w:hAnsi="Times New Roman" w:eastAsia="仿宋_GB2312" w:cs="Times New Roman"/>
          <w:kern w:val="44"/>
          <w:szCs w:val="20"/>
          <w:lang w:val="en-US" w:eastAsia="zh-CN" w:bidi="ar-SA"/>
        </w:rPr>
        <w:t>第三章</w:t>
      </w:r>
      <w:r>
        <w:rPr>
          <w:rFonts w:hint="eastAsia" w:ascii="仿宋_GB2312" w:eastAsia="仿宋_GB2312" w:cs="Times New Roman"/>
          <w:kern w:val="44"/>
          <w:szCs w:val="20"/>
          <w:lang w:val="en-US" w:eastAsia="zh-CN" w:bidi="ar-SA"/>
        </w:rPr>
        <w:t>、</w:t>
      </w:r>
      <w:r>
        <w:rPr>
          <w:rFonts w:hint="eastAsia" w:ascii="仿宋_GB2312" w:hAnsi="Times New Roman" w:eastAsia="仿宋_GB2312" w:cs="Times New Roman"/>
          <w:kern w:val="44"/>
          <w:szCs w:val="20"/>
          <w:lang w:val="en-US" w:eastAsia="zh-CN" w:bidi="ar-SA"/>
        </w:rPr>
        <w:t>公告</w:t>
      </w:r>
      <w:r>
        <w:tab/>
      </w:r>
      <w:r>
        <w:fldChar w:fldCharType="begin"/>
      </w:r>
      <w:r>
        <w:instrText xml:space="preserve"> PAGEREF _Toc25610 \h </w:instrText>
      </w:r>
      <w:r>
        <w:fldChar w:fldCharType="separate"/>
      </w:r>
      <w:r>
        <w:t>40</w:t>
      </w:r>
      <w:r>
        <w:fldChar w:fldCharType="end"/>
      </w:r>
      <w:r>
        <w:rPr>
          <w:rFonts w:hint="eastAsia" w:ascii="仿宋" w:hAnsi="仿宋" w:eastAsia="仿宋" w:cs="仿宋"/>
          <w:color w:val="000000"/>
          <w:kern w:val="0"/>
          <w:szCs w:val="21"/>
        </w:rPr>
        <w:fldChar w:fldCharType="end"/>
      </w:r>
    </w:p>
    <w:p w14:paraId="5895674B">
      <w:pPr>
        <w:pStyle w:val="25"/>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_Toc32173 </w:instrText>
      </w:r>
      <w:r>
        <w:rPr>
          <w:rFonts w:hint="eastAsia" w:ascii="仿宋" w:hAnsi="仿宋" w:eastAsia="仿宋" w:cs="仿宋"/>
          <w:kern w:val="0"/>
          <w:szCs w:val="21"/>
        </w:rPr>
        <w:fldChar w:fldCharType="separate"/>
      </w:r>
      <w:r>
        <w:rPr>
          <w:rFonts w:hint="eastAsia"/>
          <w:lang w:val="en-US" w:eastAsia="zh-CN"/>
        </w:rPr>
        <w:t>第四章、投标人须知资料表</w:t>
      </w:r>
      <w:r>
        <w:tab/>
      </w:r>
      <w:r>
        <w:fldChar w:fldCharType="begin"/>
      </w:r>
      <w:r>
        <w:instrText xml:space="preserve"> PAGEREF _Toc32173 \h </w:instrText>
      </w:r>
      <w:r>
        <w:fldChar w:fldCharType="separate"/>
      </w:r>
      <w:r>
        <w:t>42</w:t>
      </w:r>
      <w:r>
        <w:fldChar w:fldCharType="end"/>
      </w:r>
      <w:r>
        <w:rPr>
          <w:rFonts w:hint="eastAsia" w:ascii="仿宋" w:hAnsi="仿宋" w:eastAsia="仿宋" w:cs="仿宋"/>
          <w:color w:val="000000"/>
          <w:kern w:val="0"/>
          <w:szCs w:val="21"/>
        </w:rPr>
        <w:fldChar w:fldCharType="end"/>
      </w:r>
    </w:p>
    <w:p w14:paraId="39CD1E20">
      <w:pPr>
        <w:pStyle w:val="25"/>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_Toc31263 </w:instrText>
      </w:r>
      <w:r>
        <w:rPr>
          <w:rFonts w:hint="eastAsia" w:ascii="仿宋" w:hAnsi="仿宋" w:eastAsia="仿宋" w:cs="仿宋"/>
          <w:kern w:val="0"/>
          <w:szCs w:val="21"/>
        </w:rPr>
        <w:fldChar w:fldCharType="separate"/>
      </w:r>
      <w:r>
        <w:rPr>
          <w:rFonts w:hint="eastAsia"/>
          <w:lang w:val="en-US" w:eastAsia="zh-CN"/>
        </w:rPr>
        <w:t>第五章、采购需求</w:t>
      </w:r>
      <w:r>
        <w:tab/>
      </w:r>
      <w:r>
        <w:fldChar w:fldCharType="begin"/>
      </w:r>
      <w:r>
        <w:instrText xml:space="preserve"> PAGEREF _Toc31263 \h </w:instrText>
      </w:r>
      <w:r>
        <w:fldChar w:fldCharType="separate"/>
      </w:r>
      <w:r>
        <w:t>46</w:t>
      </w:r>
      <w:r>
        <w:fldChar w:fldCharType="end"/>
      </w:r>
      <w:r>
        <w:rPr>
          <w:rFonts w:hint="eastAsia" w:ascii="仿宋" w:hAnsi="仿宋" w:eastAsia="仿宋" w:cs="仿宋"/>
          <w:color w:val="000000"/>
          <w:kern w:val="0"/>
          <w:szCs w:val="21"/>
        </w:rPr>
        <w:fldChar w:fldCharType="end"/>
      </w:r>
    </w:p>
    <w:p w14:paraId="149E65C8">
      <w:pPr>
        <w:pStyle w:val="25"/>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_Toc19688 </w:instrText>
      </w:r>
      <w:r>
        <w:rPr>
          <w:rFonts w:hint="eastAsia" w:ascii="仿宋" w:hAnsi="仿宋" w:eastAsia="仿宋" w:cs="仿宋"/>
          <w:kern w:val="0"/>
          <w:szCs w:val="21"/>
        </w:rPr>
        <w:fldChar w:fldCharType="separate"/>
      </w:r>
      <w:r>
        <w:rPr>
          <w:rFonts w:hint="eastAsia" w:ascii="仿宋_GB2312" w:eastAsia="仿宋_GB2312"/>
        </w:rPr>
        <w:t>第六章、评标方法和标准</w:t>
      </w:r>
      <w:r>
        <w:tab/>
      </w:r>
      <w:r>
        <w:fldChar w:fldCharType="begin"/>
      </w:r>
      <w:r>
        <w:instrText xml:space="preserve"> PAGEREF _Toc19688 \h </w:instrText>
      </w:r>
      <w:r>
        <w:fldChar w:fldCharType="separate"/>
      </w:r>
      <w:r>
        <w:t>54</w:t>
      </w:r>
      <w:r>
        <w:fldChar w:fldCharType="end"/>
      </w:r>
      <w:r>
        <w:rPr>
          <w:rFonts w:hint="eastAsia" w:ascii="仿宋" w:hAnsi="仿宋" w:eastAsia="仿宋" w:cs="仿宋"/>
          <w:color w:val="000000"/>
          <w:kern w:val="0"/>
          <w:szCs w:val="21"/>
        </w:rPr>
        <w:fldChar w:fldCharType="end"/>
      </w:r>
    </w:p>
    <w:p w14:paraId="5946F77C">
      <w:pPr>
        <w:pStyle w:val="25"/>
        <w:tabs>
          <w:tab w:val="right" w:leader="dot" w:pos="8312"/>
        </w:tabs>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_Toc20387 </w:instrText>
      </w:r>
      <w:r>
        <w:rPr>
          <w:rFonts w:hint="eastAsia" w:ascii="仿宋" w:hAnsi="仿宋" w:eastAsia="仿宋" w:cs="仿宋"/>
          <w:kern w:val="0"/>
          <w:szCs w:val="21"/>
        </w:rPr>
        <w:fldChar w:fldCharType="separate"/>
      </w:r>
      <w:r>
        <w:rPr>
          <w:rFonts w:hint="eastAsia" w:ascii="仿宋_GB2312" w:eastAsia="仿宋_GB2312"/>
        </w:rPr>
        <w:t>第七章、政府采购合同</w:t>
      </w:r>
      <w:r>
        <w:tab/>
      </w:r>
      <w:r>
        <w:fldChar w:fldCharType="begin"/>
      </w:r>
      <w:r>
        <w:instrText xml:space="preserve"> PAGEREF _Toc20387 \h </w:instrText>
      </w:r>
      <w:r>
        <w:fldChar w:fldCharType="separate"/>
      </w:r>
      <w:r>
        <w:t>71</w:t>
      </w:r>
      <w:r>
        <w:fldChar w:fldCharType="end"/>
      </w:r>
      <w:r>
        <w:rPr>
          <w:rFonts w:hint="eastAsia" w:ascii="仿宋" w:hAnsi="仿宋" w:eastAsia="仿宋" w:cs="仿宋"/>
          <w:color w:val="000000"/>
          <w:kern w:val="0"/>
          <w:szCs w:val="21"/>
        </w:rPr>
        <w:fldChar w:fldCharType="end"/>
      </w:r>
    </w:p>
    <w:p w14:paraId="74D4B20D">
      <w:pPr>
        <w:pStyle w:val="3"/>
        <w:numPr>
          <w:ilvl w:val="0"/>
          <w:numId w:val="0"/>
        </w:numPr>
        <w:tabs>
          <w:tab w:val="left" w:pos="0"/>
        </w:tabs>
        <w:spacing w:before="0" w:after="0" w:line="240" w:lineRule="atLeast"/>
        <w:ind w:left="0" w:leftChars="0" w:firstLine="0" w:firstLineChars="0"/>
        <w:jc w:val="center"/>
        <w:rPr>
          <w:rFonts w:hint="eastAsia" w:ascii="仿宋" w:hAnsi="仿宋" w:eastAsia="仿宋" w:cs="仿宋"/>
          <w:color w:val="000000"/>
        </w:rPr>
      </w:pPr>
      <w:r>
        <w:rPr>
          <w:rFonts w:hint="eastAsia" w:ascii="仿宋" w:hAnsi="仿宋" w:eastAsia="仿宋" w:cs="仿宋"/>
          <w:color w:val="000000"/>
          <w:kern w:val="0"/>
          <w:szCs w:val="21"/>
        </w:rPr>
        <w:fldChar w:fldCharType="end"/>
      </w:r>
      <w:bookmarkStart w:id="0" w:name="_Toc22782"/>
      <w:bookmarkStart w:id="1" w:name="_Toc17230"/>
      <w:bookmarkStart w:id="2" w:name="_Toc854"/>
      <w:bookmarkStart w:id="3" w:name="_Toc216582804"/>
      <w:r>
        <w:rPr>
          <w:rFonts w:hint="eastAsia" w:ascii="仿宋" w:hAnsi="仿宋" w:eastAsia="仿宋" w:cs="仿宋"/>
          <w:color w:val="000000"/>
          <w:kern w:val="0"/>
          <w:szCs w:val="21"/>
        </w:rPr>
        <w:br w:type="page"/>
      </w:r>
      <w:bookmarkStart w:id="4" w:name="_Toc515647756"/>
      <w:r>
        <w:rPr>
          <w:rFonts w:hint="eastAsia" w:ascii="仿宋_GB2312" w:eastAsia="仿宋_GB2312" w:cs="Times New Roman"/>
          <w:b/>
          <w:color w:val="000000"/>
          <w:kern w:val="44"/>
          <w:sz w:val="32"/>
          <w:szCs w:val="20"/>
          <w:lang w:val="en-US" w:eastAsia="zh-CN" w:bidi="ar-SA"/>
        </w:rPr>
        <w:t>第一章、投标人须知</w:t>
      </w:r>
      <w:bookmarkEnd w:id="0"/>
      <w:bookmarkEnd w:id="1"/>
      <w:bookmarkEnd w:id="2"/>
      <w:bookmarkEnd w:id="3"/>
      <w:bookmarkEnd w:id="4"/>
    </w:p>
    <w:p w14:paraId="76F0A3DC">
      <w:pPr>
        <w:pStyle w:val="4"/>
        <w:spacing w:before="0" w:line="240" w:lineRule="atLeast"/>
        <w:ind w:left="1079" w:leftChars="257" w:hanging="540"/>
        <w:rPr>
          <w:rFonts w:ascii="仿宋" w:hAnsi="仿宋" w:eastAsia="仿宋" w:cs="仿宋"/>
          <w:color w:val="000000"/>
          <w:sz w:val="28"/>
        </w:rPr>
      </w:pPr>
      <w:bookmarkStart w:id="5" w:name="_Toc520356143"/>
      <w:bookmarkStart w:id="6" w:name="_Toc216582805"/>
      <w:bookmarkStart w:id="7" w:name="_Toc515647757"/>
      <w:bookmarkStart w:id="8" w:name="_Toc28727"/>
      <w:bookmarkStart w:id="9" w:name="_Toc21215"/>
      <w:bookmarkStart w:id="10" w:name="_Toc21015"/>
      <w:r>
        <w:rPr>
          <w:rFonts w:hint="eastAsia" w:ascii="仿宋" w:hAnsi="仿宋" w:eastAsia="仿宋" w:cs="仿宋"/>
          <w:color w:val="000000"/>
          <w:sz w:val="28"/>
        </w:rPr>
        <w:t xml:space="preserve">一   </w:t>
      </w:r>
      <w:bookmarkEnd w:id="5"/>
      <w:bookmarkEnd w:id="6"/>
      <w:bookmarkEnd w:id="7"/>
      <w:r>
        <w:rPr>
          <w:rFonts w:hint="eastAsia" w:ascii="仿宋" w:hAnsi="仿宋" w:eastAsia="仿宋" w:cs="仿宋"/>
          <w:color w:val="000000"/>
          <w:sz w:val="28"/>
        </w:rPr>
        <w:t>总 则</w:t>
      </w:r>
      <w:bookmarkEnd w:id="8"/>
      <w:bookmarkEnd w:id="9"/>
      <w:bookmarkEnd w:id="10"/>
    </w:p>
    <w:p w14:paraId="36A9E964">
      <w:pPr>
        <w:pStyle w:val="5"/>
        <w:keepNext/>
        <w:keepLines/>
        <w:pageBreakBefore w:val="0"/>
        <w:widowControl w:val="0"/>
        <w:kinsoku/>
        <w:wordWrap/>
        <w:overflowPunct/>
        <w:topLinePunct w:val="0"/>
        <w:autoSpaceDE w:val="0"/>
        <w:autoSpaceDN w:val="0"/>
        <w:bidi w:val="0"/>
        <w:adjustRightInd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1" w:name="_Toc520356144"/>
      <w:bookmarkStart w:id="12" w:name="_Toc32189"/>
      <w:bookmarkStart w:id="13" w:name="_Toc515647758"/>
      <w:bookmarkStart w:id="14" w:name="_Toc29231"/>
      <w:bookmarkStart w:id="15" w:name="_Toc13558"/>
      <w:bookmarkStart w:id="16" w:name="_Toc18681"/>
      <w:bookmarkStart w:id="17" w:name="_Toc19663"/>
      <w:bookmarkStart w:id="18" w:name="_Toc32623"/>
      <w:bookmarkStart w:id="19" w:name="_Toc19296"/>
      <w:bookmarkStart w:id="20" w:name="_Toc520356165"/>
      <w:bookmarkStart w:id="21" w:name="_Toc21372"/>
      <w:bookmarkStart w:id="22" w:name="_Toc515647780"/>
      <w:r>
        <w:rPr>
          <w:rFonts w:hint="eastAsia" w:ascii="仿宋" w:hAnsi="仿宋" w:eastAsia="仿宋" w:cs="仿宋"/>
          <w:color w:val="000000"/>
          <w:sz w:val="24"/>
          <w:szCs w:val="24"/>
          <w:u w:val="none"/>
        </w:rPr>
        <w:t>1.采购人、采购代理机构及</w:t>
      </w:r>
      <w:bookmarkEnd w:id="11"/>
      <w:r>
        <w:rPr>
          <w:rFonts w:hint="eastAsia" w:ascii="仿宋" w:hAnsi="仿宋" w:eastAsia="仿宋" w:cs="仿宋"/>
          <w:color w:val="000000"/>
          <w:sz w:val="24"/>
          <w:szCs w:val="24"/>
          <w:u w:val="none"/>
        </w:rPr>
        <w:t>投标人</w:t>
      </w:r>
      <w:bookmarkEnd w:id="12"/>
      <w:bookmarkEnd w:id="13"/>
      <w:bookmarkEnd w:id="14"/>
      <w:bookmarkEnd w:id="15"/>
      <w:bookmarkEnd w:id="16"/>
      <w:bookmarkEnd w:id="17"/>
      <w:bookmarkEnd w:id="18"/>
    </w:p>
    <w:p w14:paraId="2947AD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ascii="仿宋" w:hAnsi="仿宋" w:eastAsia="仿宋" w:cs="仿宋"/>
          <w:color w:val="000000"/>
          <w:sz w:val="24"/>
        </w:rPr>
      </w:pPr>
      <w:r>
        <w:rPr>
          <w:rFonts w:hint="eastAsia" w:ascii="仿宋" w:hAnsi="仿宋" w:eastAsia="仿宋" w:cs="仿宋"/>
          <w:color w:val="000000"/>
          <w:kern w:val="2"/>
          <w:sz w:val="24"/>
          <w:szCs w:val="24"/>
          <w:lang w:val="en-US" w:eastAsia="zh-CN" w:bidi="ar-SA"/>
        </w:rPr>
        <w:t>1.1</w:t>
      </w:r>
      <w:r>
        <w:rPr>
          <w:rFonts w:hint="eastAsia" w:ascii="仿宋" w:hAnsi="仿宋" w:eastAsia="仿宋" w:cs="仿宋"/>
          <w:color w:val="000000"/>
          <w:sz w:val="24"/>
        </w:rPr>
        <w:t xml:space="preserve">    采购人：是指依法开展政府采购活动的国家机关、事业单位、团体组织。本项目的采购人见</w:t>
      </w:r>
      <w:r>
        <w:rPr>
          <w:rFonts w:hint="eastAsia" w:ascii="仿宋" w:hAnsi="仿宋" w:eastAsia="仿宋" w:cs="仿宋"/>
          <w:color w:val="000000"/>
          <w:sz w:val="24"/>
          <w:u w:val="single"/>
        </w:rPr>
        <w:t>投标人须知资料表</w:t>
      </w:r>
      <w:r>
        <w:rPr>
          <w:rFonts w:hint="eastAsia" w:ascii="仿宋" w:hAnsi="仿宋" w:eastAsia="仿宋" w:cs="仿宋"/>
          <w:color w:val="000000"/>
          <w:sz w:val="24"/>
        </w:rPr>
        <w:t>。</w:t>
      </w:r>
    </w:p>
    <w:p w14:paraId="3D5EA95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ascii="仿宋" w:hAnsi="仿宋" w:eastAsia="仿宋" w:cs="仿宋"/>
          <w:color w:val="000000"/>
          <w:sz w:val="24"/>
        </w:rPr>
      </w:pPr>
      <w:r>
        <w:rPr>
          <w:rFonts w:hint="eastAsia" w:ascii="仿宋" w:hAnsi="仿宋" w:eastAsia="仿宋" w:cs="仿宋"/>
          <w:color w:val="000000"/>
          <w:kern w:val="2"/>
          <w:sz w:val="24"/>
          <w:szCs w:val="24"/>
          <w:lang w:val="en-US" w:eastAsia="zh-CN" w:bidi="ar-SA"/>
        </w:rPr>
        <w:t>1.2</w:t>
      </w:r>
      <w:r>
        <w:rPr>
          <w:rFonts w:hint="eastAsia" w:ascii="仿宋" w:hAnsi="仿宋" w:eastAsia="仿宋" w:cs="仿宋"/>
          <w:color w:val="000000"/>
          <w:sz w:val="24"/>
        </w:rPr>
        <w:t xml:space="preserve">    采购代理机构：是指在集中采购机构或从事采购代理业务的社会中介机构。本项目的采购代理机构见</w:t>
      </w:r>
      <w:r>
        <w:rPr>
          <w:rFonts w:hint="eastAsia" w:ascii="仿宋" w:hAnsi="仿宋" w:eastAsia="仿宋" w:cs="仿宋"/>
          <w:color w:val="000000"/>
          <w:sz w:val="24"/>
          <w:u w:val="single"/>
        </w:rPr>
        <w:t>投标人须知资料表</w:t>
      </w:r>
      <w:r>
        <w:rPr>
          <w:rFonts w:hint="eastAsia" w:ascii="仿宋" w:hAnsi="仿宋" w:eastAsia="仿宋" w:cs="仿宋"/>
          <w:color w:val="000000"/>
          <w:sz w:val="24"/>
        </w:rPr>
        <w:t>。</w:t>
      </w:r>
    </w:p>
    <w:p w14:paraId="269D08FF">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07" w:leftChars="0" w:hanging="907" w:firstLineChars="0"/>
        <w:textAlignment w:val="auto"/>
        <w:rPr>
          <w:rFonts w:ascii="仿宋" w:hAnsi="仿宋" w:eastAsia="仿宋" w:cs="仿宋"/>
          <w:color w:val="000000"/>
          <w:sz w:val="24"/>
        </w:rPr>
      </w:pPr>
      <w:r>
        <w:rPr>
          <w:rFonts w:hint="eastAsia" w:ascii="仿宋" w:hAnsi="仿宋" w:eastAsia="仿宋" w:cs="仿宋"/>
          <w:color w:val="000000"/>
          <w:kern w:val="2"/>
          <w:sz w:val="24"/>
          <w:szCs w:val="24"/>
          <w:lang w:val="en-US" w:eastAsia="zh-CN" w:bidi="ar-SA"/>
        </w:rPr>
        <w:t>1.3</w:t>
      </w:r>
      <w:r>
        <w:rPr>
          <w:rFonts w:hint="eastAsia" w:ascii="仿宋" w:hAnsi="仿宋" w:eastAsia="仿宋" w:cs="仿宋"/>
          <w:color w:val="000000"/>
          <w:sz w:val="24"/>
        </w:rPr>
        <w:t xml:space="preserve">    投标人：是指向采购人提供货物、工程或者服务的法人、非法人组织或者自然人。</w:t>
      </w:r>
      <w:r>
        <w:rPr>
          <w:rFonts w:hint="eastAsia" w:ascii="仿宋" w:hAnsi="仿宋" w:eastAsia="仿宋" w:cs="仿宋"/>
          <w:i w:val="0"/>
          <w:iCs w:val="0"/>
          <w:color w:val="000000"/>
          <w:sz w:val="24"/>
          <w:highlight w:val="none"/>
        </w:rPr>
        <w:t>本项目的</w:t>
      </w:r>
      <w:r>
        <w:rPr>
          <w:rFonts w:hint="eastAsia" w:ascii="仿宋" w:hAnsi="仿宋" w:eastAsia="仿宋" w:cs="仿宋"/>
          <w:i w:val="0"/>
          <w:iCs w:val="0"/>
          <w:color w:val="000000"/>
          <w:sz w:val="24"/>
          <w:highlight w:val="none"/>
          <w:lang w:eastAsia="zh-CN"/>
        </w:rPr>
        <w:t>投标人</w:t>
      </w:r>
      <w:r>
        <w:rPr>
          <w:rFonts w:hint="eastAsia" w:ascii="仿宋" w:hAnsi="仿宋" w:eastAsia="仿宋" w:cs="仿宋"/>
          <w:i w:val="0"/>
          <w:iCs w:val="0"/>
          <w:color w:val="000000"/>
          <w:sz w:val="24"/>
          <w:highlight w:val="none"/>
        </w:rPr>
        <w:t>及其</w:t>
      </w:r>
      <w:r>
        <w:rPr>
          <w:rFonts w:hint="eastAsia" w:ascii="仿宋" w:hAnsi="仿宋" w:eastAsia="仿宋" w:cs="仿宋"/>
          <w:i w:val="0"/>
          <w:iCs w:val="0"/>
          <w:color w:val="000000"/>
          <w:sz w:val="24"/>
          <w:highlight w:val="none"/>
          <w:lang w:eastAsia="zh-CN"/>
        </w:rPr>
        <w:t>报价</w:t>
      </w:r>
      <w:r>
        <w:rPr>
          <w:rFonts w:hint="eastAsia" w:ascii="仿宋" w:hAnsi="仿宋" w:eastAsia="仿宋" w:cs="仿宋"/>
          <w:i w:val="0"/>
          <w:iCs w:val="0"/>
          <w:color w:val="000000"/>
          <w:sz w:val="24"/>
          <w:highlight w:val="none"/>
        </w:rPr>
        <w:t>货物须满足以下条件</w:t>
      </w:r>
      <w:r>
        <w:rPr>
          <w:rFonts w:hint="eastAsia" w:ascii="仿宋" w:hAnsi="仿宋" w:eastAsia="仿宋" w:cs="仿宋"/>
          <w:color w:val="000000"/>
          <w:sz w:val="24"/>
        </w:rPr>
        <w:t>：</w:t>
      </w:r>
    </w:p>
    <w:p w14:paraId="4F00479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1.3.1   在中华人民共和国境内注册，能够独立承担民事责任，有生产或供应能力的本国供应商。</w:t>
      </w:r>
    </w:p>
    <w:p w14:paraId="09278A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1.3.2   具备《中华人民共和国政府采购法》第二十二条关于供应商条件的规定，遵守本项目采购人本级和上级财政部门政府采购的有关规定。</w:t>
      </w:r>
    </w:p>
    <w:p w14:paraId="0F1C6C2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1.3.3   以采购代理机构认可的方式获得了本项目的招标文件。</w:t>
      </w:r>
    </w:p>
    <w:p w14:paraId="2F9888D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1.3.4   符合投标人须知资料表中规定的其他要求。</w:t>
      </w:r>
    </w:p>
    <w:p w14:paraId="42DC468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1.3.5   若投标人须知资料表中写明允许采购进口产品，投标人应保证所投产品可履行合法报通关手续进入中国关境内。</w:t>
      </w:r>
    </w:p>
    <w:p w14:paraId="11FB983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ab/>
      </w:r>
      <w:r>
        <w:rPr>
          <w:rFonts w:hint="eastAsia" w:ascii="仿宋" w:hAnsi="仿宋" w:eastAsia="仿宋" w:cs="仿宋"/>
          <w:color w:val="000000"/>
          <w:kern w:val="2"/>
          <w:sz w:val="24"/>
          <w:szCs w:val="24"/>
          <w:lang w:val="en-US" w:eastAsia="zh-CN" w:bidi="ar-SA"/>
        </w:rPr>
        <w:t>若投标人须知资料表中未写明允许采购进口产品，如投标人所投产品为进口产品，其投标将被认定为投标无效。</w:t>
      </w:r>
    </w:p>
    <w:p w14:paraId="2FC7C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1.3.6   若投标人须知资料表中写明专门面向中小企业采购的，如投标人为非中小企业且所投产品为非中小企业产品，其投标将被认定为投标无效。</w:t>
      </w:r>
    </w:p>
    <w:p w14:paraId="6C03F93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     如投标人须知资料表中允许联合体投标，对联合体规定如下：</w:t>
      </w:r>
    </w:p>
    <w:p w14:paraId="6299A30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1.4.1   两个以上供应商可以组成一个投标联合体，以一个投标人的身份投标。</w:t>
      </w:r>
    </w:p>
    <w:p w14:paraId="3F1D4A6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1.4.2   联合体各方均应符合《中华人民共和国政府采购法》第二十二条规定的条件。</w:t>
      </w:r>
    </w:p>
    <w:p w14:paraId="27E7984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1.4.3   采购人根据采购项目对投标人的特殊要求，联合体中至少应当有一方符合相关规定。</w:t>
      </w:r>
    </w:p>
    <w:p w14:paraId="7838073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1.4.4   联合体各方应签订共同投标协议，明确约定联合体各方承担的工作和相应的责任，并将共同投标协议连同作为投标文件第一部分的内容提交。</w:t>
      </w:r>
    </w:p>
    <w:p w14:paraId="76B2283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1.4.5   大中型企业、其他自然人、法人或者非法人组织与小型、微型企业组成联合体共同参加投标，共同投标协议中应写明小型、微型企业的协议合同金额占到共同投标协议投标总金额的比例。</w:t>
      </w:r>
    </w:p>
    <w:p w14:paraId="5B4F784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1.4.6   联合体中有同类资质的供应商按照联合体分工承担相同工作的，按照较低的资质等级确定联合体的资质等级。</w:t>
      </w:r>
    </w:p>
    <w:p w14:paraId="750368D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78BBF36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1.4.8   对联合体投标的其他资格要求见投标人须知资料表。</w:t>
      </w:r>
    </w:p>
    <w:p w14:paraId="552827B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1.5    单位负责人为同一人或者存在直接控股、管理关系的不同供应商，其相关投标将被认定为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4E819DE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49F1283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1.7     投标人在投标过程中不得向采购人提供、给予任何有价值的物品，影响其正常决策行为。一经发现，其将被认定为投标无效。</w:t>
      </w:r>
    </w:p>
    <w:p w14:paraId="29EC0CDF">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3" w:name="_Toc515647759"/>
      <w:bookmarkStart w:id="24" w:name="_Toc12139"/>
      <w:bookmarkStart w:id="25" w:name="_Toc31800"/>
      <w:bookmarkStart w:id="26" w:name="_Toc5286"/>
      <w:bookmarkStart w:id="27" w:name="_Toc19511"/>
      <w:bookmarkStart w:id="28" w:name="_Toc15185"/>
      <w:bookmarkStart w:id="29" w:name="_Toc22975"/>
      <w:r>
        <w:rPr>
          <w:rFonts w:hint="eastAsia" w:ascii="仿宋" w:hAnsi="仿宋" w:eastAsia="仿宋" w:cs="仿宋"/>
          <w:color w:val="000000"/>
          <w:sz w:val="24"/>
          <w:szCs w:val="24"/>
          <w:u w:val="none"/>
        </w:rPr>
        <w:t>2.资金来源</w:t>
      </w:r>
      <w:bookmarkEnd w:id="23"/>
      <w:bookmarkEnd w:id="24"/>
      <w:bookmarkEnd w:id="25"/>
      <w:bookmarkEnd w:id="26"/>
      <w:bookmarkEnd w:id="27"/>
      <w:bookmarkEnd w:id="28"/>
      <w:bookmarkEnd w:id="29"/>
    </w:p>
    <w:p w14:paraId="1BBFFB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2.1     本项目的采购人已获得足以支付本次招标后所签订的合同项下的资金（包括财政性资金和本项目采购中无法与财政性资金分割的非财政性资金）。</w:t>
      </w:r>
    </w:p>
    <w:p w14:paraId="68AB21B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2.2     项目预算金额和分项或分包最高限价见投标人须知资料表。</w:t>
      </w:r>
    </w:p>
    <w:p w14:paraId="23B34FA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2.3     投标人报价超过招标文件规定的预算金额或者分项、分包最高限价的，其投标将被认定为投标无效。</w:t>
      </w:r>
    </w:p>
    <w:p w14:paraId="09CC51F2">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30" w:name="_Toc515647760"/>
      <w:bookmarkStart w:id="31" w:name="_Toc4805"/>
      <w:bookmarkStart w:id="32" w:name="_Toc520356145"/>
      <w:bookmarkStart w:id="33" w:name="_Toc14239"/>
      <w:bookmarkStart w:id="34" w:name="_Toc10144"/>
      <w:bookmarkStart w:id="35" w:name="_Toc20526"/>
      <w:bookmarkStart w:id="36" w:name="_Toc15936"/>
      <w:bookmarkStart w:id="37" w:name="_Toc23933"/>
      <w:r>
        <w:rPr>
          <w:rFonts w:hint="eastAsia" w:ascii="仿宋" w:hAnsi="仿宋" w:eastAsia="仿宋" w:cs="仿宋"/>
          <w:color w:val="000000"/>
          <w:sz w:val="24"/>
          <w:szCs w:val="24"/>
          <w:u w:val="none"/>
        </w:rPr>
        <w:t>3.投标费用</w:t>
      </w:r>
      <w:bookmarkEnd w:id="30"/>
      <w:bookmarkEnd w:id="31"/>
      <w:bookmarkEnd w:id="32"/>
      <w:bookmarkEnd w:id="33"/>
      <w:bookmarkEnd w:id="34"/>
      <w:bookmarkEnd w:id="35"/>
      <w:bookmarkEnd w:id="36"/>
      <w:bookmarkEnd w:id="37"/>
    </w:p>
    <w:p w14:paraId="12D427C5">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ascii="仿宋" w:hAnsi="仿宋" w:eastAsia="仿宋" w:cs="仿宋"/>
          <w:color w:val="000000"/>
          <w:sz w:val="24"/>
        </w:rPr>
      </w:pPr>
      <w:r>
        <w:rPr>
          <w:rFonts w:hint="eastAsia" w:ascii="仿宋" w:hAnsi="仿宋" w:eastAsia="仿宋" w:cs="仿宋"/>
          <w:color w:val="000000"/>
          <w:sz w:val="24"/>
        </w:rPr>
        <w:tab/>
      </w:r>
      <w:r>
        <w:rPr>
          <w:rFonts w:hint="eastAsia" w:ascii="仿宋" w:hAnsi="仿宋" w:eastAsia="仿宋" w:cs="仿宋"/>
          <w:color w:val="000000"/>
          <w:sz w:val="24"/>
        </w:rPr>
        <w:t>不论投标的结果如何，投标人应承担所有与准备和参加投标有关的费用。</w:t>
      </w:r>
    </w:p>
    <w:p w14:paraId="0CB2FADB">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38" w:name="_Toc4463"/>
      <w:bookmarkStart w:id="39" w:name="_Toc16788"/>
      <w:bookmarkStart w:id="40" w:name="_Toc6116"/>
      <w:bookmarkStart w:id="41" w:name="_Toc12355"/>
      <w:bookmarkStart w:id="42" w:name="_Toc13739"/>
      <w:bookmarkStart w:id="43" w:name="_Toc7374"/>
      <w:bookmarkStart w:id="44" w:name="_Toc515647761"/>
      <w:r>
        <w:rPr>
          <w:rFonts w:hint="eastAsia" w:ascii="仿宋" w:hAnsi="仿宋" w:eastAsia="仿宋" w:cs="仿宋"/>
          <w:color w:val="000000"/>
          <w:sz w:val="24"/>
          <w:szCs w:val="24"/>
          <w:u w:val="none"/>
        </w:rPr>
        <w:t>4.适用法律</w:t>
      </w:r>
      <w:bookmarkEnd w:id="38"/>
      <w:bookmarkEnd w:id="39"/>
      <w:bookmarkEnd w:id="40"/>
      <w:bookmarkEnd w:id="41"/>
      <w:bookmarkEnd w:id="42"/>
      <w:bookmarkEnd w:id="43"/>
      <w:bookmarkEnd w:id="44"/>
    </w:p>
    <w:p w14:paraId="30755348">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ascii="仿宋" w:hAnsi="仿宋" w:eastAsia="仿宋" w:cs="仿宋"/>
          <w:color w:val="000000"/>
          <w:sz w:val="24"/>
        </w:rPr>
      </w:pPr>
      <w:r>
        <w:rPr>
          <w:rFonts w:hint="eastAsia" w:ascii="仿宋" w:hAnsi="仿宋" w:eastAsia="仿宋" w:cs="仿宋"/>
          <w:color w:val="000000"/>
          <w:sz w:val="24"/>
        </w:rPr>
        <w:t xml:space="preserve">       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2DFCF01C">
      <w:pPr>
        <w:spacing w:line="240" w:lineRule="atLeast"/>
        <w:rPr>
          <w:rFonts w:ascii="仿宋" w:hAnsi="仿宋" w:eastAsia="仿宋" w:cs="仿宋"/>
          <w:color w:val="000000"/>
          <w:sz w:val="24"/>
        </w:rPr>
      </w:pPr>
    </w:p>
    <w:p w14:paraId="3ED85DD1">
      <w:pPr>
        <w:pStyle w:val="4"/>
        <w:spacing w:before="0" w:line="240" w:lineRule="atLeast"/>
        <w:ind w:left="1079" w:leftChars="257" w:hanging="540"/>
        <w:rPr>
          <w:rFonts w:ascii="仿宋" w:hAnsi="仿宋" w:eastAsia="仿宋" w:cs="仿宋"/>
          <w:color w:val="000000"/>
          <w:sz w:val="28"/>
        </w:rPr>
      </w:pPr>
      <w:bookmarkStart w:id="45" w:name="_Toc515647762"/>
      <w:bookmarkStart w:id="46" w:name="_Toc21566"/>
      <w:bookmarkStart w:id="47" w:name="_Toc4365"/>
      <w:bookmarkStart w:id="48" w:name="_Toc216582806"/>
      <w:bookmarkStart w:id="49" w:name="_Toc520356146"/>
      <w:bookmarkStart w:id="50" w:name="_Toc14955"/>
      <w:bookmarkStart w:id="51" w:name="_Toc520"/>
      <w:r>
        <w:rPr>
          <w:rFonts w:hint="eastAsia" w:ascii="仿宋" w:hAnsi="仿宋" w:eastAsia="仿宋" w:cs="仿宋"/>
          <w:color w:val="000000"/>
          <w:sz w:val="28"/>
        </w:rPr>
        <w:t>二   招标文件</w:t>
      </w:r>
      <w:bookmarkEnd w:id="45"/>
      <w:bookmarkEnd w:id="46"/>
      <w:bookmarkEnd w:id="47"/>
      <w:bookmarkEnd w:id="48"/>
      <w:bookmarkEnd w:id="49"/>
      <w:bookmarkEnd w:id="50"/>
      <w:bookmarkEnd w:id="51"/>
    </w:p>
    <w:p w14:paraId="2939B082">
      <w:pPr>
        <w:pStyle w:val="2"/>
        <w:rPr>
          <w:rFonts w:ascii="仿宋" w:hAnsi="仿宋" w:eastAsia="仿宋" w:cs="仿宋"/>
          <w:color w:val="000000"/>
        </w:rPr>
      </w:pPr>
    </w:p>
    <w:p w14:paraId="21A377EC">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52" w:name="_Toc515647763"/>
      <w:bookmarkStart w:id="53" w:name="_Toc9830"/>
      <w:bookmarkStart w:id="54" w:name="_Toc16939"/>
      <w:bookmarkStart w:id="55" w:name="_Toc14084"/>
      <w:bookmarkStart w:id="56" w:name="_Toc4550"/>
      <w:bookmarkStart w:id="57" w:name="_Toc520356147"/>
      <w:bookmarkStart w:id="58" w:name="_Toc31028"/>
      <w:bookmarkStart w:id="59" w:name="_Toc25743"/>
      <w:r>
        <w:rPr>
          <w:rFonts w:hint="eastAsia" w:ascii="仿宋" w:hAnsi="仿宋" w:eastAsia="仿宋" w:cs="仿宋"/>
          <w:color w:val="000000"/>
          <w:sz w:val="24"/>
          <w:szCs w:val="24"/>
          <w:u w:val="none"/>
        </w:rPr>
        <w:t>5.招标文件构成</w:t>
      </w:r>
      <w:bookmarkEnd w:id="52"/>
      <w:bookmarkEnd w:id="53"/>
      <w:bookmarkEnd w:id="54"/>
      <w:bookmarkEnd w:id="55"/>
      <w:bookmarkEnd w:id="56"/>
      <w:bookmarkEnd w:id="57"/>
      <w:bookmarkEnd w:id="58"/>
      <w:bookmarkEnd w:id="59"/>
    </w:p>
    <w:p w14:paraId="4227272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5.1</w:t>
      </w:r>
      <w:r>
        <w:rPr>
          <w:rFonts w:hint="eastAsia" w:ascii="仿宋" w:hAnsi="仿宋" w:eastAsia="仿宋" w:cs="仿宋"/>
          <w:color w:val="000000"/>
          <w:kern w:val="2"/>
          <w:sz w:val="24"/>
          <w:szCs w:val="24"/>
          <w:lang w:val="en-US" w:eastAsia="zh-CN" w:bidi="ar-SA"/>
        </w:rPr>
        <w:tab/>
      </w:r>
      <w:r>
        <w:rPr>
          <w:rFonts w:hint="eastAsia" w:ascii="仿宋" w:hAnsi="仿宋" w:eastAsia="仿宋" w:cs="仿宋"/>
          <w:color w:val="000000"/>
          <w:kern w:val="2"/>
          <w:sz w:val="24"/>
          <w:szCs w:val="24"/>
          <w:lang w:val="en-US" w:eastAsia="zh-CN" w:bidi="ar-SA"/>
        </w:rPr>
        <w:t>招标文件分为三册共7章，内容如下：</w:t>
      </w:r>
    </w:p>
    <w:p w14:paraId="678CD25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第一册</w:t>
      </w:r>
    </w:p>
    <w:p w14:paraId="06C7654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第1章 投标人须知</w:t>
      </w:r>
    </w:p>
    <w:p w14:paraId="7363C5C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第2章 投标文件格式</w:t>
      </w:r>
    </w:p>
    <w:p w14:paraId="7B910FE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第二册</w:t>
      </w:r>
    </w:p>
    <w:p w14:paraId="58D110E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第3章 投标邀请</w:t>
      </w:r>
    </w:p>
    <w:p w14:paraId="6D5B514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第4章 投标人须知资料表</w:t>
      </w:r>
    </w:p>
    <w:p w14:paraId="1C33D9B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第5章 采购需求</w:t>
      </w:r>
    </w:p>
    <w:p w14:paraId="60353E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第6章 评标方法和标准</w:t>
      </w:r>
    </w:p>
    <w:p w14:paraId="4599870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第三册</w:t>
      </w:r>
    </w:p>
    <w:p w14:paraId="671B767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第7章 政府采购合同格式</w:t>
      </w:r>
    </w:p>
    <w:p w14:paraId="345A96E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如本文件的前后内容不一致，以最后描述为准。</w:t>
      </w:r>
    </w:p>
    <w:p w14:paraId="59FC325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5.3    投标人应认真阅读招标文件所有的事项、格式、条款和技术规范等。如投标人没有按照招标文件要求提交全部资料，或者投标文件没有对招标文件在各方面都做出实质性响应，可能导致其投标将被认定为投标无效。</w:t>
      </w:r>
    </w:p>
    <w:p w14:paraId="24C197CB">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60" w:name="_Toc520356148"/>
      <w:bookmarkStart w:id="61" w:name="_Toc515904805"/>
      <w:bookmarkStart w:id="62" w:name="_Toc14602"/>
      <w:bookmarkStart w:id="63" w:name="_Toc9232"/>
      <w:bookmarkStart w:id="64" w:name="_Toc1244"/>
      <w:bookmarkStart w:id="65" w:name="_Toc30829"/>
      <w:bookmarkStart w:id="66" w:name="_Toc26044"/>
      <w:bookmarkStart w:id="67" w:name="_Toc29314"/>
      <w:r>
        <w:rPr>
          <w:rFonts w:hint="eastAsia" w:ascii="仿宋" w:hAnsi="仿宋" w:eastAsia="仿宋" w:cs="仿宋"/>
          <w:color w:val="000000"/>
          <w:sz w:val="24"/>
          <w:szCs w:val="24"/>
          <w:u w:val="none"/>
        </w:rPr>
        <w:t>6.招标文件的澄清</w:t>
      </w:r>
      <w:bookmarkEnd w:id="60"/>
      <w:bookmarkEnd w:id="61"/>
      <w:r>
        <w:rPr>
          <w:rFonts w:hint="eastAsia" w:ascii="仿宋" w:hAnsi="仿宋" w:eastAsia="仿宋" w:cs="仿宋"/>
          <w:color w:val="000000"/>
          <w:sz w:val="24"/>
          <w:szCs w:val="24"/>
          <w:u w:val="none"/>
        </w:rPr>
        <w:t>与修改</w:t>
      </w:r>
      <w:bookmarkEnd w:id="62"/>
      <w:bookmarkEnd w:id="63"/>
      <w:bookmarkEnd w:id="64"/>
      <w:bookmarkEnd w:id="65"/>
      <w:bookmarkEnd w:id="66"/>
      <w:bookmarkEnd w:id="67"/>
    </w:p>
    <w:p w14:paraId="5E91A6D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    提交投标文件截止之日前，澄清或者修改的内容可能影响投标文件编制的，采购人、采购代理机构应当在提交投标文件截止之日15个工作日前，以书面形式通知所有接收招标文件的投标供应商，不足15个工作日的，应当顺延提交投标文件截止之日。</w:t>
      </w:r>
    </w:p>
    <w:p w14:paraId="6BDEF80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68" w:name="_Toc520356149"/>
      <w:bookmarkStart w:id="69" w:name="_Toc515904806"/>
      <w:bookmarkStart w:id="70" w:name="_Ref467378678"/>
      <w:r>
        <w:rPr>
          <w:rFonts w:hint="eastAsia" w:ascii="仿宋" w:hAnsi="仿宋" w:eastAsia="仿宋" w:cs="仿宋"/>
          <w:color w:val="000000"/>
          <w:sz w:val="24"/>
          <w:lang w:val="en-US" w:eastAsia="zh-CN"/>
        </w:rPr>
        <w:t>6.2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采购人、采购代理机构可主动地或在解答投标人提出的澄清问题时对招标文件进行澄清或修改。采购代理机构将以发布澄清（更正）公告的方式，澄清或修改招标文件，澄清或修改内容作为招标文件的组成部分。</w:t>
      </w:r>
    </w:p>
    <w:p w14:paraId="0C6B40C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澄清或者修改的内容可能影响投标文件编制的，采购代理机构将以书面形式通知所有购买招标文件的潜在投标人，并对其具有约束力。投标人在收到上述通知后，应及时向采购代理机构回函确认。</w:t>
      </w:r>
    </w:p>
    <w:p w14:paraId="17C43372">
      <w:pPr>
        <w:pageBreakBefore w:val="0"/>
        <w:widowControl w:val="0"/>
        <w:kinsoku/>
        <w:wordWrap/>
        <w:overflowPunct/>
        <w:topLinePunct w:val="0"/>
        <w:autoSpaceDE w:val="0"/>
        <w:autoSpaceDN w:val="0"/>
        <w:bidi w:val="0"/>
        <w:snapToGrid/>
        <w:spacing w:line="300" w:lineRule="exact"/>
        <w:ind w:left="904" w:hanging="900" w:hangingChars="375"/>
        <w:jc w:val="both"/>
        <w:textAlignment w:val="auto"/>
        <w:rPr>
          <w:rFonts w:hint="eastAsia" w:ascii="仿宋" w:hAnsi="仿宋" w:eastAsia="仿宋" w:cs="仿宋"/>
          <w:b/>
          <w:bCs/>
          <w:color w:val="000000"/>
          <w:sz w:val="24"/>
          <w:szCs w:val="24"/>
        </w:rPr>
      </w:pPr>
      <w:bookmarkStart w:id="71" w:name="_Toc25635"/>
      <w:bookmarkStart w:id="72" w:name="_Toc14569"/>
      <w:r>
        <w:rPr>
          <w:rFonts w:hint="eastAsia" w:ascii="仿宋" w:hAnsi="仿宋" w:eastAsia="仿宋" w:cs="仿宋"/>
          <w:b/>
          <w:bCs/>
          <w:color w:val="000000"/>
          <w:sz w:val="24"/>
          <w:szCs w:val="24"/>
        </w:rPr>
        <w:t>7</w:t>
      </w:r>
      <w:bookmarkEnd w:id="68"/>
      <w:bookmarkEnd w:id="69"/>
      <w:bookmarkEnd w:id="70"/>
      <w:r>
        <w:rPr>
          <w:rFonts w:hint="eastAsia" w:ascii="仿宋" w:hAnsi="仿宋" w:eastAsia="仿宋" w:cs="仿宋"/>
          <w:b/>
          <w:bCs/>
          <w:color w:val="000000"/>
          <w:sz w:val="24"/>
          <w:szCs w:val="24"/>
        </w:rPr>
        <w:t>.投标截止时间的顺延</w:t>
      </w:r>
      <w:bookmarkEnd w:id="71"/>
      <w:bookmarkEnd w:id="72"/>
    </w:p>
    <w:p w14:paraId="56E6527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为使投标人准备投标时有足够的时间对招标文件的澄清或者修改部分进行研究，采购人将依法决定是否顺延投标截止时间。</w:t>
      </w:r>
    </w:p>
    <w:p w14:paraId="6D974F2A">
      <w:pPr>
        <w:pStyle w:val="4"/>
        <w:tabs>
          <w:tab w:val="left" w:pos="900"/>
        </w:tabs>
        <w:spacing w:before="0" w:line="240" w:lineRule="atLeast"/>
        <w:ind w:left="1079" w:leftChars="257" w:hanging="540"/>
        <w:rPr>
          <w:rFonts w:ascii="仿宋" w:hAnsi="仿宋" w:eastAsia="仿宋" w:cs="仿宋"/>
          <w:color w:val="000000"/>
          <w:sz w:val="28"/>
        </w:rPr>
      </w:pPr>
      <w:bookmarkStart w:id="73" w:name="_Toc516367020"/>
      <w:bookmarkStart w:id="74" w:name="_Toc22162"/>
      <w:bookmarkStart w:id="75" w:name="_Toc2347"/>
      <w:bookmarkStart w:id="76" w:name="_Toc30808"/>
      <w:bookmarkStart w:id="77" w:name="_Toc520356150"/>
      <w:bookmarkStart w:id="78" w:name="_Toc7636"/>
      <w:bookmarkStart w:id="79" w:name="_Toc216582807"/>
      <w:bookmarkStart w:id="80" w:name="_Toc515647766"/>
      <w:r>
        <w:rPr>
          <w:rFonts w:hint="eastAsia" w:ascii="仿宋" w:hAnsi="仿宋" w:eastAsia="仿宋" w:cs="仿宋"/>
          <w:color w:val="000000"/>
          <w:sz w:val="28"/>
        </w:rPr>
        <w:t>三   投标文件</w:t>
      </w:r>
      <w:bookmarkEnd w:id="73"/>
      <w:r>
        <w:rPr>
          <w:rFonts w:hint="eastAsia" w:ascii="仿宋" w:hAnsi="仿宋" w:eastAsia="仿宋" w:cs="仿宋"/>
          <w:color w:val="000000"/>
          <w:sz w:val="28"/>
        </w:rPr>
        <w:t>的编制</w:t>
      </w:r>
      <w:bookmarkEnd w:id="74"/>
      <w:bookmarkEnd w:id="75"/>
      <w:bookmarkEnd w:id="76"/>
      <w:bookmarkEnd w:id="77"/>
      <w:bookmarkEnd w:id="78"/>
      <w:bookmarkEnd w:id="79"/>
      <w:bookmarkEnd w:id="80"/>
    </w:p>
    <w:p w14:paraId="3BAA6A4F">
      <w:pPr>
        <w:pStyle w:val="2"/>
        <w:rPr>
          <w:rFonts w:ascii="仿宋" w:hAnsi="仿宋" w:eastAsia="仿宋" w:cs="仿宋"/>
          <w:color w:val="000000"/>
        </w:rPr>
      </w:pPr>
    </w:p>
    <w:p w14:paraId="6305C07C">
      <w:pPr>
        <w:pStyle w:val="5"/>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81" w:name="_Toc3553"/>
      <w:bookmarkStart w:id="82" w:name="_Toc515647767"/>
      <w:bookmarkStart w:id="83" w:name="_Toc516367021"/>
      <w:bookmarkStart w:id="84" w:name="_Toc16484"/>
      <w:bookmarkStart w:id="85" w:name="_Toc10121"/>
      <w:bookmarkStart w:id="86" w:name="_Toc7786"/>
      <w:bookmarkStart w:id="87" w:name="_Toc24576"/>
      <w:bookmarkStart w:id="88" w:name="_Toc520356151"/>
      <w:bookmarkStart w:id="89" w:name="_Toc22022"/>
      <w:r>
        <w:rPr>
          <w:rFonts w:hint="eastAsia" w:ascii="仿宋" w:hAnsi="仿宋" w:eastAsia="仿宋" w:cs="仿宋"/>
          <w:color w:val="000000"/>
          <w:sz w:val="24"/>
          <w:szCs w:val="24"/>
          <w:u w:val="none"/>
        </w:rPr>
        <w:t>8.</w:t>
      </w:r>
      <w:r>
        <w:rPr>
          <w:rFonts w:hint="eastAsia" w:ascii="仿宋" w:hAnsi="仿宋" w:eastAsia="仿宋" w:cs="仿宋"/>
          <w:color w:val="000000"/>
          <w:sz w:val="24"/>
          <w:szCs w:val="24"/>
          <w:u w:val="none"/>
        </w:rPr>
        <w:tab/>
      </w:r>
      <w:r>
        <w:rPr>
          <w:rFonts w:hint="eastAsia" w:ascii="仿宋" w:hAnsi="仿宋" w:eastAsia="仿宋" w:cs="仿宋"/>
          <w:color w:val="000000"/>
          <w:sz w:val="24"/>
          <w:szCs w:val="24"/>
          <w:u w:val="none"/>
        </w:rPr>
        <w:t>投标范围及投标文件中标准和计量单位的使用</w:t>
      </w:r>
      <w:bookmarkEnd w:id="81"/>
      <w:bookmarkEnd w:id="82"/>
      <w:bookmarkEnd w:id="83"/>
      <w:bookmarkEnd w:id="84"/>
      <w:bookmarkEnd w:id="85"/>
      <w:bookmarkEnd w:id="86"/>
      <w:bookmarkEnd w:id="87"/>
      <w:bookmarkEnd w:id="88"/>
      <w:bookmarkEnd w:id="89"/>
    </w:p>
    <w:p w14:paraId="796F253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项目有分包的，投标人可对招标文件其中某一个或几个分包</w:t>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lang w:val="en-US" w:eastAsia="zh-CN"/>
        </w:rPr>
        <w:t>进行投标，除非在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中另有规定。</w:t>
      </w:r>
    </w:p>
    <w:p w14:paraId="49E3F4B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8.2     投标人应当对所投分包招标文件中“采购需求”所列的所有内容进行投标，如仅响应某一包中的部分内容，其该包投标将被认定为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320B784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8.3     无论招标文件第5章采购需求中是否要求，投标人所投服务均应符合国家强制性标准。</w:t>
      </w:r>
    </w:p>
    <w:p w14:paraId="61D5D12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8.4     除招标文件中有特殊要求外，投标文件中所使用的计量单位，应采用中华人民共和国法定计量单位。</w:t>
      </w:r>
    </w:p>
    <w:p w14:paraId="02F30B41">
      <w:pPr>
        <w:pStyle w:val="5"/>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90" w:name="_Ref467306195"/>
      <w:bookmarkStart w:id="91" w:name="_Toc516367022"/>
      <w:bookmarkStart w:id="92" w:name="_Ref467306676"/>
      <w:bookmarkStart w:id="93" w:name="_Toc21176"/>
      <w:bookmarkStart w:id="94" w:name="_Toc10364"/>
      <w:bookmarkStart w:id="95" w:name="_Toc19808"/>
      <w:bookmarkStart w:id="96" w:name="_Toc16551"/>
      <w:bookmarkStart w:id="97" w:name="_Toc28307"/>
      <w:bookmarkStart w:id="98" w:name="_Toc520356152"/>
      <w:bookmarkStart w:id="99" w:name="_Toc25937"/>
      <w:bookmarkStart w:id="100" w:name="_Toc515647768"/>
      <w:r>
        <w:rPr>
          <w:rFonts w:hint="eastAsia" w:ascii="仿宋" w:hAnsi="仿宋" w:eastAsia="仿宋" w:cs="仿宋"/>
          <w:color w:val="000000"/>
          <w:sz w:val="24"/>
          <w:szCs w:val="24"/>
          <w:u w:val="none"/>
        </w:rPr>
        <w:t>9.投标文件</w:t>
      </w:r>
      <w:bookmarkEnd w:id="90"/>
      <w:bookmarkEnd w:id="91"/>
      <w:bookmarkEnd w:id="92"/>
      <w:r>
        <w:rPr>
          <w:rFonts w:hint="eastAsia" w:ascii="仿宋" w:hAnsi="仿宋" w:eastAsia="仿宋" w:cs="仿宋"/>
          <w:color w:val="000000"/>
          <w:sz w:val="24"/>
          <w:szCs w:val="24"/>
          <w:u w:val="none"/>
        </w:rPr>
        <w:t>构成</w:t>
      </w:r>
      <w:bookmarkEnd w:id="93"/>
      <w:bookmarkEnd w:id="94"/>
      <w:bookmarkEnd w:id="95"/>
      <w:bookmarkEnd w:id="96"/>
      <w:bookmarkEnd w:id="97"/>
      <w:bookmarkEnd w:id="98"/>
      <w:bookmarkEnd w:id="99"/>
      <w:bookmarkEnd w:id="100"/>
    </w:p>
    <w:p w14:paraId="48B4699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01" w:name="_Ref467052588"/>
      <w:r>
        <w:rPr>
          <w:rFonts w:hint="eastAsia" w:ascii="仿宋" w:hAnsi="仿宋" w:eastAsia="仿宋" w:cs="仿宋"/>
          <w:color w:val="000000"/>
          <w:sz w:val="24"/>
          <w:lang w:val="en-US" w:eastAsia="zh-CN"/>
        </w:rPr>
        <w:t>9.1   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w:t>
      </w:r>
    </w:p>
    <w:p w14:paraId="2DB6A05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9.2    上述文件应按照招标文件规定的格式填写、签署和盖章。</w:t>
      </w:r>
    </w:p>
    <w:bookmarkEnd w:id="101"/>
    <w:p w14:paraId="083E0888">
      <w:pPr>
        <w:pStyle w:val="5"/>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02" w:name="_Toc8468"/>
      <w:bookmarkStart w:id="103" w:name="_Toc516367023"/>
      <w:bookmarkStart w:id="104" w:name="_Toc11837"/>
      <w:bookmarkStart w:id="105" w:name="_Toc10379"/>
      <w:bookmarkStart w:id="106" w:name="_Toc3151"/>
      <w:bookmarkStart w:id="107" w:name="_Toc4601"/>
      <w:bookmarkStart w:id="108" w:name="_Toc515647769"/>
      <w:bookmarkStart w:id="109" w:name="_Toc10051"/>
      <w:bookmarkStart w:id="110" w:name="_Toc520356153"/>
      <w:r>
        <w:rPr>
          <w:rFonts w:hint="eastAsia" w:ascii="仿宋" w:hAnsi="仿宋" w:eastAsia="仿宋" w:cs="仿宋"/>
          <w:color w:val="000000"/>
          <w:sz w:val="24"/>
          <w:szCs w:val="24"/>
          <w:u w:val="none"/>
        </w:rPr>
        <w:t>10.</w:t>
      </w:r>
      <w:r>
        <w:rPr>
          <w:rFonts w:hint="eastAsia" w:ascii="仿宋" w:hAnsi="仿宋" w:eastAsia="仿宋" w:cs="仿宋"/>
          <w:color w:val="000000"/>
          <w:sz w:val="24"/>
          <w:szCs w:val="24"/>
          <w:u w:val="none"/>
        </w:rPr>
        <w:tab/>
      </w:r>
      <w:r>
        <w:rPr>
          <w:rFonts w:hint="eastAsia" w:ascii="仿宋" w:hAnsi="仿宋" w:eastAsia="仿宋" w:cs="仿宋"/>
          <w:color w:val="000000"/>
          <w:sz w:val="24"/>
          <w:szCs w:val="24"/>
          <w:u w:val="none"/>
        </w:rPr>
        <w:t>证明投标标的的合格性和符合招标文件规定的技术文件</w:t>
      </w:r>
      <w:bookmarkEnd w:id="102"/>
      <w:bookmarkEnd w:id="103"/>
      <w:bookmarkEnd w:id="104"/>
      <w:bookmarkEnd w:id="105"/>
      <w:bookmarkEnd w:id="106"/>
      <w:bookmarkEnd w:id="107"/>
      <w:bookmarkEnd w:id="108"/>
      <w:bookmarkEnd w:id="109"/>
      <w:bookmarkEnd w:id="110"/>
    </w:p>
    <w:p w14:paraId="4502B85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投标人应提交证明文件，证明其投标内容符合招标文件规定。该证明文件是投标文件的一部分。</w:t>
      </w:r>
    </w:p>
    <w:p w14:paraId="0DB6689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11" w:name="_Ref467306244"/>
      <w:r>
        <w:rPr>
          <w:rFonts w:hint="eastAsia" w:ascii="仿宋" w:hAnsi="仿宋" w:eastAsia="仿宋" w:cs="仿宋"/>
          <w:color w:val="000000"/>
          <w:sz w:val="24"/>
          <w:lang w:val="en-US" w:eastAsia="zh-CN"/>
        </w:rPr>
        <w:t>10.2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上款所述的证明文件，可以是文字资料、图纸和数据</w:t>
      </w:r>
      <w:bookmarkEnd w:id="111"/>
      <w:r>
        <w:rPr>
          <w:rFonts w:hint="eastAsia" w:ascii="仿宋" w:hAnsi="仿宋" w:eastAsia="仿宋" w:cs="仿宋"/>
          <w:color w:val="000000"/>
          <w:sz w:val="24"/>
          <w:lang w:val="en-US" w:eastAsia="zh-CN"/>
        </w:rPr>
        <w:t>。</w:t>
      </w:r>
    </w:p>
    <w:p w14:paraId="7F2F9B8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10.2.1</w:t>
      </w:r>
      <w:r>
        <w:rPr>
          <w:rFonts w:hint="eastAsia" w:ascii="仿宋" w:hAnsi="仿宋" w:eastAsia="仿宋" w:cs="仿宋"/>
          <w:color w:val="000000"/>
          <w:sz w:val="24"/>
          <w:lang w:val="en-US" w:eastAsia="zh-CN"/>
        </w:rPr>
        <w:tab/>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lang w:val="en-US" w:eastAsia="zh-CN"/>
        </w:rPr>
        <w:t>主要技术指标和性能的详细说明；</w:t>
      </w:r>
    </w:p>
    <w:p w14:paraId="408AF70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10.2.2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对照招标文件技术规格，逐条说明所提供</w:t>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及伴随的</w:t>
      </w:r>
      <w:r>
        <w:rPr>
          <w:rFonts w:hint="eastAsia" w:ascii="仿宋" w:hAnsi="仿宋" w:eastAsia="仿宋" w:cs="仿宋"/>
          <w:color w:val="000000"/>
          <w:sz w:val="24"/>
          <w:highlight w:val="none"/>
          <w:lang w:val="en-US" w:eastAsia="zh-CN"/>
        </w:rPr>
        <w:t>设备</w:t>
      </w:r>
      <w:r>
        <w:rPr>
          <w:rFonts w:hint="eastAsia" w:ascii="仿宋" w:hAnsi="仿宋" w:eastAsia="仿宋" w:cs="仿宋"/>
          <w:color w:val="000000"/>
          <w:sz w:val="24"/>
          <w:lang w:val="en-US" w:eastAsia="zh-CN"/>
        </w:rPr>
        <w:t>已对招标文件的技术规格做出了实质性的响应，或申明与技术规格条文的偏差和例外。</w:t>
      </w:r>
    </w:p>
    <w:p w14:paraId="67C9F7F7">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12" w:name="_Toc21640"/>
      <w:bookmarkStart w:id="113" w:name="_Toc26621"/>
      <w:bookmarkStart w:id="114" w:name="_Toc16639"/>
      <w:bookmarkStart w:id="115" w:name="_Toc2248"/>
      <w:bookmarkStart w:id="116" w:name="_Toc520356155"/>
      <w:bookmarkStart w:id="117" w:name="_Toc23231"/>
      <w:bookmarkStart w:id="118" w:name="_Toc515647770"/>
      <w:bookmarkStart w:id="119" w:name="_Toc13669"/>
      <w:r>
        <w:rPr>
          <w:rFonts w:hint="eastAsia" w:ascii="仿宋" w:hAnsi="仿宋" w:eastAsia="仿宋" w:cs="仿宋"/>
          <w:color w:val="000000"/>
          <w:sz w:val="24"/>
          <w:szCs w:val="24"/>
          <w:u w:val="none"/>
        </w:rPr>
        <w:t>11.投标报价</w:t>
      </w:r>
      <w:bookmarkEnd w:id="112"/>
      <w:bookmarkEnd w:id="113"/>
      <w:bookmarkEnd w:id="114"/>
      <w:bookmarkEnd w:id="115"/>
      <w:bookmarkEnd w:id="116"/>
      <w:bookmarkEnd w:id="117"/>
      <w:bookmarkEnd w:id="118"/>
      <w:bookmarkEnd w:id="119"/>
    </w:p>
    <w:p w14:paraId="5153893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所有投标均以人民币报价。投标人的投标报价应遵守《中华人民共和国价格法》。同时，根据《中华人民共和国政府采购法》第二条的规定，为保证公平竞争，如有主体部分的赠与行为，其投标将被认定为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40BA12E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投标人应在投标分项报价表上标明投标</w:t>
      </w:r>
      <w:r>
        <w:rPr>
          <w:rFonts w:hint="eastAsia" w:ascii="仿宋" w:hAnsi="仿宋" w:eastAsia="仿宋" w:cs="仿宋"/>
          <w:color w:val="000000"/>
          <w:sz w:val="24"/>
          <w:highlight w:val="none"/>
        </w:rPr>
        <w:t>服务及相关货物的单价</w:t>
      </w:r>
      <w:r>
        <w:rPr>
          <w:rFonts w:hint="eastAsia" w:ascii="仿宋" w:hAnsi="仿宋" w:eastAsia="仿宋" w:cs="仿宋"/>
          <w:color w:val="000000"/>
          <w:sz w:val="24"/>
          <w:lang w:val="en-US" w:eastAsia="zh-CN"/>
        </w:rPr>
        <w:t>（如适用）和总价，并由法定代表人或其授权代表签署。</w:t>
      </w:r>
    </w:p>
    <w:p w14:paraId="271B53E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5EA9BF5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每种服务只能有一个投标报价。采购人不接受具有附加条件的报价。</w:t>
      </w:r>
    </w:p>
    <w:p w14:paraId="5D389C37">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20" w:name="_Toc31600"/>
      <w:bookmarkStart w:id="121" w:name="_Ref467306513"/>
      <w:bookmarkStart w:id="122" w:name="_Toc18910"/>
      <w:bookmarkStart w:id="123" w:name="_Toc22561"/>
      <w:bookmarkStart w:id="124" w:name="_Toc520356156"/>
      <w:bookmarkStart w:id="125" w:name="_Toc515647771"/>
      <w:bookmarkStart w:id="126" w:name="_Toc11514"/>
      <w:bookmarkStart w:id="127" w:name="_Toc17788"/>
      <w:bookmarkStart w:id="128" w:name="_Toc16352"/>
      <w:r>
        <w:rPr>
          <w:rFonts w:hint="eastAsia" w:ascii="仿宋" w:hAnsi="仿宋" w:eastAsia="仿宋" w:cs="仿宋"/>
          <w:color w:val="000000"/>
          <w:sz w:val="24"/>
          <w:szCs w:val="24"/>
          <w:u w:val="none"/>
        </w:rPr>
        <w:t>12.投标保证金</w:t>
      </w:r>
      <w:bookmarkEnd w:id="120"/>
      <w:bookmarkEnd w:id="121"/>
      <w:bookmarkEnd w:id="122"/>
      <w:bookmarkEnd w:id="123"/>
      <w:bookmarkEnd w:id="124"/>
      <w:bookmarkEnd w:id="125"/>
      <w:bookmarkEnd w:id="126"/>
      <w:bookmarkEnd w:id="127"/>
      <w:bookmarkEnd w:id="128"/>
    </w:p>
    <w:p w14:paraId="62C9FC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29" w:name="_Ref467306302"/>
      <w:r>
        <w:rPr>
          <w:rFonts w:hint="eastAsia" w:ascii="仿宋" w:hAnsi="仿宋" w:eastAsia="仿宋" w:cs="仿宋"/>
          <w:color w:val="000000"/>
          <w:sz w:val="24"/>
          <w:lang w:val="en-US" w:eastAsia="zh-CN"/>
        </w:rPr>
        <w:t>12.1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投标人应提交投标人须知资料表中规定的投标保证金</w:t>
      </w:r>
      <w:bookmarkEnd w:id="129"/>
      <w:r>
        <w:rPr>
          <w:rFonts w:hint="eastAsia" w:ascii="仿宋" w:hAnsi="仿宋" w:eastAsia="仿宋" w:cs="仿宋"/>
          <w:color w:val="000000"/>
          <w:sz w:val="24"/>
          <w:lang w:val="en-US" w:eastAsia="zh-CN"/>
        </w:rPr>
        <w:t>，并作为其投标的一部分。</w:t>
      </w:r>
    </w:p>
    <w:p w14:paraId="4970B96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投标人存在下列情形的，投标保证金不予退还：</w:t>
      </w:r>
    </w:p>
    <w:p w14:paraId="12E26B7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（1）在投标有效期内，撤销投标的；</w:t>
      </w:r>
    </w:p>
    <w:p w14:paraId="044206A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（2）中标后不按本须知第30条的规定与采购人签订合同的；</w:t>
      </w:r>
    </w:p>
    <w:p w14:paraId="16644D2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（3）中标后不按本须知第31条的规定提交履约保证金的；</w:t>
      </w:r>
    </w:p>
    <w:p w14:paraId="496BF1B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（4）中标后不按本须知第32条的规定缴纳中标服务费的；</w:t>
      </w:r>
    </w:p>
    <w:p w14:paraId="1C497F5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（5）存在其他违法违规行为的。</w:t>
      </w:r>
    </w:p>
    <w:p w14:paraId="74EEDB5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30" w:name="_Ref467306336"/>
      <w:r>
        <w:rPr>
          <w:rFonts w:hint="eastAsia" w:ascii="仿宋" w:hAnsi="仿宋" w:eastAsia="仿宋" w:cs="仿宋"/>
          <w:color w:val="000000"/>
          <w:sz w:val="24"/>
          <w:lang w:val="en-US" w:eastAsia="zh-CN"/>
        </w:rPr>
        <w:t>12.3</w:t>
      </w:r>
      <w:r>
        <w:rPr>
          <w:rFonts w:hint="eastAsia" w:ascii="仿宋" w:hAnsi="仿宋" w:eastAsia="仿宋" w:cs="仿宋"/>
          <w:color w:val="000000"/>
          <w:sz w:val="24"/>
          <w:lang w:val="en-US" w:eastAsia="zh-CN"/>
        </w:rPr>
        <w:tab/>
      </w:r>
      <w:bookmarkEnd w:id="130"/>
      <w:r>
        <w:rPr>
          <w:rFonts w:hint="eastAsia" w:ascii="仿宋" w:hAnsi="仿宋" w:eastAsia="仿宋" w:cs="仿宋"/>
          <w:color w:val="000000"/>
          <w:sz w:val="24"/>
          <w:lang w:val="en-US" w:eastAsia="zh-CN"/>
        </w:rPr>
        <w:t>政府采购信用担保试点范围内的项目，接受符合财政部门规定的政府采购投标担保函原件。</w:t>
      </w:r>
    </w:p>
    <w:p w14:paraId="4AA31EA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投标人未按本须知第12.1和12.3条规定提交投标保证金的，其投标将被认定为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1F57DE6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12.4.1  采用电汇形式的，一般可以实时入账。</w:t>
      </w:r>
    </w:p>
    <w:p w14:paraId="1CB9F2C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15AF4E3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12.5   联合体投标的，可以由联合体中的一方或者共同提交投标保证金。以一方名义提交投标保证金的，对联合体各方均具有约束力。</w:t>
      </w:r>
    </w:p>
    <w:p w14:paraId="6EDCB1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投标保证金的退还</w:t>
      </w:r>
    </w:p>
    <w:p w14:paraId="74B5F23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12.6.1  中标人应在与采购人签订合同之日起5个工作日内，及时联系保证金收受机构办理投标保证金无息退还手续。</w:t>
      </w:r>
    </w:p>
    <w:p w14:paraId="15981D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12.6.2  未中标投标人的投标保证金将在中标通知书发出之日暨中标结果公告公布之日起5个工作日内无息退还。投标人应及时联系保证金收受机构办理退还投标保证金手续。</w:t>
      </w:r>
    </w:p>
    <w:p w14:paraId="7107340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12.6.3  政府采购投标担保函不予退回。</w:t>
      </w:r>
    </w:p>
    <w:p w14:paraId="39A870A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12.7    因投标人自身原因导致无法及时退还的，采购人或采购代理机构将不承担相应责任。</w:t>
      </w:r>
    </w:p>
    <w:p w14:paraId="2632339F">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31" w:name="_Toc17548"/>
      <w:bookmarkStart w:id="132" w:name="_Toc18556"/>
      <w:bookmarkStart w:id="133" w:name="_Toc24437"/>
      <w:bookmarkStart w:id="134" w:name="_Toc32569"/>
      <w:bookmarkStart w:id="135" w:name="_Toc520356157"/>
      <w:bookmarkStart w:id="136" w:name="_Toc26737"/>
      <w:bookmarkStart w:id="137" w:name="_Toc23590"/>
      <w:bookmarkStart w:id="138" w:name="_Toc515647772"/>
      <w:r>
        <w:rPr>
          <w:rFonts w:hint="eastAsia" w:ascii="仿宋" w:hAnsi="仿宋" w:eastAsia="仿宋" w:cs="仿宋"/>
          <w:color w:val="000000"/>
          <w:sz w:val="24"/>
          <w:szCs w:val="24"/>
          <w:u w:val="none"/>
        </w:rPr>
        <w:t>13.投标有效期</w:t>
      </w:r>
      <w:bookmarkEnd w:id="131"/>
      <w:bookmarkEnd w:id="132"/>
      <w:bookmarkEnd w:id="133"/>
      <w:bookmarkEnd w:id="134"/>
      <w:bookmarkEnd w:id="135"/>
      <w:bookmarkEnd w:id="136"/>
      <w:bookmarkEnd w:id="137"/>
      <w:bookmarkEnd w:id="138"/>
    </w:p>
    <w:p w14:paraId="716564E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投标应在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中规定时间内保持有效。投标有效期不满足要求的投标，其投标将被认定为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71DB020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F44E1A7">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39" w:name="_Toc520356158"/>
      <w:bookmarkStart w:id="140" w:name="_Toc8912"/>
      <w:bookmarkStart w:id="141" w:name="_Toc493"/>
      <w:bookmarkStart w:id="142" w:name="_Toc26412"/>
      <w:bookmarkStart w:id="143" w:name="_Toc17074"/>
      <w:bookmarkStart w:id="144" w:name="_Toc515647773"/>
      <w:bookmarkStart w:id="145" w:name="_Toc24352"/>
      <w:bookmarkStart w:id="146" w:name="_Toc16012"/>
      <w:r>
        <w:rPr>
          <w:rFonts w:hint="eastAsia" w:ascii="仿宋" w:hAnsi="仿宋" w:eastAsia="仿宋" w:cs="仿宋"/>
          <w:color w:val="000000"/>
          <w:sz w:val="24"/>
          <w:szCs w:val="24"/>
          <w:u w:val="none"/>
        </w:rPr>
        <w:t>14.投标文件的签署</w:t>
      </w:r>
      <w:bookmarkEnd w:id="139"/>
      <w:r>
        <w:rPr>
          <w:rFonts w:hint="eastAsia" w:ascii="仿宋" w:hAnsi="仿宋" w:eastAsia="仿宋" w:cs="仿宋"/>
          <w:color w:val="000000"/>
          <w:sz w:val="24"/>
          <w:szCs w:val="24"/>
          <w:u w:val="none"/>
        </w:rPr>
        <w:t>及规定</w:t>
      </w:r>
      <w:bookmarkEnd w:id="140"/>
      <w:bookmarkEnd w:id="141"/>
      <w:bookmarkEnd w:id="142"/>
      <w:bookmarkEnd w:id="143"/>
      <w:bookmarkEnd w:id="144"/>
      <w:bookmarkEnd w:id="145"/>
      <w:bookmarkEnd w:id="146"/>
    </w:p>
    <w:p w14:paraId="64D6FA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按投标人须知资料表中的规定，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所有投标文件采用电子版，否则将被认定为投标无效。</w:t>
      </w:r>
    </w:p>
    <w:p w14:paraId="427D5E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文件需按照招标文件格式编写，并由投标人的法定代表人或经其正式委托代理人在规定签章处签署并加盖单位公章。委托代理人须持有书面的“法定代表人授权委托书”（投标文件格式二），并将其附在投标文件中。如对投标文件进行了修改，则应由投标人的法定代表人或其委托代理人在每一修改处签字。</w:t>
      </w:r>
    </w:p>
    <w:p w14:paraId="7DB0849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14.3   所有投标文件采用招标文件要求的格式编制，否则其投标将被认定为投标无效</w:t>
      </w:r>
    </w:p>
    <w:p w14:paraId="541EC0B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投标文件因字迹潦草、表达不清或装订不当所引起的后果由投标人负责。</w:t>
      </w:r>
    </w:p>
    <w:p w14:paraId="2422A23B">
      <w:pPr>
        <w:spacing w:line="240" w:lineRule="atLeast"/>
        <w:ind w:left="900" w:hanging="900" w:hangingChars="375"/>
        <w:rPr>
          <w:rFonts w:ascii="仿宋" w:hAnsi="仿宋" w:eastAsia="仿宋" w:cs="仿宋"/>
          <w:color w:val="000000"/>
          <w:sz w:val="24"/>
        </w:rPr>
      </w:pPr>
    </w:p>
    <w:p w14:paraId="709F1CBB">
      <w:pPr>
        <w:pStyle w:val="4"/>
        <w:spacing w:before="0" w:line="240" w:lineRule="atLeast"/>
        <w:ind w:left="1079" w:leftChars="257" w:hanging="540"/>
        <w:rPr>
          <w:rFonts w:ascii="仿宋" w:hAnsi="仿宋" w:eastAsia="仿宋" w:cs="仿宋"/>
          <w:color w:val="000000"/>
          <w:sz w:val="24"/>
        </w:rPr>
      </w:pPr>
      <w:bookmarkStart w:id="147" w:name="_Toc216582808"/>
      <w:bookmarkStart w:id="148" w:name="_Toc520356159"/>
      <w:bookmarkStart w:id="149" w:name="_Toc11179"/>
      <w:bookmarkStart w:id="150" w:name="_Toc32350"/>
      <w:bookmarkStart w:id="151" w:name="_Toc515647774"/>
      <w:bookmarkStart w:id="152" w:name="_Toc12922"/>
      <w:bookmarkStart w:id="153" w:name="_Toc16865"/>
      <w:r>
        <w:rPr>
          <w:rFonts w:hint="eastAsia" w:ascii="仿宋" w:hAnsi="仿宋" w:eastAsia="仿宋" w:cs="仿宋"/>
          <w:color w:val="000000"/>
          <w:sz w:val="24"/>
        </w:rPr>
        <w:t>四   投标文件的递交</w:t>
      </w:r>
      <w:bookmarkEnd w:id="147"/>
      <w:bookmarkEnd w:id="148"/>
      <w:bookmarkEnd w:id="149"/>
      <w:bookmarkEnd w:id="150"/>
      <w:bookmarkEnd w:id="151"/>
      <w:bookmarkEnd w:id="152"/>
      <w:bookmarkEnd w:id="153"/>
    </w:p>
    <w:p w14:paraId="5E822EA2">
      <w:pPr>
        <w:pStyle w:val="2"/>
        <w:rPr>
          <w:rFonts w:ascii="仿宋" w:hAnsi="仿宋" w:eastAsia="仿宋" w:cs="仿宋"/>
          <w:color w:val="000000"/>
        </w:rPr>
      </w:pPr>
    </w:p>
    <w:p w14:paraId="4446C69E">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highlight w:val="none"/>
          <w:u w:val="none"/>
        </w:rPr>
      </w:pPr>
      <w:bookmarkStart w:id="154" w:name="_Toc21645"/>
      <w:bookmarkStart w:id="155" w:name="_Toc17991"/>
      <w:bookmarkStart w:id="156" w:name="_Toc520356160"/>
      <w:bookmarkStart w:id="157" w:name="_Toc515647775"/>
      <w:bookmarkStart w:id="158" w:name="_Toc14100"/>
      <w:bookmarkStart w:id="159" w:name="_Toc21912"/>
      <w:bookmarkStart w:id="160" w:name="_Toc18172"/>
      <w:bookmarkStart w:id="161" w:name="_Toc9858"/>
      <w:bookmarkStart w:id="162" w:name="_Toc32337"/>
      <w:bookmarkStart w:id="163" w:name="_Toc515647776"/>
      <w:bookmarkStart w:id="164" w:name="_Toc9840"/>
      <w:bookmarkStart w:id="165" w:name="_Toc12751"/>
      <w:bookmarkStart w:id="166" w:name="_Toc520356161"/>
      <w:r>
        <w:rPr>
          <w:rFonts w:hint="eastAsia" w:ascii="仿宋" w:hAnsi="仿宋" w:eastAsia="仿宋" w:cs="仿宋"/>
          <w:color w:val="000000"/>
          <w:sz w:val="24"/>
          <w:szCs w:val="24"/>
          <w:highlight w:val="none"/>
          <w:u w:val="none"/>
        </w:rPr>
        <w:t>15.投标文件的密封和标记</w:t>
      </w:r>
      <w:bookmarkEnd w:id="154"/>
      <w:bookmarkEnd w:id="155"/>
      <w:bookmarkEnd w:id="156"/>
      <w:bookmarkEnd w:id="157"/>
      <w:bookmarkEnd w:id="158"/>
      <w:bookmarkEnd w:id="159"/>
      <w:bookmarkEnd w:id="160"/>
      <w:bookmarkEnd w:id="161"/>
      <w:bookmarkEnd w:id="162"/>
    </w:p>
    <w:p w14:paraId="3885EC1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15.1   投标人应按投标人须知资料表中的规定截止时间前，将投标文件上传。</w:t>
      </w:r>
    </w:p>
    <w:p w14:paraId="7FC42F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15.2   采购人和采购代理机构有权按本须知的规定，延迟投标截止时间。在此情况下，采购人、采购代理机构和投标人受投标截止时间制约的所有权利和义务均应延长至新的截止时间。</w:t>
      </w:r>
    </w:p>
    <w:p w14:paraId="1940941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15.3   如果投标人未按上述要求，其投标文件将被拒绝接收。</w:t>
      </w:r>
    </w:p>
    <w:p w14:paraId="654C509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15.4   未按投标文件的密封和标记制作及签署盖章的投标文件投标人自行承担后果。</w:t>
      </w:r>
    </w:p>
    <w:p w14:paraId="79DCA518">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67" w:name="_Toc4736"/>
      <w:bookmarkStart w:id="168" w:name="_Toc28796"/>
      <w:bookmarkStart w:id="169" w:name="_Toc18913"/>
      <w:bookmarkStart w:id="170" w:name="_Toc28642"/>
      <w:r>
        <w:rPr>
          <w:rFonts w:hint="eastAsia" w:ascii="仿宋" w:hAnsi="仿宋" w:eastAsia="仿宋" w:cs="仿宋"/>
          <w:color w:val="000000"/>
          <w:sz w:val="24"/>
          <w:szCs w:val="24"/>
          <w:u w:val="none"/>
        </w:rPr>
        <w:t>16.投标截止</w:t>
      </w:r>
      <w:bookmarkEnd w:id="163"/>
      <w:bookmarkEnd w:id="164"/>
      <w:bookmarkEnd w:id="165"/>
      <w:bookmarkEnd w:id="166"/>
      <w:bookmarkEnd w:id="167"/>
      <w:bookmarkEnd w:id="168"/>
      <w:bookmarkEnd w:id="169"/>
      <w:bookmarkEnd w:id="170"/>
    </w:p>
    <w:p w14:paraId="2B1B73E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中规定的截止时间前，将投标文件递交到招标公告中规定的地点。</w:t>
      </w:r>
    </w:p>
    <w:p w14:paraId="09FEAED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采购人和采购代理机构有权按本须知的规定，延迟解密截止时间。在此情况下，采购人、采购代理机构和投标人受投标截止时间制约的所有权利和义务均应延长至新的截止时间。</w:t>
      </w:r>
    </w:p>
    <w:p w14:paraId="66566E3E">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71" w:name="_Toc24275"/>
      <w:bookmarkStart w:id="172" w:name="_Toc520356162"/>
      <w:bookmarkStart w:id="173" w:name="_Toc10841"/>
      <w:bookmarkStart w:id="174" w:name="_Toc6422"/>
      <w:bookmarkStart w:id="175" w:name="_Toc515647777"/>
      <w:bookmarkStart w:id="176" w:name="_Toc18537"/>
      <w:bookmarkStart w:id="177" w:name="_Toc17254"/>
      <w:bookmarkStart w:id="178" w:name="_Toc14266"/>
      <w:r>
        <w:rPr>
          <w:rFonts w:hint="eastAsia" w:ascii="仿宋" w:hAnsi="仿宋" w:eastAsia="仿宋" w:cs="仿宋"/>
          <w:color w:val="000000"/>
          <w:sz w:val="24"/>
          <w:szCs w:val="24"/>
          <w:u w:val="none"/>
        </w:rPr>
        <w:t>17.投标文件的接收、修改与撤回</w:t>
      </w:r>
      <w:bookmarkEnd w:id="171"/>
      <w:bookmarkEnd w:id="172"/>
      <w:bookmarkEnd w:id="173"/>
      <w:bookmarkEnd w:id="174"/>
      <w:bookmarkEnd w:id="175"/>
      <w:bookmarkEnd w:id="176"/>
      <w:bookmarkEnd w:id="177"/>
      <w:bookmarkEnd w:id="178"/>
    </w:p>
    <w:p w14:paraId="4321A2E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368108D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代理机构对因不可抗力事件造成的投标文件的损坏、丢失的，不承担责任。</w:t>
      </w:r>
    </w:p>
    <w:p w14:paraId="2B2175E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出现下述情形之一，属于未成功提交投标文件，按</w:t>
      </w:r>
      <w:r>
        <w:rPr>
          <w:rFonts w:hint="eastAsia" w:ascii="仿宋" w:hAnsi="仿宋" w:eastAsia="仿宋" w:cs="仿宋"/>
          <w:b/>
          <w:bCs/>
          <w:color w:val="000000"/>
          <w:sz w:val="24"/>
          <w:lang w:val="en-US" w:eastAsia="zh-CN"/>
        </w:rPr>
        <w:t>无效投标</w:t>
      </w:r>
      <w:r>
        <w:rPr>
          <w:rFonts w:hint="eastAsia" w:ascii="仿宋" w:hAnsi="仿宋" w:eastAsia="仿宋" w:cs="仿宋"/>
          <w:color w:val="000000"/>
          <w:sz w:val="24"/>
          <w:lang w:val="en-US" w:eastAsia="zh-CN"/>
        </w:rPr>
        <w:t xml:space="preserve">处理： </w:t>
      </w:r>
    </w:p>
    <w:p w14:paraId="0A7E412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（1）  至提交投标文件截止时间，投标文件未完整上传的。 </w:t>
      </w:r>
    </w:p>
    <w:p w14:paraId="7D6079C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   投标文件未按投标格式中注明需签字盖章的要求进行签名（含电子签名）和加盖电子印章，或签名（含电子签名）或电子印章不完整的。 </w:t>
      </w:r>
    </w:p>
    <w:p w14:paraId="0826A55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（3）  投标文件损坏或格式不正确的。 </w:t>
      </w:r>
    </w:p>
    <w:p w14:paraId="78968BE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6393799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17.5</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在提交投标文件截止时间后，投标人不得补充、修改和更换投标文件。</w:t>
      </w:r>
    </w:p>
    <w:p w14:paraId="343A7D9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14:paraId="6F7D3A34">
      <w:pPr>
        <w:spacing w:line="240" w:lineRule="atLeast"/>
        <w:rPr>
          <w:rFonts w:ascii="仿宋" w:hAnsi="仿宋" w:eastAsia="仿宋" w:cs="仿宋"/>
          <w:color w:val="000000"/>
          <w:sz w:val="24"/>
        </w:rPr>
      </w:pPr>
    </w:p>
    <w:p w14:paraId="182DFFA7">
      <w:pPr>
        <w:pStyle w:val="4"/>
        <w:spacing w:before="0" w:line="240" w:lineRule="atLeast"/>
        <w:ind w:left="1079" w:leftChars="257" w:hanging="540"/>
        <w:rPr>
          <w:rFonts w:ascii="仿宋" w:hAnsi="仿宋" w:eastAsia="仿宋" w:cs="仿宋"/>
          <w:color w:val="000000"/>
        </w:rPr>
      </w:pPr>
      <w:bookmarkStart w:id="179" w:name="_Toc12436"/>
      <w:bookmarkStart w:id="180" w:name="_Toc515647778"/>
      <w:bookmarkStart w:id="181" w:name="_Toc28398"/>
      <w:bookmarkStart w:id="182" w:name="_Toc520356163"/>
      <w:bookmarkStart w:id="183" w:name="_Toc10935"/>
      <w:bookmarkStart w:id="184" w:name="_Toc24678"/>
      <w:bookmarkStart w:id="185" w:name="_Toc216582809"/>
      <w:r>
        <w:rPr>
          <w:rFonts w:hint="eastAsia" w:ascii="仿宋" w:hAnsi="仿宋" w:eastAsia="仿宋" w:cs="仿宋"/>
          <w:color w:val="000000"/>
          <w:sz w:val="24"/>
        </w:rPr>
        <w:t>五   开标及评标</w:t>
      </w:r>
      <w:bookmarkEnd w:id="179"/>
      <w:bookmarkEnd w:id="180"/>
      <w:bookmarkEnd w:id="181"/>
      <w:bookmarkEnd w:id="182"/>
      <w:bookmarkEnd w:id="183"/>
      <w:bookmarkEnd w:id="184"/>
      <w:bookmarkEnd w:id="185"/>
    </w:p>
    <w:bookmarkEnd w:id="19"/>
    <w:bookmarkEnd w:id="20"/>
    <w:bookmarkEnd w:id="21"/>
    <w:bookmarkEnd w:id="22"/>
    <w:p w14:paraId="06B4512A">
      <w:pPr>
        <w:pStyle w:val="5"/>
        <w:pageBreakBefore w:val="0"/>
        <w:widowControl w:val="0"/>
        <w:numPr>
          <w:ilvl w:val="0"/>
          <w:numId w:val="0"/>
        </w:numPr>
        <w:kinsoku/>
        <w:wordWrap/>
        <w:overflowPunct/>
        <w:topLinePunct w:val="0"/>
        <w:autoSpaceDE w:val="0"/>
        <w:autoSpaceDN w:val="0"/>
        <w:bidi w:val="0"/>
        <w:snapToGrid/>
        <w:spacing w:line="300" w:lineRule="exact"/>
        <w:jc w:val="both"/>
        <w:textAlignment w:val="auto"/>
        <w:rPr>
          <w:rFonts w:hint="eastAsia" w:ascii="仿宋" w:hAnsi="仿宋" w:eastAsia="仿宋" w:cs="仿宋"/>
          <w:color w:val="000000"/>
          <w:sz w:val="24"/>
          <w:szCs w:val="24"/>
        </w:rPr>
      </w:pPr>
      <w:bookmarkStart w:id="186" w:name="_Toc25345"/>
      <w:bookmarkStart w:id="187" w:name="_Toc81"/>
      <w:bookmarkStart w:id="188" w:name="_Toc17094"/>
      <w:bookmarkStart w:id="189" w:name="_Toc5800"/>
      <w:bookmarkStart w:id="190" w:name="_Toc520356164"/>
      <w:bookmarkStart w:id="191" w:name="_Toc6846"/>
      <w:bookmarkStart w:id="192" w:name="_Toc7186"/>
      <w:bookmarkStart w:id="193" w:name="_Toc515647779"/>
      <w:r>
        <w:rPr>
          <w:rFonts w:hint="eastAsia" w:ascii="仿宋" w:hAnsi="仿宋" w:eastAsia="仿宋" w:cs="仿宋"/>
          <w:color w:val="000000"/>
          <w:sz w:val="24"/>
          <w:szCs w:val="24"/>
          <w:u w:val="none"/>
          <w:lang w:val="en-US" w:eastAsia="zh-CN"/>
        </w:rPr>
        <w:t>18.</w:t>
      </w:r>
      <w:r>
        <w:rPr>
          <w:rFonts w:hint="eastAsia" w:ascii="仿宋" w:hAnsi="仿宋" w:eastAsia="仿宋" w:cs="仿宋"/>
          <w:color w:val="000000"/>
          <w:sz w:val="24"/>
          <w:szCs w:val="24"/>
          <w:u w:val="none"/>
        </w:rPr>
        <w:t>开标</w:t>
      </w:r>
      <w:bookmarkEnd w:id="186"/>
      <w:bookmarkEnd w:id="187"/>
      <w:bookmarkEnd w:id="188"/>
      <w:bookmarkEnd w:id="189"/>
      <w:bookmarkEnd w:id="190"/>
      <w:bookmarkEnd w:id="191"/>
      <w:bookmarkEnd w:id="192"/>
      <w:bookmarkEnd w:id="193"/>
    </w:p>
    <w:p w14:paraId="4429125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18.1   采购人和采购代理机构将按投标人须知资料表中规定的开标时间和地点组织公开开标并邀请所有投标人代表参加。</w:t>
      </w:r>
    </w:p>
    <w:p w14:paraId="779167C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投标人不足3家的，不得开标。</w:t>
      </w:r>
    </w:p>
    <w:p w14:paraId="5CA8BC5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18.2   开标在投标文件确定的提交投标文件截止时间后进行。开标由采购代理主持,供采用电子投标的投标人应委派代表参加电子开标会议。参加开标会议的代表应持有投标人法定代表人授权委托书及委托代理人身份证原件。</w:t>
      </w:r>
    </w:p>
    <w:p w14:paraId="3F17CEA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18.3   采购人或采购代理机构将对开标过程进行记录，由参加开标的各投标人代表和相关工作人员签字确认，并存档备查。</w:t>
      </w:r>
    </w:p>
    <w:p w14:paraId="1D73156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18.4   投标人代表对开标过程和开标记录有疑义，以及认为采购人、采购代理机构相关工作人员有需要回避的情形的，应当场提出询问或者回避申请。</w:t>
      </w:r>
    </w:p>
    <w:p w14:paraId="3F16FD0D">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b/>
          <w:bCs/>
          <w:color w:val="000000"/>
          <w:kern w:val="2"/>
          <w:sz w:val="24"/>
          <w:szCs w:val="24"/>
          <w:u w:val="none"/>
          <w:lang w:val="en-US" w:eastAsia="zh-CN" w:bidi="ar-SA"/>
        </w:rPr>
      </w:pPr>
      <w:bookmarkStart w:id="194" w:name="_Toc21359"/>
      <w:bookmarkStart w:id="195" w:name="_Toc8719"/>
      <w:bookmarkStart w:id="196" w:name="_Toc2660"/>
      <w:bookmarkStart w:id="197" w:name="_Toc32083"/>
      <w:r>
        <w:rPr>
          <w:rFonts w:hint="eastAsia" w:ascii="仿宋" w:hAnsi="仿宋" w:eastAsia="仿宋" w:cs="仿宋"/>
          <w:b/>
          <w:bCs/>
          <w:color w:val="000000"/>
          <w:kern w:val="2"/>
          <w:sz w:val="24"/>
          <w:szCs w:val="24"/>
          <w:u w:val="none"/>
          <w:lang w:val="en-US" w:eastAsia="zh-CN" w:bidi="ar-SA"/>
        </w:rPr>
        <w:t>19.    资格审查及组建评标委员会</w:t>
      </w:r>
      <w:bookmarkEnd w:id="194"/>
      <w:bookmarkEnd w:id="195"/>
      <w:bookmarkEnd w:id="196"/>
      <w:bookmarkEnd w:id="197"/>
    </w:p>
    <w:p w14:paraId="427B423C">
      <w:pPr>
        <w:pStyle w:val="32"/>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19.1  采购人或采购代理机构依据法律法规和招标文件中规定的内容，对投标人的资格进行审查。未通过资格审查的投标人不进入评标；进入评标的投标人不足3家的，不得评标。</w:t>
      </w:r>
    </w:p>
    <w:p w14:paraId="05A6FD0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19.2   采购人或采购代理机构将在投标截止后1小时的期间内查询投标人的信用记录。投标人存在不良信用记录的，其投标将被认定为投标无效。</w:t>
      </w:r>
    </w:p>
    <w:p w14:paraId="6AF5FD1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19.3   不良信用记录指：投标人在“信用中国”网站(www.creditchina.gov.cn)被列入“重大税收违法失信主体名单”、“严重失信主体名单查询”、中国政府采购网(www.ccgp.gov.cn)被列入“政府采购严重违法失信行为记录名单”（尚在处罚期内的），以及存在《中华人民共和国政府采购法实施条例》第十九条规定的行政处罚记录。</w:t>
      </w:r>
    </w:p>
    <w:p w14:paraId="615DDAF2">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以联合体形式参加投标的，联合体任何成员存在以上不良信用记录的，联合体投标将被认定为投标无效。</w:t>
      </w:r>
    </w:p>
    <w:p w14:paraId="5A55B814">
      <w:pPr>
        <w:pStyle w:val="2"/>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19.4   查询及记录方式：采购人或采购代理机构经办人将查询网页打印、签字并存档备查。投标人不良信用记录以采购人或采购代理机构查询结果为准。</w:t>
      </w:r>
    </w:p>
    <w:p w14:paraId="78816158">
      <w:pPr>
        <w:pStyle w:val="2"/>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在本招标文件规定的查询时间之后，网站信息发生的任何变更均不再作为评标依据。</w:t>
      </w:r>
    </w:p>
    <w:p w14:paraId="545ADEFC">
      <w:pPr>
        <w:pStyle w:val="2"/>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投标人自行提供的与网站信息不一致的其他证明材料亦不作为资格审查依据。</w:t>
      </w:r>
    </w:p>
    <w:p w14:paraId="02A861E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19.5   按照《中华人民共和国政府采购法》、《中华人民共和国政府采购法实施条例》及本项目本级和上级财政部门的有关规定依法组建由</w:t>
      </w:r>
      <w:r>
        <w:rPr>
          <w:rFonts w:hint="eastAsia" w:ascii="仿宋" w:hAnsi="仿宋" w:eastAsia="仿宋" w:cs="仿宋"/>
          <w:b/>
          <w:bCs/>
          <w:color w:val="000000"/>
          <w:kern w:val="2"/>
          <w:sz w:val="24"/>
          <w:szCs w:val="24"/>
          <w:lang w:val="en-US" w:eastAsia="zh-CN" w:bidi="ar-SA"/>
        </w:rPr>
        <w:t>5人单数组成</w:t>
      </w:r>
      <w:r>
        <w:rPr>
          <w:rFonts w:hint="eastAsia" w:ascii="仿宋" w:hAnsi="仿宋" w:eastAsia="仿宋" w:cs="仿宋"/>
          <w:color w:val="000000"/>
          <w:kern w:val="2"/>
          <w:sz w:val="24"/>
          <w:szCs w:val="24"/>
          <w:lang w:val="en-US" w:eastAsia="zh-CN" w:bidi="ar-SA"/>
        </w:rPr>
        <w:t>（政采云平台政府采购专家库随机抽取5名评标委员会）的评标委员会，负责评标工作。</w:t>
      </w:r>
    </w:p>
    <w:p w14:paraId="5F2AF9E1">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b w:val="0"/>
          <w:bCs/>
          <w:color w:val="000000"/>
          <w:sz w:val="24"/>
          <w:szCs w:val="24"/>
          <w:bdr w:val="single" w:color="auto" w:sz="4" w:space="0"/>
        </w:rPr>
      </w:pPr>
      <w:bookmarkStart w:id="198" w:name="_Toc520356166"/>
      <w:bookmarkStart w:id="199" w:name="_Toc515647781"/>
      <w:bookmarkStart w:id="200" w:name="_Toc28479"/>
      <w:bookmarkStart w:id="201" w:name="_Toc7046"/>
      <w:bookmarkStart w:id="202" w:name="_Toc19949"/>
      <w:bookmarkStart w:id="203" w:name="_Toc22860"/>
      <w:bookmarkStart w:id="204" w:name="_Toc17810"/>
      <w:bookmarkStart w:id="205" w:name="_Toc17442"/>
      <w:r>
        <w:rPr>
          <w:rFonts w:hint="eastAsia" w:ascii="仿宋" w:hAnsi="仿宋" w:eastAsia="仿宋" w:cs="仿宋"/>
          <w:color w:val="000000"/>
          <w:sz w:val="24"/>
          <w:szCs w:val="24"/>
          <w:u w:val="none"/>
        </w:rPr>
        <w:t>20.投标文件</w:t>
      </w:r>
      <w:bookmarkEnd w:id="198"/>
      <w:r>
        <w:rPr>
          <w:rFonts w:hint="eastAsia" w:ascii="仿宋" w:hAnsi="仿宋" w:eastAsia="仿宋" w:cs="仿宋"/>
          <w:color w:val="000000"/>
          <w:sz w:val="24"/>
          <w:szCs w:val="24"/>
          <w:u w:val="none"/>
        </w:rPr>
        <w:t>符合性审查与澄清</w:t>
      </w:r>
      <w:bookmarkEnd w:id="199"/>
      <w:bookmarkEnd w:id="200"/>
      <w:bookmarkEnd w:id="201"/>
      <w:bookmarkEnd w:id="202"/>
      <w:bookmarkEnd w:id="203"/>
      <w:bookmarkEnd w:id="204"/>
      <w:bookmarkEnd w:id="205"/>
    </w:p>
    <w:p w14:paraId="00130980">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20.1   符合性审查是指依据招标文件的规定，从投标文件的有效性和完整性对招标文件的响应程度进行审查，以确定是否对招标文件的实质性要求做出响应。</w:t>
      </w:r>
      <w:bookmarkStart w:id="206" w:name="_Hlt522424701"/>
      <w:bookmarkEnd w:id="206"/>
      <w:bookmarkStart w:id="207" w:name="_Toc520356167"/>
    </w:p>
    <w:p w14:paraId="42B25ED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w:t>
      </w:r>
      <w:r>
        <w:rPr>
          <w:rFonts w:hint="eastAsia" w:ascii="仿宋" w:hAnsi="仿宋" w:eastAsia="仿宋" w:cs="仿宋"/>
          <w:color w:val="000000"/>
          <w:kern w:val="2"/>
          <w:sz w:val="24"/>
          <w:szCs w:val="24"/>
          <w:lang w:val="en-US" w:eastAsia="zh-CN" w:bidi="ar-SA"/>
        </w:rPr>
        <w:tab/>
      </w:r>
      <w:r>
        <w:rPr>
          <w:rFonts w:hint="eastAsia" w:ascii="仿宋" w:hAnsi="仿宋" w:eastAsia="仿宋" w:cs="仿宋"/>
          <w:color w:val="000000"/>
          <w:kern w:val="2"/>
          <w:sz w:val="24"/>
          <w:szCs w:val="24"/>
          <w:lang w:val="en-US" w:eastAsia="zh-CN" w:bidi="ar-SA"/>
        </w:rPr>
        <w:t>投标文件的澄清</w:t>
      </w:r>
    </w:p>
    <w:p w14:paraId="386C498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DBC35C7">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20.2.2  投标人的的澄清、说明或补正将作为投标文件的一部分。</w:t>
      </w:r>
    </w:p>
    <w:p w14:paraId="7ECB49B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20.3  投标文件报价出现前后不一致的，按照下列规定修正：</w:t>
      </w:r>
    </w:p>
    <w:p w14:paraId="7A53880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（一）投标文件中开标一览表（报价表）内容与投标文件中相应内容不一致的，以开标一览表（报价表）为准；</w:t>
      </w:r>
    </w:p>
    <w:p w14:paraId="4770051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（二）大写金额和小写金额不一致的，以大写金额为准；</w:t>
      </w:r>
    </w:p>
    <w:p w14:paraId="0D69F0B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（三）单价金额小数点或者百分比有明显错位的，以开标一览表的总价为准，并修改单价；</w:t>
      </w:r>
    </w:p>
    <w:p w14:paraId="1C139B0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（四）总价金额与按单价汇总金额不一致的，以单价金额计算结果为准。</w:t>
      </w:r>
    </w:p>
    <w:p w14:paraId="53AA26A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同时出现两种以上不一致的，按照前款规定的顺序修正。修正后的报价按照第20.2条的规定经投标人确认后产生约束力，投标人不确认的，其投标将被认定为投标无效。</w:t>
      </w:r>
    </w:p>
    <w:p w14:paraId="2A326610">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对不同文字文本投标文件的解释发生异议的，以中文文本为准。</w:t>
      </w:r>
    </w:p>
    <w:p w14:paraId="3593DA6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   如一个分包内只有一种产品，不同投标人所投产品为同一品牌的，按如下方式处理：</w:t>
      </w:r>
    </w:p>
    <w:p w14:paraId="6147CBB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14:paraId="2DF3DF4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59BF1EF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20.5   如一个分包内包含多种产品的，采购人或采购代理机构将在投标人须知资料表中载明核心产品，多家投标人提供的核心产品品牌相同的，按第20.4条规定处理。</w:t>
      </w:r>
    </w:p>
    <w:p w14:paraId="4FF5894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14:paraId="26CF28F4">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08" w:name="_Toc9469"/>
      <w:bookmarkStart w:id="209" w:name="_Toc515647782"/>
      <w:bookmarkStart w:id="210" w:name="_Toc6364"/>
      <w:bookmarkStart w:id="211" w:name="_Toc10022"/>
      <w:bookmarkStart w:id="212" w:name="_Toc2850"/>
      <w:bookmarkStart w:id="213" w:name="_Toc27603"/>
      <w:bookmarkStart w:id="214" w:name="_Toc19094"/>
      <w:r>
        <w:rPr>
          <w:rFonts w:hint="eastAsia" w:ascii="仿宋" w:hAnsi="仿宋" w:eastAsia="仿宋" w:cs="仿宋"/>
          <w:color w:val="000000"/>
          <w:sz w:val="24"/>
          <w:szCs w:val="24"/>
          <w:u w:val="none"/>
        </w:rPr>
        <w:t>21.投标偏离</w:t>
      </w:r>
      <w:bookmarkEnd w:id="208"/>
      <w:bookmarkEnd w:id="209"/>
      <w:bookmarkEnd w:id="210"/>
      <w:bookmarkEnd w:id="211"/>
      <w:bookmarkEnd w:id="212"/>
      <w:bookmarkEnd w:id="213"/>
      <w:bookmarkEnd w:id="214"/>
    </w:p>
    <w:p w14:paraId="3265D8D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评标委员会可以接受投标文件中满足招标实际需求的正偏离，未响应招标要求的负偏离，评标委员会将认定整个投标文件未响应招标文件被认定为投标无效。</w:t>
      </w:r>
    </w:p>
    <w:p w14:paraId="49255A5A">
      <w:pPr>
        <w:pStyle w:val="5"/>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15" w:name="_Toc515647783"/>
      <w:bookmarkStart w:id="216" w:name="_Toc8086"/>
      <w:bookmarkStart w:id="217" w:name="_Toc4950"/>
      <w:bookmarkStart w:id="218" w:name="_Toc22802"/>
      <w:bookmarkStart w:id="219" w:name="_Toc6092"/>
      <w:bookmarkStart w:id="220" w:name="_Toc9014"/>
      <w:bookmarkStart w:id="221" w:name="_Toc631"/>
      <w:r>
        <w:rPr>
          <w:rFonts w:hint="eastAsia" w:ascii="仿宋" w:hAnsi="仿宋" w:eastAsia="仿宋" w:cs="仿宋"/>
          <w:color w:val="000000"/>
          <w:sz w:val="24"/>
          <w:szCs w:val="24"/>
          <w:u w:val="none"/>
        </w:rPr>
        <w:t>22.投标</w:t>
      </w:r>
      <w:bookmarkEnd w:id="215"/>
      <w:r>
        <w:rPr>
          <w:rFonts w:hint="eastAsia" w:ascii="仿宋" w:hAnsi="仿宋" w:eastAsia="仿宋" w:cs="仿宋"/>
          <w:color w:val="000000"/>
          <w:sz w:val="24"/>
          <w:szCs w:val="24"/>
          <w:u w:val="none"/>
        </w:rPr>
        <w:t>无效</w:t>
      </w:r>
      <w:bookmarkEnd w:id="216"/>
      <w:bookmarkEnd w:id="217"/>
      <w:bookmarkEnd w:id="218"/>
      <w:bookmarkEnd w:id="219"/>
      <w:bookmarkEnd w:id="220"/>
      <w:bookmarkEnd w:id="221"/>
    </w:p>
    <w:p w14:paraId="4C013D1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14:paraId="1EAE2B3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评标委员会决定投标的响应性只根据招标文件要求、投标文件内容及财政主管部门指定相关信息发布媒体。</w:t>
      </w:r>
    </w:p>
    <w:p w14:paraId="4B963F13">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ascii="仿宋" w:hAnsi="仿宋" w:eastAsia="仿宋" w:cs="仿宋"/>
          <w:color w:val="000000"/>
          <w:sz w:val="24"/>
        </w:rPr>
      </w:pPr>
      <w:r>
        <w:rPr>
          <w:rFonts w:hint="eastAsia" w:ascii="仿宋" w:hAnsi="仿宋" w:eastAsia="仿宋" w:cs="仿宋"/>
          <w:color w:val="000000"/>
          <w:sz w:val="24"/>
        </w:rPr>
        <w:t>22.2</w:t>
      </w:r>
      <w:r>
        <w:rPr>
          <w:rFonts w:hint="eastAsia" w:ascii="仿宋" w:hAnsi="仿宋" w:eastAsia="仿宋" w:cs="仿宋"/>
          <w:color w:val="000000"/>
          <w:sz w:val="24"/>
        </w:rPr>
        <w:tab/>
      </w:r>
      <w:r>
        <w:rPr>
          <w:rFonts w:hint="eastAsia" w:ascii="仿宋" w:hAnsi="仿宋" w:eastAsia="仿宋" w:cs="仿宋"/>
          <w:color w:val="000000"/>
          <w:sz w:val="24"/>
        </w:rPr>
        <w:t>如发现下列情况之一的，其投标将被认定为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b/>
          <w:color w:val="000000"/>
          <w:sz w:val="24"/>
        </w:rPr>
        <w:t>以下情形应当在招标文件中规定，并以醒目的方式标明</w:t>
      </w:r>
      <w:r>
        <w:rPr>
          <w:rFonts w:hint="eastAsia" w:ascii="仿宋" w:hAnsi="仿宋" w:eastAsia="仿宋" w:cs="仿宋"/>
          <w:color w:val="000000"/>
          <w:sz w:val="24"/>
        </w:rPr>
        <w:t>）</w:t>
      </w:r>
    </w:p>
    <w:p w14:paraId="238F9D3F">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未按招标文件规定的形式和金额提交投标保证金的；</w:t>
      </w:r>
    </w:p>
    <w:p w14:paraId="4060BECB">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未按照招标文件规定要求签署、盖章的；</w:t>
      </w:r>
    </w:p>
    <w:p w14:paraId="17C225F7">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未满足招标文件中技术条款的实质性要求；</w:t>
      </w:r>
    </w:p>
    <w:p w14:paraId="06B3CBEC">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与其他投标人串通投标，或者与招标人串通投标；</w:t>
      </w:r>
    </w:p>
    <w:p w14:paraId="748D4CB4">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属于招标文件规定的其他投标无效情形；</w:t>
      </w:r>
    </w:p>
    <w:p w14:paraId="09FEDCEC">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评标委员会认为投标人的报价明显低于其他通过符合性检查投标人的报价，有可能影响履约的，且投标人未按照规定证明其报价合理性的；</w:t>
      </w:r>
    </w:p>
    <w:p w14:paraId="11D6C8EB">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sz w:val="24"/>
        </w:rPr>
      </w:pPr>
      <w:r>
        <w:rPr>
          <w:rFonts w:hint="eastAsia" w:ascii="仿宋" w:hAnsi="仿宋" w:eastAsia="仿宋" w:cs="仿宋"/>
          <w:b/>
          <w:bCs/>
          <w:color w:val="000000"/>
          <w:sz w:val="24"/>
        </w:rPr>
        <w:t>投标文件含有采购人不能接受的附加条件的；</w:t>
      </w:r>
    </w:p>
    <w:p w14:paraId="6265E8DB">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tLeast"/>
        <w:ind w:left="907" w:leftChars="0" w:firstLine="113"/>
        <w:textAlignment w:val="auto"/>
        <w:rPr>
          <w:rFonts w:ascii="仿宋" w:hAnsi="仿宋" w:eastAsia="仿宋" w:cs="仿宋"/>
          <w:b/>
          <w:bCs/>
          <w:color w:val="000000"/>
        </w:rPr>
      </w:pPr>
      <w:r>
        <w:rPr>
          <w:rFonts w:hint="eastAsia" w:ascii="仿宋" w:hAnsi="仿宋" w:eastAsia="仿宋" w:cs="仿宋"/>
          <w:b/>
          <w:bCs/>
          <w:color w:val="000000"/>
          <w:sz w:val="24"/>
        </w:rPr>
        <w:t>不符合法规和招标文件中规定的其他实质性要求的。</w:t>
      </w:r>
    </w:p>
    <w:p w14:paraId="49971791">
      <w:pPr>
        <w:pageBreakBefore w:val="0"/>
        <w:widowControl w:val="0"/>
        <w:kinsoku/>
        <w:wordWrap/>
        <w:overflowPunct/>
        <w:topLinePunct w:val="0"/>
        <w:autoSpaceDE w:val="0"/>
        <w:autoSpaceDN w:val="0"/>
        <w:bidi w:val="0"/>
        <w:snapToGrid/>
        <w:spacing w:line="300" w:lineRule="exact"/>
        <w:jc w:val="both"/>
        <w:textAlignment w:val="auto"/>
        <w:rPr>
          <w:rFonts w:hint="eastAsia" w:ascii="仿宋" w:hAnsi="仿宋" w:eastAsia="仿宋" w:cs="仿宋"/>
          <w:b/>
          <w:color w:val="000000"/>
          <w:kern w:val="0"/>
          <w:sz w:val="24"/>
          <w:szCs w:val="24"/>
        </w:rPr>
      </w:pPr>
      <w:bookmarkStart w:id="222" w:name="_Toc22941"/>
      <w:bookmarkStart w:id="223" w:name="_Toc13652"/>
      <w:bookmarkStart w:id="224" w:name="_Toc515647784"/>
      <w:r>
        <w:rPr>
          <w:rFonts w:hint="eastAsia" w:ascii="仿宋" w:hAnsi="仿宋" w:eastAsia="仿宋" w:cs="仿宋"/>
          <w:b/>
          <w:color w:val="000000"/>
          <w:kern w:val="0"/>
          <w:sz w:val="24"/>
          <w:szCs w:val="24"/>
        </w:rPr>
        <w:t>23.</w:t>
      </w:r>
      <w:bookmarkEnd w:id="207"/>
      <w:r>
        <w:rPr>
          <w:rFonts w:hint="eastAsia" w:ascii="仿宋" w:hAnsi="仿宋" w:eastAsia="仿宋" w:cs="仿宋"/>
          <w:b/>
          <w:color w:val="000000"/>
          <w:kern w:val="0"/>
          <w:sz w:val="24"/>
          <w:szCs w:val="24"/>
        </w:rPr>
        <w:t>比较与评价</w:t>
      </w:r>
      <w:bookmarkEnd w:id="222"/>
      <w:bookmarkEnd w:id="223"/>
      <w:bookmarkEnd w:id="224"/>
    </w:p>
    <w:p w14:paraId="33291A2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23.1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经符合性审查合格的投标文件，评标委员会将根据招标文件确定的评标方法和标准，对其技术部分和商务部分作进一步的比较和评价。</w:t>
      </w:r>
    </w:p>
    <w:p w14:paraId="34225C1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23.2  </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评标严格按照招标文件的要求和条件进行。根据实际情况，在投标人须知资料表中规定采用下列一种评标方法，详细评标标准见招标文件第六章：</w:t>
      </w:r>
    </w:p>
    <w:p w14:paraId="22771ABA">
      <w:pPr>
        <w:keepNext w:val="0"/>
        <w:keepLines w:val="0"/>
        <w:pageBreakBefore w:val="0"/>
        <w:widowControl w:val="0"/>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 最低评标价法，是指投标文件满足招标文件全部实质性要求，且投标报价最低的投标人为中标候选人的评标方法。</w:t>
      </w:r>
    </w:p>
    <w:p w14:paraId="6ADE4854">
      <w:pPr>
        <w:keepNext w:val="0"/>
        <w:keepLines w:val="0"/>
        <w:pageBreakBefore w:val="0"/>
        <w:widowControl w:val="0"/>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 综合评分法，是指投标文件满足招标文件全部实质性要求，且按照评审因素的量化指标评审得分最高的投标人为中标候选人的评标方法。</w:t>
      </w:r>
    </w:p>
    <w:p w14:paraId="57BD6812">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23.3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14:paraId="5D4DFF0B">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25" w:name="_Toc520356168"/>
      <w:bookmarkStart w:id="226" w:name="_Toc20227"/>
      <w:bookmarkStart w:id="227" w:name="_Toc31543"/>
      <w:bookmarkStart w:id="228" w:name="_Toc515647785"/>
      <w:bookmarkStart w:id="229" w:name="_Toc7515"/>
      <w:bookmarkStart w:id="230" w:name="_Toc31851"/>
      <w:bookmarkStart w:id="231" w:name="_Toc9378"/>
      <w:r>
        <w:rPr>
          <w:rFonts w:hint="eastAsia" w:ascii="仿宋" w:hAnsi="仿宋" w:eastAsia="仿宋" w:cs="仿宋"/>
          <w:color w:val="000000"/>
          <w:sz w:val="24"/>
          <w:szCs w:val="24"/>
          <w:u w:val="none"/>
        </w:rPr>
        <w:t>24</w:t>
      </w:r>
      <w:bookmarkEnd w:id="225"/>
      <w:r>
        <w:rPr>
          <w:rFonts w:hint="eastAsia" w:ascii="仿宋" w:hAnsi="仿宋" w:eastAsia="仿宋" w:cs="仿宋"/>
          <w:color w:val="000000"/>
          <w:sz w:val="24"/>
          <w:szCs w:val="24"/>
          <w:u w:val="none"/>
        </w:rPr>
        <w:t>.废标</w:t>
      </w:r>
      <w:bookmarkEnd w:id="226"/>
      <w:bookmarkEnd w:id="227"/>
      <w:bookmarkEnd w:id="228"/>
      <w:bookmarkEnd w:id="229"/>
      <w:bookmarkEnd w:id="230"/>
      <w:bookmarkEnd w:id="231"/>
    </w:p>
    <w:p w14:paraId="404575AB">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 xml:space="preserve">出现下列情形之一，将导致项目废标： </w:t>
      </w:r>
    </w:p>
    <w:p w14:paraId="06EA3E3C">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（1）符合专业条件的供应商或者对招标文件做实质性响应的供应商不足三家；</w:t>
      </w:r>
    </w:p>
    <w:p w14:paraId="258D301B">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（2）出现影响采购公正的违法、违规行为的；</w:t>
      </w:r>
    </w:p>
    <w:p w14:paraId="098C2A86">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（3）投标人的报价均超过了采购预算，采购人不能支付的；</w:t>
      </w:r>
    </w:p>
    <w:p w14:paraId="03BAC5D1">
      <w:pPr>
        <w:spacing w:line="240" w:lineRule="atLeast"/>
        <w:ind w:firstLine="840" w:firstLineChars="350"/>
        <w:rPr>
          <w:rFonts w:ascii="仿宋" w:hAnsi="仿宋" w:eastAsia="仿宋" w:cs="仿宋"/>
          <w:color w:val="000000"/>
          <w:sz w:val="24"/>
        </w:rPr>
      </w:pPr>
      <w:r>
        <w:rPr>
          <w:rFonts w:hint="eastAsia" w:ascii="仿宋" w:hAnsi="仿宋" w:eastAsia="仿宋" w:cs="仿宋"/>
          <w:b/>
          <w:bCs/>
          <w:color w:val="000000"/>
          <w:sz w:val="24"/>
        </w:rPr>
        <w:t>（4）因重大变故，采购任务取消的</w:t>
      </w:r>
      <w:r>
        <w:rPr>
          <w:rFonts w:hint="eastAsia" w:ascii="仿宋" w:hAnsi="仿宋" w:eastAsia="仿宋" w:cs="仿宋"/>
          <w:color w:val="000000"/>
          <w:sz w:val="24"/>
        </w:rPr>
        <w:t xml:space="preserve">。   </w:t>
      </w:r>
    </w:p>
    <w:p w14:paraId="03DD6623">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32" w:name="_Toc515647786"/>
      <w:bookmarkStart w:id="233" w:name="_Toc18012"/>
      <w:bookmarkStart w:id="234" w:name="_Toc24972"/>
      <w:bookmarkStart w:id="235" w:name="_Toc31289"/>
      <w:bookmarkStart w:id="236" w:name="_Toc5990"/>
      <w:bookmarkStart w:id="237" w:name="_Toc23878"/>
      <w:bookmarkStart w:id="238" w:name="_Toc23904"/>
      <w:bookmarkStart w:id="239" w:name="_Toc216582810"/>
      <w:bookmarkStart w:id="240" w:name="_Toc520356169"/>
      <w:bookmarkStart w:id="241" w:name="_Toc515647787"/>
      <w:bookmarkStart w:id="242" w:name="_Toc12143"/>
      <w:r>
        <w:rPr>
          <w:rFonts w:hint="eastAsia" w:ascii="仿宋" w:hAnsi="仿宋" w:eastAsia="仿宋" w:cs="仿宋"/>
          <w:color w:val="000000"/>
          <w:sz w:val="24"/>
          <w:szCs w:val="24"/>
          <w:u w:val="none"/>
        </w:rPr>
        <w:t>25.保密原则</w:t>
      </w:r>
      <w:bookmarkEnd w:id="232"/>
      <w:bookmarkEnd w:id="233"/>
      <w:bookmarkEnd w:id="234"/>
      <w:bookmarkEnd w:id="235"/>
      <w:bookmarkEnd w:id="236"/>
      <w:bookmarkEnd w:id="237"/>
    </w:p>
    <w:p w14:paraId="0DB60793">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294E33E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 xml:space="preserve">政府采购评审专家应当遵守评审工作纪律，不得泄露评审文件、评审情况和评审中获悉的商业秘密。投标商在评标过程中，所进行的力图影响评标结果的不符合《政府采购法》及本次招标中有关规定的活动，将被取消其中标资格。   </w:t>
      </w:r>
    </w:p>
    <w:p w14:paraId="2B36EB6C">
      <w:pPr>
        <w:spacing w:line="240" w:lineRule="atLeast"/>
        <w:ind w:left="1079" w:leftChars="257" w:hanging="540"/>
        <w:rPr>
          <w:rFonts w:ascii="仿宋" w:hAnsi="仿宋" w:eastAsia="仿宋" w:cs="仿宋"/>
          <w:color w:val="000000"/>
          <w:sz w:val="24"/>
        </w:rPr>
      </w:pPr>
    </w:p>
    <w:p w14:paraId="447B5DB6">
      <w:pPr>
        <w:pStyle w:val="4"/>
        <w:spacing w:before="0" w:line="240" w:lineRule="atLeast"/>
        <w:ind w:left="1079" w:leftChars="257" w:hanging="540"/>
        <w:rPr>
          <w:rFonts w:ascii="仿宋" w:hAnsi="仿宋" w:eastAsia="仿宋" w:cs="仿宋"/>
          <w:color w:val="000000"/>
        </w:rPr>
      </w:pPr>
      <w:bookmarkStart w:id="243" w:name="_Toc7613"/>
      <w:r>
        <w:rPr>
          <w:rFonts w:hint="eastAsia" w:ascii="仿宋" w:hAnsi="仿宋" w:eastAsia="仿宋" w:cs="仿宋"/>
          <w:color w:val="000000"/>
          <w:sz w:val="24"/>
        </w:rPr>
        <w:t>六   确定中标</w:t>
      </w:r>
      <w:bookmarkEnd w:id="243"/>
    </w:p>
    <w:p w14:paraId="4D820788">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44" w:name="_Toc5725"/>
      <w:bookmarkStart w:id="245" w:name="_Toc20092"/>
      <w:bookmarkStart w:id="246" w:name="_Toc11315"/>
      <w:r>
        <w:rPr>
          <w:rFonts w:hint="eastAsia" w:ascii="仿宋" w:hAnsi="仿宋" w:eastAsia="仿宋" w:cs="仿宋"/>
          <w:color w:val="000000"/>
          <w:sz w:val="24"/>
          <w:szCs w:val="24"/>
          <w:u w:val="none"/>
        </w:rPr>
        <w:t>26.中标候选人的确定原则及标准</w:t>
      </w:r>
      <w:bookmarkEnd w:id="244"/>
      <w:bookmarkEnd w:id="245"/>
      <w:bookmarkEnd w:id="246"/>
    </w:p>
    <w:p w14:paraId="79BC838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除第28条规定外，对实质上响应招标文件的投标人按下列方法进行排序，确定投标候选人：</w:t>
      </w:r>
    </w:p>
    <w:p w14:paraId="11E7FAF6">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采用最低评标价法的，除了算术修正和落实政府采购政策需进行的价格扣除外，不对投标人的投标价格进行任何调整。评标结果按修正和扣除后的投标报价由低到高顺序排列。</w:t>
      </w:r>
    </w:p>
    <w:p w14:paraId="5AD1C76E">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本项目采用综合评分法，是指投标文件满足招标文件全部实质性要求，且按照评审因素的量化指标评审得分最高的投标人为中标候选人的评标方法。报价相同的处理方式详见招标文件第6章。</w:t>
      </w:r>
    </w:p>
    <w:p w14:paraId="50104660">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本项目采用综合评分法，对实质性响应的投标文件进行评估和比较采用综合评分法进行打分评比，打分方法：</w:t>
      </w:r>
      <w:r>
        <w:rPr>
          <w:rFonts w:hint="eastAsia" w:ascii="仿宋" w:hAnsi="仿宋" w:eastAsia="仿宋" w:cs="仿宋"/>
          <w:b/>
          <w:bCs/>
          <w:color w:val="000000"/>
          <w:sz w:val="24"/>
          <w:lang w:val="en-US" w:eastAsia="zh-CN"/>
        </w:rPr>
        <w:t>总分为100分，其中价格因素占30分，技术因素、商务因素占70分</w:t>
      </w:r>
      <w:r>
        <w:rPr>
          <w:rFonts w:hint="eastAsia" w:ascii="仿宋" w:hAnsi="仿宋" w:eastAsia="仿宋" w:cs="仿宋"/>
          <w:color w:val="000000"/>
          <w:sz w:val="24"/>
          <w:lang w:val="en-US" w:eastAsia="zh-CN"/>
        </w:rPr>
        <w:t>。将每位投标商的价格得分、技术得分、商务得分相加即为该投标商的总得分。</w:t>
      </w:r>
    </w:p>
    <w:bookmarkEnd w:id="238"/>
    <w:bookmarkEnd w:id="239"/>
    <w:bookmarkEnd w:id="240"/>
    <w:bookmarkEnd w:id="241"/>
    <w:bookmarkEnd w:id="242"/>
    <w:p w14:paraId="0B05C76B">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47" w:name="_Toc27148"/>
      <w:bookmarkStart w:id="248" w:name="_Toc3685"/>
      <w:bookmarkStart w:id="249" w:name="_Toc4928"/>
      <w:bookmarkStart w:id="250" w:name="_Toc515647789"/>
      <w:bookmarkStart w:id="251" w:name="_Toc9653"/>
      <w:bookmarkStart w:id="252" w:name="_Toc23951"/>
      <w:bookmarkStart w:id="253" w:name="_Toc520356171"/>
      <w:r>
        <w:rPr>
          <w:rFonts w:hint="eastAsia" w:ascii="仿宋" w:hAnsi="仿宋" w:eastAsia="仿宋" w:cs="仿宋"/>
          <w:color w:val="000000"/>
          <w:sz w:val="24"/>
          <w:szCs w:val="24"/>
          <w:u w:val="none"/>
          <w:lang w:val="en-US" w:eastAsia="zh-CN"/>
        </w:rPr>
        <w:t>27.确定中标候选人和中标人</w:t>
      </w:r>
      <w:bookmarkEnd w:id="247"/>
      <w:bookmarkEnd w:id="248"/>
      <w:bookmarkEnd w:id="249"/>
    </w:p>
    <w:p w14:paraId="1DC0D2B2">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评标委员会将根据评标标准，按投标人须知资料表中规定数量推荐中标候选人；或根据采购人的委托，直接确定中标人。</w:t>
      </w:r>
    </w:p>
    <w:p w14:paraId="5933BECF">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54" w:name="_Toc25265"/>
      <w:bookmarkStart w:id="255" w:name="_Toc9726"/>
      <w:bookmarkStart w:id="256" w:name="_Toc24776"/>
      <w:r>
        <w:rPr>
          <w:rFonts w:hint="eastAsia" w:ascii="仿宋" w:hAnsi="仿宋" w:eastAsia="仿宋" w:cs="仿宋"/>
          <w:color w:val="000000"/>
          <w:sz w:val="24"/>
          <w:szCs w:val="24"/>
          <w:u w:val="none"/>
          <w:lang w:val="en-US" w:eastAsia="zh-CN"/>
        </w:rPr>
        <w:t>28.采购任务取消</w:t>
      </w:r>
      <w:bookmarkEnd w:id="254"/>
      <w:bookmarkEnd w:id="255"/>
      <w:bookmarkEnd w:id="256"/>
      <w:r>
        <w:rPr>
          <w:rFonts w:hint="eastAsia" w:ascii="仿宋" w:hAnsi="仿宋" w:eastAsia="仿宋" w:cs="仿宋"/>
          <w:color w:val="000000"/>
          <w:sz w:val="24"/>
          <w:szCs w:val="24"/>
          <w:u w:val="none"/>
          <w:lang w:val="en-US" w:eastAsia="zh-CN"/>
        </w:rPr>
        <w:tab/>
      </w:r>
    </w:p>
    <w:p w14:paraId="473023C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因重大变故采   购任务取消时，采购人有权拒绝任何投标人中标，且对受影响的投标人不承担任何责任。</w:t>
      </w:r>
    </w:p>
    <w:p w14:paraId="5DB68A3A">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57" w:name="_Toc14263"/>
      <w:bookmarkStart w:id="258" w:name="_Toc12244"/>
      <w:bookmarkStart w:id="259" w:name="_Toc3605"/>
      <w:r>
        <w:rPr>
          <w:rFonts w:hint="eastAsia" w:ascii="仿宋" w:hAnsi="仿宋" w:eastAsia="仿宋" w:cs="仿宋"/>
          <w:color w:val="000000"/>
          <w:sz w:val="24"/>
          <w:szCs w:val="24"/>
          <w:u w:val="none"/>
          <w:lang w:val="en-US" w:eastAsia="zh-CN"/>
        </w:rPr>
        <w:t>29.中标通知书和招标结果通知书</w:t>
      </w:r>
      <w:bookmarkEnd w:id="257"/>
      <w:bookmarkEnd w:id="258"/>
      <w:bookmarkEnd w:id="259"/>
    </w:p>
    <w:p w14:paraId="077B9A7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在投标有效期内，中标人确定后，采购人或者采购代理机构发布中标公告，同时以书面形式向中标人发出中标通知书。</w:t>
      </w:r>
    </w:p>
    <w:p w14:paraId="3FD8AC6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中标通知书是合同的组成部分。</w:t>
      </w:r>
    </w:p>
    <w:p w14:paraId="67776B0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29.3    招标结果通知书和中标通知书同时发出。招标结果通知书中将告知未通过资格审查的投标人未通过的原因；</w:t>
      </w:r>
      <w:bookmarkEnd w:id="250"/>
      <w:bookmarkEnd w:id="251"/>
      <w:bookmarkEnd w:id="252"/>
      <w:bookmarkEnd w:id="253"/>
    </w:p>
    <w:p w14:paraId="0C6F7BE7">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60" w:name="_Toc22773"/>
      <w:bookmarkStart w:id="261" w:name="_Toc790"/>
      <w:bookmarkStart w:id="262" w:name="_Toc515647792"/>
      <w:bookmarkStart w:id="263" w:name="_Toc10931"/>
      <w:bookmarkStart w:id="264" w:name="_Ref467306978"/>
      <w:bookmarkStart w:id="265" w:name="_Ref467306377"/>
      <w:bookmarkStart w:id="266" w:name="_Toc29026"/>
      <w:bookmarkStart w:id="267" w:name="_Ref467307204"/>
      <w:bookmarkStart w:id="268" w:name="_Ref467307062"/>
      <w:bookmarkStart w:id="269" w:name="_Toc520356175"/>
      <w:bookmarkStart w:id="270" w:name="_Toc7779"/>
      <w:r>
        <w:rPr>
          <w:rFonts w:hint="eastAsia" w:ascii="仿宋" w:hAnsi="仿宋" w:eastAsia="仿宋" w:cs="仿宋"/>
          <w:color w:val="000000"/>
          <w:sz w:val="24"/>
          <w:szCs w:val="24"/>
          <w:u w:val="none"/>
          <w:lang w:val="en-US" w:eastAsia="zh-CN"/>
        </w:rPr>
        <w:t>30.签订合同</w:t>
      </w:r>
      <w:bookmarkEnd w:id="260"/>
      <w:bookmarkEnd w:id="261"/>
      <w:bookmarkEnd w:id="262"/>
      <w:bookmarkEnd w:id="263"/>
      <w:bookmarkEnd w:id="264"/>
      <w:bookmarkEnd w:id="265"/>
      <w:bookmarkEnd w:id="266"/>
      <w:bookmarkEnd w:id="267"/>
      <w:bookmarkEnd w:id="268"/>
      <w:bookmarkEnd w:id="269"/>
      <w:bookmarkEnd w:id="270"/>
    </w:p>
    <w:p w14:paraId="5E54B0F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中标人应当自发出中标通知书之日起30日内，与采购人签订合同。</w:t>
      </w:r>
    </w:p>
    <w:p w14:paraId="61008F0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30.2</w:t>
      </w:r>
      <w:r>
        <w:rPr>
          <w:rFonts w:hint="eastAsia" w:ascii="仿宋" w:hAnsi="仿宋" w:eastAsia="仿宋" w:cs="仿宋"/>
          <w:color w:val="000000"/>
          <w:sz w:val="24"/>
          <w:lang w:val="en-US" w:eastAsia="zh-CN"/>
        </w:rPr>
        <w:tab/>
      </w:r>
      <w:bookmarkStart w:id="271" w:name="_Toc520356176"/>
      <w:bookmarkStart w:id="272" w:name="_Ref467306425"/>
      <w:bookmarkStart w:id="273" w:name="_Ref467307090"/>
      <w:r>
        <w:rPr>
          <w:rFonts w:hint="eastAsia" w:ascii="仿宋" w:hAnsi="仿宋" w:eastAsia="仿宋" w:cs="仿宋"/>
          <w:color w:val="000000"/>
          <w:sz w:val="24"/>
          <w:lang w:val="en-US" w:eastAsia="zh-CN"/>
        </w:rPr>
        <w:t>招标文件、中标人的投标文件及其澄清文件等，均为签订合同的依据。</w:t>
      </w:r>
    </w:p>
    <w:p w14:paraId="5DF80F7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30.3   中标人拒绝与采购人签订合同的，或在约定的期限内不和采购人签订合同的，采购人可以按照评审报告推荐的中标候选人名单排序，确定下一中标候选人为中标人，也可以重新开展政府采购活动。</w:t>
      </w:r>
    </w:p>
    <w:p w14:paraId="704533A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30.4   当出现法规规定的中标无效或中标结果无效情形时，采购人可与排名下一位的中标候选人另行签订合同，或依法重新开展采购活动。</w:t>
      </w:r>
    </w:p>
    <w:p w14:paraId="19507D76">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74" w:name="_Toc14080"/>
      <w:bookmarkStart w:id="275" w:name="_Toc515647793"/>
      <w:bookmarkStart w:id="276" w:name="_Toc23732"/>
      <w:bookmarkStart w:id="277" w:name="_Toc29882"/>
      <w:bookmarkStart w:id="278" w:name="_Toc22555"/>
      <w:bookmarkStart w:id="279" w:name="_Toc15548"/>
      <w:r>
        <w:rPr>
          <w:rFonts w:hint="eastAsia" w:ascii="仿宋" w:hAnsi="仿宋" w:eastAsia="仿宋" w:cs="仿宋"/>
          <w:color w:val="000000"/>
          <w:sz w:val="24"/>
          <w:szCs w:val="24"/>
          <w:u w:val="none"/>
          <w:lang w:val="en-US" w:eastAsia="zh-CN"/>
        </w:rPr>
        <w:t>31.履约保证金</w:t>
      </w:r>
      <w:bookmarkEnd w:id="271"/>
      <w:bookmarkEnd w:id="272"/>
      <w:bookmarkEnd w:id="273"/>
      <w:bookmarkEnd w:id="274"/>
      <w:bookmarkEnd w:id="275"/>
      <w:bookmarkEnd w:id="276"/>
      <w:bookmarkEnd w:id="277"/>
      <w:bookmarkEnd w:id="278"/>
      <w:bookmarkEnd w:id="279"/>
    </w:p>
    <w:p w14:paraId="6E84BA0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中标人应按照投标人须知资料表规定向采购人缴纳履约保证金（如采用保函形式，格式见本章附件1）。</w:t>
      </w:r>
    </w:p>
    <w:p w14:paraId="655BBC5D">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政府采购利用担保试点范围内的项目，除31.1规定的情形外，中标人也可以按照财政部门的规定，向采购人提供合格的履约担保函（格式见本章附件2）。</w:t>
      </w:r>
    </w:p>
    <w:p w14:paraId="543688D8">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31.3   如果中标人没有按照上述履约保证金的规定执行，将视为放弃中标资格，中标人的投标保证金将不予退还。在此情况下，采购人可确定下一候选人为中标人，也可以重新开展采购活动。</w:t>
      </w:r>
    </w:p>
    <w:p w14:paraId="72A3952F">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80" w:name="_Toc3090"/>
      <w:bookmarkStart w:id="281" w:name="_Toc401"/>
      <w:bookmarkStart w:id="282" w:name="_Toc25403"/>
      <w:bookmarkStart w:id="283" w:name="_Toc29408"/>
      <w:bookmarkStart w:id="284" w:name="_Toc515647794"/>
      <w:bookmarkStart w:id="285" w:name="_Toc20142"/>
      <w:r>
        <w:rPr>
          <w:rFonts w:hint="eastAsia" w:ascii="仿宋" w:hAnsi="仿宋" w:eastAsia="仿宋" w:cs="仿宋"/>
          <w:color w:val="000000"/>
          <w:sz w:val="24"/>
          <w:szCs w:val="24"/>
          <w:u w:val="none"/>
          <w:lang w:val="en-US" w:eastAsia="zh-CN"/>
        </w:rPr>
        <w:t>32.中标服务费</w:t>
      </w:r>
      <w:bookmarkEnd w:id="280"/>
      <w:bookmarkEnd w:id="281"/>
      <w:bookmarkEnd w:id="282"/>
      <w:bookmarkEnd w:id="283"/>
      <w:bookmarkEnd w:id="284"/>
      <w:bookmarkEnd w:id="285"/>
    </w:p>
    <w:p w14:paraId="214CA3A1">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中标人须按照投标须知资料表规定，向采购代理机构支付中标服务费。</w:t>
      </w:r>
    </w:p>
    <w:p w14:paraId="142AD102">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86" w:name="_Toc515647795"/>
      <w:bookmarkStart w:id="287" w:name="_Toc7049"/>
      <w:bookmarkStart w:id="288" w:name="_Toc11485"/>
      <w:bookmarkStart w:id="289" w:name="_Toc20100"/>
      <w:bookmarkStart w:id="290" w:name="_Toc4517"/>
      <w:bookmarkStart w:id="291" w:name="_Toc6923"/>
      <w:r>
        <w:rPr>
          <w:rFonts w:hint="eastAsia" w:ascii="仿宋" w:hAnsi="仿宋" w:eastAsia="仿宋" w:cs="仿宋"/>
          <w:color w:val="000000"/>
          <w:sz w:val="24"/>
          <w:szCs w:val="24"/>
          <w:u w:val="none"/>
          <w:lang w:val="en-US" w:eastAsia="zh-CN"/>
        </w:rPr>
        <w:t>33.政府采购信用担保</w:t>
      </w:r>
      <w:bookmarkEnd w:id="286"/>
      <w:bookmarkEnd w:id="287"/>
      <w:bookmarkEnd w:id="288"/>
      <w:bookmarkEnd w:id="289"/>
      <w:bookmarkEnd w:id="290"/>
      <w:bookmarkEnd w:id="291"/>
    </w:p>
    <w:p w14:paraId="22CB7179">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33.1   本项目是否属于信用担保试点范围见投标人须知资料表。</w:t>
      </w:r>
    </w:p>
    <w:p w14:paraId="5668E98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   如属于政府采购信用担保试点范围内，中小型企业投标人可以自由按照财政部门的规定，采用投标担保、履约担保和融资担保。</w:t>
      </w:r>
    </w:p>
    <w:p w14:paraId="5CA3CD5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33.2.1 投标人递交的投标担保函和履约担保函应符合本招标文件的规定。</w:t>
      </w:r>
    </w:p>
    <w:p w14:paraId="300B10E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33.2.2 中标人可以采取融资担保的形式为政府采购项目履约进行融资。</w:t>
      </w:r>
    </w:p>
    <w:p w14:paraId="19DFF61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33.2.3 合格的政府采购专业信用担保机构名单见投标人须知资料表。</w:t>
      </w:r>
    </w:p>
    <w:p w14:paraId="00C844D2">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92" w:name="_Toc515647796"/>
      <w:bookmarkStart w:id="293" w:name="_Toc21574"/>
      <w:bookmarkStart w:id="294" w:name="_Toc11126"/>
      <w:bookmarkStart w:id="295" w:name="_Toc23999"/>
      <w:bookmarkStart w:id="296" w:name="_Toc2133"/>
      <w:bookmarkStart w:id="297" w:name="_Toc4487"/>
      <w:r>
        <w:rPr>
          <w:rFonts w:hint="eastAsia" w:ascii="仿宋" w:hAnsi="仿宋" w:eastAsia="仿宋" w:cs="仿宋"/>
          <w:color w:val="000000"/>
          <w:sz w:val="24"/>
          <w:szCs w:val="24"/>
          <w:u w:val="none"/>
          <w:lang w:val="en-US" w:eastAsia="zh-CN"/>
        </w:rPr>
        <w:t>34.廉洁自律规定</w:t>
      </w:r>
      <w:bookmarkEnd w:id="292"/>
      <w:bookmarkEnd w:id="293"/>
      <w:bookmarkEnd w:id="294"/>
      <w:bookmarkEnd w:id="295"/>
      <w:bookmarkEnd w:id="296"/>
      <w:bookmarkEnd w:id="297"/>
    </w:p>
    <w:p w14:paraId="79CEC25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34.1   采购代理机构工作人员不得以不正当手段获取政府采购代理业务，不得与采购人、供应商恶意串通操纵政府采购活动。</w:t>
      </w:r>
    </w:p>
    <w:p w14:paraId="20FEDC2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34.2   采购代理机构工作人员不得接受采购人或者供应商组织的宴请、旅游、娱乐，不得收受礼品、现金、有价证券等，不得向采购人或者供应商报销应当由个人承担的费用。</w:t>
      </w:r>
    </w:p>
    <w:p w14:paraId="1FE6150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34.3   为强化采购代理机构内部监督机制，供应商可按投标人须知资料表中的监督电话和邮箱，反映采购代理机构的廉洁自律等问题。</w:t>
      </w:r>
    </w:p>
    <w:p w14:paraId="333BAA6A">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98" w:name="_Toc30293"/>
      <w:bookmarkStart w:id="299" w:name="_Toc15697"/>
      <w:bookmarkStart w:id="300" w:name="_Toc5723"/>
      <w:bookmarkStart w:id="301" w:name="_Toc25480"/>
      <w:bookmarkStart w:id="302" w:name="_Toc515647797"/>
      <w:bookmarkStart w:id="303" w:name="_Toc11586"/>
      <w:r>
        <w:rPr>
          <w:rFonts w:hint="eastAsia" w:ascii="仿宋" w:hAnsi="仿宋" w:eastAsia="仿宋" w:cs="仿宋"/>
          <w:color w:val="000000"/>
          <w:sz w:val="24"/>
          <w:szCs w:val="24"/>
          <w:u w:val="none"/>
          <w:lang w:val="en-US" w:eastAsia="zh-CN"/>
        </w:rPr>
        <w:t>35.人员回避</w:t>
      </w:r>
      <w:bookmarkEnd w:id="298"/>
      <w:bookmarkEnd w:id="299"/>
      <w:bookmarkEnd w:id="300"/>
      <w:bookmarkEnd w:id="301"/>
      <w:bookmarkEnd w:id="302"/>
      <w:bookmarkEnd w:id="303"/>
    </w:p>
    <w:p w14:paraId="18AB7FE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投标人认为采购人员及其相关人员有法律法规所列与其他供应商有利害关系的，可以向采购人或采购代理机构书面提出回避申请，并说明理由。</w:t>
      </w:r>
    </w:p>
    <w:p w14:paraId="55617506">
      <w:pPr>
        <w:pStyle w:val="5"/>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304" w:name="_Toc19319"/>
      <w:bookmarkStart w:id="305" w:name="_Toc11115"/>
      <w:bookmarkStart w:id="306" w:name="_Toc5554"/>
      <w:bookmarkStart w:id="307" w:name="_Toc515647798"/>
      <w:bookmarkStart w:id="308" w:name="_Toc11599"/>
      <w:bookmarkStart w:id="309" w:name="_Toc1148"/>
      <w:r>
        <w:rPr>
          <w:rFonts w:hint="eastAsia" w:ascii="仿宋" w:hAnsi="仿宋" w:eastAsia="仿宋" w:cs="仿宋"/>
          <w:color w:val="000000"/>
          <w:sz w:val="24"/>
          <w:szCs w:val="24"/>
          <w:u w:val="none"/>
          <w:lang w:val="en-US" w:eastAsia="zh-CN"/>
        </w:rPr>
        <w:t>36.质疑与接收</w:t>
      </w:r>
      <w:bookmarkEnd w:id="304"/>
      <w:bookmarkEnd w:id="305"/>
      <w:bookmarkEnd w:id="306"/>
      <w:bookmarkEnd w:id="307"/>
      <w:bookmarkEnd w:id="308"/>
      <w:bookmarkEnd w:id="309"/>
    </w:p>
    <w:p w14:paraId="744CEAA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8FA495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09BC6CD3">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超出法定质疑期的、重复提出的、分次提出的或内容、形式不符合《政府采购质疑和投诉办法》的，质疑供应商将依法承担不利后果。</w:t>
      </w:r>
    </w:p>
    <w:p w14:paraId="058E6B59">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36.3  采购代理机构质疑函接收部门、联系电话和通讯地址, 见投标人须知资料表。</w:t>
      </w:r>
    </w:p>
    <w:p w14:paraId="020F1D8C">
      <w:pPr>
        <w:spacing w:line="240" w:lineRule="atLeast"/>
        <w:ind w:left="900" w:hanging="900" w:hangingChars="375"/>
        <w:rPr>
          <w:rFonts w:ascii="仿宋" w:hAnsi="仿宋" w:eastAsia="仿宋" w:cs="仿宋"/>
          <w:color w:val="000000"/>
          <w:sz w:val="24"/>
        </w:rPr>
      </w:pPr>
    </w:p>
    <w:p w14:paraId="45BAD7E9">
      <w:pPr>
        <w:pStyle w:val="4"/>
        <w:spacing w:before="0" w:line="240" w:lineRule="atLeast"/>
        <w:rPr>
          <w:rFonts w:ascii="仿宋" w:hAnsi="仿宋" w:eastAsia="仿宋" w:cs="仿宋"/>
          <w:color w:val="000000"/>
          <w:szCs w:val="24"/>
        </w:rPr>
      </w:pPr>
      <w:bookmarkStart w:id="310" w:name="_Toc515647799"/>
      <w:bookmarkStart w:id="311" w:name="_Toc21748"/>
      <w:bookmarkStart w:id="312" w:name="_Toc16186"/>
    </w:p>
    <w:p w14:paraId="3C9542E1">
      <w:pPr>
        <w:rPr>
          <w:rFonts w:ascii="仿宋" w:hAnsi="仿宋" w:eastAsia="仿宋" w:cs="仿宋"/>
          <w:color w:val="000000"/>
        </w:rPr>
      </w:pPr>
    </w:p>
    <w:p w14:paraId="377A6B9C">
      <w:pPr>
        <w:pStyle w:val="10"/>
        <w:ind w:left="2940"/>
        <w:rPr>
          <w:color w:val="000000"/>
        </w:rPr>
      </w:pPr>
    </w:p>
    <w:p w14:paraId="2F8420BA">
      <w:pPr>
        <w:rPr>
          <w:color w:val="000000"/>
        </w:rPr>
      </w:pPr>
    </w:p>
    <w:p w14:paraId="577C8140">
      <w:pPr>
        <w:rPr>
          <w:rFonts w:ascii="仿宋" w:hAnsi="仿宋" w:eastAsia="仿宋" w:cs="仿宋"/>
          <w:color w:val="000000"/>
        </w:rPr>
      </w:pPr>
    </w:p>
    <w:p w14:paraId="2E6783E0">
      <w:pPr>
        <w:pStyle w:val="5"/>
        <w:rPr>
          <w:rFonts w:ascii="仿宋" w:hAnsi="仿宋" w:eastAsia="仿宋" w:cs="仿宋"/>
          <w:color w:val="000000"/>
          <w:szCs w:val="24"/>
        </w:rPr>
      </w:pPr>
    </w:p>
    <w:p w14:paraId="57CFA642">
      <w:pPr>
        <w:pStyle w:val="2"/>
        <w:rPr>
          <w:color w:val="000000"/>
        </w:rPr>
      </w:pPr>
    </w:p>
    <w:p w14:paraId="4646042B">
      <w:pPr>
        <w:rPr>
          <w:rFonts w:ascii="仿宋" w:hAnsi="仿宋" w:eastAsia="仿宋" w:cs="仿宋"/>
          <w:color w:val="000000"/>
        </w:rPr>
      </w:pPr>
      <w:r>
        <w:rPr>
          <w:rFonts w:hint="eastAsia" w:ascii="仿宋" w:hAnsi="仿宋" w:eastAsia="仿宋" w:cs="仿宋"/>
          <w:color w:val="000000"/>
        </w:rPr>
        <w:br w:type="page"/>
      </w:r>
    </w:p>
    <w:p w14:paraId="18B79EDB">
      <w:pPr>
        <w:pStyle w:val="4"/>
        <w:spacing w:before="0" w:line="240" w:lineRule="atLeast"/>
        <w:rPr>
          <w:rFonts w:ascii="仿宋" w:hAnsi="仿宋" w:eastAsia="仿宋" w:cs="仿宋"/>
          <w:color w:val="000000"/>
          <w:szCs w:val="24"/>
        </w:rPr>
      </w:pPr>
      <w:bookmarkStart w:id="313" w:name="_Toc31981"/>
      <w:bookmarkStart w:id="314" w:name="_Toc28354"/>
      <w:r>
        <w:rPr>
          <w:rFonts w:hint="eastAsia" w:ascii="仿宋" w:hAnsi="仿宋" w:eastAsia="仿宋" w:cs="仿宋"/>
          <w:color w:val="000000"/>
          <w:szCs w:val="24"/>
        </w:rPr>
        <w:t>附件1：履约保证金保函（格式）</w:t>
      </w:r>
      <w:bookmarkEnd w:id="310"/>
      <w:bookmarkEnd w:id="311"/>
      <w:bookmarkEnd w:id="312"/>
      <w:bookmarkEnd w:id="313"/>
      <w:bookmarkEnd w:id="314"/>
    </w:p>
    <w:p w14:paraId="7494E9A1">
      <w:pPr>
        <w:pStyle w:val="20"/>
        <w:spacing w:line="240" w:lineRule="atLeast"/>
        <w:ind w:left="1079" w:leftChars="257" w:hanging="540"/>
        <w:rPr>
          <w:rFonts w:ascii="仿宋" w:hAnsi="仿宋" w:eastAsia="仿宋" w:cs="仿宋"/>
          <w:b/>
          <w:color w:val="000000"/>
          <w:sz w:val="24"/>
        </w:rPr>
      </w:pPr>
      <w:r>
        <w:rPr>
          <w:rFonts w:hint="eastAsia" w:ascii="仿宋" w:hAnsi="仿宋" w:eastAsia="仿宋" w:cs="仿宋"/>
          <w:b/>
          <w:color w:val="000000"/>
          <w:sz w:val="24"/>
        </w:rPr>
        <w:t xml:space="preserve">                         （中标后开具）</w:t>
      </w:r>
    </w:p>
    <w:p w14:paraId="6758C6FF">
      <w:pPr>
        <w:pStyle w:val="20"/>
        <w:spacing w:line="240" w:lineRule="atLeast"/>
        <w:ind w:left="1079" w:leftChars="257" w:hanging="540"/>
        <w:rPr>
          <w:rFonts w:ascii="仿宋" w:hAnsi="仿宋" w:eastAsia="仿宋" w:cs="仿宋"/>
          <w:b/>
          <w:color w:val="000000"/>
          <w:sz w:val="24"/>
        </w:rPr>
      </w:pPr>
    </w:p>
    <w:p w14:paraId="3CA565B1">
      <w:pPr>
        <w:pStyle w:val="20"/>
        <w:spacing w:line="240" w:lineRule="atLeast"/>
        <w:ind w:left="1079" w:leftChars="257" w:hanging="540"/>
        <w:rPr>
          <w:rFonts w:ascii="仿宋" w:hAnsi="仿宋" w:eastAsia="仿宋" w:cs="仿宋"/>
          <w:b/>
          <w:color w:val="000000"/>
          <w:sz w:val="24"/>
        </w:rPr>
      </w:pPr>
    </w:p>
    <w:p w14:paraId="1E5240F8">
      <w:pPr>
        <w:pStyle w:val="20"/>
        <w:spacing w:line="240" w:lineRule="atLeast"/>
        <w:rPr>
          <w:rFonts w:ascii="仿宋" w:hAnsi="仿宋" w:eastAsia="仿宋" w:cs="仿宋"/>
          <w:color w:val="000000"/>
          <w:sz w:val="24"/>
        </w:rPr>
      </w:pPr>
      <w:r>
        <w:rPr>
          <w:rFonts w:hint="eastAsia" w:ascii="仿宋" w:hAnsi="仿宋" w:eastAsia="仿宋" w:cs="仿宋"/>
          <w:color w:val="000000"/>
          <w:sz w:val="24"/>
        </w:rPr>
        <w:t>致: (</w:t>
      </w:r>
      <w:r>
        <w:rPr>
          <w:rFonts w:hint="eastAsia" w:ascii="仿宋" w:hAnsi="仿宋" w:eastAsia="仿宋" w:cs="仿宋"/>
          <w:i/>
          <w:color w:val="000000"/>
          <w:sz w:val="24"/>
          <w:u w:val="single"/>
        </w:rPr>
        <w:t>买方名称</w:t>
      </w:r>
      <w:r>
        <w:rPr>
          <w:rFonts w:hint="eastAsia" w:ascii="仿宋" w:hAnsi="仿宋" w:eastAsia="仿宋" w:cs="仿宋"/>
          <w:color w:val="000000"/>
          <w:sz w:val="24"/>
        </w:rPr>
        <w:t>)</w:t>
      </w:r>
    </w:p>
    <w:p w14:paraId="506C3714">
      <w:pPr>
        <w:pStyle w:val="20"/>
        <w:spacing w:line="240" w:lineRule="atLeast"/>
        <w:ind w:left="1079" w:leftChars="257" w:hanging="540"/>
        <w:jc w:val="center"/>
        <w:rPr>
          <w:rFonts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号合同履约保函</w:t>
      </w:r>
    </w:p>
    <w:p w14:paraId="45144CB7">
      <w:pPr>
        <w:pStyle w:val="20"/>
        <w:spacing w:line="240" w:lineRule="atLeast"/>
        <w:ind w:left="1079" w:leftChars="257" w:hanging="540"/>
        <w:jc w:val="center"/>
        <w:rPr>
          <w:rFonts w:ascii="仿宋" w:hAnsi="仿宋" w:eastAsia="仿宋" w:cs="仿宋"/>
          <w:color w:val="000000"/>
          <w:sz w:val="24"/>
        </w:rPr>
      </w:pPr>
    </w:p>
    <w:p w14:paraId="1AFC22BC">
      <w:pPr>
        <w:pStyle w:val="20"/>
        <w:spacing w:line="240" w:lineRule="atLeast"/>
        <w:ind w:firstLine="600" w:firstLineChars="250"/>
        <w:rPr>
          <w:rFonts w:ascii="仿宋" w:hAnsi="仿宋" w:eastAsia="仿宋" w:cs="仿宋"/>
          <w:color w:val="000000"/>
          <w:sz w:val="24"/>
        </w:rPr>
      </w:pPr>
      <w:r>
        <w:rPr>
          <w:rFonts w:hint="eastAsia" w:ascii="仿宋" w:hAnsi="仿宋" w:eastAsia="仿宋" w:cs="仿宋"/>
          <w:color w:val="000000"/>
          <w:sz w:val="24"/>
        </w:rPr>
        <w:t>本保函作为贵方与(</w:t>
      </w:r>
      <w:r>
        <w:rPr>
          <w:rFonts w:hint="eastAsia" w:ascii="仿宋" w:hAnsi="仿宋" w:eastAsia="仿宋" w:cs="仿宋"/>
          <w:i/>
          <w:color w:val="000000"/>
          <w:sz w:val="24"/>
          <w:u w:val="single"/>
        </w:rPr>
        <w:t>卖方名称</w:t>
      </w:r>
      <w:r>
        <w:rPr>
          <w:rFonts w:hint="eastAsia" w:ascii="仿宋" w:hAnsi="仿宋" w:eastAsia="仿宋" w:cs="仿宋"/>
          <w:color w:val="000000"/>
          <w:sz w:val="24"/>
        </w:rPr>
        <w:t>)(以下简称卖方)于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项目(以下简称项目)项下提供(</w:t>
      </w:r>
      <w:r>
        <w:rPr>
          <w:rFonts w:hint="eastAsia" w:ascii="仿宋" w:hAnsi="仿宋" w:eastAsia="仿宋" w:cs="仿宋"/>
          <w:i/>
          <w:color w:val="000000"/>
          <w:sz w:val="24"/>
          <w:u w:val="single"/>
        </w:rPr>
        <w:t>货物名称</w:t>
      </w:r>
      <w:r>
        <w:rPr>
          <w:rFonts w:hint="eastAsia" w:ascii="仿宋" w:hAnsi="仿宋" w:eastAsia="仿宋" w:cs="仿宋"/>
          <w:color w:val="000000"/>
          <w:sz w:val="24"/>
        </w:rPr>
        <w:t>)(以下简称货物)签订的(</w:t>
      </w:r>
      <w:r>
        <w:rPr>
          <w:rFonts w:hint="eastAsia" w:ascii="仿宋" w:hAnsi="仿宋" w:eastAsia="仿宋" w:cs="仿宋"/>
          <w:i/>
          <w:color w:val="000000"/>
          <w:sz w:val="24"/>
          <w:u w:val="single"/>
        </w:rPr>
        <w:t>合同号</w:t>
      </w:r>
      <w:r>
        <w:rPr>
          <w:rFonts w:hint="eastAsia" w:ascii="仿宋" w:hAnsi="仿宋" w:eastAsia="仿宋" w:cs="仿宋"/>
          <w:color w:val="000000"/>
          <w:sz w:val="24"/>
        </w:rPr>
        <w:t>)号合同的履约保函。</w:t>
      </w:r>
    </w:p>
    <w:p w14:paraId="1BA9D0F3">
      <w:pPr>
        <w:pStyle w:val="20"/>
        <w:spacing w:line="240" w:lineRule="atLeast"/>
        <w:ind w:firstLine="540" w:firstLineChars="225"/>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i/>
          <w:color w:val="000000"/>
          <w:sz w:val="24"/>
          <w:u w:val="single"/>
        </w:rPr>
        <w:t>出具保函的银行名称</w:t>
      </w:r>
      <w:r>
        <w:rPr>
          <w:rFonts w:hint="eastAsia" w:ascii="仿宋" w:hAnsi="仿宋" w:eastAsia="仿宋" w:cs="仿宋"/>
          <w:color w:val="000000"/>
          <w:sz w:val="24"/>
        </w:rPr>
        <w:t>)(以下简称银行)无条件地、不可撤销地具结保证本行、其继承人和受让人无追索地向贵方以(</w:t>
      </w:r>
      <w:r>
        <w:rPr>
          <w:rFonts w:hint="eastAsia" w:ascii="仿宋" w:hAnsi="仿宋" w:eastAsia="仿宋" w:cs="仿宋"/>
          <w:i/>
          <w:color w:val="000000"/>
          <w:sz w:val="24"/>
          <w:u w:val="single"/>
        </w:rPr>
        <w:t>货币名称</w:t>
      </w:r>
      <w:r>
        <w:rPr>
          <w:rFonts w:hint="eastAsia" w:ascii="仿宋" w:hAnsi="仿宋" w:eastAsia="仿宋" w:cs="仿宋"/>
          <w:color w:val="000000"/>
          <w:sz w:val="24"/>
        </w:rPr>
        <w:t>)支付总额不超过(</w:t>
      </w:r>
      <w:r>
        <w:rPr>
          <w:rFonts w:hint="eastAsia" w:ascii="仿宋" w:hAnsi="仿宋" w:eastAsia="仿宋" w:cs="仿宋"/>
          <w:i/>
          <w:color w:val="000000"/>
          <w:sz w:val="24"/>
          <w:u w:val="single"/>
        </w:rPr>
        <w:t>货币数量</w:t>
      </w:r>
      <w:r>
        <w:rPr>
          <w:rFonts w:hint="eastAsia" w:ascii="仿宋" w:hAnsi="仿宋" w:eastAsia="仿宋" w:cs="仿宋"/>
          <w:color w:val="000000"/>
          <w:sz w:val="24"/>
        </w:rPr>
        <w:t>),即相当于合同价格的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%,并以此约定如下:</w:t>
      </w:r>
    </w:p>
    <w:p w14:paraId="5FFDE763">
      <w:pPr>
        <w:pStyle w:val="20"/>
        <w:spacing w:line="240" w:lineRule="atLeast"/>
        <w:ind w:left="539" w:leftChars="257"/>
        <w:rPr>
          <w:rFonts w:ascii="仿宋" w:hAnsi="仿宋" w:eastAsia="仿宋" w:cs="仿宋"/>
          <w:color w:val="000000"/>
          <w:sz w:val="24"/>
        </w:rPr>
      </w:pPr>
      <w:r>
        <w:rPr>
          <w:rFonts w:hint="eastAsia" w:ascii="仿宋" w:hAnsi="仿宋" w:eastAsia="仿宋" w:cs="仿宋"/>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332F13C3">
      <w:pPr>
        <w:pStyle w:val="20"/>
        <w:spacing w:line="240" w:lineRule="atLeast"/>
        <w:ind w:left="540"/>
        <w:rPr>
          <w:rFonts w:ascii="仿宋" w:hAnsi="仿宋" w:eastAsia="仿宋" w:cs="仿宋"/>
          <w:color w:val="000000"/>
          <w:sz w:val="24"/>
        </w:rPr>
      </w:pPr>
      <w:r>
        <w:rPr>
          <w:rFonts w:hint="eastAsia" w:ascii="仿宋" w:hAnsi="仿宋" w:eastAsia="仿宋" w:cs="仿宋"/>
          <w:color w:val="000000"/>
          <w:sz w:val="24"/>
        </w:rPr>
        <w:t>2.本保函项下的任何支付应为免税和净值。对于现有或将来的税收、关税、收费、费用扣减或预提税款，不论这些款项是何种性质和由谁征收，都不应从本保函项下的支付中扣除。</w:t>
      </w:r>
    </w:p>
    <w:p w14:paraId="31D87A92">
      <w:pPr>
        <w:pStyle w:val="20"/>
        <w:spacing w:line="240" w:lineRule="atLeast"/>
        <w:ind w:left="540"/>
        <w:rPr>
          <w:rFonts w:ascii="仿宋" w:hAnsi="仿宋" w:eastAsia="仿宋" w:cs="仿宋"/>
          <w:color w:val="000000"/>
          <w:sz w:val="24"/>
        </w:rPr>
      </w:pPr>
      <w:r>
        <w:rPr>
          <w:rFonts w:hint="eastAsia" w:ascii="仿宋" w:hAnsi="仿宋" w:eastAsia="仿宋" w:cs="仿宋"/>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00C07C34">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4.本保函在本合同规定的保证期期满前完全有效。</w:t>
      </w:r>
    </w:p>
    <w:p w14:paraId="59AA9A13">
      <w:pPr>
        <w:pStyle w:val="20"/>
        <w:spacing w:line="240" w:lineRule="atLeast"/>
        <w:ind w:left="1079" w:leftChars="257" w:hanging="540"/>
        <w:rPr>
          <w:rFonts w:ascii="仿宋" w:hAnsi="仿宋" w:eastAsia="仿宋" w:cs="仿宋"/>
          <w:color w:val="000000"/>
          <w:sz w:val="24"/>
        </w:rPr>
      </w:pPr>
    </w:p>
    <w:p w14:paraId="018935F2">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谨启</w:t>
      </w:r>
    </w:p>
    <w:p w14:paraId="38B5216E">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出具保函银行名称：</w:t>
      </w:r>
      <w:r>
        <w:rPr>
          <w:rFonts w:hint="eastAsia" w:ascii="仿宋" w:hAnsi="仿宋" w:eastAsia="仿宋" w:cs="仿宋"/>
          <w:color w:val="000000"/>
          <w:sz w:val="24"/>
          <w:u w:val="single"/>
        </w:rPr>
        <w:t xml:space="preserve">                             </w:t>
      </w:r>
    </w:p>
    <w:p w14:paraId="516FAFD2">
      <w:pPr>
        <w:pStyle w:val="20"/>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签字人姓名和职务：</w:t>
      </w:r>
      <w:r>
        <w:rPr>
          <w:rFonts w:hint="eastAsia" w:ascii="仿宋" w:hAnsi="仿宋" w:eastAsia="仿宋" w:cs="仿宋"/>
          <w:color w:val="000000"/>
          <w:sz w:val="24"/>
          <w:u w:val="single"/>
        </w:rPr>
        <w:t xml:space="preserve">                             </w:t>
      </w:r>
    </w:p>
    <w:p w14:paraId="010C9D28">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签字人签名：</w:t>
      </w:r>
      <w:r>
        <w:rPr>
          <w:rFonts w:hint="eastAsia" w:ascii="仿宋" w:hAnsi="仿宋" w:eastAsia="仿宋" w:cs="仿宋"/>
          <w:color w:val="000000"/>
          <w:sz w:val="24"/>
          <w:u w:val="single"/>
        </w:rPr>
        <w:t xml:space="preserve">                                   </w:t>
      </w:r>
    </w:p>
    <w:p w14:paraId="2997AB7E">
      <w:pPr>
        <w:pStyle w:val="20"/>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公章：</w:t>
      </w:r>
      <w:r>
        <w:rPr>
          <w:rFonts w:hint="eastAsia" w:ascii="仿宋" w:hAnsi="仿宋" w:eastAsia="仿宋" w:cs="仿宋"/>
          <w:color w:val="000000"/>
          <w:sz w:val="24"/>
          <w:u w:val="single"/>
        </w:rPr>
        <w:t xml:space="preserve">                                         </w:t>
      </w:r>
    </w:p>
    <w:p w14:paraId="0B06DE2A">
      <w:pPr>
        <w:pStyle w:val="4"/>
        <w:spacing w:before="0" w:line="240" w:lineRule="atLeast"/>
        <w:ind w:left="1079" w:leftChars="257" w:hanging="540"/>
        <w:rPr>
          <w:rFonts w:ascii="仿宋" w:hAnsi="仿宋" w:eastAsia="仿宋" w:cs="仿宋"/>
          <w:color w:val="000000"/>
          <w:szCs w:val="24"/>
        </w:rPr>
      </w:pPr>
      <w:r>
        <w:rPr>
          <w:rFonts w:hint="eastAsia" w:ascii="仿宋" w:hAnsi="仿宋" w:eastAsia="仿宋" w:cs="仿宋"/>
          <w:color w:val="000000"/>
        </w:rPr>
        <w:br w:type="page"/>
      </w:r>
      <w:bookmarkStart w:id="315" w:name="_Toc4355"/>
      <w:bookmarkStart w:id="316" w:name="_Toc10951"/>
      <w:bookmarkStart w:id="317" w:name="_Toc8355"/>
      <w:bookmarkStart w:id="318" w:name="_Toc515647800"/>
      <w:bookmarkStart w:id="319" w:name="_Toc6548"/>
      <w:r>
        <w:rPr>
          <w:rFonts w:hint="eastAsia" w:ascii="仿宋" w:hAnsi="仿宋" w:eastAsia="仿宋" w:cs="仿宋"/>
          <w:color w:val="000000"/>
          <w:szCs w:val="24"/>
        </w:rPr>
        <w:t>附件2：履约担保函格式</w:t>
      </w:r>
      <w:bookmarkEnd w:id="315"/>
      <w:bookmarkEnd w:id="316"/>
      <w:bookmarkEnd w:id="317"/>
      <w:bookmarkEnd w:id="318"/>
      <w:bookmarkEnd w:id="319"/>
    </w:p>
    <w:p w14:paraId="7CA884B7">
      <w:pPr>
        <w:pStyle w:val="4"/>
        <w:spacing w:before="0" w:line="240" w:lineRule="atLeast"/>
        <w:ind w:left="1079" w:leftChars="257" w:hanging="540"/>
        <w:rPr>
          <w:rFonts w:ascii="仿宋" w:hAnsi="仿宋" w:eastAsia="仿宋" w:cs="仿宋"/>
          <w:b w:val="0"/>
          <w:color w:val="000000"/>
        </w:rPr>
      </w:pPr>
      <w:bookmarkStart w:id="320" w:name="_Toc515647801"/>
      <w:bookmarkStart w:id="321" w:name="_Toc26953"/>
      <w:bookmarkStart w:id="322" w:name="_Toc3135"/>
      <w:bookmarkStart w:id="323" w:name="_Toc13962"/>
      <w:bookmarkStart w:id="324" w:name="_Toc162"/>
      <w:r>
        <w:rPr>
          <w:rFonts w:hint="eastAsia" w:ascii="仿宋" w:hAnsi="仿宋" w:eastAsia="仿宋" w:cs="仿宋"/>
          <w:color w:val="000000"/>
          <w:szCs w:val="24"/>
        </w:rPr>
        <w:t>（采用政府采购信用担保形式时使用）</w:t>
      </w:r>
      <w:bookmarkEnd w:id="320"/>
      <w:bookmarkEnd w:id="321"/>
      <w:bookmarkEnd w:id="322"/>
      <w:bookmarkEnd w:id="323"/>
      <w:bookmarkEnd w:id="324"/>
    </w:p>
    <w:p w14:paraId="7EBA2A54">
      <w:pPr>
        <w:spacing w:line="240" w:lineRule="atLeast"/>
        <w:ind w:left="1079" w:leftChars="257" w:hanging="540"/>
        <w:rPr>
          <w:rFonts w:ascii="仿宋" w:hAnsi="仿宋" w:eastAsia="仿宋" w:cs="仿宋"/>
          <w:b/>
          <w:color w:val="000000"/>
          <w:kern w:val="0"/>
          <w:sz w:val="24"/>
          <w:szCs w:val="20"/>
        </w:rPr>
      </w:pPr>
    </w:p>
    <w:p w14:paraId="6B0EB968">
      <w:pPr>
        <w:jc w:val="center"/>
        <w:rPr>
          <w:rFonts w:ascii="仿宋" w:hAnsi="仿宋" w:eastAsia="仿宋" w:cs="仿宋"/>
          <w:color w:val="000000"/>
          <w:sz w:val="24"/>
        </w:rPr>
      </w:pPr>
      <w:r>
        <w:rPr>
          <w:rFonts w:hint="eastAsia" w:ascii="仿宋" w:hAnsi="仿宋" w:eastAsia="仿宋" w:cs="仿宋"/>
          <w:color w:val="000000"/>
          <w:sz w:val="24"/>
        </w:rPr>
        <w:t>政府采购履约担保函（项目用）</w:t>
      </w:r>
    </w:p>
    <w:p w14:paraId="758B839B">
      <w:pPr>
        <w:rPr>
          <w:rFonts w:ascii="仿宋" w:hAnsi="仿宋" w:eastAsia="仿宋" w:cs="仿宋"/>
          <w:color w:val="000000"/>
          <w:sz w:val="24"/>
        </w:rPr>
      </w:pPr>
      <w:r>
        <w:rPr>
          <w:rFonts w:hint="eastAsia" w:ascii="仿宋" w:hAnsi="仿宋" w:eastAsia="仿宋" w:cs="仿宋"/>
          <w:color w:val="000000"/>
          <w:sz w:val="24"/>
        </w:rPr>
        <w:t xml:space="preserve">                                                   编号：</w:t>
      </w:r>
    </w:p>
    <w:p w14:paraId="291CC584">
      <w:pPr>
        <w:rPr>
          <w:rFonts w:ascii="仿宋" w:hAnsi="仿宋" w:eastAsia="仿宋" w:cs="仿宋"/>
          <w:color w:val="000000"/>
          <w:sz w:val="24"/>
        </w:rPr>
      </w:pPr>
    </w:p>
    <w:p w14:paraId="4D706782">
      <w:pPr>
        <w:rPr>
          <w:rFonts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（采购人）：</w:t>
      </w:r>
    </w:p>
    <w:p w14:paraId="00DE2D53">
      <w:pPr>
        <w:rPr>
          <w:rFonts w:ascii="仿宋" w:hAnsi="仿宋" w:eastAsia="仿宋" w:cs="仿宋"/>
          <w:color w:val="000000"/>
          <w:sz w:val="24"/>
        </w:rPr>
      </w:pPr>
    </w:p>
    <w:p w14:paraId="587EA171">
      <w:pPr>
        <w:ind w:firstLine="480" w:firstLineChars="200"/>
        <w:rPr>
          <w:rFonts w:ascii="仿宋" w:hAnsi="仿宋" w:eastAsia="仿宋" w:cs="仿宋"/>
          <w:color w:val="000000"/>
          <w:sz w:val="24"/>
        </w:rPr>
      </w:pPr>
      <w:r>
        <w:rPr>
          <w:rFonts w:hint="eastAsia" w:ascii="仿宋" w:hAnsi="仿宋" w:eastAsia="仿宋" w:cs="仿宋"/>
          <w:color w:val="000000"/>
          <w:sz w:val="24"/>
        </w:rPr>
        <w:t>鉴于你方与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（以下简称供应商）于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日签定编号为   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政府采购合同》（以下简称主合同），且依据该合同的约定，供应商应在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14:paraId="4C802BC3">
      <w:pPr>
        <w:rPr>
          <w:rFonts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日前向你方交纳履约保证金，且可以履约担保函的形式交纳履约保证金。应供应商的申请，我方以保证的方式向你方提供如下履约保证金担保：</w:t>
      </w:r>
    </w:p>
    <w:p w14:paraId="2BB047B0">
      <w:pPr>
        <w:ind w:firstLine="480" w:firstLineChars="200"/>
        <w:rPr>
          <w:rFonts w:ascii="仿宋" w:hAnsi="仿宋" w:eastAsia="仿宋" w:cs="仿宋"/>
          <w:color w:val="000000"/>
          <w:sz w:val="24"/>
        </w:rPr>
      </w:pPr>
      <w:r>
        <w:rPr>
          <w:rFonts w:hint="eastAsia" w:ascii="仿宋" w:hAnsi="仿宋" w:eastAsia="仿宋" w:cs="仿宋"/>
          <w:color w:val="000000"/>
          <w:sz w:val="24"/>
        </w:rPr>
        <w:t>一、保证责任的情形及保证金额</w:t>
      </w:r>
    </w:p>
    <w:p w14:paraId="30F74711">
      <w:pPr>
        <w:ind w:firstLine="480" w:firstLineChars="200"/>
        <w:rPr>
          <w:rFonts w:ascii="仿宋" w:hAnsi="仿宋" w:eastAsia="仿宋" w:cs="仿宋"/>
          <w:color w:val="000000"/>
          <w:sz w:val="24"/>
        </w:rPr>
      </w:pPr>
      <w:r>
        <w:rPr>
          <w:rFonts w:hint="eastAsia" w:ascii="仿宋" w:hAnsi="仿宋" w:eastAsia="仿宋" w:cs="仿宋"/>
          <w:color w:val="000000"/>
          <w:sz w:val="24"/>
        </w:rPr>
        <w:t>（一）在供应商出现下列情形之一时，我方承担保证责任：</w:t>
      </w:r>
    </w:p>
    <w:p w14:paraId="47A133CD">
      <w:pPr>
        <w:ind w:firstLine="480" w:firstLineChars="200"/>
        <w:rPr>
          <w:rFonts w:ascii="仿宋" w:hAnsi="仿宋" w:eastAsia="仿宋" w:cs="仿宋"/>
          <w:color w:val="000000"/>
          <w:sz w:val="24"/>
        </w:rPr>
      </w:pPr>
      <w:r>
        <w:rPr>
          <w:rFonts w:hint="eastAsia" w:ascii="仿宋" w:hAnsi="仿宋" w:eastAsia="仿宋" w:cs="仿宋"/>
          <w:color w:val="000000"/>
          <w:sz w:val="24"/>
        </w:rPr>
        <w:t>1．将中标项目转让给他人，或者在投标文件中未说明，且未经采购招标机构人同意，将中标项目分包给他人的；</w:t>
      </w:r>
    </w:p>
    <w:p w14:paraId="136755E6">
      <w:pPr>
        <w:rPr>
          <w:rFonts w:ascii="仿宋" w:hAnsi="仿宋" w:eastAsia="仿宋" w:cs="仿宋"/>
          <w:color w:val="000000"/>
          <w:sz w:val="24"/>
        </w:rPr>
      </w:pPr>
      <w:r>
        <w:rPr>
          <w:rFonts w:hint="eastAsia" w:ascii="仿宋" w:hAnsi="仿宋" w:eastAsia="仿宋" w:cs="仿宋"/>
          <w:color w:val="000000"/>
          <w:sz w:val="24"/>
        </w:rPr>
        <w:t xml:space="preserve">　　2．主合同约定的应当缴纳履约保证金的情形: </w:t>
      </w:r>
    </w:p>
    <w:p w14:paraId="2C55588D">
      <w:pPr>
        <w:ind w:firstLine="480" w:firstLineChars="200"/>
        <w:rPr>
          <w:rFonts w:ascii="仿宋" w:hAnsi="仿宋" w:eastAsia="仿宋" w:cs="仿宋"/>
          <w:color w:val="000000"/>
          <w:sz w:val="24"/>
        </w:rPr>
      </w:pPr>
      <w:r>
        <w:rPr>
          <w:rFonts w:hint="eastAsia" w:ascii="仿宋" w:hAnsi="仿宋" w:eastAsia="仿宋" w:cs="仿宋"/>
          <w:color w:val="000000"/>
          <w:sz w:val="24"/>
        </w:rPr>
        <w:t>（1）未按主合同约定的质量、数量和期限供应货物/提供服务/完成工程的；</w:t>
      </w:r>
    </w:p>
    <w:p w14:paraId="5EA981FB">
      <w:pPr>
        <w:ind w:firstLine="480" w:firstLineChars="20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3CD8625">
      <w:pPr>
        <w:ind w:firstLine="480" w:firstLineChars="200"/>
        <w:rPr>
          <w:rFonts w:ascii="仿宋" w:hAnsi="仿宋" w:eastAsia="仿宋" w:cs="仿宋"/>
          <w:color w:val="000000"/>
          <w:sz w:val="24"/>
        </w:rPr>
      </w:pPr>
      <w:r>
        <w:rPr>
          <w:rFonts w:hint="eastAsia" w:ascii="仿宋" w:hAnsi="仿宋" w:eastAsia="仿宋" w:cs="仿宋"/>
          <w:color w:val="000000"/>
          <w:sz w:val="24"/>
        </w:rPr>
        <w:t>（二）我方的保证范围是主合同约定的合同价款总额的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%数额为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），币种为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。（即主合同履约保证金金额）</w:t>
      </w:r>
    </w:p>
    <w:p w14:paraId="64830260">
      <w:pPr>
        <w:ind w:firstLine="480" w:firstLineChars="200"/>
        <w:rPr>
          <w:rFonts w:ascii="仿宋" w:hAnsi="仿宋" w:eastAsia="仿宋" w:cs="仿宋"/>
          <w:color w:val="000000"/>
          <w:sz w:val="24"/>
        </w:rPr>
      </w:pPr>
      <w:r>
        <w:rPr>
          <w:rFonts w:hint="eastAsia" w:ascii="仿宋" w:hAnsi="仿宋" w:eastAsia="仿宋" w:cs="仿宋"/>
          <w:color w:val="000000"/>
          <w:sz w:val="24"/>
        </w:rPr>
        <w:t>二、保证的方式及保证期间</w:t>
      </w:r>
    </w:p>
    <w:p w14:paraId="2CD9BA0E">
      <w:pPr>
        <w:ind w:firstLine="480" w:firstLineChars="200"/>
        <w:rPr>
          <w:rFonts w:ascii="仿宋" w:hAnsi="仿宋" w:eastAsia="仿宋" w:cs="仿宋"/>
          <w:color w:val="000000"/>
          <w:sz w:val="24"/>
        </w:rPr>
      </w:pPr>
      <w:r>
        <w:rPr>
          <w:rFonts w:hint="eastAsia" w:ascii="仿宋" w:hAnsi="仿宋" w:eastAsia="仿宋" w:cs="仿宋"/>
          <w:color w:val="000000"/>
          <w:sz w:val="24"/>
        </w:rPr>
        <w:t>我方保证的方式为：连带责任保证。</w:t>
      </w:r>
    </w:p>
    <w:p w14:paraId="5625091C">
      <w:pPr>
        <w:ind w:firstLine="480" w:firstLineChars="200"/>
        <w:rPr>
          <w:rFonts w:ascii="仿宋" w:hAnsi="仿宋" w:eastAsia="仿宋" w:cs="仿宋"/>
          <w:color w:val="000000"/>
          <w:sz w:val="24"/>
        </w:rPr>
      </w:pPr>
      <w:r>
        <w:rPr>
          <w:rFonts w:hint="eastAsia" w:ascii="仿宋" w:hAnsi="仿宋" w:eastAsia="仿宋" w:cs="仿宋"/>
          <w:color w:val="000000"/>
          <w:sz w:val="24"/>
        </w:rPr>
        <w:t>我方保证的期间为：自本合同生效之日起至供应商按照主合同约定的供货/完工期限届满后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w:t>
      </w:r>
    </w:p>
    <w:p w14:paraId="53B15119">
      <w:pPr>
        <w:ind w:firstLine="480" w:firstLineChars="200"/>
        <w:rPr>
          <w:rFonts w:ascii="仿宋" w:hAnsi="仿宋" w:eastAsia="仿宋" w:cs="仿宋"/>
          <w:color w:val="000000"/>
          <w:sz w:val="24"/>
        </w:rPr>
      </w:pPr>
      <w:r>
        <w:rPr>
          <w:rFonts w:hint="eastAsia" w:ascii="仿宋" w:hAnsi="仿宋" w:eastAsia="仿宋" w:cs="仿宋"/>
          <w:color w:val="000000"/>
          <w:sz w:val="24"/>
        </w:rPr>
        <w:t>如果供应商未按主合同约定向贵方供应货物/提供服务/完成工程的，由我方在保证金额内向你方支付上述款项。</w:t>
      </w:r>
    </w:p>
    <w:p w14:paraId="4EEC674E">
      <w:pPr>
        <w:ind w:firstLine="480" w:firstLineChars="200"/>
        <w:rPr>
          <w:rFonts w:ascii="仿宋" w:hAnsi="仿宋" w:eastAsia="仿宋" w:cs="仿宋"/>
          <w:color w:val="000000"/>
          <w:sz w:val="24"/>
        </w:rPr>
      </w:pPr>
      <w:r>
        <w:rPr>
          <w:rFonts w:hint="eastAsia" w:ascii="仿宋" w:hAnsi="仿宋" w:eastAsia="仿宋" w:cs="仿宋"/>
          <w:color w:val="000000"/>
          <w:sz w:val="24"/>
        </w:rPr>
        <w:t>三、承担保证责任的程序</w:t>
      </w:r>
    </w:p>
    <w:p w14:paraId="6562DD8C">
      <w:pPr>
        <w:ind w:firstLine="480" w:firstLineChars="200"/>
        <w:rPr>
          <w:rFonts w:ascii="仿宋" w:hAnsi="仿宋" w:eastAsia="仿宋" w:cs="仿宋"/>
          <w:color w:val="000000"/>
          <w:sz w:val="24"/>
        </w:rPr>
      </w:pPr>
      <w:r>
        <w:rPr>
          <w:rFonts w:hint="eastAsia" w:ascii="仿宋" w:hAnsi="仿宋" w:eastAsia="仿宋" w:cs="仿宋"/>
          <w:color w:val="000000"/>
          <w:sz w:val="24"/>
        </w:rPr>
        <w:t>1．你方要求我方承担保证责任的，应在本保函保证期间内向我方发出书面索赔通知。索赔通知应写明要求索赔的金额，支付款项应到达的帐号。并附有证明供应商违约事实的证明材料。</w:t>
      </w:r>
    </w:p>
    <w:p w14:paraId="262E93CB">
      <w:pPr>
        <w:ind w:firstLine="480" w:firstLineChars="200"/>
        <w:rPr>
          <w:rFonts w:ascii="仿宋" w:hAnsi="仿宋" w:eastAsia="仿宋" w:cs="仿宋"/>
          <w:color w:val="000000"/>
          <w:sz w:val="24"/>
        </w:rPr>
      </w:pPr>
      <w:r>
        <w:rPr>
          <w:rFonts w:hint="eastAsia" w:ascii="仿宋" w:hAnsi="仿宋" w:eastAsia="仿宋" w:cs="仿宋"/>
          <w:color w:val="000000"/>
          <w:sz w:val="24"/>
        </w:rPr>
        <w:t>如果你方与供应商因货物质量问题产生争议，你方还需同时提供</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部门出具的质量检测报告，或经诉讼（仲裁）程序裁决后的裁决书、调解书，本保证人即按照检测结果或裁决书、调解书决定是否承担保证责任。</w:t>
      </w:r>
    </w:p>
    <w:p w14:paraId="56CF8E67">
      <w:pPr>
        <w:ind w:firstLine="480" w:firstLineChars="200"/>
        <w:rPr>
          <w:rFonts w:ascii="仿宋" w:hAnsi="仿宋" w:eastAsia="仿宋" w:cs="仿宋"/>
          <w:color w:val="000000"/>
          <w:sz w:val="24"/>
        </w:rPr>
      </w:pPr>
      <w:r>
        <w:rPr>
          <w:rFonts w:hint="eastAsia" w:ascii="仿宋" w:hAnsi="仿宋" w:eastAsia="仿宋" w:cs="仿宋"/>
          <w:color w:val="000000"/>
          <w:sz w:val="24"/>
        </w:rPr>
        <w:t>2． 我方收到你方的书面索赔通知及相应证明材料，在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工作日内进行核定后按照本保函的承诺承担保证责任。</w:t>
      </w:r>
    </w:p>
    <w:p w14:paraId="40904581">
      <w:pPr>
        <w:ind w:firstLine="480" w:firstLineChars="200"/>
        <w:rPr>
          <w:rFonts w:ascii="仿宋" w:hAnsi="仿宋" w:eastAsia="仿宋" w:cs="仿宋"/>
          <w:color w:val="000000"/>
          <w:sz w:val="24"/>
        </w:rPr>
      </w:pPr>
      <w:r>
        <w:rPr>
          <w:rFonts w:hint="eastAsia" w:ascii="仿宋" w:hAnsi="仿宋" w:eastAsia="仿宋" w:cs="仿宋"/>
          <w:color w:val="000000"/>
          <w:sz w:val="24"/>
        </w:rPr>
        <w:t>四、保证责任的终止</w:t>
      </w:r>
    </w:p>
    <w:p w14:paraId="476F495D">
      <w:pPr>
        <w:ind w:firstLine="480" w:firstLineChars="200"/>
        <w:rPr>
          <w:rFonts w:ascii="仿宋" w:hAnsi="仿宋" w:eastAsia="仿宋" w:cs="仿宋"/>
          <w:color w:val="000000"/>
          <w:sz w:val="24"/>
        </w:rPr>
      </w:pPr>
      <w:r>
        <w:rPr>
          <w:rFonts w:hint="eastAsia" w:ascii="仿宋" w:hAnsi="仿宋" w:eastAsia="仿宋" w:cs="仿宋"/>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9537BAA">
      <w:pPr>
        <w:ind w:firstLine="480" w:firstLineChars="200"/>
        <w:rPr>
          <w:rFonts w:ascii="仿宋" w:hAnsi="仿宋" w:eastAsia="仿宋" w:cs="仿宋"/>
          <w:color w:val="000000"/>
          <w:sz w:val="24"/>
        </w:rPr>
      </w:pPr>
      <w:r>
        <w:rPr>
          <w:rFonts w:hint="eastAsia" w:ascii="仿宋" w:hAnsi="仿宋" w:eastAsia="仿宋" w:cs="仿宋"/>
          <w:color w:val="000000"/>
          <w:sz w:val="24"/>
        </w:rPr>
        <w:t>2．我方按照本保函向你方履行了保证责任后，自我方向你方支付款项（支付款项从我方账户划出）之日起，保证责任即终止。</w:t>
      </w:r>
    </w:p>
    <w:p w14:paraId="2CBB4D0D">
      <w:pPr>
        <w:ind w:firstLine="480" w:firstLineChars="200"/>
        <w:rPr>
          <w:rFonts w:ascii="仿宋" w:hAnsi="仿宋" w:eastAsia="仿宋" w:cs="仿宋"/>
          <w:color w:val="000000"/>
          <w:sz w:val="24"/>
        </w:rPr>
      </w:pPr>
      <w:r>
        <w:rPr>
          <w:rFonts w:hint="eastAsia" w:ascii="仿宋" w:hAnsi="仿宋" w:eastAsia="仿宋" w:cs="仿宋"/>
          <w:color w:val="000000"/>
          <w:sz w:val="24"/>
        </w:rPr>
        <w:t>3．按照法律法规的规定或出现应终止我方保证责任的其它情形的，我方在本保函项下的保证责任亦终止。</w:t>
      </w:r>
    </w:p>
    <w:p w14:paraId="3C3786C8">
      <w:pPr>
        <w:ind w:firstLine="480" w:firstLineChars="200"/>
        <w:rPr>
          <w:rFonts w:ascii="仿宋" w:hAnsi="仿宋" w:eastAsia="仿宋" w:cs="仿宋"/>
          <w:color w:val="000000"/>
          <w:sz w:val="24"/>
        </w:rPr>
      </w:pPr>
      <w:r>
        <w:rPr>
          <w:rFonts w:hint="eastAsia" w:ascii="仿宋" w:hAnsi="仿宋" w:eastAsia="仿宋" w:cs="仿宋"/>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6F3D67">
      <w:pPr>
        <w:ind w:firstLine="480" w:firstLineChars="200"/>
        <w:rPr>
          <w:rFonts w:ascii="仿宋" w:hAnsi="仿宋" w:eastAsia="仿宋" w:cs="仿宋"/>
          <w:color w:val="000000"/>
          <w:sz w:val="24"/>
        </w:rPr>
      </w:pPr>
      <w:r>
        <w:rPr>
          <w:rFonts w:hint="eastAsia" w:ascii="仿宋" w:hAnsi="仿宋" w:eastAsia="仿宋" w:cs="仿宋"/>
          <w:color w:val="000000"/>
          <w:sz w:val="24"/>
        </w:rPr>
        <w:t>五、免责条款</w:t>
      </w:r>
    </w:p>
    <w:p w14:paraId="604A0165">
      <w:pPr>
        <w:ind w:firstLine="480" w:firstLineChars="200"/>
        <w:rPr>
          <w:rFonts w:ascii="仿宋" w:hAnsi="仿宋" w:eastAsia="仿宋" w:cs="仿宋"/>
          <w:color w:val="000000"/>
          <w:sz w:val="24"/>
        </w:rPr>
      </w:pPr>
      <w:r>
        <w:rPr>
          <w:rFonts w:hint="eastAsia" w:ascii="仿宋" w:hAnsi="仿宋" w:eastAsia="仿宋" w:cs="仿宋"/>
          <w:color w:val="000000"/>
          <w:sz w:val="24"/>
        </w:rPr>
        <w:t>1．因你方违反主合同约定致使供应商不能履行义务的，我方不承担保证责任。</w:t>
      </w:r>
    </w:p>
    <w:p w14:paraId="5F857879">
      <w:pPr>
        <w:ind w:firstLine="480" w:firstLineChars="200"/>
        <w:rPr>
          <w:rFonts w:ascii="仿宋" w:hAnsi="仿宋" w:eastAsia="仿宋" w:cs="仿宋"/>
          <w:color w:val="000000"/>
          <w:sz w:val="24"/>
        </w:rPr>
      </w:pPr>
      <w:r>
        <w:rPr>
          <w:rFonts w:hint="eastAsia" w:ascii="仿宋" w:hAnsi="仿宋" w:eastAsia="仿宋" w:cs="仿宋"/>
          <w:color w:val="000000"/>
          <w:sz w:val="24"/>
        </w:rPr>
        <w:t>2．依照法律法规的规定或你方与供应商的另行约定，全部或者部分免除供应商应缴纳的保证金义务的，我方亦免除相应的保证责任。</w:t>
      </w:r>
    </w:p>
    <w:p w14:paraId="6ECD099D">
      <w:pPr>
        <w:ind w:firstLine="480" w:firstLineChars="200"/>
        <w:rPr>
          <w:rFonts w:ascii="仿宋" w:hAnsi="仿宋" w:eastAsia="仿宋" w:cs="仿宋"/>
          <w:color w:val="000000"/>
          <w:sz w:val="24"/>
        </w:rPr>
      </w:pPr>
      <w:r>
        <w:rPr>
          <w:rFonts w:hint="eastAsia" w:ascii="仿宋" w:hAnsi="仿宋" w:eastAsia="仿宋" w:cs="仿宋"/>
          <w:color w:val="000000"/>
          <w:sz w:val="24"/>
        </w:rPr>
        <w:t>3．因不可抗力造成供应商不能履行供货义务的，我方不承担保证责任。</w:t>
      </w:r>
    </w:p>
    <w:p w14:paraId="0182CC48">
      <w:pPr>
        <w:ind w:firstLine="480" w:firstLineChars="200"/>
        <w:rPr>
          <w:rFonts w:ascii="仿宋" w:hAnsi="仿宋" w:eastAsia="仿宋" w:cs="仿宋"/>
          <w:color w:val="000000"/>
          <w:sz w:val="24"/>
        </w:rPr>
      </w:pPr>
      <w:r>
        <w:rPr>
          <w:rFonts w:hint="eastAsia" w:ascii="仿宋" w:hAnsi="仿宋" w:eastAsia="仿宋" w:cs="仿宋"/>
          <w:color w:val="000000"/>
          <w:sz w:val="24"/>
        </w:rPr>
        <w:t>六、争议的解决</w:t>
      </w:r>
    </w:p>
    <w:p w14:paraId="69E611C1">
      <w:pPr>
        <w:ind w:firstLine="480" w:firstLineChars="200"/>
        <w:rPr>
          <w:rFonts w:ascii="仿宋" w:hAnsi="仿宋" w:eastAsia="仿宋" w:cs="仿宋"/>
          <w:color w:val="000000"/>
          <w:sz w:val="24"/>
        </w:rPr>
      </w:pPr>
      <w:r>
        <w:rPr>
          <w:rFonts w:hint="eastAsia" w:ascii="仿宋" w:hAnsi="仿宋" w:eastAsia="仿宋" w:cs="仿宋"/>
          <w:color w:val="000000"/>
          <w:sz w:val="24"/>
        </w:rPr>
        <w:t>因本保函发生的纠纷，由你我双方协商解决，协商不成的，通过诉讼程序解决，诉讼管辖地法院为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法院。</w:t>
      </w:r>
    </w:p>
    <w:p w14:paraId="2208CD6B">
      <w:pPr>
        <w:ind w:firstLine="480" w:firstLineChars="200"/>
        <w:rPr>
          <w:rFonts w:ascii="仿宋" w:hAnsi="仿宋" w:eastAsia="仿宋" w:cs="仿宋"/>
          <w:color w:val="000000"/>
          <w:sz w:val="24"/>
        </w:rPr>
      </w:pPr>
      <w:r>
        <w:rPr>
          <w:rFonts w:hint="eastAsia" w:ascii="仿宋" w:hAnsi="仿宋" w:eastAsia="仿宋" w:cs="仿宋"/>
          <w:color w:val="000000"/>
          <w:sz w:val="24"/>
        </w:rPr>
        <w:t>七、保函的生效</w:t>
      </w:r>
    </w:p>
    <w:p w14:paraId="77F88E92">
      <w:pPr>
        <w:ind w:firstLine="480" w:firstLineChars="200"/>
        <w:rPr>
          <w:rFonts w:ascii="仿宋" w:hAnsi="仿宋" w:eastAsia="仿宋" w:cs="仿宋"/>
          <w:color w:val="000000"/>
          <w:sz w:val="24"/>
        </w:rPr>
      </w:pPr>
      <w:r>
        <w:rPr>
          <w:rFonts w:hint="eastAsia" w:ascii="仿宋" w:hAnsi="仿宋" w:eastAsia="仿宋" w:cs="仿宋"/>
          <w:color w:val="000000"/>
          <w:sz w:val="24"/>
        </w:rPr>
        <w:t>本保函自我方加盖公章之日起生效。</w:t>
      </w:r>
    </w:p>
    <w:p w14:paraId="5A2E4B87">
      <w:pPr>
        <w:rPr>
          <w:rFonts w:ascii="仿宋" w:hAnsi="仿宋" w:eastAsia="仿宋" w:cs="仿宋"/>
          <w:color w:val="000000"/>
          <w:sz w:val="24"/>
        </w:rPr>
      </w:pPr>
    </w:p>
    <w:p w14:paraId="08F46F78">
      <w:pPr>
        <w:rPr>
          <w:rFonts w:ascii="仿宋" w:hAnsi="仿宋" w:eastAsia="仿宋" w:cs="仿宋"/>
          <w:color w:val="000000"/>
          <w:sz w:val="24"/>
        </w:rPr>
      </w:pPr>
      <w:r>
        <w:rPr>
          <w:rFonts w:hint="eastAsia" w:ascii="仿宋" w:hAnsi="仿宋" w:eastAsia="仿宋" w:cs="仿宋"/>
          <w:color w:val="000000"/>
          <w:sz w:val="24"/>
        </w:rPr>
        <w:t xml:space="preserve">                                      </w:t>
      </w:r>
    </w:p>
    <w:p w14:paraId="653630DE">
      <w:pPr>
        <w:ind w:firstLine="5400" w:firstLineChars="2250"/>
        <w:rPr>
          <w:rFonts w:ascii="仿宋" w:hAnsi="仿宋" w:eastAsia="仿宋" w:cs="仿宋"/>
          <w:color w:val="000000"/>
          <w:sz w:val="24"/>
        </w:rPr>
      </w:pPr>
      <w:r>
        <w:rPr>
          <w:rFonts w:hint="eastAsia" w:ascii="仿宋" w:hAnsi="仿宋" w:eastAsia="仿宋" w:cs="仿宋"/>
          <w:color w:val="000000"/>
          <w:sz w:val="24"/>
        </w:rPr>
        <w:t>保证人：（公章）</w:t>
      </w:r>
    </w:p>
    <w:p w14:paraId="7D995096">
      <w:pPr>
        <w:rPr>
          <w:rFonts w:ascii="仿宋" w:hAnsi="仿宋" w:eastAsia="仿宋" w:cs="仿宋"/>
          <w:color w:val="000000"/>
          <w:sz w:val="24"/>
        </w:rPr>
      </w:pPr>
      <w:r>
        <w:rPr>
          <w:rFonts w:hint="eastAsia" w:ascii="仿宋" w:hAnsi="仿宋" w:eastAsia="仿宋" w:cs="仿宋"/>
          <w:color w:val="000000"/>
          <w:sz w:val="24"/>
        </w:rPr>
        <w:t xml:space="preserve">                   </w:t>
      </w:r>
    </w:p>
    <w:p w14:paraId="0C405A7C">
      <w:pPr>
        <w:rPr>
          <w:rFonts w:ascii="仿宋" w:hAnsi="仿宋" w:eastAsia="仿宋" w:cs="仿宋"/>
          <w:color w:val="000000"/>
          <w:sz w:val="24"/>
        </w:rPr>
      </w:pPr>
      <w:r>
        <w:rPr>
          <w:rFonts w:hint="eastAsia" w:ascii="仿宋" w:hAnsi="仿宋" w:eastAsia="仿宋" w:cs="仿宋"/>
          <w:color w:val="000000"/>
          <w:sz w:val="24"/>
        </w:rPr>
        <w:t xml:space="preserve">                                                   年     月      日</w:t>
      </w:r>
    </w:p>
    <w:p w14:paraId="5CE11690">
      <w:pPr>
        <w:rPr>
          <w:rFonts w:hint="eastAsia" w:ascii="仿宋_GB2312" w:eastAsia="仿宋_GB2312" w:cs="Times New Roman"/>
          <w:b/>
          <w:color w:val="000000"/>
          <w:kern w:val="44"/>
          <w:sz w:val="32"/>
          <w:szCs w:val="20"/>
          <w:lang w:val="en-US" w:eastAsia="zh-CN" w:bidi="ar-SA"/>
        </w:rPr>
      </w:pPr>
      <w:bookmarkStart w:id="325" w:name="_Toc728"/>
      <w:bookmarkStart w:id="326" w:name="_Toc702"/>
      <w:bookmarkStart w:id="327" w:name="_Toc515647802"/>
      <w:bookmarkStart w:id="328" w:name="_Toc216582812"/>
      <w:r>
        <w:rPr>
          <w:rFonts w:hint="eastAsia" w:ascii="仿宋_GB2312" w:eastAsia="仿宋_GB2312" w:cs="Times New Roman"/>
          <w:b/>
          <w:color w:val="000000"/>
          <w:kern w:val="44"/>
          <w:sz w:val="32"/>
          <w:szCs w:val="20"/>
          <w:lang w:val="en-US" w:eastAsia="zh-CN" w:bidi="ar-SA"/>
        </w:rPr>
        <w:br w:type="page"/>
      </w:r>
    </w:p>
    <w:p w14:paraId="384287E1">
      <w:pPr>
        <w:pStyle w:val="3"/>
        <w:keepNext w:val="0"/>
        <w:keepLines w:val="0"/>
        <w:widowControl/>
        <w:autoSpaceDE/>
        <w:autoSpaceDN/>
        <w:adjustRightInd/>
        <w:spacing w:line="240" w:lineRule="auto"/>
        <w:rPr>
          <w:rFonts w:hint="eastAsia" w:ascii="仿宋_GB2312" w:hAnsi="Times New Roman" w:eastAsia="仿宋_GB2312" w:cs="Times New Roman"/>
          <w:b/>
          <w:color w:val="000000"/>
          <w:kern w:val="44"/>
          <w:sz w:val="32"/>
          <w:szCs w:val="20"/>
          <w:lang w:val="en-US" w:eastAsia="zh-CN" w:bidi="ar-SA"/>
        </w:rPr>
      </w:pPr>
      <w:bookmarkStart w:id="329" w:name="_Toc23011"/>
      <w:r>
        <w:rPr>
          <w:rFonts w:hint="eastAsia" w:ascii="仿宋_GB2312" w:eastAsia="仿宋_GB2312" w:cs="Times New Roman"/>
          <w:b/>
          <w:color w:val="000000"/>
          <w:kern w:val="44"/>
          <w:sz w:val="32"/>
          <w:szCs w:val="20"/>
          <w:lang w:val="en-US" w:eastAsia="zh-CN" w:bidi="ar-SA"/>
        </w:rPr>
        <w:t>第二章、</w:t>
      </w:r>
      <w:r>
        <w:rPr>
          <w:rFonts w:hint="eastAsia" w:ascii="仿宋_GB2312" w:hAnsi="Times New Roman" w:eastAsia="仿宋_GB2312" w:cs="Times New Roman"/>
          <w:b/>
          <w:color w:val="000000"/>
          <w:kern w:val="44"/>
          <w:sz w:val="32"/>
          <w:szCs w:val="20"/>
          <w:lang w:val="en-US" w:eastAsia="zh-CN" w:bidi="ar-SA"/>
        </w:rPr>
        <w:t>投标文件格式</w:t>
      </w:r>
      <w:bookmarkEnd w:id="325"/>
      <w:bookmarkEnd w:id="326"/>
      <w:bookmarkEnd w:id="327"/>
      <w:bookmarkEnd w:id="328"/>
      <w:bookmarkEnd w:id="329"/>
    </w:p>
    <w:p w14:paraId="2FDB033F">
      <w:pPr>
        <w:spacing w:line="240" w:lineRule="atLeast"/>
        <w:ind w:left="735" w:leftChars="350" w:firstLine="120" w:firstLineChars="50"/>
        <w:rPr>
          <w:rFonts w:ascii="仿宋" w:hAnsi="仿宋" w:eastAsia="仿宋" w:cs="仿宋"/>
          <w:color w:val="000000"/>
          <w:sz w:val="24"/>
        </w:rPr>
      </w:pPr>
    </w:p>
    <w:p w14:paraId="7298420A">
      <w:pPr>
        <w:pStyle w:val="4"/>
        <w:spacing w:before="0" w:line="240" w:lineRule="atLeast"/>
        <w:ind w:left="1079" w:leftChars="257" w:hanging="540"/>
        <w:rPr>
          <w:rFonts w:ascii="仿宋" w:hAnsi="仿宋" w:eastAsia="仿宋" w:cs="仿宋"/>
          <w:color w:val="000000"/>
          <w:sz w:val="24"/>
        </w:rPr>
      </w:pPr>
      <w:bookmarkStart w:id="330" w:name="_Toc515647803"/>
      <w:bookmarkStart w:id="331" w:name="_Toc16768"/>
      <w:bookmarkStart w:id="332" w:name="_Toc18974"/>
      <w:bookmarkStart w:id="333" w:name="_Toc18694"/>
      <w:r>
        <w:rPr>
          <w:rFonts w:hint="eastAsia" w:ascii="仿宋" w:hAnsi="仿宋" w:eastAsia="仿宋" w:cs="仿宋"/>
          <w:color w:val="000000"/>
          <w:sz w:val="24"/>
        </w:rPr>
        <w:t>第一部分 开标一览表及资格证明文件</w:t>
      </w:r>
      <w:bookmarkEnd w:id="330"/>
      <w:bookmarkEnd w:id="331"/>
      <w:bookmarkEnd w:id="332"/>
      <w:bookmarkEnd w:id="333"/>
    </w:p>
    <w:p w14:paraId="333B11AD">
      <w:pPr>
        <w:spacing w:line="240" w:lineRule="atLeast"/>
        <w:ind w:left="708" w:hanging="708" w:hangingChars="295"/>
        <w:jc w:val="center"/>
        <w:rPr>
          <w:rFonts w:ascii="仿宋" w:hAnsi="仿宋" w:eastAsia="仿宋" w:cs="仿宋"/>
          <w:color w:val="000000"/>
          <w:sz w:val="24"/>
        </w:rPr>
      </w:pPr>
    </w:p>
    <w:p w14:paraId="182D1139">
      <w:pPr>
        <w:tabs>
          <w:tab w:val="left" w:pos="5580"/>
        </w:tabs>
        <w:spacing w:line="240" w:lineRule="atLeast"/>
        <w:ind w:firstLine="424" w:firstLineChars="177"/>
        <w:rPr>
          <w:rFonts w:ascii="仿宋" w:hAnsi="仿宋" w:eastAsia="仿宋" w:cs="仿宋"/>
          <w:color w:val="000000"/>
          <w:sz w:val="24"/>
        </w:rPr>
      </w:pPr>
      <w:r>
        <w:rPr>
          <w:rFonts w:hint="eastAsia" w:ascii="仿宋" w:hAnsi="仿宋" w:eastAsia="仿宋" w:cs="仿宋"/>
          <w:color w:val="000000"/>
          <w:sz w:val="24"/>
        </w:rPr>
        <w:t xml:space="preserve"> 1、开标一览表（见投标文件格式一）;</w:t>
      </w:r>
    </w:p>
    <w:p w14:paraId="7F856E88">
      <w:pPr>
        <w:tabs>
          <w:tab w:val="left" w:pos="5580"/>
        </w:tabs>
        <w:spacing w:line="240" w:lineRule="atLeast"/>
        <w:ind w:left="1" w:firstLine="564" w:firstLineChars="235"/>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法人或者非法人组织的营业执照等证明文件</w:t>
      </w:r>
      <w:r>
        <w:rPr>
          <w:rFonts w:hint="eastAsia" w:ascii="仿宋" w:hAnsi="仿宋" w:eastAsia="仿宋" w:cs="仿宋"/>
          <w:color w:val="000000"/>
          <w:sz w:val="24"/>
          <w:highlight w:val="none"/>
          <w:lang w:val="en-US" w:eastAsia="zh-CN"/>
        </w:rPr>
        <w:t>；</w:t>
      </w:r>
    </w:p>
    <w:p w14:paraId="6A9A0281">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_GB2312" w:cs="仿宋"/>
          <w:color w:val="000000"/>
          <w:sz w:val="24"/>
          <w:lang w:eastAsia="zh-CN"/>
        </w:rPr>
        <w:t>法定代表人投标的需提供法定代表人身份证明，被授权委托人需提供法定代表人授权委托书及被授权委托人身份证；</w:t>
      </w:r>
    </w:p>
    <w:p w14:paraId="4166D9A7">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_GB2312" w:cs="仿宋"/>
          <w:color w:val="000000"/>
          <w:sz w:val="24"/>
          <w:lang w:val="en-US" w:eastAsia="zh-CN"/>
        </w:rPr>
        <w:t>提供</w:t>
      </w:r>
      <w:r>
        <w:rPr>
          <w:rFonts w:hint="eastAsia" w:ascii="仿宋" w:hAnsi="仿宋" w:eastAsia="仿宋_GB2312" w:cs="仿宋"/>
          <w:color w:val="000000"/>
          <w:sz w:val="24"/>
        </w:rPr>
        <w:t>本单位缴纳的</w:t>
      </w:r>
      <w:r>
        <w:rPr>
          <w:rFonts w:hint="eastAsia" w:ascii="仿宋" w:hAnsi="仿宋" w:eastAsia="仿宋_GB2312" w:cs="仿宋"/>
          <w:color w:val="000000"/>
          <w:sz w:val="24"/>
          <w:lang w:eastAsia="zh-CN"/>
        </w:rPr>
        <w:t>近六个月中任意一个月的社保缴纳证明</w:t>
      </w:r>
      <w:r>
        <w:rPr>
          <w:rFonts w:hint="eastAsia" w:ascii="仿宋" w:hAnsi="仿宋" w:eastAsia="仿宋" w:cs="仿宋"/>
          <w:color w:val="000000"/>
          <w:sz w:val="24"/>
        </w:rPr>
        <w:t>;</w:t>
      </w:r>
    </w:p>
    <w:p w14:paraId="19B675C1">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w:t>
      </w:r>
      <w:r>
        <w:rPr>
          <w:rFonts w:hint="eastAsia" w:ascii="仿宋" w:hAnsi="仿宋" w:eastAsia="仿宋_GB2312" w:cs="仿宋"/>
          <w:color w:val="000000"/>
          <w:sz w:val="24"/>
        </w:rPr>
        <w:t>具有税务局开具依法缴纳</w:t>
      </w:r>
      <w:r>
        <w:rPr>
          <w:rFonts w:hint="eastAsia" w:ascii="仿宋" w:hAnsi="仿宋" w:eastAsia="仿宋_GB2312" w:cs="仿宋"/>
          <w:color w:val="000000"/>
          <w:sz w:val="24"/>
          <w:lang w:eastAsia="zh-CN"/>
        </w:rPr>
        <w:t>近六个月中任意一个月的税收证明</w:t>
      </w:r>
      <w:r>
        <w:rPr>
          <w:rFonts w:hint="eastAsia" w:ascii="仿宋" w:hAnsi="仿宋" w:eastAsia="仿宋_GB2312" w:cs="仿宋"/>
          <w:color w:val="000000"/>
          <w:sz w:val="24"/>
        </w:rPr>
        <w:t>的良好记录（完税证明）；注：①若为零申报企业，需提供无欠税证明或国家税务总局电子税务局“申报结果查询截图”。②“税种”非社会保险</w:t>
      </w:r>
      <w:r>
        <w:rPr>
          <w:rFonts w:hint="eastAsia" w:ascii="仿宋" w:hAnsi="仿宋" w:eastAsia="仿宋" w:cs="仿宋"/>
          <w:color w:val="000000"/>
          <w:sz w:val="24"/>
        </w:rPr>
        <w:t>；</w:t>
      </w:r>
    </w:p>
    <w:p w14:paraId="247A6158">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_GB2312" w:cs="仿宋"/>
          <w:color w:val="000000"/>
          <w:sz w:val="24"/>
        </w:rPr>
        <w:t>具有</w:t>
      </w:r>
      <w:r>
        <w:rPr>
          <w:rFonts w:hint="eastAsia" w:ascii="仿宋" w:hAnsi="仿宋" w:eastAsia="仿宋_GB2312" w:cs="仿宋"/>
          <w:color w:val="000000"/>
          <w:sz w:val="24"/>
          <w:lang w:eastAsia="zh-CN"/>
        </w:rPr>
        <w:t>2024年度或2025年度的财务审计报告</w:t>
      </w:r>
      <w:r>
        <w:rPr>
          <w:rFonts w:hint="eastAsia" w:ascii="仿宋" w:hAnsi="仿宋" w:eastAsia="仿宋_GB2312" w:cs="仿宋"/>
          <w:color w:val="000000"/>
          <w:sz w:val="24"/>
        </w:rPr>
        <w:t>（新成立未满一年的公司提供有效的银行资信证明）</w:t>
      </w:r>
      <w:r>
        <w:rPr>
          <w:rFonts w:hint="eastAsia" w:ascii="仿宋" w:hAnsi="仿宋" w:eastAsia="仿宋" w:cs="仿宋"/>
          <w:color w:val="000000"/>
          <w:sz w:val="24"/>
        </w:rPr>
        <w:t>；</w:t>
      </w:r>
    </w:p>
    <w:p w14:paraId="58C10CC8">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eastAsia="zh-CN"/>
        </w:rPr>
        <w:t>投标人参加项目领取招标文件期间采购活动前三年内，在经营活动中没有重大违法记录的书面承诺书、三年内无行政处罚记录承诺书（格式自拟）；</w:t>
      </w:r>
      <w:r>
        <w:rPr>
          <w:rFonts w:hint="eastAsia" w:ascii="仿宋" w:hAnsi="仿宋" w:eastAsia="仿宋" w:cs="仿宋"/>
          <w:color w:val="000000"/>
          <w:sz w:val="24"/>
        </w:rPr>
        <w:t>;</w:t>
      </w:r>
    </w:p>
    <w:p w14:paraId="7D319A2C">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w:t>
      </w:r>
      <w:r>
        <w:rPr>
          <w:rFonts w:hint="eastAsia" w:ascii="仿宋" w:hAnsi="仿宋" w:eastAsia="仿宋_GB2312" w:cs="仿宋"/>
          <w:color w:val="000000"/>
          <w:sz w:val="24"/>
          <w:lang w:eastAsia="zh-CN"/>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r>
        <w:rPr>
          <w:rFonts w:hint="eastAsia" w:ascii="仿宋" w:hAnsi="仿宋" w:eastAsia="仿宋" w:cs="仿宋"/>
          <w:color w:val="000000"/>
          <w:sz w:val="24"/>
        </w:rPr>
        <w:t>;</w:t>
      </w:r>
    </w:p>
    <w:p w14:paraId="30D2DAC6">
      <w:pPr>
        <w:tabs>
          <w:tab w:val="left" w:pos="5580"/>
        </w:tabs>
        <w:spacing w:line="240" w:lineRule="atLeast"/>
        <w:ind w:firstLine="424" w:firstLineChars="177"/>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9、投标</w:t>
      </w:r>
      <w:r>
        <w:rPr>
          <w:rFonts w:hint="eastAsia" w:ascii="仿宋" w:hAnsi="仿宋" w:eastAsia="仿宋" w:cs="仿宋"/>
          <w:b w:val="0"/>
          <w:bCs w:val="0"/>
          <w:color w:val="000000"/>
          <w:sz w:val="24"/>
          <w:highlight w:val="none"/>
        </w:rPr>
        <w:t>保证金</w:t>
      </w:r>
      <w:r>
        <w:rPr>
          <w:rFonts w:hint="eastAsia" w:ascii="仿宋" w:hAnsi="仿宋" w:eastAsia="仿宋" w:cs="仿宋"/>
          <w:b w:val="0"/>
          <w:bCs w:val="0"/>
          <w:color w:val="000000"/>
          <w:sz w:val="24"/>
          <w:highlight w:val="none"/>
          <w:lang w:val="en-US" w:eastAsia="zh-CN"/>
        </w:rPr>
        <w:t>有效</w:t>
      </w:r>
      <w:r>
        <w:rPr>
          <w:rFonts w:hint="eastAsia" w:ascii="仿宋" w:hAnsi="仿宋" w:eastAsia="仿宋" w:cs="仿宋"/>
          <w:b w:val="0"/>
          <w:bCs w:val="0"/>
          <w:color w:val="000000"/>
          <w:sz w:val="24"/>
          <w:highlight w:val="none"/>
        </w:rPr>
        <w:t>凭证</w:t>
      </w:r>
      <w:r>
        <w:rPr>
          <w:rFonts w:hint="eastAsia" w:ascii="仿宋" w:hAnsi="仿宋" w:eastAsia="仿宋" w:cs="仿宋"/>
          <w:b w:val="0"/>
          <w:bCs w:val="0"/>
          <w:color w:val="000000"/>
          <w:sz w:val="24"/>
          <w:highlight w:val="none"/>
          <w:lang w:eastAsia="zh-CN"/>
        </w:rPr>
        <w:t>；</w:t>
      </w:r>
    </w:p>
    <w:p w14:paraId="674A649F">
      <w:pPr>
        <w:tabs>
          <w:tab w:val="left" w:pos="5580"/>
        </w:tabs>
        <w:spacing w:line="240" w:lineRule="atLeast"/>
        <w:ind w:firstLine="424" w:firstLineChars="177"/>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w:t>
      </w:r>
      <w:r>
        <w:rPr>
          <w:rFonts w:hint="eastAsia" w:ascii="仿宋" w:hAnsi="仿宋" w:eastAsia="仿宋" w:cs="仿宋"/>
          <w:color w:val="000000"/>
          <w:sz w:val="24"/>
        </w:rPr>
        <w:t>针对本项目的反商业贿赂承诺书</w:t>
      </w:r>
      <w:r>
        <w:rPr>
          <w:rFonts w:hint="eastAsia" w:ascii="仿宋" w:hAnsi="仿宋" w:eastAsia="仿宋" w:cs="仿宋"/>
          <w:color w:val="000000"/>
          <w:sz w:val="24"/>
          <w:lang w:eastAsia="zh-CN"/>
        </w:rPr>
        <w:t>；</w:t>
      </w:r>
    </w:p>
    <w:p w14:paraId="1BC5D5E2">
      <w:pPr>
        <w:tabs>
          <w:tab w:val="left" w:pos="5580"/>
        </w:tabs>
        <w:spacing w:line="240" w:lineRule="atLeast"/>
        <w:ind w:firstLine="424" w:firstLineChars="177"/>
        <w:rPr>
          <w:rFonts w:hint="eastAsia" w:ascii="仿宋" w:hAnsi="仿宋" w:eastAsia="仿宋" w:cs="仿宋"/>
          <w:color w:val="000000"/>
          <w:sz w:val="24"/>
        </w:rPr>
      </w:pPr>
      <w:r>
        <w:rPr>
          <w:rFonts w:hint="eastAsia" w:ascii="仿宋" w:hAnsi="仿宋" w:eastAsia="仿宋" w:cs="仿宋"/>
          <w:color w:val="000000"/>
          <w:sz w:val="24"/>
          <w:lang w:val="en-US" w:eastAsia="zh-CN"/>
        </w:rPr>
        <w:t>11、</w:t>
      </w:r>
      <w:r>
        <w:rPr>
          <w:rFonts w:hint="eastAsia" w:ascii="仿宋" w:hAnsi="仿宋" w:eastAsia="仿宋" w:cs="仿宋"/>
          <w:color w:val="000000"/>
          <w:sz w:val="24"/>
        </w:rPr>
        <w:t>投标人须知资料表要求的其他资格证明文件;</w:t>
      </w:r>
    </w:p>
    <w:p w14:paraId="5095067C">
      <w:pPr>
        <w:tabs>
          <w:tab w:val="left" w:pos="5580"/>
        </w:tabs>
        <w:spacing w:line="240" w:lineRule="atLeast"/>
        <w:ind w:left="1" w:firstLine="564" w:firstLineChars="235"/>
        <w:rPr>
          <w:rFonts w:ascii="仿宋" w:hAnsi="仿宋" w:eastAsia="仿宋" w:cs="仿宋"/>
          <w:color w:val="000000"/>
          <w:sz w:val="24"/>
        </w:rPr>
      </w:pPr>
      <w:r>
        <w:rPr>
          <w:rFonts w:hint="eastAsia" w:ascii="仿宋" w:hAnsi="仿宋" w:eastAsia="仿宋" w:cs="仿宋"/>
          <w:color w:val="000000"/>
          <w:sz w:val="24"/>
        </w:rPr>
        <w:br w:type="page"/>
      </w:r>
    </w:p>
    <w:p w14:paraId="55C5CA30">
      <w:pPr>
        <w:pStyle w:val="4"/>
        <w:spacing w:before="0" w:line="240" w:lineRule="atLeast"/>
        <w:ind w:left="1079" w:leftChars="257" w:hanging="540"/>
        <w:rPr>
          <w:rFonts w:ascii="仿宋" w:hAnsi="仿宋" w:eastAsia="仿宋" w:cs="仿宋"/>
          <w:color w:val="000000"/>
          <w:sz w:val="24"/>
        </w:rPr>
      </w:pPr>
      <w:bookmarkStart w:id="334" w:name="_Toc30524"/>
      <w:bookmarkStart w:id="335" w:name="_Toc28343"/>
      <w:bookmarkStart w:id="336" w:name="_Toc16568"/>
      <w:bookmarkStart w:id="337" w:name="_Toc4254"/>
      <w:bookmarkStart w:id="338" w:name="_Toc21311"/>
      <w:bookmarkStart w:id="339" w:name="_Toc515647804"/>
      <w:r>
        <w:rPr>
          <w:rFonts w:hint="eastAsia" w:ascii="仿宋" w:hAnsi="仿宋" w:eastAsia="仿宋" w:cs="仿宋"/>
          <w:color w:val="000000"/>
          <w:sz w:val="24"/>
        </w:rPr>
        <w:t>1  开标一览表（投标文件格式一）</w:t>
      </w:r>
      <w:bookmarkEnd w:id="334"/>
      <w:bookmarkEnd w:id="335"/>
      <w:bookmarkEnd w:id="336"/>
      <w:bookmarkEnd w:id="337"/>
      <w:bookmarkEnd w:id="338"/>
      <w:bookmarkEnd w:id="339"/>
    </w:p>
    <w:p w14:paraId="3F2AB4F4">
      <w:pPr>
        <w:pStyle w:val="20"/>
        <w:tabs>
          <w:tab w:val="left" w:pos="5580"/>
        </w:tabs>
        <w:spacing w:line="240" w:lineRule="atLeast"/>
        <w:ind w:left="268" w:leftChars="128"/>
        <w:rPr>
          <w:rFonts w:ascii="仿宋" w:hAnsi="仿宋" w:eastAsia="仿宋" w:cs="仿宋"/>
          <w:color w:val="000000"/>
          <w:sz w:val="24"/>
        </w:rPr>
      </w:pPr>
    </w:p>
    <w:p w14:paraId="320347E6">
      <w:pPr>
        <w:pStyle w:val="20"/>
        <w:tabs>
          <w:tab w:val="left" w:pos="5580"/>
        </w:tabs>
        <w:spacing w:line="240" w:lineRule="atLeast"/>
        <w:ind w:left="268" w:leftChars="128"/>
        <w:rPr>
          <w:rFonts w:ascii="仿宋" w:hAnsi="仿宋" w:eastAsia="仿宋" w:cs="仿宋"/>
          <w:color w:val="000000"/>
          <w:sz w:val="24"/>
          <w:szCs w:val="24"/>
        </w:rPr>
      </w:pPr>
    </w:p>
    <w:p w14:paraId="7E374D2D">
      <w:pPr>
        <w:pStyle w:val="2"/>
        <w:tabs>
          <w:tab w:val="left" w:pos="5580"/>
        </w:tabs>
        <w:spacing w:line="240" w:lineRule="atLeast"/>
        <w:ind w:left="1079" w:leftChars="257" w:hanging="540"/>
        <w:jc w:val="center"/>
        <w:rPr>
          <w:rFonts w:ascii="仿宋" w:hAnsi="仿宋" w:eastAsia="仿宋" w:cs="仿宋"/>
          <w:b/>
          <w:color w:val="000000"/>
        </w:rPr>
      </w:pPr>
      <w:bookmarkStart w:id="340" w:name="_Hlt520356241"/>
      <w:bookmarkEnd w:id="340"/>
      <w:bookmarkStart w:id="341" w:name="_Toc494296984"/>
      <w:bookmarkStart w:id="342" w:name="_Toc216582813"/>
      <w:bookmarkStart w:id="343" w:name="_Toc520356217"/>
      <w:bookmarkStart w:id="344" w:name="_Ref467988698"/>
      <w:bookmarkStart w:id="345" w:name="_Toc480942349"/>
      <w:r>
        <w:rPr>
          <w:rFonts w:hint="eastAsia" w:ascii="仿宋" w:hAnsi="仿宋" w:eastAsia="仿宋" w:cs="仿宋"/>
          <w:b/>
          <w:color w:val="000000"/>
        </w:rPr>
        <w:t>开标一览表</w:t>
      </w:r>
      <w:bookmarkEnd w:id="341"/>
      <w:r>
        <w:rPr>
          <w:rFonts w:hint="eastAsia" w:ascii="仿宋" w:hAnsi="仿宋" w:eastAsia="仿宋" w:cs="仿宋"/>
          <w:b/>
          <w:color w:val="000000"/>
        </w:rPr>
        <w:cr/>
      </w:r>
    </w:p>
    <w:p w14:paraId="1B3510F2">
      <w:pPr>
        <w:pStyle w:val="2"/>
        <w:tabs>
          <w:tab w:val="left" w:pos="5580"/>
        </w:tabs>
        <w:spacing w:line="240" w:lineRule="atLeast"/>
        <w:ind w:left="1079" w:leftChars="257" w:hanging="540"/>
        <w:rPr>
          <w:rFonts w:ascii="仿宋" w:hAnsi="仿宋" w:eastAsia="仿宋" w:cs="仿宋"/>
          <w:color w:val="000000"/>
        </w:rPr>
      </w:pPr>
    </w:p>
    <w:p w14:paraId="224EF6C0">
      <w:pPr>
        <w:tabs>
          <w:tab w:val="left" w:pos="1800"/>
          <w:tab w:val="left" w:pos="5580"/>
        </w:tabs>
        <w:spacing w:line="240" w:lineRule="atLeast"/>
        <w:ind w:left="1079" w:leftChars="257" w:right="-867" w:rightChars="-413" w:hanging="540"/>
        <w:rPr>
          <w:rFonts w:ascii="仿宋" w:hAnsi="仿宋" w:eastAsia="仿宋" w:cs="仿宋"/>
          <w:color w:val="000000"/>
          <w:sz w:val="24"/>
        </w:rPr>
      </w:pPr>
      <w:r>
        <w:rPr>
          <w:rFonts w:hint="eastAsia" w:ascii="仿宋" w:hAnsi="仿宋" w:eastAsia="仿宋" w:cs="仿宋"/>
          <w:color w:val="000000"/>
          <w:sz w:val="24"/>
        </w:rPr>
        <w:t xml:space="preserve">项目名称：　                  招标编号：                 包号：         </w:t>
      </w:r>
    </w:p>
    <w:p w14:paraId="6E948616">
      <w:pPr>
        <w:tabs>
          <w:tab w:val="left" w:pos="1800"/>
          <w:tab w:val="left" w:pos="5580"/>
        </w:tabs>
        <w:spacing w:line="240" w:lineRule="atLeast"/>
        <w:ind w:left="1079" w:leftChars="257" w:right="-867" w:rightChars="-413" w:hanging="540"/>
        <w:rPr>
          <w:rFonts w:ascii="仿宋" w:hAnsi="仿宋" w:eastAsia="仿宋" w:cs="仿宋"/>
          <w:color w:val="000000"/>
          <w:sz w:val="24"/>
        </w:rPr>
      </w:pPr>
      <w:r>
        <w:rPr>
          <w:rFonts w:hint="eastAsia" w:ascii="仿宋" w:hAnsi="仿宋" w:eastAsia="仿宋" w:cs="仿宋"/>
          <w:color w:val="000000"/>
          <w:sz w:val="24"/>
        </w:rPr>
        <w:t xml:space="preserve">报价单位：人民币 </w:t>
      </w:r>
      <w:r>
        <w:rPr>
          <w:rFonts w:hint="eastAsia" w:ascii="仿宋" w:hAnsi="仿宋" w:eastAsia="仿宋" w:cs="仿宋"/>
          <w:bCs/>
          <w:color w:val="000000"/>
          <w:sz w:val="24"/>
        </w:rPr>
        <w:t>元</w:t>
      </w:r>
    </w:p>
    <w:tbl>
      <w:tblPr>
        <w:tblStyle w:val="36"/>
        <w:tblW w:w="8836" w:type="dxa"/>
        <w:tblInd w:w="-65" w:type="dxa"/>
        <w:tblLayout w:type="fixed"/>
        <w:tblCellMar>
          <w:top w:w="0" w:type="dxa"/>
          <w:left w:w="0" w:type="dxa"/>
          <w:bottom w:w="0" w:type="dxa"/>
          <w:right w:w="0" w:type="dxa"/>
        </w:tblCellMar>
      </w:tblPr>
      <w:tblGrid>
        <w:gridCol w:w="1364"/>
        <w:gridCol w:w="1276"/>
        <w:gridCol w:w="1628"/>
        <w:gridCol w:w="1666"/>
        <w:gridCol w:w="1451"/>
        <w:gridCol w:w="1451"/>
      </w:tblGrid>
      <w:tr w14:paraId="1370BE81">
        <w:tblPrEx>
          <w:tblCellMar>
            <w:top w:w="0" w:type="dxa"/>
            <w:left w:w="0" w:type="dxa"/>
            <w:bottom w:w="0" w:type="dxa"/>
            <w:right w:w="0" w:type="dxa"/>
          </w:tblCellMar>
        </w:tblPrEx>
        <w:trPr>
          <w:trHeight w:val="685" w:hRule="atLeast"/>
        </w:trPr>
        <w:tc>
          <w:tcPr>
            <w:tcW w:w="1364" w:type="dxa"/>
            <w:tcBorders>
              <w:top w:val="single" w:color="auto" w:sz="4" w:space="0"/>
              <w:left w:val="single" w:color="auto" w:sz="4" w:space="0"/>
              <w:bottom w:val="single" w:color="auto" w:sz="8" w:space="0"/>
              <w:right w:val="single" w:color="auto" w:sz="4" w:space="0"/>
            </w:tcBorders>
            <w:vAlign w:val="center"/>
          </w:tcPr>
          <w:p w14:paraId="6298860E">
            <w:pPr>
              <w:tabs>
                <w:tab w:val="left" w:pos="5580"/>
              </w:tabs>
              <w:spacing w:line="240" w:lineRule="atLeast"/>
              <w:ind w:right="-199"/>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1276" w:type="dxa"/>
            <w:tcBorders>
              <w:top w:val="single" w:color="auto" w:sz="4" w:space="0"/>
              <w:left w:val="single" w:color="auto" w:sz="8" w:space="0"/>
              <w:bottom w:val="single" w:color="auto" w:sz="8" w:space="0"/>
              <w:right w:val="single" w:color="auto" w:sz="4" w:space="0"/>
            </w:tcBorders>
            <w:vAlign w:val="center"/>
          </w:tcPr>
          <w:p w14:paraId="41A6B35E">
            <w:pPr>
              <w:tabs>
                <w:tab w:val="left" w:pos="5580"/>
              </w:tabs>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投标总价</w:t>
            </w:r>
          </w:p>
        </w:tc>
        <w:tc>
          <w:tcPr>
            <w:tcW w:w="1628" w:type="dxa"/>
            <w:tcBorders>
              <w:top w:val="single" w:color="auto" w:sz="8" w:space="0"/>
              <w:left w:val="nil"/>
              <w:bottom w:val="single" w:color="auto" w:sz="8" w:space="0"/>
              <w:right w:val="single" w:color="auto" w:sz="4" w:space="0"/>
            </w:tcBorders>
            <w:vAlign w:val="center"/>
          </w:tcPr>
          <w:p w14:paraId="1342B8B6">
            <w:pPr>
              <w:tabs>
                <w:tab w:val="left" w:pos="5580"/>
              </w:tabs>
              <w:spacing w:line="240" w:lineRule="atLeast"/>
              <w:jc w:val="center"/>
              <w:rPr>
                <w:rFonts w:ascii="仿宋" w:hAnsi="仿宋" w:eastAsia="仿宋" w:cs="仿宋"/>
                <w:color w:val="000000"/>
                <w:sz w:val="24"/>
              </w:rPr>
            </w:pPr>
            <w:r>
              <w:rPr>
                <w:rFonts w:hint="eastAsia" w:ascii="仿宋" w:hAnsi="仿宋" w:eastAsia="仿宋" w:cs="仿宋"/>
                <w:color w:val="000000"/>
                <w:sz w:val="24"/>
              </w:rPr>
              <w:t>投标保证金</w:t>
            </w:r>
          </w:p>
        </w:tc>
        <w:tc>
          <w:tcPr>
            <w:tcW w:w="1666" w:type="dxa"/>
            <w:tcBorders>
              <w:top w:val="single" w:color="auto" w:sz="8" w:space="0"/>
              <w:left w:val="nil"/>
              <w:bottom w:val="single" w:color="auto" w:sz="8" w:space="0"/>
              <w:right w:val="single" w:color="auto" w:sz="4" w:space="0"/>
            </w:tcBorders>
            <w:vAlign w:val="center"/>
          </w:tcPr>
          <w:p w14:paraId="3D81C596">
            <w:pPr>
              <w:tabs>
                <w:tab w:val="left" w:pos="5580"/>
              </w:tabs>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服务期限</w:t>
            </w:r>
          </w:p>
        </w:tc>
        <w:tc>
          <w:tcPr>
            <w:tcW w:w="1451" w:type="dxa"/>
            <w:tcBorders>
              <w:top w:val="single" w:color="auto" w:sz="8" w:space="0"/>
              <w:left w:val="single" w:color="auto" w:sz="4" w:space="0"/>
              <w:bottom w:val="single" w:color="auto" w:sz="8" w:space="0"/>
              <w:right w:val="single" w:color="auto" w:sz="8" w:space="0"/>
            </w:tcBorders>
            <w:vAlign w:val="center"/>
          </w:tcPr>
          <w:p w14:paraId="26F8E959">
            <w:pPr>
              <w:tabs>
                <w:tab w:val="left" w:pos="5580"/>
              </w:tabs>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服务地点</w:t>
            </w:r>
          </w:p>
        </w:tc>
        <w:tc>
          <w:tcPr>
            <w:tcW w:w="1451" w:type="dxa"/>
            <w:tcBorders>
              <w:top w:val="single" w:color="auto" w:sz="8" w:space="0"/>
              <w:left w:val="single" w:color="auto" w:sz="4" w:space="0"/>
              <w:bottom w:val="single" w:color="auto" w:sz="8" w:space="0"/>
              <w:right w:val="single" w:color="auto" w:sz="8" w:space="0"/>
            </w:tcBorders>
            <w:vAlign w:val="center"/>
          </w:tcPr>
          <w:p w14:paraId="73CF342D">
            <w:pPr>
              <w:tabs>
                <w:tab w:val="left" w:pos="5580"/>
              </w:tabs>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1980563A">
        <w:tblPrEx>
          <w:tblCellMar>
            <w:top w:w="0" w:type="dxa"/>
            <w:left w:w="0" w:type="dxa"/>
            <w:bottom w:w="0" w:type="dxa"/>
            <w:right w:w="0" w:type="dxa"/>
          </w:tblCellMar>
        </w:tblPrEx>
        <w:trPr>
          <w:cantSplit/>
          <w:trHeight w:val="1677" w:hRule="atLeast"/>
        </w:trPr>
        <w:tc>
          <w:tcPr>
            <w:tcW w:w="1364" w:type="dxa"/>
            <w:tcBorders>
              <w:top w:val="single" w:color="auto" w:sz="8" w:space="0"/>
              <w:left w:val="single" w:color="auto" w:sz="4" w:space="0"/>
              <w:bottom w:val="single" w:color="auto" w:sz="4" w:space="0"/>
              <w:right w:val="single" w:color="auto" w:sz="4" w:space="0"/>
            </w:tcBorders>
            <w:vAlign w:val="center"/>
          </w:tcPr>
          <w:p w14:paraId="0B05BFB6">
            <w:pPr>
              <w:tabs>
                <w:tab w:val="left" w:pos="5580"/>
              </w:tabs>
              <w:spacing w:line="240" w:lineRule="atLeast"/>
              <w:ind w:left="1079" w:leftChars="257" w:hanging="540"/>
              <w:jc w:val="center"/>
              <w:rPr>
                <w:rFonts w:ascii="仿宋" w:hAnsi="仿宋" w:eastAsia="仿宋" w:cs="仿宋"/>
                <w:color w:val="000000"/>
                <w:sz w:val="24"/>
              </w:rPr>
            </w:pPr>
          </w:p>
        </w:tc>
        <w:tc>
          <w:tcPr>
            <w:tcW w:w="1276" w:type="dxa"/>
            <w:tcBorders>
              <w:top w:val="single" w:color="auto" w:sz="8" w:space="0"/>
              <w:left w:val="single" w:color="auto" w:sz="8" w:space="0"/>
              <w:bottom w:val="single" w:color="auto" w:sz="4" w:space="0"/>
              <w:right w:val="single" w:color="auto" w:sz="4" w:space="0"/>
            </w:tcBorders>
            <w:vAlign w:val="center"/>
          </w:tcPr>
          <w:p w14:paraId="0F666381">
            <w:pPr>
              <w:tabs>
                <w:tab w:val="left" w:pos="5580"/>
              </w:tabs>
              <w:spacing w:line="240" w:lineRule="atLeast"/>
              <w:jc w:val="left"/>
              <w:rPr>
                <w:rFonts w:ascii="仿宋" w:hAnsi="仿宋" w:eastAsia="仿宋" w:cs="仿宋"/>
                <w:color w:val="000000"/>
                <w:sz w:val="24"/>
              </w:rPr>
            </w:pPr>
            <w:r>
              <w:rPr>
                <w:rFonts w:hint="eastAsia" w:ascii="仿宋" w:hAnsi="仿宋" w:eastAsia="仿宋" w:cs="仿宋"/>
                <w:color w:val="000000"/>
                <w:sz w:val="24"/>
              </w:rPr>
              <w:t>大写：</w:t>
            </w:r>
          </w:p>
          <w:p w14:paraId="3C73A269">
            <w:pPr>
              <w:tabs>
                <w:tab w:val="left" w:pos="5580"/>
              </w:tabs>
              <w:spacing w:line="240" w:lineRule="atLeast"/>
              <w:jc w:val="left"/>
              <w:rPr>
                <w:rFonts w:ascii="仿宋" w:hAnsi="仿宋" w:eastAsia="仿宋" w:cs="仿宋"/>
                <w:color w:val="000000"/>
                <w:sz w:val="24"/>
              </w:rPr>
            </w:pPr>
            <w:r>
              <w:rPr>
                <w:rFonts w:hint="eastAsia" w:ascii="仿宋" w:hAnsi="仿宋" w:eastAsia="仿宋" w:cs="仿宋"/>
                <w:color w:val="000000"/>
                <w:sz w:val="24"/>
              </w:rPr>
              <w:t>小写：</w:t>
            </w:r>
          </w:p>
        </w:tc>
        <w:tc>
          <w:tcPr>
            <w:tcW w:w="1628" w:type="dxa"/>
            <w:tcBorders>
              <w:top w:val="single" w:color="auto" w:sz="8" w:space="0"/>
              <w:left w:val="nil"/>
              <w:bottom w:val="single" w:color="auto" w:sz="4" w:space="0"/>
              <w:right w:val="single" w:color="auto" w:sz="4" w:space="0"/>
            </w:tcBorders>
            <w:vAlign w:val="center"/>
          </w:tcPr>
          <w:p w14:paraId="5FADB151">
            <w:pPr>
              <w:tabs>
                <w:tab w:val="left" w:pos="5580"/>
              </w:tabs>
              <w:spacing w:line="240" w:lineRule="atLeast"/>
              <w:ind w:left="1079" w:leftChars="257" w:hanging="540"/>
              <w:jc w:val="center"/>
              <w:rPr>
                <w:rFonts w:ascii="仿宋" w:hAnsi="仿宋" w:eastAsia="仿宋" w:cs="仿宋"/>
                <w:color w:val="000000"/>
                <w:sz w:val="24"/>
              </w:rPr>
            </w:pPr>
          </w:p>
        </w:tc>
        <w:tc>
          <w:tcPr>
            <w:tcW w:w="1666" w:type="dxa"/>
            <w:tcBorders>
              <w:top w:val="single" w:color="auto" w:sz="8" w:space="0"/>
              <w:left w:val="nil"/>
              <w:bottom w:val="single" w:color="auto" w:sz="4" w:space="0"/>
              <w:right w:val="single" w:color="auto" w:sz="4" w:space="0"/>
            </w:tcBorders>
            <w:vAlign w:val="center"/>
          </w:tcPr>
          <w:p w14:paraId="257B4EF1">
            <w:pPr>
              <w:tabs>
                <w:tab w:val="left" w:pos="5580"/>
              </w:tabs>
              <w:spacing w:line="240" w:lineRule="atLeast"/>
              <w:ind w:left="1079" w:leftChars="257" w:hanging="540"/>
              <w:jc w:val="center"/>
              <w:rPr>
                <w:rFonts w:ascii="仿宋" w:hAnsi="仿宋" w:eastAsia="仿宋" w:cs="仿宋"/>
                <w:color w:val="000000"/>
                <w:sz w:val="24"/>
              </w:rPr>
            </w:pPr>
          </w:p>
        </w:tc>
        <w:tc>
          <w:tcPr>
            <w:tcW w:w="1451" w:type="dxa"/>
            <w:tcBorders>
              <w:top w:val="single" w:color="auto" w:sz="8" w:space="0"/>
              <w:left w:val="single" w:color="auto" w:sz="4" w:space="0"/>
              <w:bottom w:val="single" w:color="auto" w:sz="4" w:space="0"/>
              <w:right w:val="single" w:color="auto" w:sz="8" w:space="0"/>
            </w:tcBorders>
            <w:vAlign w:val="center"/>
          </w:tcPr>
          <w:p w14:paraId="1E0BB401">
            <w:pPr>
              <w:tabs>
                <w:tab w:val="left" w:pos="5580"/>
              </w:tabs>
              <w:spacing w:line="240" w:lineRule="atLeast"/>
              <w:ind w:left="1079" w:leftChars="257" w:hanging="540"/>
              <w:jc w:val="center"/>
              <w:rPr>
                <w:rFonts w:ascii="仿宋" w:hAnsi="仿宋" w:eastAsia="仿宋" w:cs="仿宋"/>
                <w:color w:val="000000"/>
                <w:sz w:val="24"/>
              </w:rPr>
            </w:pPr>
          </w:p>
        </w:tc>
        <w:tc>
          <w:tcPr>
            <w:tcW w:w="1451" w:type="dxa"/>
            <w:tcBorders>
              <w:top w:val="single" w:color="auto" w:sz="8" w:space="0"/>
              <w:left w:val="single" w:color="auto" w:sz="4" w:space="0"/>
              <w:bottom w:val="single" w:color="auto" w:sz="4" w:space="0"/>
              <w:right w:val="single" w:color="auto" w:sz="8" w:space="0"/>
            </w:tcBorders>
            <w:vAlign w:val="center"/>
          </w:tcPr>
          <w:p w14:paraId="29486EF2">
            <w:pPr>
              <w:tabs>
                <w:tab w:val="left" w:pos="5580"/>
              </w:tabs>
              <w:spacing w:line="240" w:lineRule="atLeast"/>
              <w:ind w:left="1079" w:leftChars="257" w:hanging="540"/>
              <w:jc w:val="center"/>
              <w:rPr>
                <w:rFonts w:ascii="仿宋" w:hAnsi="仿宋" w:eastAsia="仿宋" w:cs="仿宋"/>
                <w:color w:val="000000"/>
                <w:sz w:val="24"/>
              </w:rPr>
            </w:pPr>
          </w:p>
        </w:tc>
      </w:tr>
    </w:tbl>
    <w:p w14:paraId="76775B0D">
      <w:pPr>
        <w:pStyle w:val="20"/>
        <w:tabs>
          <w:tab w:val="left" w:pos="5580"/>
        </w:tabs>
        <w:spacing w:line="240" w:lineRule="atLeast"/>
        <w:ind w:left="1079" w:leftChars="257" w:hanging="540"/>
        <w:rPr>
          <w:rFonts w:ascii="仿宋" w:hAnsi="仿宋" w:eastAsia="仿宋" w:cs="仿宋"/>
          <w:color w:val="000000"/>
          <w:sz w:val="24"/>
        </w:rPr>
      </w:pPr>
    </w:p>
    <w:p w14:paraId="12C69E9C">
      <w:pPr>
        <w:pStyle w:val="20"/>
        <w:tabs>
          <w:tab w:val="left" w:pos="5580"/>
        </w:tabs>
        <w:spacing w:line="240" w:lineRule="atLeast"/>
        <w:ind w:left="1079" w:leftChars="257" w:hanging="540"/>
        <w:rPr>
          <w:rFonts w:ascii="仿宋" w:hAnsi="仿宋" w:eastAsia="仿宋" w:cs="仿宋"/>
          <w:color w:val="000000"/>
          <w:sz w:val="24"/>
          <w:u w:val="single"/>
        </w:rPr>
      </w:pPr>
    </w:p>
    <w:p w14:paraId="60730761">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投标人名称（单位盖章）：</w:t>
      </w:r>
      <w:r>
        <w:rPr>
          <w:rFonts w:hint="eastAsia" w:ascii="仿宋" w:hAnsi="仿宋" w:eastAsia="仿宋" w:cs="仿宋"/>
          <w:color w:val="000000"/>
          <w:sz w:val="24"/>
          <w:u w:val="single"/>
        </w:rPr>
        <w:t xml:space="preserve">                       </w:t>
      </w:r>
    </w:p>
    <w:p w14:paraId="066E9DDD">
      <w:pPr>
        <w:pStyle w:val="20"/>
        <w:tabs>
          <w:tab w:val="left" w:pos="5580"/>
        </w:tabs>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法定代表人或委托代理</w:t>
      </w:r>
      <w:r>
        <w:rPr>
          <w:rFonts w:hint="eastAsia" w:ascii="仿宋" w:hAnsi="仿宋" w:eastAsia="仿宋" w:cs="仿宋"/>
          <w:color w:val="000000"/>
          <w:sz w:val="24"/>
          <w:lang w:val="en-US" w:eastAsia="zh-CN"/>
        </w:rPr>
        <w:t>人</w:t>
      </w:r>
      <w:r>
        <w:rPr>
          <w:rFonts w:hint="eastAsia" w:ascii="仿宋" w:hAnsi="仿宋" w:eastAsia="仿宋" w:cs="仿宋"/>
          <w:color w:val="000000"/>
          <w:sz w:val="24"/>
        </w:rPr>
        <w:t>(签字</w:t>
      </w:r>
      <w:r>
        <w:rPr>
          <w:rFonts w:hint="eastAsia" w:ascii="仿宋" w:hAnsi="仿宋" w:eastAsia="仿宋" w:cs="仿宋"/>
          <w:color w:val="000000"/>
          <w:sz w:val="24"/>
          <w:lang w:val="en-US" w:eastAsia="zh-CN"/>
        </w:rPr>
        <w:t>或盖章</w:t>
      </w:r>
      <w:r>
        <w:rPr>
          <w:rFonts w:hint="eastAsia" w:ascii="仿宋" w:hAnsi="仿宋" w:eastAsia="仿宋" w:cs="仿宋"/>
          <w:color w:val="000000"/>
          <w:sz w:val="24"/>
        </w:rPr>
        <w:t>):</w:t>
      </w:r>
      <w:r>
        <w:rPr>
          <w:rFonts w:hint="eastAsia" w:ascii="仿宋" w:hAnsi="仿宋" w:eastAsia="仿宋" w:cs="仿宋"/>
          <w:color w:val="000000"/>
          <w:sz w:val="24"/>
          <w:u w:val="single"/>
        </w:rPr>
        <w:tab/>
      </w:r>
    </w:p>
    <w:p w14:paraId="6F5EC9BD">
      <w:pPr>
        <w:pStyle w:val="20"/>
        <w:tabs>
          <w:tab w:val="left" w:pos="5580"/>
        </w:tabs>
        <w:spacing w:line="240" w:lineRule="atLeast"/>
        <w:ind w:left="1079" w:leftChars="257" w:hanging="540"/>
        <w:rPr>
          <w:rFonts w:ascii="仿宋" w:hAnsi="仿宋" w:eastAsia="仿宋" w:cs="仿宋"/>
          <w:color w:val="000000"/>
          <w:sz w:val="24"/>
        </w:rPr>
      </w:pPr>
    </w:p>
    <w:p w14:paraId="3934AF5E">
      <w:pPr>
        <w:pStyle w:val="20"/>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注:</w:t>
      </w:r>
    </w:p>
    <w:p w14:paraId="62D76B30">
      <w:pPr>
        <w:pStyle w:val="20"/>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1、各潜在供应商按照标项名称编制投标文件及投标报价。</w:t>
      </w:r>
    </w:p>
    <w:p w14:paraId="5F09DC73">
      <w:pPr>
        <w:pStyle w:val="20"/>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2、此表中，投标总价应和投标分项报价表的总价相一致。</w:t>
      </w:r>
    </w:p>
    <w:p w14:paraId="03F058D5">
      <w:pPr>
        <w:pStyle w:val="20"/>
        <w:tabs>
          <w:tab w:val="left" w:pos="5580"/>
        </w:tabs>
        <w:spacing w:line="240" w:lineRule="atLeast"/>
        <w:ind w:left="1079" w:leftChars="257" w:right="-86" w:rightChars="-41" w:hanging="540"/>
        <w:jc w:val="left"/>
        <w:rPr>
          <w:rFonts w:hint="eastAsia" w:ascii="仿宋" w:hAnsi="仿宋" w:eastAsia="仿宋" w:cs="仿宋"/>
          <w:color w:val="000000"/>
          <w:sz w:val="24"/>
        </w:rPr>
      </w:pPr>
      <w:r>
        <w:rPr>
          <w:rFonts w:hint="eastAsia" w:ascii="仿宋" w:hAnsi="仿宋" w:eastAsia="仿宋" w:cs="仿宋"/>
          <w:color w:val="000000"/>
          <w:sz w:val="24"/>
        </w:rPr>
        <w:t>3、如投标报价超过本项目最高限价，其报价无效，不能进入下一阶段评审。</w:t>
      </w:r>
    </w:p>
    <w:p w14:paraId="067FBBED">
      <w:pPr>
        <w:pStyle w:val="20"/>
        <w:tabs>
          <w:tab w:val="left" w:pos="5580"/>
        </w:tabs>
        <w:spacing w:line="240" w:lineRule="atLeast"/>
        <w:ind w:left="1079" w:leftChars="257" w:hanging="540"/>
        <w:jc w:val="left"/>
        <w:rPr>
          <w:rFonts w:ascii="仿宋" w:hAnsi="仿宋" w:eastAsia="仿宋" w:cs="仿宋"/>
          <w:b/>
          <w:color w:val="000000"/>
          <w:sz w:val="24"/>
        </w:rPr>
      </w:pPr>
      <w:r>
        <w:rPr>
          <w:rFonts w:hint="eastAsia" w:ascii="仿宋" w:hAnsi="仿宋" w:eastAsia="仿宋" w:cs="仿宋"/>
          <w:color w:val="000000"/>
          <w:sz w:val="24"/>
        </w:rPr>
        <w:t>4、投标总价包含税费、服务开展的各项费用等一切与本次项目相关的费用。</w:t>
      </w:r>
    </w:p>
    <w:p w14:paraId="0657C329">
      <w:pPr>
        <w:pStyle w:val="20"/>
        <w:tabs>
          <w:tab w:val="left" w:pos="5580"/>
        </w:tabs>
        <w:spacing w:line="240" w:lineRule="atLeast"/>
        <w:ind w:left="1079" w:leftChars="257" w:hanging="540"/>
        <w:jc w:val="center"/>
        <w:rPr>
          <w:rFonts w:ascii="仿宋" w:hAnsi="仿宋" w:eastAsia="仿宋" w:cs="仿宋"/>
          <w:b/>
          <w:color w:val="000000"/>
          <w:sz w:val="24"/>
        </w:rPr>
      </w:pPr>
    </w:p>
    <w:p w14:paraId="5350CD22">
      <w:pPr>
        <w:pStyle w:val="20"/>
        <w:tabs>
          <w:tab w:val="left" w:pos="5580"/>
        </w:tabs>
        <w:spacing w:line="240" w:lineRule="atLeast"/>
        <w:ind w:left="1079" w:leftChars="257" w:hanging="540"/>
        <w:jc w:val="center"/>
        <w:rPr>
          <w:rFonts w:ascii="仿宋" w:hAnsi="仿宋" w:eastAsia="仿宋" w:cs="仿宋"/>
          <w:b/>
          <w:color w:val="000000"/>
          <w:sz w:val="24"/>
        </w:rPr>
      </w:pPr>
    </w:p>
    <w:p w14:paraId="2B185D55">
      <w:pPr>
        <w:pStyle w:val="4"/>
        <w:spacing w:before="0" w:line="240" w:lineRule="atLeast"/>
        <w:ind w:left="1079" w:leftChars="257" w:hanging="540"/>
        <w:rPr>
          <w:rFonts w:hint="eastAsia" w:ascii="仿宋" w:hAnsi="仿宋" w:eastAsia="仿宋" w:cs="仿宋"/>
          <w:color w:val="000000"/>
          <w:sz w:val="24"/>
          <w:lang w:eastAsia="zh-CN"/>
        </w:rPr>
      </w:pPr>
      <w:bookmarkStart w:id="346" w:name="_Toc18867"/>
      <w:bookmarkStart w:id="347" w:name="_Toc29899"/>
      <w:bookmarkStart w:id="348" w:name="_Toc26522"/>
      <w:bookmarkStart w:id="349" w:name="_Toc515647805"/>
      <w:bookmarkStart w:id="350" w:name="_Toc17577"/>
      <w:bookmarkStart w:id="351" w:name="_Toc21935"/>
      <w:r>
        <w:rPr>
          <w:rFonts w:hint="eastAsia" w:ascii="仿宋" w:hAnsi="仿宋" w:eastAsia="仿宋" w:cs="仿宋"/>
          <w:color w:val="000000"/>
          <w:sz w:val="24"/>
        </w:rPr>
        <w:t xml:space="preserve">2  </w:t>
      </w:r>
      <w:bookmarkEnd w:id="346"/>
      <w:bookmarkEnd w:id="347"/>
      <w:bookmarkEnd w:id="348"/>
      <w:bookmarkEnd w:id="349"/>
      <w:bookmarkEnd w:id="350"/>
      <w:r>
        <w:rPr>
          <w:rFonts w:hint="eastAsia" w:ascii="仿宋" w:hAnsi="仿宋" w:eastAsia="仿宋" w:cs="仿宋"/>
          <w:color w:val="000000"/>
          <w:sz w:val="24"/>
          <w:lang w:eastAsia="zh-CN"/>
        </w:rPr>
        <w:t>法人或者非法人组织的营业执照等证明文件</w:t>
      </w:r>
      <w:bookmarkEnd w:id="351"/>
    </w:p>
    <w:p w14:paraId="4D29D086">
      <w:pPr>
        <w:pStyle w:val="20"/>
        <w:tabs>
          <w:tab w:val="left" w:pos="5580"/>
        </w:tabs>
        <w:spacing w:line="240" w:lineRule="atLeast"/>
        <w:ind w:left="1079" w:leftChars="257" w:hanging="540"/>
        <w:jc w:val="center"/>
        <w:rPr>
          <w:rFonts w:ascii="仿宋" w:hAnsi="仿宋" w:eastAsia="仿宋" w:cs="仿宋"/>
          <w:b/>
          <w:color w:val="000000"/>
          <w:sz w:val="24"/>
        </w:rPr>
      </w:pPr>
    </w:p>
    <w:p w14:paraId="32FFB5E4">
      <w:pPr>
        <w:pStyle w:val="20"/>
        <w:tabs>
          <w:tab w:val="left" w:pos="5580"/>
        </w:tabs>
        <w:spacing w:line="240" w:lineRule="atLeast"/>
        <w:ind w:left="1079" w:leftChars="257" w:hanging="540"/>
        <w:rPr>
          <w:rFonts w:ascii="仿宋" w:hAnsi="仿宋" w:eastAsia="仿宋" w:cs="仿宋"/>
          <w:b/>
          <w:color w:val="000000"/>
          <w:sz w:val="24"/>
        </w:rPr>
      </w:pPr>
    </w:p>
    <w:p w14:paraId="2DBB9536">
      <w:pPr>
        <w:pStyle w:val="20"/>
        <w:tabs>
          <w:tab w:val="left" w:pos="5580"/>
        </w:tabs>
        <w:spacing w:line="240" w:lineRule="atLeast"/>
        <w:ind w:left="1079" w:leftChars="257" w:hanging="540"/>
        <w:rPr>
          <w:rFonts w:ascii="仿宋" w:hAnsi="仿宋" w:eastAsia="仿宋" w:cs="仿宋"/>
          <w:b/>
          <w:color w:val="000000"/>
          <w:sz w:val="24"/>
        </w:rPr>
      </w:pPr>
    </w:p>
    <w:p w14:paraId="17EA1D99">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说明：1.提供有效的营业执照等证明文件</w:t>
      </w:r>
      <w:r>
        <w:rPr>
          <w:rFonts w:hint="eastAsia" w:ascii="仿宋" w:hAnsi="仿宋" w:eastAsia="仿宋" w:cs="仿宋"/>
          <w:color w:val="000000"/>
          <w:sz w:val="24"/>
          <w:lang w:val="en-US" w:eastAsia="zh-CN"/>
        </w:rPr>
        <w:t>扫描</w:t>
      </w:r>
      <w:r>
        <w:rPr>
          <w:rFonts w:hint="eastAsia" w:ascii="仿宋" w:hAnsi="仿宋" w:eastAsia="仿宋" w:cs="仿宋"/>
          <w:color w:val="000000"/>
          <w:sz w:val="24"/>
        </w:rPr>
        <w:t>件，</w:t>
      </w:r>
      <w:r>
        <w:rPr>
          <w:rFonts w:hint="eastAsia" w:ascii="仿宋" w:hAnsi="仿宋" w:eastAsia="仿宋" w:cs="仿宋"/>
          <w:color w:val="000000"/>
          <w:sz w:val="24"/>
          <w:lang w:val="en-US" w:eastAsia="zh-CN"/>
        </w:rPr>
        <w:t>扫描</w:t>
      </w:r>
      <w:r>
        <w:rPr>
          <w:rFonts w:hint="eastAsia" w:ascii="仿宋" w:hAnsi="仿宋" w:eastAsia="仿宋" w:cs="仿宋"/>
          <w:color w:val="000000"/>
          <w:sz w:val="24"/>
        </w:rPr>
        <w:t>件上应加盖本单位章。</w:t>
      </w:r>
    </w:p>
    <w:p w14:paraId="30380BAF">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 xml:space="preserve">      2.联合体投标应提供联合体各方满足以上要求的证明文件。</w:t>
      </w:r>
    </w:p>
    <w:p w14:paraId="52C7E8EB">
      <w:pPr>
        <w:pStyle w:val="20"/>
        <w:tabs>
          <w:tab w:val="left" w:pos="5580"/>
        </w:tabs>
        <w:spacing w:line="240" w:lineRule="atLeast"/>
        <w:ind w:left="1079" w:leftChars="257" w:hanging="540"/>
        <w:rPr>
          <w:rFonts w:ascii="仿宋" w:hAnsi="仿宋" w:eastAsia="仿宋" w:cs="仿宋"/>
          <w:color w:val="000000"/>
          <w:sz w:val="24"/>
        </w:rPr>
      </w:pPr>
    </w:p>
    <w:p w14:paraId="296410C2">
      <w:pPr>
        <w:pStyle w:val="20"/>
        <w:tabs>
          <w:tab w:val="left" w:pos="5580"/>
        </w:tabs>
        <w:spacing w:line="240" w:lineRule="atLeast"/>
        <w:rPr>
          <w:rFonts w:ascii="仿宋" w:hAnsi="仿宋" w:eastAsia="仿宋" w:cs="仿宋"/>
          <w:color w:val="000000"/>
          <w:sz w:val="24"/>
        </w:rPr>
      </w:pPr>
    </w:p>
    <w:p w14:paraId="33903EC2">
      <w:pPr>
        <w:pStyle w:val="20"/>
        <w:tabs>
          <w:tab w:val="left" w:pos="5580"/>
        </w:tabs>
        <w:spacing w:line="240" w:lineRule="atLeast"/>
        <w:rPr>
          <w:rFonts w:ascii="仿宋" w:hAnsi="仿宋" w:eastAsia="仿宋" w:cs="仿宋"/>
          <w:color w:val="000000"/>
          <w:sz w:val="24"/>
        </w:rPr>
      </w:pPr>
    </w:p>
    <w:p w14:paraId="42319006">
      <w:pPr>
        <w:pStyle w:val="20"/>
        <w:tabs>
          <w:tab w:val="left" w:pos="5580"/>
        </w:tabs>
        <w:spacing w:line="240" w:lineRule="atLeast"/>
        <w:rPr>
          <w:rFonts w:ascii="仿宋" w:hAnsi="仿宋" w:eastAsia="仿宋" w:cs="仿宋"/>
          <w:color w:val="000000"/>
          <w:sz w:val="24"/>
        </w:rPr>
      </w:pPr>
    </w:p>
    <w:p w14:paraId="5427FB7E">
      <w:pPr>
        <w:pStyle w:val="20"/>
        <w:tabs>
          <w:tab w:val="left" w:pos="5580"/>
        </w:tabs>
        <w:spacing w:line="240" w:lineRule="atLeast"/>
        <w:rPr>
          <w:rFonts w:ascii="仿宋" w:hAnsi="仿宋" w:eastAsia="仿宋" w:cs="仿宋"/>
          <w:color w:val="000000"/>
          <w:sz w:val="24"/>
        </w:rPr>
      </w:pPr>
    </w:p>
    <w:p w14:paraId="5502A8B2">
      <w:pPr>
        <w:pStyle w:val="20"/>
        <w:tabs>
          <w:tab w:val="left" w:pos="5580"/>
        </w:tabs>
        <w:spacing w:line="240" w:lineRule="atLeast"/>
        <w:rPr>
          <w:rFonts w:ascii="仿宋" w:hAnsi="仿宋" w:eastAsia="仿宋" w:cs="仿宋"/>
          <w:color w:val="000000"/>
          <w:sz w:val="24"/>
        </w:rPr>
      </w:pPr>
    </w:p>
    <w:p w14:paraId="351055E3">
      <w:pPr>
        <w:pStyle w:val="20"/>
        <w:tabs>
          <w:tab w:val="left" w:pos="5580"/>
        </w:tabs>
        <w:spacing w:line="240" w:lineRule="atLeast"/>
        <w:rPr>
          <w:rFonts w:ascii="仿宋" w:hAnsi="仿宋" w:eastAsia="仿宋" w:cs="仿宋"/>
          <w:color w:val="000000"/>
          <w:sz w:val="24"/>
        </w:rPr>
      </w:pPr>
    </w:p>
    <w:p w14:paraId="15D6B534">
      <w:pPr>
        <w:pStyle w:val="20"/>
        <w:tabs>
          <w:tab w:val="left" w:pos="5580"/>
        </w:tabs>
        <w:spacing w:line="240" w:lineRule="atLeast"/>
        <w:rPr>
          <w:rFonts w:ascii="仿宋" w:hAnsi="仿宋" w:eastAsia="仿宋" w:cs="仿宋"/>
          <w:color w:val="000000"/>
          <w:sz w:val="24"/>
        </w:rPr>
      </w:pPr>
    </w:p>
    <w:p w14:paraId="07737775">
      <w:pPr>
        <w:pStyle w:val="20"/>
        <w:tabs>
          <w:tab w:val="left" w:pos="5580"/>
        </w:tabs>
        <w:spacing w:line="240" w:lineRule="atLeast"/>
        <w:rPr>
          <w:rFonts w:ascii="仿宋" w:hAnsi="仿宋" w:eastAsia="仿宋" w:cs="仿宋"/>
          <w:color w:val="000000"/>
          <w:sz w:val="24"/>
        </w:rPr>
      </w:pPr>
    </w:p>
    <w:p w14:paraId="23C48432">
      <w:pPr>
        <w:pStyle w:val="20"/>
        <w:tabs>
          <w:tab w:val="left" w:pos="5580"/>
        </w:tabs>
        <w:spacing w:line="240" w:lineRule="atLeast"/>
        <w:ind w:left="1079" w:leftChars="257" w:hanging="540"/>
        <w:jc w:val="center"/>
        <w:rPr>
          <w:rFonts w:ascii="仿宋" w:hAnsi="仿宋" w:eastAsia="仿宋" w:cs="仿宋"/>
          <w:color w:val="000000"/>
          <w:sz w:val="24"/>
        </w:rPr>
      </w:pPr>
      <w:bookmarkStart w:id="352" w:name="_Toc32520"/>
      <w:bookmarkStart w:id="353" w:name="_Toc7039"/>
      <w:bookmarkStart w:id="354" w:name="_Toc515647808"/>
    </w:p>
    <w:p w14:paraId="4C6AC1C7">
      <w:pPr>
        <w:pStyle w:val="4"/>
        <w:spacing w:before="0" w:line="240" w:lineRule="atLeast"/>
        <w:ind w:left="1079" w:leftChars="257" w:hanging="540"/>
        <w:rPr>
          <w:rFonts w:ascii="仿宋" w:hAnsi="仿宋" w:eastAsia="仿宋" w:cs="仿宋"/>
          <w:b w:val="0"/>
          <w:color w:val="000000"/>
          <w:sz w:val="24"/>
          <w:u w:val="single"/>
        </w:rPr>
      </w:pPr>
      <w:bookmarkStart w:id="355" w:name="_Toc1083"/>
      <w:bookmarkStart w:id="356" w:name="_Toc31915"/>
      <w:bookmarkStart w:id="357" w:name="_Toc23503"/>
      <w:bookmarkStart w:id="358" w:name="_Toc23529"/>
      <w:bookmarkStart w:id="359" w:name="_Toc22472"/>
      <w:bookmarkStart w:id="360" w:name="_Toc515647807"/>
      <w:bookmarkStart w:id="361" w:name="_Toc13059"/>
      <w:r>
        <w:rPr>
          <w:rFonts w:hint="eastAsia" w:ascii="仿宋" w:hAnsi="仿宋" w:eastAsia="仿宋" w:cs="仿宋"/>
          <w:color w:val="000000"/>
          <w:sz w:val="24"/>
        </w:rPr>
        <w:t xml:space="preserve">3  </w:t>
      </w:r>
      <w:bookmarkEnd w:id="355"/>
      <w:bookmarkEnd w:id="356"/>
      <w:bookmarkEnd w:id="357"/>
      <w:bookmarkEnd w:id="358"/>
      <w:bookmarkEnd w:id="359"/>
      <w:bookmarkEnd w:id="360"/>
      <w:r>
        <w:rPr>
          <w:rFonts w:hint="eastAsia" w:ascii="仿宋" w:hAnsi="仿宋" w:eastAsia="仿宋" w:cs="仿宋"/>
          <w:color w:val="000000"/>
          <w:sz w:val="24"/>
        </w:rPr>
        <w:t>法定代表人投标的需提供法定代表人身份证明，被授权委托人需提供法定代表人授权委托书及被授权委托人身份证;</w:t>
      </w:r>
      <w:bookmarkEnd w:id="361"/>
    </w:p>
    <w:p w14:paraId="173B7F7E">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u w:val="single"/>
        </w:rPr>
        <w:cr/>
      </w:r>
    </w:p>
    <w:p w14:paraId="66ED7A66">
      <w:pPr>
        <w:adjustRightInd w:val="0"/>
        <w:snapToGrid w:val="0"/>
        <w:spacing w:before="312" w:beforeLines="100" w:after="312" w:afterLines="100" w:line="360" w:lineRule="auto"/>
        <w:jc w:val="center"/>
        <w:rPr>
          <w:rFonts w:hint="eastAsia" w:ascii="仿宋" w:hAnsi="仿宋" w:eastAsia="仿宋" w:cs="仿宋"/>
          <w:color w:val="000000"/>
          <w:sz w:val="24"/>
        </w:rPr>
      </w:pPr>
      <w:bookmarkStart w:id="362" w:name="_Toc8478"/>
      <w:r>
        <w:rPr>
          <w:rFonts w:hint="eastAsia" w:ascii="仿宋" w:hAnsi="仿宋" w:eastAsia="仿宋" w:cs="仿宋"/>
          <w:color w:val="000000"/>
          <w:sz w:val="24"/>
          <w:highlight w:val="none"/>
        </w:rPr>
        <w:t xml:space="preserve">   </w:t>
      </w:r>
      <w:r>
        <w:rPr>
          <w:rFonts w:hint="eastAsia" w:ascii="仿宋" w:hAnsi="仿宋" w:eastAsia="仿宋" w:cs="仿宋"/>
          <w:b/>
          <w:color w:val="000000"/>
          <w:sz w:val="24"/>
        </w:rPr>
        <w:t>法定代表人身份证明书</w:t>
      </w:r>
    </w:p>
    <w:p w14:paraId="7759D13C">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14:paraId="06F3C24A">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签发日期：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单位：</w:t>
      </w:r>
      <w:r>
        <w:rPr>
          <w:rFonts w:hint="eastAsia" w:ascii="仿宋" w:hAnsi="仿宋" w:eastAsia="仿宋" w:cs="仿宋"/>
          <w:color w:val="000000"/>
          <w:sz w:val="24"/>
          <w:u w:val="single"/>
        </w:rPr>
        <w:t xml:space="preserve">           （盖章）</w:t>
      </w:r>
    </w:p>
    <w:p w14:paraId="19E90E77">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附：代表人性别：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p>
    <w:p w14:paraId="25B0CB1F">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p>
    <w:p w14:paraId="6E12FAC3">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营业执照号码：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经济性质：</w:t>
      </w:r>
      <w:r>
        <w:rPr>
          <w:rFonts w:hint="eastAsia" w:ascii="仿宋" w:hAnsi="仿宋" w:eastAsia="仿宋" w:cs="仿宋"/>
          <w:color w:val="000000"/>
          <w:sz w:val="24"/>
          <w:u w:val="single"/>
        </w:rPr>
        <w:t xml:space="preserve">               </w:t>
      </w:r>
    </w:p>
    <w:p w14:paraId="09997DFF">
      <w:pPr>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sz w:val="24"/>
        </w:rPr>
        <w:t>说明：</w:t>
      </w:r>
    </w:p>
    <w:p w14:paraId="63494492">
      <w:pPr>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sz w:val="24"/>
        </w:rPr>
        <w:t>1、法定代表人为企业事业单位、国家机关、社会团体的主要行政负责人。</w:t>
      </w:r>
    </w:p>
    <w:p w14:paraId="75A2E587">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w:t>
      </w:r>
    </w:p>
    <w:p w14:paraId="337CC974">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(为避免废标，请投标人务必提供本附件)</w:t>
      </w:r>
    </w:p>
    <w:p w14:paraId="3F160CD3">
      <w:pPr>
        <w:pStyle w:val="2"/>
        <w:ind w:firstLine="240" w:firstLineChars="100"/>
        <w:rPr>
          <w:rFonts w:hint="eastAsia" w:ascii="仿宋" w:hAnsi="仿宋" w:eastAsia="仿宋" w:cs="仿宋"/>
          <w:color w:val="000000"/>
        </w:rPr>
      </w:pPr>
      <w:r>
        <w:rPr>
          <w:rFonts w:hint="eastAsia" w:ascii="仿宋" w:hAnsi="仿宋" w:eastAsia="仿宋" w:cs="仿宋"/>
          <w:color w:val="000000"/>
        </w:rPr>
        <w:t>法人</w:t>
      </w:r>
      <w:r>
        <w:rPr>
          <w:rFonts w:hint="eastAsia" w:ascii="仿宋" w:hAnsi="仿宋" w:eastAsia="仿宋" w:cs="仿宋"/>
          <w:color w:val="000000"/>
          <w:lang w:eastAsia="zh-CN"/>
        </w:rPr>
        <w:t>身份证</w:t>
      </w:r>
      <w:r>
        <w:rPr>
          <w:rFonts w:hint="eastAsia" w:ascii="仿宋" w:hAnsi="仿宋" w:eastAsia="仿宋" w:cs="仿宋"/>
          <w:color w:val="000000"/>
        </w:rPr>
        <w:t>复印件正反面</w:t>
      </w:r>
    </w:p>
    <w:p w14:paraId="0422DF69">
      <w:pPr>
        <w:spacing w:line="360" w:lineRule="auto"/>
        <w:rPr>
          <w:rFonts w:hint="eastAsia" w:ascii="仿宋" w:hAnsi="仿宋" w:eastAsia="仿宋" w:cs="仿宋"/>
          <w:color w:val="000000"/>
          <w:sz w:val="24"/>
        </w:rPr>
      </w:pPr>
      <w:r>
        <w:rPr>
          <w:rFonts w:hint="eastAsia" w:ascii="仿宋" w:hAnsi="仿宋" w:eastAsia="仿宋" w:cs="仿宋"/>
          <w:color w:val="000000"/>
          <w:sz w:val="24"/>
        </w:rPr>
        <mc:AlternateContent>
          <mc:Choice Requires="wps">
            <w:drawing>
              <wp:anchor distT="0" distB="0" distL="0" distR="0" simplePos="0" relativeHeight="251660288" behindDoc="0" locked="0" layoutInCell="1" allowOverlap="1">
                <wp:simplePos x="0" y="0"/>
                <wp:positionH relativeFrom="column">
                  <wp:posOffset>184785</wp:posOffset>
                </wp:positionH>
                <wp:positionV relativeFrom="paragraph">
                  <wp:posOffset>48895</wp:posOffset>
                </wp:positionV>
                <wp:extent cx="2333625" cy="1332865"/>
                <wp:effectExtent l="4445" t="4445" r="8890" b="19050"/>
                <wp:wrapNone/>
                <wp:docPr id="1027" name="流程图: 可选过程 39"/>
                <wp:cNvGraphicFramePr/>
                <a:graphic xmlns:a="http://schemas.openxmlformats.org/drawingml/2006/main">
                  <a:graphicData uri="http://schemas.microsoft.com/office/word/2010/wordprocessingShape">
                    <wps:wsp>
                      <wps:cNvSpPr/>
                      <wps:spPr>
                        <a:xfrm>
                          <a:off x="0" y="0"/>
                          <a:ext cx="2333625" cy="13328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5BB8518">
                            <w:pPr>
                              <w:jc w:val="center"/>
                              <w:rPr>
                                <w:rFonts w:hint="eastAsia" w:hAnsi="宋体"/>
                                <w:szCs w:val="21"/>
                              </w:rPr>
                            </w:pPr>
                          </w:p>
                          <w:p w14:paraId="0266F7EB">
                            <w:pPr>
                              <w:jc w:val="center"/>
                              <w:rPr>
                                <w:rFonts w:hint="eastAsia" w:hAnsi="宋体"/>
                                <w:szCs w:val="21"/>
                              </w:rPr>
                            </w:pPr>
                          </w:p>
                          <w:p w14:paraId="6755F638">
                            <w:pPr>
                              <w:jc w:val="center"/>
                              <w:rPr>
                                <w:rFonts w:hint="eastAsia" w:hAnsi="宋体"/>
                                <w:szCs w:val="21"/>
                              </w:rPr>
                            </w:pPr>
                          </w:p>
                          <w:p w14:paraId="28174BB9">
                            <w:pPr>
                              <w:jc w:val="center"/>
                              <w:rPr>
                                <w:szCs w:val="21"/>
                              </w:rPr>
                            </w:pPr>
                          </w:p>
                        </w:txbxContent>
                      </wps:txbx>
                      <wps:bodyPr upright="1"/>
                    </wps:wsp>
                  </a:graphicData>
                </a:graphic>
              </wp:anchor>
            </w:drawing>
          </mc:Choice>
          <mc:Fallback>
            <w:pict>
              <v:shape id="流程图: 可选过程 39" o:spid="_x0000_s1026" o:spt="176" type="#_x0000_t176" style="position:absolute;left:0pt;margin-left:14.55pt;margin-top:3.85pt;height:104.95pt;width:183.75pt;z-index:251660288;mso-width-relative:page;mso-height-relative:page;" fillcolor="#FFFFFF" filled="t" stroked="t" coordsize="21600,21600" o:gfxdata="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yAxuPXAAAACAEAAA8AAAAAAAAAAQAgAAAAIgAAAGRycy9kb3ducmV2LnhtbFBLAQIU&#10;ABQAAAAIAIdO4kA9RCXLLQIAAFQEAAAOAAAAAAAAAAEAIAAAACYBAABkcnMvZTJvRG9jLnhtbFBL&#10;BQYAAAAABgAGAFkBAADFBQAAAAA=&#10;">
                <v:fill on="t" focussize="0,0"/>
                <v:stroke color="#000000" joinstyle="miter"/>
                <v:imagedata o:title=""/>
                <o:lock v:ext="edit" aspectratio="f"/>
                <v:textbox>
                  <w:txbxContent>
                    <w:p w14:paraId="25BB8518">
                      <w:pPr>
                        <w:jc w:val="center"/>
                        <w:rPr>
                          <w:rFonts w:hint="eastAsia" w:hAnsi="宋体"/>
                          <w:szCs w:val="21"/>
                        </w:rPr>
                      </w:pPr>
                    </w:p>
                    <w:p w14:paraId="0266F7EB">
                      <w:pPr>
                        <w:jc w:val="center"/>
                        <w:rPr>
                          <w:rFonts w:hint="eastAsia" w:hAnsi="宋体"/>
                          <w:szCs w:val="21"/>
                        </w:rPr>
                      </w:pPr>
                    </w:p>
                    <w:p w14:paraId="6755F638">
                      <w:pPr>
                        <w:jc w:val="center"/>
                        <w:rPr>
                          <w:rFonts w:hint="eastAsia" w:hAnsi="宋体"/>
                          <w:szCs w:val="21"/>
                        </w:rPr>
                      </w:pPr>
                    </w:p>
                    <w:p w14:paraId="28174BB9">
                      <w:pPr>
                        <w:jc w:val="center"/>
                        <w:rPr>
                          <w:szCs w:val="21"/>
                        </w:rPr>
                      </w:pPr>
                    </w:p>
                  </w:txbxContent>
                </v:textbox>
              </v:shape>
            </w:pict>
          </mc:Fallback>
        </mc:AlternateContent>
      </w:r>
      <w:r>
        <w:rPr>
          <w:rFonts w:hint="eastAsia" w:ascii="仿宋" w:hAnsi="仿宋" w:eastAsia="仿宋" w:cs="仿宋"/>
          <w:color w:val="000000"/>
          <w:sz w:val="24"/>
        </w:rPr>
        <mc:AlternateContent>
          <mc:Choice Requires="wps">
            <w:drawing>
              <wp:anchor distT="0" distB="0" distL="0" distR="0" simplePos="0" relativeHeight="251660288" behindDoc="0" locked="0" layoutInCell="1" allowOverlap="1">
                <wp:simplePos x="0" y="0"/>
                <wp:positionH relativeFrom="column">
                  <wp:posOffset>2933700</wp:posOffset>
                </wp:positionH>
                <wp:positionV relativeFrom="paragraph">
                  <wp:posOffset>36195</wp:posOffset>
                </wp:positionV>
                <wp:extent cx="2541270" cy="1289685"/>
                <wp:effectExtent l="7620" t="7620" r="11430" b="13334"/>
                <wp:wrapNone/>
                <wp:docPr id="1028" name="圆角矩形 40"/>
                <wp:cNvGraphicFramePr/>
                <a:graphic xmlns:a="http://schemas.openxmlformats.org/drawingml/2006/main">
                  <a:graphicData uri="http://schemas.microsoft.com/office/word/2010/wordprocessingShape">
                    <wps:wsp>
                      <wps:cNvSpPr/>
                      <wps:spPr>
                        <a:xfrm>
                          <a:off x="0" y="0"/>
                          <a:ext cx="2541270" cy="128968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F37FE9D">
                            <w:pPr>
                              <w:jc w:val="center"/>
                              <w:rPr>
                                <w:rFonts w:hint="eastAsia" w:hAnsi="宋体"/>
                                <w:szCs w:val="21"/>
                              </w:rPr>
                            </w:pPr>
                            <w:r>
                              <w:rPr>
                                <w:rFonts w:hint="eastAsia" w:hAnsi="宋体"/>
                                <w:szCs w:val="21"/>
                              </w:rPr>
                              <w:t xml:space="preserve">  </w:t>
                            </w:r>
                          </w:p>
                          <w:p w14:paraId="384B50C7">
                            <w:pPr>
                              <w:jc w:val="center"/>
                              <w:rPr>
                                <w:rFonts w:hint="eastAsia" w:hAnsi="宋体"/>
                                <w:szCs w:val="21"/>
                              </w:rPr>
                            </w:pPr>
                          </w:p>
                          <w:p w14:paraId="42689F9D">
                            <w:pPr>
                              <w:jc w:val="center"/>
                              <w:rPr>
                                <w:rFonts w:hint="eastAsia" w:hAnsi="宋体"/>
                                <w:szCs w:val="21"/>
                              </w:rPr>
                            </w:pPr>
                          </w:p>
                          <w:p w14:paraId="675C6682"/>
                          <w:p w14:paraId="5DE54316">
                            <w:pPr>
                              <w:pStyle w:val="2"/>
                            </w:pPr>
                          </w:p>
                          <w:p w14:paraId="6043124D">
                            <w:pPr>
                              <w:pStyle w:val="2"/>
                            </w:pPr>
                          </w:p>
                          <w:p w14:paraId="76DBCA6E">
                            <w:pPr>
                              <w:pStyle w:val="2"/>
                            </w:pPr>
                          </w:p>
                          <w:p w14:paraId="329391AF">
                            <w:pPr>
                              <w:pStyle w:val="2"/>
                            </w:pPr>
                          </w:p>
                        </w:txbxContent>
                      </wps:txbx>
                      <wps:bodyPr upright="1"/>
                    </wps:wsp>
                  </a:graphicData>
                </a:graphic>
              </wp:anchor>
            </w:drawing>
          </mc:Choice>
          <mc:Fallback>
            <w:pict>
              <v:roundrect id="圆角矩形 40" o:spid="_x0000_s1026" o:spt="2" style="position:absolute;left:0pt;margin-left:231pt;margin-top:2.85pt;height:101.55pt;width:200.1pt;z-index:251660288;mso-width-relative:page;mso-height-relative:page;" fillcolor="#FFFFFF" filled="t" stroked="t" coordsize="21600,21600" arcsize="0.166666666666667" o:gfxdata="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uREn9oAAAAJAQAADwAAAAAAAAABACAAAAAiAAAAZHJzL2Rvd25yZXYueG1sUEsB&#10;AhQAFAAAAAgAh07iQJfEpFMsAgAAZgQAAA4AAAAAAAAAAQAgAAAAKQEAAGRycy9lMm9Eb2MueG1s&#10;UEsFBgAAAAAGAAYAWQEAAMcFAAAAAA==&#10;">
                <v:fill on="t" focussize="0,0"/>
                <v:stroke weight="1.25pt" color="#808080" joinstyle="round"/>
                <v:imagedata o:title=""/>
                <o:lock v:ext="edit" aspectratio="f"/>
                <v:textbox>
                  <w:txbxContent>
                    <w:p w14:paraId="1F37FE9D">
                      <w:pPr>
                        <w:jc w:val="center"/>
                        <w:rPr>
                          <w:rFonts w:hint="eastAsia" w:hAnsi="宋体"/>
                          <w:szCs w:val="21"/>
                        </w:rPr>
                      </w:pPr>
                      <w:r>
                        <w:rPr>
                          <w:rFonts w:hint="eastAsia" w:hAnsi="宋体"/>
                          <w:szCs w:val="21"/>
                        </w:rPr>
                        <w:t xml:space="preserve">  </w:t>
                      </w:r>
                    </w:p>
                    <w:p w14:paraId="384B50C7">
                      <w:pPr>
                        <w:jc w:val="center"/>
                        <w:rPr>
                          <w:rFonts w:hint="eastAsia" w:hAnsi="宋体"/>
                          <w:szCs w:val="21"/>
                        </w:rPr>
                      </w:pPr>
                    </w:p>
                    <w:p w14:paraId="42689F9D">
                      <w:pPr>
                        <w:jc w:val="center"/>
                        <w:rPr>
                          <w:rFonts w:hint="eastAsia" w:hAnsi="宋体"/>
                          <w:szCs w:val="21"/>
                        </w:rPr>
                      </w:pPr>
                    </w:p>
                    <w:p w14:paraId="675C6682"/>
                    <w:p w14:paraId="5DE54316">
                      <w:pPr>
                        <w:pStyle w:val="2"/>
                      </w:pPr>
                    </w:p>
                    <w:p w14:paraId="6043124D">
                      <w:pPr>
                        <w:pStyle w:val="2"/>
                      </w:pPr>
                    </w:p>
                    <w:p w14:paraId="76DBCA6E">
                      <w:pPr>
                        <w:pStyle w:val="2"/>
                      </w:pPr>
                    </w:p>
                    <w:p w14:paraId="329391AF">
                      <w:pPr>
                        <w:pStyle w:val="2"/>
                      </w:pPr>
                    </w:p>
                  </w:txbxContent>
                </v:textbox>
              </v:roundrect>
            </w:pict>
          </mc:Fallback>
        </mc:AlternateContent>
      </w:r>
    </w:p>
    <w:p w14:paraId="0BBBF233">
      <w:pPr>
        <w:spacing w:line="360" w:lineRule="auto"/>
        <w:rPr>
          <w:rFonts w:hint="eastAsia" w:ascii="仿宋" w:hAnsi="仿宋" w:eastAsia="仿宋" w:cs="仿宋"/>
          <w:color w:val="000000"/>
          <w:sz w:val="24"/>
        </w:rPr>
      </w:pPr>
    </w:p>
    <w:p w14:paraId="5123ABE5">
      <w:pPr>
        <w:spacing w:line="360" w:lineRule="auto"/>
        <w:rPr>
          <w:rFonts w:hint="eastAsia" w:ascii="仿宋" w:hAnsi="仿宋" w:eastAsia="仿宋" w:cs="仿宋"/>
          <w:color w:val="000000"/>
          <w:sz w:val="24"/>
        </w:rPr>
      </w:pPr>
    </w:p>
    <w:p w14:paraId="5BC6626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000000"/>
          <w:sz w:val="24"/>
        </w:rPr>
      </w:pPr>
    </w:p>
    <w:p w14:paraId="1CF63461">
      <w:pPr>
        <w:autoSpaceDE w:val="0"/>
        <w:autoSpaceDN w:val="0"/>
        <w:adjustRightInd w:val="0"/>
        <w:spacing w:line="360" w:lineRule="auto"/>
        <w:ind w:right="246"/>
        <w:rPr>
          <w:rFonts w:hint="eastAsia" w:ascii="仿宋" w:hAnsi="仿宋" w:eastAsia="仿宋" w:cs="仿宋"/>
          <w:color w:val="000000"/>
          <w:kern w:val="0"/>
          <w:sz w:val="24"/>
        </w:rPr>
      </w:pPr>
    </w:p>
    <w:p w14:paraId="6F8B101F">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投标人（盖章）：</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3490DA2E">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法定代表人</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签字或盖章</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28BD61B9">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5B51658A">
      <w:pP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br w:type="page"/>
      </w:r>
    </w:p>
    <w:p w14:paraId="5B4E1EF4">
      <w:pPr>
        <w:spacing w:before="200" w:line="222" w:lineRule="auto"/>
        <w:ind w:left="2675"/>
        <w:rPr>
          <w:rFonts w:hint="eastAsia" w:ascii="仿宋" w:hAnsi="仿宋" w:eastAsia="仿宋" w:cs="仿宋"/>
          <w:b w:val="0"/>
          <w:bCs w:val="0"/>
          <w:color w:val="000000"/>
          <w:sz w:val="24"/>
          <w:szCs w:val="24"/>
        </w:rPr>
      </w:pPr>
      <w:r>
        <w:rPr>
          <w:rFonts w:hint="eastAsia" w:ascii="仿宋" w:hAnsi="仿宋" w:eastAsia="仿宋" w:cs="仿宋"/>
          <w:b/>
          <w:color w:val="000000"/>
          <w:sz w:val="24"/>
          <w:lang w:val="en-US" w:eastAsia="zh-CN"/>
        </w:rPr>
        <w:t>法定代表人</w:t>
      </w:r>
      <w:r>
        <w:rPr>
          <w:rFonts w:hint="eastAsia" w:ascii="仿宋" w:hAnsi="仿宋" w:eastAsia="仿宋" w:cs="仿宋"/>
          <w:b/>
          <w:color w:val="000000"/>
          <w:sz w:val="24"/>
        </w:rPr>
        <w:t>授权委托书</w:t>
      </w:r>
    </w:p>
    <w:p w14:paraId="2BC8C99F">
      <w:pPr>
        <w:spacing w:line="253" w:lineRule="auto"/>
        <w:rPr>
          <w:rFonts w:hint="eastAsia" w:ascii="仿宋" w:hAnsi="仿宋" w:eastAsia="仿宋" w:cs="仿宋"/>
          <w:b w:val="0"/>
          <w:bCs w:val="0"/>
          <w:color w:val="000000"/>
          <w:sz w:val="24"/>
          <w:szCs w:val="24"/>
        </w:rPr>
      </w:pPr>
    </w:p>
    <w:p w14:paraId="25F472CF">
      <w:pPr>
        <w:spacing w:before="78" w:line="360" w:lineRule="auto"/>
        <w:ind w:left="27" w:right="462" w:firstLine="456" w:firstLineChars="200"/>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pacing w:val="-6"/>
          <w:sz w:val="24"/>
          <w:szCs w:val="24"/>
        </w:rPr>
        <w:t>本授权书声明：注册于</w:t>
      </w:r>
      <w:r>
        <w:rPr>
          <w:rFonts w:hint="eastAsia" w:ascii="仿宋" w:hAnsi="仿宋" w:eastAsia="仿宋" w:cs="仿宋"/>
          <w:b w:val="0"/>
          <w:bCs w:val="0"/>
          <w:color w:val="000000"/>
          <w:spacing w:val="-6"/>
          <w:sz w:val="24"/>
          <w:szCs w:val="24"/>
          <w:u w:val="single"/>
        </w:rPr>
        <w:t>（国家或地区的名称）</w:t>
      </w:r>
      <w:r>
        <w:rPr>
          <w:rFonts w:hint="eastAsia" w:ascii="仿宋" w:hAnsi="仿宋" w:eastAsia="仿宋" w:cs="仿宋"/>
          <w:b w:val="0"/>
          <w:bCs w:val="0"/>
          <w:color w:val="000000"/>
          <w:spacing w:val="-6"/>
          <w:sz w:val="24"/>
          <w:szCs w:val="24"/>
        </w:rPr>
        <w:t>的</w:t>
      </w:r>
      <w:r>
        <w:rPr>
          <w:rFonts w:hint="eastAsia" w:ascii="仿宋" w:hAnsi="仿宋" w:eastAsia="仿宋" w:cs="仿宋"/>
          <w:b w:val="0"/>
          <w:bCs w:val="0"/>
          <w:color w:val="000000"/>
          <w:spacing w:val="-6"/>
          <w:sz w:val="24"/>
          <w:szCs w:val="24"/>
          <w:u w:val="single"/>
        </w:rPr>
        <w:t>（投标人）</w:t>
      </w:r>
      <w:r>
        <w:rPr>
          <w:rFonts w:hint="eastAsia" w:ascii="仿宋" w:hAnsi="仿宋" w:eastAsia="仿宋" w:cs="仿宋"/>
          <w:b w:val="0"/>
          <w:bCs w:val="0"/>
          <w:color w:val="000000"/>
          <w:spacing w:val="-6"/>
          <w:sz w:val="24"/>
          <w:szCs w:val="24"/>
        </w:rPr>
        <w:t>的在下面签字的</w:t>
      </w:r>
      <w:r>
        <w:rPr>
          <w:rFonts w:hint="eastAsia" w:ascii="仿宋" w:hAnsi="仿宋" w:eastAsia="仿宋" w:cs="仿宋"/>
          <w:b w:val="0"/>
          <w:bCs w:val="0"/>
          <w:color w:val="000000"/>
          <w:spacing w:val="-6"/>
          <w:sz w:val="24"/>
          <w:szCs w:val="24"/>
          <w:u w:val="single"/>
        </w:rPr>
        <w:t>（法人代表姓名、职务）</w:t>
      </w:r>
      <w:r>
        <w:rPr>
          <w:rFonts w:hint="eastAsia" w:ascii="仿宋" w:hAnsi="仿宋" w:eastAsia="仿宋" w:cs="仿宋"/>
          <w:b w:val="0"/>
          <w:bCs w:val="0"/>
          <w:color w:val="000000"/>
          <w:spacing w:val="-6"/>
          <w:sz w:val="24"/>
          <w:szCs w:val="24"/>
        </w:rPr>
        <w:t>代表我单位授权</w:t>
      </w:r>
      <w:r>
        <w:rPr>
          <w:rFonts w:hint="eastAsia" w:ascii="仿宋" w:hAnsi="仿宋" w:eastAsia="仿宋" w:cs="仿宋"/>
          <w:b w:val="0"/>
          <w:bCs w:val="0"/>
          <w:color w:val="000000"/>
          <w:spacing w:val="-6"/>
          <w:sz w:val="24"/>
          <w:szCs w:val="24"/>
          <w:u w:val="single"/>
        </w:rPr>
        <w:t>（单位名称）</w:t>
      </w:r>
      <w:r>
        <w:rPr>
          <w:rFonts w:hint="eastAsia" w:ascii="仿宋" w:hAnsi="仿宋" w:eastAsia="仿宋" w:cs="仿宋"/>
          <w:b w:val="0"/>
          <w:bCs w:val="0"/>
          <w:color w:val="000000"/>
          <w:spacing w:val="-6"/>
          <w:sz w:val="24"/>
          <w:szCs w:val="24"/>
        </w:rPr>
        <w:t>的在下面签字的</w:t>
      </w:r>
      <w:r>
        <w:rPr>
          <w:rFonts w:hint="eastAsia" w:ascii="仿宋" w:hAnsi="仿宋" w:eastAsia="仿宋" w:cs="仿宋"/>
          <w:b w:val="0"/>
          <w:bCs w:val="0"/>
          <w:color w:val="000000"/>
          <w:spacing w:val="-6"/>
          <w:sz w:val="24"/>
          <w:szCs w:val="24"/>
          <w:u w:val="single"/>
        </w:rPr>
        <w:t>（被授权人的姓名、职务）</w:t>
      </w:r>
      <w:r>
        <w:rPr>
          <w:rFonts w:hint="eastAsia" w:ascii="仿宋" w:hAnsi="仿宋" w:eastAsia="仿宋" w:cs="仿宋"/>
          <w:b w:val="0"/>
          <w:bCs w:val="0"/>
          <w:color w:val="000000"/>
          <w:spacing w:val="-6"/>
          <w:sz w:val="24"/>
          <w:szCs w:val="24"/>
        </w:rPr>
        <w:t>为我单位的合法代理人，就</w:t>
      </w:r>
      <w:r>
        <w:rPr>
          <w:rFonts w:hint="eastAsia" w:ascii="仿宋" w:hAnsi="仿宋" w:eastAsia="仿宋" w:cs="仿宋"/>
          <w:b w:val="0"/>
          <w:bCs w:val="0"/>
          <w:color w:val="000000"/>
          <w:spacing w:val="-6"/>
          <w:sz w:val="24"/>
          <w:szCs w:val="24"/>
          <w:u w:val="single"/>
        </w:rPr>
        <w:t>（项目名称）</w:t>
      </w:r>
      <w:r>
        <w:rPr>
          <w:rFonts w:hint="eastAsia" w:ascii="仿宋" w:hAnsi="仿宋" w:eastAsia="仿宋" w:cs="仿宋"/>
          <w:b w:val="0"/>
          <w:bCs w:val="0"/>
          <w:color w:val="000000"/>
          <w:spacing w:val="-6"/>
          <w:sz w:val="24"/>
          <w:szCs w:val="24"/>
        </w:rPr>
        <w:t>的投标，以我单位名义处</w:t>
      </w:r>
      <w:r>
        <w:rPr>
          <w:rFonts w:hint="eastAsia" w:ascii="仿宋" w:hAnsi="仿宋" w:eastAsia="仿宋" w:cs="仿宋"/>
          <w:b w:val="0"/>
          <w:bCs w:val="0"/>
          <w:color w:val="000000"/>
          <w:spacing w:val="-4"/>
          <w:sz w:val="24"/>
          <w:szCs w:val="24"/>
        </w:rPr>
        <w:t>理一切与之有关的事务。</w:t>
      </w:r>
    </w:p>
    <w:p w14:paraId="3CA643FB">
      <w:pPr>
        <w:spacing w:before="179" w:line="360" w:lineRule="auto"/>
        <w:ind w:left="28"/>
        <w:rPr>
          <w:rFonts w:hint="eastAsia" w:ascii="仿宋" w:hAnsi="仿宋" w:eastAsia="仿宋" w:cs="仿宋"/>
          <w:b w:val="0"/>
          <w:bCs w:val="0"/>
          <w:color w:val="000000"/>
          <w:sz w:val="24"/>
          <w:szCs w:val="24"/>
        </w:rPr>
      </w:pPr>
      <w:r>
        <w:rPr>
          <w:rFonts w:hint="eastAsia" w:ascii="仿宋" w:hAnsi="仿宋" w:eastAsia="仿宋" w:cs="仿宋"/>
          <w:b w:val="0"/>
          <w:bCs w:val="0"/>
          <w:color w:val="000000"/>
          <w:spacing w:val="-10"/>
          <w:sz w:val="24"/>
          <w:szCs w:val="24"/>
        </w:rPr>
        <w:t>本授权书于</w:t>
      </w:r>
      <w:r>
        <w:rPr>
          <w:rFonts w:hint="eastAsia" w:ascii="仿宋" w:hAnsi="仿宋" w:eastAsia="仿宋" w:cs="仿宋"/>
          <w:b w:val="0"/>
          <w:bCs w:val="0"/>
          <w:color w:val="000000"/>
          <w:spacing w:val="3"/>
          <w:sz w:val="24"/>
          <w:szCs w:val="24"/>
          <w:u w:val="single"/>
        </w:rPr>
        <w:t xml:space="preserve">           </w:t>
      </w:r>
      <w:r>
        <w:rPr>
          <w:rFonts w:hint="eastAsia" w:ascii="仿宋" w:hAnsi="仿宋" w:eastAsia="仿宋" w:cs="仿宋"/>
          <w:b w:val="0"/>
          <w:bCs w:val="0"/>
          <w:color w:val="000000"/>
          <w:spacing w:val="-10"/>
          <w:sz w:val="24"/>
          <w:szCs w:val="24"/>
        </w:rPr>
        <w:t>年</w:t>
      </w:r>
      <w:r>
        <w:rPr>
          <w:rFonts w:hint="eastAsia" w:ascii="仿宋" w:hAnsi="仿宋" w:eastAsia="仿宋" w:cs="仿宋"/>
          <w:b w:val="0"/>
          <w:bCs w:val="0"/>
          <w:color w:val="000000"/>
          <w:spacing w:val="7"/>
          <w:sz w:val="24"/>
          <w:szCs w:val="24"/>
          <w:u w:val="single"/>
        </w:rPr>
        <w:t xml:space="preserve">     </w:t>
      </w:r>
      <w:r>
        <w:rPr>
          <w:rFonts w:hint="eastAsia" w:ascii="仿宋" w:hAnsi="仿宋" w:eastAsia="仿宋" w:cs="仿宋"/>
          <w:b w:val="0"/>
          <w:bCs w:val="0"/>
          <w:color w:val="000000"/>
          <w:spacing w:val="-10"/>
          <w:sz w:val="24"/>
          <w:szCs w:val="24"/>
        </w:rPr>
        <w:t>月</w:t>
      </w:r>
      <w:r>
        <w:rPr>
          <w:rFonts w:hint="eastAsia" w:ascii="仿宋" w:hAnsi="仿宋" w:eastAsia="仿宋" w:cs="仿宋"/>
          <w:b w:val="0"/>
          <w:bCs w:val="0"/>
          <w:color w:val="000000"/>
          <w:spacing w:val="14"/>
          <w:sz w:val="24"/>
          <w:szCs w:val="24"/>
          <w:u w:val="single"/>
        </w:rPr>
        <w:t xml:space="preserve">     </w:t>
      </w:r>
      <w:r>
        <w:rPr>
          <w:rFonts w:hint="eastAsia" w:ascii="仿宋" w:hAnsi="仿宋" w:eastAsia="仿宋" w:cs="仿宋"/>
          <w:b w:val="0"/>
          <w:bCs w:val="0"/>
          <w:color w:val="000000"/>
          <w:spacing w:val="-10"/>
          <w:sz w:val="24"/>
          <w:szCs w:val="24"/>
        </w:rPr>
        <w:t>日签字生效,特此声明。</w:t>
      </w:r>
    </w:p>
    <w:p w14:paraId="2DE764D7">
      <w:pPr>
        <w:pStyle w:val="15"/>
        <w:spacing w:line="2229" w:lineRule="exact"/>
        <w:ind w:firstLine="36"/>
        <w:rPr>
          <w:rFonts w:hint="eastAsia" w:ascii="仿宋" w:hAnsi="仿宋" w:eastAsia="仿宋" w:cs="仿宋"/>
          <w:b w:val="0"/>
          <w:bCs w:val="0"/>
          <w:color w:val="000000"/>
          <w:sz w:val="24"/>
          <w:szCs w:val="24"/>
        </w:rPr>
      </w:pP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29" name="组合 4"/>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1" name="Image"/>
                          <pic:cNvPicPr/>
                        </pic:nvPicPr>
                        <pic:blipFill>
                          <a:blip r:embed="rId14" cstate="print"/>
                          <a:srcRect/>
                          <a:stretch>
                            <a:fillRect/>
                          </a:stretch>
                        </pic:blipFill>
                        <pic:spPr>
                          <a:xfrm>
                            <a:off x="0" y="0"/>
                            <a:ext cx="3963" cy="2230"/>
                          </a:xfrm>
                          <a:prstGeom prst="rect">
                            <a:avLst/>
                          </a:prstGeom>
                          <a:ln>
                            <a:noFill/>
                          </a:ln>
                        </pic:spPr>
                      </pic:pic>
                      <wps:wsp>
                        <wps:cNvPr id="2" name="矩形 2"/>
                        <wps:cNvSpPr/>
                        <wps:spPr>
                          <a:xfrm>
                            <a:off x="-20" y="-20"/>
                            <a:ext cx="4003" cy="1993"/>
                          </a:xfrm>
                          <a:prstGeom prst="rect">
                            <a:avLst/>
                          </a:prstGeom>
                          <a:ln>
                            <a:noFill/>
                          </a:ln>
                        </wps:spPr>
                        <wps:txbx>
                          <w:txbxContent>
                            <w:p w14:paraId="001F8196">
                              <w:pPr>
                                <w:spacing w:line="289" w:lineRule="auto"/>
                                <w:rPr>
                                  <w:rFonts w:ascii="Arial"/>
                                  <w:sz w:val="21"/>
                                </w:rPr>
                              </w:pPr>
                            </w:p>
                            <w:p w14:paraId="607ECD58">
                              <w:pPr>
                                <w:spacing w:line="289" w:lineRule="auto"/>
                                <w:rPr>
                                  <w:rFonts w:ascii="Arial"/>
                                  <w:sz w:val="21"/>
                                </w:rPr>
                              </w:pPr>
                            </w:p>
                            <w:p w14:paraId="066CE739">
                              <w:pPr>
                                <w:spacing w:line="290" w:lineRule="auto"/>
                                <w:rPr>
                                  <w:rFonts w:ascii="Arial"/>
                                  <w:sz w:val="21"/>
                                </w:rPr>
                              </w:pPr>
                            </w:p>
                            <w:p w14:paraId="1ED2C0CC">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4"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">
                <o:lock v:ext="edit" aspectratio="f"/>
                <v:shape id="Image" o:spid="_x0000_s1026" o:spt="75" type="#_x0000_t75" style="position:absolute;left:0;top:0;height:2230;width:3963;" filled="f" o:preferrelative="t" stroked="f" coordsize="21600,21600" o:gfxdata="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mw8utwAAANoAAAAP&#10;AAAAAAAAAAEAIAAAACIAAABkcnMvZG93bnJldi54bWxQSwECFAAUAAAACACHTuJAMy8FnjsAAAA5&#10;AAAAEAAAAAAAAAABACAAAAAGAQAAZHJzL3NoYXBleG1sLnhtbFBLBQYAAAAABgAGAFsBAACwAwAA&#10;AAA=&#10;">
                  <v:fill on="f" focussize="0,0"/>
                  <v:stroke on="f"/>
                  <v:imagedata r:id="rId14" o:title=""/>
                  <o:lock v:ext="edit" aspectratio="f"/>
                </v:shape>
                <v:rect id="_x0000_s1026" o:spid="_x0000_s1026" o:spt="1" style="position:absolute;left:-20;top:-20;height:1993;width:4003;"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01F8196">
                        <w:pPr>
                          <w:spacing w:line="289" w:lineRule="auto"/>
                          <w:rPr>
                            <w:rFonts w:ascii="Arial"/>
                            <w:sz w:val="21"/>
                          </w:rPr>
                        </w:pPr>
                      </w:p>
                      <w:p w14:paraId="607ECD58">
                        <w:pPr>
                          <w:spacing w:line="289" w:lineRule="auto"/>
                          <w:rPr>
                            <w:rFonts w:ascii="Arial"/>
                            <w:sz w:val="21"/>
                          </w:rPr>
                        </w:pPr>
                      </w:p>
                      <w:p w14:paraId="066CE739">
                        <w:pPr>
                          <w:spacing w:line="290" w:lineRule="auto"/>
                          <w:rPr>
                            <w:rFonts w:ascii="Arial"/>
                            <w:sz w:val="21"/>
                          </w:rPr>
                        </w:pPr>
                      </w:p>
                      <w:p w14:paraId="1ED2C0CC">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33" name="组合 28"/>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3" name="Image"/>
                          <pic:cNvPicPr/>
                        </pic:nvPicPr>
                        <pic:blipFill>
                          <a:blip r:embed="rId14" cstate="print"/>
                          <a:srcRect/>
                          <a:stretch>
                            <a:fillRect/>
                          </a:stretch>
                        </pic:blipFill>
                        <pic:spPr>
                          <a:xfrm>
                            <a:off x="0" y="0"/>
                            <a:ext cx="3963" cy="2230"/>
                          </a:xfrm>
                          <a:prstGeom prst="rect">
                            <a:avLst/>
                          </a:prstGeom>
                          <a:ln>
                            <a:noFill/>
                          </a:ln>
                        </pic:spPr>
                      </pic:pic>
                      <wps:wsp>
                        <wps:cNvPr id="4" name="矩形 4"/>
                        <wps:cNvSpPr/>
                        <wps:spPr>
                          <a:xfrm>
                            <a:off x="-20" y="-20"/>
                            <a:ext cx="4003" cy="1993"/>
                          </a:xfrm>
                          <a:prstGeom prst="rect">
                            <a:avLst/>
                          </a:prstGeom>
                          <a:ln>
                            <a:noFill/>
                          </a:ln>
                        </wps:spPr>
                        <wps:txbx>
                          <w:txbxContent>
                            <w:p w14:paraId="74220430">
                              <w:pPr>
                                <w:spacing w:line="289" w:lineRule="auto"/>
                                <w:rPr>
                                  <w:rFonts w:ascii="Arial"/>
                                  <w:sz w:val="21"/>
                                </w:rPr>
                              </w:pPr>
                            </w:p>
                            <w:p w14:paraId="0D94D285">
                              <w:pPr>
                                <w:spacing w:line="289" w:lineRule="auto"/>
                                <w:rPr>
                                  <w:rFonts w:ascii="Arial"/>
                                  <w:sz w:val="21"/>
                                </w:rPr>
                              </w:pPr>
                            </w:p>
                            <w:p w14:paraId="39C4BDD4">
                              <w:pPr>
                                <w:spacing w:line="290" w:lineRule="auto"/>
                                <w:rPr>
                                  <w:rFonts w:ascii="Arial"/>
                                  <w:sz w:val="21"/>
                                </w:rPr>
                              </w:pPr>
                            </w:p>
                            <w:p w14:paraId="33E3047B">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28"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">
                <o:lock v:ext="edit" aspectratio="f"/>
                <v:shape id="Image" o:spid="_x0000_s1026" o:spt="75" type="#_x0000_t75" style="position:absolute;left:0;top:0;height:2230;width:3963;" filled="f" o:preferrelative="t" stroked="f" coordsize="21600,21600" o:gfxdata="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BTTCvQAA&#10;ANoAAAAPAAAAAAAAAAEAIAAAACIAAABkcnMvZG93bnJldi54bWxQSwECFAAUAAAACACHTuJAMy8F&#10;njsAAAA5AAAAEAAAAAAAAAABACAAAAAMAQAAZHJzL3NoYXBleG1sLnhtbFBLBQYAAAAABgAGAFsB&#10;AAC2AwAAAAA=&#10;">
                  <v:fill on="f" focussize="0,0"/>
                  <v:stroke on="f"/>
                  <v:imagedata r:id="rId14" o:title=""/>
                  <o:lock v:ext="edit" aspectratio="f"/>
                </v:shape>
                <v:rect id="_x0000_s1026" o:spid="_x0000_s1026" o:spt="1" style="position:absolute;left:-20;top:-20;height:1993;width:400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4220430">
                        <w:pPr>
                          <w:spacing w:line="289" w:lineRule="auto"/>
                          <w:rPr>
                            <w:rFonts w:ascii="Arial"/>
                            <w:sz w:val="21"/>
                          </w:rPr>
                        </w:pPr>
                      </w:p>
                      <w:p w14:paraId="0D94D285">
                        <w:pPr>
                          <w:spacing w:line="289" w:lineRule="auto"/>
                          <w:rPr>
                            <w:rFonts w:ascii="Arial"/>
                            <w:sz w:val="21"/>
                          </w:rPr>
                        </w:pPr>
                      </w:p>
                      <w:p w14:paraId="39C4BDD4">
                        <w:pPr>
                          <w:spacing w:line="290" w:lineRule="auto"/>
                          <w:rPr>
                            <w:rFonts w:ascii="Arial"/>
                            <w:sz w:val="21"/>
                          </w:rPr>
                        </w:pPr>
                      </w:p>
                      <w:p w14:paraId="33E3047B">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p>
    <w:p w14:paraId="45BCDACA">
      <w:pPr>
        <w:spacing w:line="309"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37" name="组合 31"/>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5" name="Image"/>
                          <pic:cNvPicPr/>
                        </pic:nvPicPr>
                        <pic:blipFill>
                          <a:blip r:embed="rId14" cstate="print"/>
                          <a:srcRect/>
                          <a:stretch>
                            <a:fillRect/>
                          </a:stretch>
                        </pic:blipFill>
                        <pic:spPr>
                          <a:xfrm>
                            <a:off x="0" y="0"/>
                            <a:ext cx="3963" cy="2230"/>
                          </a:xfrm>
                          <a:prstGeom prst="rect">
                            <a:avLst/>
                          </a:prstGeom>
                          <a:ln>
                            <a:noFill/>
                          </a:ln>
                        </pic:spPr>
                      </pic:pic>
                      <wps:wsp>
                        <wps:cNvPr id="6" name="矩形 6"/>
                        <wps:cNvSpPr/>
                        <wps:spPr>
                          <a:xfrm>
                            <a:off x="-20" y="-20"/>
                            <a:ext cx="4003" cy="1993"/>
                          </a:xfrm>
                          <a:prstGeom prst="rect">
                            <a:avLst/>
                          </a:prstGeom>
                          <a:ln>
                            <a:noFill/>
                          </a:ln>
                        </wps:spPr>
                        <wps:txbx>
                          <w:txbxContent>
                            <w:p w14:paraId="1262119E">
                              <w:pPr>
                                <w:spacing w:line="289" w:lineRule="auto"/>
                                <w:rPr>
                                  <w:rFonts w:ascii="Arial"/>
                                  <w:sz w:val="21"/>
                                </w:rPr>
                              </w:pPr>
                            </w:p>
                            <w:p w14:paraId="119EF0EE">
                              <w:pPr>
                                <w:spacing w:line="289" w:lineRule="auto"/>
                                <w:rPr>
                                  <w:rFonts w:ascii="Arial"/>
                                  <w:sz w:val="21"/>
                                </w:rPr>
                              </w:pPr>
                            </w:p>
                            <w:p w14:paraId="4E4CF3BF">
                              <w:pPr>
                                <w:spacing w:line="290" w:lineRule="auto"/>
                                <w:rPr>
                                  <w:rFonts w:ascii="Arial"/>
                                  <w:sz w:val="21"/>
                                </w:rPr>
                              </w:pPr>
                            </w:p>
                            <w:p w14:paraId="3078565E">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31"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">
                <o:lock v:ext="edit" aspectratio="f"/>
                <v:shape id="Image"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14" o:title=""/>
                  <o:lock v:ext="edit" aspectratio="f"/>
                </v:shape>
                <v:rect id="_x0000_s1026" o:spid="_x0000_s1026" o:spt="1" style="position:absolute;left:-20;top:-20;height:1993;width:4003;"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62119E">
                        <w:pPr>
                          <w:spacing w:line="289" w:lineRule="auto"/>
                          <w:rPr>
                            <w:rFonts w:ascii="Arial"/>
                            <w:sz w:val="21"/>
                          </w:rPr>
                        </w:pPr>
                      </w:p>
                      <w:p w14:paraId="119EF0EE">
                        <w:pPr>
                          <w:spacing w:line="289" w:lineRule="auto"/>
                          <w:rPr>
                            <w:rFonts w:ascii="Arial"/>
                            <w:sz w:val="21"/>
                          </w:rPr>
                        </w:pPr>
                      </w:p>
                      <w:p w14:paraId="4E4CF3BF">
                        <w:pPr>
                          <w:spacing w:line="290" w:lineRule="auto"/>
                          <w:rPr>
                            <w:rFonts w:ascii="Arial"/>
                            <w:sz w:val="21"/>
                          </w:rPr>
                        </w:pPr>
                      </w:p>
                      <w:p w14:paraId="3078565E">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41" name="组合 34"/>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7" name="Image"/>
                          <pic:cNvPicPr/>
                        </pic:nvPicPr>
                        <pic:blipFill>
                          <a:blip r:embed="rId14" cstate="print"/>
                          <a:srcRect/>
                          <a:stretch>
                            <a:fillRect/>
                          </a:stretch>
                        </pic:blipFill>
                        <pic:spPr>
                          <a:xfrm>
                            <a:off x="0" y="0"/>
                            <a:ext cx="3963" cy="2230"/>
                          </a:xfrm>
                          <a:prstGeom prst="rect">
                            <a:avLst/>
                          </a:prstGeom>
                          <a:ln>
                            <a:noFill/>
                          </a:ln>
                        </pic:spPr>
                      </pic:pic>
                      <wps:wsp>
                        <wps:cNvPr id="8" name="矩形 8"/>
                        <wps:cNvSpPr/>
                        <wps:spPr>
                          <a:xfrm>
                            <a:off x="-20" y="-20"/>
                            <a:ext cx="4003" cy="1993"/>
                          </a:xfrm>
                          <a:prstGeom prst="rect">
                            <a:avLst/>
                          </a:prstGeom>
                          <a:ln>
                            <a:noFill/>
                          </a:ln>
                        </wps:spPr>
                        <wps:txbx>
                          <w:txbxContent>
                            <w:p w14:paraId="6DB59E25">
                              <w:pPr>
                                <w:spacing w:line="289" w:lineRule="auto"/>
                                <w:rPr>
                                  <w:rFonts w:ascii="Arial"/>
                                  <w:sz w:val="21"/>
                                </w:rPr>
                              </w:pPr>
                            </w:p>
                            <w:p w14:paraId="609B5373">
                              <w:pPr>
                                <w:spacing w:line="289" w:lineRule="auto"/>
                                <w:rPr>
                                  <w:rFonts w:ascii="Arial"/>
                                  <w:sz w:val="21"/>
                                </w:rPr>
                              </w:pPr>
                            </w:p>
                            <w:p w14:paraId="2621CCC6">
                              <w:pPr>
                                <w:spacing w:line="290" w:lineRule="auto"/>
                                <w:rPr>
                                  <w:rFonts w:ascii="Arial"/>
                                  <w:sz w:val="21"/>
                                </w:rPr>
                              </w:pPr>
                            </w:p>
                            <w:p w14:paraId="370B5DC9">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34"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">
                <o:lock v:ext="edit" aspectratio="f"/>
                <v:shape id="Image" o:spid="_x0000_s1026" o:spt="75" type="#_x0000_t75" style="position:absolute;left:0;top:0;height:2230;width:3963;" filled="f" o:preferrelative="t" stroked="f" coordsize="21600,21600" o:gfxdata="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PjLBvQAA&#10;ANoAAAAPAAAAAAAAAAEAIAAAACIAAABkcnMvZG93bnJldi54bWxQSwECFAAUAAAACACHTuJAMy8F&#10;njsAAAA5AAAAEAAAAAAAAAABACAAAAAMAQAAZHJzL3NoYXBleG1sLnhtbFBLBQYAAAAABgAGAFsB&#10;AAC2AwAAAAA=&#10;">
                  <v:fill on="f" focussize="0,0"/>
                  <v:stroke on="f"/>
                  <v:imagedata r:id="rId14" o:title=""/>
                  <o:lock v:ext="edit" aspectratio="f"/>
                </v:shape>
                <v:rect id="_x0000_s1026" o:spid="_x0000_s1026" o:spt="1" style="position:absolute;left:-20;top:-20;height:1993;width:4003;"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14:paraId="6DB59E25">
                        <w:pPr>
                          <w:spacing w:line="289" w:lineRule="auto"/>
                          <w:rPr>
                            <w:rFonts w:ascii="Arial"/>
                            <w:sz w:val="21"/>
                          </w:rPr>
                        </w:pPr>
                      </w:p>
                      <w:p w14:paraId="609B5373">
                        <w:pPr>
                          <w:spacing w:line="289" w:lineRule="auto"/>
                          <w:rPr>
                            <w:rFonts w:ascii="Arial"/>
                            <w:sz w:val="21"/>
                          </w:rPr>
                        </w:pPr>
                      </w:p>
                      <w:p w14:paraId="2621CCC6">
                        <w:pPr>
                          <w:spacing w:line="290" w:lineRule="auto"/>
                          <w:rPr>
                            <w:rFonts w:ascii="Arial"/>
                            <w:sz w:val="21"/>
                          </w:rPr>
                        </w:pPr>
                      </w:p>
                      <w:p w14:paraId="370B5DC9">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p>
    <w:p w14:paraId="4C08CD36">
      <w:pPr>
        <w:spacing w:line="309" w:lineRule="auto"/>
        <w:rPr>
          <w:rFonts w:hint="eastAsia" w:ascii="仿宋" w:hAnsi="仿宋" w:eastAsia="仿宋" w:cs="仿宋"/>
          <w:b w:val="0"/>
          <w:bCs w:val="0"/>
          <w:color w:val="000000"/>
          <w:sz w:val="24"/>
          <w:szCs w:val="24"/>
        </w:rPr>
      </w:pPr>
    </w:p>
    <w:p w14:paraId="64D5710E">
      <w:pPr>
        <w:pStyle w:val="20"/>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 xml:space="preserve">                           </w:t>
      </w:r>
    </w:p>
    <w:p w14:paraId="4D00ECF3">
      <w:pPr>
        <w:pStyle w:val="20"/>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法定代表人（签字或签章）：</w:t>
      </w:r>
      <w:r>
        <w:rPr>
          <w:rFonts w:hint="eastAsia" w:ascii="仿宋" w:hAnsi="仿宋" w:eastAsia="仿宋" w:cs="仿宋"/>
          <w:color w:val="000000"/>
          <w:sz w:val="24"/>
          <w:u w:val="single"/>
        </w:rPr>
        <w:t xml:space="preserve">                     </w:t>
      </w:r>
    </w:p>
    <w:p w14:paraId="52445FB4">
      <w:pPr>
        <w:pStyle w:val="20"/>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身份证号码：__________________________________ </w:t>
      </w:r>
    </w:p>
    <w:p w14:paraId="18C6FE45">
      <w:pPr>
        <w:pStyle w:val="20"/>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委托代理人（签字或签章）：</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14:paraId="3B374200">
      <w:pPr>
        <w:pStyle w:val="20"/>
        <w:tabs>
          <w:tab w:val="left" w:pos="5580"/>
        </w:tabs>
        <w:spacing w:line="240" w:lineRule="atLeast"/>
        <w:ind w:firstLine="480" w:firstLineChars="200"/>
        <w:rPr>
          <w:rFonts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p>
    <w:p w14:paraId="4E60A682">
      <w:pPr>
        <w:pStyle w:val="20"/>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详细通讯地址：</w:t>
      </w:r>
      <w:r>
        <w:rPr>
          <w:rFonts w:hint="eastAsia" w:ascii="仿宋" w:hAnsi="仿宋" w:eastAsia="仿宋" w:cs="仿宋"/>
          <w:color w:val="000000"/>
          <w:sz w:val="24"/>
          <w:u w:val="single"/>
        </w:rPr>
        <w:t xml:space="preserve">                                 </w:t>
      </w:r>
    </w:p>
    <w:p w14:paraId="1303CE69">
      <w:pPr>
        <w:pStyle w:val="20"/>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邮 政 编 码 ：</w:t>
      </w:r>
      <w:r>
        <w:rPr>
          <w:rFonts w:hint="eastAsia" w:ascii="仿宋" w:hAnsi="仿宋" w:eastAsia="仿宋" w:cs="仿宋"/>
          <w:color w:val="000000"/>
          <w:sz w:val="24"/>
          <w:u w:val="single"/>
        </w:rPr>
        <w:t xml:space="preserve">                                 </w:t>
      </w:r>
    </w:p>
    <w:p w14:paraId="1D3F3329">
      <w:pPr>
        <w:pStyle w:val="20"/>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传　　　　真：</w:t>
      </w:r>
      <w:r>
        <w:rPr>
          <w:rFonts w:hint="eastAsia" w:ascii="仿宋" w:hAnsi="仿宋" w:eastAsia="仿宋" w:cs="仿宋"/>
          <w:color w:val="000000"/>
          <w:sz w:val="24"/>
          <w:u w:val="single"/>
        </w:rPr>
        <w:t xml:space="preserve">                                 </w:t>
      </w:r>
    </w:p>
    <w:p w14:paraId="52DCC0DD">
      <w:pPr>
        <w:pStyle w:val="20"/>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电　　　　话：</w:t>
      </w:r>
      <w:r>
        <w:rPr>
          <w:rFonts w:hint="eastAsia" w:ascii="仿宋" w:hAnsi="仿宋" w:eastAsia="仿宋" w:cs="仿宋"/>
          <w:color w:val="000000"/>
          <w:sz w:val="24"/>
          <w:u w:val="single"/>
        </w:rPr>
        <w:t xml:space="preserve">                                 </w:t>
      </w:r>
    </w:p>
    <w:p w14:paraId="3FDD4E4E">
      <w:pPr>
        <w:spacing w:line="360" w:lineRule="auto"/>
        <w:ind w:firstLine="420" w:firstLineChars="200"/>
        <w:jc w:val="right"/>
        <w:rPr>
          <w:rFonts w:hint="eastAsia" w:ascii="仿宋" w:hAnsi="仿宋" w:eastAsia="仿宋" w:cs="仿宋"/>
          <w:color w:val="000000"/>
          <w:sz w:val="24"/>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r>
        <w:rPr>
          <w:rFonts w:hint="eastAsia" w:ascii="仿宋" w:hAnsi="仿宋" w:eastAsia="仿宋" w:cs="仿宋"/>
          <w:color w:val="000000"/>
          <w:szCs w:val="21"/>
        </w:rPr>
        <w:t xml:space="preserve">年   月   日 </w:t>
      </w:r>
    </w:p>
    <w:p w14:paraId="4C595BC5">
      <w:pPr>
        <w:pStyle w:val="4"/>
        <w:spacing w:before="0" w:line="240" w:lineRule="atLeast"/>
        <w:ind w:left="1080" w:leftChars="257" w:hanging="540"/>
        <w:rPr>
          <w:rFonts w:hint="eastAsia" w:ascii="仿宋" w:hAnsi="仿宋" w:eastAsia="仿宋" w:cs="仿宋"/>
          <w:color w:val="000000"/>
          <w:sz w:val="24"/>
        </w:rPr>
      </w:pPr>
      <w:bookmarkStart w:id="363" w:name="_Toc8153"/>
      <w:bookmarkStart w:id="364" w:name="_Toc1254"/>
      <w:bookmarkStart w:id="365" w:name="_Toc24272"/>
      <w:bookmarkStart w:id="366" w:name="_Toc2575"/>
      <w:bookmarkStart w:id="367" w:name="_Toc20781"/>
      <w:r>
        <w:rPr>
          <w:rFonts w:hint="eastAsia" w:ascii="仿宋" w:hAnsi="仿宋" w:eastAsia="仿宋" w:cs="仿宋"/>
          <w:color w:val="000000"/>
          <w:sz w:val="24"/>
          <w:highlight w:val="none"/>
          <w:lang w:val="en-US" w:eastAsia="zh-CN"/>
        </w:rPr>
        <w:t>4  本单位缴纳的近六个月中任意一个月的社保缴纳证明；</w:t>
      </w:r>
      <w:bookmarkEnd w:id="363"/>
      <w:bookmarkEnd w:id="364"/>
      <w:bookmarkEnd w:id="365"/>
      <w:bookmarkEnd w:id="366"/>
      <w:bookmarkEnd w:id="367"/>
    </w:p>
    <w:p w14:paraId="2DEDF1F2">
      <w:pPr>
        <w:tabs>
          <w:tab w:val="left" w:pos="5580"/>
        </w:tabs>
        <w:spacing w:line="240" w:lineRule="atLeast"/>
        <w:ind w:left="1080" w:leftChars="257" w:hanging="540"/>
        <w:jc w:val="center"/>
        <w:rPr>
          <w:rFonts w:ascii="仿宋" w:hAnsi="仿宋" w:eastAsia="仿宋" w:cs="仿宋"/>
          <w:b/>
          <w:color w:val="000000"/>
          <w:sz w:val="24"/>
        </w:rPr>
      </w:pPr>
    </w:p>
    <w:p w14:paraId="7D8076C6">
      <w:pPr>
        <w:tabs>
          <w:tab w:val="left" w:pos="5580"/>
        </w:tabs>
        <w:spacing w:line="240" w:lineRule="atLeast"/>
        <w:ind w:left="1080" w:leftChars="257" w:hanging="540"/>
        <w:jc w:val="center"/>
        <w:rPr>
          <w:rFonts w:ascii="仿宋" w:hAnsi="仿宋" w:eastAsia="仿宋" w:cs="仿宋"/>
          <w:b/>
          <w:color w:val="000000"/>
          <w:sz w:val="24"/>
        </w:rPr>
      </w:pPr>
    </w:p>
    <w:p w14:paraId="1EDAEF0E">
      <w:pPr>
        <w:pStyle w:val="4"/>
        <w:spacing w:before="0" w:line="240" w:lineRule="atLeast"/>
        <w:ind w:left="1080" w:leftChars="257" w:hanging="540"/>
        <w:rPr>
          <w:rFonts w:hint="eastAsia" w:ascii="仿宋" w:hAnsi="仿宋" w:eastAsia="仿宋" w:cs="仿宋"/>
          <w:color w:val="000000"/>
          <w:sz w:val="24"/>
        </w:rPr>
      </w:pPr>
    </w:p>
    <w:p w14:paraId="44C205EE">
      <w:pPr>
        <w:pStyle w:val="4"/>
        <w:spacing w:before="0" w:line="240" w:lineRule="atLeast"/>
        <w:ind w:left="1080" w:leftChars="257" w:hanging="540"/>
        <w:rPr>
          <w:rFonts w:ascii="仿宋" w:hAnsi="仿宋" w:eastAsia="仿宋" w:cs="仿宋"/>
          <w:color w:val="000000"/>
          <w:sz w:val="24"/>
        </w:rPr>
      </w:pPr>
      <w:bookmarkStart w:id="368" w:name="_Toc8449"/>
      <w:bookmarkStart w:id="369" w:name="_Toc20978"/>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w:t>
      </w:r>
      <w:bookmarkEnd w:id="352"/>
      <w:bookmarkEnd w:id="353"/>
      <w:bookmarkEnd w:id="354"/>
      <w:bookmarkEnd w:id="362"/>
      <w:r>
        <w:rPr>
          <w:rFonts w:hint="eastAsia" w:ascii="仿宋" w:hAnsi="仿宋" w:eastAsia="仿宋_GB2312" w:cs="仿宋"/>
          <w:color w:val="000000"/>
          <w:sz w:val="24"/>
        </w:rPr>
        <w:t>具有税务局开具依法缴纳</w:t>
      </w:r>
      <w:r>
        <w:rPr>
          <w:rFonts w:hint="eastAsia" w:ascii="仿宋" w:hAnsi="仿宋" w:eastAsia="仿宋_GB2312" w:cs="仿宋"/>
          <w:color w:val="000000"/>
          <w:sz w:val="24"/>
          <w:lang w:eastAsia="zh-CN"/>
        </w:rPr>
        <w:t>近六个月中任意一个月的税收证明</w:t>
      </w:r>
      <w:r>
        <w:rPr>
          <w:rFonts w:hint="eastAsia" w:ascii="仿宋" w:hAnsi="仿宋" w:eastAsia="仿宋_GB2312" w:cs="仿宋"/>
          <w:color w:val="000000"/>
          <w:sz w:val="24"/>
        </w:rPr>
        <w:t>的良好记录（完税证明）；注：①若为零申报企业，需提供无欠税证明或国家税务总局电子税务局“申报结果查询截图”。②“税种”非社会保险</w:t>
      </w:r>
      <w:bookmarkEnd w:id="368"/>
      <w:bookmarkEnd w:id="369"/>
    </w:p>
    <w:p w14:paraId="21012A2E">
      <w:pPr>
        <w:tabs>
          <w:tab w:val="left" w:pos="5580"/>
        </w:tabs>
        <w:spacing w:line="240" w:lineRule="atLeast"/>
        <w:ind w:left="1080" w:leftChars="257" w:hanging="540"/>
        <w:jc w:val="center"/>
        <w:rPr>
          <w:rFonts w:ascii="仿宋" w:hAnsi="仿宋" w:eastAsia="仿宋" w:cs="仿宋"/>
          <w:b/>
          <w:color w:val="000000"/>
          <w:sz w:val="24"/>
        </w:rPr>
      </w:pPr>
    </w:p>
    <w:p w14:paraId="029E2771">
      <w:pPr>
        <w:tabs>
          <w:tab w:val="left" w:pos="5580"/>
        </w:tabs>
        <w:spacing w:line="240" w:lineRule="atLeast"/>
        <w:ind w:left="1080" w:leftChars="257" w:hanging="540"/>
        <w:jc w:val="center"/>
        <w:rPr>
          <w:rFonts w:ascii="仿宋" w:hAnsi="仿宋" w:eastAsia="仿宋" w:cs="仿宋"/>
          <w:b/>
          <w:color w:val="000000"/>
          <w:sz w:val="24"/>
        </w:rPr>
      </w:pPr>
    </w:p>
    <w:p w14:paraId="0FCCEF20">
      <w:pPr>
        <w:tabs>
          <w:tab w:val="left" w:pos="5580"/>
        </w:tabs>
        <w:spacing w:line="240" w:lineRule="atLeast"/>
        <w:ind w:left="1080" w:leftChars="257" w:hanging="540"/>
        <w:jc w:val="center"/>
        <w:rPr>
          <w:rFonts w:ascii="仿宋" w:hAnsi="仿宋" w:eastAsia="仿宋" w:cs="仿宋"/>
          <w:b/>
          <w:color w:val="000000"/>
          <w:sz w:val="24"/>
        </w:rPr>
      </w:pPr>
      <w:bookmarkStart w:id="370" w:name="_Toc11047"/>
      <w:bookmarkStart w:id="371" w:name="_Toc515647809"/>
      <w:bookmarkStart w:id="372" w:name="_Toc28445"/>
      <w:bookmarkStart w:id="373" w:name="_Toc22426"/>
    </w:p>
    <w:p w14:paraId="1E71369B">
      <w:pPr>
        <w:pStyle w:val="4"/>
        <w:spacing w:before="0" w:line="240" w:lineRule="atLeast"/>
        <w:ind w:left="1080" w:leftChars="257" w:hanging="540"/>
        <w:rPr>
          <w:rFonts w:hint="eastAsia" w:ascii="仿宋" w:hAnsi="仿宋" w:eastAsia="仿宋" w:cs="仿宋"/>
          <w:color w:val="000000"/>
          <w:sz w:val="24"/>
        </w:rPr>
      </w:pPr>
      <w:bookmarkStart w:id="374" w:name="_Toc6463"/>
      <w:bookmarkStart w:id="375" w:name="_Toc3159"/>
      <w:r>
        <w:rPr>
          <w:rFonts w:hint="eastAsia" w:ascii="仿宋" w:hAnsi="仿宋" w:eastAsia="仿宋" w:cs="仿宋"/>
          <w:color w:val="000000"/>
          <w:sz w:val="24"/>
          <w:lang w:val="en-US" w:eastAsia="zh-CN"/>
        </w:rPr>
        <w:t>6</w:t>
      </w:r>
      <w:r>
        <w:rPr>
          <w:rFonts w:hint="eastAsia" w:ascii="仿宋" w:hAnsi="仿宋" w:eastAsia="仿宋" w:cs="仿宋"/>
          <w:color w:val="000000"/>
          <w:sz w:val="24"/>
        </w:rPr>
        <w:t xml:space="preserve">  </w:t>
      </w:r>
      <w:bookmarkEnd w:id="370"/>
      <w:bookmarkEnd w:id="371"/>
      <w:bookmarkEnd w:id="372"/>
      <w:r>
        <w:rPr>
          <w:rFonts w:hint="eastAsia" w:ascii="仿宋" w:hAnsi="仿宋" w:eastAsia="仿宋" w:cs="仿宋"/>
          <w:color w:val="000000"/>
          <w:sz w:val="24"/>
          <w:lang w:eastAsia="zh-CN"/>
        </w:rPr>
        <w:t>2024年度或2025年度的财务审计报告</w:t>
      </w:r>
      <w:r>
        <w:rPr>
          <w:rFonts w:hint="eastAsia" w:ascii="仿宋" w:hAnsi="仿宋" w:eastAsia="仿宋" w:cs="仿宋"/>
          <w:color w:val="000000"/>
          <w:sz w:val="24"/>
        </w:rPr>
        <w:t>（新成立未满一年的公司提供有效的银行资信证明）</w:t>
      </w:r>
      <w:bookmarkEnd w:id="373"/>
      <w:bookmarkEnd w:id="374"/>
      <w:bookmarkEnd w:id="375"/>
    </w:p>
    <w:p w14:paraId="6EE04E5F">
      <w:pPr>
        <w:tabs>
          <w:tab w:val="left" w:pos="5580"/>
        </w:tabs>
        <w:spacing w:line="240" w:lineRule="atLeast"/>
        <w:ind w:left="1080" w:leftChars="257" w:hanging="540"/>
        <w:jc w:val="center"/>
        <w:rPr>
          <w:rFonts w:ascii="仿宋" w:hAnsi="仿宋" w:eastAsia="仿宋" w:cs="仿宋"/>
          <w:b/>
          <w:color w:val="000000"/>
          <w:sz w:val="24"/>
        </w:rPr>
      </w:pPr>
      <w:bookmarkStart w:id="376" w:name="_Toc18754"/>
      <w:bookmarkStart w:id="377" w:name="_Toc5710"/>
      <w:bookmarkStart w:id="378" w:name="_Toc515647810"/>
      <w:bookmarkStart w:id="379" w:name="_Toc24753"/>
    </w:p>
    <w:p w14:paraId="056A5950">
      <w:pPr>
        <w:tabs>
          <w:tab w:val="left" w:pos="5580"/>
        </w:tabs>
        <w:spacing w:line="240" w:lineRule="atLeast"/>
        <w:ind w:left="1080" w:leftChars="257" w:hanging="540"/>
        <w:jc w:val="center"/>
        <w:rPr>
          <w:rFonts w:ascii="仿宋" w:hAnsi="仿宋" w:eastAsia="仿宋" w:cs="仿宋"/>
          <w:b/>
          <w:color w:val="000000"/>
          <w:sz w:val="24"/>
        </w:rPr>
      </w:pPr>
    </w:p>
    <w:p w14:paraId="30FDABD6">
      <w:pPr>
        <w:tabs>
          <w:tab w:val="left" w:pos="5580"/>
        </w:tabs>
        <w:spacing w:line="240" w:lineRule="atLeast"/>
        <w:ind w:left="1080" w:leftChars="257" w:hanging="540"/>
        <w:jc w:val="center"/>
        <w:rPr>
          <w:rFonts w:ascii="仿宋" w:hAnsi="仿宋" w:eastAsia="仿宋" w:cs="仿宋"/>
          <w:b/>
          <w:color w:val="000000"/>
          <w:sz w:val="24"/>
        </w:rPr>
      </w:pPr>
    </w:p>
    <w:p w14:paraId="20581857">
      <w:pPr>
        <w:rPr>
          <w:rFonts w:hint="eastAsia"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 xml:space="preserve">7  </w:t>
      </w:r>
      <w:bookmarkEnd w:id="376"/>
      <w:bookmarkEnd w:id="377"/>
      <w:bookmarkEnd w:id="378"/>
      <w:bookmarkEnd w:id="379"/>
      <w:r>
        <w:rPr>
          <w:rFonts w:hint="eastAsia" w:ascii="仿宋" w:hAnsi="仿宋" w:eastAsia="仿宋" w:cs="仿宋"/>
          <w:b/>
          <w:color w:val="000000"/>
          <w:kern w:val="0"/>
          <w:sz w:val="24"/>
          <w:szCs w:val="20"/>
          <w:lang w:val="en-US" w:eastAsia="zh-CN" w:bidi="ar-SA"/>
        </w:rPr>
        <w:t>投标人参加项目领取招标文件期间采购活动前三年内，在经营活动中没有重大违法记录的书面承诺书、三年内无行政处罚记录承诺书（格式自拟）；</w:t>
      </w:r>
    </w:p>
    <w:p w14:paraId="58CEBEB5">
      <w:pPr>
        <w:tabs>
          <w:tab w:val="left" w:pos="5580"/>
        </w:tabs>
        <w:spacing w:line="240" w:lineRule="atLeast"/>
        <w:ind w:left="1080" w:leftChars="257" w:hanging="540"/>
        <w:jc w:val="center"/>
        <w:rPr>
          <w:rFonts w:ascii="仿宋" w:hAnsi="仿宋" w:eastAsia="仿宋" w:cs="仿宋"/>
          <w:b/>
          <w:color w:val="000000"/>
          <w:sz w:val="24"/>
        </w:rPr>
      </w:pPr>
      <w:bookmarkStart w:id="380" w:name="_Toc1206"/>
      <w:bookmarkStart w:id="381" w:name="_Toc515647811"/>
      <w:bookmarkStart w:id="382" w:name="_Toc24428"/>
      <w:bookmarkStart w:id="383" w:name="_Toc32670"/>
    </w:p>
    <w:p w14:paraId="5939E3C1">
      <w:pPr>
        <w:tabs>
          <w:tab w:val="left" w:pos="5580"/>
        </w:tabs>
        <w:spacing w:line="240" w:lineRule="atLeast"/>
        <w:ind w:left="1080" w:leftChars="257" w:hanging="540"/>
        <w:jc w:val="center"/>
        <w:rPr>
          <w:rFonts w:ascii="仿宋" w:hAnsi="仿宋" w:eastAsia="仿宋" w:cs="仿宋"/>
          <w:b/>
          <w:color w:val="000000"/>
          <w:sz w:val="24"/>
        </w:rPr>
      </w:pPr>
    </w:p>
    <w:p w14:paraId="4E08C8B6">
      <w:pPr>
        <w:tabs>
          <w:tab w:val="left" w:pos="5580"/>
        </w:tabs>
        <w:spacing w:line="240" w:lineRule="atLeast"/>
        <w:ind w:left="1080" w:leftChars="257" w:hanging="540"/>
        <w:jc w:val="center"/>
        <w:rPr>
          <w:rFonts w:ascii="仿宋" w:hAnsi="仿宋" w:eastAsia="仿宋" w:cs="仿宋"/>
          <w:b/>
          <w:color w:val="000000"/>
          <w:sz w:val="24"/>
        </w:rPr>
      </w:pPr>
    </w:p>
    <w:p w14:paraId="2E581B7C">
      <w:pPr>
        <w:rPr>
          <w:rFonts w:hint="eastAsia" w:ascii="仿宋" w:hAnsi="仿宋" w:eastAsia="仿宋" w:cs="仿宋"/>
          <w:b/>
          <w:color w:val="000000"/>
          <w:kern w:val="0"/>
          <w:sz w:val="24"/>
          <w:szCs w:val="20"/>
          <w:lang w:val="en-US" w:eastAsia="zh-CN" w:bidi="ar-SA"/>
        </w:rPr>
      </w:pPr>
      <w:bookmarkStart w:id="384" w:name="_Toc703"/>
      <w:r>
        <w:rPr>
          <w:rFonts w:hint="eastAsia" w:ascii="仿宋" w:hAnsi="仿宋" w:eastAsia="仿宋" w:cs="仿宋"/>
          <w:b/>
          <w:color w:val="000000"/>
          <w:kern w:val="0"/>
          <w:sz w:val="24"/>
          <w:szCs w:val="20"/>
          <w:lang w:val="en-US" w:eastAsia="zh-CN" w:bidi="ar-SA"/>
        </w:rPr>
        <w:t xml:space="preserve">8 </w:t>
      </w:r>
      <w:bookmarkEnd w:id="380"/>
      <w:bookmarkEnd w:id="381"/>
      <w:bookmarkEnd w:id="382"/>
      <w:bookmarkEnd w:id="383"/>
      <w:bookmarkEnd w:id="384"/>
      <w:r>
        <w:rPr>
          <w:rFonts w:hint="eastAsia" w:ascii="仿宋" w:hAnsi="仿宋" w:eastAsia="仿宋" w:cs="仿宋"/>
          <w:b/>
          <w:color w:val="000000"/>
          <w:kern w:val="0"/>
          <w:sz w:val="24"/>
          <w:szCs w:val="20"/>
          <w:lang w:val="en-US" w:eastAsia="zh-CN" w:bidi="ar-SA"/>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p w14:paraId="2DA1E169">
      <w:pPr>
        <w:pStyle w:val="20"/>
        <w:tabs>
          <w:tab w:val="left" w:pos="5580"/>
        </w:tabs>
        <w:spacing w:line="240" w:lineRule="atLeast"/>
        <w:ind w:left="1080" w:leftChars="257" w:hanging="540"/>
        <w:jc w:val="center"/>
        <w:rPr>
          <w:rFonts w:ascii="仿宋" w:hAnsi="仿宋" w:eastAsia="仿宋" w:cs="仿宋"/>
          <w:b/>
          <w:color w:val="000000"/>
          <w:sz w:val="24"/>
        </w:rPr>
      </w:pPr>
    </w:p>
    <w:p w14:paraId="168DC4BB">
      <w:pPr>
        <w:pStyle w:val="20"/>
        <w:tabs>
          <w:tab w:val="left" w:pos="5580"/>
        </w:tabs>
        <w:spacing w:line="240" w:lineRule="atLeast"/>
        <w:ind w:left="1080" w:leftChars="257" w:hanging="540"/>
        <w:rPr>
          <w:rFonts w:ascii="仿宋" w:hAnsi="仿宋" w:eastAsia="仿宋" w:cs="仿宋"/>
          <w:color w:val="000000"/>
          <w:sz w:val="24"/>
        </w:rPr>
      </w:pPr>
    </w:p>
    <w:p w14:paraId="02BDB723">
      <w:pPr>
        <w:pStyle w:val="20"/>
        <w:tabs>
          <w:tab w:val="left" w:pos="5580"/>
        </w:tabs>
        <w:spacing w:line="240" w:lineRule="atLeast"/>
        <w:ind w:left="1080" w:leftChars="257" w:hanging="540"/>
        <w:rPr>
          <w:rFonts w:ascii="仿宋" w:hAnsi="仿宋" w:eastAsia="仿宋" w:cs="仿宋"/>
          <w:color w:val="000000"/>
          <w:sz w:val="24"/>
        </w:rPr>
      </w:pPr>
    </w:p>
    <w:p w14:paraId="4176FD39">
      <w:pPr>
        <w:rPr>
          <w:rFonts w:ascii="仿宋" w:hAnsi="仿宋" w:eastAsia="仿宋" w:cs="仿宋"/>
          <w:color w:val="000000"/>
          <w:sz w:val="24"/>
        </w:rPr>
      </w:pPr>
      <w:r>
        <w:rPr>
          <w:rFonts w:hint="eastAsia" w:ascii="仿宋" w:hAnsi="仿宋" w:eastAsia="仿宋" w:cs="仿宋"/>
          <w:color w:val="000000"/>
          <w:sz w:val="24"/>
        </w:rPr>
        <w:br w:type="page"/>
      </w:r>
    </w:p>
    <w:p w14:paraId="4EBB93B9">
      <w:pPr>
        <w:pStyle w:val="4"/>
        <w:spacing w:before="0" w:line="240" w:lineRule="atLeast"/>
        <w:ind w:left="1080" w:leftChars="257" w:hanging="540"/>
        <w:rPr>
          <w:rFonts w:ascii="仿宋" w:hAnsi="仿宋" w:eastAsia="仿宋" w:cs="仿宋"/>
          <w:color w:val="000000"/>
          <w:sz w:val="24"/>
        </w:rPr>
      </w:pPr>
      <w:bookmarkStart w:id="385" w:name="_Toc17207"/>
      <w:bookmarkStart w:id="386" w:name="_Toc515647813"/>
      <w:bookmarkStart w:id="387" w:name="_Toc29703"/>
    </w:p>
    <w:p w14:paraId="3873B297">
      <w:pPr>
        <w:pStyle w:val="4"/>
        <w:spacing w:before="0" w:line="240" w:lineRule="atLeast"/>
        <w:ind w:left="1080" w:leftChars="257" w:hanging="540"/>
        <w:rPr>
          <w:rFonts w:hint="eastAsia" w:ascii="仿宋" w:hAnsi="仿宋" w:eastAsia="仿宋" w:cs="仿宋"/>
          <w:color w:val="000000"/>
          <w:sz w:val="24"/>
        </w:rPr>
      </w:pPr>
      <w:bookmarkStart w:id="388" w:name="_Toc19449"/>
      <w:bookmarkStart w:id="389" w:name="_Toc27775"/>
      <w:bookmarkStart w:id="390" w:name="_Toc16250"/>
      <w:r>
        <w:rPr>
          <w:rFonts w:hint="eastAsia" w:ascii="仿宋" w:hAnsi="仿宋" w:eastAsia="仿宋" w:cs="仿宋"/>
          <w:color w:val="000000"/>
          <w:sz w:val="24"/>
          <w:lang w:val="en-US" w:eastAsia="zh-CN"/>
        </w:rPr>
        <w:t>9</w:t>
      </w:r>
      <w:r>
        <w:rPr>
          <w:rFonts w:hint="eastAsia" w:ascii="仿宋" w:hAnsi="仿宋" w:eastAsia="仿宋" w:cs="仿宋"/>
          <w:color w:val="000000"/>
          <w:sz w:val="24"/>
        </w:rPr>
        <w:t xml:space="preserve">  </w:t>
      </w:r>
      <w:bookmarkEnd w:id="385"/>
      <w:bookmarkEnd w:id="386"/>
      <w:bookmarkEnd w:id="387"/>
      <w:bookmarkEnd w:id="388"/>
      <w:r>
        <w:rPr>
          <w:rFonts w:hint="eastAsia" w:ascii="仿宋" w:hAnsi="仿宋" w:eastAsia="仿宋" w:cs="仿宋"/>
          <w:color w:val="000000"/>
          <w:sz w:val="24"/>
        </w:rPr>
        <w:t>投标保证金有效凭证</w:t>
      </w:r>
      <w:bookmarkEnd w:id="389"/>
      <w:bookmarkEnd w:id="390"/>
    </w:p>
    <w:p w14:paraId="59EA30E6">
      <w:pPr>
        <w:rPr>
          <w:color w:val="000000"/>
        </w:rPr>
      </w:pPr>
    </w:p>
    <w:p w14:paraId="6C0B987D">
      <w:pPr>
        <w:ind w:firstLine="480" w:firstLineChars="200"/>
        <w:rPr>
          <w:rFonts w:ascii="仿宋" w:hAnsi="仿宋" w:eastAsia="仿宋" w:cs="仿宋"/>
          <w:color w:val="000000"/>
          <w:sz w:val="24"/>
        </w:rPr>
      </w:pPr>
      <w:bookmarkStart w:id="391" w:name="_Toc494296991"/>
      <w:bookmarkStart w:id="392" w:name="_Toc494296665"/>
      <w:r>
        <w:rPr>
          <w:rFonts w:hint="eastAsia" w:ascii="仿宋" w:hAnsi="仿宋" w:eastAsia="仿宋" w:cs="仿宋"/>
          <w:color w:val="000000"/>
          <w:sz w:val="24"/>
          <w:lang w:val="en-US" w:eastAsia="zh-CN"/>
        </w:rPr>
        <w:t>投标人</w:t>
      </w:r>
      <w:r>
        <w:rPr>
          <w:rFonts w:hint="eastAsia" w:ascii="仿宋" w:hAnsi="仿宋" w:eastAsia="仿宋" w:cs="仿宋"/>
          <w:color w:val="000000"/>
          <w:sz w:val="24"/>
        </w:rPr>
        <w:t>可将本项目投标保证金支付的电汇、转账、支票、汇票、本票的原件扫描件作为缴纳凭证或投标保证金收据装订在本部分，原件扫描件上应加盖本单位章；使用银行保函等其他投标担保函的，应将担保函正本，装订在本部分正本中；如采用政府采购信用担保形式的，应使用（</w:t>
      </w:r>
      <w:r>
        <w:rPr>
          <w:rFonts w:hint="eastAsia" w:ascii="仿宋" w:hAnsi="仿宋" w:eastAsia="仿宋" w:cs="仿宋"/>
          <w:color w:val="000000"/>
          <w:sz w:val="24"/>
          <w:lang w:val="en-US" w:eastAsia="zh-CN"/>
        </w:rPr>
        <w:t>招标</w:t>
      </w:r>
      <w:r>
        <w:rPr>
          <w:rFonts w:hint="eastAsia" w:ascii="仿宋" w:hAnsi="仿宋" w:eastAsia="仿宋" w:cs="仿宋"/>
          <w:color w:val="000000"/>
          <w:sz w:val="24"/>
        </w:rPr>
        <w:t>文件格式三）,将原件装订在本部分正本中。</w:t>
      </w:r>
      <w:bookmarkEnd w:id="391"/>
      <w:bookmarkEnd w:id="392"/>
    </w:p>
    <w:p w14:paraId="364A3270">
      <w:pPr>
        <w:pStyle w:val="2"/>
        <w:rPr>
          <w:rFonts w:ascii="仿宋" w:hAnsi="仿宋" w:eastAsia="仿宋" w:cs="仿宋"/>
          <w:color w:val="000000"/>
        </w:rPr>
      </w:pPr>
    </w:p>
    <w:tbl>
      <w:tblPr>
        <w:tblStyle w:val="36"/>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E2E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6978EE80">
            <w:pPr>
              <w:rPr>
                <w:rFonts w:ascii="仿宋" w:hAnsi="仿宋" w:eastAsia="仿宋" w:cs="仿宋"/>
                <w:b/>
                <w:bCs/>
                <w:color w:val="000000"/>
                <w:sz w:val="30"/>
                <w:szCs w:val="30"/>
              </w:rPr>
            </w:pPr>
          </w:p>
          <w:p w14:paraId="1D9CC2CE">
            <w:pPr>
              <w:jc w:val="center"/>
              <w:rPr>
                <w:rFonts w:ascii="仿宋" w:hAnsi="仿宋" w:eastAsia="仿宋" w:cs="仿宋"/>
                <w:b/>
                <w:bCs/>
                <w:color w:val="000000"/>
                <w:sz w:val="30"/>
                <w:szCs w:val="30"/>
              </w:rPr>
            </w:pPr>
          </w:p>
          <w:p w14:paraId="580BEE54">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投标保证金有效凭证</w:t>
            </w:r>
          </w:p>
        </w:tc>
      </w:tr>
    </w:tbl>
    <w:p w14:paraId="6489002A">
      <w:pPr>
        <w:pStyle w:val="2"/>
        <w:rPr>
          <w:rFonts w:ascii="仿宋" w:hAnsi="仿宋" w:eastAsia="仿宋" w:cs="仿宋"/>
          <w:color w:val="000000"/>
        </w:rPr>
      </w:pPr>
    </w:p>
    <w:p w14:paraId="582B28EA">
      <w:pPr>
        <w:spacing w:line="240" w:lineRule="atLeast"/>
        <w:ind w:left="1080" w:leftChars="257" w:hanging="540"/>
        <w:jc w:val="center"/>
        <w:rPr>
          <w:rFonts w:ascii="仿宋" w:hAnsi="仿宋" w:eastAsia="仿宋" w:cs="仿宋"/>
          <w:color w:val="000000"/>
          <w:sz w:val="24"/>
        </w:rPr>
      </w:pPr>
    </w:p>
    <w:p w14:paraId="5ECC1B95">
      <w:pPr>
        <w:pStyle w:val="2"/>
        <w:rPr>
          <w:rFonts w:ascii="仿宋" w:hAnsi="仿宋" w:eastAsia="仿宋" w:cs="仿宋"/>
          <w:color w:val="000000"/>
        </w:rPr>
      </w:pPr>
    </w:p>
    <w:p w14:paraId="5E10CDE3">
      <w:pPr>
        <w:pStyle w:val="2"/>
        <w:rPr>
          <w:rFonts w:ascii="仿宋" w:hAnsi="仿宋" w:eastAsia="仿宋" w:cs="仿宋"/>
          <w:color w:val="000000"/>
        </w:rPr>
      </w:pPr>
    </w:p>
    <w:p w14:paraId="4631AC98">
      <w:pPr>
        <w:pStyle w:val="2"/>
        <w:rPr>
          <w:rFonts w:ascii="仿宋" w:hAnsi="仿宋" w:eastAsia="仿宋" w:cs="仿宋"/>
          <w:color w:val="000000"/>
        </w:rPr>
      </w:pPr>
    </w:p>
    <w:p w14:paraId="3BCF13D6">
      <w:pPr>
        <w:pStyle w:val="19"/>
        <w:rPr>
          <w:color w:val="000000"/>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2131C293">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政府采购投标担保函 （项目用）（投标文件格式三）</w:t>
      </w:r>
    </w:p>
    <w:p w14:paraId="3F3FB9E2">
      <w:pPr>
        <w:ind w:firstLine="6930" w:firstLineChars="3300"/>
        <w:rPr>
          <w:rFonts w:hint="eastAsia" w:ascii="仿宋" w:hAnsi="仿宋" w:eastAsia="仿宋" w:cs="仿宋"/>
          <w:color w:val="000000"/>
        </w:rPr>
      </w:pPr>
      <w:r>
        <w:rPr>
          <w:rFonts w:hint="eastAsia" w:ascii="仿宋" w:hAnsi="仿宋" w:eastAsia="仿宋" w:cs="仿宋"/>
          <w:color w:val="000000"/>
        </w:rPr>
        <w:t>编号：</w:t>
      </w:r>
    </w:p>
    <w:p w14:paraId="757CF1BE">
      <w:pPr>
        <w:rPr>
          <w:rFonts w:hint="eastAsia" w:ascii="仿宋" w:hAnsi="仿宋" w:eastAsia="仿宋" w:cs="仿宋"/>
          <w:color w:val="000000"/>
        </w:rPr>
      </w:pPr>
      <w:r>
        <w:rPr>
          <w:rFonts w:hint="eastAsia" w:ascii="仿宋" w:hAnsi="仿宋" w:eastAsia="仿宋" w:cs="仿宋"/>
          <w:color w:val="000000"/>
          <w:u w:val="single"/>
        </w:rPr>
        <w:t xml:space="preserve">                  </w:t>
      </w:r>
      <w:r>
        <w:rPr>
          <w:rFonts w:hint="eastAsia" w:ascii="仿宋" w:hAnsi="仿宋" w:eastAsia="仿宋" w:cs="仿宋"/>
          <w:color w:val="000000"/>
        </w:rPr>
        <w:t>（采购人或采购代理机构）：</w:t>
      </w:r>
    </w:p>
    <w:p w14:paraId="25A5D4C9">
      <w:pPr>
        <w:pStyle w:val="15"/>
        <w:rPr>
          <w:color w:val="000000"/>
        </w:rPr>
      </w:pPr>
    </w:p>
    <w:p w14:paraId="6C56AF39">
      <w:pPr>
        <w:ind w:firstLine="420" w:firstLineChars="200"/>
        <w:rPr>
          <w:rFonts w:ascii="仿宋" w:hAnsi="仿宋" w:eastAsia="仿宋" w:cs="仿宋"/>
          <w:color w:val="000000"/>
        </w:rPr>
      </w:pPr>
      <w:r>
        <w:rPr>
          <w:rFonts w:hint="eastAsia" w:ascii="仿宋" w:hAnsi="仿宋" w:eastAsia="仿宋" w:cs="仿宋"/>
          <w:color w:val="000000"/>
        </w:rPr>
        <w:t>鉴于</w:t>
      </w:r>
      <w:r>
        <w:rPr>
          <w:rFonts w:hint="eastAsia" w:ascii="仿宋" w:hAnsi="仿宋" w:eastAsia="仿宋" w:cs="仿宋"/>
          <w:color w:val="000000"/>
          <w:u w:val="single"/>
        </w:rPr>
        <w:t xml:space="preserve">               </w:t>
      </w:r>
      <w:r>
        <w:rPr>
          <w:rFonts w:hint="eastAsia" w:ascii="仿宋" w:hAnsi="仿宋" w:eastAsia="仿宋" w:cs="仿宋"/>
          <w:color w:val="000000"/>
        </w:rPr>
        <w:t>（以下简称“投标人”）拟参加编号为</w:t>
      </w:r>
      <w:r>
        <w:rPr>
          <w:rFonts w:hint="eastAsia" w:ascii="仿宋" w:hAnsi="仿宋" w:eastAsia="仿宋" w:cs="仿宋"/>
          <w:color w:val="000000"/>
          <w:u w:val="single"/>
        </w:rPr>
        <w:t xml:space="preserve">            </w:t>
      </w:r>
      <w:r>
        <w:rPr>
          <w:rFonts w:hint="eastAsia" w:ascii="仿宋" w:hAnsi="仿宋" w:eastAsia="仿宋" w:cs="仿宋"/>
          <w:color w:val="000000"/>
        </w:rPr>
        <w:t>的</w:t>
      </w:r>
      <w:r>
        <w:rPr>
          <w:rFonts w:hint="eastAsia" w:ascii="仿宋" w:hAnsi="仿宋" w:eastAsia="仿宋" w:cs="仿宋"/>
          <w:color w:val="000000"/>
          <w:u w:val="single"/>
        </w:rPr>
        <w:t xml:space="preserve">       </w:t>
      </w:r>
      <w:r>
        <w:rPr>
          <w:rFonts w:hint="eastAsia" w:ascii="仿宋" w:hAnsi="仿宋" w:eastAsia="仿宋" w:cs="仿宋"/>
          <w:color w:val="000000"/>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342225B">
      <w:pPr>
        <w:ind w:firstLine="420" w:firstLineChars="200"/>
        <w:rPr>
          <w:rFonts w:ascii="仿宋" w:hAnsi="仿宋" w:eastAsia="仿宋" w:cs="仿宋"/>
          <w:color w:val="000000"/>
        </w:rPr>
      </w:pPr>
      <w:r>
        <w:rPr>
          <w:rFonts w:hint="eastAsia" w:ascii="仿宋" w:hAnsi="仿宋" w:eastAsia="仿宋" w:cs="仿宋"/>
          <w:color w:val="000000"/>
        </w:rPr>
        <w:t>一、保证责任的情形及保证金额</w:t>
      </w:r>
    </w:p>
    <w:p w14:paraId="4CBDE992">
      <w:pPr>
        <w:ind w:firstLine="210" w:firstLineChars="100"/>
        <w:rPr>
          <w:rFonts w:ascii="仿宋" w:hAnsi="仿宋" w:eastAsia="仿宋" w:cs="仿宋"/>
          <w:color w:val="000000"/>
        </w:rPr>
      </w:pPr>
      <w:r>
        <w:rPr>
          <w:rFonts w:hint="eastAsia" w:ascii="仿宋" w:hAnsi="仿宋" w:eastAsia="仿宋" w:cs="仿宋"/>
          <w:color w:val="000000"/>
        </w:rPr>
        <w:t>（一）在投标人出现下列情形之一时，我方承担保证责任：</w:t>
      </w:r>
    </w:p>
    <w:p w14:paraId="513E99E8">
      <w:pPr>
        <w:ind w:firstLine="420" w:firstLineChars="200"/>
        <w:rPr>
          <w:rFonts w:ascii="仿宋" w:hAnsi="仿宋" w:eastAsia="仿宋" w:cs="仿宋"/>
          <w:color w:val="000000"/>
        </w:rPr>
      </w:pPr>
      <w:r>
        <w:rPr>
          <w:rFonts w:hint="eastAsia" w:ascii="仿宋" w:hAnsi="仿宋" w:eastAsia="仿宋" w:cs="仿宋"/>
          <w:color w:val="000000"/>
        </w:rPr>
        <w:t>1．中标后投标人无正当理由不与采购人或者采购代理机构签订《政府采购合同》；</w:t>
      </w:r>
    </w:p>
    <w:p w14:paraId="76601DAD">
      <w:pPr>
        <w:ind w:firstLine="420" w:firstLineChars="200"/>
        <w:rPr>
          <w:rFonts w:ascii="仿宋" w:hAnsi="仿宋" w:eastAsia="仿宋" w:cs="仿宋"/>
          <w:color w:val="000000"/>
        </w:rPr>
      </w:pPr>
      <w:r>
        <w:rPr>
          <w:rFonts w:hint="eastAsia" w:ascii="仿宋" w:hAnsi="仿宋" w:eastAsia="仿宋" w:cs="仿宋"/>
          <w:color w:val="000000"/>
        </w:rPr>
        <w:t>2．招标文件规定的投标人应当缴纳保证金的其他情形。</w:t>
      </w:r>
    </w:p>
    <w:p w14:paraId="1FCBE375">
      <w:pPr>
        <w:ind w:firstLine="210" w:firstLineChars="100"/>
        <w:rPr>
          <w:rFonts w:ascii="仿宋" w:hAnsi="仿宋" w:eastAsia="仿宋" w:cs="仿宋"/>
          <w:color w:val="000000"/>
        </w:rPr>
      </w:pPr>
      <w:r>
        <w:rPr>
          <w:rFonts w:hint="eastAsia" w:ascii="仿宋" w:hAnsi="仿宋" w:eastAsia="仿宋" w:cs="仿宋"/>
          <w:color w:val="000000"/>
        </w:rPr>
        <w:t>（二）我方承担保证责任的最高金额为人民币</w:t>
      </w:r>
      <w:r>
        <w:rPr>
          <w:rFonts w:hint="eastAsia" w:ascii="仿宋" w:hAnsi="仿宋" w:eastAsia="仿宋" w:cs="仿宋"/>
          <w:color w:val="000000"/>
          <w:u w:val="single"/>
        </w:rPr>
        <w:t xml:space="preserve">      </w:t>
      </w:r>
      <w:r>
        <w:rPr>
          <w:rFonts w:hint="eastAsia" w:ascii="仿宋" w:hAnsi="仿宋" w:eastAsia="仿宋" w:cs="仿宋"/>
          <w:color w:val="000000"/>
        </w:rPr>
        <w:t>元（大写</w:t>
      </w:r>
      <w:r>
        <w:rPr>
          <w:rFonts w:hint="eastAsia" w:ascii="仿宋" w:hAnsi="仿宋" w:eastAsia="仿宋" w:cs="仿宋"/>
          <w:color w:val="000000"/>
          <w:u w:val="single"/>
        </w:rPr>
        <w:t xml:space="preserve">            </w:t>
      </w:r>
      <w:r>
        <w:rPr>
          <w:rFonts w:hint="eastAsia" w:ascii="仿宋" w:hAnsi="仿宋" w:eastAsia="仿宋" w:cs="仿宋"/>
          <w:color w:val="000000"/>
        </w:rPr>
        <w:t>），即本项目的投标保证金金额。</w:t>
      </w:r>
    </w:p>
    <w:p w14:paraId="3AEC821E">
      <w:pPr>
        <w:ind w:firstLine="420" w:firstLineChars="200"/>
        <w:rPr>
          <w:rFonts w:ascii="仿宋" w:hAnsi="仿宋" w:eastAsia="仿宋" w:cs="仿宋"/>
          <w:color w:val="000000"/>
        </w:rPr>
      </w:pPr>
      <w:r>
        <w:rPr>
          <w:rFonts w:hint="eastAsia" w:ascii="仿宋" w:hAnsi="仿宋" w:eastAsia="仿宋" w:cs="仿宋"/>
          <w:color w:val="000000"/>
        </w:rPr>
        <w:t>二、保证的方式及保证期间</w:t>
      </w:r>
    </w:p>
    <w:p w14:paraId="35A60776">
      <w:pPr>
        <w:ind w:firstLine="420" w:firstLineChars="200"/>
        <w:rPr>
          <w:rFonts w:ascii="仿宋" w:hAnsi="仿宋" w:eastAsia="仿宋" w:cs="仿宋"/>
          <w:color w:val="000000"/>
        </w:rPr>
      </w:pPr>
      <w:r>
        <w:rPr>
          <w:rFonts w:hint="eastAsia" w:ascii="仿宋" w:hAnsi="仿宋" w:eastAsia="仿宋" w:cs="仿宋"/>
          <w:color w:val="000000"/>
        </w:rPr>
        <w:t>我方保证的方式为：连带责任保证。</w:t>
      </w:r>
    </w:p>
    <w:p w14:paraId="321BD734">
      <w:pPr>
        <w:ind w:firstLine="420" w:firstLineChars="200"/>
        <w:rPr>
          <w:rFonts w:ascii="仿宋" w:hAnsi="仿宋" w:eastAsia="仿宋" w:cs="仿宋"/>
          <w:color w:val="000000"/>
        </w:rPr>
      </w:pPr>
      <w:r>
        <w:rPr>
          <w:rFonts w:hint="eastAsia" w:ascii="仿宋" w:hAnsi="仿宋" w:eastAsia="仿宋" w:cs="仿宋"/>
          <w:color w:val="000000"/>
        </w:rPr>
        <w:t>我方的保证期间为：自本保函生效之日起</w:t>
      </w:r>
      <w:r>
        <w:rPr>
          <w:rFonts w:hint="eastAsia" w:ascii="仿宋" w:hAnsi="仿宋" w:eastAsia="仿宋" w:cs="仿宋"/>
          <w:color w:val="000000"/>
          <w:u w:val="single"/>
        </w:rPr>
        <w:t xml:space="preserve">    </w:t>
      </w:r>
      <w:r>
        <w:rPr>
          <w:rFonts w:hint="eastAsia" w:ascii="仿宋" w:hAnsi="仿宋" w:eastAsia="仿宋" w:cs="仿宋"/>
          <w:color w:val="000000"/>
        </w:rPr>
        <w:t>个月止。</w:t>
      </w:r>
    </w:p>
    <w:p w14:paraId="73209151">
      <w:pPr>
        <w:ind w:firstLine="420" w:firstLineChars="200"/>
        <w:rPr>
          <w:rFonts w:ascii="仿宋" w:hAnsi="仿宋" w:eastAsia="仿宋" w:cs="仿宋"/>
          <w:color w:val="000000"/>
        </w:rPr>
      </w:pPr>
      <w:r>
        <w:rPr>
          <w:rFonts w:hint="eastAsia" w:ascii="仿宋" w:hAnsi="仿宋" w:eastAsia="仿宋" w:cs="仿宋"/>
          <w:color w:val="000000"/>
        </w:rPr>
        <w:t>三、承担保证责任的程序</w:t>
      </w:r>
    </w:p>
    <w:p w14:paraId="2E772960">
      <w:pPr>
        <w:ind w:firstLine="420" w:firstLineChars="200"/>
        <w:rPr>
          <w:rFonts w:ascii="仿宋" w:hAnsi="仿宋" w:eastAsia="仿宋" w:cs="仿宋"/>
          <w:color w:val="000000"/>
        </w:rPr>
      </w:pPr>
      <w:r>
        <w:rPr>
          <w:rFonts w:hint="eastAsia" w:ascii="仿宋" w:hAnsi="仿宋" w:eastAsia="仿宋" w:cs="仿宋"/>
          <w:color w:val="000000"/>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AA4AAF5">
      <w:pPr>
        <w:ind w:firstLine="420" w:firstLineChars="200"/>
        <w:rPr>
          <w:rFonts w:ascii="仿宋" w:hAnsi="仿宋" w:eastAsia="仿宋" w:cs="仿宋"/>
          <w:color w:val="000000"/>
        </w:rPr>
      </w:pPr>
      <w:r>
        <w:rPr>
          <w:rFonts w:hint="eastAsia" w:ascii="仿宋" w:hAnsi="仿宋" w:eastAsia="仿宋" w:cs="仿宋"/>
          <w:color w:val="000000"/>
        </w:rPr>
        <w:t>2．我方在收到索赔通知及相关证明材料后，在</w:t>
      </w:r>
      <w:r>
        <w:rPr>
          <w:rFonts w:hint="eastAsia" w:ascii="仿宋" w:hAnsi="仿宋" w:eastAsia="仿宋" w:cs="仿宋"/>
          <w:color w:val="000000"/>
          <w:u w:val="single"/>
        </w:rPr>
        <w:t>　　　</w:t>
      </w:r>
      <w:r>
        <w:rPr>
          <w:rFonts w:hint="eastAsia" w:ascii="仿宋" w:hAnsi="仿宋" w:eastAsia="仿宋" w:cs="仿宋"/>
          <w:color w:val="000000"/>
        </w:rPr>
        <w:t>个工作日内进行审查，符合应承担保证责任情形的，我方应按照你方的要求代投标人向你方支付投标保证金。</w:t>
      </w:r>
    </w:p>
    <w:p w14:paraId="7D45176A">
      <w:pPr>
        <w:ind w:firstLine="420" w:firstLineChars="200"/>
        <w:rPr>
          <w:rFonts w:ascii="仿宋" w:hAnsi="仿宋" w:eastAsia="仿宋" w:cs="仿宋"/>
          <w:color w:val="000000"/>
        </w:rPr>
      </w:pPr>
      <w:r>
        <w:rPr>
          <w:rFonts w:hint="eastAsia" w:ascii="仿宋" w:hAnsi="仿宋" w:eastAsia="仿宋" w:cs="仿宋"/>
          <w:color w:val="000000"/>
        </w:rPr>
        <w:t>四、保证责任的终止</w:t>
      </w:r>
    </w:p>
    <w:p w14:paraId="37335FC8">
      <w:pPr>
        <w:ind w:firstLine="420" w:firstLineChars="200"/>
        <w:rPr>
          <w:rFonts w:ascii="仿宋" w:hAnsi="仿宋" w:eastAsia="仿宋" w:cs="仿宋"/>
          <w:color w:val="000000"/>
        </w:rPr>
      </w:pPr>
      <w:r>
        <w:rPr>
          <w:rFonts w:hint="eastAsia" w:ascii="仿宋" w:hAnsi="仿宋" w:eastAsia="仿宋" w:cs="仿宋"/>
          <w:color w:val="000000"/>
        </w:rPr>
        <w:t>1．保证期间届满你方未向我方书面主张保证责任的，自保证期间届满次日起，我方保证责任自动终止。</w:t>
      </w:r>
    </w:p>
    <w:p w14:paraId="222C7418">
      <w:pPr>
        <w:ind w:firstLine="420" w:firstLineChars="200"/>
        <w:rPr>
          <w:rFonts w:ascii="仿宋" w:hAnsi="仿宋" w:eastAsia="仿宋" w:cs="仿宋"/>
          <w:color w:val="000000"/>
        </w:rPr>
      </w:pPr>
      <w:r>
        <w:rPr>
          <w:rFonts w:hint="eastAsia" w:ascii="仿宋" w:hAnsi="仿宋" w:eastAsia="仿宋" w:cs="仿宋"/>
          <w:color w:val="000000"/>
        </w:rPr>
        <w:t>2．我方按照本保函向你贵方履行了保证责任后，自我方向你贵方支付款项（支付款项从我方账户划出）之日起，保证责任终止。</w:t>
      </w:r>
    </w:p>
    <w:p w14:paraId="1FC82E7F">
      <w:pPr>
        <w:ind w:firstLine="420" w:firstLineChars="200"/>
        <w:rPr>
          <w:rFonts w:ascii="仿宋" w:hAnsi="仿宋" w:eastAsia="仿宋" w:cs="仿宋"/>
          <w:color w:val="000000"/>
        </w:rPr>
      </w:pPr>
      <w:r>
        <w:rPr>
          <w:rFonts w:hint="eastAsia" w:ascii="仿宋" w:hAnsi="仿宋" w:eastAsia="仿宋" w:cs="仿宋"/>
          <w:color w:val="000000"/>
        </w:rPr>
        <w:t>3．按照法律法规的规定或出现我方保证责任终止的其它情形的，我方在本保函项下的保证责任亦终止。</w:t>
      </w:r>
    </w:p>
    <w:p w14:paraId="4DA831B2">
      <w:pPr>
        <w:ind w:firstLine="420" w:firstLineChars="200"/>
        <w:rPr>
          <w:rFonts w:ascii="仿宋" w:hAnsi="仿宋" w:eastAsia="仿宋" w:cs="仿宋"/>
          <w:color w:val="000000"/>
        </w:rPr>
      </w:pPr>
      <w:r>
        <w:rPr>
          <w:rFonts w:hint="eastAsia" w:ascii="仿宋" w:hAnsi="仿宋" w:eastAsia="仿宋" w:cs="仿宋"/>
          <w:color w:val="000000"/>
        </w:rPr>
        <w:t>五、免责条款</w:t>
      </w:r>
    </w:p>
    <w:p w14:paraId="6C0F81EA">
      <w:pPr>
        <w:ind w:firstLine="420" w:firstLineChars="200"/>
        <w:rPr>
          <w:rFonts w:ascii="仿宋" w:hAnsi="仿宋" w:eastAsia="仿宋" w:cs="仿宋"/>
          <w:color w:val="000000"/>
        </w:rPr>
      </w:pPr>
      <w:r>
        <w:rPr>
          <w:rFonts w:hint="eastAsia" w:ascii="仿宋" w:hAnsi="仿宋" w:eastAsia="仿宋" w:cs="仿宋"/>
          <w:color w:val="000000"/>
        </w:rPr>
        <w:t>1．依照法律规定或你方与投标人的另行约定，全部或者部分免除投标人投标保证金义务时，我方亦免除相应的保证责任。</w:t>
      </w:r>
    </w:p>
    <w:p w14:paraId="7751C870">
      <w:pPr>
        <w:ind w:firstLine="420" w:firstLineChars="200"/>
        <w:rPr>
          <w:rFonts w:ascii="仿宋" w:hAnsi="仿宋" w:eastAsia="仿宋" w:cs="仿宋"/>
          <w:color w:val="000000"/>
        </w:rPr>
      </w:pPr>
      <w:r>
        <w:rPr>
          <w:rFonts w:hint="eastAsia" w:ascii="仿宋" w:hAnsi="仿宋" w:eastAsia="仿宋" w:cs="仿宋"/>
          <w:color w:val="000000"/>
        </w:rPr>
        <w:t>2．因你方原因致使投标人发生本保函第一条第（一）款约定情形的，我方不承担保证责任。</w:t>
      </w:r>
    </w:p>
    <w:p w14:paraId="16757CE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3．因不可抗力造成投标人发生本保函第一条约定情形的，我方不承担保证责任。</w:t>
      </w:r>
    </w:p>
    <w:p w14:paraId="32A758F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4．你方或其他有权机关对招标文件进行任何澄清或修改，加重我方保证责任的，我方对加重部分不承担保证责任，但该澄清或修改经我方事先书面同意的除外。</w:t>
      </w:r>
    </w:p>
    <w:p w14:paraId="3C9D065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六、争议的解决</w:t>
      </w:r>
    </w:p>
    <w:p w14:paraId="22576D9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因本保函发生的纠纷，由你我双方协商解决，协商不成的，通过诉讼程序解决，诉讼管辖地法院为</w:t>
      </w:r>
      <w:r>
        <w:rPr>
          <w:rFonts w:hint="eastAsia" w:ascii="仿宋" w:hAnsi="仿宋" w:eastAsia="仿宋" w:cs="仿宋"/>
          <w:color w:val="000000"/>
          <w:u w:val="single"/>
        </w:rPr>
        <w:t xml:space="preserve">          </w:t>
      </w:r>
      <w:r>
        <w:rPr>
          <w:rFonts w:hint="eastAsia" w:ascii="仿宋" w:hAnsi="仿宋" w:eastAsia="仿宋" w:cs="仿宋"/>
          <w:color w:val="000000"/>
        </w:rPr>
        <w:t>法院。</w:t>
      </w:r>
    </w:p>
    <w:p w14:paraId="308CD29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七、保函的生效</w:t>
      </w:r>
    </w:p>
    <w:p w14:paraId="1E43FD1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color w:val="000000"/>
        </w:rPr>
      </w:pPr>
      <w:r>
        <w:rPr>
          <w:rFonts w:hint="eastAsia" w:ascii="仿宋" w:hAnsi="仿宋" w:eastAsia="仿宋" w:cs="仿宋"/>
          <w:color w:val="000000"/>
        </w:rPr>
        <w:t>本保函自我方加盖公章之日起生效。</w:t>
      </w:r>
    </w:p>
    <w:p w14:paraId="4F64CB03">
      <w:pPr>
        <w:keepNext w:val="0"/>
        <w:keepLines w:val="0"/>
        <w:pageBreakBefore w:val="0"/>
        <w:widowControl w:val="0"/>
        <w:kinsoku/>
        <w:wordWrap/>
        <w:overflowPunct/>
        <w:topLinePunct w:val="0"/>
        <w:autoSpaceDE/>
        <w:autoSpaceDN/>
        <w:bidi w:val="0"/>
        <w:adjustRightInd/>
        <w:snapToGrid/>
        <w:spacing w:line="240" w:lineRule="exact"/>
        <w:ind w:firstLine="5565" w:firstLineChars="2650"/>
        <w:textAlignment w:val="auto"/>
        <w:rPr>
          <w:rFonts w:hint="eastAsia" w:ascii="仿宋" w:hAnsi="仿宋" w:eastAsia="仿宋" w:cs="仿宋"/>
          <w:color w:val="000000"/>
        </w:rPr>
      </w:pPr>
      <w:r>
        <w:rPr>
          <w:rFonts w:hint="eastAsia" w:ascii="仿宋" w:hAnsi="仿宋" w:eastAsia="仿宋" w:cs="仿宋"/>
          <w:color w:val="000000"/>
        </w:rPr>
        <w:t>保证人：（公章）</w:t>
      </w:r>
    </w:p>
    <w:p w14:paraId="47B901AB">
      <w:pPr>
        <w:keepNext w:val="0"/>
        <w:keepLines w:val="0"/>
        <w:pageBreakBefore w:val="0"/>
        <w:widowControl w:val="0"/>
        <w:kinsoku/>
        <w:wordWrap/>
        <w:overflowPunct/>
        <w:topLinePunct w:val="0"/>
        <w:autoSpaceDE/>
        <w:autoSpaceDN/>
        <w:bidi w:val="0"/>
        <w:adjustRightInd/>
        <w:snapToGrid/>
        <w:spacing w:line="240" w:lineRule="exact"/>
        <w:ind w:firstLine="5565" w:firstLineChars="2650"/>
        <w:textAlignment w:val="auto"/>
        <w:rPr>
          <w:rFonts w:ascii="仿宋" w:hAnsi="仿宋" w:eastAsia="仿宋" w:cs="仿宋"/>
          <w:color w:val="000000"/>
        </w:rPr>
        <w:sectPr>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000000"/>
        </w:rPr>
        <w:t xml:space="preserve">    年     月      日</w:t>
      </w:r>
    </w:p>
    <w:p w14:paraId="7EDDBA58">
      <w:pPr>
        <w:pStyle w:val="4"/>
        <w:spacing w:before="0" w:line="240" w:lineRule="atLeast"/>
        <w:ind w:left="1079" w:leftChars="257" w:hanging="540"/>
        <w:rPr>
          <w:rFonts w:hint="eastAsia" w:ascii="仿宋" w:hAnsi="仿宋" w:eastAsia="仿宋" w:cs="仿宋"/>
          <w:color w:val="000000"/>
          <w:sz w:val="24"/>
        </w:rPr>
      </w:pPr>
      <w:bookmarkStart w:id="393" w:name="_Toc515647814"/>
      <w:bookmarkStart w:id="394" w:name="_Toc23044"/>
      <w:bookmarkStart w:id="395" w:name="_Toc2502"/>
      <w:bookmarkStart w:id="396" w:name="_Toc14152"/>
      <w:bookmarkStart w:id="397" w:name="_Toc18607"/>
      <w:bookmarkStart w:id="398" w:name="_Toc3451"/>
      <w:r>
        <w:rPr>
          <w:rFonts w:hint="eastAsia" w:ascii="仿宋" w:hAnsi="仿宋" w:eastAsia="仿宋" w:cs="仿宋"/>
          <w:color w:val="000000"/>
          <w:sz w:val="24"/>
          <w:lang w:val="en-US" w:eastAsia="zh-CN"/>
        </w:rPr>
        <w:t>10</w:t>
      </w:r>
      <w:r>
        <w:rPr>
          <w:rFonts w:hint="eastAsia" w:ascii="仿宋" w:hAnsi="仿宋" w:eastAsia="仿宋" w:cs="仿宋"/>
          <w:color w:val="000000"/>
          <w:sz w:val="24"/>
        </w:rPr>
        <w:t xml:space="preserve">  </w:t>
      </w:r>
      <w:bookmarkEnd w:id="393"/>
      <w:bookmarkEnd w:id="394"/>
      <w:bookmarkEnd w:id="395"/>
      <w:r>
        <w:rPr>
          <w:rFonts w:hint="eastAsia" w:ascii="仿宋" w:hAnsi="仿宋" w:eastAsia="仿宋" w:cs="仿宋"/>
          <w:color w:val="000000"/>
          <w:sz w:val="24"/>
        </w:rPr>
        <w:t>针对本项目的反商业贿赂承诺书</w:t>
      </w:r>
      <w:bookmarkEnd w:id="396"/>
      <w:bookmarkEnd w:id="397"/>
      <w:bookmarkEnd w:id="398"/>
      <w:bookmarkStart w:id="399" w:name="_Toc21951"/>
    </w:p>
    <w:p w14:paraId="0D472E63">
      <w:pPr>
        <w:pStyle w:val="4"/>
        <w:spacing w:before="0" w:line="240" w:lineRule="atLeast"/>
        <w:ind w:left="1079" w:leftChars="257" w:hanging="540"/>
        <w:rPr>
          <w:rFonts w:hint="eastAsia" w:ascii="仿宋" w:hAnsi="仿宋" w:eastAsia="仿宋" w:cs="仿宋"/>
          <w:color w:val="000000"/>
          <w:sz w:val="24"/>
        </w:rPr>
      </w:pPr>
    </w:p>
    <w:p w14:paraId="7C21A2D2">
      <w:pPr>
        <w:pStyle w:val="4"/>
        <w:spacing w:before="0" w:line="240" w:lineRule="atLeast"/>
        <w:ind w:left="1079" w:leftChars="257" w:hanging="540"/>
        <w:rPr>
          <w:rFonts w:hint="eastAsia" w:ascii="仿宋" w:hAnsi="仿宋" w:eastAsia="仿宋" w:cs="仿宋"/>
          <w:color w:val="000000"/>
          <w:sz w:val="24"/>
        </w:rPr>
      </w:pPr>
    </w:p>
    <w:p w14:paraId="62ADC4C0">
      <w:pPr>
        <w:pStyle w:val="4"/>
        <w:spacing w:before="0" w:line="240" w:lineRule="atLeast"/>
        <w:ind w:left="1079" w:leftChars="257" w:hanging="540"/>
        <w:rPr>
          <w:rFonts w:hint="eastAsia" w:ascii="仿宋" w:hAnsi="仿宋" w:eastAsia="仿宋" w:cs="仿宋"/>
          <w:color w:val="000000"/>
          <w:sz w:val="24"/>
        </w:rPr>
      </w:pPr>
    </w:p>
    <w:p w14:paraId="7D6AD3E6">
      <w:pPr>
        <w:pStyle w:val="4"/>
        <w:spacing w:before="0" w:line="240" w:lineRule="atLeast"/>
        <w:ind w:left="1079" w:leftChars="257" w:hanging="540"/>
        <w:rPr>
          <w:rFonts w:hint="eastAsia" w:ascii="仿宋" w:hAnsi="仿宋" w:eastAsia="仿宋" w:cs="仿宋"/>
          <w:color w:val="000000"/>
          <w:sz w:val="24"/>
        </w:rPr>
      </w:pPr>
    </w:p>
    <w:p w14:paraId="1D2352C5">
      <w:pPr>
        <w:pStyle w:val="4"/>
        <w:spacing w:before="0" w:line="240" w:lineRule="atLeast"/>
        <w:ind w:left="1079" w:leftChars="257" w:hanging="540"/>
        <w:rPr>
          <w:rFonts w:hint="eastAsia" w:ascii="仿宋" w:hAnsi="仿宋" w:eastAsia="仿宋" w:cs="仿宋"/>
          <w:color w:val="000000"/>
          <w:sz w:val="24"/>
        </w:rPr>
      </w:pPr>
    </w:p>
    <w:p w14:paraId="00B44DC2">
      <w:pPr>
        <w:pStyle w:val="4"/>
        <w:spacing w:before="0" w:line="240" w:lineRule="atLeast"/>
        <w:ind w:left="1079" w:leftChars="257" w:hanging="540"/>
        <w:rPr>
          <w:rFonts w:hint="eastAsia" w:ascii="仿宋" w:hAnsi="仿宋" w:eastAsia="仿宋" w:cs="仿宋"/>
          <w:color w:val="000000"/>
          <w:sz w:val="24"/>
        </w:rPr>
      </w:pPr>
    </w:p>
    <w:p w14:paraId="4BDA55DA">
      <w:pPr>
        <w:pStyle w:val="4"/>
        <w:spacing w:before="0" w:line="240" w:lineRule="atLeast"/>
        <w:ind w:left="1079" w:leftChars="257" w:hanging="540"/>
        <w:rPr>
          <w:rFonts w:hint="eastAsia" w:ascii="仿宋" w:hAnsi="仿宋" w:eastAsia="仿宋" w:cs="仿宋"/>
          <w:color w:val="000000"/>
          <w:sz w:val="24"/>
        </w:rPr>
      </w:pPr>
      <w:bookmarkStart w:id="400" w:name="_Toc11868"/>
      <w:bookmarkStart w:id="401" w:name="_Toc14541"/>
      <w:r>
        <w:rPr>
          <w:rFonts w:hint="eastAsia" w:ascii="仿宋" w:hAnsi="仿宋" w:eastAsia="仿宋" w:cs="仿宋"/>
          <w:color w:val="000000"/>
          <w:sz w:val="24"/>
          <w:lang w:val="en-US" w:eastAsia="zh-CN"/>
        </w:rPr>
        <w:t xml:space="preserve">11  </w:t>
      </w:r>
      <w:bookmarkEnd w:id="400"/>
      <w:bookmarkStart w:id="402" w:name="_Toc10159"/>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投标人须知资料表要求的其他资格证明文件</w:t>
      </w:r>
      <w:bookmarkEnd w:id="399"/>
      <w:bookmarkEnd w:id="401"/>
      <w:bookmarkEnd w:id="402"/>
    </w:p>
    <w:p w14:paraId="075BC51C">
      <w:pPr>
        <w:rPr>
          <w:rFonts w:hint="eastAsia" w:ascii="仿宋" w:hAnsi="仿宋" w:eastAsia="仿宋" w:cs="仿宋"/>
          <w:color w:val="000000"/>
          <w:sz w:val="24"/>
          <w:lang w:val="en-US" w:eastAsia="zh-CN"/>
        </w:rPr>
      </w:pPr>
      <w:bookmarkStart w:id="403" w:name="_Toc8105"/>
      <w:r>
        <w:rPr>
          <w:rFonts w:hint="eastAsia" w:ascii="仿宋" w:hAnsi="仿宋" w:eastAsia="仿宋" w:cs="仿宋"/>
          <w:color w:val="000000"/>
          <w:sz w:val="24"/>
          <w:lang w:val="en-US" w:eastAsia="zh-CN"/>
        </w:rPr>
        <w:br w:type="page"/>
      </w:r>
    </w:p>
    <w:bookmarkEnd w:id="403"/>
    <w:p w14:paraId="21FB8856">
      <w:pPr>
        <w:rPr>
          <w:rFonts w:hint="eastAsia" w:ascii="仿宋" w:hAnsi="仿宋" w:eastAsia="仿宋" w:cs="仿宋"/>
          <w:color w:val="000000"/>
          <w:sz w:val="24"/>
        </w:rPr>
      </w:pPr>
    </w:p>
    <w:p w14:paraId="30E11071">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 xml:space="preserve"> </w:t>
      </w:r>
    </w:p>
    <w:p w14:paraId="7B3309E6">
      <w:pPr>
        <w:pStyle w:val="4"/>
        <w:spacing w:before="0" w:line="240" w:lineRule="atLeast"/>
        <w:ind w:left="1079" w:leftChars="257" w:hanging="540"/>
        <w:rPr>
          <w:rFonts w:ascii="仿宋" w:hAnsi="仿宋" w:eastAsia="仿宋" w:cs="仿宋"/>
          <w:color w:val="000000"/>
          <w:sz w:val="24"/>
        </w:rPr>
      </w:pPr>
      <w:bookmarkStart w:id="404" w:name="_Toc11180"/>
      <w:bookmarkStart w:id="405" w:name="_Toc515647816"/>
      <w:bookmarkStart w:id="406" w:name="_Toc22967"/>
      <w:bookmarkStart w:id="407" w:name="_Toc12675"/>
      <w:r>
        <w:rPr>
          <w:rFonts w:hint="eastAsia" w:ascii="仿宋" w:hAnsi="仿宋" w:eastAsia="仿宋" w:cs="仿宋"/>
          <w:color w:val="000000"/>
          <w:sz w:val="24"/>
        </w:rPr>
        <w:t>第二部分  商务及技术文件</w:t>
      </w:r>
      <w:bookmarkEnd w:id="404"/>
      <w:bookmarkEnd w:id="405"/>
      <w:bookmarkEnd w:id="406"/>
      <w:bookmarkEnd w:id="407"/>
    </w:p>
    <w:p w14:paraId="1029F5BC">
      <w:pPr>
        <w:pStyle w:val="20"/>
        <w:ind w:left="1079" w:leftChars="257" w:hanging="540"/>
        <w:rPr>
          <w:rFonts w:ascii="仿宋" w:hAnsi="仿宋" w:eastAsia="仿宋" w:cs="仿宋"/>
          <w:color w:val="000000"/>
          <w:sz w:val="24"/>
        </w:rPr>
      </w:pPr>
      <w:r>
        <w:rPr>
          <w:rFonts w:hint="eastAsia" w:ascii="仿宋" w:hAnsi="仿宋" w:eastAsia="仿宋" w:cs="仿宋"/>
          <w:color w:val="000000"/>
          <w:sz w:val="24"/>
        </w:rPr>
        <w:t>1、投标书（投标文件格式五）</w:t>
      </w:r>
    </w:p>
    <w:p w14:paraId="5949172E">
      <w:pPr>
        <w:pStyle w:val="20"/>
        <w:ind w:left="1079" w:leftChars="257" w:hanging="540"/>
        <w:rPr>
          <w:rFonts w:ascii="仿宋" w:hAnsi="仿宋" w:eastAsia="仿宋" w:cs="仿宋"/>
          <w:color w:val="000000"/>
          <w:sz w:val="24"/>
        </w:rPr>
      </w:pPr>
      <w:r>
        <w:rPr>
          <w:rFonts w:hint="eastAsia" w:ascii="仿宋" w:hAnsi="仿宋" w:eastAsia="仿宋" w:cs="仿宋"/>
          <w:color w:val="000000"/>
          <w:sz w:val="24"/>
        </w:rPr>
        <w:t>2、投标分项报价表（投标文件格式七）</w:t>
      </w:r>
    </w:p>
    <w:p w14:paraId="10F85AC3">
      <w:pPr>
        <w:pStyle w:val="20"/>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说明一览表（投标文件格式八）</w:t>
      </w:r>
    </w:p>
    <w:p w14:paraId="45AE800B">
      <w:pPr>
        <w:pStyle w:val="20"/>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、技术规格偏离表（投标文件格式九）</w:t>
      </w:r>
    </w:p>
    <w:p w14:paraId="4C74B21B">
      <w:pPr>
        <w:pStyle w:val="20"/>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、商务条款偏离表（投标文件格式十）</w:t>
      </w:r>
    </w:p>
    <w:p w14:paraId="71EB5C11">
      <w:pPr>
        <w:pStyle w:val="20"/>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、符合《政府采购促进中小企业发展管理办法》、《关于政府采购支持监狱企业发展有关问题的通知》和《三部门联合发布关于促进残疾人就业政府采购政策的通知》价格扣减条件的投标人须提交）</w:t>
      </w:r>
    </w:p>
    <w:p w14:paraId="3A6305B0">
      <w:pPr>
        <w:pStyle w:val="20"/>
        <w:ind w:left="310" w:leftChars="148" w:firstLine="228"/>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-1《投标人企业（单位）类型声明函》（投标文件格式十一）</w:t>
      </w:r>
    </w:p>
    <w:p w14:paraId="19653075">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-2 中小企业声明函（服务）（投标文件格式十二）</w:t>
      </w:r>
    </w:p>
    <w:p w14:paraId="575A4965">
      <w:pPr>
        <w:pStyle w:val="20"/>
        <w:ind w:left="310" w:leftChars="148" w:firstLine="228"/>
        <w:rPr>
          <w:rFonts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rPr>
        <w:t>《残疾人福利性单位声明函》（投标文件格式十三）</w:t>
      </w:r>
    </w:p>
    <w:p w14:paraId="42528CF6">
      <w:pPr>
        <w:pStyle w:val="20"/>
        <w:ind w:left="310" w:leftChars="148" w:firstLine="228"/>
        <w:rPr>
          <w:rFonts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、投标人关联单位的说明（格式自拟）</w:t>
      </w:r>
    </w:p>
    <w:p w14:paraId="65D2341C">
      <w:pPr>
        <w:pStyle w:val="20"/>
        <w:ind w:left="1079" w:leftChars="257" w:hanging="540"/>
        <w:rPr>
          <w:rFonts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、投标文件还应包括投标人须知第10条的所有技术文件</w:t>
      </w:r>
    </w:p>
    <w:p w14:paraId="3E709426">
      <w:pPr>
        <w:pStyle w:val="20"/>
        <w:tabs>
          <w:tab w:val="left" w:pos="5580"/>
        </w:tabs>
        <w:spacing w:line="240" w:lineRule="atLeast"/>
        <w:ind w:left="560" w:leftChars="267"/>
        <w:rPr>
          <w:rFonts w:ascii="仿宋" w:hAnsi="仿宋" w:eastAsia="仿宋" w:cs="仿宋"/>
          <w:color w:val="000000"/>
          <w:sz w:val="24"/>
        </w:rPr>
      </w:pPr>
      <w:r>
        <w:rPr>
          <w:rFonts w:hint="eastAsia" w:ascii="仿宋" w:hAnsi="仿宋" w:eastAsia="仿宋" w:cs="仿宋"/>
          <w:color w:val="000000"/>
          <w:sz w:val="24"/>
        </w:rPr>
        <w:br w:type="page"/>
      </w:r>
    </w:p>
    <w:bookmarkEnd w:id="342"/>
    <w:bookmarkEnd w:id="343"/>
    <w:bookmarkEnd w:id="344"/>
    <w:bookmarkEnd w:id="345"/>
    <w:p w14:paraId="09B52FF2">
      <w:pPr>
        <w:pStyle w:val="4"/>
        <w:spacing w:before="0" w:line="240" w:lineRule="atLeast"/>
        <w:ind w:left="1079" w:leftChars="257" w:hanging="540"/>
        <w:rPr>
          <w:rFonts w:ascii="仿宋" w:hAnsi="仿宋" w:eastAsia="仿宋" w:cs="仿宋"/>
          <w:color w:val="000000"/>
          <w:sz w:val="24"/>
        </w:rPr>
      </w:pPr>
      <w:bookmarkStart w:id="408" w:name="_Toc14915"/>
      <w:bookmarkStart w:id="409" w:name="_Toc515647817"/>
      <w:bookmarkStart w:id="410" w:name="_Toc28280"/>
      <w:bookmarkStart w:id="411" w:name="_Toc2041"/>
      <w:bookmarkStart w:id="412" w:name="_Toc21907"/>
      <w:bookmarkStart w:id="413" w:name="_Toc1266"/>
      <w:bookmarkStart w:id="414" w:name="_Toc23473"/>
      <w:r>
        <w:rPr>
          <w:rFonts w:hint="eastAsia" w:ascii="仿宋" w:hAnsi="仿宋" w:eastAsia="仿宋" w:cs="仿宋"/>
          <w:color w:val="000000"/>
          <w:sz w:val="24"/>
        </w:rPr>
        <w:t xml:space="preserve">1   </w:t>
      </w:r>
      <w:bookmarkStart w:id="415" w:name="_Hlt520355504"/>
      <w:bookmarkEnd w:id="415"/>
      <w:r>
        <w:rPr>
          <w:rFonts w:hint="eastAsia" w:ascii="仿宋" w:hAnsi="仿宋" w:eastAsia="仿宋" w:cs="仿宋"/>
          <w:color w:val="000000"/>
          <w:sz w:val="24"/>
        </w:rPr>
        <w:t>投标书（投标文件格式五）</w:t>
      </w:r>
      <w:bookmarkEnd w:id="408"/>
      <w:bookmarkEnd w:id="409"/>
      <w:bookmarkEnd w:id="410"/>
      <w:bookmarkEnd w:id="411"/>
      <w:bookmarkEnd w:id="412"/>
    </w:p>
    <w:p w14:paraId="0E1EFE4C">
      <w:pPr>
        <w:tabs>
          <w:tab w:val="left" w:pos="5580"/>
        </w:tabs>
        <w:spacing w:line="240" w:lineRule="atLeast"/>
        <w:ind w:left="1079" w:leftChars="257" w:hanging="540"/>
        <w:rPr>
          <w:rFonts w:ascii="仿宋" w:hAnsi="仿宋" w:eastAsia="仿宋" w:cs="仿宋"/>
          <w:color w:val="000000"/>
          <w:sz w:val="24"/>
        </w:rPr>
      </w:pPr>
    </w:p>
    <w:p w14:paraId="7A6239D2">
      <w:pPr>
        <w:tabs>
          <w:tab w:val="left" w:pos="5580"/>
        </w:tabs>
        <w:spacing w:line="240" w:lineRule="atLeast"/>
        <w:ind w:left="1080" w:hanging="1080"/>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采购代理机构</w:t>
      </w:r>
    </w:p>
    <w:p w14:paraId="350E9DFE">
      <w:pPr>
        <w:pStyle w:val="20"/>
        <w:tabs>
          <w:tab w:val="left" w:pos="5580"/>
        </w:tabs>
        <w:spacing w:line="240" w:lineRule="atLeast"/>
        <w:ind w:left="1079" w:leftChars="257" w:hanging="540"/>
        <w:rPr>
          <w:rFonts w:ascii="仿宋" w:hAnsi="仿宋" w:eastAsia="仿宋" w:cs="仿宋"/>
          <w:color w:val="000000"/>
          <w:sz w:val="24"/>
        </w:rPr>
      </w:pPr>
    </w:p>
    <w:p w14:paraId="136F0C2C">
      <w:pPr>
        <w:pStyle w:val="20"/>
        <w:tabs>
          <w:tab w:val="left" w:pos="5580"/>
        </w:tabs>
        <w:spacing w:line="240" w:lineRule="atLeast"/>
        <w:ind w:left="2" w:leftChars="1" w:firstLine="480" w:firstLineChars="200"/>
        <w:rPr>
          <w:rFonts w:ascii="仿宋" w:hAnsi="仿宋" w:eastAsia="仿宋" w:cs="仿宋"/>
          <w:color w:val="000000"/>
          <w:sz w:val="24"/>
        </w:rPr>
      </w:pPr>
      <w:r>
        <w:rPr>
          <w:rFonts w:hint="eastAsia" w:ascii="仿宋" w:hAnsi="仿宋" w:eastAsia="仿宋" w:cs="仿宋"/>
          <w:color w:val="000000"/>
          <w:sz w:val="24"/>
        </w:rPr>
        <w:t>根据贵方（采购项目名称)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项目的投标邀请(</w:t>
      </w:r>
      <w:r>
        <w:rPr>
          <w:rFonts w:hint="eastAsia" w:ascii="仿宋" w:hAnsi="仿宋" w:eastAsia="仿宋" w:cs="仿宋"/>
          <w:color w:val="000000"/>
          <w:sz w:val="24"/>
          <w:u w:val="single"/>
        </w:rPr>
        <w:t>招标编号</w:t>
      </w:r>
      <w:r>
        <w:rPr>
          <w:rFonts w:hint="eastAsia" w:ascii="仿宋" w:hAnsi="仿宋" w:eastAsia="仿宋" w:cs="仿宋"/>
          <w:color w:val="000000"/>
          <w:sz w:val="24"/>
        </w:rPr>
        <w:t>),签字代表(</w:t>
      </w:r>
      <w:r>
        <w:rPr>
          <w:rFonts w:hint="eastAsia" w:ascii="仿宋" w:hAnsi="仿宋" w:eastAsia="仿宋" w:cs="仿宋"/>
          <w:color w:val="000000"/>
          <w:sz w:val="24"/>
          <w:u w:val="single"/>
        </w:rPr>
        <w:t>姓名、职务)</w:t>
      </w:r>
      <w:r>
        <w:rPr>
          <w:rFonts w:hint="eastAsia" w:ascii="仿宋" w:hAnsi="仿宋" w:eastAsia="仿宋" w:cs="仿宋"/>
          <w:color w:val="000000"/>
          <w:sz w:val="24"/>
        </w:rPr>
        <w:t>经正式授权并代表投标人（</w:t>
      </w:r>
      <w:r>
        <w:rPr>
          <w:rFonts w:hint="eastAsia" w:ascii="仿宋" w:hAnsi="仿宋" w:eastAsia="仿宋" w:cs="仿宋"/>
          <w:color w:val="000000"/>
          <w:sz w:val="24"/>
          <w:u w:val="single"/>
        </w:rPr>
        <w:t>名称、地址</w:t>
      </w:r>
      <w:r>
        <w:rPr>
          <w:rFonts w:hint="eastAsia" w:ascii="仿宋" w:hAnsi="仿宋" w:eastAsia="仿宋" w:cs="仿宋"/>
          <w:color w:val="000000"/>
          <w:sz w:val="24"/>
        </w:rPr>
        <w:t>）提交下述政采云电子文档</w:t>
      </w:r>
      <w:r>
        <w:rPr>
          <w:rFonts w:hint="eastAsia" w:ascii="仿宋" w:hAnsi="仿宋" w:eastAsia="仿宋" w:cs="仿宋"/>
          <w:color w:val="000000"/>
          <w:sz w:val="24"/>
          <w:u w:val="single"/>
        </w:rPr>
        <w:t xml:space="preserve"> 一 </w:t>
      </w:r>
      <w:r>
        <w:rPr>
          <w:rFonts w:hint="eastAsia" w:ascii="仿宋" w:hAnsi="仿宋" w:eastAsia="仿宋" w:cs="仿宋"/>
          <w:color w:val="000000"/>
          <w:sz w:val="24"/>
        </w:rPr>
        <w:t>份，并出具的金额为人民币</w:t>
      </w:r>
      <w:r>
        <w:rPr>
          <w:rFonts w:hint="eastAsia" w:ascii="仿宋" w:hAnsi="仿宋" w:eastAsia="仿宋" w:cs="仿宋"/>
          <w:color w:val="000000"/>
          <w:sz w:val="24"/>
          <w:u w:val="single"/>
        </w:rPr>
        <w:t>　　　　</w:t>
      </w:r>
      <w:r>
        <w:rPr>
          <w:rFonts w:hint="eastAsia" w:ascii="仿宋" w:hAnsi="仿宋" w:eastAsia="仿宋" w:cs="仿宋"/>
          <w:color w:val="000000"/>
          <w:sz w:val="24"/>
        </w:rPr>
        <w:t>元的投标保证金。</w:t>
      </w:r>
    </w:p>
    <w:p w14:paraId="7BB10713">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据此，签字代表宣布如下：</w:t>
      </w:r>
    </w:p>
    <w:p w14:paraId="777C4B1D">
      <w:pPr>
        <w:pStyle w:val="20"/>
        <w:tabs>
          <w:tab w:val="left" w:pos="720"/>
          <w:tab w:val="left" w:pos="900"/>
        </w:tabs>
        <w:spacing w:line="240" w:lineRule="atLeast"/>
        <w:ind w:left="768" w:leftChars="257" w:hanging="229"/>
        <w:rPr>
          <w:rFonts w:ascii="仿宋" w:hAnsi="仿宋" w:eastAsia="仿宋" w:cs="仿宋"/>
          <w:color w:val="000000"/>
          <w:sz w:val="24"/>
        </w:rPr>
      </w:pPr>
      <w:r>
        <w:rPr>
          <w:rFonts w:hint="eastAsia" w:ascii="仿宋" w:hAnsi="仿宋" w:eastAsia="仿宋" w:cs="仿宋"/>
          <w:color w:val="000000"/>
          <w:sz w:val="24"/>
        </w:rPr>
        <w:t>（1）附投标书报价中规定的投标总价详见开标一览表，</w:t>
      </w:r>
      <w:r>
        <w:rPr>
          <w:rFonts w:hint="eastAsia" w:ascii="仿宋" w:hAnsi="仿宋" w:eastAsia="仿宋" w:cs="仿宋"/>
          <w:color w:val="000000"/>
          <w:sz w:val="24"/>
          <w:u w:val="single"/>
        </w:rPr>
        <w:t>其中由小型和</w:t>
      </w:r>
      <w:r>
        <w:rPr>
          <w:rFonts w:hint="eastAsia" w:ascii="仿宋" w:hAnsi="仿宋" w:eastAsia="仿宋" w:cs="仿宋"/>
          <w:color w:val="000000"/>
          <w:sz w:val="24"/>
        </w:rPr>
        <w:t>微型企业</w:t>
      </w:r>
      <w:r>
        <w:rPr>
          <w:rFonts w:hint="eastAsia" w:ascii="仿宋" w:hAnsi="仿宋" w:eastAsia="仿宋" w:cs="仿宋"/>
          <w:color w:val="000000"/>
          <w:sz w:val="24"/>
          <w:lang w:val="en-US" w:eastAsia="zh-CN"/>
        </w:rPr>
        <w:t>提供服务</w:t>
      </w:r>
      <w:r>
        <w:rPr>
          <w:rFonts w:hint="eastAsia" w:ascii="仿宋" w:hAnsi="仿宋" w:eastAsia="仿宋" w:cs="仿宋"/>
          <w:color w:val="000000"/>
          <w:sz w:val="24"/>
        </w:rPr>
        <w:t>的价格为</w:t>
      </w:r>
      <w:r>
        <w:rPr>
          <w:rFonts w:hint="eastAsia" w:ascii="仿宋" w:hAnsi="仿宋" w:eastAsia="仿宋" w:cs="仿宋"/>
          <w:color w:val="000000"/>
          <w:sz w:val="24"/>
          <w:u w:val="single"/>
        </w:rPr>
        <w:t>　　  （用文字和数字表示），占投标价的‥</w:t>
      </w:r>
      <w:r>
        <w:rPr>
          <w:rFonts w:hint="eastAsia" w:ascii="仿宋" w:hAnsi="仿宋" w:eastAsia="仿宋" w:cs="仿宋"/>
          <w:color w:val="000000"/>
          <w:sz w:val="24"/>
        </w:rPr>
        <w:t>%</w:t>
      </w:r>
    </w:p>
    <w:p w14:paraId="1411CA48">
      <w:pPr>
        <w:pStyle w:val="20"/>
        <w:tabs>
          <w:tab w:val="left" w:pos="720"/>
          <w:tab w:val="left" w:pos="900"/>
        </w:tabs>
        <w:spacing w:line="240" w:lineRule="atLeast"/>
        <w:ind w:left="768" w:leftChars="257" w:hanging="229"/>
        <w:rPr>
          <w:rFonts w:ascii="仿宋" w:hAnsi="仿宋" w:eastAsia="仿宋" w:cs="仿宋"/>
          <w:color w:val="000000"/>
          <w:sz w:val="24"/>
          <w:u w:val="single"/>
        </w:rPr>
      </w:pPr>
      <w:r>
        <w:rPr>
          <w:rFonts w:hint="eastAsia" w:ascii="仿宋" w:hAnsi="仿宋" w:eastAsia="仿宋" w:cs="仿宋"/>
          <w:color w:val="000000"/>
          <w:sz w:val="24"/>
        </w:rPr>
        <w:t>（2）本投标有效期为投标标截止之日起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个日历日。</w:t>
      </w:r>
    </w:p>
    <w:p w14:paraId="6D97B53B">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（3）联合体中的大中型企业、法人或者非法人组织，与联合体中的小型、微型企业之间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存在、不存在）投资关系（如果是联合体的话）。</w:t>
      </w:r>
    </w:p>
    <w:p w14:paraId="5563D134">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（4）已详细审查全部招标文件，包括所有补充通知（如果有的话），完全理解并同意放弃对这方面有不明、误解和质疑的权力。</w:t>
      </w:r>
    </w:p>
    <w:p w14:paraId="664BE6E6">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（5）在规定的开标时间后，遵守招标文件中有关保证金的规定。</w:t>
      </w:r>
    </w:p>
    <w:p w14:paraId="5681AAA0">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（6）我方不是为本项目提供整体设计、规范编制或者项目管理、监理、检测等服务的供应商，我方不是采购代理机构的附属机构。</w:t>
      </w:r>
    </w:p>
    <w:p w14:paraId="140CA307">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（7）在领取中标通知书的同时按招标文件规定的形式，向贵方一次性支付中标服务费。</w:t>
      </w:r>
    </w:p>
    <w:p w14:paraId="7A870473">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（8）按照贵方可能要求，提供与其投标有关的一切数据或资料，完全理解贵方不一定接受最低价的投标或收到的任何投标。</w:t>
      </w:r>
    </w:p>
    <w:p w14:paraId="297C77E9">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（9）按照招标文件的规定履行合同责任和义务。</w:t>
      </w:r>
    </w:p>
    <w:p w14:paraId="4505C5FF">
      <w:pPr>
        <w:pStyle w:val="20"/>
        <w:tabs>
          <w:tab w:val="left" w:pos="5580"/>
        </w:tabs>
        <w:spacing w:line="240" w:lineRule="atLeast"/>
        <w:ind w:left="358" w:leftChars="68" w:hanging="216" w:hangingChars="90"/>
        <w:rPr>
          <w:rFonts w:ascii="仿宋" w:hAnsi="仿宋" w:eastAsia="仿宋" w:cs="仿宋"/>
          <w:color w:val="000000"/>
          <w:sz w:val="24"/>
        </w:rPr>
      </w:pPr>
      <w:r>
        <w:rPr>
          <w:rFonts w:hint="eastAsia" w:ascii="仿宋" w:hAnsi="仿宋" w:eastAsia="仿宋" w:cs="仿宋"/>
          <w:color w:val="000000"/>
          <w:sz w:val="24"/>
        </w:rPr>
        <w:t xml:space="preserve">  与本投标有关的一切正式往来信函请寄：</w:t>
      </w:r>
    </w:p>
    <w:p w14:paraId="455B1018">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传真</w:t>
      </w:r>
      <w:r>
        <w:rPr>
          <w:rFonts w:hint="eastAsia" w:ascii="仿宋" w:hAnsi="仿宋" w:eastAsia="仿宋" w:cs="仿宋"/>
          <w:color w:val="000000"/>
          <w:sz w:val="24"/>
          <w:u w:val="single"/>
        </w:rPr>
        <w:t xml:space="preserve">                             </w:t>
      </w:r>
    </w:p>
    <w:p w14:paraId="6C33980A">
      <w:pPr>
        <w:pStyle w:val="20"/>
        <w:tabs>
          <w:tab w:val="left" w:pos="5580"/>
        </w:tabs>
        <w:spacing w:line="240" w:lineRule="atLeast"/>
        <w:ind w:left="1079" w:leftChars="257" w:hanging="540"/>
        <w:rPr>
          <w:rFonts w:ascii="仿宋" w:hAnsi="仿宋" w:eastAsia="仿宋" w:cs="仿宋"/>
          <w:b/>
          <w:color w:val="000000"/>
          <w:sz w:val="24"/>
        </w:rPr>
      </w:pP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电子函件</w:t>
      </w:r>
      <w:r>
        <w:rPr>
          <w:rFonts w:hint="eastAsia" w:ascii="仿宋" w:hAnsi="仿宋" w:eastAsia="仿宋" w:cs="仿宋"/>
          <w:color w:val="000000"/>
          <w:sz w:val="24"/>
          <w:u w:val="single"/>
        </w:rPr>
        <w:t xml:space="preserve">                         </w:t>
      </w:r>
    </w:p>
    <w:p w14:paraId="15B0D6D8">
      <w:pPr>
        <w:pStyle w:val="20"/>
        <w:tabs>
          <w:tab w:val="left" w:pos="5580"/>
        </w:tabs>
        <w:spacing w:line="240" w:lineRule="atLeast"/>
        <w:ind w:left="1079" w:leftChars="257" w:hanging="540"/>
        <w:rPr>
          <w:rFonts w:ascii="仿宋" w:hAnsi="仿宋" w:eastAsia="仿宋" w:cs="仿宋"/>
          <w:color w:val="000000"/>
          <w:sz w:val="24"/>
        </w:rPr>
      </w:pPr>
    </w:p>
    <w:p w14:paraId="1AED545B">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p>
    <w:p w14:paraId="6DB7F38F">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投标人名称（全称）-----------------</w:t>
      </w:r>
    </w:p>
    <w:p w14:paraId="20E7DB5A">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投标人开户银行（全称）</w:t>
      </w:r>
      <w:r>
        <w:rPr>
          <w:rFonts w:hint="eastAsia" w:ascii="仿宋" w:hAnsi="仿宋" w:eastAsia="仿宋" w:cs="仿宋"/>
          <w:color w:val="000000"/>
          <w:sz w:val="24"/>
          <w:u w:val="single"/>
        </w:rPr>
        <w:t xml:space="preserve">　　　　　　 </w:t>
      </w:r>
    </w:p>
    <w:p w14:paraId="4807264F">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投标人银行帐号</w:t>
      </w:r>
      <w:r>
        <w:rPr>
          <w:rFonts w:hint="eastAsia" w:ascii="仿宋" w:hAnsi="仿宋" w:eastAsia="仿宋" w:cs="仿宋"/>
          <w:color w:val="000000"/>
          <w:sz w:val="24"/>
          <w:u w:val="single"/>
        </w:rPr>
        <w:t>　　　　　　　　 　　</w:t>
      </w:r>
    </w:p>
    <w:p w14:paraId="464AA310">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投标人单位章-------------------------</w:t>
      </w:r>
    </w:p>
    <w:p w14:paraId="693055CC">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日期-------------------------------</w:t>
      </w:r>
    </w:p>
    <w:p w14:paraId="2C85ED19">
      <w:pPr>
        <w:ind w:firstLine="6600" w:firstLineChars="2750"/>
        <w:rPr>
          <w:rFonts w:ascii="仿宋" w:hAnsi="仿宋" w:eastAsia="仿宋" w:cs="仿宋"/>
          <w:color w:val="000000"/>
        </w:rPr>
      </w:pPr>
      <w:r>
        <w:rPr>
          <w:rFonts w:hint="eastAsia" w:ascii="仿宋" w:hAnsi="仿宋" w:eastAsia="仿宋" w:cs="仿宋"/>
          <w:color w:val="000000"/>
          <w:sz w:val="24"/>
        </w:rPr>
        <w:br w:type="page"/>
      </w:r>
      <w:bookmarkEnd w:id="413"/>
      <w:bookmarkEnd w:id="414"/>
    </w:p>
    <w:p w14:paraId="78436B53">
      <w:pPr>
        <w:pStyle w:val="20"/>
        <w:tabs>
          <w:tab w:val="left" w:pos="5580"/>
        </w:tabs>
        <w:spacing w:line="240" w:lineRule="atLeast"/>
        <w:ind w:left="1079" w:leftChars="257" w:hanging="540"/>
        <w:rPr>
          <w:rFonts w:ascii="仿宋" w:hAnsi="仿宋" w:eastAsia="仿宋" w:cs="仿宋"/>
          <w:color w:val="000000"/>
          <w:sz w:val="24"/>
        </w:rPr>
        <w:sectPr>
          <w:footerReference r:id="rId7" w:type="default"/>
          <w:pgSz w:w="11906" w:h="16838"/>
          <w:pgMar w:top="1440" w:right="1797" w:bottom="1440" w:left="1797" w:header="851" w:footer="992" w:gutter="0"/>
          <w:cols w:space="720" w:num="1"/>
          <w:docGrid w:type="linesAndChars" w:linePitch="312" w:charSpace="0"/>
        </w:sectPr>
      </w:pPr>
      <w:bookmarkStart w:id="416" w:name="_Hlt520356243"/>
      <w:bookmarkEnd w:id="416"/>
      <w:bookmarkStart w:id="417" w:name="_Hlt520355938"/>
      <w:bookmarkEnd w:id="417"/>
    </w:p>
    <w:p w14:paraId="3F229816">
      <w:pPr>
        <w:pStyle w:val="4"/>
        <w:tabs>
          <w:tab w:val="center" w:pos="7308"/>
          <w:tab w:val="left" w:pos="10382"/>
        </w:tabs>
        <w:spacing w:before="0" w:line="240" w:lineRule="atLeast"/>
        <w:ind w:left="1080" w:leftChars="257" w:hanging="540"/>
        <w:jc w:val="center"/>
        <w:rPr>
          <w:rFonts w:hint="eastAsia" w:ascii="仿宋" w:hAnsi="仿宋" w:eastAsia="仿宋" w:cs="仿宋"/>
          <w:color w:val="000000"/>
          <w:sz w:val="24"/>
          <w:lang w:eastAsia="zh-CN"/>
        </w:rPr>
      </w:pPr>
      <w:bookmarkStart w:id="418" w:name="_Toc216582815"/>
      <w:bookmarkStart w:id="419" w:name="_Toc21931"/>
      <w:bookmarkStart w:id="420" w:name="_Toc515647818"/>
      <w:bookmarkStart w:id="421" w:name="_Toc1881"/>
      <w:bookmarkStart w:id="422" w:name="_Toc20897"/>
      <w:bookmarkStart w:id="423" w:name="_Toc31726"/>
      <w:bookmarkStart w:id="424" w:name="_Toc216582817"/>
      <w:bookmarkStart w:id="425" w:name="_Toc22563"/>
      <w:bookmarkStart w:id="426" w:name="_Toc28959"/>
      <w:bookmarkStart w:id="427" w:name="_Toc515647820"/>
      <w:r>
        <w:rPr>
          <w:rFonts w:hint="eastAsia" w:ascii="仿宋" w:hAnsi="仿宋" w:eastAsia="仿宋" w:cs="仿宋"/>
          <w:color w:val="000000"/>
          <w:sz w:val="24"/>
          <w:lang w:val="en-US" w:eastAsia="zh-CN"/>
        </w:rPr>
        <w:t>2</w:t>
      </w:r>
      <w:r>
        <w:rPr>
          <w:rFonts w:hint="eastAsia" w:ascii="仿宋" w:hAnsi="仿宋" w:eastAsia="仿宋" w:cs="仿宋"/>
          <w:color w:val="000000"/>
          <w:sz w:val="24"/>
        </w:rPr>
        <w:t xml:space="preserve">   </w:t>
      </w:r>
      <w:bookmarkEnd w:id="418"/>
      <w:r>
        <w:rPr>
          <w:rFonts w:hint="eastAsia" w:ascii="仿宋" w:hAnsi="仿宋" w:eastAsia="仿宋" w:cs="仿宋"/>
          <w:color w:val="000000"/>
          <w:sz w:val="24"/>
        </w:rPr>
        <w:t>投标分项报价表（投标文件格式七）</w:t>
      </w:r>
      <w:bookmarkEnd w:id="419"/>
      <w:bookmarkEnd w:id="420"/>
      <w:bookmarkEnd w:id="421"/>
      <w:bookmarkEnd w:id="422"/>
      <w:bookmarkEnd w:id="423"/>
    </w:p>
    <w:p w14:paraId="407741FA">
      <w:pPr>
        <w:pStyle w:val="20"/>
        <w:tabs>
          <w:tab w:val="left" w:pos="482"/>
        </w:tabs>
        <w:spacing w:line="240" w:lineRule="atLeast"/>
        <w:ind w:left="1080" w:leftChars="257" w:hanging="540"/>
        <w:rPr>
          <w:rFonts w:hint="eastAsia" w:ascii="仿宋" w:hAnsi="仿宋" w:eastAsia="仿宋" w:cs="仿宋"/>
          <w:color w:val="000000"/>
          <w:sz w:val="24"/>
          <w:lang w:eastAsia="zh-CN"/>
        </w:rPr>
      </w:pPr>
    </w:p>
    <w:p w14:paraId="007D81D1">
      <w:pPr>
        <w:pStyle w:val="20"/>
        <w:spacing w:line="240" w:lineRule="atLeast"/>
        <w:ind w:left="1080" w:leftChars="257" w:hanging="540"/>
        <w:rPr>
          <w:rFonts w:ascii="仿宋_GB2312" w:eastAsia="仿宋_GB2312"/>
          <w:color w:val="auto"/>
          <w:sz w:val="24"/>
          <w:highlight w:val="none"/>
        </w:rPr>
      </w:pPr>
      <w:bookmarkStart w:id="428" w:name="_Toc216582816"/>
      <w:bookmarkStart w:id="429" w:name="_Toc515647819"/>
      <w:bookmarkStart w:id="430" w:name="_Toc19399"/>
      <w:bookmarkStart w:id="431" w:name="_Toc14037"/>
      <w:bookmarkStart w:id="432" w:name="_Toc18267"/>
    </w:p>
    <w:p w14:paraId="52528F35">
      <w:pPr>
        <w:pStyle w:val="20"/>
        <w:spacing w:line="240" w:lineRule="atLeast"/>
        <w:ind w:left="1155" w:leftChars="371" w:hanging="376" w:hangingChars="157"/>
        <w:rPr>
          <w:rFonts w:ascii="仿宋_GB2312" w:eastAsia="仿宋_GB2312"/>
          <w:color w:val="auto"/>
          <w:sz w:val="24"/>
          <w:highlight w:val="none"/>
        </w:rPr>
      </w:pPr>
      <w:r>
        <w:rPr>
          <w:rFonts w:hint="eastAsia" w:ascii="仿宋_GB2312" w:eastAsia="仿宋_GB2312"/>
          <w:color w:val="auto"/>
          <w:sz w:val="24"/>
          <w:highlight w:val="none"/>
        </w:rPr>
        <w:t>项目名称:          项目编号:         报价单位：人民币元</w:t>
      </w:r>
    </w:p>
    <w:tbl>
      <w:tblPr>
        <w:tblStyle w:val="36"/>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07"/>
        <w:gridCol w:w="1969"/>
        <w:gridCol w:w="1479"/>
        <w:gridCol w:w="1093"/>
        <w:gridCol w:w="1092"/>
        <w:gridCol w:w="1243"/>
      </w:tblGrid>
      <w:tr w14:paraId="47BB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73" w:type="dxa"/>
            <w:noWrap w:val="0"/>
            <w:vAlign w:val="center"/>
          </w:tcPr>
          <w:p w14:paraId="6D0D5817">
            <w:pPr>
              <w:pStyle w:val="20"/>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307" w:type="dxa"/>
            <w:noWrap w:val="0"/>
            <w:vAlign w:val="center"/>
          </w:tcPr>
          <w:p w14:paraId="4AC12177">
            <w:pPr>
              <w:pStyle w:val="20"/>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lang w:val="en-US" w:eastAsia="zh-CN"/>
              </w:rPr>
              <w:t>名称</w:t>
            </w:r>
          </w:p>
        </w:tc>
        <w:tc>
          <w:tcPr>
            <w:tcW w:w="1969" w:type="dxa"/>
            <w:noWrap w:val="0"/>
            <w:vAlign w:val="center"/>
          </w:tcPr>
          <w:p w14:paraId="0ED29A89">
            <w:pPr>
              <w:pStyle w:val="20"/>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服务内容</w:t>
            </w:r>
          </w:p>
        </w:tc>
        <w:tc>
          <w:tcPr>
            <w:tcW w:w="1479" w:type="dxa"/>
            <w:noWrap w:val="0"/>
            <w:vAlign w:val="center"/>
          </w:tcPr>
          <w:p w14:paraId="06544F3E">
            <w:pPr>
              <w:pStyle w:val="20"/>
              <w:spacing w:line="240" w:lineRule="atLeast"/>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服务期限</w:t>
            </w:r>
          </w:p>
        </w:tc>
        <w:tc>
          <w:tcPr>
            <w:tcW w:w="1093" w:type="dxa"/>
            <w:noWrap w:val="0"/>
            <w:vAlign w:val="center"/>
          </w:tcPr>
          <w:p w14:paraId="26F06733">
            <w:pPr>
              <w:pStyle w:val="20"/>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单价</w:t>
            </w:r>
          </w:p>
        </w:tc>
        <w:tc>
          <w:tcPr>
            <w:tcW w:w="1092" w:type="dxa"/>
            <w:noWrap w:val="0"/>
            <w:vAlign w:val="center"/>
          </w:tcPr>
          <w:p w14:paraId="0EF3950A">
            <w:pPr>
              <w:pStyle w:val="20"/>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总价</w:t>
            </w:r>
          </w:p>
        </w:tc>
        <w:tc>
          <w:tcPr>
            <w:tcW w:w="1243" w:type="dxa"/>
            <w:noWrap w:val="0"/>
            <w:vAlign w:val="center"/>
          </w:tcPr>
          <w:p w14:paraId="63D3A90B">
            <w:pPr>
              <w:pStyle w:val="20"/>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14:paraId="1F51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73" w:type="dxa"/>
            <w:noWrap w:val="0"/>
            <w:vAlign w:val="center"/>
          </w:tcPr>
          <w:p w14:paraId="4E7A3412">
            <w:pPr>
              <w:pStyle w:val="20"/>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307" w:type="dxa"/>
            <w:noWrap w:val="0"/>
            <w:vAlign w:val="center"/>
          </w:tcPr>
          <w:p w14:paraId="4BEBF5AA">
            <w:pPr>
              <w:pStyle w:val="20"/>
              <w:spacing w:line="240" w:lineRule="atLeast"/>
              <w:jc w:val="center"/>
              <w:rPr>
                <w:rFonts w:hint="eastAsia" w:ascii="仿宋_GB2312" w:eastAsia="仿宋_GB2312"/>
                <w:color w:val="auto"/>
                <w:sz w:val="24"/>
                <w:highlight w:val="none"/>
                <w:lang w:val="en-US" w:eastAsia="zh-CN"/>
              </w:rPr>
            </w:pPr>
          </w:p>
        </w:tc>
        <w:tc>
          <w:tcPr>
            <w:tcW w:w="1969" w:type="dxa"/>
            <w:noWrap w:val="0"/>
            <w:vAlign w:val="center"/>
          </w:tcPr>
          <w:p w14:paraId="40326EDB">
            <w:pPr>
              <w:pStyle w:val="20"/>
              <w:spacing w:line="240" w:lineRule="atLeast"/>
              <w:ind w:left="1080" w:leftChars="257" w:hanging="540"/>
              <w:jc w:val="center"/>
              <w:rPr>
                <w:rFonts w:ascii="仿宋_GB2312" w:eastAsia="仿宋_GB2312"/>
                <w:color w:val="auto"/>
                <w:sz w:val="24"/>
                <w:highlight w:val="none"/>
              </w:rPr>
            </w:pPr>
          </w:p>
        </w:tc>
        <w:tc>
          <w:tcPr>
            <w:tcW w:w="1479" w:type="dxa"/>
            <w:noWrap w:val="0"/>
            <w:vAlign w:val="center"/>
          </w:tcPr>
          <w:p w14:paraId="3AF712DC">
            <w:pPr>
              <w:pStyle w:val="20"/>
              <w:spacing w:line="240" w:lineRule="atLeast"/>
              <w:ind w:left="1080" w:leftChars="257" w:hanging="540"/>
              <w:jc w:val="center"/>
              <w:rPr>
                <w:rFonts w:ascii="仿宋_GB2312" w:eastAsia="仿宋_GB2312"/>
                <w:color w:val="auto"/>
                <w:sz w:val="24"/>
                <w:highlight w:val="none"/>
              </w:rPr>
            </w:pPr>
          </w:p>
        </w:tc>
        <w:tc>
          <w:tcPr>
            <w:tcW w:w="1093" w:type="dxa"/>
            <w:noWrap w:val="0"/>
            <w:vAlign w:val="center"/>
          </w:tcPr>
          <w:p w14:paraId="0B237B02">
            <w:pPr>
              <w:pStyle w:val="20"/>
              <w:spacing w:line="240" w:lineRule="atLeast"/>
              <w:ind w:left="1080" w:leftChars="257" w:hanging="540"/>
              <w:jc w:val="center"/>
              <w:rPr>
                <w:rFonts w:ascii="仿宋_GB2312" w:eastAsia="仿宋_GB2312"/>
                <w:color w:val="auto"/>
                <w:sz w:val="24"/>
                <w:highlight w:val="none"/>
              </w:rPr>
            </w:pPr>
          </w:p>
        </w:tc>
        <w:tc>
          <w:tcPr>
            <w:tcW w:w="1092" w:type="dxa"/>
            <w:noWrap w:val="0"/>
            <w:vAlign w:val="center"/>
          </w:tcPr>
          <w:p w14:paraId="25069D1E">
            <w:pPr>
              <w:pStyle w:val="20"/>
              <w:spacing w:line="240" w:lineRule="atLeast"/>
              <w:ind w:left="1080" w:leftChars="257" w:hanging="540"/>
              <w:jc w:val="center"/>
              <w:rPr>
                <w:rFonts w:ascii="仿宋_GB2312" w:eastAsia="仿宋_GB2312"/>
                <w:color w:val="auto"/>
                <w:sz w:val="24"/>
                <w:highlight w:val="none"/>
              </w:rPr>
            </w:pPr>
          </w:p>
        </w:tc>
        <w:tc>
          <w:tcPr>
            <w:tcW w:w="1243" w:type="dxa"/>
            <w:noWrap w:val="0"/>
            <w:vAlign w:val="center"/>
          </w:tcPr>
          <w:p w14:paraId="7AD7FDE0">
            <w:pPr>
              <w:pStyle w:val="20"/>
              <w:spacing w:line="240" w:lineRule="atLeast"/>
              <w:ind w:left="1080" w:leftChars="257" w:hanging="540"/>
              <w:jc w:val="center"/>
              <w:rPr>
                <w:rFonts w:ascii="仿宋_GB2312" w:eastAsia="仿宋_GB2312"/>
                <w:color w:val="auto"/>
                <w:sz w:val="24"/>
                <w:highlight w:val="none"/>
              </w:rPr>
            </w:pPr>
          </w:p>
        </w:tc>
      </w:tr>
      <w:tr w14:paraId="54B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46DC8A8B">
            <w:pPr>
              <w:pStyle w:val="20"/>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1307" w:type="dxa"/>
            <w:noWrap w:val="0"/>
            <w:vAlign w:val="center"/>
          </w:tcPr>
          <w:p w14:paraId="7A249890">
            <w:pPr>
              <w:pStyle w:val="20"/>
              <w:spacing w:line="240" w:lineRule="atLeast"/>
              <w:jc w:val="center"/>
              <w:rPr>
                <w:rFonts w:hint="default" w:ascii="仿宋_GB2312" w:eastAsia="仿宋_GB2312"/>
                <w:color w:val="auto"/>
                <w:sz w:val="24"/>
                <w:highlight w:val="none"/>
                <w:lang w:val="en-US" w:eastAsia="zh-CN"/>
              </w:rPr>
            </w:pPr>
          </w:p>
        </w:tc>
        <w:tc>
          <w:tcPr>
            <w:tcW w:w="1969" w:type="dxa"/>
            <w:noWrap w:val="0"/>
            <w:vAlign w:val="center"/>
          </w:tcPr>
          <w:p w14:paraId="5DFE1A93">
            <w:pPr>
              <w:pStyle w:val="20"/>
              <w:spacing w:line="240" w:lineRule="atLeast"/>
              <w:ind w:left="1080" w:leftChars="257" w:hanging="540"/>
              <w:jc w:val="center"/>
              <w:rPr>
                <w:rFonts w:ascii="仿宋_GB2312" w:eastAsia="仿宋_GB2312"/>
                <w:color w:val="auto"/>
                <w:sz w:val="24"/>
                <w:highlight w:val="none"/>
              </w:rPr>
            </w:pPr>
          </w:p>
        </w:tc>
        <w:tc>
          <w:tcPr>
            <w:tcW w:w="1479" w:type="dxa"/>
            <w:noWrap w:val="0"/>
            <w:vAlign w:val="center"/>
          </w:tcPr>
          <w:p w14:paraId="079A85E1">
            <w:pPr>
              <w:pStyle w:val="20"/>
              <w:spacing w:line="240" w:lineRule="atLeast"/>
              <w:ind w:left="1080" w:leftChars="257" w:hanging="540"/>
              <w:jc w:val="center"/>
              <w:rPr>
                <w:rFonts w:ascii="仿宋_GB2312" w:eastAsia="仿宋_GB2312"/>
                <w:color w:val="auto"/>
                <w:sz w:val="24"/>
                <w:highlight w:val="none"/>
              </w:rPr>
            </w:pPr>
          </w:p>
        </w:tc>
        <w:tc>
          <w:tcPr>
            <w:tcW w:w="1093" w:type="dxa"/>
            <w:noWrap w:val="0"/>
            <w:vAlign w:val="center"/>
          </w:tcPr>
          <w:p w14:paraId="7ECB26B4">
            <w:pPr>
              <w:pStyle w:val="20"/>
              <w:spacing w:line="240" w:lineRule="atLeast"/>
              <w:ind w:left="1080" w:leftChars="257" w:hanging="540"/>
              <w:jc w:val="center"/>
              <w:rPr>
                <w:rFonts w:ascii="仿宋_GB2312" w:eastAsia="仿宋_GB2312"/>
                <w:color w:val="auto"/>
                <w:sz w:val="24"/>
                <w:highlight w:val="none"/>
              </w:rPr>
            </w:pPr>
          </w:p>
        </w:tc>
        <w:tc>
          <w:tcPr>
            <w:tcW w:w="1092" w:type="dxa"/>
            <w:noWrap w:val="0"/>
            <w:vAlign w:val="center"/>
          </w:tcPr>
          <w:p w14:paraId="6D445766">
            <w:pPr>
              <w:pStyle w:val="20"/>
              <w:spacing w:line="240" w:lineRule="atLeast"/>
              <w:ind w:left="1080" w:leftChars="257" w:hanging="540"/>
              <w:jc w:val="center"/>
              <w:rPr>
                <w:rFonts w:ascii="仿宋_GB2312" w:eastAsia="仿宋_GB2312"/>
                <w:color w:val="auto"/>
                <w:sz w:val="24"/>
                <w:highlight w:val="none"/>
              </w:rPr>
            </w:pPr>
          </w:p>
        </w:tc>
        <w:tc>
          <w:tcPr>
            <w:tcW w:w="1243" w:type="dxa"/>
            <w:noWrap w:val="0"/>
            <w:vAlign w:val="center"/>
          </w:tcPr>
          <w:p w14:paraId="66A6BF69">
            <w:pPr>
              <w:pStyle w:val="20"/>
              <w:spacing w:line="240" w:lineRule="atLeast"/>
              <w:ind w:left="1080" w:leftChars="257" w:hanging="540"/>
              <w:jc w:val="center"/>
              <w:rPr>
                <w:rFonts w:ascii="仿宋_GB2312" w:eastAsia="仿宋_GB2312"/>
                <w:color w:val="auto"/>
                <w:sz w:val="24"/>
                <w:highlight w:val="none"/>
              </w:rPr>
            </w:pPr>
          </w:p>
        </w:tc>
      </w:tr>
      <w:tr w14:paraId="2C4B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2EFEBC44">
            <w:pPr>
              <w:pStyle w:val="20"/>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1307" w:type="dxa"/>
            <w:noWrap w:val="0"/>
            <w:vAlign w:val="center"/>
          </w:tcPr>
          <w:p w14:paraId="7DC7890B">
            <w:pPr>
              <w:pStyle w:val="20"/>
              <w:spacing w:line="240" w:lineRule="atLeast"/>
              <w:jc w:val="center"/>
              <w:rPr>
                <w:rFonts w:hint="default" w:ascii="仿宋_GB2312" w:eastAsia="仿宋_GB2312"/>
                <w:color w:val="auto"/>
                <w:sz w:val="24"/>
                <w:highlight w:val="none"/>
                <w:lang w:val="en-US" w:eastAsia="zh-CN"/>
              </w:rPr>
            </w:pPr>
          </w:p>
        </w:tc>
        <w:tc>
          <w:tcPr>
            <w:tcW w:w="1969" w:type="dxa"/>
            <w:noWrap w:val="0"/>
            <w:vAlign w:val="center"/>
          </w:tcPr>
          <w:p w14:paraId="7492F8C6">
            <w:pPr>
              <w:pStyle w:val="20"/>
              <w:spacing w:line="240" w:lineRule="atLeast"/>
              <w:ind w:left="1080" w:leftChars="257" w:hanging="540"/>
              <w:jc w:val="center"/>
              <w:rPr>
                <w:rFonts w:ascii="仿宋_GB2312" w:eastAsia="仿宋_GB2312"/>
                <w:color w:val="auto"/>
                <w:sz w:val="24"/>
                <w:highlight w:val="none"/>
              </w:rPr>
            </w:pPr>
          </w:p>
        </w:tc>
        <w:tc>
          <w:tcPr>
            <w:tcW w:w="1479" w:type="dxa"/>
            <w:noWrap w:val="0"/>
            <w:vAlign w:val="center"/>
          </w:tcPr>
          <w:p w14:paraId="3D5DB2A5">
            <w:pPr>
              <w:pStyle w:val="20"/>
              <w:spacing w:line="240" w:lineRule="atLeast"/>
              <w:ind w:left="1080" w:leftChars="257" w:hanging="540"/>
              <w:jc w:val="center"/>
              <w:rPr>
                <w:rFonts w:ascii="仿宋_GB2312" w:eastAsia="仿宋_GB2312"/>
                <w:color w:val="auto"/>
                <w:sz w:val="24"/>
                <w:highlight w:val="none"/>
              </w:rPr>
            </w:pPr>
          </w:p>
        </w:tc>
        <w:tc>
          <w:tcPr>
            <w:tcW w:w="1093" w:type="dxa"/>
            <w:noWrap w:val="0"/>
            <w:vAlign w:val="center"/>
          </w:tcPr>
          <w:p w14:paraId="619D612B">
            <w:pPr>
              <w:pStyle w:val="20"/>
              <w:spacing w:line="240" w:lineRule="atLeast"/>
              <w:ind w:left="1080" w:leftChars="257" w:hanging="540"/>
              <w:jc w:val="center"/>
              <w:rPr>
                <w:rFonts w:ascii="仿宋_GB2312" w:eastAsia="仿宋_GB2312"/>
                <w:color w:val="auto"/>
                <w:sz w:val="24"/>
                <w:highlight w:val="none"/>
              </w:rPr>
            </w:pPr>
          </w:p>
        </w:tc>
        <w:tc>
          <w:tcPr>
            <w:tcW w:w="1092" w:type="dxa"/>
            <w:noWrap w:val="0"/>
            <w:vAlign w:val="center"/>
          </w:tcPr>
          <w:p w14:paraId="4717D245">
            <w:pPr>
              <w:pStyle w:val="20"/>
              <w:spacing w:line="240" w:lineRule="atLeast"/>
              <w:ind w:left="1080" w:leftChars="257" w:hanging="540"/>
              <w:jc w:val="center"/>
              <w:rPr>
                <w:rFonts w:ascii="仿宋_GB2312" w:eastAsia="仿宋_GB2312"/>
                <w:color w:val="auto"/>
                <w:sz w:val="24"/>
                <w:highlight w:val="none"/>
              </w:rPr>
            </w:pPr>
          </w:p>
        </w:tc>
        <w:tc>
          <w:tcPr>
            <w:tcW w:w="1243" w:type="dxa"/>
            <w:noWrap w:val="0"/>
            <w:vAlign w:val="center"/>
          </w:tcPr>
          <w:p w14:paraId="384335C6">
            <w:pPr>
              <w:pStyle w:val="20"/>
              <w:spacing w:line="240" w:lineRule="atLeast"/>
              <w:ind w:left="1080" w:leftChars="257" w:hanging="540"/>
              <w:jc w:val="center"/>
              <w:rPr>
                <w:rFonts w:ascii="仿宋_GB2312" w:eastAsia="仿宋_GB2312"/>
                <w:color w:val="auto"/>
                <w:sz w:val="24"/>
                <w:highlight w:val="none"/>
              </w:rPr>
            </w:pPr>
          </w:p>
        </w:tc>
      </w:tr>
      <w:tr w14:paraId="306A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3C008E59">
            <w:pPr>
              <w:pStyle w:val="20"/>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w:t>
            </w:r>
          </w:p>
        </w:tc>
        <w:tc>
          <w:tcPr>
            <w:tcW w:w="1307" w:type="dxa"/>
            <w:noWrap w:val="0"/>
            <w:vAlign w:val="center"/>
          </w:tcPr>
          <w:p w14:paraId="3C9BD169">
            <w:pPr>
              <w:pStyle w:val="20"/>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1969" w:type="dxa"/>
            <w:noWrap w:val="0"/>
            <w:vAlign w:val="center"/>
          </w:tcPr>
          <w:p w14:paraId="55A3D1A5">
            <w:pPr>
              <w:pStyle w:val="20"/>
              <w:spacing w:line="240" w:lineRule="atLeast"/>
              <w:ind w:left="1080" w:leftChars="257" w:hanging="540"/>
              <w:jc w:val="center"/>
              <w:rPr>
                <w:rFonts w:ascii="仿宋_GB2312" w:eastAsia="仿宋_GB2312"/>
                <w:color w:val="auto"/>
                <w:sz w:val="24"/>
                <w:highlight w:val="none"/>
              </w:rPr>
            </w:pPr>
          </w:p>
        </w:tc>
        <w:tc>
          <w:tcPr>
            <w:tcW w:w="1479" w:type="dxa"/>
            <w:noWrap w:val="0"/>
            <w:vAlign w:val="center"/>
          </w:tcPr>
          <w:p w14:paraId="0BCDC3C7">
            <w:pPr>
              <w:pStyle w:val="20"/>
              <w:spacing w:line="240" w:lineRule="atLeast"/>
              <w:ind w:left="1080" w:leftChars="257" w:hanging="540"/>
              <w:jc w:val="center"/>
              <w:rPr>
                <w:rFonts w:ascii="仿宋_GB2312" w:eastAsia="仿宋_GB2312"/>
                <w:color w:val="auto"/>
                <w:sz w:val="24"/>
                <w:highlight w:val="none"/>
              </w:rPr>
            </w:pPr>
          </w:p>
        </w:tc>
        <w:tc>
          <w:tcPr>
            <w:tcW w:w="1093" w:type="dxa"/>
            <w:noWrap w:val="0"/>
            <w:vAlign w:val="center"/>
          </w:tcPr>
          <w:p w14:paraId="1BE13CBA">
            <w:pPr>
              <w:pStyle w:val="20"/>
              <w:spacing w:line="240" w:lineRule="atLeast"/>
              <w:ind w:left="1080" w:leftChars="257" w:hanging="540"/>
              <w:jc w:val="center"/>
              <w:rPr>
                <w:rFonts w:ascii="仿宋_GB2312" w:eastAsia="仿宋_GB2312"/>
                <w:color w:val="auto"/>
                <w:sz w:val="24"/>
                <w:highlight w:val="none"/>
              </w:rPr>
            </w:pPr>
          </w:p>
        </w:tc>
        <w:tc>
          <w:tcPr>
            <w:tcW w:w="1092" w:type="dxa"/>
            <w:noWrap w:val="0"/>
            <w:vAlign w:val="center"/>
          </w:tcPr>
          <w:p w14:paraId="1BE35561">
            <w:pPr>
              <w:pStyle w:val="20"/>
              <w:spacing w:line="240" w:lineRule="atLeast"/>
              <w:ind w:left="1080" w:leftChars="257" w:hanging="540"/>
              <w:jc w:val="center"/>
              <w:rPr>
                <w:rFonts w:ascii="仿宋_GB2312" w:eastAsia="仿宋_GB2312"/>
                <w:color w:val="auto"/>
                <w:sz w:val="24"/>
                <w:highlight w:val="none"/>
              </w:rPr>
            </w:pPr>
          </w:p>
        </w:tc>
        <w:tc>
          <w:tcPr>
            <w:tcW w:w="1243" w:type="dxa"/>
            <w:noWrap w:val="0"/>
            <w:vAlign w:val="center"/>
          </w:tcPr>
          <w:p w14:paraId="5596EE5F">
            <w:pPr>
              <w:pStyle w:val="20"/>
              <w:spacing w:line="240" w:lineRule="atLeast"/>
              <w:ind w:left="1080" w:leftChars="257" w:hanging="540"/>
              <w:jc w:val="center"/>
              <w:rPr>
                <w:rFonts w:ascii="仿宋_GB2312" w:eastAsia="仿宋_GB2312"/>
                <w:color w:val="auto"/>
                <w:sz w:val="24"/>
                <w:highlight w:val="none"/>
              </w:rPr>
            </w:pPr>
          </w:p>
        </w:tc>
      </w:tr>
      <w:tr w14:paraId="022C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73" w:type="dxa"/>
            <w:noWrap w:val="0"/>
            <w:vAlign w:val="center"/>
          </w:tcPr>
          <w:p w14:paraId="26B23D67">
            <w:pPr>
              <w:pStyle w:val="20"/>
              <w:spacing w:line="240" w:lineRule="atLeast"/>
              <w:ind w:left="269" w:leftChars="128"/>
              <w:jc w:val="center"/>
              <w:rPr>
                <w:rFonts w:ascii="仿宋_GB2312" w:eastAsia="仿宋_GB2312"/>
                <w:color w:val="auto"/>
                <w:sz w:val="24"/>
                <w:highlight w:val="none"/>
              </w:rPr>
            </w:pPr>
          </w:p>
        </w:tc>
        <w:tc>
          <w:tcPr>
            <w:tcW w:w="1307" w:type="dxa"/>
            <w:noWrap w:val="0"/>
            <w:vAlign w:val="center"/>
          </w:tcPr>
          <w:p w14:paraId="41B99E0C">
            <w:pPr>
              <w:pStyle w:val="20"/>
              <w:spacing w:line="240" w:lineRule="atLeast"/>
              <w:jc w:val="center"/>
              <w:rPr>
                <w:rFonts w:hint="default" w:ascii="仿宋_GB2312" w:eastAsia="仿宋_GB2312"/>
                <w:color w:val="auto"/>
                <w:sz w:val="24"/>
                <w:highlight w:val="none"/>
                <w:lang w:val="en-US" w:eastAsia="zh-CN"/>
              </w:rPr>
            </w:pPr>
          </w:p>
        </w:tc>
        <w:tc>
          <w:tcPr>
            <w:tcW w:w="1969" w:type="dxa"/>
            <w:noWrap w:val="0"/>
            <w:vAlign w:val="center"/>
          </w:tcPr>
          <w:p w14:paraId="1740E09C">
            <w:pPr>
              <w:pStyle w:val="20"/>
              <w:spacing w:line="240" w:lineRule="atLeast"/>
              <w:ind w:left="1080" w:leftChars="257" w:hanging="540"/>
              <w:jc w:val="center"/>
              <w:rPr>
                <w:rFonts w:ascii="仿宋_GB2312" w:eastAsia="仿宋_GB2312"/>
                <w:color w:val="auto"/>
                <w:sz w:val="24"/>
                <w:highlight w:val="none"/>
              </w:rPr>
            </w:pPr>
          </w:p>
        </w:tc>
        <w:tc>
          <w:tcPr>
            <w:tcW w:w="1479" w:type="dxa"/>
            <w:noWrap w:val="0"/>
            <w:vAlign w:val="center"/>
          </w:tcPr>
          <w:p w14:paraId="37D2B90C">
            <w:pPr>
              <w:pStyle w:val="20"/>
              <w:spacing w:line="240" w:lineRule="atLeast"/>
              <w:ind w:left="1080" w:leftChars="257" w:hanging="540"/>
              <w:jc w:val="center"/>
              <w:rPr>
                <w:rFonts w:ascii="仿宋_GB2312" w:eastAsia="仿宋_GB2312"/>
                <w:color w:val="auto"/>
                <w:sz w:val="24"/>
                <w:highlight w:val="none"/>
              </w:rPr>
            </w:pPr>
          </w:p>
        </w:tc>
        <w:tc>
          <w:tcPr>
            <w:tcW w:w="1093" w:type="dxa"/>
            <w:noWrap w:val="0"/>
            <w:vAlign w:val="center"/>
          </w:tcPr>
          <w:p w14:paraId="3682A4BC">
            <w:pPr>
              <w:pStyle w:val="20"/>
              <w:spacing w:line="240" w:lineRule="atLeast"/>
              <w:ind w:left="1080" w:leftChars="257" w:hanging="540"/>
              <w:jc w:val="center"/>
              <w:rPr>
                <w:rFonts w:ascii="仿宋_GB2312" w:eastAsia="仿宋_GB2312"/>
                <w:color w:val="auto"/>
                <w:sz w:val="24"/>
                <w:highlight w:val="none"/>
              </w:rPr>
            </w:pPr>
          </w:p>
        </w:tc>
        <w:tc>
          <w:tcPr>
            <w:tcW w:w="1092" w:type="dxa"/>
            <w:noWrap w:val="0"/>
            <w:vAlign w:val="center"/>
          </w:tcPr>
          <w:p w14:paraId="326ED72F">
            <w:pPr>
              <w:pStyle w:val="20"/>
              <w:spacing w:line="240" w:lineRule="atLeast"/>
              <w:ind w:left="1080" w:leftChars="257" w:hanging="540"/>
              <w:jc w:val="center"/>
              <w:rPr>
                <w:rFonts w:ascii="仿宋_GB2312" w:eastAsia="仿宋_GB2312"/>
                <w:color w:val="auto"/>
                <w:sz w:val="24"/>
                <w:highlight w:val="none"/>
              </w:rPr>
            </w:pPr>
          </w:p>
        </w:tc>
        <w:tc>
          <w:tcPr>
            <w:tcW w:w="1243" w:type="dxa"/>
            <w:noWrap w:val="0"/>
            <w:vAlign w:val="center"/>
          </w:tcPr>
          <w:p w14:paraId="330C646B">
            <w:pPr>
              <w:pStyle w:val="20"/>
              <w:spacing w:line="240" w:lineRule="atLeast"/>
              <w:ind w:left="1080" w:leftChars="257" w:hanging="540"/>
              <w:jc w:val="center"/>
              <w:rPr>
                <w:rFonts w:ascii="仿宋_GB2312" w:eastAsia="仿宋_GB2312"/>
                <w:color w:val="auto"/>
                <w:sz w:val="24"/>
                <w:highlight w:val="none"/>
              </w:rPr>
            </w:pPr>
          </w:p>
        </w:tc>
      </w:tr>
      <w:tr w14:paraId="4598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33E59D2F">
            <w:pPr>
              <w:pStyle w:val="20"/>
              <w:spacing w:line="240" w:lineRule="atLeast"/>
              <w:ind w:left="269" w:leftChars="128"/>
              <w:jc w:val="center"/>
              <w:rPr>
                <w:rFonts w:ascii="仿宋_GB2312" w:eastAsia="仿宋_GB2312"/>
                <w:color w:val="auto"/>
                <w:sz w:val="24"/>
                <w:highlight w:val="none"/>
              </w:rPr>
            </w:pPr>
          </w:p>
        </w:tc>
        <w:tc>
          <w:tcPr>
            <w:tcW w:w="1307" w:type="dxa"/>
            <w:noWrap w:val="0"/>
            <w:vAlign w:val="center"/>
          </w:tcPr>
          <w:p w14:paraId="657E506E">
            <w:pPr>
              <w:pStyle w:val="20"/>
              <w:spacing w:line="240" w:lineRule="atLeast"/>
              <w:jc w:val="center"/>
              <w:rPr>
                <w:rFonts w:hint="default" w:ascii="仿宋_GB2312" w:eastAsia="仿宋_GB2312"/>
                <w:color w:val="auto"/>
                <w:sz w:val="24"/>
                <w:highlight w:val="none"/>
                <w:lang w:val="en-US" w:eastAsia="zh-CN"/>
              </w:rPr>
            </w:pPr>
          </w:p>
        </w:tc>
        <w:tc>
          <w:tcPr>
            <w:tcW w:w="1969" w:type="dxa"/>
            <w:noWrap w:val="0"/>
            <w:vAlign w:val="center"/>
          </w:tcPr>
          <w:p w14:paraId="0086A0C3">
            <w:pPr>
              <w:pStyle w:val="20"/>
              <w:spacing w:line="240" w:lineRule="atLeast"/>
              <w:ind w:left="1080" w:leftChars="257" w:hanging="540"/>
              <w:jc w:val="center"/>
              <w:rPr>
                <w:rFonts w:ascii="仿宋_GB2312" w:eastAsia="仿宋_GB2312"/>
                <w:color w:val="auto"/>
                <w:sz w:val="24"/>
                <w:highlight w:val="none"/>
              </w:rPr>
            </w:pPr>
          </w:p>
        </w:tc>
        <w:tc>
          <w:tcPr>
            <w:tcW w:w="1479" w:type="dxa"/>
            <w:noWrap w:val="0"/>
            <w:vAlign w:val="center"/>
          </w:tcPr>
          <w:p w14:paraId="605B58B5">
            <w:pPr>
              <w:pStyle w:val="20"/>
              <w:spacing w:line="240" w:lineRule="atLeast"/>
              <w:ind w:left="1080" w:leftChars="257" w:hanging="540"/>
              <w:jc w:val="center"/>
              <w:rPr>
                <w:rFonts w:ascii="仿宋_GB2312" w:eastAsia="仿宋_GB2312"/>
                <w:color w:val="auto"/>
                <w:sz w:val="24"/>
                <w:highlight w:val="none"/>
              </w:rPr>
            </w:pPr>
          </w:p>
        </w:tc>
        <w:tc>
          <w:tcPr>
            <w:tcW w:w="1093" w:type="dxa"/>
            <w:noWrap w:val="0"/>
            <w:vAlign w:val="center"/>
          </w:tcPr>
          <w:p w14:paraId="41251BD3">
            <w:pPr>
              <w:pStyle w:val="20"/>
              <w:spacing w:line="240" w:lineRule="atLeast"/>
              <w:ind w:left="1080" w:leftChars="257" w:hanging="540"/>
              <w:jc w:val="center"/>
              <w:rPr>
                <w:rFonts w:ascii="仿宋_GB2312" w:eastAsia="仿宋_GB2312"/>
                <w:color w:val="auto"/>
                <w:sz w:val="24"/>
                <w:highlight w:val="none"/>
              </w:rPr>
            </w:pPr>
          </w:p>
        </w:tc>
        <w:tc>
          <w:tcPr>
            <w:tcW w:w="1092" w:type="dxa"/>
            <w:noWrap w:val="0"/>
            <w:vAlign w:val="center"/>
          </w:tcPr>
          <w:p w14:paraId="5CF39058">
            <w:pPr>
              <w:pStyle w:val="20"/>
              <w:spacing w:line="240" w:lineRule="atLeast"/>
              <w:ind w:left="1080" w:leftChars="257" w:hanging="540"/>
              <w:jc w:val="center"/>
              <w:rPr>
                <w:rFonts w:ascii="仿宋_GB2312" w:eastAsia="仿宋_GB2312"/>
                <w:color w:val="auto"/>
                <w:sz w:val="24"/>
                <w:highlight w:val="none"/>
              </w:rPr>
            </w:pPr>
          </w:p>
        </w:tc>
        <w:tc>
          <w:tcPr>
            <w:tcW w:w="1243" w:type="dxa"/>
            <w:noWrap w:val="0"/>
            <w:vAlign w:val="center"/>
          </w:tcPr>
          <w:p w14:paraId="16493D5C">
            <w:pPr>
              <w:pStyle w:val="20"/>
              <w:spacing w:line="240" w:lineRule="atLeast"/>
              <w:ind w:left="1080" w:leftChars="257" w:hanging="540"/>
              <w:jc w:val="center"/>
              <w:rPr>
                <w:rFonts w:ascii="仿宋_GB2312" w:eastAsia="仿宋_GB2312"/>
                <w:color w:val="auto"/>
                <w:sz w:val="24"/>
                <w:highlight w:val="none"/>
              </w:rPr>
            </w:pPr>
          </w:p>
        </w:tc>
      </w:tr>
      <w:tr w14:paraId="305C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73" w:type="dxa"/>
            <w:noWrap w:val="0"/>
            <w:vAlign w:val="center"/>
          </w:tcPr>
          <w:p w14:paraId="73EFC7E9">
            <w:pPr>
              <w:pStyle w:val="20"/>
              <w:spacing w:line="240" w:lineRule="atLeast"/>
              <w:rPr>
                <w:rFonts w:ascii="仿宋_GB2312" w:eastAsia="仿宋_GB2312"/>
                <w:color w:val="auto"/>
                <w:sz w:val="24"/>
                <w:highlight w:val="none"/>
              </w:rPr>
            </w:pPr>
          </w:p>
        </w:tc>
        <w:tc>
          <w:tcPr>
            <w:tcW w:w="1307" w:type="dxa"/>
            <w:noWrap w:val="0"/>
            <w:vAlign w:val="center"/>
          </w:tcPr>
          <w:p w14:paraId="2B31AB7F">
            <w:pPr>
              <w:pStyle w:val="20"/>
              <w:spacing w:line="240" w:lineRule="atLeast"/>
              <w:jc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w:t>
            </w:r>
          </w:p>
        </w:tc>
        <w:tc>
          <w:tcPr>
            <w:tcW w:w="1969" w:type="dxa"/>
            <w:noWrap w:val="0"/>
            <w:vAlign w:val="center"/>
          </w:tcPr>
          <w:p w14:paraId="23B99C6B">
            <w:pPr>
              <w:pStyle w:val="20"/>
              <w:spacing w:line="240" w:lineRule="atLeast"/>
              <w:ind w:left="1080" w:leftChars="257" w:hanging="540"/>
              <w:jc w:val="center"/>
              <w:rPr>
                <w:rFonts w:ascii="仿宋_GB2312" w:eastAsia="仿宋_GB2312"/>
                <w:color w:val="auto"/>
                <w:sz w:val="24"/>
                <w:highlight w:val="none"/>
              </w:rPr>
            </w:pPr>
          </w:p>
        </w:tc>
        <w:tc>
          <w:tcPr>
            <w:tcW w:w="1479" w:type="dxa"/>
            <w:noWrap w:val="0"/>
            <w:vAlign w:val="center"/>
          </w:tcPr>
          <w:p w14:paraId="6961C740">
            <w:pPr>
              <w:pStyle w:val="20"/>
              <w:spacing w:line="240" w:lineRule="atLeast"/>
              <w:ind w:left="1080" w:leftChars="257" w:hanging="540"/>
              <w:jc w:val="center"/>
              <w:rPr>
                <w:rFonts w:ascii="仿宋_GB2312" w:eastAsia="仿宋_GB2312"/>
                <w:color w:val="auto"/>
                <w:sz w:val="24"/>
                <w:highlight w:val="none"/>
              </w:rPr>
            </w:pPr>
          </w:p>
        </w:tc>
        <w:tc>
          <w:tcPr>
            <w:tcW w:w="1093" w:type="dxa"/>
            <w:noWrap w:val="0"/>
            <w:vAlign w:val="center"/>
          </w:tcPr>
          <w:p w14:paraId="2A2F05CA">
            <w:pPr>
              <w:pStyle w:val="20"/>
              <w:spacing w:line="240" w:lineRule="atLeast"/>
              <w:ind w:left="1080" w:leftChars="257" w:hanging="540"/>
              <w:jc w:val="center"/>
              <w:rPr>
                <w:rFonts w:ascii="仿宋_GB2312" w:eastAsia="仿宋_GB2312"/>
                <w:color w:val="auto"/>
                <w:sz w:val="24"/>
                <w:highlight w:val="none"/>
              </w:rPr>
            </w:pPr>
          </w:p>
        </w:tc>
        <w:tc>
          <w:tcPr>
            <w:tcW w:w="1092" w:type="dxa"/>
            <w:noWrap w:val="0"/>
            <w:vAlign w:val="center"/>
          </w:tcPr>
          <w:p w14:paraId="2C8123F3">
            <w:pPr>
              <w:pStyle w:val="20"/>
              <w:spacing w:line="240" w:lineRule="atLeast"/>
              <w:ind w:left="1080" w:leftChars="257" w:hanging="540"/>
              <w:jc w:val="center"/>
              <w:rPr>
                <w:rFonts w:ascii="仿宋_GB2312" w:eastAsia="仿宋_GB2312"/>
                <w:color w:val="auto"/>
                <w:sz w:val="24"/>
                <w:highlight w:val="none"/>
              </w:rPr>
            </w:pPr>
          </w:p>
        </w:tc>
        <w:tc>
          <w:tcPr>
            <w:tcW w:w="1243" w:type="dxa"/>
            <w:noWrap w:val="0"/>
            <w:vAlign w:val="center"/>
          </w:tcPr>
          <w:p w14:paraId="3A9846C0">
            <w:pPr>
              <w:pStyle w:val="20"/>
              <w:spacing w:line="240" w:lineRule="atLeast"/>
              <w:ind w:left="1080" w:leftChars="257" w:hanging="540"/>
              <w:jc w:val="center"/>
              <w:rPr>
                <w:rFonts w:ascii="仿宋_GB2312" w:eastAsia="仿宋_GB2312"/>
                <w:color w:val="auto"/>
                <w:sz w:val="24"/>
                <w:highlight w:val="none"/>
              </w:rPr>
            </w:pPr>
          </w:p>
        </w:tc>
      </w:tr>
    </w:tbl>
    <w:p w14:paraId="272E5CCC">
      <w:pPr>
        <w:pStyle w:val="20"/>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签字</w:t>
      </w:r>
      <w:r>
        <w:rPr>
          <w:rFonts w:hint="eastAsia" w:ascii="仿宋_GB2312" w:eastAsia="仿宋_GB2312"/>
          <w:color w:val="auto"/>
          <w:sz w:val="24"/>
          <w:highlight w:val="none"/>
          <w:lang w:val="en-US" w:eastAsia="zh-CN"/>
        </w:rPr>
        <w:t>或盖章</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14:paraId="49D23441">
      <w:pPr>
        <w:pStyle w:val="20"/>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p>
    <w:p w14:paraId="48C0BEE4">
      <w:pPr>
        <w:pStyle w:val="20"/>
        <w:spacing w:line="240" w:lineRule="atLeast"/>
        <w:ind w:left="1080" w:leftChars="257" w:hanging="540"/>
        <w:rPr>
          <w:rFonts w:ascii="仿宋_GB2312" w:eastAsia="仿宋_GB2312"/>
          <w:color w:val="auto"/>
          <w:sz w:val="24"/>
          <w:highlight w:val="none"/>
        </w:rPr>
      </w:pPr>
    </w:p>
    <w:p w14:paraId="4C76BEC9">
      <w:pPr>
        <w:pStyle w:val="20"/>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注:1.如果供应商认为需要，每种</w:t>
      </w:r>
      <w:r>
        <w:rPr>
          <w:rFonts w:hint="eastAsia" w:ascii="仿宋_GB2312" w:eastAsia="仿宋_GB2312"/>
          <w:color w:val="auto"/>
          <w:sz w:val="24"/>
          <w:highlight w:val="none"/>
          <w:lang w:val="en-US" w:eastAsia="zh-CN"/>
        </w:rPr>
        <w:t>服务</w:t>
      </w:r>
      <w:r>
        <w:rPr>
          <w:rFonts w:hint="eastAsia" w:ascii="仿宋_GB2312" w:eastAsia="仿宋_GB2312"/>
          <w:color w:val="auto"/>
          <w:sz w:val="24"/>
          <w:highlight w:val="none"/>
        </w:rPr>
        <w:t>填写一份该表。</w:t>
      </w:r>
    </w:p>
    <w:p w14:paraId="4E95A8B0">
      <w:pPr>
        <w:pStyle w:val="20"/>
        <w:spacing w:line="240" w:lineRule="atLeast"/>
        <w:ind w:left="1079" w:leftChars="428" w:hanging="180" w:hangingChars="75"/>
        <w:rPr>
          <w:rFonts w:ascii="仿宋_GB2312" w:eastAsia="仿宋_GB2312"/>
          <w:color w:val="auto"/>
          <w:sz w:val="24"/>
          <w:highlight w:val="none"/>
        </w:rPr>
      </w:pPr>
      <w:r>
        <w:rPr>
          <w:rFonts w:hint="eastAsia" w:ascii="仿宋_GB2312" w:eastAsia="仿宋_GB2312"/>
          <w:color w:val="auto"/>
          <w:sz w:val="24"/>
          <w:highlight w:val="none"/>
        </w:rPr>
        <w:t>2.如果按单价计算的结果与总价不一致,以单价为准修正总价。</w:t>
      </w:r>
    </w:p>
    <w:p w14:paraId="7DF658F4">
      <w:pPr>
        <w:pStyle w:val="20"/>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3.如果不提供详细分项报价将视为没有实质性响应磋商文件。</w:t>
      </w:r>
    </w:p>
    <w:p w14:paraId="45542A6C">
      <w:pPr>
        <w:pStyle w:val="20"/>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4.上述各项的详细分项报价，应另页描述。</w:t>
      </w:r>
    </w:p>
    <w:p w14:paraId="320B2B17">
      <w:pPr>
        <w:pStyle w:val="20"/>
        <w:spacing w:line="240" w:lineRule="atLeast"/>
        <w:ind w:left="1080"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 xml:space="preserve">   5.如果开标一览表（报价表）内容与响应文件中明细表内容不一致的，以开标一览表（报价表）内容为准。</w:t>
      </w:r>
    </w:p>
    <w:p w14:paraId="6EA894B1">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br w:type="page"/>
      </w:r>
    </w:p>
    <w:p w14:paraId="6F65F1E0">
      <w:pPr>
        <w:pStyle w:val="4"/>
        <w:spacing w:before="0" w:line="240" w:lineRule="atLeast"/>
        <w:ind w:left="1080" w:leftChars="257" w:hanging="540"/>
        <w:rPr>
          <w:rFonts w:hint="eastAsia" w:ascii="仿宋" w:hAnsi="仿宋" w:eastAsia="仿宋" w:cs="仿宋"/>
          <w:color w:val="000000"/>
          <w:sz w:val="24"/>
        </w:rPr>
      </w:pPr>
      <w:bookmarkStart w:id="433" w:name="_Toc2984"/>
      <w:r>
        <w:rPr>
          <w:rFonts w:hint="eastAsia" w:ascii="仿宋" w:hAnsi="仿宋" w:eastAsia="仿宋" w:cs="仿宋"/>
          <w:color w:val="000000"/>
          <w:sz w:val="24"/>
          <w:lang w:val="en-US" w:eastAsia="zh-CN"/>
        </w:rPr>
        <w:t>3</w:t>
      </w:r>
      <w:r>
        <w:rPr>
          <w:rFonts w:hint="eastAsia" w:ascii="仿宋" w:hAnsi="仿宋" w:eastAsia="仿宋" w:cs="仿宋"/>
          <w:color w:val="000000"/>
          <w:sz w:val="24"/>
        </w:rPr>
        <w:t xml:space="preserve">   </w:t>
      </w:r>
      <w:bookmarkEnd w:id="428"/>
      <w:r>
        <w:rPr>
          <w:rFonts w:hint="eastAsia" w:ascii="仿宋" w:hAnsi="仿宋" w:eastAsia="仿宋" w:cs="仿宋"/>
          <w:color w:val="000000"/>
          <w:sz w:val="24"/>
          <w:lang w:val="en-US" w:eastAsia="zh-CN"/>
        </w:rPr>
        <w:t>服务</w:t>
      </w:r>
      <w:r>
        <w:rPr>
          <w:rFonts w:hint="eastAsia" w:ascii="仿宋" w:hAnsi="仿宋" w:eastAsia="仿宋" w:cs="仿宋"/>
          <w:color w:val="000000"/>
          <w:sz w:val="24"/>
        </w:rPr>
        <w:t>说明一览表（投标文件格式八）</w:t>
      </w:r>
      <w:bookmarkEnd w:id="429"/>
      <w:bookmarkEnd w:id="430"/>
      <w:bookmarkEnd w:id="431"/>
      <w:bookmarkEnd w:id="432"/>
      <w:bookmarkEnd w:id="433"/>
    </w:p>
    <w:p w14:paraId="741A53DD">
      <w:pPr>
        <w:rPr>
          <w:rFonts w:hint="eastAsia" w:ascii="仿宋" w:hAnsi="仿宋" w:eastAsia="仿宋" w:cs="仿宋"/>
          <w:color w:val="000000"/>
          <w:sz w:val="24"/>
        </w:rPr>
      </w:pPr>
    </w:p>
    <w:p w14:paraId="3CA4BB2B">
      <w:pPr>
        <w:pStyle w:val="27"/>
        <w:rPr>
          <w:rFonts w:hint="eastAsia"/>
          <w:color w:val="000000"/>
        </w:rPr>
      </w:pPr>
    </w:p>
    <w:p w14:paraId="2CAA2B48">
      <w:pPr>
        <w:jc w:val="center"/>
        <w:rPr>
          <w:color w:val="000000"/>
        </w:rPr>
      </w:pPr>
      <w:r>
        <w:rPr>
          <w:rFonts w:hint="eastAsia" w:ascii="仿宋" w:hAnsi="仿宋" w:eastAsia="仿宋" w:cs="仿宋"/>
          <w:color w:val="000000"/>
          <w:sz w:val="24"/>
        </w:rPr>
        <w:t>项目名称:                          招标编号:                包号:</w:t>
      </w:r>
    </w:p>
    <w:tbl>
      <w:tblPr>
        <w:tblStyle w:val="36"/>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73"/>
        <w:gridCol w:w="1634"/>
        <w:gridCol w:w="988"/>
        <w:gridCol w:w="1520"/>
        <w:gridCol w:w="1489"/>
        <w:gridCol w:w="924"/>
      </w:tblGrid>
      <w:tr w14:paraId="759B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2819D5B3">
            <w:pPr>
              <w:tabs>
                <w:tab w:val="left" w:pos="1747"/>
              </w:tabs>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1773" w:type="dxa"/>
            <w:shd w:val="clear" w:color="auto" w:fill="auto"/>
            <w:vAlign w:val="center"/>
          </w:tcPr>
          <w:p w14:paraId="24F4F2DE">
            <w:pPr>
              <w:tabs>
                <w:tab w:val="left" w:pos="1747"/>
              </w:tabs>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服务名称</w:t>
            </w:r>
          </w:p>
        </w:tc>
        <w:tc>
          <w:tcPr>
            <w:tcW w:w="1634" w:type="dxa"/>
            <w:shd w:val="clear" w:color="auto" w:fill="auto"/>
            <w:vAlign w:val="center"/>
          </w:tcPr>
          <w:p w14:paraId="4A8C18A3">
            <w:pPr>
              <w:tabs>
                <w:tab w:val="left" w:pos="1747"/>
              </w:tabs>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服务内容</w:t>
            </w:r>
          </w:p>
        </w:tc>
        <w:tc>
          <w:tcPr>
            <w:tcW w:w="988" w:type="dxa"/>
            <w:shd w:val="clear" w:color="auto" w:fill="auto"/>
            <w:vAlign w:val="center"/>
          </w:tcPr>
          <w:p w14:paraId="0AC5AC47">
            <w:pPr>
              <w:tabs>
                <w:tab w:val="left" w:pos="1747"/>
              </w:tabs>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数量</w:t>
            </w:r>
          </w:p>
        </w:tc>
        <w:tc>
          <w:tcPr>
            <w:tcW w:w="1520" w:type="dxa"/>
            <w:shd w:val="clear" w:color="auto" w:fill="auto"/>
            <w:vAlign w:val="center"/>
          </w:tcPr>
          <w:p w14:paraId="0D293B01">
            <w:pPr>
              <w:tabs>
                <w:tab w:val="left" w:pos="1747"/>
              </w:tabs>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服务时间</w:t>
            </w:r>
          </w:p>
        </w:tc>
        <w:tc>
          <w:tcPr>
            <w:tcW w:w="1489" w:type="dxa"/>
            <w:shd w:val="clear" w:color="auto" w:fill="auto"/>
            <w:vAlign w:val="center"/>
          </w:tcPr>
          <w:p w14:paraId="397D6E82">
            <w:pPr>
              <w:tabs>
                <w:tab w:val="left" w:pos="1747"/>
              </w:tabs>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服务地点</w:t>
            </w:r>
          </w:p>
        </w:tc>
        <w:tc>
          <w:tcPr>
            <w:tcW w:w="924" w:type="dxa"/>
            <w:shd w:val="clear" w:color="auto" w:fill="auto"/>
            <w:vAlign w:val="center"/>
          </w:tcPr>
          <w:p w14:paraId="00911334">
            <w:pPr>
              <w:tabs>
                <w:tab w:val="left" w:pos="1747"/>
              </w:tabs>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备注</w:t>
            </w:r>
          </w:p>
        </w:tc>
      </w:tr>
      <w:tr w14:paraId="3D3D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118C4292">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75E78D96">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76F252B2">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238226CF">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1291B0AB">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75241BAE">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0FC6E4BC">
            <w:pPr>
              <w:tabs>
                <w:tab w:val="left" w:pos="1747"/>
              </w:tabs>
              <w:jc w:val="center"/>
              <w:rPr>
                <w:rFonts w:ascii="仿宋" w:hAnsi="仿宋" w:eastAsia="仿宋" w:cs="仿宋"/>
                <w:color w:val="000000"/>
                <w:sz w:val="28"/>
                <w:szCs w:val="28"/>
              </w:rPr>
            </w:pPr>
          </w:p>
        </w:tc>
      </w:tr>
      <w:tr w14:paraId="000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79F218A2">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4097607E">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5B904E25">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743B52D9">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486C333B">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00BC7760">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2DC524B8">
            <w:pPr>
              <w:tabs>
                <w:tab w:val="left" w:pos="1747"/>
              </w:tabs>
              <w:jc w:val="center"/>
              <w:rPr>
                <w:rFonts w:ascii="仿宋" w:hAnsi="仿宋" w:eastAsia="仿宋" w:cs="仿宋"/>
                <w:color w:val="000000"/>
                <w:sz w:val="28"/>
                <w:szCs w:val="28"/>
              </w:rPr>
            </w:pPr>
          </w:p>
        </w:tc>
      </w:tr>
      <w:tr w14:paraId="57D0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0D91DF06">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45E15254">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175A04B0">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4DDF2A4E">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32AB3550">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687E939B">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68019887">
            <w:pPr>
              <w:tabs>
                <w:tab w:val="left" w:pos="1747"/>
              </w:tabs>
              <w:jc w:val="center"/>
              <w:rPr>
                <w:rFonts w:ascii="仿宋" w:hAnsi="仿宋" w:eastAsia="仿宋" w:cs="仿宋"/>
                <w:color w:val="000000"/>
                <w:sz w:val="28"/>
                <w:szCs w:val="28"/>
              </w:rPr>
            </w:pPr>
          </w:p>
        </w:tc>
      </w:tr>
      <w:tr w14:paraId="6945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5E23AA0B">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702A53FD">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0B69287E">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4ABDAF49">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08D8AC91">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62D3DB57">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693D5B4E">
            <w:pPr>
              <w:tabs>
                <w:tab w:val="left" w:pos="1747"/>
              </w:tabs>
              <w:jc w:val="center"/>
              <w:rPr>
                <w:rFonts w:ascii="仿宋" w:hAnsi="仿宋" w:eastAsia="仿宋" w:cs="仿宋"/>
                <w:color w:val="000000"/>
                <w:sz w:val="28"/>
                <w:szCs w:val="28"/>
              </w:rPr>
            </w:pPr>
          </w:p>
        </w:tc>
      </w:tr>
      <w:tr w14:paraId="51E7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3789D3AC">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2A345BF1">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30491E07">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7937436B">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59F744D6">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40B8F3E8">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1CC5C8BF">
            <w:pPr>
              <w:tabs>
                <w:tab w:val="left" w:pos="1747"/>
              </w:tabs>
              <w:jc w:val="center"/>
              <w:rPr>
                <w:rFonts w:ascii="仿宋" w:hAnsi="仿宋" w:eastAsia="仿宋" w:cs="仿宋"/>
                <w:color w:val="000000"/>
                <w:sz w:val="28"/>
                <w:szCs w:val="28"/>
              </w:rPr>
            </w:pPr>
          </w:p>
        </w:tc>
      </w:tr>
      <w:tr w14:paraId="2879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52CF329F">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0510A24D">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09F35309">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3A3095F0">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5B0C1CEB">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3440411E">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18EBC383">
            <w:pPr>
              <w:tabs>
                <w:tab w:val="left" w:pos="1747"/>
              </w:tabs>
              <w:jc w:val="center"/>
              <w:rPr>
                <w:rFonts w:ascii="仿宋" w:hAnsi="仿宋" w:eastAsia="仿宋" w:cs="仿宋"/>
                <w:color w:val="000000"/>
                <w:sz w:val="28"/>
                <w:szCs w:val="28"/>
              </w:rPr>
            </w:pPr>
          </w:p>
        </w:tc>
      </w:tr>
      <w:tr w14:paraId="2093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302092D2">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00B14D94">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4FA01009">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086602FC">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03AE3A45">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340E1EC4">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74397703">
            <w:pPr>
              <w:tabs>
                <w:tab w:val="left" w:pos="1747"/>
              </w:tabs>
              <w:jc w:val="center"/>
              <w:rPr>
                <w:rFonts w:ascii="仿宋" w:hAnsi="仿宋" w:eastAsia="仿宋" w:cs="仿宋"/>
                <w:color w:val="000000"/>
                <w:sz w:val="28"/>
                <w:szCs w:val="28"/>
              </w:rPr>
            </w:pPr>
          </w:p>
        </w:tc>
      </w:tr>
      <w:tr w14:paraId="53A7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3373F78C">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01FD2C31">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36E7ED68">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077B2DE4">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46685A2E">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1D140BCF">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782C4859">
            <w:pPr>
              <w:tabs>
                <w:tab w:val="left" w:pos="1747"/>
              </w:tabs>
              <w:jc w:val="center"/>
              <w:rPr>
                <w:rFonts w:ascii="仿宋" w:hAnsi="仿宋" w:eastAsia="仿宋" w:cs="仿宋"/>
                <w:color w:val="000000"/>
                <w:sz w:val="28"/>
                <w:szCs w:val="28"/>
              </w:rPr>
            </w:pPr>
          </w:p>
        </w:tc>
      </w:tr>
      <w:tr w14:paraId="6537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6A3ACBEC">
            <w:pPr>
              <w:tabs>
                <w:tab w:val="left" w:pos="1747"/>
              </w:tabs>
              <w:jc w:val="center"/>
              <w:rPr>
                <w:rFonts w:ascii="仿宋" w:hAnsi="仿宋" w:eastAsia="仿宋" w:cs="仿宋"/>
                <w:color w:val="000000"/>
                <w:sz w:val="28"/>
                <w:szCs w:val="28"/>
              </w:rPr>
            </w:pPr>
          </w:p>
        </w:tc>
        <w:tc>
          <w:tcPr>
            <w:tcW w:w="1773" w:type="dxa"/>
            <w:shd w:val="clear" w:color="auto" w:fill="auto"/>
            <w:vAlign w:val="center"/>
          </w:tcPr>
          <w:p w14:paraId="7A508FDD">
            <w:pPr>
              <w:tabs>
                <w:tab w:val="left" w:pos="1747"/>
              </w:tabs>
              <w:jc w:val="center"/>
              <w:rPr>
                <w:rFonts w:ascii="仿宋" w:hAnsi="仿宋" w:eastAsia="仿宋" w:cs="仿宋"/>
                <w:color w:val="000000"/>
                <w:sz w:val="28"/>
                <w:szCs w:val="28"/>
              </w:rPr>
            </w:pPr>
          </w:p>
        </w:tc>
        <w:tc>
          <w:tcPr>
            <w:tcW w:w="1634" w:type="dxa"/>
            <w:shd w:val="clear" w:color="auto" w:fill="auto"/>
            <w:vAlign w:val="center"/>
          </w:tcPr>
          <w:p w14:paraId="4958B6D7">
            <w:pPr>
              <w:tabs>
                <w:tab w:val="left" w:pos="1747"/>
              </w:tabs>
              <w:jc w:val="center"/>
              <w:rPr>
                <w:rFonts w:ascii="仿宋" w:hAnsi="仿宋" w:eastAsia="仿宋" w:cs="仿宋"/>
                <w:color w:val="000000"/>
                <w:sz w:val="28"/>
                <w:szCs w:val="28"/>
              </w:rPr>
            </w:pPr>
          </w:p>
        </w:tc>
        <w:tc>
          <w:tcPr>
            <w:tcW w:w="988" w:type="dxa"/>
            <w:shd w:val="clear" w:color="auto" w:fill="auto"/>
            <w:vAlign w:val="center"/>
          </w:tcPr>
          <w:p w14:paraId="264040A9">
            <w:pPr>
              <w:tabs>
                <w:tab w:val="left" w:pos="1747"/>
              </w:tabs>
              <w:jc w:val="center"/>
              <w:rPr>
                <w:rFonts w:ascii="仿宋" w:hAnsi="仿宋" w:eastAsia="仿宋" w:cs="仿宋"/>
                <w:color w:val="000000"/>
                <w:sz w:val="28"/>
                <w:szCs w:val="28"/>
              </w:rPr>
            </w:pPr>
          </w:p>
        </w:tc>
        <w:tc>
          <w:tcPr>
            <w:tcW w:w="1520" w:type="dxa"/>
            <w:shd w:val="clear" w:color="auto" w:fill="auto"/>
            <w:vAlign w:val="center"/>
          </w:tcPr>
          <w:p w14:paraId="76B13F88">
            <w:pPr>
              <w:tabs>
                <w:tab w:val="left" w:pos="1747"/>
              </w:tabs>
              <w:jc w:val="center"/>
              <w:rPr>
                <w:rFonts w:ascii="仿宋" w:hAnsi="仿宋" w:eastAsia="仿宋" w:cs="仿宋"/>
                <w:color w:val="000000"/>
                <w:sz w:val="28"/>
                <w:szCs w:val="28"/>
              </w:rPr>
            </w:pPr>
          </w:p>
        </w:tc>
        <w:tc>
          <w:tcPr>
            <w:tcW w:w="1489" w:type="dxa"/>
            <w:shd w:val="clear" w:color="auto" w:fill="auto"/>
            <w:vAlign w:val="center"/>
          </w:tcPr>
          <w:p w14:paraId="3D0DE4E2">
            <w:pPr>
              <w:tabs>
                <w:tab w:val="left" w:pos="1747"/>
              </w:tabs>
              <w:jc w:val="center"/>
              <w:rPr>
                <w:rFonts w:ascii="仿宋" w:hAnsi="仿宋" w:eastAsia="仿宋" w:cs="仿宋"/>
                <w:color w:val="000000"/>
                <w:sz w:val="28"/>
                <w:szCs w:val="28"/>
              </w:rPr>
            </w:pPr>
          </w:p>
        </w:tc>
        <w:tc>
          <w:tcPr>
            <w:tcW w:w="924" w:type="dxa"/>
            <w:shd w:val="clear" w:color="auto" w:fill="auto"/>
            <w:vAlign w:val="center"/>
          </w:tcPr>
          <w:p w14:paraId="5F5D100E">
            <w:pPr>
              <w:tabs>
                <w:tab w:val="left" w:pos="1747"/>
              </w:tabs>
              <w:jc w:val="center"/>
              <w:rPr>
                <w:rFonts w:ascii="仿宋" w:hAnsi="仿宋" w:eastAsia="仿宋" w:cs="仿宋"/>
                <w:color w:val="000000"/>
                <w:sz w:val="28"/>
                <w:szCs w:val="28"/>
              </w:rPr>
            </w:pPr>
          </w:p>
        </w:tc>
      </w:tr>
    </w:tbl>
    <w:p w14:paraId="24D40561">
      <w:pPr>
        <w:pStyle w:val="20"/>
        <w:spacing w:line="240" w:lineRule="atLeast"/>
        <w:ind w:left="1080" w:leftChars="257" w:hanging="540"/>
        <w:rPr>
          <w:rFonts w:hint="eastAsia" w:ascii="仿宋" w:hAnsi="仿宋" w:eastAsia="仿宋" w:cs="仿宋"/>
          <w:color w:val="000000"/>
          <w:sz w:val="24"/>
        </w:rPr>
      </w:pPr>
    </w:p>
    <w:p w14:paraId="43EFCE8F">
      <w:pPr>
        <w:pStyle w:val="20"/>
        <w:spacing w:line="240" w:lineRule="atLeast"/>
        <w:ind w:left="1080" w:leftChars="257" w:hanging="540"/>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4F25A8E3">
      <w:pPr>
        <w:pStyle w:val="20"/>
        <w:tabs>
          <w:tab w:val="left" w:pos="5370"/>
        </w:tabs>
        <w:spacing w:line="240" w:lineRule="atLeast"/>
        <w:ind w:left="1080" w:leftChars="257" w:hanging="540"/>
        <w:rPr>
          <w:rFonts w:hint="eastAsia" w:ascii="仿宋" w:hAnsi="仿宋" w:eastAsia="仿宋" w:cs="仿宋"/>
          <w:color w:val="000000"/>
          <w:sz w:val="24"/>
        </w:rPr>
      </w:pPr>
    </w:p>
    <w:p w14:paraId="5434FD4F">
      <w:pPr>
        <w:pStyle w:val="20"/>
        <w:tabs>
          <w:tab w:val="left" w:pos="5370"/>
        </w:tabs>
        <w:spacing w:line="240" w:lineRule="atLeast"/>
        <w:ind w:left="1080" w:leftChars="257" w:hanging="540"/>
        <w:rPr>
          <w:rFonts w:hint="default" w:ascii="仿宋" w:hAnsi="仿宋" w:eastAsia="仿宋" w:cs="仿宋"/>
          <w:color w:val="000000"/>
          <w:sz w:val="24"/>
          <w:u w:val="single"/>
          <w:lang w:val="en-US" w:eastAsia="zh-CN"/>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r>
        <w:rPr>
          <w:rFonts w:hint="eastAsia" w:ascii="仿宋" w:hAnsi="仿宋" w:eastAsia="仿宋" w:cs="仿宋"/>
          <w:color w:val="000000"/>
          <w:sz w:val="24"/>
          <w:u w:val="single"/>
          <w:lang w:val="en-US" w:eastAsia="zh-CN"/>
        </w:rPr>
        <w:t xml:space="preserve">       </w:t>
      </w:r>
    </w:p>
    <w:p w14:paraId="3A4EE396">
      <w:pPr>
        <w:pStyle w:val="20"/>
        <w:spacing w:line="240" w:lineRule="atLeast"/>
        <w:ind w:left="1080" w:leftChars="257" w:hanging="540"/>
        <w:jc w:val="center"/>
        <w:rPr>
          <w:rFonts w:ascii="仿宋" w:hAnsi="仿宋" w:eastAsia="仿宋" w:cs="仿宋"/>
          <w:color w:val="000000"/>
          <w:sz w:val="24"/>
        </w:rPr>
        <w:sectPr>
          <w:pgSz w:w="11906" w:h="16838"/>
          <w:pgMar w:top="720" w:right="720" w:bottom="720" w:left="720" w:header="851" w:footer="992" w:gutter="0"/>
          <w:cols w:space="720" w:num="1"/>
          <w:docGrid w:linePitch="312" w:charSpace="0"/>
        </w:sectPr>
      </w:pPr>
    </w:p>
    <w:p w14:paraId="42427C1A">
      <w:pPr>
        <w:pStyle w:val="4"/>
        <w:spacing w:before="0" w:line="240" w:lineRule="atLeast"/>
        <w:ind w:left="1079" w:leftChars="257" w:hanging="540"/>
        <w:rPr>
          <w:rFonts w:ascii="仿宋" w:hAnsi="仿宋" w:eastAsia="仿宋" w:cs="仿宋"/>
          <w:color w:val="000000"/>
          <w:sz w:val="24"/>
        </w:rPr>
      </w:pPr>
      <w:bookmarkStart w:id="434" w:name="_Toc3210"/>
      <w:bookmarkStart w:id="435" w:name="_Toc25798"/>
      <w:r>
        <w:rPr>
          <w:rFonts w:hint="eastAsia" w:ascii="仿宋" w:hAnsi="仿宋" w:eastAsia="仿宋" w:cs="仿宋"/>
          <w:color w:val="000000"/>
          <w:sz w:val="24"/>
          <w:lang w:val="en-US" w:eastAsia="zh-CN"/>
        </w:rPr>
        <w:t>4</w:t>
      </w:r>
      <w:r>
        <w:rPr>
          <w:rFonts w:hint="eastAsia" w:ascii="仿宋" w:hAnsi="仿宋" w:eastAsia="仿宋" w:cs="仿宋"/>
          <w:color w:val="000000"/>
          <w:sz w:val="24"/>
        </w:rPr>
        <w:t xml:space="preserve">   技术规格偏离表</w:t>
      </w:r>
      <w:bookmarkEnd w:id="424"/>
      <w:r>
        <w:rPr>
          <w:rFonts w:hint="eastAsia" w:ascii="仿宋" w:hAnsi="仿宋" w:eastAsia="仿宋" w:cs="仿宋"/>
          <w:color w:val="000000"/>
          <w:sz w:val="24"/>
        </w:rPr>
        <w:t>（投标文件格式九）</w:t>
      </w:r>
      <w:bookmarkEnd w:id="425"/>
      <w:bookmarkEnd w:id="426"/>
      <w:bookmarkEnd w:id="427"/>
      <w:bookmarkEnd w:id="434"/>
      <w:bookmarkEnd w:id="435"/>
    </w:p>
    <w:p w14:paraId="72028BFA">
      <w:pPr>
        <w:pStyle w:val="20"/>
        <w:spacing w:line="240" w:lineRule="atLeast"/>
        <w:ind w:left="1079" w:leftChars="257" w:hanging="540"/>
        <w:rPr>
          <w:rFonts w:ascii="仿宋" w:hAnsi="仿宋" w:eastAsia="仿宋" w:cs="仿宋"/>
          <w:color w:val="000000"/>
          <w:sz w:val="24"/>
        </w:rPr>
      </w:pPr>
    </w:p>
    <w:p w14:paraId="4924052F">
      <w:pPr>
        <w:pStyle w:val="20"/>
        <w:spacing w:line="240" w:lineRule="atLeast"/>
        <w:rPr>
          <w:rFonts w:ascii="仿宋" w:hAnsi="仿宋" w:eastAsia="仿宋" w:cs="仿宋"/>
          <w:color w:val="000000"/>
          <w:sz w:val="24"/>
        </w:rPr>
      </w:pPr>
      <w:r>
        <w:rPr>
          <w:rFonts w:hint="eastAsia" w:ascii="仿宋" w:hAnsi="仿宋" w:eastAsia="仿宋" w:cs="仿宋"/>
          <w:color w:val="000000"/>
          <w:sz w:val="24"/>
        </w:rPr>
        <w:t>项目名称:                       招标编号:                 包号:</w:t>
      </w:r>
    </w:p>
    <w:p w14:paraId="0903BF79">
      <w:pPr>
        <w:pStyle w:val="20"/>
        <w:spacing w:line="240" w:lineRule="atLeast"/>
        <w:ind w:left="1079" w:leftChars="257" w:hanging="540"/>
        <w:rPr>
          <w:rFonts w:ascii="仿宋" w:hAnsi="仿宋" w:eastAsia="仿宋" w:cs="仿宋"/>
          <w:color w:val="000000"/>
          <w:sz w:val="24"/>
        </w:rPr>
      </w:pPr>
    </w:p>
    <w:tbl>
      <w:tblPr>
        <w:tblStyle w:val="36"/>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1458"/>
        <w:gridCol w:w="1458"/>
        <w:gridCol w:w="1158"/>
        <w:gridCol w:w="1158"/>
      </w:tblGrid>
      <w:tr w14:paraId="41B8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65" w:type="dxa"/>
            <w:vAlign w:val="center"/>
          </w:tcPr>
          <w:p w14:paraId="4C4E81D9">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序号</w:t>
            </w:r>
          </w:p>
        </w:tc>
        <w:tc>
          <w:tcPr>
            <w:tcW w:w="1621" w:type="dxa"/>
            <w:vAlign w:val="center"/>
          </w:tcPr>
          <w:p w14:paraId="23DD36FE">
            <w:pPr>
              <w:pStyle w:val="20"/>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服务名称</w:t>
            </w:r>
          </w:p>
        </w:tc>
        <w:tc>
          <w:tcPr>
            <w:tcW w:w="1458" w:type="dxa"/>
            <w:vAlign w:val="center"/>
          </w:tcPr>
          <w:p w14:paraId="771312FF">
            <w:pPr>
              <w:pStyle w:val="20"/>
              <w:spacing w:line="240" w:lineRule="atLeast"/>
              <w:ind w:left="0" w:leftChars="0" w:firstLine="0" w:firstLineChars="0"/>
              <w:jc w:val="center"/>
              <w:rPr>
                <w:rFonts w:ascii="仿宋" w:hAnsi="仿宋" w:eastAsia="仿宋" w:cs="仿宋"/>
                <w:color w:val="000000"/>
                <w:sz w:val="24"/>
              </w:rPr>
            </w:pPr>
            <w:r>
              <w:rPr>
                <w:rFonts w:hint="eastAsia" w:ascii="仿宋" w:hAnsi="仿宋" w:eastAsia="仿宋" w:cs="仿宋"/>
                <w:color w:val="000000"/>
                <w:sz w:val="24"/>
              </w:rPr>
              <w:t>招标文件规定（服务内容）</w:t>
            </w:r>
          </w:p>
        </w:tc>
        <w:tc>
          <w:tcPr>
            <w:tcW w:w="1458" w:type="dxa"/>
            <w:vAlign w:val="center"/>
          </w:tcPr>
          <w:p w14:paraId="20194B1B">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投标文件响应情况（服务内容）</w:t>
            </w:r>
          </w:p>
        </w:tc>
        <w:tc>
          <w:tcPr>
            <w:tcW w:w="1158" w:type="dxa"/>
            <w:vAlign w:val="center"/>
          </w:tcPr>
          <w:p w14:paraId="7F442429">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偏离</w:t>
            </w:r>
          </w:p>
        </w:tc>
        <w:tc>
          <w:tcPr>
            <w:tcW w:w="1158" w:type="dxa"/>
            <w:vAlign w:val="center"/>
          </w:tcPr>
          <w:p w14:paraId="065E357A">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说明</w:t>
            </w:r>
          </w:p>
        </w:tc>
      </w:tr>
      <w:tr w14:paraId="43C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15AFAB6">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43E121BA">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30771A3">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C1CD42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DB9DDF5">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B1FC037">
            <w:pPr>
              <w:pStyle w:val="20"/>
              <w:spacing w:line="240" w:lineRule="atLeast"/>
              <w:ind w:left="1079" w:leftChars="257" w:hanging="540"/>
              <w:jc w:val="center"/>
              <w:rPr>
                <w:rFonts w:ascii="仿宋" w:hAnsi="仿宋" w:eastAsia="仿宋" w:cs="仿宋"/>
                <w:color w:val="000000"/>
                <w:sz w:val="24"/>
              </w:rPr>
            </w:pPr>
          </w:p>
        </w:tc>
      </w:tr>
      <w:tr w14:paraId="78C7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D0E6F9D">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47E4A8C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5857BF4">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1655625">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6D997E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2F924435">
            <w:pPr>
              <w:pStyle w:val="20"/>
              <w:spacing w:line="240" w:lineRule="atLeast"/>
              <w:ind w:left="1079" w:leftChars="257" w:hanging="540"/>
              <w:jc w:val="center"/>
              <w:rPr>
                <w:rFonts w:ascii="仿宋" w:hAnsi="仿宋" w:eastAsia="仿宋" w:cs="仿宋"/>
                <w:color w:val="000000"/>
                <w:sz w:val="24"/>
              </w:rPr>
            </w:pPr>
          </w:p>
        </w:tc>
      </w:tr>
      <w:tr w14:paraId="516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35F3741">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77988092">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D2E4A29">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D9839FE">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3852917">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362BDF7">
            <w:pPr>
              <w:pStyle w:val="20"/>
              <w:spacing w:line="240" w:lineRule="atLeast"/>
              <w:ind w:left="1079" w:leftChars="257" w:hanging="540"/>
              <w:jc w:val="center"/>
              <w:rPr>
                <w:rFonts w:ascii="仿宋" w:hAnsi="仿宋" w:eastAsia="仿宋" w:cs="仿宋"/>
                <w:color w:val="000000"/>
                <w:sz w:val="24"/>
              </w:rPr>
            </w:pPr>
          </w:p>
        </w:tc>
      </w:tr>
      <w:tr w14:paraId="238A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5630ECF8">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18CD679C">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02A311E">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1F0851C">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D50D07D">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23F843A">
            <w:pPr>
              <w:pStyle w:val="20"/>
              <w:spacing w:line="240" w:lineRule="atLeast"/>
              <w:ind w:left="1079" w:leftChars="257" w:hanging="540"/>
              <w:jc w:val="center"/>
              <w:rPr>
                <w:rFonts w:ascii="仿宋" w:hAnsi="仿宋" w:eastAsia="仿宋" w:cs="仿宋"/>
                <w:color w:val="000000"/>
                <w:sz w:val="24"/>
              </w:rPr>
            </w:pPr>
          </w:p>
        </w:tc>
      </w:tr>
      <w:tr w14:paraId="1D3E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640608CB">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6D18ACE7">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9E4EB5D">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4983AB2E">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7A40646">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FAA5813">
            <w:pPr>
              <w:pStyle w:val="20"/>
              <w:spacing w:line="240" w:lineRule="atLeast"/>
              <w:ind w:left="1079" w:leftChars="257" w:hanging="540"/>
              <w:jc w:val="center"/>
              <w:rPr>
                <w:rFonts w:ascii="仿宋" w:hAnsi="仿宋" w:eastAsia="仿宋" w:cs="仿宋"/>
                <w:color w:val="000000"/>
                <w:sz w:val="24"/>
              </w:rPr>
            </w:pPr>
          </w:p>
        </w:tc>
      </w:tr>
      <w:tr w14:paraId="528B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0CECC53">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03B97351">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F44E9B5">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B27CA72">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DD6300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DE90D2F">
            <w:pPr>
              <w:pStyle w:val="20"/>
              <w:spacing w:line="240" w:lineRule="atLeast"/>
              <w:ind w:left="1079" w:leftChars="257" w:hanging="540"/>
              <w:jc w:val="center"/>
              <w:rPr>
                <w:rFonts w:ascii="仿宋" w:hAnsi="仿宋" w:eastAsia="仿宋" w:cs="仿宋"/>
                <w:color w:val="000000"/>
                <w:sz w:val="24"/>
              </w:rPr>
            </w:pPr>
          </w:p>
        </w:tc>
      </w:tr>
      <w:tr w14:paraId="3A6D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F5B87BB">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265E924D">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55C9F66">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B96BCEC">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EA9442A">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74343F9">
            <w:pPr>
              <w:pStyle w:val="20"/>
              <w:spacing w:line="240" w:lineRule="atLeast"/>
              <w:ind w:left="1079" w:leftChars="257" w:hanging="540"/>
              <w:jc w:val="center"/>
              <w:rPr>
                <w:rFonts w:ascii="仿宋" w:hAnsi="仿宋" w:eastAsia="仿宋" w:cs="仿宋"/>
                <w:color w:val="000000"/>
                <w:sz w:val="24"/>
              </w:rPr>
            </w:pPr>
          </w:p>
        </w:tc>
      </w:tr>
      <w:tr w14:paraId="2932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E679B3B">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18CC0EA5">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2FD4BC3">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21DC8BE">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E582C95">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5DEFC99F">
            <w:pPr>
              <w:pStyle w:val="20"/>
              <w:spacing w:line="240" w:lineRule="atLeast"/>
              <w:ind w:left="1079" w:leftChars="257" w:hanging="540"/>
              <w:jc w:val="center"/>
              <w:rPr>
                <w:rFonts w:ascii="仿宋" w:hAnsi="仿宋" w:eastAsia="仿宋" w:cs="仿宋"/>
                <w:color w:val="000000"/>
                <w:sz w:val="24"/>
              </w:rPr>
            </w:pPr>
          </w:p>
        </w:tc>
      </w:tr>
      <w:tr w14:paraId="631E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64B1DB52">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55DFC591">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06F8CF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03AA8D1">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EE3B1BB">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506A3CA5">
            <w:pPr>
              <w:pStyle w:val="20"/>
              <w:spacing w:line="240" w:lineRule="atLeast"/>
              <w:ind w:left="1079" w:leftChars="257" w:hanging="540"/>
              <w:jc w:val="center"/>
              <w:rPr>
                <w:rFonts w:ascii="仿宋" w:hAnsi="仿宋" w:eastAsia="仿宋" w:cs="仿宋"/>
                <w:color w:val="000000"/>
                <w:sz w:val="24"/>
              </w:rPr>
            </w:pPr>
          </w:p>
        </w:tc>
      </w:tr>
      <w:tr w14:paraId="5D18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7F4A3899">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5902FB8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1289128">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A49A146">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6BC518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3D9AD9C">
            <w:pPr>
              <w:pStyle w:val="20"/>
              <w:spacing w:line="240" w:lineRule="atLeast"/>
              <w:ind w:left="1079" w:leftChars="257" w:hanging="540"/>
              <w:jc w:val="center"/>
              <w:rPr>
                <w:rFonts w:ascii="仿宋" w:hAnsi="仿宋" w:eastAsia="仿宋" w:cs="仿宋"/>
                <w:color w:val="000000"/>
                <w:sz w:val="24"/>
              </w:rPr>
            </w:pPr>
          </w:p>
        </w:tc>
      </w:tr>
      <w:tr w14:paraId="3B2B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6DF814C">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3BEA36A9">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DA064C2">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7DDAE8A">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11289B3">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5B5B6A3D">
            <w:pPr>
              <w:pStyle w:val="20"/>
              <w:spacing w:line="240" w:lineRule="atLeast"/>
              <w:ind w:left="1079" w:leftChars="257" w:hanging="540"/>
              <w:jc w:val="center"/>
              <w:rPr>
                <w:rFonts w:ascii="仿宋" w:hAnsi="仿宋" w:eastAsia="仿宋" w:cs="仿宋"/>
                <w:color w:val="000000"/>
                <w:sz w:val="24"/>
              </w:rPr>
            </w:pPr>
          </w:p>
        </w:tc>
      </w:tr>
      <w:tr w14:paraId="031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A9B0B62">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5D677154">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240B321A">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0BD5B06">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0F2A221">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8C82DFA">
            <w:pPr>
              <w:pStyle w:val="20"/>
              <w:spacing w:line="240" w:lineRule="atLeast"/>
              <w:ind w:left="1079" w:leftChars="257" w:hanging="540"/>
              <w:jc w:val="center"/>
              <w:rPr>
                <w:rFonts w:ascii="仿宋" w:hAnsi="仿宋" w:eastAsia="仿宋" w:cs="仿宋"/>
                <w:color w:val="000000"/>
                <w:sz w:val="24"/>
              </w:rPr>
            </w:pPr>
          </w:p>
        </w:tc>
      </w:tr>
      <w:tr w14:paraId="2E1F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5CF4977A">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25795F21">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494AE514">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455335E7">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04C07C1E">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E7781E6">
            <w:pPr>
              <w:pStyle w:val="20"/>
              <w:spacing w:line="240" w:lineRule="atLeast"/>
              <w:ind w:left="1079" w:leftChars="257" w:hanging="540"/>
              <w:jc w:val="center"/>
              <w:rPr>
                <w:rFonts w:ascii="仿宋" w:hAnsi="仿宋" w:eastAsia="仿宋" w:cs="仿宋"/>
                <w:color w:val="000000"/>
                <w:sz w:val="24"/>
              </w:rPr>
            </w:pPr>
          </w:p>
        </w:tc>
      </w:tr>
      <w:tr w14:paraId="36F5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549F5D4B">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2DF81B3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C951896">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D1A3219">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2F838B1">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61B879F">
            <w:pPr>
              <w:pStyle w:val="20"/>
              <w:spacing w:line="240" w:lineRule="atLeast"/>
              <w:ind w:left="1079" w:leftChars="257" w:hanging="540"/>
              <w:jc w:val="center"/>
              <w:rPr>
                <w:rFonts w:ascii="仿宋" w:hAnsi="仿宋" w:eastAsia="仿宋" w:cs="仿宋"/>
                <w:color w:val="000000"/>
                <w:sz w:val="24"/>
              </w:rPr>
            </w:pPr>
          </w:p>
        </w:tc>
      </w:tr>
      <w:tr w14:paraId="6D18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18D0C465">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7D530CE1">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2F67482">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474ED8C8">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5446FF7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0B38423">
            <w:pPr>
              <w:pStyle w:val="20"/>
              <w:spacing w:line="240" w:lineRule="atLeast"/>
              <w:ind w:left="1079" w:leftChars="257" w:hanging="540"/>
              <w:jc w:val="center"/>
              <w:rPr>
                <w:rFonts w:ascii="仿宋" w:hAnsi="仿宋" w:eastAsia="仿宋" w:cs="仿宋"/>
                <w:color w:val="000000"/>
                <w:sz w:val="24"/>
              </w:rPr>
            </w:pPr>
          </w:p>
        </w:tc>
      </w:tr>
      <w:tr w14:paraId="4808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A414EF0">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24FEEF5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0B725BE">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D93620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623AEB1">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C8F7BA1">
            <w:pPr>
              <w:pStyle w:val="20"/>
              <w:spacing w:line="240" w:lineRule="atLeast"/>
              <w:ind w:left="1079" w:leftChars="257" w:hanging="540"/>
              <w:jc w:val="center"/>
              <w:rPr>
                <w:rFonts w:ascii="仿宋" w:hAnsi="仿宋" w:eastAsia="仿宋" w:cs="仿宋"/>
                <w:color w:val="000000"/>
                <w:sz w:val="24"/>
              </w:rPr>
            </w:pPr>
          </w:p>
        </w:tc>
      </w:tr>
      <w:tr w14:paraId="20DE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vAlign w:val="center"/>
          </w:tcPr>
          <w:p w14:paraId="387F260C">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71EFEDCD">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A6AF42C">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5100BCC">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7739978">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0A86C2BA">
            <w:pPr>
              <w:pStyle w:val="20"/>
              <w:spacing w:line="240" w:lineRule="atLeast"/>
              <w:ind w:left="1079" w:leftChars="257" w:hanging="540"/>
              <w:jc w:val="center"/>
              <w:rPr>
                <w:rFonts w:ascii="仿宋" w:hAnsi="仿宋" w:eastAsia="仿宋" w:cs="仿宋"/>
                <w:color w:val="000000"/>
                <w:sz w:val="24"/>
              </w:rPr>
            </w:pPr>
          </w:p>
        </w:tc>
      </w:tr>
    </w:tbl>
    <w:p w14:paraId="784C0DB5">
      <w:pPr>
        <w:pStyle w:val="20"/>
        <w:spacing w:line="240" w:lineRule="atLeast"/>
        <w:ind w:left="1079" w:leftChars="257" w:hanging="540"/>
        <w:rPr>
          <w:rFonts w:ascii="仿宋" w:hAnsi="仿宋" w:eastAsia="仿宋" w:cs="仿宋"/>
          <w:color w:val="000000"/>
          <w:sz w:val="24"/>
        </w:rPr>
      </w:pPr>
    </w:p>
    <w:p w14:paraId="2B75B437">
      <w:pPr>
        <w:pStyle w:val="20"/>
        <w:spacing w:line="240" w:lineRule="atLeast"/>
        <w:ind w:left="1079" w:leftChars="257" w:hanging="540"/>
        <w:rPr>
          <w:rFonts w:ascii="仿宋" w:hAnsi="仿宋" w:eastAsia="仿宋" w:cs="仿宋"/>
          <w:color w:val="000000"/>
          <w:sz w:val="24"/>
        </w:rPr>
      </w:pPr>
    </w:p>
    <w:p w14:paraId="2FFDE1F7">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3F142991">
      <w:pPr>
        <w:pStyle w:val="20"/>
        <w:tabs>
          <w:tab w:val="left" w:pos="5370"/>
        </w:tabs>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p>
    <w:p w14:paraId="0B9A6AAB">
      <w:pPr>
        <w:pStyle w:val="20"/>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u w:val="single"/>
        </w:rPr>
        <w:br w:type="page"/>
      </w:r>
    </w:p>
    <w:p w14:paraId="2700555E">
      <w:pPr>
        <w:pStyle w:val="4"/>
        <w:spacing w:before="0" w:line="240" w:lineRule="atLeast"/>
        <w:ind w:left="1079" w:leftChars="257" w:hanging="540"/>
        <w:rPr>
          <w:rFonts w:ascii="仿宋" w:hAnsi="仿宋" w:eastAsia="仿宋" w:cs="仿宋"/>
          <w:color w:val="000000"/>
          <w:sz w:val="24"/>
        </w:rPr>
      </w:pPr>
      <w:bookmarkStart w:id="436" w:name="_Toc216582818"/>
      <w:bookmarkStart w:id="437" w:name="_Toc11890"/>
      <w:bookmarkStart w:id="438" w:name="_Toc1980"/>
      <w:bookmarkStart w:id="439" w:name="_Toc515647821"/>
      <w:bookmarkStart w:id="440" w:name="_Toc20093"/>
      <w:bookmarkStart w:id="441" w:name="_Toc23"/>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商务条款偏离表</w:t>
      </w:r>
      <w:bookmarkEnd w:id="436"/>
      <w:r>
        <w:rPr>
          <w:rFonts w:hint="eastAsia" w:ascii="仿宋" w:hAnsi="仿宋" w:eastAsia="仿宋" w:cs="仿宋"/>
          <w:color w:val="000000"/>
          <w:sz w:val="24"/>
        </w:rPr>
        <w:t>（投标文件格式十）</w:t>
      </w:r>
      <w:bookmarkEnd w:id="437"/>
      <w:bookmarkEnd w:id="438"/>
      <w:bookmarkEnd w:id="439"/>
      <w:bookmarkEnd w:id="440"/>
      <w:bookmarkEnd w:id="441"/>
    </w:p>
    <w:p w14:paraId="0197B5C2">
      <w:pPr>
        <w:pStyle w:val="20"/>
        <w:spacing w:line="240" w:lineRule="atLeast"/>
        <w:ind w:left="1079" w:leftChars="257" w:hanging="540"/>
        <w:rPr>
          <w:rFonts w:ascii="仿宋" w:hAnsi="仿宋" w:eastAsia="仿宋" w:cs="仿宋"/>
          <w:color w:val="000000"/>
          <w:sz w:val="24"/>
        </w:rPr>
      </w:pPr>
    </w:p>
    <w:p w14:paraId="1170CF33">
      <w:pPr>
        <w:pStyle w:val="20"/>
        <w:spacing w:line="240" w:lineRule="atLeast"/>
        <w:ind w:left="1079" w:leftChars="257" w:hanging="540"/>
        <w:rPr>
          <w:rFonts w:ascii="仿宋" w:hAnsi="仿宋" w:eastAsia="仿宋" w:cs="仿宋"/>
          <w:color w:val="000000"/>
          <w:sz w:val="24"/>
        </w:rPr>
      </w:pPr>
    </w:p>
    <w:p w14:paraId="58CDF393">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项目名称:                      招标编号:             包号:</w:t>
      </w:r>
    </w:p>
    <w:p w14:paraId="0046F1D1">
      <w:pPr>
        <w:pStyle w:val="20"/>
        <w:spacing w:line="240" w:lineRule="atLeast"/>
        <w:ind w:left="1079" w:leftChars="257" w:hanging="540"/>
        <w:rPr>
          <w:rFonts w:ascii="仿宋" w:hAnsi="仿宋" w:eastAsia="仿宋" w:cs="仿宋"/>
          <w:color w:val="000000"/>
          <w:sz w:val="24"/>
        </w:rPr>
      </w:pPr>
    </w:p>
    <w:tbl>
      <w:tblPr>
        <w:tblStyle w:val="36"/>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1458"/>
        <w:gridCol w:w="1458"/>
        <w:gridCol w:w="1158"/>
        <w:gridCol w:w="1158"/>
      </w:tblGrid>
      <w:tr w14:paraId="62CD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65" w:type="dxa"/>
            <w:vAlign w:val="center"/>
          </w:tcPr>
          <w:p w14:paraId="06077DE4">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序号</w:t>
            </w:r>
          </w:p>
        </w:tc>
        <w:tc>
          <w:tcPr>
            <w:tcW w:w="1621" w:type="dxa"/>
            <w:vAlign w:val="center"/>
          </w:tcPr>
          <w:p w14:paraId="516E9F3A">
            <w:pPr>
              <w:pStyle w:val="20"/>
              <w:spacing w:line="240" w:lineRule="atLeas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服务名称</w:t>
            </w:r>
          </w:p>
        </w:tc>
        <w:tc>
          <w:tcPr>
            <w:tcW w:w="1458" w:type="dxa"/>
            <w:vAlign w:val="center"/>
          </w:tcPr>
          <w:p w14:paraId="4EE8C6CA">
            <w:pPr>
              <w:pStyle w:val="20"/>
              <w:spacing w:line="240" w:lineRule="atLeast"/>
              <w:ind w:left="0" w:leftChars="0" w:firstLine="0" w:firstLineChars="0"/>
              <w:jc w:val="center"/>
              <w:rPr>
                <w:rFonts w:ascii="仿宋" w:hAnsi="仿宋" w:eastAsia="仿宋" w:cs="仿宋"/>
                <w:color w:val="000000"/>
                <w:sz w:val="24"/>
              </w:rPr>
            </w:pPr>
            <w:r>
              <w:rPr>
                <w:rFonts w:hint="eastAsia" w:ascii="仿宋" w:hAnsi="仿宋" w:eastAsia="仿宋" w:cs="仿宋"/>
                <w:color w:val="000000"/>
                <w:sz w:val="24"/>
              </w:rPr>
              <w:t>招标文件规定（服务内容）</w:t>
            </w:r>
          </w:p>
        </w:tc>
        <w:tc>
          <w:tcPr>
            <w:tcW w:w="1458" w:type="dxa"/>
            <w:vAlign w:val="center"/>
          </w:tcPr>
          <w:p w14:paraId="07639826">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投标文件响应情况（服务内容）</w:t>
            </w:r>
          </w:p>
        </w:tc>
        <w:tc>
          <w:tcPr>
            <w:tcW w:w="1158" w:type="dxa"/>
            <w:vAlign w:val="center"/>
          </w:tcPr>
          <w:p w14:paraId="1548A361">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偏离</w:t>
            </w:r>
          </w:p>
        </w:tc>
        <w:tc>
          <w:tcPr>
            <w:tcW w:w="1158" w:type="dxa"/>
            <w:vAlign w:val="center"/>
          </w:tcPr>
          <w:p w14:paraId="3D06D0A9">
            <w:pPr>
              <w:pStyle w:val="20"/>
              <w:spacing w:line="240" w:lineRule="atLeast"/>
              <w:jc w:val="center"/>
              <w:rPr>
                <w:rFonts w:ascii="仿宋" w:hAnsi="仿宋" w:eastAsia="仿宋" w:cs="仿宋"/>
                <w:color w:val="000000"/>
                <w:sz w:val="24"/>
              </w:rPr>
            </w:pPr>
            <w:r>
              <w:rPr>
                <w:rFonts w:hint="eastAsia" w:ascii="仿宋" w:hAnsi="仿宋" w:eastAsia="仿宋" w:cs="仿宋"/>
                <w:color w:val="000000"/>
                <w:sz w:val="24"/>
              </w:rPr>
              <w:t>说明</w:t>
            </w:r>
          </w:p>
        </w:tc>
      </w:tr>
      <w:tr w14:paraId="1DF8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98A3FC6">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7FBDAB9D">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7299857">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830B032">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C4E7012">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88A7F8E">
            <w:pPr>
              <w:pStyle w:val="20"/>
              <w:spacing w:line="240" w:lineRule="atLeast"/>
              <w:ind w:left="1079" w:leftChars="257" w:hanging="540"/>
              <w:jc w:val="center"/>
              <w:rPr>
                <w:rFonts w:ascii="仿宋" w:hAnsi="仿宋" w:eastAsia="仿宋" w:cs="仿宋"/>
                <w:color w:val="000000"/>
                <w:sz w:val="24"/>
              </w:rPr>
            </w:pPr>
          </w:p>
        </w:tc>
      </w:tr>
      <w:tr w14:paraId="42C1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3F74F4E">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736CFB23">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D81CF6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BB674B1">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6F36AD3">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53B3C18">
            <w:pPr>
              <w:pStyle w:val="20"/>
              <w:spacing w:line="240" w:lineRule="atLeast"/>
              <w:ind w:left="1079" w:leftChars="257" w:hanging="540"/>
              <w:jc w:val="center"/>
              <w:rPr>
                <w:rFonts w:ascii="仿宋" w:hAnsi="仿宋" w:eastAsia="仿宋" w:cs="仿宋"/>
                <w:color w:val="000000"/>
                <w:sz w:val="24"/>
              </w:rPr>
            </w:pPr>
          </w:p>
        </w:tc>
      </w:tr>
      <w:tr w14:paraId="3703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8A252DB">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13DBDCD5">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4AB30B2">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4CF0D26E">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2CC2DFD1">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B72FBE0">
            <w:pPr>
              <w:pStyle w:val="20"/>
              <w:spacing w:line="240" w:lineRule="atLeast"/>
              <w:ind w:left="1079" w:leftChars="257" w:hanging="540"/>
              <w:jc w:val="center"/>
              <w:rPr>
                <w:rFonts w:ascii="仿宋" w:hAnsi="仿宋" w:eastAsia="仿宋" w:cs="仿宋"/>
                <w:color w:val="000000"/>
                <w:sz w:val="24"/>
              </w:rPr>
            </w:pPr>
          </w:p>
        </w:tc>
      </w:tr>
      <w:tr w14:paraId="1843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1366A88">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003B087D">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3E6D7A4">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46CCBE3E">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D161EB3">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1D05064">
            <w:pPr>
              <w:pStyle w:val="20"/>
              <w:spacing w:line="240" w:lineRule="atLeast"/>
              <w:ind w:left="1079" w:leftChars="257" w:hanging="540"/>
              <w:jc w:val="center"/>
              <w:rPr>
                <w:rFonts w:ascii="仿宋" w:hAnsi="仿宋" w:eastAsia="仿宋" w:cs="仿宋"/>
                <w:color w:val="000000"/>
                <w:sz w:val="24"/>
              </w:rPr>
            </w:pPr>
          </w:p>
        </w:tc>
      </w:tr>
      <w:tr w14:paraId="38F1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7CBEF0E">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47CA6F34">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4174537">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BC0B0B2">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AA34C50">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9097FB2">
            <w:pPr>
              <w:pStyle w:val="20"/>
              <w:spacing w:line="240" w:lineRule="atLeast"/>
              <w:ind w:left="1079" w:leftChars="257" w:hanging="540"/>
              <w:jc w:val="center"/>
              <w:rPr>
                <w:rFonts w:ascii="仿宋" w:hAnsi="仿宋" w:eastAsia="仿宋" w:cs="仿宋"/>
                <w:color w:val="000000"/>
                <w:sz w:val="24"/>
              </w:rPr>
            </w:pPr>
          </w:p>
        </w:tc>
      </w:tr>
      <w:tr w14:paraId="14EE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63663A4D">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17FB87F6">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2094769E">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ED25CA6">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D9A4CB8">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0755F2CD">
            <w:pPr>
              <w:pStyle w:val="20"/>
              <w:spacing w:line="240" w:lineRule="atLeast"/>
              <w:ind w:left="1079" w:leftChars="257" w:hanging="540"/>
              <w:jc w:val="center"/>
              <w:rPr>
                <w:rFonts w:ascii="仿宋" w:hAnsi="仿宋" w:eastAsia="仿宋" w:cs="仿宋"/>
                <w:color w:val="000000"/>
                <w:sz w:val="24"/>
              </w:rPr>
            </w:pPr>
          </w:p>
        </w:tc>
      </w:tr>
      <w:tr w14:paraId="2C45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7F12CAB">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5965C08A">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3978ACC">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3A63755">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05CFE8D9">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5303BDFD">
            <w:pPr>
              <w:pStyle w:val="20"/>
              <w:spacing w:line="240" w:lineRule="atLeast"/>
              <w:ind w:left="1079" w:leftChars="257" w:hanging="540"/>
              <w:jc w:val="center"/>
              <w:rPr>
                <w:rFonts w:ascii="仿宋" w:hAnsi="仿宋" w:eastAsia="仿宋" w:cs="仿宋"/>
                <w:color w:val="000000"/>
                <w:sz w:val="24"/>
              </w:rPr>
            </w:pPr>
          </w:p>
        </w:tc>
      </w:tr>
      <w:tr w14:paraId="4F7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71FE8CDD">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0A2E220D">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44E6454C">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F485603">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70E1048">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88740C6">
            <w:pPr>
              <w:pStyle w:val="20"/>
              <w:spacing w:line="240" w:lineRule="atLeast"/>
              <w:ind w:left="1079" w:leftChars="257" w:hanging="540"/>
              <w:jc w:val="center"/>
              <w:rPr>
                <w:rFonts w:ascii="仿宋" w:hAnsi="仿宋" w:eastAsia="仿宋" w:cs="仿宋"/>
                <w:color w:val="000000"/>
                <w:sz w:val="24"/>
              </w:rPr>
            </w:pPr>
          </w:p>
        </w:tc>
      </w:tr>
      <w:tr w14:paraId="157D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7971FADD">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4BC790F3">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6EB9A228">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DDDC426">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0E7C9CF7">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20A0292F">
            <w:pPr>
              <w:pStyle w:val="20"/>
              <w:spacing w:line="240" w:lineRule="atLeast"/>
              <w:ind w:left="1079" w:leftChars="257" w:hanging="540"/>
              <w:jc w:val="center"/>
              <w:rPr>
                <w:rFonts w:ascii="仿宋" w:hAnsi="仿宋" w:eastAsia="仿宋" w:cs="仿宋"/>
                <w:color w:val="000000"/>
                <w:sz w:val="24"/>
              </w:rPr>
            </w:pPr>
          </w:p>
        </w:tc>
      </w:tr>
      <w:tr w14:paraId="0664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D4D69E8">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424F252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A89B1B5">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07B55C9">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FB4E162">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09B6D42B">
            <w:pPr>
              <w:pStyle w:val="20"/>
              <w:spacing w:line="240" w:lineRule="atLeast"/>
              <w:ind w:left="1079" w:leftChars="257" w:hanging="540"/>
              <w:jc w:val="center"/>
              <w:rPr>
                <w:rFonts w:ascii="仿宋" w:hAnsi="仿宋" w:eastAsia="仿宋" w:cs="仿宋"/>
                <w:color w:val="000000"/>
                <w:sz w:val="24"/>
              </w:rPr>
            </w:pPr>
          </w:p>
        </w:tc>
      </w:tr>
      <w:tr w14:paraId="4AFC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7FF1BBE6">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5D58811C">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0C4CE69">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293E50E9">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687C50FA">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0BA7AC48">
            <w:pPr>
              <w:pStyle w:val="20"/>
              <w:spacing w:line="240" w:lineRule="atLeast"/>
              <w:ind w:left="1079" w:leftChars="257" w:hanging="540"/>
              <w:jc w:val="center"/>
              <w:rPr>
                <w:rFonts w:ascii="仿宋" w:hAnsi="仿宋" w:eastAsia="仿宋" w:cs="仿宋"/>
                <w:color w:val="000000"/>
                <w:sz w:val="24"/>
              </w:rPr>
            </w:pPr>
          </w:p>
        </w:tc>
      </w:tr>
      <w:tr w14:paraId="782D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39D42F1">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6817618C">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5A6FB64">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E8D65EA">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EF7166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DCCFFCA">
            <w:pPr>
              <w:pStyle w:val="20"/>
              <w:spacing w:line="240" w:lineRule="atLeast"/>
              <w:ind w:left="1079" w:leftChars="257" w:hanging="540"/>
              <w:jc w:val="center"/>
              <w:rPr>
                <w:rFonts w:ascii="仿宋" w:hAnsi="仿宋" w:eastAsia="仿宋" w:cs="仿宋"/>
                <w:color w:val="000000"/>
                <w:sz w:val="24"/>
              </w:rPr>
            </w:pPr>
          </w:p>
        </w:tc>
      </w:tr>
      <w:tr w14:paraId="0EC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C1AA44F">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55248A4A">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2681A514">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0BA87509">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7E66BF0C">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DF6A879">
            <w:pPr>
              <w:pStyle w:val="20"/>
              <w:spacing w:line="240" w:lineRule="atLeast"/>
              <w:ind w:left="1079" w:leftChars="257" w:hanging="540"/>
              <w:jc w:val="center"/>
              <w:rPr>
                <w:rFonts w:ascii="仿宋" w:hAnsi="仿宋" w:eastAsia="仿宋" w:cs="仿宋"/>
                <w:color w:val="000000"/>
                <w:sz w:val="24"/>
              </w:rPr>
            </w:pPr>
          </w:p>
        </w:tc>
      </w:tr>
      <w:tr w14:paraId="419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7099AF4">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6AD928BE">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83A8CB9">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7E1235FF">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731F0AC">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3B79DBA7">
            <w:pPr>
              <w:pStyle w:val="20"/>
              <w:spacing w:line="240" w:lineRule="atLeast"/>
              <w:ind w:left="1079" w:leftChars="257" w:hanging="540"/>
              <w:jc w:val="center"/>
              <w:rPr>
                <w:rFonts w:ascii="仿宋" w:hAnsi="仿宋" w:eastAsia="仿宋" w:cs="仿宋"/>
                <w:color w:val="000000"/>
                <w:sz w:val="24"/>
              </w:rPr>
            </w:pPr>
          </w:p>
        </w:tc>
      </w:tr>
      <w:tr w14:paraId="25FC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18150CC">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446D2A70">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58A6F5E">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AA988EA">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5278A68">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2792A1E2">
            <w:pPr>
              <w:pStyle w:val="20"/>
              <w:spacing w:line="240" w:lineRule="atLeast"/>
              <w:ind w:left="1079" w:leftChars="257" w:hanging="540"/>
              <w:jc w:val="center"/>
              <w:rPr>
                <w:rFonts w:ascii="仿宋" w:hAnsi="仿宋" w:eastAsia="仿宋" w:cs="仿宋"/>
                <w:color w:val="000000"/>
                <w:sz w:val="24"/>
              </w:rPr>
            </w:pPr>
          </w:p>
        </w:tc>
      </w:tr>
      <w:tr w14:paraId="393D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CC8A266">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6A2AAE4F">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92807C8">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1F2BC500">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A1DFE1C">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1A5C2560">
            <w:pPr>
              <w:pStyle w:val="20"/>
              <w:spacing w:line="240" w:lineRule="atLeast"/>
              <w:ind w:left="1079" w:leftChars="257" w:hanging="540"/>
              <w:jc w:val="center"/>
              <w:rPr>
                <w:rFonts w:ascii="仿宋" w:hAnsi="仿宋" w:eastAsia="仿宋" w:cs="仿宋"/>
                <w:color w:val="000000"/>
                <w:sz w:val="24"/>
              </w:rPr>
            </w:pPr>
          </w:p>
        </w:tc>
      </w:tr>
      <w:tr w14:paraId="67D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vAlign w:val="center"/>
          </w:tcPr>
          <w:p w14:paraId="4DD5EFB2">
            <w:pPr>
              <w:pStyle w:val="20"/>
              <w:spacing w:line="240" w:lineRule="atLeast"/>
              <w:ind w:left="1079" w:leftChars="257" w:hanging="540"/>
              <w:jc w:val="center"/>
              <w:rPr>
                <w:rFonts w:ascii="仿宋" w:hAnsi="仿宋" w:eastAsia="仿宋" w:cs="仿宋"/>
                <w:color w:val="000000"/>
                <w:sz w:val="24"/>
              </w:rPr>
            </w:pPr>
          </w:p>
        </w:tc>
        <w:tc>
          <w:tcPr>
            <w:tcW w:w="1621" w:type="dxa"/>
            <w:vAlign w:val="center"/>
          </w:tcPr>
          <w:p w14:paraId="50E511BC">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567452C2">
            <w:pPr>
              <w:pStyle w:val="20"/>
              <w:spacing w:line="240" w:lineRule="atLeast"/>
              <w:ind w:left="1079" w:leftChars="257" w:hanging="540"/>
              <w:jc w:val="center"/>
              <w:rPr>
                <w:rFonts w:ascii="仿宋" w:hAnsi="仿宋" w:eastAsia="仿宋" w:cs="仿宋"/>
                <w:color w:val="000000"/>
                <w:sz w:val="24"/>
              </w:rPr>
            </w:pPr>
          </w:p>
        </w:tc>
        <w:tc>
          <w:tcPr>
            <w:tcW w:w="1458" w:type="dxa"/>
            <w:vAlign w:val="center"/>
          </w:tcPr>
          <w:p w14:paraId="319886F4">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5BB31FC8">
            <w:pPr>
              <w:pStyle w:val="20"/>
              <w:spacing w:line="240" w:lineRule="atLeast"/>
              <w:ind w:left="1079" w:leftChars="257" w:hanging="540"/>
              <w:jc w:val="center"/>
              <w:rPr>
                <w:rFonts w:ascii="仿宋" w:hAnsi="仿宋" w:eastAsia="仿宋" w:cs="仿宋"/>
                <w:color w:val="000000"/>
                <w:sz w:val="24"/>
              </w:rPr>
            </w:pPr>
          </w:p>
        </w:tc>
        <w:tc>
          <w:tcPr>
            <w:tcW w:w="1158" w:type="dxa"/>
            <w:vAlign w:val="center"/>
          </w:tcPr>
          <w:p w14:paraId="49ED65E2">
            <w:pPr>
              <w:pStyle w:val="20"/>
              <w:spacing w:line="240" w:lineRule="atLeast"/>
              <w:ind w:left="1079" w:leftChars="257" w:hanging="540"/>
              <w:jc w:val="center"/>
              <w:rPr>
                <w:rFonts w:ascii="仿宋" w:hAnsi="仿宋" w:eastAsia="仿宋" w:cs="仿宋"/>
                <w:color w:val="000000"/>
                <w:sz w:val="24"/>
              </w:rPr>
            </w:pPr>
          </w:p>
        </w:tc>
      </w:tr>
    </w:tbl>
    <w:p w14:paraId="6D0A8087">
      <w:pPr>
        <w:pStyle w:val="20"/>
        <w:spacing w:line="240" w:lineRule="atLeast"/>
        <w:ind w:left="1079" w:leftChars="257" w:hanging="540"/>
        <w:rPr>
          <w:rFonts w:ascii="仿宋" w:hAnsi="仿宋" w:eastAsia="仿宋" w:cs="仿宋"/>
          <w:color w:val="000000"/>
          <w:sz w:val="24"/>
        </w:rPr>
      </w:pPr>
    </w:p>
    <w:p w14:paraId="2565B199">
      <w:pPr>
        <w:pStyle w:val="20"/>
        <w:spacing w:line="240" w:lineRule="atLeast"/>
        <w:ind w:left="1079" w:leftChars="257" w:hanging="540"/>
        <w:rPr>
          <w:rFonts w:ascii="仿宋" w:hAnsi="仿宋" w:eastAsia="仿宋" w:cs="仿宋"/>
          <w:color w:val="000000"/>
          <w:sz w:val="24"/>
        </w:rPr>
      </w:pPr>
    </w:p>
    <w:p w14:paraId="5ABB4D54">
      <w:pPr>
        <w:pStyle w:val="20"/>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5BFEA22B">
      <w:pPr>
        <w:pStyle w:val="20"/>
        <w:tabs>
          <w:tab w:val="left" w:pos="5370"/>
        </w:tabs>
        <w:spacing w:line="240" w:lineRule="atLeast"/>
        <w:ind w:left="1079" w:leftChars="257" w:hanging="540"/>
        <w:rPr>
          <w:rFonts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p>
    <w:p w14:paraId="521D3235">
      <w:pPr>
        <w:pStyle w:val="15"/>
        <w:rPr>
          <w:color w:val="000000"/>
          <w:sz w:val="28"/>
          <w:szCs w:val="28"/>
        </w:rPr>
      </w:pPr>
    </w:p>
    <w:p w14:paraId="43F3B486">
      <w:pPr>
        <w:pStyle w:val="4"/>
        <w:spacing w:before="0" w:line="240" w:lineRule="atLeast"/>
        <w:ind w:left="1079" w:leftChars="257" w:hanging="540"/>
        <w:rPr>
          <w:rFonts w:hint="eastAsia" w:ascii="仿宋" w:hAnsi="仿宋" w:eastAsia="仿宋" w:cs="仿宋"/>
          <w:b/>
          <w:color w:val="000000"/>
          <w:sz w:val="24"/>
          <w:highlight w:val="none"/>
          <w:lang w:val="en-US" w:eastAsia="zh-CN"/>
        </w:rPr>
      </w:pPr>
      <w:bookmarkStart w:id="442" w:name="_Toc14830"/>
      <w:bookmarkStart w:id="443" w:name="_Toc32609"/>
      <w:bookmarkStart w:id="444" w:name="_Toc28835"/>
      <w:bookmarkStart w:id="445" w:name="_Toc18520"/>
      <w:bookmarkStart w:id="446" w:name="_Toc23068"/>
      <w:bookmarkStart w:id="447" w:name="_Toc19284"/>
      <w:bookmarkStart w:id="448" w:name="_Toc515647825"/>
      <w:bookmarkStart w:id="449" w:name="_Toc25518"/>
      <w:bookmarkStart w:id="450" w:name="OLE_LINK13"/>
      <w:bookmarkStart w:id="451" w:name="OLE_LINK14"/>
      <w:bookmarkStart w:id="452" w:name="_Toc28099"/>
      <w:bookmarkStart w:id="453" w:name="_Toc515647827"/>
      <w:bookmarkStart w:id="454" w:name="_Toc30795"/>
      <w:r>
        <w:rPr>
          <w:rFonts w:hint="eastAsia" w:ascii="仿宋" w:hAnsi="仿宋" w:eastAsia="仿宋" w:cs="仿宋"/>
          <w:b/>
          <w:color w:val="000000"/>
          <w:sz w:val="24"/>
          <w:highlight w:val="none"/>
          <w:lang w:val="en-US" w:eastAsia="zh-CN"/>
        </w:rPr>
        <w:t>6-1中小微企业证明文件（如有）（响应文件格式十一）</w:t>
      </w:r>
      <w:bookmarkEnd w:id="442"/>
      <w:bookmarkEnd w:id="443"/>
      <w:bookmarkEnd w:id="444"/>
      <w:bookmarkEnd w:id="445"/>
    </w:p>
    <w:p w14:paraId="19DFC107">
      <w:pPr>
        <w:pStyle w:val="2"/>
        <w:rPr>
          <w:rFonts w:hint="eastAsia" w:ascii="仿宋" w:hAnsi="仿宋" w:eastAsia="仿宋" w:cs="仿宋"/>
          <w:b/>
          <w:color w:val="000000"/>
          <w:sz w:val="24"/>
          <w:highlight w:val="none"/>
          <w:lang w:val="en-US" w:eastAsia="zh-CN"/>
        </w:rPr>
      </w:pPr>
    </w:p>
    <w:p w14:paraId="06C43BF3">
      <w:pPr>
        <w:pStyle w:val="2"/>
        <w:jc w:val="center"/>
        <w:rPr>
          <w:rFonts w:hint="eastAsia" w:ascii="仿宋" w:hAnsi="仿宋" w:eastAsia="仿宋" w:cs="仿宋"/>
          <w:b/>
          <w:color w:val="000000"/>
          <w:sz w:val="24"/>
          <w:highlight w:val="none"/>
          <w:lang w:val="en-US" w:eastAsia="zh-CN"/>
        </w:rPr>
      </w:pPr>
      <w:r>
        <w:rPr>
          <w:rStyle w:val="39"/>
          <w:rFonts w:hint="eastAsia" w:ascii="仿宋" w:hAnsi="仿宋" w:eastAsia="仿宋" w:cs="仿宋"/>
          <w:color w:val="000000"/>
          <w:highlight w:val="none"/>
        </w:rPr>
        <w:t>中小企业声明函（</w:t>
      </w:r>
      <w:r>
        <w:rPr>
          <w:rStyle w:val="39"/>
          <w:rFonts w:hint="eastAsia" w:ascii="仿宋" w:hAnsi="仿宋" w:eastAsia="仿宋" w:cs="仿宋"/>
          <w:color w:val="000000"/>
          <w:highlight w:val="none"/>
          <w:lang w:val="en-US" w:eastAsia="zh-CN"/>
        </w:rPr>
        <w:t>服务</w:t>
      </w:r>
      <w:r>
        <w:rPr>
          <w:rStyle w:val="39"/>
          <w:rFonts w:hint="eastAsia" w:ascii="仿宋" w:hAnsi="仿宋" w:eastAsia="仿宋" w:cs="仿宋"/>
          <w:color w:val="000000"/>
          <w:highlight w:val="none"/>
        </w:rPr>
        <w:t>)</w:t>
      </w:r>
    </w:p>
    <w:p w14:paraId="3A3F94EB">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081DF701">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u w:val="single"/>
        </w:rPr>
        <w:t>（标的名称）</w:t>
      </w:r>
      <w:r>
        <w:rPr>
          <w:rFonts w:hint="eastAsia" w:ascii="仿宋" w:hAnsi="仿宋" w:eastAsia="仿宋" w:cs="仿宋"/>
          <w:color w:val="000000"/>
          <w:kern w:val="0"/>
          <w:sz w:val="24"/>
        </w:rPr>
        <w:t>，属于</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；承接企业为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r>
        <w:rPr>
          <w:rFonts w:hint="eastAsia" w:ascii="仿宋" w:hAnsi="仿宋" w:eastAsia="仿宋" w:cs="仿宋"/>
          <w:color w:val="000000"/>
          <w:kern w:val="0"/>
          <w:sz w:val="24"/>
        </w:rPr>
        <w:t>；</w:t>
      </w:r>
    </w:p>
    <w:p w14:paraId="35D9F02F">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u w:val="single"/>
        </w:rPr>
        <w:t>（标的名称）</w:t>
      </w:r>
      <w:r>
        <w:rPr>
          <w:rFonts w:hint="eastAsia" w:ascii="仿宋" w:hAnsi="仿宋" w:eastAsia="仿宋" w:cs="仿宋"/>
          <w:color w:val="000000"/>
          <w:kern w:val="0"/>
          <w:sz w:val="24"/>
        </w:rPr>
        <w:t>，属于</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；承接企业为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r>
        <w:rPr>
          <w:rFonts w:hint="eastAsia" w:ascii="仿宋" w:hAnsi="仿宋" w:eastAsia="仿宋" w:cs="仿宋"/>
          <w:color w:val="000000"/>
          <w:kern w:val="0"/>
          <w:sz w:val="24"/>
        </w:rPr>
        <w:t>；</w:t>
      </w:r>
    </w:p>
    <w:p w14:paraId="363DD754">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p w14:paraId="2B8FFE2F">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以上企业，不属于大企业的分支机构，不存在控股股东为大企业的情形，也不存在与大企业的负责人为同一人的情形。</w:t>
      </w:r>
    </w:p>
    <w:p w14:paraId="641B7BE4">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本企业对上述声明内容的真实性负责。如有虚假，将依法承担相应责任。</w:t>
      </w:r>
    </w:p>
    <w:p w14:paraId="09B6CE36">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3FA22567">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2B9C21C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注：小型和微型企业适用价格扣除办法时应同时提供的相关资料：</w:t>
      </w:r>
    </w:p>
    <w:p w14:paraId="2897D71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1.小型、微型企业提供中型（或大型）企业提供的服务的，视同为中型（或大型）企业，不享受本项优惠。</w:t>
      </w:r>
    </w:p>
    <w:p w14:paraId="7346548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2.其他相关的证明材料（如：上一年度（或近期）的审计报告等，须能反映出企业的应纳税所得额、从业人员、资产总额、营业收入等相关内容）。</w:t>
      </w:r>
    </w:p>
    <w:p w14:paraId="39634D2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3.进口产品不享受中小企业评审优惠。</w:t>
      </w:r>
    </w:p>
    <w:p w14:paraId="5E6D988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未按上述要求填写并提供证明材料的，评审时不予以考虑。</w:t>
      </w:r>
    </w:p>
    <w:p w14:paraId="14C6478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本项目对应的中小企业划分标准所属行业：</w:t>
      </w:r>
      <w:r>
        <w:rPr>
          <w:rFonts w:hint="eastAsia" w:ascii="仿宋" w:hAnsi="仿宋" w:eastAsia="仿宋" w:cs="仿宋"/>
          <w:b/>
          <w:bCs/>
          <w:color w:val="000000"/>
          <w:kern w:val="0"/>
          <w:sz w:val="24"/>
          <w:szCs w:val="24"/>
          <w:highlight w:val="none"/>
        </w:rPr>
        <w:t>软件和信息技术服务业</w:t>
      </w:r>
    </w:p>
    <w:p w14:paraId="254F414F">
      <w:pPr>
        <w:keepNext w:val="0"/>
        <w:keepLines w:val="0"/>
        <w:pageBreakBefore w:val="0"/>
        <w:kinsoku/>
        <w:wordWrap/>
        <w:overflowPunct/>
        <w:topLinePunct w:val="0"/>
        <w:autoSpaceDE/>
        <w:autoSpaceDN/>
        <w:bidi w:val="0"/>
        <w:adjustRightInd/>
        <w:spacing w:line="400" w:lineRule="exact"/>
        <w:jc w:val="left"/>
        <w:rPr>
          <w:rFonts w:hint="eastAsia" w:ascii="仿宋" w:hAnsi="仿宋" w:eastAsia="仿宋" w:cs="仿宋"/>
          <w:b/>
          <w:bCs/>
          <w:color w:val="000000"/>
          <w:kern w:val="0"/>
          <w:sz w:val="24"/>
          <w:szCs w:val="24"/>
          <w:highlight w:val="none"/>
        </w:rPr>
      </w:pPr>
      <w:r>
        <w:rPr>
          <w:rFonts w:hint="eastAsia" w:ascii="仿宋" w:hAnsi="仿宋" w:eastAsia="仿宋" w:cs="仿宋"/>
          <w:color w:val="000000"/>
          <w:kern w:val="0"/>
          <w:sz w:val="24"/>
          <w:highlight w:val="none"/>
          <w:u w:val="single"/>
        </w:rPr>
        <w:br w:type="page"/>
      </w:r>
      <w:r>
        <w:rPr>
          <w:rFonts w:hint="eastAsia" w:ascii="仿宋" w:hAnsi="仿宋" w:eastAsia="仿宋" w:cs="仿宋"/>
          <w:b/>
          <w:bCs/>
          <w:color w:val="000000"/>
          <w:kern w:val="0"/>
          <w:sz w:val="24"/>
          <w:szCs w:val="24"/>
          <w:highlight w:val="none"/>
        </w:rPr>
        <w:t>附：</w:t>
      </w:r>
    </w:p>
    <w:p w14:paraId="3E003F42">
      <w:pPr>
        <w:keepNext w:val="0"/>
        <w:keepLines w:val="0"/>
        <w:pageBreakBefore w:val="0"/>
        <w:kinsoku/>
        <w:wordWrap/>
        <w:overflowPunct/>
        <w:topLinePunct w:val="0"/>
        <w:autoSpaceDE/>
        <w:autoSpaceDN/>
        <w:bidi w:val="0"/>
        <w:adjustRightInd/>
        <w:spacing w:line="400" w:lineRule="exac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中小微企业划型标准</w:t>
      </w:r>
    </w:p>
    <w:tbl>
      <w:tblPr>
        <w:tblStyle w:val="36"/>
        <w:tblW w:w="9378" w:type="dxa"/>
        <w:jc w:val="center"/>
        <w:tblLayout w:type="fixed"/>
        <w:tblCellMar>
          <w:top w:w="0" w:type="dxa"/>
          <w:left w:w="108" w:type="dxa"/>
          <w:bottom w:w="0" w:type="dxa"/>
          <w:right w:w="108" w:type="dxa"/>
        </w:tblCellMar>
      </w:tblPr>
      <w:tblGrid>
        <w:gridCol w:w="1570"/>
        <w:gridCol w:w="1660"/>
        <w:gridCol w:w="1279"/>
        <w:gridCol w:w="2090"/>
        <w:gridCol w:w="1692"/>
        <w:gridCol w:w="1087"/>
      </w:tblGrid>
      <w:tr w14:paraId="44FFE312">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2041373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403BCBE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指标名称</w:t>
            </w:r>
          </w:p>
        </w:tc>
        <w:tc>
          <w:tcPr>
            <w:tcW w:w="1279" w:type="dxa"/>
            <w:tcBorders>
              <w:top w:val="single" w:color="auto" w:sz="4" w:space="0"/>
              <w:left w:val="nil"/>
              <w:bottom w:val="single" w:color="auto" w:sz="4" w:space="0"/>
              <w:right w:val="single" w:color="auto" w:sz="4" w:space="0"/>
            </w:tcBorders>
            <w:vAlign w:val="center"/>
          </w:tcPr>
          <w:p w14:paraId="492B1BE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计量单位</w:t>
            </w:r>
          </w:p>
        </w:tc>
        <w:tc>
          <w:tcPr>
            <w:tcW w:w="2090" w:type="dxa"/>
            <w:tcBorders>
              <w:top w:val="single" w:color="auto" w:sz="4" w:space="0"/>
              <w:left w:val="nil"/>
              <w:bottom w:val="single" w:color="auto" w:sz="4" w:space="0"/>
              <w:right w:val="single" w:color="auto" w:sz="4" w:space="0"/>
            </w:tcBorders>
            <w:vAlign w:val="center"/>
          </w:tcPr>
          <w:p w14:paraId="2F5E020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中型</w:t>
            </w:r>
          </w:p>
        </w:tc>
        <w:tc>
          <w:tcPr>
            <w:tcW w:w="1692" w:type="dxa"/>
            <w:tcBorders>
              <w:top w:val="single" w:color="auto" w:sz="4" w:space="0"/>
              <w:left w:val="nil"/>
              <w:bottom w:val="single" w:color="auto" w:sz="4" w:space="0"/>
              <w:right w:val="single" w:color="auto" w:sz="4" w:space="0"/>
            </w:tcBorders>
            <w:vAlign w:val="center"/>
          </w:tcPr>
          <w:p w14:paraId="5D2F4B2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小型</w:t>
            </w:r>
          </w:p>
        </w:tc>
        <w:tc>
          <w:tcPr>
            <w:tcW w:w="1087" w:type="dxa"/>
            <w:tcBorders>
              <w:top w:val="single" w:color="auto" w:sz="4" w:space="0"/>
              <w:left w:val="nil"/>
              <w:bottom w:val="single" w:color="auto" w:sz="4" w:space="0"/>
              <w:right w:val="single" w:color="auto" w:sz="4" w:space="0"/>
            </w:tcBorders>
            <w:vAlign w:val="center"/>
          </w:tcPr>
          <w:p w14:paraId="2B014B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微型</w:t>
            </w:r>
          </w:p>
        </w:tc>
      </w:tr>
      <w:tr w14:paraId="0CEAC16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22F9091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农、林、牧、渔</w:t>
            </w:r>
          </w:p>
        </w:tc>
        <w:tc>
          <w:tcPr>
            <w:tcW w:w="1660" w:type="dxa"/>
            <w:tcBorders>
              <w:top w:val="nil"/>
              <w:left w:val="nil"/>
              <w:bottom w:val="single" w:color="auto" w:sz="4" w:space="0"/>
              <w:right w:val="single" w:color="auto" w:sz="4" w:space="0"/>
            </w:tcBorders>
            <w:vAlign w:val="center"/>
          </w:tcPr>
          <w:p w14:paraId="326EF0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333148C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5A3071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14:paraId="384801A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50≤Y＜500</w:t>
            </w:r>
          </w:p>
        </w:tc>
        <w:tc>
          <w:tcPr>
            <w:tcW w:w="1087" w:type="dxa"/>
            <w:tcBorders>
              <w:top w:val="nil"/>
              <w:left w:val="nil"/>
              <w:bottom w:val="single" w:color="auto" w:sz="4" w:space="0"/>
              <w:right w:val="single" w:color="auto" w:sz="4" w:space="0"/>
            </w:tcBorders>
            <w:vAlign w:val="center"/>
          </w:tcPr>
          <w:p w14:paraId="62C82D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w:t>
            </w:r>
          </w:p>
        </w:tc>
      </w:tr>
      <w:tr w14:paraId="48F0B9F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7E1A2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工业</w:t>
            </w:r>
          </w:p>
        </w:tc>
        <w:tc>
          <w:tcPr>
            <w:tcW w:w="1660" w:type="dxa"/>
            <w:tcBorders>
              <w:top w:val="nil"/>
              <w:left w:val="nil"/>
              <w:bottom w:val="single" w:color="auto" w:sz="4" w:space="0"/>
              <w:right w:val="single" w:color="auto" w:sz="4" w:space="0"/>
            </w:tcBorders>
            <w:vAlign w:val="center"/>
          </w:tcPr>
          <w:p w14:paraId="149F7F0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605CBAE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11DEDC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7E32F74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2769D64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380D541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963CF5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038B1FA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8F17F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7A61134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2000≤Y＜40000</w:t>
            </w:r>
          </w:p>
        </w:tc>
        <w:tc>
          <w:tcPr>
            <w:tcW w:w="1692" w:type="dxa"/>
            <w:tcBorders>
              <w:top w:val="nil"/>
              <w:left w:val="nil"/>
              <w:bottom w:val="single" w:color="auto" w:sz="4" w:space="0"/>
              <w:right w:val="single" w:color="auto" w:sz="4" w:space="0"/>
            </w:tcBorders>
            <w:vAlign w:val="center"/>
          </w:tcPr>
          <w:p w14:paraId="42C44F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300≤Y＜2000</w:t>
            </w:r>
          </w:p>
        </w:tc>
        <w:tc>
          <w:tcPr>
            <w:tcW w:w="1087" w:type="dxa"/>
            <w:tcBorders>
              <w:top w:val="nil"/>
              <w:left w:val="nil"/>
              <w:bottom w:val="single" w:color="auto" w:sz="4" w:space="0"/>
              <w:right w:val="single" w:color="auto" w:sz="4" w:space="0"/>
            </w:tcBorders>
            <w:vAlign w:val="center"/>
          </w:tcPr>
          <w:p w14:paraId="178FFC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4FFAAA0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5238F7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建筑业</w:t>
            </w:r>
          </w:p>
        </w:tc>
        <w:tc>
          <w:tcPr>
            <w:tcW w:w="1660" w:type="dxa"/>
            <w:tcBorders>
              <w:top w:val="nil"/>
              <w:left w:val="nil"/>
              <w:bottom w:val="single" w:color="auto" w:sz="4" w:space="0"/>
              <w:right w:val="single" w:color="auto" w:sz="4" w:space="0"/>
            </w:tcBorders>
            <w:vAlign w:val="center"/>
          </w:tcPr>
          <w:p w14:paraId="33C1D78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7F69529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66D4DFB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6000≤Y＜80000</w:t>
            </w:r>
          </w:p>
        </w:tc>
        <w:tc>
          <w:tcPr>
            <w:tcW w:w="1692" w:type="dxa"/>
            <w:tcBorders>
              <w:top w:val="nil"/>
              <w:left w:val="nil"/>
              <w:bottom w:val="single" w:color="auto" w:sz="4" w:space="0"/>
              <w:right w:val="single" w:color="auto" w:sz="4" w:space="0"/>
            </w:tcBorders>
            <w:vAlign w:val="center"/>
          </w:tcPr>
          <w:p w14:paraId="0E88519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300≤Y＜6000</w:t>
            </w:r>
          </w:p>
        </w:tc>
        <w:tc>
          <w:tcPr>
            <w:tcW w:w="1087" w:type="dxa"/>
            <w:tcBorders>
              <w:top w:val="nil"/>
              <w:left w:val="nil"/>
              <w:bottom w:val="single" w:color="auto" w:sz="4" w:space="0"/>
              <w:right w:val="single" w:color="auto" w:sz="4" w:space="0"/>
            </w:tcBorders>
            <w:vAlign w:val="center"/>
          </w:tcPr>
          <w:p w14:paraId="574011A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7C0D2C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E1C01D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4E8F38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618341E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392E14A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5000≤Z＜80000</w:t>
            </w:r>
          </w:p>
        </w:tc>
        <w:tc>
          <w:tcPr>
            <w:tcW w:w="1692" w:type="dxa"/>
            <w:tcBorders>
              <w:top w:val="nil"/>
              <w:left w:val="nil"/>
              <w:bottom w:val="single" w:color="auto" w:sz="4" w:space="0"/>
              <w:right w:val="single" w:color="auto" w:sz="4" w:space="0"/>
            </w:tcBorders>
            <w:vAlign w:val="center"/>
          </w:tcPr>
          <w:p w14:paraId="2E187D3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300≤Z＜5000</w:t>
            </w:r>
          </w:p>
        </w:tc>
        <w:tc>
          <w:tcPr>
            <w:tcW w:w="1087" w:type="dxa"/>
            <w:tcBorders>
              <w:top w:val="nil"/>
              <w:left w:val="nil"/>
              <w:bottom w:val="single" w:color="auto" w:sz="4" w:space="0"/>
              <w:right w:val="single" w:color="auto" w:sz="4" w:space="0"/>
            </w:tcBorders>
            <w:vAlign w:val="center"/>
          </w:tcPr>
          <w:p w14:paraId="6B4C5AD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Z＜300</w:t>
            </w:r>
          </w:p>
        </w:tc>
      </w:tr>
      <w:tr w14:paraId="5863DF8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D4025C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批发业</w:t>
            </w:r>
          </w:p>
        </w:tc>
        <w:tc>
          <w:tcPr>
            <w:tcW w:w="1660" w:type="dxa"/>
            <w:tcBorders>
              <w:top w:val="nil"/>
              <w:left w:val="nil"/>
              <w:bottom w:val="single" w:color="auto" w:sz="4" w:space="0"/>
              <w:right w:val="single" w:color="auto" w:sz="4" w:space="0"/>
            </w:tcBorders>
            <w:vAlign w:val="center"/>
          </w:tcPr>
          <w:p w14:paraId="3B265A9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7C216C2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366DC67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20≤X＜200</w:t>
            </w:r>
          </w:p>
        </w:tc>
        <w:tc>
          <w:tcPr>
            <w:tcW w:w="1692" w:type="dxa"/>
            <w:tcBorders>
              <w:top w:val="nil"/>
              <w:left w:val="nil"/>
              <w:bottom w:val="single" w:color="auto" w:sz="4" w:space="0"/>
              <w:right w:val="single" w:color="auto" w:sz="4" w:space="0"/>
            </w:tcBorders>
            <w:vAlign w:val="center"/>
          </w:tcPr>
          <w:p w14:paraId="5C7396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5≤X＜20</w:t>
            </w:r>
          </w:p>
        </w:tc>
        <w:tc>
          <w:tcPr>
            <w:tcW w:w="1087" w:type="dxa"/>
            <w:tcBorders>
              <w:top w:val="nil"/>
              <w:left w:val="nil"/>
              <w:bottom w:val="single" w:color="auto" w:sz="4" w:space="0"/>
              <w:right w:val="single" w:color="auto" w:sz="4" w:space="0"/>
            </w:tcBorders>
            <w:vAlign w:val="center"/>
          </w:tcPr>
          <w:p w14:paraId="1CDC352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X＜5</w:t>
            </w:r>
          </w:p>
        </w:tc>
      </w:tr>
      <w:tr w14:paraId="5F648EF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309080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BD5FD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38DAC19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76FA1C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5000≤Y＜40000</w:t>
            </w:r>
          </w:p>
        </w:tc>
        <w:tc>
          <w:tcPr>
            <w:tcW w:w="1692" w:type="dxa"/>
            <w:tcBorders>
              <w:top w:val="nil"/>
              <w:left w:val="nil"/>
              <w:bottom w:val="single" w:color="auto" w:sz="4" w:space="0"/>
              <w:right w:val="single" w:color="auto" w:sz="4" w:space="0"/>
            </w:tcBorders>
            <w:vAlign w:val="center"/>
          </w:tcPr>
          <w:p w14:paraId="05DDDE8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1000≤Y＜5000</w:t>
            </w:r>
          </w:p>
        </w:tc>
        <w:tc>
          <w:tcPr>
            <w:tcW w:w="1087" w:type="dxa"/>
            <w:tcBorders>
              <w:top w:val="nil"/>
              <w:left w:val="nil"/>
              <w:bottom w:val="single" w:color="auto" w:sz="4" w:space="0"/>
              <w:right w:val="single" w:color="auto" w:sz="4" w:space="0"/>
            </w:tcBorders>
            <w:vAlign w:val="center"/>
          </w:tcPr>
          <w:p w14:paraId="74CC8DF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Y＜1000</w:t>
            </w:r>
          </w:p>
        </w:tc>
      </w:tr>
      <w:tr w14:paraId="13E14A6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744F7D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零售业</w:t>
            </w:r>
          </w:p>
        </w:tc>
        <w:tc>
          <w:tcPr>
            <w:tcW w:w="1660" w:type="dxa"/>
            <w:tcBorders>
              <w:top w:val="nil"/>
              <w:left w:val="nil"/>
              <w:bottom w:val="single" w:color="auto" w:sz="4" w:space="0"/>
              <w:right w:val="single" w:color="auto" w:sz="4" w:space="0"/>
            </w:tcBorders>
            <w:vAlign w:val="center"/>
          </w:tcPr>
          <w:p w14:paraId="20B96F2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94E342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5536E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50≤X＜300</w:t>
            </w:r>
          </w:p>
        </w:tc>
        <w:tc>
          <w:tcPr>
            <w:tcW w:w="1692" w:type="dxa"/>
            <w:tcBorders>
              <w:top w:val="nil"/>
              <w:left w:val="nil"/>
              <w:bottom w:val="single" w:color="auto" w:sz="4" w:space="0"/>
              <w:right w:val="single" w:color="auto" w:sz="4" w:space="0"/>
            </w:tcBorders>
            <w:vAlign w:val="center"/>
          </w:tcPr>
          <w:p w14:paraId="454A35F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10≤X＜50</w:t>
            </w:r>
          </w:p>
        </w:tc>
        <w:tc>
          <w:tcPr>
            <w:tcW w:w="1087" w:type="dxa"/>
            <w:tcBorders>
              <w:top w:val="nil"/>
              <w:left w:val="nil"/>
              <w:bottom w:val="single" w:color="auto" w:sz="4" w:space="0"/>
              <w:right w:val="single" w:color="auto" w:sz="4" w:space="0"/>
            </w:tcBorders>
            <w:vAlign w:val="center"/>
          </w:tcPr>
          <w:p w14:paraId="142A3D2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621758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DC016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6E50AD8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472463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1BB21B4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14:paraId="62CE343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100≤Y＜500</w:t>
            </w:r>
          </w:p>
        </w:tc>
        <w:tc>
          <w:tcPr>
            <w:tcW w:w="1087" w:type="dxa"/>
            <w:tcBorders>
              <w:top w:val="nil"/>
              <w:left w:val="nil"/>
              <w:bottom w:val="single" w:color="auto" w:sz="4" w:space="0"/>
              <w:right w:val="single" w:color="auto" w:sz="4" w:space="0"/>
            </w:tcBorders>
            <w:vAlign w:val="center"/>
          </w:tcPr>
          <w:p w14:paraId="600BEE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71E313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F0732A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交通运输业</w:t>
            </w:r>
          </w:p>
        </w:tc>
        <w:tc>
          <w:tcPr>
            <w:tcW w:w="1660" w:type="dxa"/>
            <w:tcBorders>
              <w:top w:val="nil"/>
              <w:left w:val="nil"/>
              <w:bottom w:val="single" w:color="auto" w:sz="4" w:space="0"/>
              <w:right w:val="single" w:color="auto" w:sz="4" w:space="0"/>
            </w:tcBorders>
            <w:vAlign w:val="center"/>
          </w:tcPr>
          <w:p w14:paraId="0F4A1DC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218C414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64248B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207A41B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6BC27BC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X＜20</w:t>
            </w:r>
          </w:p>
        </w:tc>
      </w:tr>
      <w:tr w14:paraId="6060FED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7EA18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7281499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5D311C8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7477D3F">
            <w:pPr>
              <w:keepNext w:val="0"/>
              <w:keepLines w:val="0"/>
              <w:pageBreakBefore w:val="0"/>
              <w:widowControl/>
              <w:kinsoku/>
              <w:wordWrap/>
              <w:overflowPunct/>
              <w:topLinePunct w:val="0"/>
              <w:autoSpaceDE/>
              <w:autoSpaceDN/>
              <w:bidi w:val="0"/>
              <w:adjustRightInd/>
              <w:snapToGrid w:val="0"/>
              <w:spacing w:line="400" w:lineRule="exact"/>
              <w:contextualSpacing/>
              <w:jc w:val="both"/>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3000≤Y＜30000</w:t>
            </w:r>
          </w:p>
        </w:tc>
        <w:tc>
          <w:tcPr>
            <w:tcW w:w="1692" w:type="dxa"/>
            <w:tcBorders>
              <w:top w:val="nil"/>
              <w:left w:val="nil"/>
              <w:bottom w:val="single" w:color="auto" w:sz="4" w:space="0"/>
              <w:right w:val="single" w:color="auto" w:sz="4" w:space="0"/>
            </w:tcBorders>
            <w:vAlign w:val="center"/>
          </w:tcPr>
          <w:p w14:paraId="7CF40DD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200≤Y＜3000</w:t>
            </w:r>
          </w:p>
        </w:tc>
        <w:tc>
          <w:tcPr>
            <w:tcW w:w="1087" w:type="dxa"/>
            <w:tcBorders>
              <w:top w:val="nil"/>
              <w:left w:val="nil"/>
              <w:bottom w:val="single" w:color="auto" w:sz="4" w:space="0"/>
              <w:right w:val="single" w:color="auto" w:sz="4" w:space="0"/>
            </w:tcBorders>
            <w:vAlign w:val="center"/>
          </w:tcPr>
          <w:p w14:paraId="1CC2395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Y＜200</w:t>
            </w:r>
          </w:p>
        </w:tc>
      </w:tr>
      <w:tr w14:paraId="278AA8A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8A4492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仓储业</w:t>
            </w:r>
          </w:p>
        </w:tc>
        <w:tc>
          <w:tcPr>
            <w:tcW w:w="1660" w:type="dxa"/>
            <w:tcBorders>
              <w:top w:val="nil"/>
              <w:left w:val="nil"/>
              <w:bottom w:val="single" w:color="auto" w:sz="4" w:space="0"/>
              <w:right w:val="single" w:color="auto" w:sz="4" w:space="0"/>
            </w:tcBorders>
            <w:vAlign w:val="center"/>
          </w:tcPr>
          <w:p w14:paraId="1CF0508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3CC6D2A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7EF5472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w:t>
            </w:r>
          </w:p>
        </w:tc>
        <w:tc>
          <w:tcPr>
            <w:tcW w:w="1692" w:type="dxa"/>
            <w:tcBorders>
              <w:top w:val="nil"/>
              <w:left w:val="nil"/>
              <w:bottom w:val="single" w:color="auto" w:sz="4" w:space="0"/>
              <w:right w:val="single" w:color="auto" w:sz="4" w:space="0"/>
            </w:tcBorders>
            <w:vAlign w:val="center"/>
          </w:tcPr>
          <w:p w14:paraId="7B75B12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20≤X＜100</w:t>
            </w:r>
          </w:p>
        </w:tc>
        <w:tc>
          <w:tcPr>
            <w:tcW w:w="1087" w:type="dxa"/>
            <w:tcBorders>
              <w:top w:val="nil"/>
              <w:left w:val="nil"/>
              <w:bottom w:val="single" w:color="auto" w:sz="4" w:space="0"/>
              <w:right w:val="single" w:color="auto" w:sz="4" w:space="0"/>
            </w:tcBorders>
            <w:vAlign w:val="center"/>
          </w:tcPr>
          <w:p w14:paraId="0AC411E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42CD737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FC3637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C96A76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41FC84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29A429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1000≤Y＜30000</w:t>
            </w:r>
          </w:p>
        </w:tc>
        <w:tc>
          <w:tcPr>
            <w:tcW w:w="1692" w:type="dxa"/>
            <w:tcBorders>
              <w:top w:val="nil"/>
              <w:left w:val="nil"/>
              <w:bottom w:val="single" w:color="auto" w:sz="4" w:space="0"/>
              <w:right w:val="single" w:color="auto" w:sz="4" w:space="0"/>
            </w:tcBorders>
            <w:vAlign w:val="center"/>
          </w:tcPr>
          <w:p w14:paraId="06A697F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087" w:type="dxa"/>
            <w:tcBorders>
              <w:top w:val="nil"/>
              <w:left w:val="nil"/>
              <w:bottom w:val="single" w:color="auto" w:sz="4" w:space="0"/>
              <w:right w:val="single" w:color="auto" w:sz="4" w:space="0"/>
            </w:tcBorders>
            <w:vAlign w:val="center"/>
          </w:tcPr>
          <w:p w14:paraId="70D3363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E9B669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65B1EF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邮政业</w:t>
            </w:r>
          </w:p>
        </w:tc>
        <w:tc>
          <w:tcPr>
            <w:tcW w:w="1660" w:type="dxa"/>
            <w:tcBorders>
              <w:top w:val="nil"/>
              <w:left w:val="nil"/>
              <w:bottom w:val="single" w:color="auto" w:sz="4" w:space="0"/>
              <w:right w:val="single" w:color="auto" w:sz="4" w:space="0"/>
            </w:tcBorders>
            <w:vAlign w:val="center"/>
          </w:tcPr>
          <w:p w14:paraId="1922854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115A66B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78B2EA3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3DB25FD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66C89E0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02D84D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DFFF67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5B8038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0353B0E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5F36114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2000≤Y＜30000</w:t>
            </w:r>
          </w:p>
        </w:tc>
        <w:tc>
          <w:tcPr>
            <w:tcW w:w="1692" w:type="dxa"/>
            <w:tcBorders>
              <w:top w:val="nil"/>
              <w:left w:val="nil"/>
              <w:bottom w:val="single" w:color="auto" w:sz="4" w:space="0"/>
              <w:right w:val="single" w:color="auto" w:sz="4" w:space="0"/>
            </w:tcBorders>
            <w:vAlign w:val="center"/>
          </w:tcPr>
          <w:p w14:paraId="076F3B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1A5483D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1AB72D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968846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住宿业</w:t>
            </w:r>
          </w:p>
        </w:tc>
        <w:tc>
          <w:tcPr>
            <w:tcW w:w="1660" w:type="dxa"/>
            <w:tcBorders>
              <w:top w:val="nil"/>
              <w:left w:val="nil"/>
              <w:bottom w:val="single" w:color="auto" w:sz="4" w:space="0"/>
              <w:right w:val="single" w:color="auto" w:sz="4" w:space="0"/>
            </w:tcBorders>
            <w:vAlign w:val="center"/>
          </w:tcPr>
          <w:p w14:paraId="3D67EAA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55102F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4D98EE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0D9F30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3314BF1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0326AE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AF14F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51A213C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2FEC7A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3B42045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14:paraId="5CB47FC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1BA1509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43B76F4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17B5C8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餐饮业</w:t>
            </w:r>
          </w:p>
        </w:tc>
        <w:tc>
          <w:tcPr>
            <w:tcW w:w="1660" w:type="dxa"/>
            <w:tcBorders>
              <w:top w:val="nil"/>
              <w:left w:val="nil"/>
              <w:bottom w:val="single" w:color="auto" w:sz="4" w:space="0"/>
              <w:right w:val="single" w:color="auto" w:sz="4" w:space="0"/>
            </w:tcBorders>
            <w:vAlign w:val="center"/>
          </w:tcPr>
          <w:p w14:paraId="591614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C4AA29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05A3B8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1EA437E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1C16BE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7A3BD7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177FD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3B0515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45FDE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368A7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14:paraId="204DD17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7B784F5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E1D917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39527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信息传输业</w:t>
            </w:r>
          </w:p>
        </w:tc>
        <w:tc>
          <w:tcPr>
            <w:tcW w:w="1660" w:type="dxa"/>
            <w:tcBorders>
              <w:top w:val="nil"/>
              <w:left w:val="nil"/>
              <w:bottom w:val="single" w:color="auto" w:sz="4" w:space="0"/>
              <w:right w:val="single" w:color="auto" w:sz="4" w:space="0"/>
            </w:tcBorders>
            <w:vAlign w:val="center"/>
          </w:tcPr>
          <w:p w14:paraId="536427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2494232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20ED478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100≤X＜2000</w:t>
            </w:r>
          </w:p>
        </w:tc>
        <w:tc>
          <w:tcPr>
            <w:tcW w:w="1692" w:type="dxa"/>
            <w:tcBorders>
              <w:top w:val="nil"/>
              <w:left w:val="nil"/>
              <w:bottom w:val="single" w:color="auto" w:sz="4" w:space="0"/>
              <w:right w:val="single" w:color="auto" w:sz="4" w:space="0"/>
            </w:tcBorders>
            <w:vAlign w:val="center"/>
          </w:tcPr>
          <w:p w14:paraId="37778AA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6C3E67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6BD50A8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C37368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A69875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43327B9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C9E8E4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1000≤Y＜100000</w:t>
            </w:r>
          </w:p>
        </w:tc>
        <w:tc>
          <w:tcPr>
            <w:tcW w:w="1692" w:type="dxa"/>
            <w:tcBorders>
              <w:top w:val="nil"/>
              <w:left w:val="nil"/>
              <w:bottom w:val="single" w:color="auto" w:sz="4" w:space="0"/>
              <w:right w:val="single" w:color="auto" w:sz="4" w:space="0"/>
            </w:tcBorders>
            <w:vAlign w:val="center"/>
          </w:tcPr>
          <w:p w14:paraId="025A9F5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087" w:type="dxa"/>
            <w:tcBorders>
              <w:top w:val="nil"/>
              <w:left w:val="nil"/>
              <w:bottom w:val="single" w:color="auto" w:sz="4" w:space="0"/>
              <w:right w:val="single" w:color="auto" w:sz="4" w:space="0"/>
            </w:tcBorders>
            <w:vAlign w:val="center"/>
          </w:tcPr>
          <w:p w14:paraId="38E1328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63C692C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26A3A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软件和信息技术服务业</w:t>
            </w:r>
          </w:p>
        </w:tc>
        <w:tc>
          <w:tcPr>
            <w:tcW w:w="1660" w:type="dxa"/>
            <w:tcBorders>
              <w:top w:val="nil"/>
              <w:left w:val="nil"/>
              <w:bottom w:val="single" w:color="auto" w:sz="4" w:space="0"/>
              <w:right w:val="single" w:color="auto" w:sz="4" w:space="0"/>
            </w:tcBorders>
            <w:vAlign w:val="center"/>
          </w:tcPr>
          <w:p w14:paraId="7160BE8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81D231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633F93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514F80A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4971EFF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r w14:paraId="5321CE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CAB0E2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1E503B0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5D9E2D7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1D46076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1000≤Y＜10000</w:t>
            </w:r>
          </w:p>
        </w:tc>
        <w:tc>
          <w:tcPr>
            <w:tcW w:w="1692" w:type="dxa"/>
            <w:tcBorders>
              <w:top w:val="nil"/>
              <w:left w:val="nil"/>
              <w:bottom w:val="single" w:color="auto" w:sz="4" w:space="0"/>
              <w:right w:val="single" w:color="auto" w:sz="4" w:space="0"/>
            </w:tcBorders>
            <w:vAlign w:val="center"/>
          </w:tcPr>
          <w:p w14:paraId="7646A99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50≤Y＜1000</w:t>
            </w:r>
          </w:p>
        </w:tc>
        <w:tc>
          <w:tcPr>
            <w:tcW w:w="1087" w:type="dxa"/>
            <w:tcBorders>
              <w:top w:val="nil"/>
              <w:left w:val="nil"/>
              <w:bottom w:val="single" w:color="auto" w:sz="4" w:space="0"/>
              <w:right w:val="single" w:color="auto" w:sz="4" w:space="0"/>
            </w:tcBorders>
            <w:vAlign w:val="center"/>
          </w:tcPr>
          <w:p w14:paraId="7587F6F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Y＜50</w:t>
            </w:r>
          </w:p>
        </w:tc>
      </w:tr>
      <w:tr w14:paraId="72F779B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7413C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房地产开发经营</w:t>
            </w:r>
          </w:p>
        </w:tc>
        <w:tc>
          <w:tcPr>
            <w:tcW w:w="1660" w:type="dxa"/>
            <w:tcBorders>
              <w:top w:val="nil"/>
              <w:left w:val="nil"/>
              <w:bottom w:val="single" w:color="auto" w:sz="4" w:space="0"/>
              <w:right w:val="single" w:color="auto" w:sz="4" w:space="0"/>
            </w:tcBorders>
            <w:vAlign w:val="center"/>
          </w:tcPr>
          <w:p w14:paraId="7F4757A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09827D0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C01D5E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1000≤Y＜200000</w:t>
            </w:r>
          </w:p>
        </w:tc>
        <w:tc>
          <w:tcPr>
            <w:tcW w:w="1692" w:type="dxa"/>
            <w:tcBorders>
              <w:top w:val="nil"/>
              <w:left w:val="nil"/>
              <w:bottom w:val="single" w:color="auto" w:sz="4" w:space="0"/>
              <w:right w:val="single" w:color="auto" w:sz="4" w:space="0"/>
            </w:tcBorders>
            <w:vAlign w:val="center"/>
          </w:tcPr>
          <w:p w14:paraId="2EFF313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100≤X＜1000</w:t>
            </w:r>
          </w:p>
        </w:tc>
        <w:tc>
          <w:tcPr>
            <w:tcW w:w="1087" w:type="dxa"/>
            <w:tcBorders>
              <w:top w:val="nil"/>
              <w:left w:val="nil"/>
              <w:bottom w:val="single" w:color="auto" w:sz="4" w:space="0"/>
              <w:right w:val="single" w:color="auto" w:sz="4" w:space="0"/>
            </w:tcBorders>
            <w:vAlign w:val="center"/>
          </w:tcPr>
          <w:p w14:paraId="39D7EA0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10D275ED">
        <w:tblPrEx>
          <w:tblCellMar>
            <w:top w:w="0" w:type="dxa"/>
            <w:left w:w="108" w:type="dxa"/>
            <w:bottom w:w="0" w:type="dxa"/>
            <w:right w:w="108" w:type="dxa"/>
          </w:tblCellMar>
        </w:tblPrEx>
        <w:trPr>
          <w:trHeight w:val="1016"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E4F74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4F5700E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5B8D302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769855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5000≤Z＜10000</w:t>
            </w:r>
          </w:p>
        </w:tc>
        <w:tc>
          <w:tcPr>
            <w:tcW w:w="1692" w:type="dxa"/>
            <w:tcBorders>
              <w:top w:val="nil"/>
              <w:left w:val="nil"/>
              <w:bottom w:val="single" w:color="auto" w:sz="4" w:space="0"/>
              <w:right w:val="single" w:color="auto" w:sz="4" w:space="0"/>
            </w:tcBorders>
            <w:vAlign w:val="center"/>
          </w:tcPr>
          <w:p w14:paraId="7CC3648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2000≤Y＜5000</w:t>
            </w:r>
          </w:p>
        </w:tc>
        <w:tc>
          <w:tcPr>
            <w:tcW w:w="1087" w:type="dxa"/>
            <w:tcBorders>
              <w:top w:val="nil"/>
              <w:left w:val="nil"/>
              <w:bottom w:val="single" w:color="auto" w:sz="4" w:space="0"/>
              <w:right w:val="single" w:color="auto" w:sz="4" w:space="0"/>
            </w:tcBorders>
            <w:vAlign w:val="center"/>
          </w:tcPr>
          <w:p w14:paraId="027386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w:t>
            </w:r>
          </w:p>
        </w:tc>
      </w:tr>
      <w:tr w14:paraId="08479CDA">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24A812A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物业管理</w:t>
            </w:r>
          </w:p>
        </w:tc>
        <w:tc>
          <w:tcPr>
            <w:tcW w:w="1660" w:type="dxa"/>
            <w:tcBorders>
              <w:top w:val="single" w:color="auto" w:sz="4" w:space="0"/>
              <w:left w:val="single" w:color="auto" w:sz="4" w:space="0"/>
              <w:bottom w:val="single" w:color="auto" w:sz="4" w:space="0"/>
              <w:right w:val="single" w:color="auto" w:sz="4" w:space="0"/>
            </w:tcBorders>
            <w:vAlign w:val="center"/>
          </w:tcPr>
          <w:p w14:paraId="3D649EB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single" w:color="auto" w:sz="4" w:space="0"/>
              <w:left w:val="single" w:color="auto" w:sz="4" w:space="0"/>
              <w:bottom w:val="single" w:color="auto" w:sz="4" w:space="0"/>
              <w:right w:val="single" w:color="auto" w:sz="4" w:space="0"/>
            </w:tcBorders>
            <w:vAlign w:val="center"/>
          </w:tcPr>
          <w:p w14:paraId="5117B35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single" w:color="auto" w:sz="4" w:space="0"/>
              <w:left w:val="single" w:color="auto" w:sz="4" w:space="0"/>
              <w:bottom w:val="single" w:color="auto" w:sz="4" w:space="0"/>
              <w:right w:val="single" w:color="auto" w:sz="4" w:space="0"/>
            </w:tcBorders>
            <w:vAlign w:val="center"/>
          </w:tcPr>
          <w:p w14:paraId="7ECE6E8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single" w:color="auto" w:sz="4" w:space="0"/>
              <w:left w:val="single" w:color="auto" w:sz="4" w:space="0"/>
              <w:bottom w:val="single" w:color="auto" w:sz="4" w:space="0"/>
              <w:right w:val="single" w:color="auto" w:sz="4" w:space="0"/>
            </w:tcBorders>
            <w:vAlign w:val="center"/>
          </w:tcPr>
          <w:p w14:paraId="2496544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087" w:type="dxa"/>
            <w:tcBorders>
              <w:top w:val="single" w:color="auto" w:sz="4" w:space="0"/>
              <w:left w:val="single" w:color="auto" w:sz="4" w:space="0"/>
              <w:bottom w:val="single" w:color="auto" w:sz="4" w:space="0"/>
              <w:right w:val="single" w:color="auto" w:sz="4" w:space="0"/>
            </w:tcBorders>
            <w:vAlign w:val="center"/>
          </w:tcPr>
          <w:p w14:paraId="419A30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304C474B">
        <w:tblPrEx>
          <w:tblCellMar>
            <w:top w:w="0" w:type="dxa"/>
            <w:left w:w="108" w:type="dxa"/>
            <w:bottom w:w="0" w:type="dxa"/>
            <w:right w:w="108" w:type="dxa"/>
          </w:tblCellMar>
        </w:tblPrEx>
        <w:trPr>
          <w:trHeight w:val="199" w:hRule="atLeast"/>
          <w:jc w:val="center"/>
        </w:trPr>
        <w:tc>
          <w:tcPr>
            <w:tcW w:w="1570" w:type="dxa"/>
            <w:vMerge w:val="continue"/>
            <w:tcBorders>
              <w:top w:val="single" w:color="auto" w:sz="4" w:space="0"/>
              <w:left w:val="single" w:color="auto" w:sz="4" w:space="0"/>
              <w:bottom w:val="single" w:color="auto" w:sz="4" w:space="0"/>
              <w:right w:val="single" w:color="auto" w:sz="4" w:space="0"/>
            </w:tcBorders>
            <w:vAlign w:val="center"/>
          </w:tcPr>
          <w:p w14:paraId="5112DD6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13D5C1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single" w:color="auto" w:sz="4" w:space="0"/>
              <w:left w:val="single" w:color="auto" w:sz="4" w:space="0"/>
              <w:bottom w:val="single" w:color="auto" w:sz="4" w:space="0"/>
              <w:right w:val="single" w:color="auto" w:sz="4" w:space="0"/>
            </w:tcBorders>
            <w:vAlign w:val="center"/>
          </w:tcPr>
          <w:p w14:paraId="0E83F37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single" w:color="auto" w:sz="4" w:space="0"/>
              <w:left w:val="single" w:color="auto" w:sz="4" w:space="0"/>
              <w:bottom w:val="single" w:color="auto" w:sz="4" w:space="0"/>
              <w:right w:val="single" w:color="auto" w:sz="4" w:space="0"/>
            </w:tcBorders>
            <w:vAlign w:val="center"/>
          </w:tcPr>
          <w:p w14:paraId="15A61F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1000≤Y＜5000</w:t>
            </w:r>
          </w:p>
        </w:tc>
        <w:tc>
          <w:tcPr>
            <w:tcW w:w="1692" w:type="dxa"/>
            <w:tcBorders>
              <w:top w:val="single" w:color="auto" w:sz="4" w:space="0"/>
              <w:left w:val="single" w:color="auto" w:sz="4" w:space="0"/>
              <w:bottom w:val="single" w:color="auto" w:sz="4" w:space="0"/>
              <w:right w:val="single" w:color="auto" w:sz="4" w:space="0"/>
            </w:tcBorders>
            <w:vAlign w:val="center"/>
          </w:tcPr>
          <w:p w14:paraId="74DEB21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500≤Y＜1000</w:t>
            </w:r>
          </w:p>
        </w:tc>
        <w:tc>
          <w:tcPr>
            <w:tcW w:w="1087" w:type="dxa"/>
            <w:tcBorders>
              <w:top w:val="single" w:color="auto" w:sz="4" w:space="0"/>
              <w:left w:val="single" w:color="auto" w:sz="4" w:space="0"/>
              <w:bottom w:val="single" w:color="auto" w:sz="4" w:space="0"/>
              <w:right w:val="single" w:color="auto" w:sz="4" w:space="0"/>
            </w:tcBorders>
            <w:vAlign w:val="center"/>
          </w:tcPr>
          <w:p w14:paraId="508632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Y＜500</w:t>
            </w:r>
          </w:p>
        </w:tc>
      </w:tr>
      <w:tr w14:paraId="1B104B7B">
        <w:tblPrEx>
          <w:tblCellMar>
            <w:top w:w="0" w:type="dxa"/>
            <w:left w:w="108" w:type="dxa"/>
            <w:bottom w:w="0" w:type="dxa"/>
            <w:right w:w="108" w:type="dxa"/>
          </w:tblCellMar>
        </w:tblPrEx>
        <w:trPr>
          <w:trHeight w:val="242"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242F2F3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租赁和商务服务业</w:t>
            </w:r>
          </w:p>
        </w:tc>
        <w:tc>
          <w:tcPr>
            <w:tcW w:w="1660" w:type="dxa"/>
            <w:tcBorders>
              <w:top w:val="single" w:color="auto" w:sz="4" w:space="0"/>
              <w:left w:val="nil"/>
              <w:bottom w:val="single" w:color="auto" w:sz="4" w:space="0"/>
              <w:right w:val="single" w:color="auto" w:sz="4" w:space="0"/>
            </w:tcBorders>
            <w:vAlign w:val="center"/>
          </w:tcPr>
          <w:p w14:paraId="1783CB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single" w:color="auto" w:sz="4" w:space="0"/>
              <w:left w:val="nil"/>
              <w:bottom w:val="single" w:color="auto" w:sz="4" w:space="0"/>
              <w:right w:val="single" w:color="auto" w:sz="4" w:space="0"/>
            </w:tcBorders>
            <w:vAlign w:val="center"/>
          </w:tcPr>
          <w:p w14:paraId="01F9A82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single" w:color="auto" w:sz="4" w:space="0"/>
              <w:left w:val="nil"/>
              <w:bottom w:val="single" w:color="auto" w:sz="4" w:space="0"/>
              <w:right w:val="single" w:color="auto" w:sz="4" w:space="0"/>
            </w:tcBorders>
            <w:vAlign w:val="center"/>
          </w:tcPr>
          <w:p w14:paraId="775218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single" w:color="auto" w:sz="4" w:space="0"/>
              <w:left w:val="nil"/>
              <w:bottom w:val="single" w:color="auto" w:sz="4" w:space="0"/>
              <w:right w:val="single" w:color="auto" w:sz="4" w:space="0"/>
            </w:tcBorders>
            <w:vAlign w:val="center"/>
          </w:tcPr>
          <w:p w14:paraId="580FD96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single" w:color="auto" w:sz="4" w:space="0"/>
              <w:left w:val="nil"/>
              <w:bottom w:val="single" w:color="auto" w:sz="4" w:space="0"/>
              <w:right w:val="single" w:color="auto" w:sz="4" w:space="0"/>
            </w:tcBorders>
            <w:vAlign w:val="center"/>
          </w:tcPr>
          <w:p w14:paraId="3F17B3C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r w14:paraId="35A337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5B0747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605BDB1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5682E96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5D3B7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8000≤Z＜120000</w:t>
            </w:r>
          </w:p>
        </w:tc>
        <w:tc>
          <w:tcPr>
            <w:tcW w:w="1692" w:type="dxa"/>
            <w:tcBorders>
              <w:top w:val="nil"/>
              <w:left w:val="nil"/>
              <w:bottom w:val="single" w:color="auto" w:sz="4" w:space="0"/>
              <w:right w:val="single" w:color="auto" w:sz="4" w:space="0"/>
            </w:tcBorders>
            <w:vAlign w:val="center"/>
          </w:tcPr>
          <w:p w14:paraId="72A254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100≤Z＜8000</w:t>
            </w:r>
          </w:p>
        </w:tc>
        <w:tc>
          <w:tcPr>
            <w:tcW w:w="1087" w:type="dxa"/>
            <w:tcBorders>
              <w:top w:val="nil"/>
              <w:left w:val="nil"/>
              <w:bottom w:val="single" w:color="auto" w:sz="4" w:space="0"/>
              <w:right w:val="single" w:color="auto" w:sz="4" w:space="0"/>
            </w:tcBorders>
            <w:vAlign w:val="center"/>
          </w:tcPr>
          <w:p w14:paraId="6075571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Y＜100</w:t>
            </w:r>
          </w:p>
        </w:tc>
      </w:tr>
      <w:tr w14:paraId="53762EDA">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D7D218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其他未列明行业</w:t>
            </w:r>
          </w:p>
        </w:tc>
        <w:tc>
          <w:tcPr>
            <w:tcW w:w="1660" w:type="dxa"/>
            <w:tcBorders>
              <w:top w:val="nil"/>
              <w:left w:val="nil"/>
              <w:bottom w:val="single" w:color="auto" w:sz="4" w:space="0"/>
              <w:right w:val="single" w:color="auto" w:sz="4" w:space="0"/>
            </w:tcBorders>
            <w:vAlign w:val="center"/>
          </w:tcPr>
          <w:p w14:paraId="31B4B9D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7CDD1F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649A99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71AEF5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765D8DC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bl>
    <w:p w14:paraId="34A1D3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b/>
          <w:color w:val="000000"/>
          <w:sz w:val="24"/>
          <w:szCs w:val="24"/>
          <w:highlight w:val="none"/>
        </w:rPr>
      </w:pPr>
    </w:p>
    <w:p w14:paraId="6CCF11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说明：</w:t>
      </w:r>
      <w:r>
        <w:rPr>
          <w:rFonts w:hint="eastAsia" w:ascii="仿宋" w:hAnsi="仿宋" w:eastAsia="仿宋" w:cs="仿宋"/>
          <w:color w:val="000000"/>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A0D84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所称中小企业，是指在中华人民共和国境内依法设立，依据国务院批准的</w:t>
      </w:r>
    </w:p>
    <w:p w14:paraId="1659C40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规定的中小企业扶持政策：</w:t>
      </w:r>
    </w:p>
    <w:p w14:paraId="1169F65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695B24F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（2）在工程采购项目中，工程由中小企业承建，即工程施工单位为中小企业，不对其中涉及的货物的制造商和服务的承接商作出要求；</w:t>
      </w:r>
    </w:p>
    <w:p w14:paraId="50EB93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7D4CFF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在货物采购项目中，供应商提供的货物既有中小企业制造货物，也有大型企业制造货物的，不享受本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0FFB6669">
      <w:pPr>
        <w:pStyle w:val="5"/>
        <w:keepNext/>
        <w:keepLines/>
        <w:widowControl w:val="0"/>
        <w:numPr>
          <w:ilvl w:val="0"/>
          <w:numId w:val="0"/>
        </w:numPr>
        <w:autoSpaceDE w:val="0"/>
        <w:autoSpaceDN w:val="0"/>
        <w:adjustRightInd w:val="0"/>
        <w:spacing w:before="360" w:after="120"/>
        <w:jc w:val="left"/>
        <w:outlineLvl w:val="2"/>
        <w:rPr>
          <w:rFonts w:hint="eastAsia" w:ascii="仿宋" w:hAnsi="仿宋" w:eastAsia="仿宋" w:cs="仿宋"/>
          <w:color w:val="000000"/>
          <w:lang w:val="en-US" w:eastAsia="zh-CN"/>
        </w:rPr>
        <w:sectPr>
          <w:pgSz w:w="11906" w:h="16838"/>
          <w:pgMar w:top="1440" w:right="1797" w:bottom="1440" w:left="1797" w:header="851" w:footer="992" w:gutter="0"/>
          <w:cols w:space="720" w:num="1"/>
          <w:docGrid w:type="linesAndChars" w:linePitch="312" w:charSpace="0"/>
        </w:sectPr>
      </w:pPr>
      <w:bookmarkStart w:id="455" w:name="_Toc10378"/>
      <w:bookmarkStart w:id="456" w:name="_Toc1841"/>
      <w:bookmarkStart w:id="457" w:name="_Toc28463"/>
      <w:bookmarkStart w:id="458" w:name="_Toc14415"/>
      <w:bookmarkStart w:id="459" w:name="_Toc26449"/>
      <w:bookmarkStart w:id="460" w:name="_Toc13109"/>
      <w:r>
        <w:rPr>
          <w:rFonts w:hint="eastAsia" w:ascii="仿宋" w:hAnsi="仿宋" w:eastAsia="仿宋" w:cs="仿宋"/>
          <w:color w:val="000000"/>
          <w:sz w:val="24"/>
          <w:szCs w:val="24"/>
          <w:highlight w:val="none"/>
        </w:rPr>
        <w:t>依据本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规定享受扶持政策获得政府采购合同的，小微企业不得将合同分包给大中型企业，中型企业不得将合同分包给大型企业。</w:t>
      </w:r>
      <w:bookmarkEnd w:id="455"/>
      <w:bookmarkEnd w:id="456"/>
      <w:bookmarkEnd w:id="457"/>
      <w:bookmarkEnd w:id="458"/>
      <w:bookmarkEnd w:id="459"/>
      <w:bookmarkEnd w:id="460"/>
    </w:p>
    <w:p w14:paraId="3960732B">
      <w:pPr>
        <w:pStyle w:val="4"/>
        <w:spacing w:before="0" w:line="240" w:lineRule="atLeast"/>
        <w:jc w:val="both"/>
        <w:rPr>
          <w:rFonts w:hint="eastAsia" w:ascii="仿宋" w:hAnsi="仿宋" w:eastAsia="仿宋" w:cs="仿宋"/>
          <w:color w:val="000000"/>
          <w:sz w:val="24"/>
          <w:highlight w:val="none"/>
          <w:lang w:val="en-US" w:eastAsia="zh-CN"/>
        </w:rPr>
      </w:pPr>
    </w:p>
    <w:p w14:paraId="3BE4114C">
      <w:pPr>
        <w:pStyle w:val="4"/>
        <w:spacing w:before="0" w:line="240" w:lineRule="atLeast"/>
        <w:jc w:val="center"/>
        <w:rPr>
          <w:rFonts w:hint="eastAsia" w:ascii="仿宋" w:hAnsi="仿宋" w:eastAsia="仿宋" w:cs="仿宋"/>
          <w:color w:val="000000"/>
          <w:sz w:val="24"/>
          <w:highlight w:val="none"/>
        </w:rPr>
      </w:pPr>
      <w:bookmarkStart w:id="461" w:name="_Toc18907"/>
      <w:bookmarkStart w:id="462" w:name="_Toc6766"/>
      <w:bookmarkStart w:id="463" w:name="_Toc22871"/>
      <w:bookmarkStart w:id="464" w:name="_Toc12547"/>
      <w:r>
        <w:rPr>
          <w:rFonts w:hint="eastAsia" w:ascii="仿宋" w:hAnsi="仿宋" w:eastAsia="仿宋" w:cs="仿宋"/>
          <w:color w:val="000000"/>
          <w:sz w:val="24"/>
          <w:highlight w:val="none"/>
          <w:lang w:val="en-US" w:eastAsia="zh-CN"/>
        </w:rPr>
        <w:t xml:space="preserve">6-2 </w:t>
      </w:r>
      <w:r>
        <w:rPr>
          <w:rFonts w:hint="eastAsia" w:ascii="仿宋" w:hAnsi="仿宋" w:eastAsia="仿宋" w:cs="仿宋"/>
          <w:color w:val="000000"/>
          <w:sz w:val="24"/>
          <w:highlight w:val="none"/>
        </w:rPr>
        <w:t>残疾人福利性单位声明函（投标文件格式十三）</w:t>
      </w:r>
      <w:bookmarkEnd w:id="446"/>
      <w:bookmarkEnd w:id="447"/>
      <w:bookmarkEnd w:id="448"/>
      <w:bookmarkEnd w:id="449"/>
      <w:bookmarkEnd w:id="461"/>
      <w:bookmarkEnd w:id="462"/>
      <w:bookmarkEnd w:id="463"/>
      <w:bookmarkEnd w:id="464"/>
    </w:p>
    <w:bookmarkEnd w:id="450"/>
    <w:bookmarkEnd w:id="451"/>
    <w:p w14:paraId="0D84B2BC">
      <w:pPr>
        <w:spacing w:line="240" w:lineRule="atLeast"/>
        <w:ind w:left="1080" w:leftChars="257" w:hanging="540"/>
        <w:jc w:val="center"/>
        <w:rPr>
          <w:rFonts w:hint="eastAsia" w:ascii="仿宋" w:hAnsi="仿宋" w:eastAsia="仿宋" w:cs="仿宋"/>
          <w:color w:val="000000"/>
          <w:kern w:val="0"/>
          <w:sz w:val="24"/>
          <w:szCs w:val="20"/>
          <w:highlight w:val="none"/>
        </w:rPr>
      </w:pPr>
    </w:p>
    <w:p w14:paraId="7FC60945">
      <w:pPr>
        <w:spacing w:line="240" w:lineRule="atLeast"/>
        <w:ind w:firstLine="567"/>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1DD7332">
      <w:pPr>
        <w:spacing w:line="240" w:lineRule="atLeast"/>
        <w:ind w:left="1080" w:leftChars="257" w:hanging="540"/>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本单位对上述声明的真实性负责。如有虚假，将依法承担相应责任。</w:t>
      </w:r>
    </w:p>
    <w:p w14:paraId="04C1CEBF">
      <w:pPr>
        <w:spacing w:line="240" w:lineRule="atLeast"/>
        <w:ind w:left="1080" w:leftChars="257" w:hanging="540"/>
        <w:jc w:val="center"/>
        <w:rPr>
          <w:rFonts w:hint="eastAsia" w:ascii="仿宋" w:hAnsi="仿宋" w:eastAsia="仿宋" w:cs="仿宋"/>
          <w:color w:val="000000"/>
          <w:kern w:val="0"/>
          <w:sz w:val="24"/>
          <w:szCs w:val="20"/>
          <w:highlight w:val="none"/>
        </w:rPr>
      </w:pPr>
    </w:p>
    <w:p w14:paraId="433D4490">
      <w:pPr>
        <w:spacing w:line="240" w:lineRule="atLeast"/>
        <w:ind w:left="1080" w:leftChars="257" w:hanging="540"/>
        <w:jc w:val="center"/>
        <w:rPr>
          <w:rFonts w:hint="eastAsia" w:ascii="仿宋" w:hAnsi="仿宋" w:eastAsia="仿宋" w:cs="仿宋"/>
          <w:color w:val="000000"/>
          <w:kern w:val="0"/>
          <w:sz w:val="24"/>
          <w:szCs w:val="20"/>
          <w:highlight w:val="none"/>
        </w:rPr>
      </w:pPr>
    </w:p>
    <w:p w14:paraId="4A7BF3F0">
      <w:pPr>
        <w:spacing w:line="240" w:lineRule="atLeast"/>
        <w:ind w:left="1080" w:leftChars="257" w:hanging="540"/>
        <w:jc w:val="center"/>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 xml:space="preserve">              残疾人福利性单位名称（盖单位章）：______________</w:t>
      </w:r>
    </w:p>
    <w:p w14:paraId="0D50005B">
      <w:pPr>
        <w:spacing w:line="240" w:lineRule="atLeast"/>
        <w:ind w:left="1080" w:leftChars="257" w:hanging="540"/>
        <w:jc w:val="center"/>
        <w:rPr>
          <w:rFonts w:hint="eastAsia" w:ascii="仿宋" w:hAnsi="仿宋" w:eastAsia="仿宋" w:cs="仿宋"/>
          <w:b/>
          <w:color w:val="000000"/>
          <w:kern w:val="0"/>
          <w:sz w:val="24"/>
          <w:szCs w:val="20"/>
          <w:highlight w:val="none"/>
        </w:rPr>
      </w:pPr>
      <w:r>
        <w:rPr>
          <w:rFonts w:hint="eastAsia" w:ascii="仿宋" w:hAnsi="仿宋" w:eastAsia="仿宋" w:cs="仿宋"/>
          <w:color w:val="000000"/>
          <w:kern w:val="0"/>
          <w:sz w:val="24"/>
          <w:szCs w:val="20"/>
          <w:highlight w:val="none"/>
          <w:lang w:val="en-US" w:eastAsia="zh-CN"/>
        </w:rPr>
        <w:t xml:space="preserve">                                           </w:t>
      </w:r>
      <w:r>
        <w:rPr>
          <w:rFonts w:hint="eastAsia" w:ascii="仿宋" w:hAnsi="仿宋" w:eastAsia="仿宋" w:cs="仿宋"/>
          <w:color w:val="000000"/>
          <w:kern w:val="0"/>
          <w:sz w:val="24"/>
          <w:szCs w:val="20"/>
          <w:highlight w:val="none"/>
        </w:rPr>
        <w:t>日期：________________</w:t>
      </w:r>
    </w:p>
    <w:p w14:paraId="1DC4B95F">
      <w:pPr>
        <w:spacing w:line="240" w:lineRule="atLeast"/>
        <w:ind w:left="1080" w:leftChars="257" w:hanging="540"/>
        <w:jc w:val="center"/>
        <w:rPr>
          <w:rFonts w:hint="eastAsia" w:ascii="仿宋" w:hAnsi="仿宋" w:eastAsia="仿宋" w:cs="仿宋"/>
          <w:b/>
          <w:color w:val="000000"/>
          <w:kern w:val="0"/>
          <w:sz w:val="24"/>
          <w:szCs w:val="20"/>
          <w:highlight w:val="none"/>
        </w:rPr>
      </w:pPr>
    </w:p>
    <w:p w14:paraId="205CC8A6">
      <w:pPr>
        <w:spacing w:line="240" w:lineRule="atLeast"/>
        <w:ind w:left="1080" w:leftChars="257" w:hanging="540"/>
        <w:jc w:val="center"/>
        <w:rPr>
          <w:rFonts w:hint="eastAsia" w:ascii="仿宋" w:hAnsi="仿宋" w:eastAsia="仿宋" w:cs="仿宋"/>
          <w:b/>
          <w:color w:val="000000"/>
          <w:kern w:val="0"/>
          <w:sz w:val="24"/>
          <w:szCs w:val="20"/>
          <w:highlight w:val="none"/>
        </w:rPr>
      </w:pPr>
    </w:p>
    <w:p w14:paraId="03DA5D7B">
      <w:pPr>
        <w:pStyle w:val="4"/>
        <w:spacing w:before="0" w:line="240" w:lineRule="atLeast"/>
        <w:ind w:left="1080" w:leftChars="257" w:hanging="540"/>
        <w:rPr>
          <w:rFonts w:hint="eastAsia" w:ascii="仿宋" w:hAnsi="仿宋" w:eastAsia="仿宋" w:cs="仿宋"/>
          <w:color w:val="000000"/>
          <w:sz w:val="24"/>
          <w:highlight w:val="none"/>
        </w:rPr>
      </w:pPr>
    </w:p>
    <w:p w14:paraId="2C2B163A">
      <w:pPr>
        <w:pStyle w:val="4"/>
        <w:spacing w:before="0" w:line="240" w:lineRule="atLeast"/>
        <w:ind w:left="1080" w:leftChars="257" w:hanging="540"/>
        <w:rPr>
          <w:rFonts w:hint="eastAsia" w:ascii="仿宋" w:hAnsi="仿宋" w:eastAsia="仿宋" w:cs="仿宋"/>
          <w:color w:val="000000"/>
          <w:sz w:val="24"/>
          <w:highlight w:val="none"/>
        </w:rPr>
      </w:pPr>
    </w:p>
    <w:p w14:paraId="681C9AA4">
      <w:pPr>
        <w:pStyle w:val="4"/>
        <w:spacing w:before="0" w:line="240" w:lineRule="atLeast"/>
        <w:ind w:left="1080" w:leftChars="257" w:hanging="540"/>
        <w:rPr>
          <w:rFonts w:hint="eastAsia" w:ascii="仿宋" w:hAnsi="仿宋" w:eastAsia="仿宋" w:cs="仿宋"/>
          <w:color w:val="000000"/>
          <w:sz w:val="24"/>
          <w:highlight w:val="none"/>
        </w:rPr>
      </w:pPr>
    </w:p>
    <w:p w14:paraId="4BF82B19">
      <w:pPr>
        <w:pStyle w:val="4"/>
        <w:spacing w:before="0" w:line="240" w:lineRule="atLeast"/>
        <w:ind w:left="1080" w:leftChars="257" w:hanging="540"/>
        <w:rPr>
          <w:rFonts w:hint="eastAsia" w:ascii="仿宋" w:hAnsi="仿宋" w:eastAsia="仿宋" w:cs="仿宋"/>
          <w:color w:val="000000"/>
          <w:sz w:val="24"/>
          <w:highlight w:val="none"/>
        </w:rPr>
      </w:pPr>
    </w:p>
    <w:p w14:paraId="1DF6FDB9">
      <w:pPr>
        <w:pStyle w:val="4"/>
        <w:spacing w:before="0" w:line="240" w:lineRule="atLeast"/>
        <w:ind w:left="1080" w:leftChars="257" w:hanging="540"/>
        <w:rPr>
          <w:rFonts w:ascii="仿宋" w:hAnsi="仿宋" w:eastAsia="仿宋" w:cs="仿宋"/>
          <w:color w:val="000000"/>
          <w:sz w:val="24"/>
        </w:rPr>
      </w:pPr>
      <w:r>
        <w:rPr>
          <w:rFonts w:hint="eastAsia" w:ascii="仿宋" w:hAnsi="仿宋" w:eastAsia="仿宋" w:cs="仿宋"/>
          <w:color w:val="000000"/>
          <w:sz w:val="24"/>
          <w:highlight w:val="none"/>
        </w:rPr>
        <w:br w:type="page"/>
      </w:r>
    </w:p>
    <w:p w14:paraId="6A291317">
      <w:pPr>
        <w:pStyle w:val="4"/>
        <w:spacing w:before="0" w:line="240" w:lineRule="atLeast"/>
        <w:ind w:left="1080" w:leftChars="257" w:hanging="540"/>
        <w:rPr>
          <w:rFonts w:ascii="仿宋" w:hAnsi="仿宋" w:eastAsia="仿宋" w:cs="仿宋"/>
          <w:color w:val="000000"/>
          <w:sz w:val="24"/>
        </w:rPr>
      </w:pPr>
      <w:bookmarkStart w:id="465" w:name="_Toc4878"/>
      <w:bookmarkStart w:id="466" w:name="_Toc25944"/>
      <w:r>
        <w:rPr>
          <w:rFonts w:hint="eastAsia" w:ascii="仿宋" w:hAnsi="仿宋" w:eastAsia="仿宋" w:cs="仿宋"/>
          <w:color w:val="000000"/>
          <w:sz w:val="24"/>
          <w:lang w:val="en-US" w:eastAsia="zh-CN"/>
        </w:rPr>
        <w:t>7</w:t>
      </w:r>
      <w:r>
        <w:rPr>
          <w:rFonts w:hint="eastAsia" w:ascii="仿宋" w:hAnsi="仿宋" w:eastAsia="仿宋" w:cs="仿宋"/>
          <w:color w:val="000000"/>
          <w:sz w:val="24"/>
        </w:rPr>
        <w:t xml:space="preserve">   投标人关联单位的说明</w:t>
      </w:r>
      <w:bookmarkEnd w:id="452"/>
      <w:bookmarkEnd w:id="453"/>
      <w:bookmarkEnd w:id="454"/>
      <w:bookmarkEnd w:id="465"/>
      <w:bookmarkEnd w:id="466"/>
    </w:p>
    <w:p w14:paraId="719BEEF4">
      <w:pPr>
        <w:pStyle w:val="2"/>
        <w:jc w:val="center"/>
        <w:rPr>
          <w:rFonts w:ascii="仿宋" w:hAnsi="仿宋" w:eastAsia="仿宋" w:cs="仿宋"/>
          <w:color w:val="000000"/>
        </w:rPr>
      </w:pPr>
    </w:p>
    <w:p w14:paraId="4D9707E7">
      <w:pPr>
        <w:pStyle w:val="2"/>
        <w:ind w:firstLine="480" w:firstLineChars="200"/>
        <w:rPr>
          <w:rFonts w:ascii="仿宋" w:hAnsi="仿宋" w:eastAsia="仿宋" w:cs="仿宋"/>
          <w:color w:val="000000"/>
        </w:rPr>
      </w:pPr>
      <w:r>
        <w:rPr>
          <w:rFonts w:hint="eastAsia" w:ascii="仿宋" w:hAnsi="仿宋" w:eastAsia="仿宋" w:cs="仿宋"/>
          <w:color w:val="000000"/>
        </w:rPr>
        <w:t>说明：投标人应当如实披露与本单位存在下列关联关系的单位名称：</w:t>
      </w:r>
    </w:p>
    <w:p w14:paraId="63910594">
      <w:pPr>
        <w:pStyle w:val="2"/>
        <w:ind w:firstLine="480" w:firstLineChars="200"/>
        <w:rPr>
          <w:rFonts w:hint="eastAsia" w:ascii="仿宋" w:hAnsi="仿宋" w:eastAsia="仿宋" w:cs="仿宋"/>
          <w:color w:val="000000"/>
          <w:lang w:eastAsia="zh-CN"/>
        </w:rPr>
      </w:pPr>
      <w:r>
        <w:rPr>
          <w:rFonts w:hint="eastAsia" w:ascii="仿宋" w:hAnsi="仿宋" w:eastAsia="仿宋" w:cs="仿宋"/>
          <w:color w:val="000000"/>
        </w:rPr>
        <w:t>（1）与投标人单位负责人为同一人的其他单位；</w:t>
      </w:r>
    </w:p>
    <w:p w14:paraId="1844CC36">
      <w:pPr>
        <w:pStyle w:val="2"/>
        <w:ind w:firstLine="480" w:firstLineChars="200"/>
        <w:rPr>
          <w:rFonts w:hint="eastAsia" w:ascii="仿宋" w:hAnsi="仿宋" w:eastAsia="仿宋" w:cs="仿宋"/>
          <w:color w:val="000000"/>
        </w:rPr>
      </w:pPr>
      <w:r>
        <w:rPr>
          <w:rFonts w:hint="eastAsia" w:ascii="仿宋" w:hAnsi="仿宋" w:eastAsia="仿宋" w:cs="仿宋"/>
          <w:color w:val="000000"/>
        </w:rPr>
        <w:t>（2）与投标人存在直接控股、管理关系的其他单位。</w:t>
      </w:r>
    </w:p>
    <w:p w14:paraId="514458D9">
      <w:pPr>
        <w:pStyle w:val="2"/>
        <w:ind w:firstLine="480" w:firstLineChars="200"/>
        <w:rPr>
          <w:rFonts w:hint="eastAsia" w:ascii="仿宋" w:hAnsi="仿宋" w:eastAsia="仿宋" w:cs="仿宋"/>
          <w:color w:val="000000"/>
        </w:rPr>
      </w:pPr>
    </w:p>
    <w:p w14:paraId="31D4783C">
      <w:pPr>
        <w:pStyle w:val="2"/>
        <w:ind w:firstLine="480" w:firstLineChars="200"/>
        <w:rPr>
          <w:rFonts w:hint="eastAsia" w:ascii="仿宋" w:hAnsi="仿宋" w:eastAsia="仿宋" w:cs="仿宋"/>
          <w:color w:val="000000"/>
        </w:rPr>
      </w:pPr>
    </w:p>
    <w:p w14:paraId="73DEEBC2">
      <w:pPr>
        <w:pStyle w:val="2"/>
        <w:ind w:firstLine="480" w:firstLineChars="200"/>
        <w:rPr>
          <w:rFonts w:hint="eastAsia" w:ascii="仿宋" w:hAnsi="仿宋" w:eastAsia="仿宋" w:cs="仿宋"/>
          <w:color w:val="000000"/>
          <w:lang w:eastAsia="zh-CN"/>
        </w:rPr>
      </w:pPr>
      <w:r>
        <w:rPr>
          <w:rFonts w:hint="eastAsia" w:ascii="仿宋" w:hAnsi="仿宋" w:eastAsia="仿宋" w:cs="仿宋"/>
          <w:color w:val="000000"/>
        </w:rPr>
        <w:t>注：若无此情形，写“无”即可</w:t>
      </w:r>
      <w:r>
        <w:rPr>
          <w:rFonts w:hint="eastAsia" w:ascii="仿宋" w:hAnsi="仿宋" w:eastAsia="仿宋" w:cs="仿宋"/>
          <w:color w:val="000000"/>
          <w:lang w:eastAsia="zh-CN"/>
        </w:rPr>
        <w:t>。</w:t>
      </w:r>
    </w:p>
    <w:p w14:paraId="2CFD7758">
      <w:pPr>
        <w:pStyle w:val="2"/>
        <w:ind w:firstLine="0"/>
        <w:rPr>
          <w:rFonts w:ascii="仿宋" w:hAnsi="仿宋" w:eastAsia="仿宋" w:cs="仿宋"/>
          <w:color w:val="000000"/>
        </w:rPr>
      </w:pPr>
      <w:bookmarkStart w:id="467" w:name="_Toc17333"/>
      <w:bookmarkStart w:id="468" w:name="_Toc7414"/>
      <w:bookmarkStart w:id="469" w:name="_Toc515647828"/>
    </w:p>
    <w:p w14:paraId="1A6405D1">
      <w:pPr>
        <w:pStyle w:val="2"/>
        <w:ind w:firstLine="0"/>
        <w:rPr>
          <w:rFonts w:ascii="仿宋" w:hAnsi="仿宋" w:eastAsia="仿宋" w:cs="仿宋"/>
          <w:color w:val="000000"/>
        </w:rPr>
      </w:pPr>
    </w:p>
    <w:p w14:paraId="73962709">
      <w:pPr>
        <w:pStyle w:val="2"/>
        <w:ind w:firstLine="0"/>
        <w:rPr>
          <w:rFonts w:ascii="仿宋" w:hAnsi="仿宋" w:eastAsia="仿宋" w:cs="仿宋"/>
          <w:color w:val="000000"/>
        </w:rPr>
      </w:pPr>
    </w:p>
    <w:p w14:paraId="56DB3A9B">
      <w:pPr>
        <w:pStyle w:val="2"/>
        <w:ind w:firstLine="0"/>
        <w:rPr>
          <w:rFonts w:ascii="仿宋" w:hAnsi="仿宋" w:eastAsia="仿宋" w:cs="仿宋"/>
          <w:color w:val="000000"/>
        </w:rPr>
      </w:pPr>
    </w:p>
    <w:p w14:paraId="7A7AAC88">
      <w:pPr>
        <w:pStyle w:val="2"/>
        <w:ind w:firstLine="0"/>
        <w:rPr>
          <w:rFonts w:ascii="仿宋" w:hAnsi="仿宋" w:eastAsia="仿宋" w:cs="仿宋"/>
          <w:color w:val="000000"/>
        </w:rPr>
      </w:pPr>
    </w:p>
    <w:p w14:paraId="6F5C8D82">
      <w:pPr>
        <w:pStyle w:val="2"/>
        <w:ind w:firstLine="0"/>
        <w:rPr>
          <w:rFonts w:ascii="仿宋" w:hAnsi="仿宋" w:eastAsia="仿宋" w:cs="仿宋"/>
          <w:color w:val="000000"/>
        </w:rPr>
      </w:pPr>
    </w:p>
    <w:p w14:paraId="2E511422">
      <w:pPr>
        <w:pStyle w:val="2"/>
        <w:ind w:firstLine="0"/>
        <w:rPr>
          <w:rFonts w:ascii="仿宋" w:hAnsi="仿宋" w:eastAsia="仿宋" w:cs="仿宋"/>
          <w:color w:val="000000"/>
        </w:rPr>
      </w:pPr>
    </w:p>
    <w:p w14:paraId="2B32CC26">
      <w:pPr>
        <w:pStyle w:val="4"/>
        <w:spacing w:before="0" w:line="240" w:lineRule="atLeast"/>
        <w:ind w:left="1080" w:leftChars="257" w:hanging="540"/>
        <w:rPr>
          <w:rFonts w:hint="eastAsia" w:ascii="仿宋" w:hAnsi="仿宋" w:eastAsia="仿宋" w:cs="仿宋"/>
          <w:color w:val="000000"/>
          <w:sz w:val="24"/>
        </w:rPr>
      </w:pPr>
      <w:bookmarkStart w:id="470" w:name="_Toc8584"/>
      <w:bookmarkStart w:id="471" w:name="_Toc17484"/>
      <w:r>
        <w:rPr>
          <w:rFonts w:hint="eastAsia" w:ascii="仿宋" w:hAnsi="仿宋" w:eastAsia="仿宋" w:cs="仿宋"/>
          <w:color w:val="000000"/>
          <w:sz w:val="24"/>
          <w:lang w:val="en-US" w:eastAsia="zh-CN"/>
        </w:rPr>
        <w:t>8</w:t>
      </w:r>
      <w:r>
        <w:rPr>
          <w:rFonts w:hint="eastAsia" w:ascii="仿宋" w:hAnsi="仿宋" w:eastAsia="仿宋" w:cs="仿宋"/>
          <w:color w:val="000000"/>
          <w:sz w:val="24"/>
        </w:rPr>
        <w:t xml:space="preserve">   </w:t>
      </w:r>
      <w:bookmarkEnd w:id="467"/>
      <w:bookmarkEnd w:id="468"/>
      <w:bookmarkEnd w:id="469"/>
      <w:bookmarkEnd w:id="470"/>
      <w:r>
        <w:rPr>
          <w:rFonts w:hint="eastAsia" w:ascii="仿宋" w:hAnsi="仿宋" w:eastAsia="仿宋" w:cs="仿宋"/>
          <w:color w:val="000000"/>
          <w:sz w:val="24"/>
        </w:rPr>
        <w:t>其他有利于投标人的资料</w:t>
      </w:r>
      <w:bookmarkEnd w:id="471"/>
    </w:p>
    <w:p w14:paraId="7587DC66">
      <w:pPr>
        <w:pStyle w:val="2"/>
        <w:rPr>
          <w:color w:val="000000"/>
        </w:rPr>
      </w:pPr>
    </w:p>
    <w:p w14:paraId="7CDDDF22">
      <w:pPr>
        <w:pStyle w:val="2"/>
        <w:ind w:firstLine="480" w:firstLineChars="200"/>
        <w:rPr>
          <w:rFonts w:hint="eastAsia" w:ascii="仿宋" w:hAnsi="仿宋" w:eastAsia="仿宋" w:cs="仿宋"/>
          <w:color w:val="000000"/>
          <w:lang w:eastAsia="zh-CN"/>
        </w:rPr>
      </w:pPr>
      <w:r>
        <w:rPr>
          <w:rFonts w:hint="eastAsia" w:ascii="仿宋" w:hAnsi="仿宋" w:eastAsia="仿宋" w:cs="仿宋"/>
          <w:color w:val="000000"/>
          <w:lang w:eastAsia="zh-CN"/>
        </w:rPr>
        <w:t>注：参照“第六章评分方法和标准”，提供有利于投标人的其他资料。</w:t>
      </w:r>
    </w:p>
    <w:p w14:paraId="3464455B">
      <w:pPr>
        <w:pStyle w:val="2"/>
        <w:rPr>
          <w:rFonts w:ascii="仿宋" w:hAnsi="仿宋" w:eastAsia="仿宋" w:cs="仿宋"/>
          <w:color w:val="000000"/>
        </w:rPr>
      </w:pPr>
    </w:p>
    <w:p w14:paraId="1E2424D0">
      <w:pPr>
        <w:rPr>
          <w:rFonts w:hint="eastAsia" w:hAnsi="宋体" w:cs="宋体"/>
          <w:b/>
          <w:bCs/>
          <w:color w:val="000000"/>
          <w:sz w:val="36"/>
          <w:szCs w:val="36"/>
          <w:lang w:eastAsia="zh-CN"/>
        </w:rPr>
      </w:pPr>
      <w:r>
        <w:rPr>
          <w:rFonts w:hint="eastAsia" w:hAnsi="宋体" w:cs="宋体"/>
          <w:b/>
          <w:bCs/>
          <w:color w:val="000000"/>
          <w:sz w:val="36"/>
          <w:szCs w:val="36"/>
          <w:lang w:eastAsia="zh-CN"/>
        </w:rPr>
        <w:br w:type="page"/>
      </w:r>
    </w:p>
    <w:p w14:paraId="01D1C3BB">
      <w:pPr>
        <w:pStyle w:val="2"/>
        <w:ind w:firstLine="0"/>
        <w:jc w:val="center"/>
        <w:rPr>
          <w:rFonts w:hint="eastAsia" w:hAnsi="宋体" w:cs="宋体"/>
          <w:b/>
          <w:bCs/>
          <w:color w:val="000000"/>
          <w:sz w:val="36"/>
          <w:szCs w:val="36"/>
          <w:lang w:eastAsia="zh-CN"/>
        </w:rPr>
      </w:pPr>
    </w:p>
    <w:p w14:paraId="015A053C">
      <w:pPr>
        <w:pStyle w:val="2"/>
        <w:ind w:firstLine="0"/>
        <w:jc w:val="center"/>
        <w:rPr>
          <w:rFonts w:hint="eastAsia" w:hAnsi="宋体" w:cs="宋体"/>
          <w:b/>
          <w:bCs/>
          <w:color w:val="000000"/>
          <w:sz w:val="36"/>
          <w:szCs w:val="36"/>
          <w:lang w:eastAsia="zh-CN"/>
        </w:rPr>
      </w:pPr>
    </w:p>
    <w:p w14:paraId="50D4F7AD">
      <w:pPr>
        <w:pStyle w:val="2"/>
        <w:ind w:firstLine="0"/>
        <w:jc w:val="center"/>
        <w:rPr>
          <w:rFonts w:hint="eastAsia" w:hAnsi="宋体" w:eastAsia="宋体" w:cs="宋体"/>
          <w:b/>
          <w:bCs/>
          <w:color w:val="000000"/>
          <w:sz w:val="36"/>
          <w:szCs w:val="36"/>
          <w:lang w:eastAsia="zh-CN"/>
        </w:rPr>
      </w:pPr>
      <w:r>
        <w:rPr>
          <w:rFonts w:hint="eastAsia" w:hAnsi="宋体" w:cs="宋体"/>
          <w:b/>
          <w:bCs/>
          <w:color w:val="000000"/>
          <w:sz w:val="36"/>
          <w:szCs w:val="36"/>
          <w:lang w:eastAsia="zh-CN"/>
        </w:rPr>
        <w:t>移动执法系统运维服务项目(二次）</w:t>
      </w:r>
    </w:p>
    <w:p w14:paraId="7E484B6F">
      <w:pPr>
        <w:pStyle w:val="2"/>
        <w:jc w:val="center"/>
        <w:rPr>
          <w:color w:val="000000"/>
        </w:rPr>
      </w:pPr>
    </w:p>
    <w:p w14:paraId="5D20FF40">
      <w:pPr>
        <w:jc w:val="center"/>
        <w:rPr>
          <w:color w:val="000000"/>
        </w:rPr>
      </w:pPr>
    </w:p>
    <w:p w14:paraId="2C38A9DE">
      <w:pPr>
        <w:pStyle w:val="27"/>
        <w:jc w:val="center"/>
        <w:rPr>
          <w:color w:val="000000"/>
        </w:rPr>
      </w:pPr>
    </w:p>
    <w:p w14:paraId="7707F109">
      <w:pPr>
        <w:pStyle w:val="27"/>
        <w:jc w:val="center"/>
        <w:rPr>
          <w:color w:val="000000"/>
        </w:rPr>
      </w:pPr>
    </w:p>
    <w:p w14:paraId="644A068D">
      <w:pPr>
        <w:pStyle w:val="27"/>
        <w:jc w:val="center"/>
        <w:rPr>
          <w:color w:val="000000"/>
        </w:rPr>
      </w:pPr>
    </w:p>
    <w:p w14:paraId="60C0A818">
      <w:pPr>
        <w:pStyle w:val="27"/>
        <w:jc w:val="center"/>
        <w:rPr>
          <w:color w:val="000000"/>
        </w:rPr>
      </w:pPr>
    </w:p>
    <w:p w14:paraId="05A7CDF2">
      <w:pPr>
        <w:pStyle w:val="27"/>
        <w:jc w:val="center"/>
        <w:rPr>
          <w:color w:val="000000"/>
        </w:rPr>
      </w:pPr>
    </w:p>
    <w:p w14:paraId="735FD4FB">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招标文件</w:t>
      </w:r>
    </w:p>
    <w:p w14:paraId="39E8394D">
      <w:pPr>
        <w:spacing w:line="240" w:lineRule="atLeast"/>
        <w:ind w:firstLine="1506" w:firstLineChars="500"/>
        <w:rPr>
          <w:rFonts w:ascii="仿宋" w:hAnsi="仿宋" w:eastAsia="仿宋" w:cs="仿宋"/>
          <w:b/>
          <w:color w:val="000000"/>
          <w:sz w:val="30"/>
          <w:szCs w:val="30"/>
        </w:rPr>
      </w:pPr>
    </w:p>
    <w:p w14:paraId="1251E621">
      <w:pPr>
        <w:spacing w:line="240" w:lineRule="atLeast"/>
        <w:ind w:firstLine="1606" w:firstLineChars="500"/>
        <w:jc w:val="left"/>
        <w:rPr>
          <w:rFonts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XJFZYCG(GK)-2026-04-1</w:t>
      </w:r>
      <w:r>
        <w:rPr>
          <w:rFonts w:hint="eastAsia" w:ascii="仿宋" w:hAnsi="仿宋" w:eastAsia="仿宋" w:cs="仿宋"/>
          <w:b/>
          <w:color w:val="000000"/>
          <w:sz w:val="32"/>
          <w:szCs w:val="32"/>
        </w:rPr>
        <w:t>）</w:t>
      </w:r>
    </w:p>
    <w:p w14:paraId="2C2733FE">
      <w:pPr>
        <w:spacing w:line="240" w:lineRule="atLeast"/>
        <w:rPr>
          <w:rFonts w:ascii="仿宋" w:hAnsi="仿宋" w:eastAsia="仿宋" w:cs="仿宋"/>
          <w:b/>
          <w:color w:val="000000"/>
          <w:sz w:val="28"/>
        </w:rPr>
      </w:pPr>
    </w:p>
    <w:p w14:paraId="3A0FF855">
      <w:pPr>
        <w:pStyle w:val="2"/>
        <w:rPr>
          <w:rFonts w:ascii="仿宋" w:hAnsi="仿宋" w:eastAsia="仿宋" w:cs="仿宋"/>
          <w:b/>
          <w:color w:val="000000"/>
          <w:sz w:val="52"/>
          <w:szCs w:val="52"/>
        </w:rPr>
      </w:pPr>
    </w:p>
    <w:p w14:paraId="617E01A6">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第二册</w:t>
      </w:r>
    </w:p>
    <w:p w14:paraId="606C826A">
      <w:pPr>
        <w:spacing w:line="240" w:lineRule="atLeast"/>
        <w:ind w:left="1080" w:leftChars="257" w:hanging="540"/>
        <w:rPr>
          <w:rFonts w:ascii="仿宋" w:hAnsi="仿宋" w:eastAsia="仿宋" w:cs="仿宋"/>
          <w:b/>
          <w:color w:val="000000"/>
          <w:sz w:val="28"/>
        </w:rPr>
      </w:pPr>
    </w:p>
    <w:p w14:paraId="1330BCD5">
      <w:pPr>
        <w:rPr>
          <w:rFonts w:hint="eastAsia" w:ascii="仿宋_GB2312" w:hAnsi="Times New Roman" w:eastAsia="仿宋_GB2312" w:cs="Times New Roman"/>
          <w:b/>
          <w:color w:val="000000"/>
          <w:kern w:val="44"/>
          <w:sz w:val="32"/>
          <w:szCs w:val="20"/>
          <w:lang w:val="en-US" w:eastAsia="zh-CN" w:bidi="ar-SA"/>
        </w:rPr>
      </w:pPr>
      <w:bookmarkStart w:id="472" w:name="_Toc27138"/>
      <w:bookmarkStart w:id="473" w:name="_Toc515647830"/>
      <w:bookmarkStart w:id="474" w:name="_Toc512937850"/>
      <w:bookmarkStart w:id="475" w:name="_Toc16143"/>
      <w:bookmarkStart w:id="476" w:name="_Toc31583"/>
      <w:bookmarkStart w:id="477" w:name="_Toc216582823"/>
      <w:bookmarkStart w:id="478" w:name="_Toc507399903"/>
      <w:bookmarkStart w:id="479" w:name="_Toc10488"/>
      <w:r>
        <w:rPr>
          <w:rFonts w:hint="eastAsia" w:ascii="仿宋_GB2312" w:hAnsi="Times New Roman" w:eastAsia="仿宋_GB2312" w:cs="Times New Roman"/>
          <w:b/>
          <w:color w:val="000000"/>
          <w:kern w:val="44"/>
          <w:sz w:val="32"/>
          <w:szCs w:val="20"/>
          <w:lang w:val="en-US" w:eastAsia="zh-CN" w:bidi="ar-SA"/>
        </w:rPr>
        <w:br w:type="page"/>
      </w:r>
    </w:p>
    <w:bookmarkEnd w:id="472"/>
    <w:bookmarkEnd w:id="473"/>
    <w:bookmarkEnd w:id="474"/>
    <w:bookmarkEnd w:id="475"/>
    <w:bookmarkEnd w:id="476"/>
    <w:bookmarkEnd w:id="477"/>
    <w:bookmarkEnd w:id="478"/>
    <w:bookmarkEnd w:id="479"/>
    <w:p w14:paraId="5F25BE6A">
      <w:pPr>
        <w:pStyle w:val="3"/>
        <w:keepNext w:val="0"/>
        <w:keepLines w:val="0"/>
        <w:widowControl/>
        <w:autoSpaceDE/>
        <w:autoSpaceDN/>
        <w:adjustRightInd/>
        <w:spacing w:line="240" w:lineRule="auto"/>
        <w:rPr>
          <w:rFonts w:ascii="仿宋" w:hAnsi="仿宋" w:eastAsia="仿宋" w:cs="仿宋"/>
          <w:color w:val="000000"/>
          <w:sz w:val="36"/>
          <w:szCs w:val="36"/>
        </w:rPr>
      </w:pPr>
      <w:bookmarkStart w:id="480" w:name="_Toc25610"/>
      <w:bookmarkStart w:id="481" w:name="_Toc32173"/>
      <w:bookmarkStart w:id="1031" w:name="_GoBack"/>
      <w:bookmarkEnd w:id="1031"/>
      <w:r>
        <w:rPr>
          <w:rFonts w:hint="eastAsia" w:ascii="仿宋_GB2312" w:hAnsi="Times New Roman" w:eastAsia="仿宋_GB2312" w:cs="Times New Roman"/>
          <w:b/>
          <w:color w:val="000000"/>
          <w:kern w:val="44"/>
          <w:sz w:val="32"/>
          <w:szCs w:val="20"/>
          <w:lang w:val="en-US" w:eastAsia="zh-CN" w:bidi="ar-SA"/>
        </w:rPr>
        <w:t>第三章</w:t>
      </w:r>
      <w:r>
        <w:rPr>
          <w:rFonts w:hint="eastAsia" w:ascii="仿宋_GB2312" w:eastAsia="仿宋_GB2312" w:cs="Times New Roman"/>
          <w:b/>
          <w:color w:val="000000"/>
          <w:kern w:val="44"/>
          <w:sz w:val="32"/>
          <w:szCs w:val="20"/>
          <w:lang w:val="en-US" w:eastAsia="zh-CN" w:bidi="ar-SA"/>
        </w:rPr>
        <w:t>、</w:t>
      </w:r>
      <w:r>
        <w:rPr>
          <w:rFonts w:hint="eastAsia" w:ascii="仿宋_GB2312" w:hAnsi="Times New Roman" w:eastAsia="仿宋_GB2312" w:cs="Times New Roman"/>
          <w:b/>
          <w:color w:val="000000"/>
          <w:kern w:val="44"/>
          <w:sz w:val="32"/>
          <w:szCs w:val="20"/>
          <w:lang w:val="en-US" w:eastAsia="zh-CN" w:bidi="ar-SA"/>
        </w:rPr>
        <w:t>公告</w:t>
      </w:r>
      <w:bookmarkEnd w:id="480"/>
    </w:p>
    <w:p w14:paraId="5342267C">
      <w:pPr>
        <w:bidi w:val="0"/>
        <w:jc w:val="center"/>
        <w:rPr>
          <w:rFonts w:hint="eastAsia"/>
          <w:sz w:val="32"/>
          <w:szCs w:val="32"/>
          <w:lang w:val="en-US" w:eastAsia="zh-CN"/>
        </w:rPr>
      </w:pPr>
      <w:bookmarkStart w:id="482" w:name="_Toc14276"/>
      <w:bookmarkStart w:id="483" w:name="OLE_LINK10"/>
      <w:bookmarkStart w:id="484" w:name="OLE_LINK9"/>
      <w:bookmarkStart w:id="485" w:name="OLE_LINK12"/>
      <w:bookmarkStart w:id="486" w:name="OLE_LINK16"/>
      <w:bookmarkStart w:id="487" w:name="OLE_LINK11"/>
      <w:r>
        <w:rPr>
          <w:rFonts w:hint="eastAsia"/>
          <w:sz w:val="32"/>
          <w:szCs w:val="32"/>
          <w:lang w:val="en-US" w:eastAsia="zh-CN"/>
        </w:rPr>
        <w:t>移动执法系统运维服务项目(二次）</w:t>
      </w:r>
    </w:p>
    <w:p w14:paraId="593C736D">
      <w:pPr>
        <w:bidi w:val="0"/>
        <w:jc w:val="center"/>
        <w:rPr>
          <w:rFonts w:hint="default"/>
          <w:color w:val="000000"/>
          <w:lang w:eastAsia="zh-CN"/>
        </w:rPr>
      </w:pPr>
      <w:r>
        <w:rPr>
          <w:rFonts w:hint="default"/>
          <w:sz w:val="32"/>
          <w:szCs w:val="32"/>
          <w:lang w:eastAsia="zh-CN"/>
        </w:rPr>
        <w:t>公开</w:t>
      </w:r>
      <w:bookmarkEnd w:id="482"/>
      <w:bookmarkStart w:id="488" w:name="_Toc6604"/>
      <w:r>
        <w:rPr>
          <w:rFonts w:hint="default"/>
          <w:sz w:val="32"/>
          <w:szCs w:val="32"/>
          <w:lang w:eastAsia="zh-CN"/>
        </w:rPr>
        <w:t>招标公告</w:t>
      </w:r>
      <w:bookmarkEnd w:id="483"/>
      <w:bookmarkEnd w:id="484"/>
      <w:bookmarkEnd w:id="485"/>
      <w:bookmarkEnd w:id="486"/>
      <w:bookmarkEnd w:id="487"/>
      <w:bookmarkEnd w:id="488"/>
    </w:p>
    <w:tbl>
      <w:tblPr>
        <w:tblStyle w:val="3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56AF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tcPr>
          <w:p w14:paraId="0F09BDB7">
            <w:pPr>
              <w:pStyle w:val="33"/>
              <w:keepNext w:val="0"/>
              <w:keepLines w:val="0"/>
              <w:widowControl w:val="0"/>
              <w:suppressLineNumbers w:val="0"/>
              <w:spacing w:before="75" w:beforeAutospacing="0" w:after="75" w:afterAutospacing="0" w:line="400" w:lineRule="exact"/>
              <w:ind w:left="0" w:right="0"/>
              <w:jc w:val="both"/>
              <w:rPr>
                <w:rFonts w:hint="default" w:ascii="仿宋" w:hAnsi="仿宋" w:eastAsia="仿宋" w:cs="仿宋"/>
                <w:color w:val="000000"/>
              </w:rPr>
            </w:pPr>
            <w:bookmarkStart w:id="489" w:name="_Toc7318"/>
            <w:r>
              <w:rPr>
                <w:rFonts w:hint="eastAsia" w:ascii="仿宋" w:hAnsi="仿宋" w:eastAsia="仿宋" w:cs="仿宋"/>
                <w:color w:val="000000"/>
              </w:rPr>
              <w:t>项目概况</w:t>
            </w:r>
          </w:p>
          <w:p w14:paraId="2E05AF04">
            <w:pPr>
              <w:pStyle w:val="33"/>
              <w:keepNext w:val="0"/>
              <w:keepLines w:val="0"/>
              <w:widowControl w:val="0"/>
              <w:suppressLineNumbers w:val="0"/>
              <w:spacing w:before="75" w:beforeAutospacing="0" w:after="75" w:afterAutospacing="0" w:line="420" w:lineRule="exact"/>
              <w:ind w:left="0" w:right="0" w:firstLine="420"/>
              <w:jc w:val="both"/>
              <w:rPr>
                <w:rFonts w:hint="default" w:ascii="仿宋" w:hAnsi="仿宋" w:eastAsia="仿宋" w:cs="仿宋"/>
                <w:color w:val="000000"/>
              </w:rPr>
            </w:pPr>
            <w:r>
              <w:rPr>
                <w:rFonts w:hint="eastAsia" w:ascii="仿宋" w:hAnsi="仿宋" w:eastAsia="仿宋" w:cs="仿宋"/>
                <w:color w:val="000000"/>
                <w:lang w:eastAsia="zh-CN"/>
              </w:rPr>
              <w:t>移动执法系统运维服务项目(二次）</w:t>
            </w:r>
            <w:r>
              <w:rPr>
                <w:rFonts w:hint="eastAsia" w:ascii="仿宋" w:hAnsi="仿宋" w:eastAsia="仿宋" w:cs="仿宋"/>
                <w:color w:val="000000"/>
              </w:rPr>
              <w:t>的潜在</w:t>
            </w:r>
            <w:r>
              <w:rPr>
                <w:rFonts w:hint="eastAsia" w:ascii="仿宋" w:hAnsi="仿宋" w:eastAsia="仿宋" w:cs="仿宋"/>
                <w:color w:val="000000"/>
                <w:lang w:eastAsia="zh-CN"/>
              </w:rPr>
              <w:t>投标人</w:t>
            </w:r>
            <w:r>
              <w:rPr>
                <w:rFonts w:hint="eastAsia" w:ascii="仿宋" w:hAnsi="仿宋" w:eastAsia="仿宋" w:cs="仿宋"/>
                <w:color w:val="000000"/>
              </w:rPr>
              <w:t>应在政采云平台线上获取招标文件，并于</w:t>
            </w:r>
            <w:r>
              <w:rPr>
                <w:rFonts w:hint="eastAsia" w:ascii="仿宋" w:hAnsi="仿宋" w:eastAsia="仿宋" w:cs="仿宋"/>
                <w:color w:val="000000"/>
                <w:u w:val="single"/>
                <w:lang w:eastAsia="zh-CN"/>
              </w:rPr>
              <w:t>2026年</w:t>
            </w:r>
            <w:r>
              <w:rPr>
                <w:rFonts w:hint="eastAsia" w:ascii="仿宋" w:hAnsi="仿宋" w:eastAsia="仿宋" w:cs="仿宋"/>
                <w:color w:val="000000"/>
                <w:u w:val="single"/>
                <w:lang w:val="en-US" w:eastAsia="zh-CN"/>
              </w:rPr>
              <w:t>05</w:t>
            </w:r>
            <w:r>
              <w:rPr>
                <w:rFonts w:hint="eastAsia" w:ascii="仿宋" w:hAnsi="仿宋" w:eastAsia="仿宋" w:cs="仿宋"/>
                <w:color w:val="000000"/>
                <w:u w:val="single"/>
                <w:lang w:eastAsia="zh-CN"/>
              </w:rPr>
              <w:t>月</w:t>
            </w:r>
            <w:r>
              <w:rPr>
                <w:rFonts w:hint="eastAsia" w:ascii="仿宋" w:hAnsi="仿宋" w:eastAsia="仿宋" w:cs="仿宋"/>
                <w:color w:val="000000"/>
                <w:u w:val="single"/>
                <w:lang w:val="en-US" w:eastAsia="zh-CN"/>
              </w:rPr>
              <w:t>08</w:t>
            </w:r>
            <w:r>
              <w:rPr>
                <w:rFonts w:hint="eastAsia" w:ascii="仿宋" w:hAnsi="仿宋" w:eastAsia="仿宋" w:cs="仿宋"/>
                <w:color w:val="000000"/>
                <w:u w:val="single"/>
                <w:lang w:eastAsia="zh-CN"/>
              </w:rPr>
              <w:t>日</w:t>
            </w:r>
            <w:r>
              <w:rPr>
                <w:rFonts w:hint="eastAsia" w:ascii="仿宋" w:hAnsi="仿宋" w:eastAsia="仿宋" w:cs="仿宋"/>
                <w:color w:val="000000"/>
                <w:u w:val="single"/>
              </w:rPr>
              <w:t>11：00</w:t>
            </w:r>
            <w:r>
              <w:rPr>
                <w:rFonts w:hint="eastAsia" w:ascii="仿宋" w:hAnsi="仿宋" w:eastAsia="仿宋" w:cs="仿宋"/>
                <w:color w:val="000000"/>
              </w:rPr>
              <w:t>分前递交</w:t>
            </w:r>
            <w:r>
              <w:rPr>
                <w:rFonts w:hint="eastAsia" w:ascii="仿宋" w:hAnsi="仿宋" w:eastAsia="仿宋" w:cs="仿宋"/>
                <w:color w:val="000000"/>
                <w:lang w:eastAsia="zh-CN"/>
              </w:rPr>
              <w:t>投标文件</w:t>
            </w:r>
            <w:r>
              <w:rPr>
                <w:rFonts w:hint="eastAsia" w:ascii="仿宋" w:hAnsi="仿宋" w:eastAsia="仿宋" w:cs="仿宋"/>
                <w:color w:val="000000"/>
              </w:rPr>
              <w:t>。</w:t>
            </w:r>
          </w:p>
        </w:tc>
      </w:tr>
    </w:tbl>
    <w:p w14:paraId="332D4F14">
      <w:pPr>
        <w:spacing w:line="400" w:lineRule="exact"/>
        <w:rPr>
          <w:rStyle w:val="39"/>
          <w:rFonts w:ascii="仿宋" w:hAnsi="仿宋" w:eastAsia="仿宋" w:cs="仿宋"/>
          <w:color w:val="000000"/>
          <w:kern w:val="0"/>
          <w:sz w:val="24"/>
        </w:rPr>
      </w:pPr>
      <w:r>
        <w:rPr>
          <w:rStyle w:val="39"/>
          <w:rFonts w:hint="eastAsia" w:ascii="仿宋" w:hAnsi="仿宋" w:eastAsia="仿宋" w:cs="仿宋"/>
          <w:color w:val="000000"/>
          <w:kern w:val="0"/>
          <w:sz w:val="24"/>
        </w:rPr>
        <w:t>一、项目基本情况</w:t>
      </w:r>
    </w:p>
    <w:p w14:paraId="5CB04E6A">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项目编号：</w:t>
      </w:r>
      <w:r>
        <w:rPr>
          <w:rFonts w:hint="eastAsia" w:ascii="仿宋" w:hAnsi="仿宋" w:eastAsia="仿宋" w:cs="仿宋"/>
          <w:color w:val="000000"/>
          <w:sz w:val="24"/>
          <w:lang w:eastAsia="zh-CN"/>
        </w:rPr>
        <w:t>XJFZYCG(GK)-2026-04-1</w:t>
      </w:r>
      <w:r>
        <w:rPr>
          <w:rFonts w:hint="eastAsia" w:ascii="仿宋" w:hAnsi="仿宋" w:eastAsia="仿宋" w:cs="仿宋"/>
          <w:color w:val="000000"/>
          <w:sz w:val="24"/>
        </w:rPr>
        <w:t xml:space="preserve"> </w:t>
      </w:r>
    </w:p>
    <w:p w14:paraId="536D68CF">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项目名称：</w:t>
      </w:r>
      <w:r>
        <w:rPr>
          <w:rFonts w:hint="eastAsia" w:ascii="仿宋" w:hAnsi="仿宋" w:eastAsia="仿宋" w:cs="仿宋"/>
          <w:color w:val="000000"/>
          <w:sz w:val="24"/>
          <w:lang w:eastAsia="zh-CN"/>
        </w:rPr>
        <w:t>移动执法系统运维服务项目(二次）</w:t>
      </w:r>
    </w:p>
    <w:p w14:paraId="00A17F6B">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采购方式：</w:t>
      </w:r>
      <w:r>
        <w:rPr>
          <w:rFonts w:hint="eastAsia" w:ascii="仿宋" w:hAnsi="仿宋" w:eastAsia="仿宋" w:cs="仿宋"/>
          <w:color w:val="000000"/>
          <w:sz w:val="24"/>
          <w:lang w:val="en-US" w:eastAsia="zh-CN"/>
        </w:rPr>
        <w:t>公开招标</w:t>
      </w:r>
    </w:p>
    <w:p w14:paraId="6111CAF5">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rPr>
        <w:t>预算金额（元）：</w:t>
      </w:r>
      <w:r>
        <w:rPr>
          <w:rFonts w:hint="eastAsia" w:ascii="仿宋" w:hAnsi="仿宋" w:eastAsia="仿宋" w:cs="仿宋"/>
          <w:b/>
          <w:bCs/>
          <w:color w:val="000000"/>
          <w:sz w:val="24"/>
          <w:lang w:val="en-US" w:eastAsia="zh-CN"/>
        </w:rPr>
        <w:t>1590000.00</w:t>
      </w:r>
    </w:p>
    <w:p w14:paraId="1DA7F7EB">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最高限价</w:t>
      </w:r>
      <w:r>
        <w:rPr>
          <w:rFonts w:hint="eastAsia" w:ascii="仿宋" w:hAnsi="仿宋" w:eastAsia="仿宋" w:cs="仿宋"/>
          <w:color w:val="000000"/>
          <w:sz w:val="24"/>
        </w:rPr>
        <w:t>（元）：</w:t>
      </w:r>
      <w:r>
        <w:rPr>
          <w:rFonts w:hint="eastAsia" w:ascii="仿宋" w:hAnsi="仿宋" w:eastAsia="仿宋" w:cs="仿宋"/>
          <w:b/>
          <w:bCs/>
          <w:color w:val="000000"/>
          <w:sz w:val="24"/>
          <w:lang w:val="en-US" w:eastAsia="zh-CN"/>
        </w:rPr>
        <w:t>1590000.00</w:t>
      </w:r>
    </w:p>
    <w:p w14:paraId="416F232B">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rPr>
        <w:t>采购需求：</w:t>
      </w:r>
    </w:p>
    <w:p w14:paraId="32A8A9A1">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标项</w:t>
      </w:r>
      <w:r>
        <w:rPr>
          <w:rFonts w:hint="eastAsia" w:ascii="仿宋" w:hAnsi="仿宋" w:eastAsia="仿宋" w:cs="仿宋"/>
          <w:color w:val="000000"/>
          <w:sz w:val="24"/>
        </w:rPr>
        <w:t>名称：</w:t>
      </w:r>
      <w:r>
        <w:rPr>
          <w:rFonts w:hint="eastAsia" w:ascii="仿宋" w:hAnsi="仿宋" w:eastAsia="仿宋" w:cs="仿宋"/>
          <w:color w:val="000000"/>
          <w:sz w:val="24"/>
          <w:lang w:eastAsia="zh-CN"/>
        </w:rPr>
        <w:t>移动执法系统运维服务项目(二次）</w:t>
      </w:r>
    </w:p>
    <w:p w14:paraId="18FC38F7">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数量：1</w:t>
      </w:r>
    </w:p>
    <w:p w14:paraId="6D51C61C">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最高限价（元）：</w:t>
      </w:r>
      <w:r>
        <w:rPr>
          <w:rFonts w:hint="eastAsia" w:ascii="仿宋" w:hAnsi="仿宋" w:eastAsia="仿宋" w:cs="仿宋"/>
          <w:b/>
          <w:bCs/>
          <w:color w:val="000000"/>
          <w:sz w:val="24"/>
          <w:lang w:val="en-US" w:eastAsia="zh-CN"/>
        </w:rPr>
        <w:t>1590000.00</w:t>
      </w:r>
    </w:p>
    <w:p w14:paraId="7CEAA83A">
      <w:pPr>
        <w:spacing w:line="400" w:lineRule="exact"/>
        <w:ind w:left="1759" w:leftChars="266" w:hanging="1200" w:hangingChars="500"/>
        <w:rPr>
          <w:rFonts w:hint="default"/>
          <w:color w:val="000000"/>
          <w:lang w:val="en-US"/>
        </w:rPr>
      </w:pPr>
      <w:r>
        <w:rPr>
          <w:rFonts w:hint="eastAsia" w:ascii="仿宋" w:hAnsi="仿宋" w:eastAsia="仿宋" w:cs="仿宋"/>
          <w:color w:val="000000"/>
          <w:sz w:val="24"/>
          <w:lang w:val="en-US" w:eastAsia="zh-CN"/>
        </w:rPr>
        <w:t>单位：批</w:t>
      </w:r>
    </w:p>
    <w:p w14:paraId="60F1831D">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简要规格描述或项目基本概况介绍、用途：本次运行维护服务内容主要包括四部分，分别是移动执法终端的运行保障及维修替换服务、管理平台运维服务、应用功能提升完善服务、安全管控能力服务。其中移动执法终端的运行保障及维修替换服务包括移动执法终端的维护服务；管理平台运维服务包括但不限于移终端启用管理、终端应用管理、终端内容管理、终端网络管控、终端文件传输管控、终端通讯管控、终端定位管控、终端端口管理、终端状态管理、终端其他安全管控、模式管控、策略管理、人员组织管理、系统管理、系统监控、报表管理、运维支撑；应用功能提升完善服务包含但不限于：应用商店、通讯录、</w:t>
      </w:r>
      <w:r>
        <w:rPr>
          <w:rFonts w:hint="eastAsia" w:ascii="仿宋" w:hAnsi="仿宋" w:eastAsia="仿宋" w:cs="仿宋"/>
          <w:color w:val="000000"/>
          <w:sz w:val="24"/>
          <w:lang w:eastAsia="zh-CN"/>
        </w:rPr>
        <w:t>安全身份认证、</w:t>
      </w:r>
      <w:r>
        <w:rPr>
          <w:rFonts w:hint="eastAsia" w:ascii="仿宋" w:hAnsi="仿宋" w:eastAsia="仿宋" w:cs="仿宋"/>
          <w:color w:val="000000"/>
          <w:sz w:val="24"/>
        </w:rPr>
        <w:t>语音输入法、学习手册、人脸特征值算法、一键报警、执法取证、指挥调度</w:t>
      </w:r>
      <w:r>
        <w:rPr>
          <w:rFonts w:hint="eastAsia" w:ascii="仿宋" w:hAnsi="仿宋" w:eastAsia="仿宋" w:cs="仿宋"/>
          <w:color w:val="000000"/>
          <w:sz w:val="24"/>
          <w:lang w:eastAsia="zh-CN"/>
        </w:rPr>
        <w:t>、日历、警务拍、数字对讲、即时通讯</w:t>
      </w:r>
      <w:r>
        <w:rPr>
          <w:rFonts w:hint="eastAsia" w:ascii="仿宋" w:hAnsi="仿宋" w:eastAsia="仿宋" w:cs="仿宋"/>
          <w:color w:val="000000"/>
          <w:sz w:val="24"/>
        </w:rPr>
        <w:t>等；安全管控能力服务包括但不限于防火墙、请求交换节点、视频交换节点、网闸等、安全管理中心等运维服务内容</w:t>
      </w:r>
    </w:p>
    <w:p w14:paraId="70288A38">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合同履约期限：</w:t>
      </w:r>
      <w:r>
        <w:rPr>
          <w:rFonts w:hint="eastAsia" w:ascii="仿宋" w:hAnsi="仿宋" w:eastAsia="仿宋" w:cs="仿宋"/>
          <w:color w:val="000000"/>
          <w:sz w:val="24"/>
          <w:lang w:val="en-US" w:eastAsia="zh-CN"/>
        </w:rPr>
        <w:t>自合同签订之日起12个月</w:t>
      </w:r>
    </w:p>
    <w:p w14:paraId="044B60E1">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color w:val="000000"/>
          <w:sz w:val="24"/>
          <w:lang w:val="en-US" w:eastAsia="zh-CN"/>
        </w:rPr>
        <w:t>否</w:t>
      </w:r>
      <w:r>
        <w:rPr>
          <w:rFonts w:hint="eastAsia" w:ascii="仿宋" w:hAnsi="仿宋" w:eastAsia="仿宋" w:cs="仿宋"/>
          <w:color w:val="000000"/>
          <w:sz w:val="24"/>
        </w:rPr>
        <w:t>）接受联合体。</w:t>
      </w:r>
    </w:p>
    <w:p w14:paraId="1F7EA06B">
      <w:pPr>
        <w:pStyle w:val="33"/>
        <w:spacing w:before="75" w:beforeAutospacing="0" w:after="75" w:afterAutospacing="0" w:line="420" w:lineRule="exact"/>
        <w:rPr>
          <w:rStyle w:val="39"/>
          <w:rFonts w:ascii="仿宋" w:hAnsi="仿宋" w:eastAsia="仿宋" w:cs="仿宋"/>
          <w:color w:val="000000"/>
        </w:rPr>
      </w:pPr>
      <w:r>
        <w:rPr>
          <w:rStyle w:val="39"/>
          <w:rFonts w:hint="eastAsia" w:ascii="仿宋" w:hAnsi="仿宋" w:eastAsia="仿宋" w:cs="仿宋"/>
          <w:color w:val="000000"/>
        </w:rPr>
        <w:t>二、申请人的资格要求：</w:t>
      </w:r>
    </w:p>
    <w:p w14:paraId="65719131">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1.满足《中华人民共和国政府采购法》第二十二条规定；</w:t>
      </w:r>
    </w:p>
    <w:p w14:paraId="577EE05A">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2.落实政府采购政策需满足的资格要求：本项目</w:t>
      </w:r>
      <w:r>
        <w:rPr>
          <w:rFonts w:hint="eastAsia" w:ascii="仿宋" w:hAnsi="仿宋" w:eastAsia="仿宋" w:cs="仿宋"/>
          <w:color w:val="000000"/>
          <w:sz w:val="24"/>
          <w:lang w:val="en-US" w:eastAsia="zh-CN"/>
        </w:rPr>
        <w:t>不</w:t>
      </w:r>
      <w:r>
        <w:rPr>
          <w:rFonts w:hint="eastAsia" w:ascii="仿宋" w:hAnsi="仿宋" w:eastAsia="仿宋" w:cs="仿宋"/>
          <w:color w:val="000000"/>
          <w:sz w:val="24"/>
        </w:rPr>
        <w:t>专门面向中小企业采购</w:t>
      </w:r>
      <w:r>
        <w:rPr>
          <w:rFonts w:hint="eastAsia" w:ascii="仿宋" w:hAnsi="仿宋" w:eastAsia="仿宋" w:cs="仿宋"/>
          <w:color w:val="000000"/>
          <w:sz w:val="24"/>
          <w:lang w:eastAsia="zh-CN"/>
        </w:rPr>
        <w:t>；</w:t>
      </w:r>
    </w:p>
    <w:p w14:paraId="4AE77C34">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lang w:val="en-US" w:eastAsia="zh-CN"/>
        </w:rPr>
        <w:t>3.本项目的特定资格要求：无</w:t>
      </w:r>
      <w:r>
        <w:rPr>
          <w:rFonts w:hint="eastAsia" w:ascii="仿宋" w:hAnsi="仿宋" w:eastAsia="仿宋" w:cs="仿宋"/>
          <w:color w:val="000000"/>
          <w:sz w:val="24"/>
        </w:rPr>
        <w:t>；</w:t>
      </w:r>
    </w:p>
    <w:p w14:paraId="296A5CB5">
      <w:pPr>
        <w:rPr>
          <w:rFonts w:ascii="仿宋" w:hAnsi="仿宋" w:eastAsia="仿宋" w:cs="仿宋"/>
          <w:color w:val="000000"/>
          <w:sz w:val="24"/>
        </w:rPr>
      </w:pPr>
      <w:r>
        <w:rPr>
          <w:rStyle w:val="39"/>
          <w:rFonts w:hint="eastAsia" w:ascii="仿宋" w:hAnsi="仿宋" w:eastAsia="仿宋" w:cs="仿宋"/>
          <w:color w:val="000000"/>
          <w:sz w:val="24"/>
        </w:rPr>
        <w:t>三、获取</w:t>
      </w:r>
      <w:r>
        <w:rPr>
          <w:rStyle w:val="39"/>
          <w:rFonts w:hint="eastAsia" w:ascii="仿宋" w:hAnsi="仿宋" w:eastAsia="仿宋" w:cs="仿宋"/>
          <w:color w:val="000000"/>
          <w:sz w:val="24"/>
          <w:lang w:val="en-US" w:eastAsia="zh-CN"/>
        </w:rPr>
        <w:t>招标</w:t>
      </w:r>
      <w:r>
        <w:rPr>
          <w:rStyle w:val="39"/>
          <w:rFonts w:hint="eastAsia" w:ascii="仿宋" w:hAnsi="仿宋" w:eastAsia="仿宋" w:cs="仿宋"/>
          <w:color w:val="000000"/>
          <w:sz w:val="24"/>
        </w:rPr>
        <w:t>文件</w:t>
      </w:r>
    </w:p>
    <w:p w14:paraId="22B6E643">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时间：202</w:t>
      </w:r>
      <w:r>
        <w:rPr>
          <w:rFonts w:hint="eastAsia" w:ascii="仿宋" w:hAnsi="仿宋" w:eastAsia="仿宋" w:cs="仿宋"/>
          <w:color w:val="000000"/>
          <w:sz w:val="24"/>
          <w:lang w:val="en-US" w:eastAsia="zh-CN"/>
        </w:rPr>
        <w:t>6</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04</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18</w:t>
      </w:r>
      <w:r>
        <w:rPr>
          <w:rFonts w:hint="eastAsia" w:ascii="仿宋" w:hAnsi="仿宋" w:eastAsia="仿宋" w:cs="仿宋"/>
          <w:color w:val="000000"/>
          <w:sz w:val="24"/>
        </w:rPr>
        <w:t>日至202</w:t>
      </w:r>
      <w:r>
        <w:rPr>
          <w:rFonts w:hint="eastAsia" w:ascii="仿宋" w:hAnsi="仿宋" w:eastAsia="仿宋" w:cs="仿宋"/>
          <w:color w:val="000000"/>
          <w:sz w:val="24"/>
          <w:lang w:val="en-US" w:eastAsia="zh-CN"/>
        </w:rPr>
        <w:t>6</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05</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07</w:t>
      </w:r>
      <w:r>
        <w:rPr>
          <w:rFonts w:hint="eastAsia" w:ascii="仿宋" w:hAnsi="仿宋" w:eastAsia="仿宋" w:cs="仿宋"/>
          <w:color w:val="000000"/>
          <w:sz w:val="24"/>
        </w:rPr>
        <w:t>日，每天上午00:00至12:00，下午12:00至23:59（北京时间、法定节假日除外）</w:t>
      </w:r>
    </w:p>
    <w:p w14:paraId="75D1B8E8">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地点：政采云平台线上</w:t>
      </w:r>
    </w:p>
    <w:p w14:paraId="0F7D4A9E">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获取方式：</w:t>
      </w:r>
      <w:r>
        <w:rPr>
          <w:rFonts w:hint="eastAsia" w:ascii="仿宋" w:hAnsi="仿宋" w:eastAsia="仿宋" w:cs="仿宋"/>
          <w:color w:val="000000"/>
          <w:sz w:val="24"/>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D9088BA">
      <w:pPr>
        <w:rPr>
          <w:rStyle w:val="39"/>
          <w:rFonts w:hint="eastAsia" w:ascii="仿宋" w:hAnsi="仿宋" w:eastAsia="仿宋" w:cs="仿宋"/>
          <w:color w:val="000000"/>
          <w:sz w:val="24"/>
        </w:rPr>
      </w:pPr>
      <w:r>
        <w:rPr>
          <w:rStyle w:val="39"/>
          <w:rFonts w:hint="eastAsia" w:ascii="仿宋" w:hAnsi="仿宋" w:eastAsia="仿宋" w:cs="仿宋"/>
          <w:color w:val="000000"/>
          <w:sz w:val="24"/>
        </w:rPr>
        <w:t>四、提交投标文件截止时间、开标时间和地点</w:t>
      </w:r>
    </w:p>
    <w:p w14:paraId="5C95863E">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提交投标文件截止时间：2026年05月08日 11：00</w:t>
      </w:r>
    </w:p>
    <w:p w14:paraId="334427B8">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投标地点：请登录政采云投标客户端投标</w:t>
      </w:r>
    </w:p>
    <w:p w14:paraId="65943B31">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开标时间：2026年05月08日 11:00（北京时间）</w:t>
      </w:r>
    </w:p>
    <w:p w14:paraId="19BCE9A1">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开标地点：投标人登录政采云平台https://www.zcygov.cn/，进入“项目采购-开标评标-右边选择对应项目点击“进入项目”进入开标大厅。</w:t>
      </w:r>
    </w:p>
    <w:p w14:paraId="760C843F">
      <w:pPr>
        <w:pStyle w:val="33"/>
        <w:spacing w:before="75" w:beforeAutospacing="0" w:after="75" w:afterAutospacing="0"/>
        <w:rPr>
          <w:rFonts w:ascii="仿宋" w:hAnsi="仿宋" w:eastAsia="仿宋" w:cs="仿宋"/>
          <w:color w:val="000000"/>
        </w:rPr>
      </w:pPr>
      <w:r>
        <w:rPr>
          <w:rStyle w:val="39"/>
          <w:rFonts w:hint="eastAsia" w:ascii="仿宋" w:hAnsi="仿宋" w:eastAsia="仿宋" w:cs="仿宋"/>
          <w:color w:val="000000"/>
        </w:rPr>
        <w:t>五、公告期限</w:t>
      </w:r>
    </w:p>
    <w:p w14:paraId="60054D16">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自本公告发布之日起5个工作日。</w:t>
      </w:r>
    </w:p>
    <w:p w14:paraId="3EBC5094">
      <w:pPr>
        <w:pStyle w:val="33"/>
        <w:spacing w:before="75" w:beforeAutospacing="0" w:after="75" w:afterAutospacing="0"/>
        <w:rPr>
          <w:rStyle w:val="39"/>
          <w:rFonts w:ascii="仿宋" w:hAnsi="仿宋" w:eastAsia="仿宋" w:cs="仿宋"/>
          <w:color w:val="000000"/>
        </w:rPr>
      </w:pPr>
      <w:r>
        <w:rPr>
          <w:rStyle w:val="39"/>
          <w:rFonts w:hint="eastAsia" w:ascii="仿宋" w:hAnsi="仿宋" w:eastAsia="仿宋" w:cs="仿宋"/>
          <w:color w:val="000000"/>
          <w:lang w:val="en-US" w:eastAsia="zh-CN"/>
        </w:rPr>
        <w:t>六</w:t>
      </w:r>
      <w:r>
        <w:rPr>
          <w:rStyle w:val="39"/>
          <w:rFonts w:hint="eastAsia" w:ascii="仿宋" w:hAnsi="仿宋" w:eastAsia="仿宋" w:cs="仿宋"/>
          <w:color w:val="000000"/>
        </w:rPr>
        <w:t>、其他补充事宜</w:t>
      </w:r>
    </w:p>
    <w:p w14:paraId="774EE74B">
      <w:pPr>
        <w:keepNext w:val="0"/>
        <w:keepLines w:val="0"/>
        <w:pageBreakBefore w:val="0"/>
        <w:widowControl/>
        <w:kinsoku w:val="0"/>
        <w:wordWrap/>
        <w:overflowPunct/>
        <w:topLinePunct w:val="0"/>
        <w:autoSpaceDE w:val="0"/>
        <w:autoSpaceDN w:val="0"/>
        <w:bidi w:val="0"/>
        <w:adjustRightInd w:val="0"/>
        <w:snapToGrid w:val="0"/>
        <w:spacing w:line="400" w:lineRule="exact"/>
        <w:ind w:left="559" w:leftChars="266" w:firstLine="0" w:firstLineChars="0"/>
        <w:textAlignment w:val="baseline"/>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无</w:t>
      </w:r>
    </w:p>
    <w:p w14:paraId="3DD1B292">
      <w:pPr>
        <w:pStyle w:val="33"/>
        <w:spacing w:before="75" w:beforeAutospacing="0" w:after="75" w:afterAutospacing="0" w:line="420" w:lineRule="exact"/>
        <w:rPr>
          <w:rFonts w:ascii="仿宋" w:hAnsi="仿宋" w:eastAsia="仿宋" w:cs="仿宋"/>
          <w:color w:val="000000"/>
        </w:rPr>
      </w:pPr>
      <w:r>
        <w:rPr>
          <w:rStyle w:val="39"/>
          <w:rFonts w:hint="eastAsia" w:ascii="仿宋" w:hAnsi="仿宋" w:eastAsia="仿宋" w:cs="仿宋"/>
          <w:color w:val="000000"/>
          <w:lang w:val="en-US" w:eastAsia="zh-CN"/>
        </w:rPr>
        <w:t>七</w:t>
      </w:r>
      <w:r>
        <w:rPr>
          <w:rStyle w:val="39"/>
          <w:rFonts w:hint="eastAsia" w:ascii="仿宋" w:hAnsi="仿宋" w:eastAsia="仿宋" w:cs="仿宋"/>
          <w:color w:val="000000"/>
        </w:rPr>
        <w:t>、对本次采购提出询问，请按以下方式联系</w:t>
      </w:r>
    </w:p>
    <w:p w14:paraId="6A129DA7">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1.采购人信息</w:t>
      </w:r>
    </w:p>
    <w:p w14:paraId="6422709F">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名 称：喀什某单位</w:t>
      </w:r>
    </w:p>
    <w:p w14:paraId="5476B3E5">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地 址：喀什市</w:t>
      </w:r>
    </w:p>
    <w:p w14:paraId="6BD518DB">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联系方式：13319982163</w:t>
      </w:r>
    </w:p>
    <w:p w14:paraId="2A3EF7C2">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2.采购代理机构信息</w:t>
      </w:r>
    </w:p>
    <w:p w14:paraId="4F0E1B06">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名 称：新疆方中圆工程项目管理有限公司</w:t>
      </w:r>
    </w:p>
    <w:p w14:paraId="57E0FC78">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地 址：新疆喀什地区喀什经济开发区深喀大道总部经济区浙商大厦14楼</w:t>
      </w:r>
    </w:p>
    <w:p w14:paraId="1E63774C">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联系方式：13779489028</w:t>
      </w:r>
    </w:p>
    <w:p w14:paraId="45D70689">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3.项目联系方式</w:t>
      </w:r>
    </w:p>
    <w:p w14:paraId="4310045C">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项目联系人：张皓旭</w:t>
      </w:r>
    </w:p>
    <w:p w14:paraId="166E46C2">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联系电话：13779489028</w:t>
      </w:r>
    </w:p>
    <w:bookmarkEnd w:id="489"/>
    <w:p w14:paraId="287BCF98">
      <w:pPr>
        <w:rPr>
          <w:rFonts w:ascii="仿宋" w:hAnsi="仿宋" w:eastAsia="仿宋" w:cs="仿宋"/>
          <w:color w:val="000000"/>
        </w:rPr>
      </w:pPr>
      <w:r>
        <w:rPr>
          <w:rFonts w:hint="eastAsia" w:ascii="仿宋" w:hAnsi="仿宋" w:eastAsia="仿宋" w:cs="仿宋"/>
          <w:color w:val="000000"/>
        </w:rPr>
        <w:br w:type="page"/>
      </w:r>
    </w:p>
    <w:p w14:paraId="00858253">
      <w:pPr>
        <w:pStyle w:val="3"/>
        <w:bidi w:val="0"/>
        <w:rPr>
          <w:rFonts w:hint="eastAsia"/>
          <w:lang w:val="en-US" w:eastAsia="zh-CN"/>
        </w:rPr>
      </w:pPr>
      <w:r>
        <w:rPr>
          <w:rFonts w:hint="eastAsia"/>
          <w:lang w:val="en-US" w:eastAsia="zh-CN"/>
        </w:rPr>
        <w:t>第四章、投标人须知资料表</w:t>
      </w:r>
      <w:bookmarkEnd w:id="481"/>
    </w:p>
    <w:p w14:paraId="7654F8EB">
      <w:pPr>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本表是本招标项目的具体资料，是对投标人须知的具体补充和修改，如有矛盾，应以本资料表为准。</w:t>
      </w:r>
    </w:p>
    <w:tbl>
      <w:tblPr>
        <w:tblStyle w:val="36"/>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14:paraId="1FDBF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14:paraId="7EF0421E">
            <w:pPr>
              <w:spacing w:line="240" w:lineRule="atLeast"/>
              <w:rPr>
                <w:rFonts w:ascii="仿宋" w:hAnsi="仿宋" w:eastAsia="仿宋" w:cs="仿宋"/>
                <w:color w:val="000000"/>
                <w:sz w:val="24"/>
              </w:rPr>
            </w:pPr>
            <w:r>
              <w:rPr>
                <w:rFonts w:hint="eastAsia" w:ascii="仿宋" w:hAnsi="仿宋" w:eastAsia="仿宋" w:cs="仿宋"/>
                <w:color w:val="000000"/>
                <w:sz w:val="24"/>
              </w:rPr>
              <w:t>条款号</w:t>
            </w:r>
          </w:p>
        </w:tc>
        <w:tc>
          <w:tcPr>
            <w:tcW w:w="7364" w:type="dxa"/>
            <w:vAlign w:val="center"/>
          </w:tcPr>
          <w:p w14:paraId="7B86492F">
            <w:pPr>
              <w:spacing w:line="240" w:lineRule="atLeast"/>
              <w:rPr>
                <w:rFonts w:ascii="仿宋" w:hAnsi="仿宋" w:eastAsia="仿宋" w:cs="仿宋"/>
                <w:b/>
                <w:color w:val="000000"/>
                <w:sz w:val="24"/>
              </w:rPr>
            </w:pPr>
            <w:r>
              <w:rPr>
                <w:rFonts w:hint="eastAsia" w:ascii="仿宋" w:hAnsi="仿宋" w:eastAsia="仿宋" w:cs="仿宋"/>
                <w:b/>
                <w:color w:val="000000"/>
                <w:sz w:val="24"/>
              </w:rPr>
              <w:t>内      容</w:t>
            </w:r>
          </w:p>
        </w:tc>
      </w:tr>
      <w:tr w14:paraId="2D1A1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4A129F46">
            <w:pPr>
              <w:spacing w:line="240" w:lineRule="atLeast"/>
              <w:jc w:val="center"/>
              <w:rPr>
                <w:rFonts w:ascii="仿宋" w:hAnsi="仿宋" w:eastAsia="仿宋" w:cs="仿宋"/>
                <w:color w:val="000000"/>
                <w:sz w:val="24"/>
              </w:rPr>
            </w:pPr>
            <w:r>
              <w:rPr>
                <w:rFonts w:hint="eastAsia" w:ascii="仿宋" w:hAnsi="仿宋" w:eastAsia="仿宋" w:cs="仿宋"/>
                <w:color w:val="000000"/>
                <w:sz w:val="24"/>
              </w:rPr>
              <w:t>1.1</w:t>
            </w:r>
          </w:p>
        </w:tc>
        <w:tc>
          <w:tcPr>
            <w:tcW w:w="7364" w:type="dxa"/>
            <w:vAlign w:val="center"/>
          </w:tcPr>
          <w:p w14:paraId="2F4BC5EA">
            <w:pPr>
              <w:spacing w:line="240" w:lineRule="atLeast"/>
              <w:rPr>
                <w:rFonts w:ascii="仿宋" w:hAnsi="仿宋" w:eastAsia="仿宋" w:cs="仿宋"/>
                <w:color w:val="000000"/>
                <w:sz w:val="24"/>
              </w:rPr>
            </w:pPr>
            <w:r>
              <w:rPr>
                <w:rFonts w:hint="eastAsia" w:ascii="仿宋" w:hAnsi="仿宋" w:eastAsia="仿宋" w:cs="仿宋"/>
                <w:color w:val="000000"/>
                <w:sz w:val="24"/>
              </w:rPr>
              <w:t>采购人：</w:t>
            </w:r>
            <w:r>
              <w:rPr>
                <w:rFonts w:hint="eastAsia" w:ascii="仿宋" w:hAnsi="仿宋" w:eastAsia="仿宋" w:cs="仿宋"/>
                <w:color w:val="000000"/>
                <w:sz w:val="24"/>
                <w:lang w:eastAsia="zh-CN"/>
              </w:rPr>
              <w:t>喀什某单位</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w:t>
            </w:r>
          </w:p>
          <w:p w14:paraId="3AE9C917">
            <w:pPr>
              <w:spacing w:line="240" w:lineRule="atLeast"/>
              <w:rPr>
                <w:rFonts w:hint="eastAsia" w:ascii="仿宋" w:hAnsi="仿宋" w:eastAsia="仿宋" w:cs="仿宋"/>
                <w:color w:val="000000"/>
                <w:sz w:val="24"/>
                <w:lang w:eastAsia="zh-CN"/>
              </w:rPr>
            </w:pPr>
            <w:r>
              <w:rPr>
                <w:rFonts w:hint="eastAsia" w:ascii="仿宋" w:hAnsi="仿宋" w:eastAsia="仿宋" w:cs="仿宋"/>
                <w:color w:val="000000"/>
                <w:sz w:val="24"/>
              </w:rPr>
              <w:t>联系人：</w:t>
            </w:r>
            <w:r>
              <w:rPr>
                <w:rFonts w:hint="eastAsia" w:ascii="仿宋" w:hAnsi="仿宋" w:eastAsia="仿宋" w:cs="仿宋"/>
                <w:color w:val="000000"/>
                <w:sz w:val="24"/>
                <w:lang w:eastAsia="zh-CN"/>
              </w:rPr>
              <w:t>胡诗坤</w:t>
            </w:r>
            <w:r>
              <w:rPr>
                <w:rFonts w:hint="eastAsia" w:ascii="仿宋" w:hAnsi="仿宋" w:eastAsia="仿宋" w:cs="仿宋"/>
                <w:color w:val="000000"/>
                <w:sz w:val="24"/>
              </w:rPr>
              <w:t xml:space="preserve">                 联系电话：</w:t>
            </w:r>
            <w:r>
              <w:rPr>
                <w:rFonts w:hint="eastAsia" w:ascii="仿宋" w:hAnsi="仿宋" w:eastAsia="仿宋" w:cs="仿宋"/>
                <w:color w:val="000000"/>
                <w:sz w:val="24"/>
                <w:lang w:eastAsia="zh-CN"/>
              </w:rPr>
              <w:t>13319982163</w:t>
            </w:r>
          </w:p>
        </w:tc>
      </w:tr>
      <w:tr w14:paraId="57ACF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2ED6F049">
            <w:pPr>
              <w:spacing w:line="240" w:lineRule="atLeast"/>
              <w:jc w:val="center"/>
              <w:rPr>
                <w:rFonts w:ascii="仿宋" w:hAnsi="仿宋" w:eastAsia="仿宋" w:cs="仿宋"/>
                <w:color w:val="000000"/>
                <w:sz w:val="24"/>
              </w:rPr>
            </w:pPr>
            <w:r>
              <w:rPr>
                <w:rFonts w:hint="eastAsia" w:ascii="仿宋" w:hAnsi="仿宋" w:eastAsia="仿宋" w:cs="仿宋"/>
                <w:color w:val="000000"/>
                <w:sz w:val="24"/>
              </w:rPr>
              <w:t>1.2</w:t>
            </w:r>
          </w:p>
        </w:tc>
        <w:tc>
          <w:tcPr>
            <w:tcW w:w="7364" w:type="dxa"/>
            <w:vAlign w:val="center"/>
          </w:tcPr>
          <w:p w14:paraId="481133ED">
            <w:pPr>
              <w:spacing w:line="240" w:lineRule="atLeast"/>
              <w:rPr>
                <w:rFonts w:hint="eastAsia" w:ascii="仿宋" w:hAnsi="仿宋" w:eastAsia="仿宋" w:cs="仿宋"/>
                <w:color w:val="000000"/>
                <w:sz w:val="24"/>
                <w:u w:val="single"/>
                <w:lang w:eastAsia="zh-CN"/>
              </w:rPr>
            </w:pPr>
            <w:r>
              <w:rPr>
                <w:rFonts w:hint="eastAsia" w:ascii="仿宋" w:hAnsi="仿宋" w:eastAsia="仿宋" w:cs="仿宋"/>
                <w:color w:val="000000"/>
                <w:sz w:val="24"/>
              </w:rPr>
              <w:t>采购代理机构：</w:t>
            </w:r>
            <w:r>
              <w:rPr>
                <w:rFonts w:hint="eastAsia" w:ascii="仿宋" w:hAnsi="仿宋" w:eastAsia="仿宋" w:cs="仿宋"/>
                <w:color w:val="000000"/>
                <w:sz w:val="24"/>
                <w:lang w:eastAsia="zh-CN"/>
              </w:rPr>
              <w:t>新疆方中圆工程项目管理有限公司</w:t>
            </w:r>
          </w:p>
          <w:p w14:paraId="46DCA650">
            <w:pPr>
              <w:spacing w:line="240" w:lineRule="atLeast"/>
              <w:rPr>
                <w:rFonts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lang w:eastAsia="zh-CN"/>
              </w:rPr>
              <w:t>新疆喀什经开区深喀大道浙商大厦14楼</w:t>
            </w:r>
          </w:p>
          <w:p w14:paraId="5A7AC4B8">
            <w:pPr>
              <w:spacing w:line="240" w:lineRule="atLeast"/>
              <w:rPr>
                <w:rFonts w:hint="eastAsia" w:ascii="仿宋" w:hAnsi="仿宋" w:eastAsia="仿宋" w:cs="仿宋"/>
                <w:color w:val="000000"/>
                <w:sz w:val="24"/>
                <w:lang w:eastAsia="zh-CN"/>
              </w:rPr>
            </w:pPr>
            <w:r>
              <w:rPr>
                <w:rFonts w:hint="eastAsia" w:ascii="仿宋" w:hAnsi="仿宋" w:eastAsia="仿宋" w:cs="仿宋"/>
                <w:color w:val="000000"/>
                <w:sz w:val="24"/>
              </w:rPr>
              <w:t>联系人：</w:t>
            </w:r>
            <w:r>
              <w:rPr>
                <w:rFonts w:hint="eastAsia" w:ascii="仿宋" w:hAnsi="仿宋" w:eastAsia="仿宋" w:cs="仿宋"/>
                <w:color w:val="000000"/>
                <w:sz w:val="24"/>
                <w:lang w:eastAsia="zh-CN"/>
              </w:rPr>
              <w:t>张皓旭</w:t>
            </w:r>
            <w:r>
              <w:rPr>
                <w:rFonts w:hint="eastAsia" w:ascii="仿宋" w:hAnsi="仿宋" w:eastAsia="仿宋" w:cs="仿宋"/>
                <w:color w:val="000000"/>
                <w:sz w:val="24"/>
              </w:rPr>
              <w:t xml:space="preserve">                  联系电话：</w:t>
            </w:r>
            <w:r>
              <w:rPr>
                <w:rFonts w:hint="eastAsia" w:ascii="仿宋" w:hAnsi="仿宋" w:eastAsia="仿宋" w:cs="仿宋"/>
                <w:color w:val="000000"/>
                <w:sz w:val="24"/>
                <w:lang w:eastAsia="zh-CN"/>
              </w:rPr>
              <w:t>13779489028</w:t>
            </w:r>
          </w:p>
        </w:tc>
      </w:tr>
      <w:tr w14:paraId="5E346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2" w:hRule="atLeast"/>
        </w:trPr>
        <w:tc>
          <w:tcPr>
            <w:tcW w:w="944" w:type="dxa"/>
            <w:vAlign w:val="center"/>
          </w:tcPr>
          <w:p w14:paraId="3F87EA0D">
            <w:pPr>
              <w:spacing w:line="240" w:lineRule="atLeast"/>
              <w:jc w:val="center"/>
              <w:rPr>
                <w:rFonts w:ascii="仿宋" w:hAnsi="仿宋" w:eastAsia="仿宋" w:cs="仿宋"/>
                <w:color w:val="000000"/>
                <w:sz w:val="24"/>
              </w:rPr>
            </w:pPr>
            <w:r>
              <w:rPr>
                <w:rFonts w:hint="eastAsia" w:ascii="仿宋" w:hAnsi="仿宋" w:eastAsia="仿宋" w:cs="仿宋"/>
                <w:color w:val="000000"/>
                <w:sz w:val="24"/>
              </w:rPr>
              <w:t>1.3.1</w:t>
            </w:r>
          </w:p>
        </w:tc>
        <w:tc>
          <w:tcPr>
            <w:tcW w:w="7364" w:type="dxa"/>
            <w:vAlign w:val="center"/>
          </w:tcPr>
          <w:p w14:paraId="12C4F209">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合格投标人的资格要求：</w:t>
            </w:r>
          </w:p>
          <w:p w14:paraId="07A94E79">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1.法人或者非法人组织的营业执照等证明文件；</w:t>
            </w:r>
          </w:p>
          <w:p w14:paraId="4774532E">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2.法定代表人投标的需提供法定代表人身份证明，被授权委托人需提供法定代表人授权委托书及被授权委托人身份证；</w:t>
            </w:r>
          </w:p>
          <w:p w14:paraId="42814985">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3.提供本单位缴纳的近六个月中任意一个月的社保缴纳证明；</w:t>
            </w:r>
          </w:p>
          <w:p w14:paraId="4E3FC256">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4.具有税务局开具依法缴纳近六个月中任意一个月的税收证明的良好记录（完税证明）；注：①若为零申报企业，需提供无欠税证明或国家税务总局电子税务局“申报结果查询截图”。②“税种”非社会保险。</w:t>
            </w:r>
          </w:p>
          <w:p w14:paraId="742F246A">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5.具有2024年度或2025年度的财务审计报告（新成立未满一年的公司提供有效的银行资信证明）；</w:t>
            </w:r>
          </w:p>
          <w:p w14:paraId="4311A4DF">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6.投标人参加项目领取招标文件期间采购活动前三年内，在经营活动中没有重大违法记录的书面承诺书、三年内无行政处罚记录承诺书（格式自拟）；</w:t>
            </w:r>
          </w:p>
          <w:p w14:paraId="3F9069AB">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7.针对本项目的反商业贿赂承诺书；</w:t>
            </w:r>
          </w:p>
          <w:p w14:paraId="22E1BCF4">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8.根据《财政部关于在政府采购活动中查询及使用信用记录有关问题的通知》（财库﹝2016﹞125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p w14:paraId="6893BCC3">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9.投标保证金有效凭证；</w:t>
            </w:r>
          </w:p>
          <w:p w14:paraId="0E1D1C63">
            <w:pPr>
              <w:pStyle w:val="2"/>
              <w:ind w:left="0" w:leftChars="0" w:firstLine="0" w:firstLineChars="0"/>
              <w:rPr>
                <w:color w:val="000000"/>
              </w:rPr>
            </w:pPr>
            <w:r>
              <w:rPr>
                <w:rFonts w:hint="eastAsia"/>
                <w:b/>
                <w:bCs/>
                <w:color w:val="000000"/>
              </w:rPr>
              <w:t>以上要求资料，扫描件需放置投标文件中，并加盖公章</w:t>
            </w:r>
          </w:p>
        </w:tc>
      </w:tr>
      <w:tr w14:paraId="5061A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944" w:type="dxa"/>
            <w:vAlign w:val="center"/>
          </w:tcPr>
          <w:p w14:paraId="549ACA79">
            <w:pPr>
              <w:spacing w:line="240" w:lineRule="atLeast"/>
              <w:ind w:left="269" w:leftChars="128"/>
              <w:jc w:val="center"/>
              <w:rPr>
                <w:rFonts w:ascii="仿宋" w:hAnsi="仿宋" w:eastAsia="仿宋" w:cs="仿宋"/>
                <w:color w:val="000000"/>
                <w:sz w:val="24"/>
              </w:rPr>
            </w:pPr>
            <w:r>
              <w:rPr>
                <w:rFonts w:hint="eastAsia" w:ascii="仿宋" w:hAnsi="仿宋" w:eastAsia="仿宋" w:cs="仿宋"/>
                <w:color w:val="000000"/>
                <w:sz w:val="24"/>
              </w:rPr>
              <w:t>1.3.5</w:t>
            </w:r>
          </w:p>
        </w:tc>
        <w:tc>
          <w:tcPr>
            <w:tcW w:w="7364" w:type="dxa"/>
            <w:vAlign w:val="center"/>
          </w:tcPr>
          <w:p w14:paraId="7B260D34">
            <w:pPr>
              <w:spacing w:line="240" w:lineRule="atLeast"/>
              <w:rPr>
                <w:rFonts w:ascii="仿宋" w:hAnsi="仿宋" w:eastAsia="仿宋" w:cs="仿宋"/>
                <w:color w:val="000000"/>
                <w:sz w:val="24"/>
              </w:rPr>
            </w:pPr>
            <w:r>
              <w:rPr>
                <w:rFonts w:hint="eastAsia" w:ascii="仿宋" w:hAnsi="仿宋" w:eastAsia="仿宋" w:cs="仿宋"/>
                <w:color w:val="000000"/>
                <w:sz w:val="24"/>
              </w:rPr>
              <w:t>是否允许采购进口产品：</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6A8C9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0B3B2CA5">
            <w:pPr>
              <w:spacing w:line="240" w:lineRule="atLeast"/>
              <w:ind w:left="269" w:leftChars="128"/>
              <w:jc w:val="center"/>
              <w:rPr>
                <w:rFonts w:ascii="仿宋" w:hAnsi="仿宋" w:eastAsia="仿宋" w:cs="仿宋"/>
                <w:color w:val="000000"/>
                <w:sz w:val="24"/>
              </w:rPr>
            </w:pPr>
            <w:r>
              <w:rPr>
                <w:rFonts w:hint="eastAsia" w:ascii="仿宋" w:hAnsi="仿宋" w:eastAsia="仿宋" w:cs="仿宋"/>
                <w:color w:val="000000"/>
                <w:sz w:val="24"/>
              </w:rPr>
              <w:t>1.3.6</w:t>
            </w:r>
          </w:p>
        </w:tc>
        <w:tc>
          <w:tcPr>
            <w:tcW w:w="7364" w:type="dxa"/>
            <w:vAlign w:val="center"/>
          </w:tcPr>
          <w:p w14:paraId="6BD42E7B">
            <w:pPr>
              <w:spacing w:line="240" w:lineRule="atLeast"/>
              <w:rPr>
                <w:rFonts w:hint="eastAsia" w:ascii="宋体" w:hAnsi="Times New Roman" w:eastAsia="仿宋_GB2312" w:cs="Times New Roman"/>
                <w:color w:val="000000"/>
                <w:kern w:val="0"/>
                <w:sz w:val="24"/>
                <w:szCs w:val="20"/>
                <w:lang w:val="en-US" w:eastAsia="zh-CN" w:bidi="ar-SA"/>
              </w:rPr>
            </w:pPr>
            <w:r>
              <w:rPr>
                <w:rFonts w:hint="eastAsia" w:ascii="宋体" w:hAnsi="Times New Roman" w:eastAsia="仿宋_GB2312" w:cs="Times New Roman"/>
                <w:color w:val="000000"/>
                <w:kern w:val="0"/>
                <w:sz w:val="24"/>
                <w:szCs w:val="20"/>
                <w:lang w:val="en-US" w:eastAsia="zh-CN" w:bidi="ar-SA"/>
              </w:rPr>
              <w:t>是否为专门面向中小企业采购：</w:t>
            </w:r>
            <w:r>
              <w:rPr>
                <w:rFonts w:hint="eastAsia" w:ascii="宋体" w:eastAsia="仿宋_GB2312" w:cs="Times New Roman"/>
                <w:color w:val="000000"/>
                <w:kern w:val="0"/>
                <w:sz w:val="24"/>
                <w:szCs w:val="20"/>
                <w:u w:val="single"/>
                <w:lang w:val="en-US" w:eastAsia="zh-CN" w:bidi="ar-SA"/>
              </w:rPr>
              <w:t>否</w:t>
            </w:r>
            <w:r>
              <w:rPr>
                <w:rFonts w:hint="eastAsia" w:ascii="宋体" w:hAnsi="Times New Roman" w:eastAsia="仿宋_GB2312" w:cs="Times New Roman"/>
                <w:color w:val="000000"/>
                <w:kern w:val="0"/>
                <w:sz w:val="24"/>
                <w:szCs w:val="20"/>
                <w:lang w:val="en-US" w:eastAsia="zh-CN" w:bidi="ar-SA"/>
              </w:rPr>
              <w:t>（是、否）</w:t>
            </w:r>
          </w:p>
          <w:p w14:paraId="01A3E3B3">
            <w:pPr>
              <w:pStyle w:val="27"/>
              <w:rPr>
                <w:rFonts w:ascii="仿宋" w:hAnsi="仿宋" w:eastAsia="仿宋" w:cs="仿宋"/>
                <w:b/>
                <w:bCs/>
                <w:color w:val="000000"/>
                <w:sz w:val="24"/>
                <w:highlight w:val="none"/>
              </w:rPr>
            </w:pPr>
            <w:r>
              <w:rPr>
                <w:rFonts w:hint="eastAsia" w:ascii="仿宋" w:hAnsi="仿宋" w:eastAsia="仿宋" w:cs="仿宋"/>
                <w:color w:val="000000"/>
                <w:sz w:val="24"/>
                <w:highlight w:val="none"/>
              </w:rPr>
              <w:t>根据《政府采购促进中小企业发展管理办法》（财库[2020]46号）、《财政部司法部关于政府采购支持监狱企业发展有关问题的通知》（财库〔2014〕68号）和《</w:t>
            </w:r>
            <w:r>
              <w:rPr>
                <w:rFonts w:hint="eastAsia" w:ascii="仿宋" w:hAnsi="仿宋" w:eastAsia="仿宋" w:cs="仿宋"/>
                <w:color w:val="000000"/>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000000"/>
                <w:sz w:val="24"/>
                <w:highlight w:val="none"/>
              </w:rPr>
              <w:t>》（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000000"/>
                <w:sz w:val="24"/>
                <w:highlight w:val="none"/>
                <w:u w:val="single"/>
                <w:lang w:val="en-US" w:eastAsia="zh-CN"/>
              </w:rPr>
              <w:t xml:space="preserve"> / </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后参与评审。对于同时属于小微企业、监狱企业残疾人福利性单位的，不重复进行投标报价扣除。</w:t>
            </w:r>
          </w:p>
          <w:p w14:paraId="419432B7">
            <w:pPr>
              <w:pStyle w:val="2"/>
              <w:ind w:left="0" w:leftChars="0" w:firstLine="0" w:firstLineChars="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潜在</w:t>
            </w:r>
            <w:r>
              <w:rPr>
                <w:rFonts w:hint="eastAsia" w:ascii="仿宋" w:hAnsi="仿宋" w:eastAsia="仿宋" w:cs="仿宋"/>
                <w:b/>
                <w:bCs/>
                <w:color w:val="000000"/>
                <w:sz w:val="24"/>
                <w:highlight w:val="none"/>
                <w:lang w:eastAsia="zh-CN"/>
              </w:rPr>
              <w:t>供应商</w:t>
            </w:r>
            <w:r>
              <w:rPr>
                <w:rFonts w:hint="eastAsia" w:ascii="仿宋" w:hAnsi="仿宋" w:eastAsia="仿宋" w:cs="仿宋"/>
                <w:b/>
                <w:bCs/>
                <w:color w:val="000000"/>
                <w:sz w:val="24"/>
                <w:highlight w:val="none"/>
              </w:rPr>
              <w:t>属于中小微企业的，请在响应文件中提供“中小企业声明函”，如果未提供或提供虛假的“中小企业声明函”，</w:t>
            </w:r>
            <w:r>
              <w:rPr>
                <w:rFonts w:hint="eastAsia" w:ascii="仿宋" w:hAnsi="仿宋" w:eastAsia="仿宋" w:cs="仿宋"/>
                <w:b/>
                <w:bCs/>
                <w:color w:val="000000"/>
                <w:sz w:val="24"/>
                <w:highlight w:val="none"/>
                <w:lang w:eastAsia="zh-CN"/>
              </w:rPr>
              <w:t>供应商</w:t>
            </w:r>
            <w:r>
              <w:rPr>
                <w:rFonts w:hint="eastAsia" w:ascii="仿宋" w:hAnsi="仿宋" w:eastAsia="仿宋" w:cs="仿宋"/>
                <w:b/>
                <w:bCs/>
                <w:color w:val="000000"/>
                <w:sz w:val="24"/>
                <w:highlight w:val="none"/>
              </w:rPr>
              <w:t>将承担由此造成的一切不利后果。</w:t>
            </w:r>
          </w:p>
          <w:p w14:paraId="6DC15544">
            <w:pPr>
              <w:spacing w:line="240" w:lineRule="atLeast"/>
              <w:rPr>
                <w:color w:val="000000"/>
              </w:rPr>
            </w:pPr>
            <w:r>
              <w:rPr>
                <w:rFonts w:hint="eastAsia" w:ascii="仿宋" w:hAnsi="仿宋" w:eastAsia="仿宋" w:cs="仿宋"/>
                <w:color w:val="000000"/>
                <w:sz w:val="24"/>
                <w:lang w:val="en-US" w:eastAsia="zh-CN"/>
              </w:rPr>
              <w:t>本项目对应的中小企业划分标准所属行业：</w:t>
            </w:r>
            <w:r>
              <w:rPr>
                <w:rFonts w:hint="eastAsia" w:ascii="仿宋" w:hAnsi="仿宋" w:eastAsia="仿宋" w:cs="仿宋"/>
                <w:b/>
                <w:bCs/>
                <w:color w:val="000000"/>
                <w:kern w:val="0"/>
                <w:sz w:val="24"/>
                <w:szCs w:val="24"/>
                <w:highlight w:val="none"/>
              </w:rPr>
              <w:t>软件和信息技术服务业</w:t>
            </w:r>
          </w:p>
        </w:tc>
      </w:tr>
      <w:tr w14:paraId="75581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vAlign w:val="center"/>
          </w:tcPr>
          <w:p w14:paraId="48022BF3">
            <w:pPr>
              <w:spacing w:line="240" w:lineRule="atLeast"/>
              <w:ind w:left="269" w:leftChars="128"/>
              <w:jc w:val="center"/>
              <w:rPr>
                <w:rFonts w:ascii="仿宋" w:hAnsi="仿宋" w:eastAsia="仿宋" w:cs="仿宋"/>
                <w:color w:val="000000"/>
                <w:sz w:val="24"/>
              </w:rPr>
            </w:pPr>
            <w:r>
              <w:rPr>
                <w:rFonts w:hint="eastAsia" w:ascii="仿宋" w:hAnsi="仿宋" w:eastAsia="仿宋" w:cs="仿宋"/>
                <w:color w:val="000000"/>
                <w:sz w:val="24"/>
              </w:rPr>
              <w:t>1.4.</w:t>
            </w:r>
          </w:p>
        </w:tc>
        <w:tc>
          <w:tcPr>
            <w:tcW w:w="7364" w:type="dxa"/>
            <w:vAlign w:val="center"/>
          </w:tcPr>
          <w:p w14:paraId="1A0EB64A">
            <w:pPr>
              <w:spacing w:line="240" w:lineRule="atLeast"/>
              <w:rPr>
                <w:rFonts w:ascii="仿宋" w:hAnsi="仿宋" w:eastAsia="仿宋" w:cs="仿宋"/>
                <w:color w:val="000000"/>
                <w:sz w:val="24"/>
              </w:rPr>
            </w:pPr>
            <w:r>
              <w:rPr>
                <w:rFonts w:hint="eastAsia" w:ascii="仿宋" w:hAnsi="仿宋" w:eastAsia="仿宋" w:cs="仿宋"/>
                <w:color w:val="000000"/>
                <w:sz w:val="24"/>
              </w:rPr>
              <w:t>是否允许联合体投标：</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2F278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vAlign w:val="center"/>
          </w:tcPr>
          <w:p w14:paraId="6C94D4A0">
            <w:pPr>
              <w:spacing w:line="240" w:lineRule="atLeast"/>
              <w:jc w:val="center"/>
              <w:rPr>
                <w:rFonts w:ascii="仿宋" w:hAnsi="仿宋" w:eastAsia="仿宋" w:cs="仿宋"/>
                <w:color w:val="000000"/>
                <w:sz w:val="24"/>
              </w:rPr>
            </w:pPr>
            <w:r>
              <w:rPr>
                <w:rFonts w:hint="eastAsia" w:ascii="仿宋" w:hAnsi="仿宋" w:eastAsia="仿宋" w:cs="仿宋"/>
                <w:color w:val="000000"/>
                <w:sz w:val="24"/>
              </w:rPr>
              <w:t>2.2</w:t>
            </w:r>
          </w:p>
        </w:tc>
        <w:tc>
          <w:tcPr>
            <w:tcW w:w="7364" w:type="dxa"/>
            <w:vAlign w:val="center"/>
          </w:tcPr>
          <w:p w14:paraId="60E0A66A">
            <w:pPr>
              <w:pStyle w:val="2"/>
              <w:ind w:firstLine="0"/>
              <w:rPr>
                <w:rFonts w:hint="eastAsia" w:ascii="仿宋" w:hAnsi="仿宋" w:eastAsia="仿宋" w:cs="仿宋"/>
                <w:b/>
                <w:bCs/>
                <w:color w:val="000000"/>
                <w:kern w:val="2"/>
                <w:szCs w:val="24"/>
              </w:rPr>
            </w:pPr>
            <w:r>
              <w:rPr>
                <w:rFonts w:hint="eastAsia" w:ascii="仿宋" w:hAnsi="仿宋" w:eastAsia="仿宋" w:cs="仿宋"/>
                <w:b/>
                <w:bCs/>
                <w:color w:val="000000"/>
                <w:kern w:val="2"/>
                <w:szCs w:val="24"/>
              </w:rPr>
              <w:t>预算金额</w:t>
            </w:r>
            <w:r>
              <w:rPr>
                <w:rFonts w:hint="eastAsia" w:ascii="仿宋" w:hAnsi="仿宋" w:eastAsia="仿宋" w:cs="仿宋"/>
                <w:b/>
                <w:bCs/>
                <w:color w:val="000000"/>
                <w:kern w:val="2"/>
                <w:sz w:val="24"/>
                <w:szCs w:val="24"/>
                <w:lang w:val="en-US" w:eastAsia="zh-CN" w:bidi="ar-SA"/>
              </w:rPr>
              <w:t>：</w:t>
            </w:r>
            <w:r>
              <w:rPr>
                <w:rFonts w:hint="eastAsia" w:ascii="仿宋" w:hAnsi="仿宋" w:eastAsia="仿宋" w:cs="仿宋"/>
                <w:b/>
                <w:bCs/>
                <w:color w:val="000000"/>
                <w:sz w:val="24"/>
                <w:lang w:val="en-US" w:eastAsia="zh-CN"/>
              </w:rPr>
              <w:t>1590000.00</w:t>
            </w:r>
            <w:r>
              <w:rPr>
                <w:rFonts w:hint="eastAsia" w:ascii="仿宋" w:hAnsi="仿宋" w:eastAsia="仿宋" w:cs="仿宋"/>
                <w:b/>
                <w:bCs/>
                <w:color w:val="000000"/>
                <w:kern w:val="2"/>
                <w:szCs w:val="24"/>
              </w:rPr>
              <w:t>元（</w:t>
            </w:r>
            <w:r>
              <w:rPr>
                <w:rFonts w:hint="eastAsia" w:ascii="仿宋" w:hAnsi="仿宋" w:eastAsia="仿宋" w:cs="仿宋"/>
                <w:b/>
                <w:bCs/>
                <w:color w:val="000000"/>
                <w:kern w:val="2"/>
                <w:sz w:val="24"/>
                <w:szCs w:val="24"/>
                <w:lang w:val="en-US" w:eastAsia="zh-CN" w:bidi="ar-SA"/>
              </w:rPr>
              <w:t>壹佰伍拾玖万元整</w:t>
            </w:r>
            <w:r>
              <w:rPr>
                <w:rFonts w:hint="eastAsia" w:ascii="仿宋" w:hAnsi="仿宋" w:eastAsia="仿宋" w:cs="仿宋"/>
                <w:b/>
                <w:bCs/>
                <w:color w:val="000000"/>
                <w:kern w:val="2"/>
                <w:szCs w:val="24"/>
              </w:rPr>
              <w:t>）</w:t>
            </w:r>
          </w:p>
          <w:p w14:paraId="1BA8B403">
            <w:pP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最高限价：</w:t>
            </w:r>
            <w:r>
              <w:rPr>
                <w:rFonts w:hint="eastAsia" w:ascii="仿宋" w:hAnsi="仿宋" w:eastAsia="仿宋" w:cs="仿宋"/>
                <w:b/>
                <w:bCs/>
                <w:color w:val="000000"/>
                <w:sz w:val="24"/>
                <w:lang w:val="en-US" w:eastAsia="zh-CN"/>
              </w:rPr>
              <w:t>1590000.00</w:t>
            </w:r>
            <w:r>
              <w:rPr>
                <w:rFonts w:hint="eastAsia" w:ascii="仿宋" w:hAnsi="仿宋" w:eastAsia="仿宋" w:cs="仿宋"/>
                <w:b/>
                <w:bCs/>
                <w:color w:val="000000"/>
                <w:kern w:val="2"/>
                <w:sz w:val="24"/>
                <w:szCs w:val="24"/>
                <w:lang w:val="en-US" w:eastAsia="zh-CN" w:bidi="ar-SA"/>
              </w:rPr>
              <w:t>元</w:t>
            </w:r>
            <w:r>
              <w:rPr>
                <w:rFonts w:hint="eastAsia" w:ascii="仿宋" w:hAnsi="仿宋" w:eastAsia="仿宋" w:cs="仿宋"/>
                <w:b/>
                <w:bCs/>
                <w:color w:val="000000"/>
                <w:kern w:val="2"/>
                <w:szCs w:val="24"/>
              </w:rPr>
              <w:t>（</w:t>
            </w:r>
            <w:r>
              <w:rPr>
                <w:rFonts w:hint="eastAsia" w:ascii="仿宋" w:hAnsi="仿宋" w:eastAsia="仿宋" w:cs="仿宋"/>
                <w:b/>
                <w:bCs/>
                <w:color w:val="000000"/>
                <w:kern w:val="2"/>
                <w:sz w:val="24"/>
                <w:szCs w:val="24"/>
                <w:lang w:val="en-US" w:eastAsia="zh-CN" w:bidi="ar-SA"/>
              </w:rPr>
              <w:t>壹佰伍拾玖万元整</w:t>
            </w:r>
            <w:r>
              <w:rPr>
                <w:rFonts w:hint="eastAsia" w:ascii="仿宋" w:hAnsi="仿宋" w:eastAsia="仿宋" w:cs="仿宋"/>
                <w:b/>
                <w:bCs/>
                <w:color w:val="000000"/>
                <w:kern w:val="2"/>
                <w:szCs w:val="24"/>
              </w:rPr>
              <w:t>）</w:t>
            </w:r>
          </w:p>
          <w:p w14:paraId="4AA92D6C">
            <w:pPr>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注：投标单位报价超过最高限价作废标处理！</w:t>
            </w:r>
          </w:p>
        </w:tc>
      </w:tr>
      <w:tr w14:paraId="71AB1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14:paraId="014C22C8">
            <w:pPr>
              <w:spacing w:line="240" w:lineRule="atLeast"/>
              <w:jc w:val="center"/>
              <w:rPr>
                <w:rFonts w:ascii="仿宋" w:hAnsi="仿宋" w:eastAsia="仿宋" w:cs="仿宋"/>
                <w:color w:val="000000"/>
                <w:sz w:val="24"/>
              </w:rPr>
            </w:pPr>
            <w:r>
              <w:rPr>
                <w:rFonts w:hint="eastAsia" w:ascii="仿宋" w:hAnsi="仿宋" w:eastAsia="仿宋" w:cs="仿宋"/>
                <w:color w:val="000000"/>
                <w:sz w:val="24"/>
              </w:rPr>
              <w:t>12.1</w:t>
            </w:r>
          </w:p>
        </w:tc>
        <w:tc>
          <w:tcPr>
            <w:tcW w:w="7364" w:type="dxa"/>
            <w:vAlign w:val="center"/>
          </w:tcPr>
          <w:p w14:paraId="71361500">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保证金不允许以个人名义缴纳，收款单位相关信息如下：</w:t>
            </w:r>
          </w:p>
          <w:p w14:paraId="4BECA1B3">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保证金的形式：电汇、转账、银行保函、电子保函、支票、汇票、本票或者金融机构、担保机构出具的保函等非现金形式提交</w:t>
            </w:r>
          </w:p>
          <w:p w14:paraId="28B65A2A">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保证金金额（人民币）：</w:t>
            </w:r>
            <w:r>
              <w:rPr>
                <w:rFonts w:hint="eastAsia" w:ascii="仿宋" w:hAnsi="仿宋" w:eastAsia="仿宋" w:cs="仿宋"/>
                <w:color w:val="000000"/>
                <w:sz w:val="24"/>
                <w:lang w:val="en-US" w:eastAsia="zh-CN"/>
              </w:rPr>
              <w:t>30000.00</w:t>
            </w:r>
            <w:r>
              <w:rPr>
                <w:rFonts w:hint="eastAsia" w:ascii="仿宋" w:hAnsi="仿宋" w:eastAsia="仿宋" w:cs="仿宋"/>
                <w:color w:val="000000"/>
                <w:sz w:val="24"/>
              </w:rPr>
              <w:t>元（</w:t>
            </w:r>
            <w:r>
              <w:rPr>
                <w:rFonts w:hint="eastAsia" w:ascii="仿宋" w:hAnsi="仿宋" w:eastAsia="仿宋" w:cs="仿宋"/>
                <w:color w:val="000000"/>
                <w:sz w:val="24"/>
                <w:lang w:val="en-US" w:eastAsia="zh-CN"/>
              </w:rPr>
              <w:t>叁万元整</w:t>
            </w:r>
            <w:r>
              <w:rPr>
                <w:rFonts w:hint="eastAsia" w:ascii="仿宋" w:hAnsi="仿宋" w:eastAsia="仿宋" w:cs="仿宋"/>
                <w:color w:val="000000"/>
                <w:sz w:val="24"/>
              </w:rPr>
              <w:t>）</w:t>
            </w:r>
          </w:p>
          <w:p w14:paraId="2A2A1C0B">
            <w:pPr>
              <w:pStyle w:val="65"/>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单位名称：新疆方中圆工程项目管理有限公司</w:t>
            </w:r>
          </w:p>
          <w:p w14:paraId="0447013A">
            <w:pPr>
              <w:pStyle w:val="65"/>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账号：30476101040005796</w:t>
            </w:r>
          </w:p>
          <w:p w14:paraId="308CD7C3">
            <w:pPr>
              <w:pStyle w:val="65"/>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开户行：中国农业银行股份有限公司喀什经济开发区支行</w:t>
            </w:r>
          </w:p>
          <w:p w14:paraId="0B239F5E">
            <w:pPr>
              <w:pStyle w:val="65"/>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行号：103894047615</w:t>
            </w:r>
          </w:p>
          <w:p w14:paraId="555FC757">
            <w:pPr>
              <w:pStyle w:val="65"/>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注：投标保证金打款时请备注项目名称！保函复印件或保证金凭证复印件应放入投标文件中，若投标文件中不放保函复印件或保证金凭证复印件，作废标处理。保函需写明所投项目名称，保函有效期不得低于90日，否则视为无效。</w:t>
            </w:r>
          </w:p>
          <w:p w14:paraId="5ACA6162">
            <w:pPr>
              <w:spacing w:line="240" w:lineRule="atLeast"/>
              <w:rPr>
                <w:rFonts w:hint="eastAsia" w:ascii="仿宋" w:hAnsi="仿宋" w:eastAsia="仿宋" w:cs="仿宋"/>
                <w:color w:val="000000"/>
                <w:lang w:eastAsia="zh-CN"/>
              </w:rPr>
            </w:pPr>
            <w:r>
              <w:rPr>
                <w:rFonts w:hint="eastAsia" w:ascii="仿宋" w:hAnsi="仿宋" w:eastAsia="仿宋" w:cs="仿宋"/>
                <w:color w:val="000000"/>
                <w:spacing w:val="-1"/>
                <w:sz w:val="24"/>
                <w:szCs w:val="24"/>
                <w:highlight w:val="none"/>
                <w:lang w:eastAsia="zh-CN"/>
              </w:rPr>
              <w:t>采购人或者采购代理机构应当自中标通知书发出之日起5个工作日内退还未中标单位的投标保证金，自采购合同签订之日起5个工作日内退还中标单位的投标保证金。</w:t>
            </w:r>
          </w:p>
        </w:tc>
      </w:tr>
      <w:tr w14:paraId="5911A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vAlign w:val="center"/>
          </w:tcPr>
          <w:p w14:paraId="578F4011">
            <w:pPr>
              <w:spacing w:line="240" w:lineRule="atLeast"/>
              <w:jc w:val="center"/>
              <w:rPr>
                <w:rFonts w:ascii="仿宋" w:hAnsi="仿宋" w:eastAsia="仿宋" w:cs="仿宋"/>
                <w:color w:val="000000"/>
                <w:sz w:val="24"/>
              </w:rPr>
            </w:pPr>
            <w:r>
              <w:rPr>
                <w:rFonts w:hint="eastAsia" w:ascii="仿宋" w:hAnsi="仿宋" w:eastAsia="仿宋" w:cs="仿宋"/>
                <w:color w:val="000000"/>
                <w:sz w:val="24"/>
              </w:rPr>
              <w:t>13</w:t>
            </w:r>
          </w:p>
        </w:tc>
        <w:tc>
          <w:tcPr>
            <w:tcW w:w="7364" w:type="dxa"/>
            <w:vAlign w:val="center"/>
          </w:tcPr>
          <w:p w14:paraId="34A17C1C">
            <w:pPr>
              <w:spacing w:line="240" w:lineRule="atLeast"/>
              <w:rPr>
                <w:rFonts w:ascii="仿宋" w:hAnsi="仿宋" w:eastAsia="仿宋" w:cs="仿宋"/>
                <w:color w:val="000000"/>
                <w:sz w:val="24"/>
              </w:rPr>
            </w:pPr>
            <w:r>
              <w:rPr>
                <w:rFonts w:hint="eastAsia" w:ascii="仿宋" w:hAnsi="仿宋" w:eastAsia="仿宋" w:cs="仿宋"/>
                <w:color w:val="000000"/>
                <w:sz w:val="24"/>
              </w:rPr>
              <w:t>投标有效期：</w:t>
            </w:r>
            <w:r>
              <w:rPr>
                <w:rFonts w:hint="eastAsia" w:ascii="仿宋" w:hAnsi="仿宋" w:eastAsia="仿宋" w:cs="仿宋"/>
                <w:color w:val="000000"/>
                <w:sz w:val="24"/>
                <w:u w:val="single"/>
                <w:lang w:val="en-US" w:eastAsia="zh-CN"/>
              </w:rPr>
              <w:t>90</w:t>
            </w:r>
            <w:r>
              <w:rPr>
                <w:rFonts w:hint="eastAsia" w:ascii="仿宋" w:hAnsi="仿宋" w:eastAsia="仿宋" w:cs="仿宋"/>
                <w:color w:val="000000"/>
                <w:sz w:val="24"/>
              </w:rPr>
              <w:t>日历日</w:t>
            </w:r>
          </w:p>
        </w:tc>
      </w:tr>
      <w:tr w14:paraId="09119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vAlign w:val="center"/>
          </w:tcPr>
          <w:p w14:paraId="0664DC17">
            <w:pPr>
              <w:spacing w:line="240" w:lineRule="atLeast"/>
              <w:jc w:val="center"/>
              <w:rPr>
                <w:rFonts w:ascii="仿宋" w:hAnsi="仿宋" w:eastAsia="仿宋" w:cs="仿宋"/>
                <w:color w:val="000000"/>
                <w:sz w:val="24"/>
              </w:rPr>
            </w:pPr>
            <w:r>
              <w:rPr>
                <w:rFonts w:hint="eastAsia" w:ascii="仿宋" w:hAnsi="仿宋" w:eastAsia="仿宋" w:cs="仿宋"/>
                <w:color w:val="000000"/>
                <w:sz w:val="24"/>
              </w:rPr>
              <w:t>15</w:t>
            </w:r>
          </w:p>
        </w:tc>
        <w:tc>
          <w:tcPr>
            <w:tcW w:w="7364" w:type="dxa"/>
            <w:vAlign w:val="center"/>
          </w:tcPr>
          <w:p w14:paraId="13CCF51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3206E91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2.本项目实行网上投标，采用电子投标文件(供应商须使用CA加密设备通过政采云电子投标客户端制作投标文件)。若供应商参与投标，自行承担投标一切费用。</w:t>
            </w:r>
          </w:p>
          <w:p w14:paraId="5338906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14:paraId="5AB348C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29CAE4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5.供应商在开标时须使用制作加密电子投标文件所使用的CA锁及电脑，电脑须提前配置好浏览器（建议使用谷歌浏览器），以便开标时解锁。</w:t>
            </w:r>
          </w:p>
          <w:p w14:paraId="5AF408C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475B214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sz w:val="24"/>
              </w:rPr>
            </w:pPr>
            <w:r>
              <w:rPr>
                <w:rFonts w:hint="eastAsia" w:ascii="仿宋" w:hAnsi="仿宋" w:eastAsia="仿宋" w:cs="仿宋"/>
                <w:color w:val="000000"/>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14:paraId="434BBBA0">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color w:val="000000"/>
                <w:sz w:val="24"/>
              </w:rPr>
            </w:pPr>
            <w:r>
              <w:rPr>
                <w:rFonts w:hint="eastAsia" w:ascii="仿宋" w:hAnsi="仿宋" w:eastAsia="仿宋" w:cs="仿宋"/>
                <w:color w:val="000000"/>
                <w:sz w:val="24"/>
              </w:rPr>
              <w:t>（8）各供应商须在投标截止时间前完成在系统上递交电子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文件。供应商的电子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w:t>
            </w:r>
          </w:p>
          <w:p w14:paraId="13090F49">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color w:val="000000"/>
                <w:sz w:val="24"/>
              </w:rPr>
            </w:pPr>
            <w:r>
              <w:rPr>
                <w:rFonts w:hint="eastAsia" w:ascii="仿宋" w:hAnsi="仿宋" w:eastAsia="仿宋" w:cs="仿宋"/>
                <w:color w:val="000000"/>
                <w:sz w:val="24"/>
              </w:rPr>
              <w:t>（9）各供应商在投标截止时间前将“</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文件”上传至政采云平台。响应文件包括“报价一览表及资格证明文件”与“商务及技术文件”两部分合并成一册。响应文件应按照</w:t>
            </w:r>
            <w:r>
              <w:rPr>
                <w:rFonts w:hint="eastAsia" w:ascii="仿宋" w:hAnsi="仿宋" w:eastAsia="仿宋" w:cs="仿宋"/>
                <w:color w:val="000000"/>
                <w:sz w:val="24"/>
                <w:lang w:val="en-US" w:eastAsia="zh-CN"/>
              </w:rPr>
              <w:t>招标</w:t>
            </w:r>
            <w:r>
              <w:rPr>
                <w:rFonts w:hint="eastAsia" w:ascii="仿宋" w:hAnsi="仿宋" w:eastAsia="仿宋" w:cs="仿宋"/>
                <w:color w:val="000000"/>
                <w:sz w:val="24"/>
              </w:rPr>
              <w:t>文件规定的格式填写、签署和盖章，并以.jmbs格式上传至政采云开评标平台（</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文件为正本扫描件）。</w:t>
            </w:r>
          </w:p>
          <w:p w14:paraId="55CE5309">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b/>
                <w:bCs/>
                <w:color w:val="000000"/>
                <w:sz w:val="24"/>
              </w:rPr>
            </w:pPr>
            <w:r>
              <w:rPr>
                <w:rFonts w:hint="eastAsia" w:ascii="仿宋" w:hAnsi="仿宋" w:eastAsia="仿宋" w:cs="仿宋"/>
                <w:b/>
                <w:bCs/>
                <w:color w:val="000000"/>
                <w:sz w:val="24"/>
              </w:rPr>
              <w:t>（</w:t>
            </w:r>
            <w:r>
              <w:rPr>
                <w:rFonts w:hint="eastAsia" w:ascii="仿宋" w:hAnsi="仿宋" w:eastAsia="仿宋" w:cs="仿宋"/>
                <w:b/>
                <w:bCs/>
                <w:color w:val="000000"/>
                <w:sz w:val="24"/>
                <w:lang w:val="en-US" w:eastAsia="zh-CN"/>
              </w:rPr>
              <w:t>10</w:t>
            </w:r>
            <w:r>
              <w:rPr>
                <w:rFonts w:hint="eastAsia" w:ascii="仿宋" w:hAnsi="仿宋" w:eastAsia="仿宋" w:cs="仿宋"/>
                <w:b/>
                <w:bCs/>
                <w:color w:val="000000"/>
                <w:sz w:val="24"/>
              </w:rPr>
              <w:t>）解密时长为30分钟。</w:t>
            </w:r>
          </w:p>
          <w:p w14:paraId="482A0AB2">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）须供应商提供备份的</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w:t>
            </w:r>
          </w:p>
        </w:tc>
      </w:tr>
      <w:tr w14:paraId="3135B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vAlign w:val="center"/>
          </w:tcPr>
          <w:p w14:paraId="5976728C">
            <w:pPr>
              <w:spacing w:line="240" w:lineRule="atLeast"/>
              <w:jc w:val="center"/>
              <w:rPr>
                <w:rFonts w:ascii="仿宋" w:hAnsi="仿宋" w:eastAsia="仿宋" w:cs="仿宋"/>
                <w:color w:val="000000"/>
                <w:sz w:val="24"/>
              </w:rPr>
            </w:pPr>
            <w:r>
              <w:rPr>
                <w:rFonts w:hint="eastAsia" w:ascii="仿宋" w:hAnsi="仿宋" w:eastAsia="仿宋" w:cs="仿宋"/>
                <w:color w:val="000000"/>
                <w:sz w:val="24"/>
              </w:rPr>
              <w:t>16</w:t>
            </w:r>
          </w:p>
        </w:tc>
        <w:tc>
          <w:tcPr>
            <w:tcW w:w="7364" w:type="dxa"/>
            <w:vAlign w:val="center"/>
          </w:tcPr>
          <w:p w14:paraId="69482633">
            <w:pPr>
              <w:spacing w:line="240" w:lineRule="atLeast"/>
              <w:rPr>
                <w:rFonts w:hint="eastAsia" w:ascii="仿宋" w:hAnsi="仿宋" w:eastAsia="仿宋" w:cs="仿宋"/>
                <w:b/>
                <w:bCs/>
                <w:color w:val="000000"/>
                <w:sz w:val="24"/>
              </w:rPr>
            </w:pPr>
            <w:r>
              <w:rPr>
                <w:rFonts w:hint="eastAsia" w:ascii="仿宋" w:hAnsi="仿宋" w:eastAsia="仿宋" w:cs="仿宋"/>
                <w:b/>
                <w:bCs/>
                <w:color w:val="000000"/>
                <w:sz w:val="24"/>
              </w:rPr>
              <w:t>投标截止时间：</w:t>
            </w:r>
            <w:r>
              <w:rPr>
                <w:rFonts w:hint="eastAsia" w:ascii="仿宋" w:hAnsi="仿宋" w:eastAsia="仿宋" w:cs="仿宋"/>
                <w:b/>
                <w:bCs/>
                <w:color w:val="000000"/>
                <w:sz w:val="24"/>
                <w:lang w:eastAsia="zh-CN"/>
              </w:rPr>
              <w:t>2026年0</w:t>
            </w:r>
            <w:r>
              <w:rPr>
                <w:rFonts w:hint="eastAsia" w:ascii="仿宋" w:hAnsi="仿宋" w:eastAsia="仿宋" w:cs="仿宋"/>
                <w:b/>
                <w:bCs/>
                <w:color w:val="000000"/>
                <w:sz w:val="24"/>
                <w:lang w:val="en-US" w:eastAsia="zh-CN"/>
              </w:rPr>
              <w:t>5</w:t>
            </w:r>
            <w:r>
              <w:rPr>
                <w:rFonts w:hint="eastAsia" w:ascii="仿宋" w:hAnsi="仿宋" w:eastAsia="仿宋" w:cs="仿宋"/>
                <w:b/>
                <w:bCs/>
                <w:color w:val="000000"/>
                <w:sz w:val="24"/>
                <w:lang w:eastAsia="zh-CN"/>
              </w:rPr>
              <w:t>月</w:t>
            </w:r>
            <w:r>
              <w:rPr>
                <w:rFonts w:hint="eastAsia" w:ascii="仿宋" w:hAnsi="仿宋" w:eastAsia="仿宋" w:cs="仿宋"/>
                <w:b/>
                <w:bCs/>
                <w:color w:val="000000"/>
                <w:sz w:val="24"/>
                <w:lang w:val="en-US" w:eastAsia="zh-CN"/>
              </w:rPr>
              <w:t>08</w:t>
            </w:r>
            <w:r>
              <w:rPr>
                <w:rFonts w:hint="eastAsia" w:ascii="仿宋" w:hAnsi="仿宋" w:eastAsia="仿宋" w:cs="仿宋"/>
                <w:b/>
                <w:bCs/>
                <w:color w:val="000000"/>
                <w:sz w:val="24"/>
                <w:lang w:eastAsia="zh-CN"/>
              </w:rPr>
              <w:t>日</w:t>
            </w:r>
            <w:r>
              <w:rPr>
                <w:rFonts w:hint="eastAsia" w:ascii="仿宋" w:hAnsi="仿宋" w:eastAsia="仿宋" w:cs="仿宋"/>
                <w:b/>
                <w:bCs/>
                <w:color w:val="000000"/>
                <w:sz w:val="24"/>
              </w:rPr>
              <w:t xml:space="preserve"> 11:00</w:t>
            </w:r>
          </w:p>
        </w:tc>
      </w:tr>
      <w:tr w14:paraId="0EED8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14:paraId="5681DE16">
            <w:pPr>
              <w:spacing w:line="240" w:lineRule="atLeast"/>
              <w:jc w:val="center"/>
              <w:rPr>
                <w:rFonts w:ascii="仿宋" w:hAnsi="仿宋" w:eastAsia="仿宋" w:cs="仿宋"/>
                <w:color w:val="000000"/>
                <w:sz w:val="24"/>
              </w:rPr>
            </w:pPr>
            <w:r>
              <w:rPr>
                <w:rFonts w:hint="eastAsia" w:ascii="仿宋" w:hAnsi="仿宋" w:eastAsia="仿宋" w:cs="仿宋"/>
                <w:color w:val="000000"/>
                <w:sz w:val="24"/>
              </w:rPr>
              <w:t>16.2</w:t>
            </w:r>
          </w:p>
        </w:tc>
        <w:tc>
          <w:tcPr>
            <w:tcW w:w="7364" w:type="dxa"/>
            <w:vAlign w:val="center"/>
          </w:tcPr>
          <w:p w14:paraId="288EEAA5">
            <w:pPr>
              <w:spacing w:line="240" w:lineRule="atLeas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接收投标文件递交地点：政采云平台http://www.zcygov.cn</w:t>
            </w:r>
          </w:p>
          <w:p w14:paraId="745EEF5D">
            <w:pPr>
              <w:spacing w:line="240" w:lineRule="atLeast"/>
              <w:rPr>
                <w:rFonts w:hint="eastAsia"/>
                <w:color w:val="000000"/>
              </w:rPr>
            </w:pPr>
            <w:r>
              <w:rPr>
                <w:rFonts w:hint="eastAsia" w:ascii="仿宋" w:hAnsi="仿宋" w:eastAsia="仿宋" w:cs="仿宋"/>
                <w:b/>
                <w:bCs/>
                <w:color w:val="000000"/>
                <w:sz w:val="24"/>
                <w:szCs w:val="24"/>
                <w:lang w:val="en-US" w:eastAsia="zh-CN"/>
              </w:rPr>
              <w:t>不见面开标大厅不见面开标默认解密时长：30分钟，如因供应商自身原因导致在规定时间内无法正常解密的（如：浏览器故障、未安装相关驱动、网络故障、加密CA与解密CA不一致等），采购代理机构不予异常处理，视为其投标文件逾期递交。</w:t>
            </w:r>
          </w:p>
        </w:tc>
      </w:tr>
      <w:tr w14:paraId="7ACA6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vAlign w:val="center"/>
          </w:tcPr>
          <w:p w14:paraId="28C47A42">
            <w:pPr>
              <w:spacing w:line="240" w:lineRule="atLeast"/>
              <w:jc w:val="center"/>
              <w:rPr>
                <w:rFonts w:ascii="仿宋" w:hAnsi="仿宋" w:eastAsia="仿宋" w:cs="仿宋"/>
                <w:color w:val="000000"/>
                <w:sz w:val="24"/>
              </w:rPr>
            </w:pPr>
            <w:r>
              <w:rPr>
                <w:rFonts w:hint="eastAsia" w:ascii="仿宋" w:hAnsi="仿宋" w:eastAsia="仿宋" w:cs="仿宋"/>
                <w:color w:val="000000"/>
                <w:sz w:val="24"/>
              </w:rPr>
              <w:t>26</w:t>
            </w:r>
          </w:p>
        </w:tc>
        <w:tc>
          <w:tcPr>
            <w:tcW w:w="7364" w:type="dxa"/>
            <w:vAlign w:val="center"/>
          </w:tcPr>
          <w:p w14:paraId="3DD974D4">
            <w:pPr>
              <w:spacing w:line="240" w:lineRule="atLeast"/>
              <w:rPr>
                <w:rFonts w:ascii="仿宋" w:hAnsi="仿宋" w:eastAsia="仿宋" w:cs="仿宋"/>
                <w:i/>
                <w:color w:val="000000"/>
                <w:sz w:val="24"/>
              </w:rPr>
            </w:pPr>
            <w:r>
              <w:rPr>
                <w:rFonts w:hint="eastAsia" w:ascii="仿宋" w:hAnsi="仿宋" w:eastAsia="仿宋" w:cs="仿宋"/>
                <w:color w:val="000000"/>
                <w:sz w:val="24"/>
              </w:rPr>
              <w:t>评标方法：</w:t>
            </w:r>
            <w:r>
              <w:rPr>
                <w:rFonts w:hint="eastAsia" w:ascii="仿宋" w:hAnsi="仿宋" w:eastAsia="仿宋" w:cs="仿宋"/>
                <w:b/>
                <w:bCs/>
                <w:color w:val="000000"/>
                <w:sz w:val="24"/>
              </w:rPr>
              <w:t>综合评分法</w:t>
            </w:r>
            <w:r>
              <w:rPr>
                <w:rFonts w:hint="eastAsia" w:ascii="仿宋" w:hAnsi="仿宋" w:eastAsia="仿宋" w:cs="仿宋"/>
                <w:color w:val="000000"/>
                <w:sz w:val="24"/>
              </w:rPr>
              <w:t>　　　</w:t>
            </w:r>
          </w:p>
        </w:tc>
      </w:tr>
      <w:tr w14:paraId="2610D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14:paraId="32D91C64">
            <w:pPr>
              <w:spacing w:line="240" w:lineRule="atLeast"/>
              <w:jc w:val="center"/>
              <w:rPr>
                <w:rFonts w:ascii="仿宋" w:hAnsi="仿宋" w:eastAsia="仿宋" w:cs="仿宋"/>
                <w:color w:val="000000"/>
                <w:sz w:val="24"/>
              </w:rPr>
            </w:pPr>
            <w:r>
              <w:rPr>
                <w:rFonts w:hint="eastAsia" w:ascii="仿宋" w:hAnsi="仿宋" w:eastAsia="仿宋" w:cs="仿宋"/>
                <w:color w:val="000000"/>
                <w:sz w:val="24"/>
              </w:rPr>
              <w:t>27</w:t>
            </w:r>
          </w:p>
        </w:tc>
        <w:tc>
          <w:tcPr>
            <w:tcW w:w="7364" w:type="dxa"/>
            <w:vAlign w:val="center"/>
          </w:tcPr>
          <w:p w14:paraId="1DA5BEFA">
            <w:pPr>
              <w:spacing w:line="240" w:lineRule="atLeast"/>
              <w:rPr>
                <w:rFonts w:ascii="仿宋" w:hAnsi="仿宋" w:eastAsia="仿宋" w:cs="仿宋"/>
                <w:color w:val="000000"/>
                <w:sz w:val="24"/>
              </w:rPr>
            </w:pPr>
            <w:r>
              <w:rPr>
                <w:rFonts w:hint="eastAsia" w:ascii="仿宋" w:hAnsi="仿宋" w:eastAsia="仿宋" w:cs="仿宋"/>
                <w:color w:val="000000"/>
                <w:sz w:val="24"/>
              </w:rPr>
              <w:t>推荐中标候选供应商的数量：</w:t>
            </w:r>
            <w:r>
              <w:rPr>
                <w:rFonts w:hint="eastAsia" w:ascii="仿宋" w:hAnsi="仿宋" w:eastAsia="仿宋" w:cs="仿宋"/>
                <w:color w:val="000000"/>
                <w:sz w:val="24"/>
                <w:u w:val="single"/>
              </w:rPr>
              <w:t>3个</w:t>
            </w:r>
          </w:p>
        </w:tc>
      </w:tr>
      <w:tr w14:paraId="6C083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14:paraId="2487A61F">
            <w:pPr>
              <w:spacing w:line="240" w:lineRule="atLeast"/>
              <w:jc w:val="center"/>
              <w:rPr>
                <w:rFonts w:ascii="仿宋" w:hAnsi="仿宋" w:eastAsia="仿宋" w:cs="仿宋"/>
                <w:color w:val="000000"/>
                <w:sz w:val="24"/>
              </w:rPr>
            </w:pPr>
            <w:r>
              <w:rPr>
                <w:rFonts w:hint="eastAsia" w:ascii="仿宋" w:hAnsi="仿宋" w:eastAsia="仿宋" w:cs="仿宋"/>
                <w:color w:val="000000"/>
                <w:sz w:val="24"/>
              </w:rPr>
              <w:t>27</w:t>
            </w:r>
          </w:p>
        </w:tc>
        <w:tc>
          <w:tcPr>
            <w:tcW w:w="7364" w:type="dxa"/>
            <w:vAlign w:val="center"/>
          </w:tcPr>
          <w:p w14:paraId="6ECC0A0C">
            <w:pPr>
              <w:spacing w:line="240" w:lineRule="atLeast"/>
              <w:rPr>
                <w:rFonts w:ascii="仿宋" w:hAnsi="仿宋" w:eastAsia="仿宋" w:cs="仿宋"/>
                <w:color w:val="000000"/>
                <w:sz w:val="24"/>
              </w:rPr>
            </w:pPr>
            <w:r>
              <w:rPr>
                <w:rFonts w:hint="eastAsia" w:ascii="仿宋" w:hAnsi="仿宋" w:eastAsia="仿宋" w:cs="仿宋"/>
                <w:color w:val="000000"/>
                <w:sz w:val="24"/>
              </w:rPr>
              <w:t>招标人是否委托评标委员会直接确定中标人：</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28500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trPr>
        <w:tc>
          <w:tcPr>
            <w:tcW w:w="944" w:type="dxa"/>
            <w:vAlign w:val="center"/>
          </w:tcPr>
          <w:p w14:paraId="2BACE950">
            <w:pPr>
              <w:spacing w:line="240" w:lineRule="atLeast"/>
              <w:ind w:firstLine="420" w:firstLineChars="200"/>
              <w:rPr>
                <w:rFonts w:ascii="仿宋" w:hAnsi="仿宋" w:eastAsia="仿宋" w:cs="仿宋"/>
                <w:color w:val="000000"/>
              </w:rPr>
            </w:pPr>
            <w:r>
              <w:rPr>
                <w:rFonts w:hint="eastAsia" w:ascii="仿宋" w:hAnsi="仿宋" w:eastAsia="仿宋" w:cs="仿宋"/>
                <w:color w:val="000000"/>
              </w:rPr>
              <w:t>31</w:t>
            </w:r>
          </w:p>
        </w:tc>
        <w:tc>
          <w:tcPr>
            <w:tcW w:w="7364" w:type="dxa"/>
            <w:vAlign w:val="center"/>
          </w:tcPr>
          <w:p w14:paraId="12021D7F">
            <w:pPr>
              <w:rPr>
                <w:rFonts w:ascii="仿宋" w:hAnsi="仿宋" w:eastAsia="仿宋" w:cs="仿宋"/>
                <w:color w:val="000000"/>
                <w:sz w:val="24"/>
              </w:rPr>
            </w:pPr>
            <w:r>
              <w:rPr>
                <w:rFonts w:hint="eastAsia" w:ascii="仿宋" w:hAnsi="仿宋" w:eastAsia="仿宋" w:cs="仿宋"/>
                <w:b/>
                <w:bCs/>
                <w:color w:val="000000"/>
              </w:rPr>
              <w:t>屡</w:t>
            </w:r>
            <w:r>
              <w:rPr>
                <w:rFonts w:hint="eastAsia" w:ascii="仿宋" w:hAnsi="仿宋" w:eastAsia="仿宋" w:cs="仿宋"/>
                <w:b/>
                <w:bCs/>
                <w:color w:val="000000"/>
                <w:sz w:val="24"/>
              </w:rPr>
              <w:t>约保证金金额：合同总价的5%（不得超过政府采购合同金额的10%）</w:t>
            </w:r>
          </w:p>
          <w:p w14:paraId="5F8A3586">
            <w:pPr>
              <w:rPr>
                <w:rFonts w:ascii="仿宋" w:hAnsi="仿宋" w:eastAsia="仿宋" w:cs="仿宋"/>
                <w:color w:val="000000"/>
                <w:sz w:val="24"/>
              </w:rPr>
            </w:pPr>
            <w:r>
              <w:rPr>
                <w:rFonts w:hint="eastAsia" w:ascii="仿宋" w:hAnsi="仿宋" w:eastAsia="仿宋" w:cs="仿宋"/>
                <w:color w:val="000000"/>
                <w:sz w:val="24"/>
              </w:rPr>
              <w:t>履约保证金形式：电汇、网银、保函.</w:t>
            </w:r>
          </w:p>
          <w:p w14:paraId="282A453D">
            <w:pPr>
              <w:rPr>
                <w:rFonts w:ascii="仿宋" w:hAnsi="仿宋" w:eastAsia="仿宋" w:cs="仿宋"/>
                <w:color w:val="000000"/>
              </w:rPr>
            </w:pPr>
            <w:r>
              <w:rPr>
                <w:rFonts w:hint="eastAsia" w:ascii="仿宋" w:hAnsi="仿宋" w:eastAsia="仿宋" w:cs="仿宋"/>
                <w:color w:val="000000"/>
                <w:sz w:val="24"/>
              </w:rPr>
              <w:t>提交履约保证金的时间：领取中标通知书</w:t>
            </w:r>
            <w:r>
              <w:rPr>
                <w:rFonts w:hint="eastAsia" w:ascii="仿宋" w:hAnsi="仿宋" w:eastAsia="仿宋" w:cs="仿宋"/>
                <w:color w:val="000000"/>
                <w:sz w:val="24"/>
                <w:lang w:val="en-US" w:eastAsia="zh-CN"/>
              </w:rPr>
              <w:t>10</w:t>
            </w:r>
            <w:r>
              <w:rPr>
                <w:rFonts w:hint="eastAsia" w:ascii="仿宋" w:hAnsi="仿宋" w:eastAsia="仿宋" w:cs="仿宋"/>
                <w:color w:val="000000"/>
                <w:sz w:val="24"/>
              </w:rPr>
              <w:t>日内（日历日）将履约</w:t>
            </w:r>
            <w:r>
              <w:rPr>
                <w:rFonts w:hint="eastAsia" w:ascii="仿宋" w:hAnsi="仿宋" w:eastAsia="仿宋" w:cs="仿宋"/>
                <w:color w:val="000000"/>
                <w:sz w:val="24"/>
                <w:lang w:val="en-US" w:eastAsia="zh-CN"/>
              </w:rPr>
              <w:t>保证金</w:t>
            </w:r>
            <w:r>
              <w:rPr>
                <w:rFonts w:hint="eastAsia" w:ascii="仿宋" w:hAnsi="仿宋" w:eastAsia="仿宋" w:cs="仿宋"/>
                <w:color w:val="000000"/>
                <w:sz w:val="24"/>
              </w:rPr>
              <w:t>办理完成。</w:t>
            </w:r>
          </w:p>
        </w:tc>
      </w:tr>
      <w:tr w14:paraId="41CE9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14:paraId="68D78026">
            <w:pPr>
              <w:spacing w:line="240" w:lineRule="atLeast"/>
              <w:jc w:val="center"/>
              <w:rPr>
                <w:rFonts w:ascii="仿宋" w:hAnsi="仿宋" w:eastAsia="仿宋" w:cs="仿宋"/>
                <w:color w:val="000000"/>
                <w:sz w:val="24"/>
              </w:rPr>
            </w:pPr>
            <w:r>
              <w:rPr>
                <w:rFonts w:hint="eastAsia" w:ascii="仿宋" w:hAnsi="仿宋" w:eastAsia="仿宋" w:cs="仿宋"/>
                <w:color w:val="000000"/>
                <w:sz w:val="24"/>
              </w:rPr>
              <w:t>32</w:t>
            </w:r>
          </w:p>
        </w:tc>
        <w:tc>
          <w:tcPr>
            <w:tcW w:w="7364" w:type="dxa"/>
            <w:vAlign w:val="center"/>
          </w:tcPr>
          <w:p w14:paraId="1714B73F">
            <w:pPr>
              <w:spacing w:line="240" w:lineRule="atLeast"/>
              <w:rPr>
                <w:rFonts w:hint="eastAsia" w:ascii="仿宋" w:hAnsi="仿宋" w:eastAsia="仿宋" w:cs="仿宋"/>
                <w:color w:val="000000"/>
                <w:sz w:val="24"/>
                <w:highlight w:val="none"/>
              </w:rPr>
            </w:pPr>
            <w:r>
              <w:rPr>
                <w:rFonts w:hint="eastAsia" w:ascii="仿宋" w:hAnsi="仿宋" w:eastAsia="仿宋" w:cs="仿宋"/>
                <w:color w:val="000000"/>
                <w:sz w:val="24"/>
                <w:highlight w:val="none"/>
              </w:rPr>
              <w:t>代理服务费:</w:t>
            </w:r>
            <w:r>
              <w:rPr>
                <w:rFonts w:hint="eastAsia" w:ascii="仿宋" w:hAnsi="仿宋" w:eastAsia="仿宋" w:cs="仿宋"/>
                <w:color w:val="000000"/>
                <w:sz w:val="24"/>
                <w:szCs w:val="24"/>
                <w:highlight w:val="none"/>
                <w:lang w:val="en-US" w:eastAsia="zh-CN"/>
              </w:rPr>
              <w:t>参照发改价格【2015】299文，招标代理服务费由采购单位和代理机构协商确定，由中标人支付代理服务费，</w:t>
            </w:r>
            <w:r>
              <w:rPr>
                <w:rFonts w:hint="eastAsia" w:ascii="仿宋" w:hAnsi="仿宋" w:eastAsia="仿宋" w:cs="仿宋"/>
                <w:b/>
                <w:bCs/>
                <w:color w:val="000000"/>
                <w:sz w:val="24"/>
                <w:highlight w:val="none"/>
                <w:lang w:val="en-US" w:eastAsia="zh-CN"/>
              </w:rPr>
              <w:t>按差额定率累进法计算，以中标价为计算基数下浮35%收取代理服务费。（由中标人在领取中标通知书时一次性支付）</w:t>
            </w:r>
            <w:r>
              <w:rPr>
                <w:rFonts w:hint="eastAsia" w:ascii="仿宋" w:hAnsi="仿宋" w:eastAsia="仿宋" w:cs="仿宋"/>
                <w:color w:val="000000"/>
                <w:sz w:val="24"/>
                <w:highlight w:val="none"/>
              </w:rPr>
              <w:t xml:space="preserve"> </w:t>
            </w:r>
          </w:p>
          <w:p w14:paraId="28249D5B">
            <w:pPr>
              <w:rPr>
                <w:rFonts w:ascii="仿宋" w:hAnsi="仿宋" w:eastAsia="仿宋" w:cs="仿宋"/>
                <w:color w:val="000000"/>
                <w:sz w:val="24"/>
                <w:highlight w:val="none"/>
              </w:rPr>
            </w:pPr>
            <w:r>
              <w:rPr>
                <w:rFonts w:hint="eastAsia" w:ascii="仿宋" w:hAnsi="仿宋" w:eastAsia="仿宋" w:cs="仿宋"/>
                <w:color w:val="000000"/>
                <w:sz w:val="24"/>
                <w:highlight w:val="none"/>
              </w:rPr>
              <w:t>支付形式：电汇、网银</w:t>
            </w:r>
          </w:p>
          <w:p w14:paraId="04D55F4A">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支付时间：领取中标通知书时</w:t>
            </w:r>
          </w:p>
          <w:p w14:paraId="7A54EA22">
            <w:pPr>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代理费收款账户：</w:t>
            </w:r>
          </w:p>
          <w:p w14:paraId="6BA1C05D">
            <w:pPr>
              <w:spacing w:line="240" w:lineRule="atLeast"/>
              <w:rPr>
                <w:rFonts w:hint="eastAsia" w:ascii="仿宋" w:hAnsi="仿宋" w:eastAsia="仿宋" w:cs="仿宋"/>
                <w:color w:val="000000"/>
                <w:sz w:val="24"/>
              </w:rPr>
            </w:pPr>
            <w:r>
              <w:rPr>
                <w:rFonts w:hint="eastAsia" w:ascii="仿宋" w:hAnsi="仿宋" w:eastAsia="仿宋" w:cs="仿宋"/>
                <w:color w:val="000000"/>
                <w:sz w:val="24"/>
              </w:rPr>
              <w:t>新疆方中圆工程项目管理有限公司</w:t>
            </w:r>
          </w:p>
          <w:p w14:paraId="483EB2B0">
            <w:pPr>
              <w:spacing w:line="240" w:lineRule="atLeast"/>
              <w:rPr>
                <w:rFonts w:hint="eastAsia" w:ascii="仿宋" w:hAnsi="仿宋" w:eastAsia="仿宋" w:cs="仿宋"/>
                <w:color w:val="000000"/>
                <w:sz w:val="24"/>
              </w:rPr>
            </w:pPr>
            <w:r>
              <w:rPr>
                <w:rFonts w:hint="eastAsia" w:ascii="仿宋" w:hAnsi="仿宋" w:eastAsia="仿宋" w:cs="仿宋"/>
                <w:color w:val="000000"/>
                <w:sz w:val="24"/>
              </w:rPr>
              <w:t>税号：91653100096571376P</w:t>
            </w:r>
          </w:p>
          <w:p w14:paraId="362709B2">
            <w:pPr>
              <w:spacing w:line="240" w:lineRule="atLeast"/>
              <w:rPr>
                <w:rFonts w:hint="eastAsia" w:ascii="仿宋" w:hAnsi="仿宋" w:eastAsia="仿宋" w:cs="仿宋"/>
                <w:color w:val="000000"/>
                <w:sz w:val="24"/>
              </w:rPr>
            </w:pPr>
            <w:r>
              <w:rPr>
                <w:rFonts w:hint="eastAsia" w:ascii="仿宋" w:hAnsi="仿宋" w:eastAsia="仿宋" w:cs="仿宋"/>
                <w:color w:val="000000"/>
                <w:sz w:val="24"/>
              </w:rPr>
              <w:t>地址：新疆喀什地区喀什经济开发区深喀大道总部经济区浙商大厦14楼1402号</w:t>
            </w:r>
          </w:p>
          <w:p w14:paraId="32C95F0C">
            <w:pPr>
              <w:spacing w:line="240" w:lineRule="atLeast"/>
              <w:rPr>
                <w:rFonts w:hint="eastAsia" w:ascii="仿宋" w:hAnsi="仿宋" w:eastAsia="仿宋" w:cs="仿宋"/>
                <w:color w:val="000000"/>
                <w:sz w:val="24"/>
              </w:rPr>
            </w:pPr>
            <w:r>
              <w:rPr>
                <w:rFonts w:hint="eastAsia" w:ascii="仿宋" w:hAnsi="仿宋" w:eastAsia="仿宋" w:cs="仿宋"/>
                <w:color w:val="000000"/>
                <w:sz w:val="24"/>
              </w:rPr>
              <w:t>账号：860010012010107522022</w:t>
            </w:r>
          </w:p>
          <w:p w14:paraId="2407CD67">
            <w:pPr>
              <w:spacing w:line="240" w:lineRule="atLeast"/>
              <w:rPr>
                <w:rFonts w:hint="eastAsia" w:ascii="仿宋" w:hAnsi="仿宋" w:eastAsia="仿宋" w:cs="仿宋"/>
                <w:color w:val="000000"/>
                <w:sz w:val="24"/>
              </w:rPr>
            </w:pPr>
            <w:r>
              <w:rPr>
                <w:rFonts w:hint="eastAsia" w:ascii="仿宋" w:hAnsi="仿宋" w:eastAsia="仿宋" w:cs="仿宋"/>
                <w:color w:val="000000"/>
                <w:sz w:val="24"/>
              </w:rPr>
              <w:t>开户行：新疆喀什农村商业银行股份有限公司</w:t>
            </w:r>
          </w:p>
          <w:p w14:paraId="4FD724A5">
            <w:pPr>
              <w:spacing w:line="240" w:lineRule="atLeast"/>
              <w:rPr>
                <w:rFonts w:ascii="仿宋" w:hAnsi="仿宋" w:eastAsia="仿宋" w:cs="仿宋"/>
                <w:color w:val="000000"/>
                <w:sz w:val="24"/>
              </w:rPr>
            </w:pPr>
            <w:r>
              <w:rPr>
                <w:rFonts w:hint="eastAsia" w:ascii="仿宋" w:hAnsi="仿宋" w:eastAsia="仿宋" w:cs="仿宋"/>
                <w:color w:val="000000"/>
                <w:sz w:val="24"/>
              </w:rPr>
              <w:t>行号：402894000010</w:t>
            </w:r>
          </w:p>
        </w:tc>
      </w:tr>
      <w:tr w14:paraId="3BAEF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14:paraId="563E90F3">
            <w:pPr>
              <w:spacing w:line="240" w:lineRule="atLeast"/>
              <w:jc w:val="center"/>
              <w:rPr>
                <w:rFonts w:ascii="仿宋" w:hAnsi="仿宋" w:eastAsia="仿宋" w:cs="仿宋"/>
                <w:color w:val="000000"/>
                <w:sz w:val="24"/>
              </w:rPr>
            </w:pPr>
            <w:r>
              <w:rPr>
                <w:rFonts w:hint="eastAsia" w:ascii="仿宋" w:hAnsi="仿宋" w:eastAsia="仿宋" w:cs="仿宋"/>
                <w:color w:val="000000"/>
                <w:sz w:val="24"/>
              </w:rPr>
              <w:t>33.2</w:t>
            </w:r>
          </w:p>
        </w:tc>
        <w:tc>
          <w:tcPr>
            <w:tcW w:w="7364" w:type="dxa"/>
            <w:vAlign w:val="center"/>
          </w:tcPr>
          <w:p w14:paraId="0D38F33F">
            <w:pPr>
              <w:spacing w:line="240" w:lineRule="atLeast"/>
              <w:rPr>
                <w:rFonts w:ascii="仿宋" w:hAnsi="仿宋" w:eastAsia="仿宋" w:cs="仿宋"/>
                <w:color w:val="000000"/>
                <w:sz w:val="24"/>
              </w:rPr>
            </w:pPr>
            <w:r>
              <w:rPr>
                <w:rFonts w:hint="eastAsia" w:ascii="仿宋" w:hAnsi="仿宋" w:eastAsia="仿宋" w:cs="仿宋"/>
                <w:color w:val="000000"/>
                <w:sz w:val="24"/>
              </w:rPr>
              <w:t>本项目是否属于信用担保试点范围：</w:t>
            </w:r>
            <w:r>
              <w:rPr>
                <w:rFonts w:hint="eastAsia" w:ascii="仿宋" w:hAnsi="仿宋" w:eastAsia="仿宋" w:cs="仿宋"/>
                <w:color w:val="000000"/>
                <w:sz w:val="24"/>
                <w:u w:val="single"/>
                <w:lang w:val="en-US" w:eastAsia="zh-CN"/>
              </w:rPr>
              <w:t>是</w:t>
            </w:r>
            <w:r>
              <w:rPr>
                <w:rFonts w:hint="eastAsia" w:ascii="仿宋" w:hAnsi="仿宋" w:eastAsia="仿宋" w:cs="仿宋"/>
                <w:i/>
                <w:color w:val="000000"/>
                <w:sz w:val="24"/>
              </w:rPr>
              <w:t>（是、否）</w:t>
            </w:r>
          </w:p>
        </w:tc>
      </w:tr>
      <w:tr w14:paraId="3B862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44" w:type="dxa"/>
            <w:vAlign w:val="center"/>
          </w:tcPr>
          <w:p w14:paraId="5F26D7C4">
            <w:pPr>
              <w:spacing w:line="240" w:lineRule="atLeast"/>
              <w:jc w:val="center"/>
              <w:rPr>
                <w:rFonts w:ascii="仿宋" w:hAnsi="仿宋" w:eastAsia="仿宋" w:cs="仿宋"/>
                <w:color w:val="000000"/>
                <w:sz w:val="24"/>
              </w:rPr>
            </w:pPr>
          </w:p>
        </w:tc>
        <w:tc>
          <w:tcPr>
            <w:tcW w:w="7364" w:type="dxa"/>
            <w:vAlign w:val="center"/>
          </w:tcPr>
          <w:p w14:paraId="6FF741AA">
            <w:pPr>
              <w:rPr>
                <w:rFonts w:ascii="仿宋" w:hAnsi="仿宋" w:eastAsia="仿宋" w:cs="仿宋"/>
                <w:color w:val="000000"/>
                <w:sz w:val="24"/>
              </w:rPr>
            </w:pPr>
            <w:r>
              <w:rPr>
                <w:rFonts w:hint="eastAsia" w:ascii="仿宋" w:hAnsi="仿宋" w:eastAsia="仿宋" w:cs="仿宋"/>
                <w:color w:val="000000"/>
                <w:sz w:val="24"/>
              </w:rPr>
              <w:t>适用于本投标人须知的额外增加的变动：无</w:t>
            </w:r>
          </w:p>
        </w:tc>
      </w:tr>
    </w:tbl>
    <w:p w14:paraId="13800A8B">
      <w:pPr>
        <w:spacing w:line="240" w:lineRule="atLeast"/>
        <w:ind w:left="1080" w:leftChars="257" w:hanging="540"/>
        <w:rPr>
          <w:rFonts w:ascii="仿宋" w:hAnsi="仿宋" w:eastAsia="仿宋" w:cs="仿宋"/>
          <w:color w:val="000000"/>
          <w:sz w:val="24"/>
        </w:rPr>
        <w:sectPr>
          <w:headerReference r:id="rId8" w:type="default"/>
          <w:pgSz w:w="11906" w:h="16838"/>
          <w:pgMar w:top="1440" w:right="1797" w:bottom="1440" w:left="1797" w:header="851" w:footer="992" w:gutter="0"/>
          <w:cols w:space="720" w:num="1"/>
          <w:docGrid w:linePitch="312" w:charSpace="0"/>
        </w:sectPr>
      </w:pPr>
    </w:p>
    <w:p w14:paraId="25F50D57">
      <w:pPr>
        <w:pStyle w:val="3"/>
        <w:bidi w:val="0"/>
        <w:rPr>
          <w:rFonts w:hint="eastAsia"/>
          <w:color w:val="000000"/>
        </w:rPr>
      </w:pPr>
      <w:bookmarkStart w:id="490" w:name="_Toc31263"/>
      <w:r>
        <w:rPr>
          <w:rFonts w:hint="eastAsia"/>
          <w:lang w:val="en-US" w:eastAsia="zh-CN"/>
        </w:rPr>
        <w:t>第五章、采购需求</w:t>
      </w:r>
      <w:bookmarkEnd w:id="490"/>
      <w:bookmarkStart w:id="491" w:name="_Toc7971"/>
      <w:bookmarkStart w:id="492" w:name="_Toc515647832"/>
      <w:bookmarkStart w:id="493" w:name="_Toc507399907"/>
      <w:bookmarkStart w:id="494" w:name="_Toc32647"/>
    </w:p>
    <w:p w14:paraId="1C97DFCB">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w:t>
      </w:r>
      <w:r>
        <w:rPr>
          <w:rFonts w:hint="eastAsia" w:ascii="仿宋" w:hAnsi="仿宋" w:eastAsia="仿宋" w:cs="仿宋"/>
          <w:b/>
          <w:bCs/>
          <w:color w:val="000000"/>
          <w:sz w:val="24"/>
          <w:szCs w:val="24"/>
          <w:lang w:val="en-US" w:eastAsia="zh-CN"/>
        </w:rPr>
        <w:t>技术</w:t>
      </w:r>
      <w:r>
        <w:rPr>
          <w:rFonts w:hint="eastAsia" w:ascii="仿宋" w:hAnsi="仿宋" w:eastAsia="仿宋" w:cs="仿宋"/>
          <w:b/>
          <w:bCs/>
          <w:color w:val="000000"/>
          <w:sz w:val="24"/>
          <w:szCs w:val="24"/>
        </w:rPr>
        <w:t>要求</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64"/>
        <w:gridCol w:w="5976"/>
        <w:gridCol w:w="541"/>
        <w:gridCol w:w="665"/>
      </w:tblGrid>
      <w:tr w14:paraId="239C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tcPr>
          <w:p w14:paraId="04BB72F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187" w:type="dxa"/>
          </w:tcPr>
          <w:p w14:paraId="16CE4DE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设备名称</w:t>
            </w:r>
          </w:p>
        </w:tc>
        <w:tc>
          <w:tcPr>
            <w:tcW w:w="5134" w:type="dxa"/>
          </w:tcPr>
          <w:p w14:paraId="1A7F5DD4">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运维服务内容</w:t>
            </w:r>
          </w:p>
        </w:tc>
        <w:tc>
          <w:tcPr>
            <w:tcW w:w="657" w:type="dxa"/>
          </w:tcPr>
          <w:p w14:paraId="726C449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787" w:type="dxa"/>
          </w:tcPr>
          <w:p w14:paraId="2C23F1E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r>
      <w:tr w14:paraId="7152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vAlign w:val="center"/>
          </w:tcPr>
          <w:p w14:paraId="60356FA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187" w:type="dxa"/>
            <w:vMerge w:val="restart"/>
            <w:vAlign w:val="center"/>
          </w:tcPr>
          <w:p w14:paraId="1102D38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移动执法终端的运行保障及维修替换服务</w:t>
            </w:r>
          </w:p>
        </w:tc>
        <w:tc>
          <w:tcPr>
            <w:tcW w:w="5134" w:type="dxa"/>
          </w:tcPr>
          <w:p w14:paraId="6BDBA19C">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1.1、处理器 国产高性能CPU，满足信息产品国产化要求，处理器不低于12核，主频不低于2.4GHz。</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1.2、操作系统 采用国产操作系统，符合系统国产化要求，并提供中国电子技术标准化研究院、中国信息安全测评中心、中国信息通讯研究院等国家级权威机构出具检测报告或测评证书。</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1.3、运行内存 运行内存≥12G，存储空间≥256G。</w:t>
            </w:r>
          </w:p>
          <w:p w14:paraId="79021FFC">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1.4、▲电池 电池容量≥5200mAh。支持无线快充。</w:t>
            </w:r>
          </w:p>
          <w:p w14:paraId="5D2CB577">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大于5200mAh，任意一项为正偏离。</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1.5 、NFC 内置NFC模块，支持读卡器模式，卡模拟模式</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1.6、防护能力 支持在GB/T 4208-2017（国内）标准下达到 IP68级防护</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1.7、服务网点， 有售后服务网点，并在所投产品生产商官网可查询。提供终端生产厂家官网截图，并出具移动警务终端售后承诺函并加盖公章。</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1.8、双系统隔离 两个操作系统运行在不同ROM空间，独立运行，完全隔离；两个系统的文件系统、网络连接、外围接口、用户数据都彼此隔离，不能相互访问；任何一个系统不能删除、创建或控制另外一个系统；一个系统重置不影响另外有一个系统。</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1.9、双卡双在线 支持两张卡分别同时接入公共APN和专属APN，业务同时在线。切换工作模式后，禁用生活SIM卡。</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1.10、安全水印 支持系统级全局水印功能，防止偷拍屏幕造成信息泄露，同时支持防截屏、防录屏</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1.11、产品授权 所投产品，须提供手机硬件生产厂家及系统定制厂家针对本项目的在有效期内的授权</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1.12、安全认证 终端须满足《司法行政移动执法系统技术规范》（SF/T 0049—2020）中第五部分：终端技术要求，并提供具备CNAS标识的检测报告。</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1.13、执行标准</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满足《智能手机型移动警务终端 第1部分：技术要求》（GA/T 1466.1-2018）并出具的检测报告</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1.14、需提供移动警务终端所需通话、流量、短信服务同网网内通话免费，并不限长短号，但短号必须与同系统内短号通话互通，通话时长≥2000分钟，互联网流量≥100G，专网流量≥50G，短信≥100条。以上套餐超过原有基础的10%，（原有号段销户），为正偏离。</w:t>
            </w:r>
          </w:p>
        </w:tc>
        <w:tc>
          <w:tcPr>
            <w:tcW w:w="657" w:type="dxa"/>
            <w:vMerge w:val="restart"/>
            <w:vAlign w:val="center"/>
          </w:tcPr>
          <w:p w14:paraId="025017F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户</w:t>
            </w:r>
          </w:p>
        </w:tc>
        <w:tc>
          <w:tcPr>
            <w:tcW w:w="787" w:type="dxa"/>
            <w:vMerge w:val="restart"/>
            <w:vAlign w:val="center"/>
          </w:tcPr>
          <w:p w14:paraId="0201769E">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760</w:t>
            </w:r>
          </w:p>
        </w:tc>
      </w:tr>
      <w:tr w14:paraId="6842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3CE2F0BD">
            <w:pPr>
              <w:rPr>
                <w:rFonts w:hint="eastAsia" w:ascii="仿宋" w:hAnsi="仿宋" w:eastAsia="仿宋" w:cs="仿宋"/>
                <w:sz w:val="24"/>
                <w:szCs w:val="24"/>
                <w:vertAlign w:val="baseline"/>
              </w:rPr>
            </w:pPr>
          </w:p>
        </w:tc>
        <w:tc>
          <w:tcPr>
            <w:tcW w:w="1187" w:type="dxa"/>
            <w:vMerge w:val="continue"/>
          </w:tcPr>
          <w:p w14:paraId="11F638BF">
            <w:pPr>
              <w:rPr>
                <w:rFonts w:hint="eastAsia" w:ascii="仿宋" w:hAnsi="仿宋" w:eastAsia="仿宋" w:cs="仿宋"/>
                <w:sz w:val="24"/>
                <w:szCs w:val="24"/>
                <w:vertAlign w:val="baseline"/>
              </w:rPr>
            </w:pPr>
          </w:p>
        </w:tc>
        <w:tc>
          <w:tcPr>
            <w:tcW w:w="5134" w:type="dxa"/>
          </w:tcPr>
          <w:p w14:paraId="50FBFEA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应用软件符合《司法行政移动执法系统技术规范》（SF/T0049-2020）要求。</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2.1、平台具备终端管理功能、应用商店功能和内容管理功能。平台可实现对移动终端的集中安全管控，实现设备遗失后全程锁定、擦除数据等，保证移动终端高效安全的使用，需提供不少于“移动执法终端的运行保障及维修替换服务”终端数量的授权。</w:t>
            </w:r>
          </w:p>
          <w:p w14:paraId="2A522E21">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能够提供终端数据的统计分析，综合性看板的为正偏离。</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▲2.2、终端可以通过平台、NFC设备、门禁联动、蓝牙信标、电子地理围栏和手动进行生活、备勤、执勤三模式切换。提供较为精准的定位与轨迹（定位偏差小于100米）。</w:t>
            </w:r>
          </w:p>
          <w:p w14:paraId="12336328">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满足以上需求并能提供其他切换方式为正偏离项。</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2.3、提供系统软件平台运维服务，进行系统调试和优化，确保系统正常运行。</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2.4、提供系统数据配置服务，对业务系统进行数据参数配置，满足移动执法终端平稳运行，保证各系统单元间的访问和数据交互顺畅。</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2.5、对应用软件平台提供软件升级、更新等服务，定期开展巡检维护，保证应用在线正常运行。</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2.6、面向客户开展系统使用培训，讲解系统操作以及应用，并提供相关培训材料。</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2.7、在4G或5G环境下，终端所处位置RSRP≥-90dBm，平台下发指令实时同步终端,同步延迟小于5秒。</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2.8、平台获取终端的状态要准确,状态描述要清楚表现出终端所处的工作模式,开关机状态,是否刷机等。2.9平台在服务期间内需提供至少一人的驻场服务。</w:t>
            </w:r>
          </w:p>
        </w:tc>
        <w:tc>
          <w:tcPr>
            <w:tcW w:w="657" w:type="dxa"/>
            <w:vMerge w:val="continue"/>
          </w:tcPr>
          <w:p w14:paraId="1533BF85">
            <w:pPr>
              <w:rPr>
                <w:rFonts w:hint="eastAsia" w:ascii="仿宋" w:hAnsi="仿宋" w:eastAsia="仿宋" w:cs="仿宋"/>
                <w:sz w:val="24"/>
                <w:szCs w:val="24"/>
                <w:vertAlign w:val="baseline"/>
              </w:rPr>
            </w:pPr>
          </w:p>
        </w:tc>
        <w:tc>
          <w:tcPr>
            <w:tcW w:w="787" w:type="dxa"/>
            <w:vMerge w:val="continue"/>
          </w:tcPr>
          <w:p w14:paraId="62C8B870">
            <w:pPr>
              <w:rPr>
                <w:rFonts w:hint="eastAsia" w:ascii="仿宋" w:hAnsi="仿宋" w:eastAsia="仿宋" w:cs="仿宋"/>
                <w:sz w:val="24"/>
                <w:szCs w:val="24"/>
                <w:vertAlign w:val="baseline"/>
              </w:rPr>
            </w:pPr>
          </w:p>
        </w:tc>
      </w:tr>
      <w:tr w14:paraId="7E19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361CE424">
            <w:pPr>
              <w:rPr>
                <w:rFonts w:hint="eastAsia" w:ascii="仿宋" w:hAnsi="仿宋" w:eastAsia="仿宋" w:cs="仿宋"/>
                <w:sz w:val="24"/>
                <w:szCs w:val="24"/>
                <w:vertAlign w:val="baseline"/>
              </w:rPr>
            </w:pPr>
          </w:p>
        </w:tc>
        <w:tc>
          <w:tcPr>
            <w:tcW w:w="1187" w:type="dxa"/>
            <w:vMerge w:val="continue"/>
          </w:tcPr>
          <w:p w14:paraId="5668B14A">
            <w:pPr>
              <w:rPr>
                <w:rFonts w:hint="eastAsia" w:ascii="仿宋" w:hAnsi="仿宋" w:eastAsia="仿宋" w:cs="仿宋"/>
                <w:sz w:val="24"/>
                <w:szCs w:val="24"/>
                <w:vertAlign w:val="baseline"/>
              </w:rPr>
            </w:pPr>
          </w:p>
        </w:tc>
        <w:tc>
          <w:tcPr>
            <w:tcW w:w="5134" w:type="dxa"/>
          </w:tcPr>
          <w:p w14:paraId="1571278C">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在采购人私有化部署语音识别引擎，用户通过移动执法设备端访问私有化部署的语音输入应用，普通话识别率达到98%以上。私有化部署可以更好地保护数据安全性，将用户语音数据存储在私有化服务器上，确保数据不会被其他人访问或滥用。</w:t>
            </w:r>
          </w:p>
          <w:p w14:paraId="620EBD6E">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提供系统软件平台运维服务，进行系统调试和优化，确保系统正常运行。</w:t>
            </w:r>
          </w:p>
        </w:tc>
        <w:tc>
          <w:tcPr>
            <w:tcW w:w="657" w:type="dxa"/>
            <w:vMerge w:val="continue"/>
          </w:tcPr>
          <w:p w14:paraId="5ABDEAF2">
            <w:pPr>
              <w:rPr>
                <w:rFonts w:hint="eastAsia" w:ascii="仿宋" w:hAnsi="仿宋" w:eastAsia="仿宋" w:cs="仿宋"/>
                <w:sz w:val="24"/>
                <w:szCs w:val="24"/>
                <w:vertAlign w:val="baseline"/>
              </w:rPr>
            </w:pPr>
          </w:p>
        </w:tc>
        <w:tc>
          <w:tcPr>
            <w:tcW w:w="787" w:type="dxa"/>
            <w:vMerge w:val="continue"/>
          </w:tcPr>
          <w:p w14:paraId="2397887A">
            <w:pPr>
              <w:rPr>
                <w:rFonts w:hint="eastAsia" w:ascii="仿宋" w:hAnsi="仿宋" w:eastAsia="仿宋" w:cs="仿宋"/>
                <w:sz w:val="24"/>
                <w:szCs w:val="24"/>
                <w:vertAlign w:val="baseline"/>
              </w:rPr>
            </w:pPr>
          </w:p>
        </w:tc>
      </w:tr>
      <w:tr w14:paraId="6DE2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233E8B64">
            <w:pPr>
              <w:rPr>
                <w:rFonts w:hint="eastAsia" w:ascii="仿宋" w:hAnsi="仿宋" w:eastAsia="仿宋" w:cs="仿宋"/>
                <w:sz w:val="24"/>
                <w:szCs w:val="24"/>
                <w:vertAlign w:val="baseline"/>
              </w:rPr>
            </w:pPr>
          </w:p>
        </w:tc>
        <w:tc>
          <w:tcPr>
            <w:tcW w:w="1187" w:type="dxa"/>
            <w:vMerge w:val="continue"/>
          </w:tcPr>
          <w:p w14:paraId="637B8588">
            <w:pPr>
              <w:rPr>
                <w:rFonts w:hint="eastAsia" w:ascii="仿宋" w:hAnsi="仿宋" w:eastAsia="仿宋" w:cs="仿宋"/>
                <w:sz w:val="24"/>
                <w:szCs w:val="24"/>
                <w:vertAlign w:val="baseline"/>
              </w:rPr>
            </w:pPr>
          </w:p>
        </w:tc>
        <w:tc>
          <w:tcPr>
            <w:tcW w:w="5134" w:type="dxa"/>
          </w:tcPr>
          <w:p w14:paraId="24BEBA6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为现有民警谈话、工作点名应用提供脱密化人脸算法仓。为保护民警、隐私，脱密化人脸算法在特征提取完成之后，对人脸进行特征屏蔽，将除人脸主要特征以外的信息进行模糊处理或者完全屏蔽，确保个人隐私数据不被泄露。</w:t>
            </w:r>
          </w:p>
          <w:p w14:paraId="06D31CF1">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需配合第三方应用软件进行人脸认证兼容，提供系统软件平台运维服务，进行系统调试和优化，确保系统正常运行。</w:t>
            </w:r>
          </w:p>
        </w:tc>
        <w:tc>
          <w:tcPr>
            <w:tcW w:w="657" w:type="dxa"/>
            <w:vMerge w:val="continue"/>
          </w:tcPr>
          <w:p w14:paraId="124F215F">
            <w:pPr>
              <w:rPr>
                <w:rFonts w:hint="eastAsia" w:ascii="仿宋" w:hAnsi="仿宋" w:eastAsia="仿宋" w:cs="仿宋"/>
                <w:sz w:val="24"/>
                <w:szCs w:val="24"/>
                <w:vertAlign w:val="baseline"/>
              </w:rPr>
            </w:pPr>
          </w:p>
        </w:tc>
        <w:tc>
          <w:tcPr>
            <w:tcW w:w="787" w:type="dxa"/>
            <w:vMerge w:val="continue"/>
          </w:tcPr>
          <w:p w14:paraId="63733A52">
            <w:pPr>
              <w:rPr>
                <w:rFonts w:hint="eastAsia" w:ascii="仿宋" w:hAnsi="仿宋" w:eastAsia="仿宋" w:cs="仿宋"/>
                <w:sz w:val="24"/>
                <w:szCs w:val="24"/>
                <w:vertAlign w:val="baseline"/>
              </w:rPr>
            </w:pPr>
          </w:p>
        </w:tc>
      </w:tr>
      <w:tr w14:paraId="729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3A84C2BD">
            <w:pPr>
              <w:rPr>
                <w:rFonts w:hint="eastAsia" w:ascii="仿宋" w:hAnsi="仿宋" w:eastAsia="仿宋" w:cs="仿宋"/>
                <w:sz w:val="24"/>
                <w:szCs w:val="24"/>
                <w:vertAlign w:val="baseline"/>
              </w:rPr>
            </w:pPr>
          </w:p>
        </w:tc>
        <w:tc>
          <w:tcPr>
            <w:tcW w:w="1187" w:type="dxa"/>
            <w:vMerge w:val="continue"/>
          </w:tcPr>
          <w:p w14:paraId="1563AA93">
            <w:pPr>
              <w:rPr>
                <w:rFonts w:hint="eastAsia" w:ascii="仿宋" w:hAnsi="仿宋" w:eastAsia="仿宋" w:cs="仿宋"/>
                <w:sz w:val="24"/>
                <w:szCs w:val="24"/>
                <w:vertAlign w:val="baseline"/>
              </w:rPr>
            </w:pPr>
          </w:p>
        </w:tc>
        <w:tc>
          <w:tcPr>
            <w:tcW w:w="5134" w:type="dxa"/>
          </w:tcPr>
          <w:p w14:paraId="5D4525A4">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▲满足GB/T 39786—2021《信息安全技术信息系统密码应用基本要求》第二级或以上要求，能够为移动端提供包括对称密钥与非对称密钥的生成、存储、分发、销毁等一系列密钥生命周期的操作，以及证书的申请、签发、更新、吊销等管理功能，为移动互联网提供了密码运算支撑能力，可用于身份认证、数据保护等，提供国密SM相关算法密钥分片、协同运算服务，为软件环境的密钥安全和算法运算提供安全保障，防止密钥泄露。</w:t>
            </w:r>
          </w:p>
          <w:p w14:paraId="74A0FAD3">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在满足以上认证方式的同时，满足通过人脸、指纹、虹膜等任意一种认证方式为正偏离，加1分。</w:t>
            </w:r>
          </w:p>
        </w:tc>
        <w:tc>
          <w:tcPr>
            <w:tcW w:w="657" w:type="dxa"/>
            <w:vMerge w:val="continue"/>
          </w:tcPr>
          <w:p w14:paraId="2F836BED">
            <w:pPr>
              <w:rPr>
                <w:rFonts w:hint="eastAsia" w:ascii="仿宋" w:hAnsi="仿宋" w:eastAsia="仿宋" w:cs="仿宋"/>
                <w:sz w:val="24"/>
                <w:szCs w:val="24"/>
                <w:vertAlign w:val="baseline"/>
              </w:rPr>
            </w:pPr>
          </w:p>
        </w:tc>
        <w:tc>
          <w:tcPr>
            <w:tcW w:w="787" w:type="dxa"/>
            <w:vMerge w:val="continue"/>
          </w:tcPr>
          <w:p w14:paraId="1B30458D">
            <w:pPr>
              <w:rPr>
                <w:rFonts w:hint="eastAsia" w:ascii="仿宋" w:hAnsi="仿宋" w:eastAsia="仿宋" w:cs="仿宋"/>
                <w:sz w:val="24"/>
                <w:szCs w:val="24"/>
                <w:vertAlign w:val="baseline"/>
              </w:rPr>
            </w:pPr>
          </w:p>
        </w:tc>
      </w:tr>
      <w:tr w14:paraId="6071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586E4CB6">
            <w:pPr>
              <w:rPr>
                <w:rFonts w:hint="eastAsia" w:ascii="仿宋" w:hAnsi="仿宋" w:eastAsia="仿宋" w:cs="仿宋"/>
                <w:sz w:val="24"/>
                <w:szCs w:val="24"/>
                <w:vertAlign w:val="baseline"/>
              </w:rPr>
            </w:pPr>
          </w:p>
        </w:tc>
        <w:tc>
          <w:tcPr>
            <w:tcW w:w="1187" w:type="dxa"/>
            <w:vMerge w:val="continue"/>
          </w:tcPr>
          <w:p w14:paraId="40609E71">
            <w:pPr>
              <w:rPr>
                <w:rFonts w:hint="eastAsia" w:ascii="仿宋" w:hAnsi="仿宋" w:eastAsia="仿宋" w:cs="仿宋"/>
                <w:sz w:val="24"/>
                <w:szCs w:val="24"/>
                <w:vertAlign w:val="baseline"/>
              </w:rPr>
            </w:pPr>
          </w:p>
        </w:tc>
        <w:tc>
          <w:tcPr>
            <w:tcW w:w="5134" w:type="dxa"/>
          </w:tcPr>
          <w:p w14:paraId="025E5F74">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应用商店为用户提供应用浏览与搜索、下载与安装、更新管理、用户评价、应用详情、分类推荐、账户管理等功能。</w:t>
            </w:r>
          </w:p>
          <w:p w14:paraId="4C076962">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提供系统软件平台运维服务，进行系统调试和优化，确保系统正常运行。</w:t>
            </w:r>
          </w:p>
        </w:tc>
        <w:tc>
          <w:tcPr>
            <w:tcW w:w="657" w:type="dxa"/>
            <w:vMerge w:val="continue"/>
          </w:tcPr>
          <w:p w14:paraId="09248C3D">
            <w:pPr>
              <w:rPr>
                <w:rFonts w:hint="eastAsia" w:ascii="仿宋" w:hAnsi="仿宋" w:eastAsia="仿宋" w:cs="仿宋"/>
                <w:sz w:val="24"/>
                <w:szCs w:val="24"/>
                <w:vertAlign w:val="baseline"/>
              </w:rPr>
            </w:pPr>
          </w:p>
        </w:tc>
        <w:tc>
          <w:tcPr>
            <w:tcW w:w="787" w:type="dxa"/>
            <w:vMerge w:val="continue"/>
          </w:tcPr>
          <w:p w14:paraId="5AB0D2C1">
            <w:pPr>
              <w:rPr>
                <w:rFonts w:hint="eastAsia" w:ascii="仿宋" w:hAnsi="仿宋" w:eastAsia="仿宋" w:cs="仿宋"/>
                <w:sz w:val="24"/>
                <w:szCs w:val="24"/>
                <w:vertAlign w:val="baseline"/>
              </w:rPr>
            </w:pPr>
          </w:p>
        </w:tc>
      </w:tr>
      <w:tr w14:paraId="45A7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0D9F24C0">
            <w:pPr>
              <w:rPr>
                <w:rFonts w:hint="eastAsia" w:ascii="仿宋" w:hAnsi="仿宋" w:eastAsia="仿宋" w:cs="仿宋"/>
                <w:sz w:val="24"/>
                <w:szCs w:val="24"/>
                <w:vertAlign w:val="baseline"/>
              </w:rPr>
            </w:pPr>
          </w:p>
        </w:tc>
        <w:tc>
          <w:tcPr>
            <w:tcW w:w="1187" w:type="dxa"/>
            <w:vMerge w:val="continue"/>
          </w:tcPr>
          <w:p w14:paraId="4B4C3FF8">
            <w:pPr>
              <w:rPr>
                <w:rFonts w:hint="eastAsia" w:ascii="仿宋" w:hAnsi="仿宋" w:eastAsia="仿宋" w:cs="仿宋"/>
                <w:sz w:val="24"/>
                <w:szCs w:val="24"/>
                <w:vertAlign w:val="baseline"/>
              </w:rPr>
            </w:pPr>
          </w:p>
        </w:tc>
        <w:tc>
          <w:tcPr>
            <w:tcW w:w="5134" w:type="dxa"/>
          </w:tcPr>
          <w:p w14:paraId="4C9457E7">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通讯录可实现每个人的可视范围有权限控制，可以按照部门进行权限分配，比如领导的通讯录只有某些组织的人可以看，其他人不能查看。</w:t>
            </w:r>
          </w:p>
          <w:p w14:paraId="3A34C58B">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提供系统软件平台运维服务，进行系统调试和优化，确保系统正常运行。</w:t>
            </w:r>
          </w:p>
        </w:tc>
        <w:tc>
          <w:tcPr>
            <w:tcW w:w="657" w:type="dxa"/>
            <w:vMerge w:val="continue"/>
          </w:tcPr>
          <w:p w14:paraId="056644D7">
            <w:pPr>
              <w:rPr>
                <w:rFonts w:hint="eastAsia" w:ascii="仿宋" w:hAnsi="仿宋" w:eastAsia="仿宋" w:cs="仿宋"/>
                <w:sz w:val="24"/>
                <w:szCs w:val="24"/>
                <w:vertAlign w:val="baseline"/>
              </w:rPr>
            </w:pPr>
          </w:p>
        </w:tc>
        <w:tc>
          <w:tcPr>
            <w:tcW w:w="787" w:type="dxa"/>
            <w:vMerge w:val="continue"/>
          </w:tcPr>
          <w:p w14:paraId="715EBA77">
            <w:pPr>
              <w:rPr>
                <w:rFonts w:hint="eastAsia" w:ascii="仿宋" w:hAnsi="仿宋" w:eastAsia="仿宋" w:cs="仿宋"/>
                <w:sz w:val="24"/>
                <w:szCs w:val="24"/>
                <w:vertAlign w:val="baseline"/>
              </w:rPr>
            </w:pPr>
          </w:p>
        </w:tc>
      </w:tr>
      <w:tr w14:paraId="0E3F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671EAFF8">
            <w:pPr>
              <w:rPr>
                <w:rFonts w:hint="eastAsia" w:ascii="仿宋" w:hAnsi="仿宋" w:eastAsia="仿宋" w:cs="仿宋"/>
                <w:sz w:val="24"/>
                <w:szCs w:val="24"/>
                <w:vertAlign w:val="baseline"/>
              </w:rPr>
            </w:pPr>
          </w:p>
        </w:tc>
        <w:tc>
          <w:tcPr>
            <w:tcW w:w="1187" w:type="dxa"/>
            <w:vMerge w:val="continue"/>
          </w:tcPr>
          <w:p w14:paraId="07F792DF">
            <w:pPr>
              <w:rPr>
                <w:rFonts w:hint="eastAsia" w:ascii="仿宋" w:hAnsi="仿宋" w:eastAsia="仿宋" w:cs="仿宋"/>
                <w:sz w:val="24"/>
                <w:szCs w:val="24"/>
                <w:vertAlign w:val="baseline"/>
              </w:rPr>
            </w:pPr>
          </w:p>
        </w:tc>
        <w:tc>
          <w:tcPr>
            <w:tcW w:w="5134" w:type="dxa"/>
          </w:tcPr>
          <w:p w14:paraId="24D1FF94">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在移动警务终端资源之上，结合甲方的实际业务特点，利用专网VPN，构建网络安全、学习便捷的学习手册APP应用。将各类学习知识进行分类分级组织管理，通过对接、导入、录入等方式获取业务知识，针对业务知识类型和业务科室进行分类分级，形成甲方系统各级学习知识资源目录，通过资源目录进行统一管理和服务应用。</w:t>
            </w:r>
          </w:p>
          <w:p w14:paraId="7339F4ED">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提供系统软件平台运维服务，进行系统调试和优化，确保系统正常运行。</w:t>
            </w:r>
          </w:p>
          <w:p w14:paraId="636C8932">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包含党建理论学习、法律法规学习等。</w:t>
            </w:r>
          </w:p>
        </w:tc>
        <w:tc>
          <w:tcPr>
            <w:tcW w:w="657" w:type="dxa"/>
            <w:vMerge w:val="continue"/>
          </w:tcPr>
          <w:p w14:paraId="1F254D86">
            <w:pPr>
              <w:rPr>
                <w:rFonts w:hint="eastAsia" w:ascii="仿宋" w:hAnsi="仿宋" w:eastAsia="仿宋" w:cs="仿宋"/>
                <w:sz w:val="24"/>
                <w:szCs w:val="24"/>
                <w:vertAlign w:val="baseline"/>
              </w:rPr>
            </w:pPr>
          </w:p>
        </w:tc>
        <w:tc>
          <w:tcPr>
            <w:tcW w:w="787" w:type="dxa"/>
            <w:vMerge w:val="continue"/>
          </w:tcPr>
          <w:p w14:paraId="52E5A545">
            <w:pPr>
              <w:rPr>
                <w:rFonts w:hint="eastAsia" w:ascii="仿宋" w:hAnsi="仿宋" w:eastAsia="仿宋" w:cs="仿宋"/>
                <w:sz w:val="24"/>
                <w:szCs w:val="24"/>
                <w:vertAlign w:val="baseline"/>
              </w:rPr>
            </w:pPr>
          </w:p>
        </w:tc>
      </w:tr>
      <w:tr w14:paraId="08B7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192834B0">
            <w:pPr>
              <w:rPr>
                <w:rFonts w:hint="eastAsia" w:ascii="仿宋" w:hAnsi="仿宋" w:eastAsia="仿宋" w:cs="仿宋"/>
                <w:sz w:val="24"/>
                <w:szCs w:val="24"/>
                <w:vertAlign w:val="baseline"/>
              </w:rPr>
            </w:pPr>
          </w:p>
        </w:tc>
        <w:tc>
          <w:tcPr>
            <w:tcW w:w="1187" w:type="dxa"/>
            <w:vMerge w:val="continue"/>
          </w:tcPr>
          <w:p w14:paraId="5B9B4170">
            <w:pPr>
              <w:rPr>
                <w:rFonts w:hint="eastAsia" w:ascii="仿宋" w:hAnsi="仿宋" w:eastAsia="仿宋" w:cs="仿宋"/>
                <w:sz w:val="24"/>
                <w:szCs w:val="24"/>
                <w:vertAlign w:val="baseline"/>
              </w:rPr>
            </w:pPr>
          </w:p>
        </w:tc>
        <w:tc>
          <w:tcPr>
            <w:tcW w:w="5134" w:type="dxa"/>
          </w:tcPr>
          <w:p w14:paraId="54139566">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在采购人部署执法取证应用，以确保采购人的安全、高效管理和应急响应能力。</w:t>
            </w:r>
          </w:p>
          <w:p w14:paraId="785B6A0C">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应用具有普通用户和管理员操作模式，执法人员利用移动执法终端可实现取证、执法查证登录、查看、编辑、删除等功能。</w:t>
            </w:r>
          </w:p>
          <w:p w14:paraId="77EE3E32">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提供系统软件平台运维服务，进行系统调试和优化，确保系统正常运行。</w:t>
            </w:r>
          </w:p>
        </w:tc>
        <w:tc>
          <w:tcPr>
            <w:tcW w:w="657" w:type="dxa"/>
            <w:vMerge w:val="continue"/>
          </w:tcPr>
          <w:p w14:paraId="4F33997D">
            <w:pPr>
              <w:rPr>
                <w:rFonts w:hint="eastAsia" w:ascii="仿宋" w:hAnsi="仿宋" w:eastAsia="仿宋" w:cs="仿宋"/>
                <w:sz w:val="24"/>
                <w:szCs w:val="24"/>
                <w:vertAlign w:val="baseline"/>
              </w:rPr>
            </w:pPr>
          </w:p>
        </w:tc>
        <w:tc>
          <w:tcPr>
            <w:tcW w:w="787" w:type="dxa"/>
            <w:vMerge w:val="continue"/>
          </w:tcPr>
          <w:p w14:paraId="6DA44B44">
            <w:pPr>
              <w:rPr>
                <w:rFonts w:hint="eastAsia" w:ascii="仿宋" w:hAnsi="仿宋" w:eastAsia="仿宋" w:cs="仿宋"/>
                <w:sz w:val="24"/>
                <w:szCs w:val="24"/>
                <w:vertAlign w:val="baseline"/>
              </w:rPr>
            </w:pPr>
          </w:p>
        </w:tc>
      </w:tr>
      <w:tr w14:paraId="7E8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31A58526">
            <w:pPr>
              <w:rPr>
                <w:rFonts w:hint="eastAsia" w:ascii="仿宋" w:hAnsi="仿宋" w:eastAsia="仿宋" w:cs="仿宋"/>
                <w:sz w:val="24"/>
                <w:szCs w:val="24"/>
                <w:vertAlign w:val="baseline"/>
              </w:rPr>
            </w:pPr>
          </w:p>
        </w:tc>
        <w:tc>
          <w:tcPr>
            <w:tcW w:w="1187" w:type="dxa"/>
            <w:vMerge w:val="continue"/>
          </w:tcPr>
          <w:p w14:paraId="19F7B7E3">
            <w:pPr>
              <w:rPr>
                <w:rFonts w:hint="eastAsia" w:ascii="仿宋" w:hAnsi="仿宋" w:eastAsia="仿宋" w:cs="仿宋"/>
                <w:sz w:val="24"/>
                <w:szCs w:val="24"/>
                <w:vertAlign w:val="baseline"/>
              </w:rPr>
            </w:pPr>
          </w:p>
        </w:tc>
        <w:tc>
          <w:tcPr>
            <w:tcW w:w="5134" w:type="dxa"/>
          </w:tcPr>
          <w:p w14:paraId="7D2D8A4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在采购人部署指挥调度应用，由管理后台、PC端调度台、手机端应用程序组成。可实现在JY区域乃至全自治区、全国范围内的实时群呼、组呼、单呼功能,</w:t>
            </w:r>
          </w:p>
          <w:p w14:paraId="4EED598A">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根据用户权限可限制终端间互通,支持PC调度台单呼、群呼手机终端。提供系统软件平台运维服务，进行系统调试和优化，确保系统正常运行。</w:t>
            </w:r>
          </w:p>
        </w:tc>
        <w:tc>
          <w:tcPr>
            <w:tcW w:w="657" w:type="dxa"/>
            <w:vMerge w:val="continue"/>
          </w:tcPr>
          <w:p w14:paraId="0378617A">
            <w:pPr>
              <w:rPr>
                <w:rFonts w:hint="eastAsia" w:ascii="仿宋" w:hAnsi="仿宋" w:eastAsia="仿宋" w:cs="仿宋"/>
                <w:sz w:val="24"/>
                <w:szCs w:val="24"/>
                <w:vertAlign w:val="baseline"/>
              </w:rPr>
            </w:pPr>
          </w:p>
        </w:tc>
        <w:tc>
          <w:tcPr>
            <w:tcW w:w="787" w:type="dxa"/>
            <w:vMerge w:val="continue"/>
          </w:tcPr>
          <w:p w14:paraId="59DC5D14">
            <w:pPr>
              <w:rPr>
                <w:rFonts w:hint="eastAsia" w:ascii="仿宋" w:hAnsi="仿宋" w:eastAsia="仿宋" w:cs="仿宋"/>
                <w:sz w:val="24"/>
                <w:szCs w:val="24"/>
                <w:vertAlign w:val="baseline"/>
              </w:rPr>
            </w:pPr>
          </w:p>
        </w:tc>
      </w:tr>
      <w:tr w14:paraId="26FE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638802AA">
            <w:pPr>
              <w:rPr>
                <w:rFonts w:hint="eastAsia" w:ascii="仿宋" w:hAnsi="仿宋" w:eastAsia="仿宋" w:cs="仿宋"/>
                <w:sz w:val="24"/>
                <w:szCs w:val="24"/>
                <w:vertAlign w:val="baseline"/>
              </w:rPr>
            </w:pPr>
          </w:p>
        </w:tc>
        <w:tc>
          <w:tcPr>
            <w:tcW w:w="1187" w:type="dxa"/>
            <w:vMerge w:val="continue"/>
          </w:tcPr>
          <w:p w14:paraId="197DF2CC">
            <w:pPr>
              <w:rPr>
                <w:rFonts w:hint="eastAsia" w:ascii="仿宋" w:hAnsi="仿宋" w:eastAsia="仿宋" w:cs="仿宋"/>
                <w:sz w:val="24"/>
                <w:szCs w:val="24"/>
                <w:vertAlign w:val="baseline"/>
              </w:rPr>
            </w:pPr>
          </w:p>
        </w:tc>
        <w:tc>
          <w:tcPr>
            <w:tcW w:w="5134" w:type="dxa"/>
          </w:tcPr>
          <w:p w14:paraId="548CB591">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按照公历显示日期，提供系统软件平台运维服务，进行系统调试和优化，确保系统正常运行。</w:t>
            </w:r>
          </w:p>
        </w:tc>
        <w:tc>
          <w:tcPr>
            <w:tcW w:w="657" w:type="dxa"/>
            <w:vMerge w:val="continue"/>
          </w:tcPr>
          <w:p w14:paraId="14A2B8CA">
            <w:pPr>
              <w:rPr>
                <w:rFonts w:hint="eastAsia" w:ascii="仿宋" w:hAnsi="仿宋" w:eastAsia="仿宋" w:cs="仿宋"/>
                <w:sz w:val="24"/>
                <w:szCs w:val="24"/>
                <w:vertAlign w:val="baseline"/>
              </w:rPr>
            </w:pPr>
          </w:p>
        </w:tc>
        <w:tc>
          <w:tcPr>
            <w:tcW w:w="787" w:type="dxa"/>
            <w:vMerge w:val="continue"/>
          </w:tcPr>
          <w:p w14:paraId="56A89478">
            <w:pPr>
              <w:rPr>
                <w:rFonts w:hint="eastAsia" w:ascii="仿宋" w:hAnsi="仿宋" w:eastAsia="仿宋" w:cs="仿宋"/>
                <w:sz w:val="24"/>
                <w:szCs w:val="24"/>
                <w:vertAlign w:val="baseline"/>
              </w:rPr>
            </w:pPr>
          </w:p>
        </w:tc>
      </w:tr>
      <w:tr w14:paraId="485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733C747B">
            <w:pPr>
              <w:rPr>
                <w:rFonts w:hint="eastAsia" w:ascii="仿宋" w:hAnsi="仿宋" w:eastAsia="仿宋" w:cs="仿宋"/>
                <w:sz w:val="24"/>
                <w:szCs w:val="24"/>
                <w:vertAlign w:val="baseline"/>
              </w:rPr>
            </w:pPr>
          </w:p>
        </w:tc>
        <w:tc>
          <w:tcPr>
            <w:tcW w:w="1187" w:type="dxa"/>
            <w:vMerge w:val="continue"/>
          </w:tcPr>
          <w:p w14:paraId="2E957870">
            <w:pPr>
              <w:rPr>
                <w:rFonts w:hint="eastAsia" w:ascii="仿宋" w:hAnsi="仿宋" w:eastAsia="仿宋" w:cs="仿宋"/>
                <w:sz w:val="24"/>
                <w:szCs w:val="24"/>
                <w:vertAlign w:val="baseline"/>
              </w:rPr>
            </w:pPr>
          </w:p>
        </w:tc>
        <w:tc>
          <w:tcPr>
            <w:tcW w:w="5134" w:type="dxa"/>
          </w:tcPr>
          <w:p w14:paraId="65B635C1">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应用软件符合《司法行政移动执法系统技术规范》（SF/T0049-2020）要求。</w:t>
            </w:r>
          </w:p>
          <w:p w14:paraId="488AEB5D">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通过一键报警APP实现紧急情况下的一键报警，实时显示位置信息。触发报警后可联动指挥中心大屏弹窗报警信息，同步接通现场语音对讲。</w:t>
            </w:r>
          </w:p>
          <w:p w14:paraId="4BBBA75D">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提供系统软件平台运维服务，进行系统调试和优化，确保系统正常运行。</w:t>
            </w:r>
          </w:p>
        </w:tc>
        <w:tc>
          <w:tcPr>
            <w:tcW w:w="657" w:type="dxa"/>
            <w:vMerge w:val="continue"/>
          </w:tcPr>
          <w:p w14:paraId="2DA04703">
            <w:pPr>
              <w:rPr>
                <w:rFonts w:hint="eastAsia" w:ascii="仿宋" w:hAnsi="仿宋" w:eastAsia="仿宋" w:cs="仿宋"/>
                <w:sz w:val="24"/>
                <w:szCs w:val="24"/>
                <w:vertAlign w:val="baseline"/>
              </w:rPr>
            </w:pPr>
          </w:p>
        </w:tc>
        <w:tc>
          <w:tcPr>
            <w:tcW w:w="787" w:type="dxa"/>
            <w:vMerge w:val="continue"/>
          </w:tcPr>
          <w:p w14:paraId="4A4752CF">
            <w:pPr>
              <w:rPr>
                <w:rFonts w:hint="eastAsia" w:ascii="仿宋" w:hAnsi="仿宋" w:eastAsia="仿宋" w:cs="仿宋"/>
                <w:sz w:val="24"/>
                <w:szCs w:val="24"/>
                <w:vertAlign w:val="baseline"/>
              </w:rPr>
            </w:pPr>
          </w:p>
        </w:tc>
      </w:tr>
      <w:tr w14:paraId="6B13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44394DDB">
            <w:pPr>
              <w:rPr>
                <w:rFonts w:hint="eastAsia" w:ascii="仿宋" w:hAnsi="仿宋" w:eastAsia="仿宋" w:cs="仿宋"/>
                <w:sz w:val="24"/>
                <w:szCs w:val="24"/>
                <w:vertAlign w:val="baseline"/>
              </w:rPr>
            </w:pPr>
          </w:p>
        </w:tc>
        <w:tc>
          <w:tcPr>
            <w:tcW w:w="1187" w:type="dxa"/>
            <w:vMerge w:val="continue"/>
          </w:tcPr>
          <w:p w14:paraId="7CAC251F">
            <w:pPr>
              <w:rPr>
                <w:rFonts w:hint="eastAsia" w:ascii="仿宋" w:hAnsi="仿宋" w:eastAsia="仿宋" w:cs="仿宋"/>
                <w:sz w:val="24"/>
                <w:szCs w:val="24"/>
                <w:vertAlign w:val="baseline"/>
              </w:rPr>
            </w:pPr>
          </w:p>
        </w:tc>
        <w:tc>
          <w:tcPr>
            <w:tcW w:w="5134" w:type="dxa"/>
          </w:tcPr>
          <w:p w14:paraId="154B6872">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应用软件符合《司法行政移动执法系统技术规范》（SF/T0049-2020）要求。</w:t>
            </w:r>
          </w:p>
          <w:p w14:paraId="79FF7DA4">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通过在移动执法终端上部署数字对讲应用模块，能够终端之间、PC与终端之间的集群组呼与单呼，并实现呼叫权限控制，基本实现原有数字对讲系统同类功能。</w:t>
            </w:r>
          </w:p>
          <w:p w14:paraId="62FB75CE">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提供系统软件平台运维服务，进行系统调试和优化，确保系统正常运行。</w:t>
            </w:r>
          </w:p>
        </w:tc>
        <w:tc>
          <w:tcPr>
            <w:tcW w:w="657" w:type="dxa"/>
            <w:vMerge w:val="continue"/>
          </w:tcPr>
          <w:p w14:paraId="22E3DE37">
            <w:pPr>
              <w:rPr>
                <w:rFonts w:hint="eastAsia" w:ascii="仿宋" w:hAnsi="仿宋" w:eastAsia="仿宋" w:cs="仿宋"/>
                <w:sz w:val="24"/>
                <w:szCs w:val="24"/>
                <w:vertAlign w:val="baseline"/>
              </w:rPr>
            </w:pPr>
          </w:p>
        </w:tc>
        <w:tc>
          <w:tcPr>
            <w:tcW w:w="787" w:type="dxa"/>
            <w:vMerge w:val="continue"/>
          </w:tcPr>
          <w:p w14:paraId="1651F094">
            <w:pPr>
              <w:rPr>
                <w:rFonts w:hint="eastAsia" w:ascii="仿宋" w:hAnsi="仿宋" w:eastAsia="仿宋" w:cs="仿宋"/>
                <w:sz w:val="24"/>
                <w:szCs w:val="24"/>
                <w:vertAlign w:val="baseline"/>
              </w:rPr>
            </w:pPr>
          </w:p>
        </w:tc>
      </w:tr>
      <w:tr w14:paraId="39A6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3DE4D429">
            <w:pPr>
              <w:rPr>
                <w:rFonts w:hint="eastAsia" w:ascii="仿宋" w:hAnsi="仿宋" w:eastAsia="仿宋" w:cs="仿宋"/>
                <w:sz w:val="24"/>
                <w:szCs w:val="24"/>
                <w:vertAlign w:val="baseline"/>
              </w:rPr>
            </w:pPr>
          </w:p>
        </w:tc>
        <w:tc>
          <w:tcPr>
            <w:tcW w:w="1187" w:type="dxa"/>
            <w:vMerge w:val="continue"/>
          </w:tcPr>
          <w:p w14:paraId="6DA3914B">
            <w:pPr>
              <w:rPr>
                <w:rFonts w:hint="eastAsia" w:ascii="仿宋" w:hAnsi="仿宋" w:eastAsia="仿宋" w:cs="仿宋"/>
                <w:sz w:val="24"/>
                <w:szCs w:val="24"/>
                <w:vertAlign w:val="baseline"/>
              </w:rPr>
            </w:pPr>
          </w:p>
        </w:tc>
        <w:tc>
          <w:tcPr>
            <w:tcW w:w="5134" w:type="dxa"/>
          </w:tcPr>
          <w:p w14:paraId="3315F6E2">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系统软件运维服务内容如下：</w:t>
            </w:r>
            <w:r>
              <w:rPr>
                <w:rFonts w:hint="eastAsia" w:ascii="仿宋" w:hAnsi="仿宋" w:eastAsia="仿宋" w:cs="仿宋"/>
                <w:sz w:val="24"/>
                <w:szCs w:val="24"/>
                <w:vertAlign w:val="baseline"/>
                <w:lang w:val="en-US" w:eastAsia="zh-CN"/>
              </w:rPr>
              <w:br w:type="textWrapping"/>
            </w:r>
            <w:r>
              <w:rPr>
                <w:rFonts w:hint="eastAsia" w:ascii="仿宋" w:hAnsi="仿宋" w:eastAsia="仿宋" w:cs="仿宋"/>
                <w:sz w:val="24"/>
                <w:szCs w:val="24"/>
                <w:vertAlign w:val="baseline"/>
                <w:lang w:val="en-US" w:eastAsia="zh-CN"/>
              </w:rPr>
              <w:t>应用软件符合《司法行政移动执法系统技术规范》（SF/T0049-2020）要求。</w:t>
            </w:r>
          </w:p>
          <w:p w14:paraId="5772252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通过在移动执法终端上部署警务拍应用，为日常安全隐患排查，违规违纪，提供信息化便捷支撑能力。</w:t>
            </w:r>
          </w:p>
          <w:p w14:paraId="12A38440">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民警发现问题后通过移动警务终端，直接拍照上传，系统根据情况自动记录时间、地点等并将问题进行推送，同时对事件的处理进行闭环管理。</w:t>
            </w:r>
          </w:p>
        </w:tc>
        <w:tc>
          <w:tcPr>
            <w:tcW w:w="657" w:type="dxa"/>
            <w:vMerge w:val="continue"/>
          </w:tcPr>
          <w:p w14:paraId="17D85EF9">
            <w:pPr>
              <w:rPr>
                <w:rFonts w:hint="eastAsia" w:ascii="仿宋" w:hAnsi="仿宋" w:eastAsia="仿宋" w:cs="仿宋"/>
                <w:sz w:val="24"/>
                <w:szCs w:val="24"/>
                <w:vertAlign w:val="baseline"/>
              </w:rPr>
            </w:pPr>
          </w:p>
        </w:tc>
        <w:tc>
          <w:tcPr>
            <w:tcW w:w="787" w:type="dxa"/>
            <w:vMerge w:val="continue"/>
          </w:tcPr>
          <w:p w14:paraId="5F7F3148">
            <w:pPr>
              <w:rPr>
                <w:rFonts w:hint="eastAsia" w:ascii="仿宋" w:hAnsi="仿宋" w:eastAsia="仿宋" w:cs="仿宋"/>
                <w:sz w:val="24"/>
                <w:szCs w:val="24"/>
                <w:vertAlign w:val="baseline"/>
              </w:rPr>
            </w:pPr>
          </w:p>
        </w:tc>
      </w:tr>
      <w:tr w14:paraId="6A5F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0F691562">
            <w:pPr>
              <w:rPr>
                <w:rFonts w:hint="eastAsia" w:ascii="仿宋" w:hAnsi="仿宋" w:eastAsia="仿宋" w:cs="仿宋"/>
                <w:sz w:val="24"/>
                <w:szCs w:val="24"/>
                <w:vertAlign w:val="baseline"/>
              </w:rPr>
            </w:pPr>
          </w:p>
        </w:tc>
        <w:tc>
          <w:tcPr>
            <w:tcW w:w="1187" w:type="dxa"/>
            <w:vMerge w:val="continue"/>
          </w:tcPr>
          <w:p w14:paraId="2F4C9768">
            <w:pPr>
              <w:rPr>
                <w:rFonts w:hint="eastAsia" w:ascii="仿宋" w:hAnsi="仿宋" w:eastAsia="仿宋" w:cs="仿宋"/>
                <w:sz w:val="24"/>
                <w:szCs w:val="24"/>
                <w:vertAlign w:val="baseline"/>
              </w:rPr>
            </w:pPr>
          </w:p>
        </w:tc>
        <w:tc>
          <w:tcPr>
            <w:tcW w:w="5134" w:type="dxa"/>
            <w:vAlign w:val="center"/>
          </w:tcPr>
          <w:p w14:paraId="10E50A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系统软件运维服务内容如下：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应用软件符合《司法行政移动执法系统技术规范》（SF/T0049-2020）要求。</w:t>
            </w:r>
          </w:p>
          <w:p w14:paraId="7AD669D9">
            <w:pPr>
              <w:keepNext w:val="0"/>
              <w:keepLines w:val="0"/>
              <w:widowControl/>
              <w:suppressLineNumbers w:val="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通过在移动执法终端上部署即时通讯应用，结合采购人特殊场景定制化开发，以安全、高效为核心，满足民警日常语音通讯，群组通讯等。适应甲方在应急指挥处置、日常巡查、日常人员分配等事务性工作中存在的工作安排。系统内置敏感字智能识别和屏蔽，从源头上规避泄露甲方风险的可能性。</w:t>
            </w:r>
          </w:p>
        </w:tc>
        <w:tc>
          <w:tcPr>
            <w:tcW w:w="657" w:type="dxa"/>
            <w:vMerge w:val="continue"/>
          </w:tcPr>
          <w:p w14:paraId="77813354">
            <w:pPr>
              <w:rPr>
                <w:rFonts w:hint="eastAsia" w:ascii="仿宋" w:hAnsi="仿宋" w:eastAsia="仿宋" w:cs="仿宋"/>
                <w:sz w:val="24"/>
                <w:szCs w:val="24"/>
                <w:vertAlign w:val="baseline"/>
              </w:rPr>
            </w:pPr>
          </w:p>
        </w:tc>
        <w:tc>
          <w:tcPr>
            <w:tcW w:w="787" w:type="dxa"/>
            <w:vMerge w:val="continue"/>
          </w:tcPr>
          <w:p w14:paraId="32BCD9E7">
            <w:pPr>
              <w:rPr>
                <w:rFonts w:hint="eastAsia" w:ascii="仿宋" w:hAnsi="仿宋" w:eastAsia="仿宋" w:cs="仿宋"/>
                <w:sz w:val="24"/>
                <w:szCs w:val="24"/>
                <w:vertAlign w:val="baseline"/>
              </w:rPr>
            </w:pPr>
          </w:p>
        </w:tc>
      </w:tr>
      <w:tr w14:paraId="3259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4655F35C">
            <w:pPr>
              <w:rPr>
                <w:rFonts w:hint="eastAsia" w:ascii="仿宋" w:hAnsi="仿宋" w:eastAsia="仿宋" w:cs="仿宋"/>
                <w:sz w:val="24"/>
                <w:szCs w:val="24"/>
                <w:vertAlign w:val="baseline"/>
              </w:rPr>
            </w:pPr>
          </w:p>
        </w:tc>
        <w:tc>
          <w:tcPr>
            <w:tcW w:w="1187" w:type="dxa"/>
            <w:vMerge w:val="continue"/>
          </w:tcPr>
          <w:p w14:paraId="71A88B4F">
            <w:pPr>
              <w:rPr>
                <w:rFonts w:hint="eastAsia" w:ascii="仿宋" w:hAnsi="仿宋" w:eastAsia="仿宋" w:cs="仿宋"/>
                <w:sz w:val="24"/>
                <w:szCs w:val="24"/>
                <w:vertAlign w:val="baseline"/>
              </w:rPr>
            </w:pPr>
          </w:p>
        </w:tc>
        <w:tc>
          <w:tcPr>
            <w:tcW w:w="5134" w:type="dxa"/>
            <w:vAlign w:val="center"/>
          </w:tcPr>
          <w:p w14:paraId="01430136">
            <w:pPr>
              <w:keepNext w:val="0"/>
              <w:keepLines w:val="0"/>
              <w:widowControl/>
              <w:suppressLineNumbers w:val="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auto"/>
                <w:kern w:val="0"/>
                <w:sz w:val="24"/>
                <w:szCs w:val="24"/>
                <w:u w:val="none"/>
                <w:lang w:val="en-US" w:eastAsia="zh-CN" w:bidi="ar"/>
              </w:rPr>
              <w:t>数据安全交换请求服务运维，服务要求提供并发数量≥90000个；交换能力≥12000Mbps；最大支持服务≥180个。并满足以下服务需求：支持SOAP协议、XML-RPC协议和REST协议。支持请求转文件（XML文件）和应答转文件（XML文件）。支持各种Web Service接口。支持移动应用系统访问。支持多级分布式部署、多节点非对称部署。接收管理中心的统一配置管理；向管理中心统一上报状态、业务运行情况。</w:t>
            </w:r>
          </w:p>
        </w:tc>
        <w:tc>
          <w:tcPr>
            <w:tcW w:w="657" w:type="dxa"/>
            <w:vMerge w:val="continue"/>
          </w:tcPr>
          <w:p w14:paraId="61C71B55">
            <w:pPr>
              <w:rPr>
                <w:rFonts w:hint="eastAsia" w:ascii="仿宋" w:hAnsi="仿宋" w:eastAsia="仿宋" w:cs="仿宋"/>
                <w:sz w:val="24"/>
                <w:szCs w:val="24"/>
                <w:vertAlign w:val="baseline"/>
              </w:rPr>
            </w:pPr>
          </w:p>
        </w:tc>
        <w:tc>
          <w:tcPr>
            <w:tcW w:w="787" w:type="dxa"/>
            <w:vMerge w:val="continue"/>
          </w:tcPr>
          <w:p w14:paraId="1F6164FB">
            <w:pPr>
              <w:rPr>
                <w:rFonts w:hint="eastAsia" w:ascii="仿宋" w:hAnsi="仿宋" w:eastAsia="仿宋" w:cs="仿宋"/>
                <w:sz w:val="24"/>
                <w:szCs w:val="24"/>
                <w:vertAlign w:val="baseline"/>
              </w:rPr>
            </w:pPr>
          </w:p>
        </w:tc>
      </w:tr>
      <w:tr w14:paraId="2EDD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33AB75D0">
            <w:pPr>
              <w:rPr>
                <w:rFonts w:hint="eastAsia" w:ascii="仿宋" w:hAnsi="仿宋" w:eastAsia="仿宋" w:cs="仿宋"/>
                <w:sz w:val="24"/>
                <w:szCs w:val="24"/>
                <w:vertAlign w:val="baseline"/>
              </w:rPr>
            </w:pPr>
          </w:p>
        </w:tc>
        <w:tc>
          <w:tcPr>
            <w:tcW w:w="1187" w:type="dxa"/>
            <w:vMerge w:val="continue"/>
          </w:tcPr>
          <w:p w14:paraId="0795394D">
            <w:pPr>
              <w:rPr>
                <w:rFonts w:hint="eastAsia" w:ascii="仿宋" w:hAnsi="仿宋" w:eastAsia="仿宋" w:cs="仿宋"/>
                <w:sz w:val="24"/>
                <w:szCs w:val="24"/>
                <w:vertAlign w:val="baseline"/>
              </w:rPr>
            </w:pPr>
          </w:p>
        </w:tc>
        <w:tc>
          <w:tcPr>
            <w:tcW w:w="5134" w:type="dxa"/>
            <w:vAlign w:val="center"/>
          </w:tcPr>
          <w:p w14:paraId="5984C9BD">
            <w:pPr>
              <w:keepNext w:val="0"/>
              <w:keepLines w:val="0"/>
              <w:widowControl/>
              <w:suppressLineNumbers w:val="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auto"/>
                <w:kern w:val="0"/>
                <w:sz w:val="24"/>
                <w:szCs w:val="24"/>
                <w:u w:val="none"/>
                <w:lang w:val="en-US" w:eastAsia="zh-CN" w:bidi="ar"/>
              </w:rPr>
              <w:t xml:space="preserve">安全交换文件国产数据库交换运维，服务要求提供交换能力≥600Mbps；最大支持服务≥60个。并满足以下服务需求：1、支持主流数据库交换，包括：Oracle、SQL Server、DB2、SYBASE、MYSQL。2、支持各种数据库之间的异构数据转换。3、支持共享、客户端、FTP等多种模式的文件同步服务，支持文件实时同步。4、支持对传输数据进行加密。5、支持多级分布式部署、多节点非对称部署。6、接收管理中心的统一配置管理；向管理中心统一上报状态、业务运行情况。  </w:t>
            </w:r>
          </w:p>
        </w:tc>
        <w:tc>
          <w:tcPr>
            <w:tcW w:w="657" w:type="dxa"/>
            <w:vMerge w:val="continue"/>
          </w:tcPr>
          <w:p w14:paraId="3D208C54">
            <w:pPr>
              <w:rPr>
                <w:rFonts w:hint="eastAsia" w:ascii="仿宋" w:hAnsi="仿宋" w:eastAsia="仿宋" w:cs="仿宋"/>
                <w:sz w:val="24"/>
                <w:szCs w:val="24"/>
                <w:vertAlign w:val="baseline"/>
              </w:rPr>
            </w:pPr>
          </w:p>
        </w:tc>
        <w:tc>
          <w:tcPr>
            <w:tcW w:w="787" w:type="dxa"/>
            <w:vMerge w:val="continue"/>
          </w:tcPr>
          <w:p w14:paraId="48B56A99">
            <w:pPr>
              <w:rPr>
                <w:rFonts w:hint="eastAsia" w:ascii="仿宋" w:hAnsi="仿宋" w:eastAsia="仿宋" w:cs="仿宋"/>
                <w:sz w:val="24"/>
                <w:szCs w:val="24"/>
                <w:vertAlign w:val="baseline"/>
              </w:rPr>
            </w:pPr>
          </w:p>
        </w:tc>
      </w:tr>
      <w:tr w14:paraId="243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3C71FE59">
            <w:pPr>
              <w:rPr>
                <w:rFonts w:hint="eastAsia" w:ascii="仿宋" w:hAnsi="仿宋" w:eastAsia="仿宋" w:cs="仿宋"/>
                <w:sz w:val="24"/>
                <w:szCs w:val="24"/>
                <w:vertAlign w:val="baseline"/>
              </w:rPr>
            </w:pPr>
          </w:p>
        </w:tc>
        <w:tc>
          <w:tcPr>
            <w:tcW w:w="1187" w:type="dxa"/>
            <w:vMerge w:val="continue"/>
          </w:tcPr>
          <w:p w14:paraId="2858DFB4">
            <w:pPr>
              <w:rPr>
                <w:rFonts w:hint="eastAsia" w:ascii="仿宋" w:hAnsi="仿宋" w:eastAsia="仿宋" w:cs="仿宋"/>
                <w:sz w:val="24"/>
                <w:szCs w:val="24"/>
                <w:vertAlign w:val="baseline"/>
              </w:rPr>
            </w:pPr>
          </w:p>
        </w:tc>
        <w:tc>
          <w:tcPr>
            <w:tcW w:w="5134" w:type="dxa"/>
            <w:vAlign w:val="center"/>
          </w:tcPr>
          <w:p w14:paraId="3EDA21E8">
            <w:pPr>
              <w:keepNext w:val="0"/>
              <w:keepLines w:val="0"/>
              <w:widowControl/>
              <w:suppressLineNumbers w:val="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auto"/>
                <w:kern w:val="0"/>
                <w:sz w:val="24"/>
                <w:szCs w:val="24"/>
                <w:u w:val="none"/>
                <w:lang w:val="en-US" w:eastAsia="zh-CN" w:bidi="ar"/>
              </w:rPr>
              <w:t xml:space="preserve">数据安全交换视频交换运维，服务要求提供系统吞吐量8Gbps以上。并满足以下服务需求：1、支持主流视频协议类型包括：GB28181,DB33,海康,大华,宇视,立元,信产,科达 ,互信互通，华为等；2、能够直接识别MP4、AVI、WMV、MKV、FLV等主流视频格式，仅允许合法的视频数据通过；3、对视频接入对象进行合法性认证；4、支持多级分布式部署、多节点非对称部署。5、接收管理中心的统一配置管理；向管理中心统一上报状态、业务运行情况。  </w:t>
            </w:r>
          </w:p>
        </w:tc>
        <w:tc>
          <w:tcPr>
            <w:tcW w:w="657" w:type="dxa"/>
            <w:vMerge w:val="continue"/>
          </w:tcPr>
          <w:p w14:paraId="3EA6ACE9">
            <w:pPr>
              <w:rPr>
                <w:rFonts w:hint="eastAsia" w:ascii="仿宋" w:hAnsi="仿宋" w:eastAsia="仿宋" w:cs="仿宋"/>
                <w:sz w:val="24"/>
                <w:szCs w:val="24"/>
                <w:vertAlign w:val="baseline"/>
              </w:rPr>
            </w:pPr>
          </w:p>
        </w:tc>
        <w:tc>
          <w:tcPr>
            <w:tcW w:w="787" w:type="dxa"/>
            <w:vMerge w:val="continue"/>
          </w:tcPr>
          <w:p w14:paraId="11A2BC80">
            <w:pPr>
              <w:rPr>
                <w:rFonts w:hint="eastAsia" w:ascii="仿宋" w:hAnsi="仿宋" w:eastAsia="仿宋" w:cs="仿宋"/>
                <w:sz w:val="24"/>
                <w:szCs w:val="24"/>
                <w:vertAlign w:val="baseline"/>
              </w:rPr>
            </w:pPr>
          </w:p>
        </w:tc>
      </w:tr>
      <w:tr w14:paraId="2787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7630061A">
            <w:pPr>
              <w:rPr>
                <w:rFonts w:hint="eastAsia" w:ascii="仿宋" w:hAnsi="仿宋" w:eastAsia="仿宋" w:cs="仿宋"/>
                <w:sz w:val="24"/>
                <w:szCs w:val="24"/>
                <w:vertAlign w:val="baseline"/>
              </w:rPr>
            </w:pPr>
          </w:p>
        </w:tc>
        <w:tc>
          <w:tcPr>
            <w:tcW w:w="1187" w:type="dxa"/>
            <w:vMerge w:val="continue"/>
          </w:tcPr>
          <w:p w14:paraId="7CD15724">
            <w:pPr>
              <w:rPr>
                <w:rFonts w:hint="eastAsia" w:ascii="仿宋" w:hAnsi="仿宋" w:eastAsia="仿宋" w:cs="仿宋"/>
                <w:sz w:val="24"/>
                <w:szCs w:val="24"/>
                <w:vertAlign w:val="baseline"/>
              </w:rPr>
            </w:pPr>
          </w:p>
        </w:tc>
        <w:tc>
          <w:tcPr>
            <w:tcW w:w="5134" w:type="dxa"/>
            <w:vAlign w:val="center"/>
          </w:tcPr>
          <w:p w14:paraId="1183BD3E">
            <w:pPr>
              <w:keepNext w:val="0"/>
              <w:keepLines w:val="0"/>
              <w:widowControl/>
              <w:suppressLineNumbers w:val="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auto"/>
                <w:kern w:val="0"/>
                <w:sz w:val="24"/>
                <w:szCs w:val="24"/>
                <w:u w:val="none"/>
                <w:lang w:val="en-US" w:eastAsia="zh-CN" w:bidi="ar"/>
              </w:rPr>
              <w:t>数据安全交换运维，服务包含：包括文件交换、FTP访问、数据库交换、邮件传输、安全浏览、安全传输、消息传输模块。</w:t>
            </w:r>
          </w:p>
        </w:tc>
        <w:tc>
          <w:tcPr>
            <w:tcW w:w="657" w:type="dxa"/>
            <w:vMerge w:val="continue"/>
          </w:tcPr>
          <w:p w14:paraId="3FC346F9">
            <w:pPr>
              <w:rPr>
                <w:rFonts w:hint="eastAsia" w:ascii="仿宋" w:hAnsi="仿宋" w:eastAsia="仿宋" w:cs="仿宋"/>
                <w:sz w:val="24"/>
                <w:szCs w:val="24"/>
                <w:vertAlign w:val="baseline"/>
              </w:rPr>
            </w:pPr>
          </w:p>
        </w:tc>
        <w:tc>
          <w:tcPr>
            <w:tcW w:w="787" w:type="dxa"/>
            <w:vMerge w:val="continue"/>
          </w:tcPr>
          <w:p w14:paraId="696C8937">
            <w:pPr>
              <w:rPr>
                <w:rFonts w:hint="eastAsia" w:ascii="仿宋" w:hAnsi="仿宋" w:eastAsia="仿宋" w:cs="仿宋"/>
                <w:sz w:val="24"/>
                <w:szCs w:val="24"/>
                <w:vertAlign w:val="baseline"/>
              </w:rPr>
            </w:pPr>
          </w:p>
        </w:tc>
      </w:tr>
      <w:tr w14:paraId="62A2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2F4D53F9">
            <w:pPr>
              <w:rPr>
                <w:rFonts w:hint="eastAsia" w:ascii="仿宋" w:hAnsi="仿宋" w:eastAsia="仿宋" w:cs="仿宋"/>
                <w:sz w:val="24"/>
                <w:szCs w:val="24"/>
                <w:vertAlign w:val="baseline"/>
              </w:rPr>
            </w:pPr>
          </w:p>
        </w:tc>
        <w:tc>
          <w:tcPr>
            <w:tcW w:w="1187" w:type="dxa"/>
            <w:vMerge w:val="continue"/>
          </w:tcPr>
          <w:p w14:paraId="133F53DC">
            <w:pPr>
              <w:rPr>
                <w:rFonts w:hint="eastAsia" w:ascii="仿宋" w:hAnsi="仿宋" w:eastAsia="仿宋" w:cs="仿宋"/>
                <w:sz w:val="24"/>
                <w:szCs w:val="24"/>
                <w:vertAlign w:val="baseline"/>
              </w:rPr>
            </w:pPr>
          </w:p>
        </w:tc>
        <w:tc>
          <w:tcPr>
            <w:tcW w:w="5134" w:type="dxa"/>
            <w:vAlign w:val="center"/>
          </w:tcPr>
          <w:p w14:paraId="67275B3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数据安全交换双向管理中心运维服务需求：</w:t>
            </w:r>
          </w:p>
          <w:p w14:paraId="739CA19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支持节点管理功能，统一配置、管理各个节点。</w:t>
            </w:r>
          </w:p>
          <w:p w14:paraId="7288C84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支持根据内部负载算法来感知不同节点的负载情况，实现动态负载。支持根据负载情况动态分配任务到各个不同的节点，对节点进行统一调度；节点故障能够及时切换业务 。</w:t>
            </w:r>
          </w:p>
          <w:p w14:paraId="33A7385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支持对节点设备的运行状态信息、业务运行状况进行感知，实现统一监控。</w:t>
            </w:r>
          </w:p>
          <w:p w14:paraId="2EE1B5CA">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auto"/>
                <w:kern w:val="0"/>
                <w:sz w:val="24"/>
                <w:szCs w:val="24"/>
                <w:u w:val="none"/>
                <w:lang w:val="en-US" w:eastAsia="zh-CN" w:bidi="ar"/>
              </w:rPr>
              <w:t>支持对各个节点日志进行统一查询、展示功能。节点管理:通过授权进行统一管理，管理40个节点以上。</w:t>
            </w:r>
          </w:p>
        </w:tc>
        <w:tc>
          <w:tcPr>
            <w:tcW w:w="657" w:type="dxa"/>
            <w:vMerge w:val="continue"/>
          </w:tcPr>
          <w:p w14:paraId="7A18EE7E">
            <w:pPr>
              <w:rPr>
                <w:rFonts w:hint="eastAsia" w:ascii="仿宋" w:hAnsi="仿宋" w:eastAsia="仿宋" w:cs="仿宋"/>
                <w:sz w:val="24"/>
                <w:szCs w:val="24"/>
                <w:vertAlign w:val="baseline"/>
              </w:rPr>
            </w:pPr>
          </w:p>
        </w:tc>
        <w:tc>
          <w:tcPr>
            <w:tcW w:w="787" w:type="dxa"/>
            <w:vMerge w:val="continue"/>
          </w:tcPr>
          <w:p w14:paraId="11B2730E">
            <w:pPr>
              <w:rPr>
                <w:rFonts w:hint="eastAsia" w:ascii="仿宋" w:hAnsi="仿宋" w:eastAsia="仿宋" w:cs="仿宋"/>
                <w:sz w:val="24"/>
                <w:szCs w:val="24"/>
                <w:vertAlign w:val="baseline"/>
              </w:rPr>
            </w:pPr>
          </w:p>
        </w:tc>
      </w:tr>
      <w:tr w14:paraId="3094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Pr>
          <w:p w14:paraId="771411E9">
            <w:pPr>
              <w:rPr>
                <w:rFonts w:hint="eastAsia" w:ascii="仿宋" w:hAnsi="仿宋" w:eastAsia="仿宋" w:cs="仿宋"/>
                <w:sz w:val="24"/>
                <w:szCs w:val="24"/>
                <w:vertAlign w:val="baseline"/>
              </w:rPr>
            </w:pPr>
          </w:p>
        </w:tc>
        <w:tc>
          <w:tcPr>
            <w:tcW w:w="1187" w:type="dxa"/>
            <w:vMerge w:val="continue"/>
          </w:tcPr>
          <w:p w14:paraId="0672C51D">
            <w:pPr>
              <w:rPr>
                <w:rFonts w:hint="eastAsia" w:ascii="仿宋" w:hAnsi="仿宋" w:eastAsia="仿宋" w:cs="仿宋"/>
                <w:sz w:val="24"/>
                <w:szCs w:val="24"/>
                <w:vertAlign w:val="baseline"/>
              </w:rPr>
            </w:pPr>
          </w:p>
        </w:tc>
        <w:tc>
          <w:tcPr>
            <w:tcW w:w="5134" w:type="dxa"/>
            <w:vAlign w:val="center"/>
          </w:tcPr>
          <w:p w14:paraId="538FBC47">
            <w:pPr>
              <w:keepNext w:val="0"/>
              <w:keepLines w:val="0"/>
              <w:widowControl/>
              <w:suppressLineNumbers w:val="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auto"/>
                <w:kern w:val="0"/>
                <w:sz w:val="24"/>
                <w:szCs w:val="24"/>
                <w:u w:val="none"/>
                <w:lang w:val="en-US" w:eastAsia="zh-CN" w:bidi="ar"/>
              </w:rPr>
              <w:t>网络层防护运维，服务要求吞吐量≥48G ； 并发连接数≥2900万  每秒新建连接数≥25万、并提供以下服务：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支持持IPv6地址、地址组配置。支持静态路由，动态路由（OSPF、RIP、BGP、ISIS等），VLAN间路由，单臂路由，组播路由等。支持多出口路由情况下的默认路由备份、负载均衡。必须支持基于应用、WEB地址URL、文件类型等的策略路由，可实现为不同的应用类型智能选择相应的智能链路选路；支持ISP路由，支持联通、电信、教育网、移动等ISP服务商地址列表，列表可导出及导入，可通过Web界面选择不同的ISP服务商实现快速切换；支持链路聚合功能，支持802.3ad和静态轮询、热备等多种模式，MAC、MAC&amp;IP、IP&amp;Port多种聚合负载算法；系统内置多系统（≥2）设置可在Web界面完成全部操作，可任意设置系统启动systemA或systemB；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支持一体化安全策略配置，可以通过一条策略实现用户认证、IPS、AV、URL过滤、协议控制、流量控制、并发限制、新建限制、垃圾邮件过滤、审计等功能,简化用户管理；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针对策略中的源、目的地址进行新建限制，可以针对单IP(或地址范围)进行新建控制。支持策略命中数显示，并支持通过安全策略命中数范围查询。支持根据规则序号、规则名、源地址、目的地址、入侵防护策略、服务、认证用户、认证用户组、所属策略组、备注进行规则查询。支持服务器负载均衡支持10种算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外发信息的控制，可实现对BBS发帖的限制和关键字过滤；可实现发送微博信息的限制和关键字过滤；可实现对WEB邮件的收发限制和关键字过滤，要求支持5种以上的web邮件系统。；支持入侵场景保留，可记录入侵行为相关的网络数据报文，报文可保存至U盘或某台内网服务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支持工业协议控制，支持协议的完整性检查，支持协议分片的控制；支持工业动态协议的NAT和访问控制。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呈现增加接口流量统计、新建连接、并发连接统计，支持实时、日、周、月显示；支持内置或外置数据存储介质；支持根据存储时间或硬盘使用率发送告警邮件；支持智能优化存储空间，保证近期数据的可追溯性，且必须支持手动删除保存时间较长的数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支持对识别SQL Server、MySQL、Oracle、DB2等主流数据库基于用户的细粒度权限控制，支持禁止数据库登录，并可对数据库的Create、alter、insert、update、delete、select、drop等语句进行识别，支持用户名\SQL指令黑白名单，数据库操作可基于用户、sql命令、执行结果记录日志；支持协议命令进行识别和控制，支持针对网页正文关键字、附件文件名、恶意JavaScript代码、BBS关键字、微博内容及附件关键字等信息进行细粒度控制实现对数据库服务器的保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支持主流ICMPFLOOD\SYNFLOOD\ACKFLOOD\SYNACKFLOOD\UDPFLOOD攻击防护，采用专业高效的攻击防护算法，非采用简单的阈值进行攻击防护。支持包括后门、服务探测、文件共享、Windows系统补丁、认证等主动式扫描。</w:t>
            </w:r>
          </w:p>
        </w:tc>
        <w:tc>
          <w:tcPr>
            <w:tcW w:w="657" w:type="dxa"/>
            <w:vMerge w:val="continue"/>
          </w:tcPr>
          <w:p w14:paraId="7FBC1D85">
            <w:pPr>
              <w:rPr>
                <w:rFonts w:hint="eastAsia" w:ascii="仿宋" w:hAnsi="仿宋" w:eastAsia="仿宋" w:cs="仿宋"/>
                <w:sz w:val="24"/>
                <w:szCs w:val="24"/>
                <w:vertAlign w:val="baseline"/>
              </w:rPr>
            </w:pPr>
          </w:p>
        </w:tc>
        <w:tc>
          <w:tcPr>
            <w:tcW w:w="787" w:type="dxa"/>
            <w:vMerge w:val="continue"/>
          </w:tcPr>
          <w:p w14:paraId="50D51CCD">
            <w:pPr>
              <w:rPr>
                <w:rFonts w:hint="eastAsia" w:ascii="仿宋" w:hAnsi="仿宋" w:eastAsia="仿宋" w:cs="仿宋"/>
                <w:sz w:val="24"/>
                <w:szCs w:val="24"/>
                <w:vertAlign w:val="baseline"/>
              </w:rPr>
            </w:pPr>
          </w:p>
        </w:tc>
      </w:tr>
      <w:tr w14:paraId="60E1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tcPr>
          <w:p w14:paraId="3E62096E">
            <w:pPr>
              <w:rPr>
                <w:rFonts w:hint="eastAsia" w:ascii="仿宋" w:hAnsi="仿宋" w:eastAsia="仿宋" w:cs="仿宋"/>
                <w:sz w:val="24"/>
                <w:szCs w:val="24"/>
                <w:vertAlign w:val="baseline"/>
              </w:rPr>
            </w:pPr>
          </w:p>
        </w:tc>
        <w:tc>
          <w:tcPr>
            <w:tcW w:w="1187" w:type="dxa"/>
          </w:tcPr>
          <w:p w14:paraId="0E4E9CA7">
            <w:pPr>
              <w:rPr>
                <w:rFonts w:hint="eastAsia" w:ascii="仿宋" w:hAnsi="仿宋" w:eastAsia="仿宋" w:cs="仿宋"/>
                <w:sz w:val="24"/>
                <w:szCs w:val="24"/>
                <w:vertAlign w:val="baseline"/>
              </w:rPr>
            </w:pPr>
          </w:p>
        </w:tc>
        <w:tc>
          <w:tcPr>
            <w:tcW w:w="5134" w:type="dxa"/>
            <w:vAlign w:val="center"/>
          </w:tcPr>
          <w:p w14:paraId="501987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入侵检测服务要求：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支持发现资产的类型，包括终端、视频设备、办公设备、网络设备、服务器、安全设备、工控设备等；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kafka外发方式支持开启/关闭安全认证，支持的加密套件包括PLAIN、SSL、SASL_SSL方式；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系统支持通过web页面导入pcap包离线回放检测功能，支持导入pcap数量不少于100个；导入方式包括：导入单个文件、批量导入多个文件、导入文件夹；支持对导入的pcap单独回放或批量回放；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支持设备系统管理，可通过页面下发诊断对设备关键进程进行监测，同时可一键恢复关键进程，增强设备易用性与运维便捷度。</w:t>
            </w:r>
          </w:p>
        </w:tc>
        <w:tc>
          <w:tcPr>
            <w:tcW w:w="657" w:type="dxa"/>
          </w:tcPr>
          <w:p w14:paraId="213EAECD">
            <w:pPr>
              <w:rPr>
                <w:rFonts w:hint="eastAsia" w:ascii="仿宋" w:hAnsi="仿宋" w:eastAsia="仿宋" w:cs="仿宋"/>
                <w:sz w:val="24"/>
                <w:szCs w:val="24"/>
                <w:vertAlign w:val="baseline"/>
              </w:rPr>
            </w:pPr>
          </w:p>
        </w:tc>
        <w:tc>
          <w:tcPr>
            <w:tcW w:w="787" w:type="dxa"/>
          </w:tcPr>
          <w:p w14:paraId="1B74FBA8">
            <w:pPr>
              <w:rPr>
                <w:rFonts w:hint="eastAsia" w:ascii="仿宋" w:hAnsi="仿宋" w:eastAsia="仿宋" w:cs="仿宋"/>
                <w:sz w:val="24"/>
                <w:szCs w:val="24"/>
                <w:vertAlign w:val="baseline"/>
              </w:rPr>
            </w:pPr>
          </w:p>
        </w:tc>
      </w:tr>
      <w:tr w14:paraId="43E1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tcPr>
          <w:p w14:paraId="32B9F30F">
            <w:pPr>
              <w:rPr>
                <w:rFonts w:hint="eastAsia" w:ascii="仿宋" w:hAnsi="仿宋" w:eastAsia="仿宋" w:cs="仿宋"/>
                <w:sz w:val="24"/>
                <w:szCs w:val="24"/>
                <w:vertAlign w:val="baseline"/>
              </w:rPr>
            </w:pPr>
          </w:p>
        </w:tc>
        <w:tc>
          <w:tcPr>
            <w:tcW w:w="1187" w:type="dxa"/>
          </w:tcPr>
          <w:p w14:paraId="3FF9D27D">
            <w:pPr>
              <w:rPr>
                <w:rFonts w:hint="eastAsia" w:ascii="仿宋" w:hAnsi="仿宋" w:eastAsia="仿宋" w:cs="仿宋"/>
                <w:sz w:val="24"/>
                <w:szCs w:val="24"/>
                <w:vertAlign w:val="baseline"/>
              </w:rPr>
            </w:pPr>
          </w:p>
        </w:tc>
        <w:tc>
          <w:tcPr>
            <w:tcW w:w="5134" w:type="dxa"/>
            <w:vAlign w:val="center"/>
          </w:tcPr>
          <w:p w14:paraId="635DF7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应用层安全防护，服务要求网络吞吐量≥60 Gbps，TCP最大并发连接数：≥1500万。并提供以下服务：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支持DHCP功能，包括DHCP服务器和DHCP中继功能。并可以作为客户端获得IP地址，满足客户自动化管理的需要。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支持自定义事件升级内容。针对新增加的事件特征，针对不同级别的事件，用户可以选择是否自动升级到自定义策略中。升级界面中至少包含高中低三种级别事件的升级启用选项。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系统应支持弱口令检测功能，需支持至少不小于8种网络协议并支持至少不小于7种弱口令检测元素，并文字说明支持的网络协议和定义弱口令的检测元素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需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提供在线管理员数目限制和管理员唯一性检查功能，提高系统管理的安全性。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系统应支持威胁分析功能，通过与威胁情报、NFT全流取证、网络负载、内置解码工具、事件处理流程、事件性质判定等信息综合对威胁进行分析判断。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系统应内置不少于5种日志外发模板，至少兼容能源行业和全国信息安全标准化技术委员会发布的网络安全产品互联互通告警信息格式，应支持自定义日志发送格式，包括自定义分隔符、连字符，字段名称等。</w:t>
            </w:r>
          </w:p>
        </w:tc>
        <w:tc>
          <w:tcPr>
            <w:tcW w:w="657" w:type="dxa"/>
          </w:tcPr>
          <w:p w14:paraId="2EEBB5DF">
            <w:pPr>
              <w:rPr>
                <w:rFonts w:hint="eastAsia" w:ascii="仿宋" w:hAnsi="仿宋" w:eastAsia="仿宋" w:cs="仿宋"/>
                <w:sz w:val="24"/>
                <w:szCs w:val="24"/>
                <w:vertAlign w:val="baseline"/>
              </w:rPr>
            </w:pPr>
          </w:p>
        </w:tc>
        <w:tc>
          <w:tcPr>
            <w:tcW w:w="787" w:type="dxa"/>
          </w:tcPr>
          <w:p w14:paraId="2BE70E5B">
            <w:pPr>
              <w:rPr>
                <w:rFonts w:hint="eastAsia" w:ascii="仿宋" w:hAnsi="仿宋" w:eastAsia="仿宋" w:cs="仿宋"/>
                <w:sz w:val="24"/>
                <w:szCs w:val="24"/>
                <w:vertAlign w:val="baseline"/>
              </w:rPr>
            </w:pPr>
          </w:p>
        </w:tc>
      </w:tr>
    </w:tbl>
    <w:p w14:paraId="6DAC9F5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000000"/>
          <w:sz w:val="24"/>
          <w:szCs w:val="24"/>
          <w:lang w:val="en-US" w:eastAsia="zh-CN"/>
        </w:rPr>
      </w:pPr>
    </w:p>
    <w:p w14:paraId="50ECA8B3">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二：其他要求</w:t>
      </w:r>
    </w:p>
    <w:p w14:paraId="2A3E1508">
      <w:pPr>
        <w:keepNext w:val="0"/>
        <w:keepLines w:val="0"/>
        <w:pageBreakBefore w:val="0"/>
        <w:widowControl w:val="0"/>
        <w:numPr>
          <w:ilvl w:val="0"/>
          <w:numId w:val="2"/>
        </w:numPr>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服务期12个月。（可在需求不发生变化，且采购单位预算充足的情况下，根据相关政策以及中标人服务质量与中标人续签下一年合同，最多续签两年）。</w:t>
      </w:r>
      <w:r>
        <w:rPr>
          <w:rFonts w:hint="eastAsia" w:ascii="仿宋" w:hAnsi="仿宋" w:eastAsia="仿宋" w:cs="仿宋"/>
          <w:i w:val="0"/>
          <w:iCs w:val="0"/>
          <w:color w:val="000000"/>
          <w:kern w:val="0"/>
          <w:sz w:val="24"/>
          <w:szCs w:val="24"/>
          <w:u w:val="none"/>
          <w:lang w:val="en-US" w:eastAsia="zh-CN" w:bidi="ar"/>
        </w:rPr>
        <w:t>移动执法终端的运行保障及维修替换服务</w:t>
      </w:r>
      <w:r>
        <w:rPr>
          <w:rFonts w:hint="default" w:ascii="仿宋" w:hAnsi="仿宋" w:eastAsia="仿宋" w:cs="仿宋"/>
          <w:color w:val="000000"/>
          <w:sz w:val="24"/>
          <w:szCs w:val="24"/>
          <w:lang w:val="en-US" w:eastAsia="zh-CN"/>
        </w:rPr>
        <w:t>需自合同签订之日起</w:t>
      </w:r>
      <w:r>
        <w:rPr>
          <w:rFonts w:hint="eastAsia" w:ascii="仿宋" w:hAnsi="仿宋" w:eastAsia="仿宋" w:cs="仿宋"/>
          <w:color w:val="000000"/>
          <w:sz w:val="24"/>
          <w:szCs w:val="24"/>
          <w:lang w:val="en-US" w:eastAsia="zh-CN"/>
        </w:rPr>
        <w:t>15</w:t>
      </w:r>
      <w:r>
        <w:rPr>
          <w:rFonts w:hint="default" w:ascii="仿宋" w:hAnsi="仿宋" w:eastAsia="仿宋" w:cs="仿宋"/>
          <w:color w:val="000000"/>
          <w:sz w:val="24"/>
          <w:szCs w:val="24"/>
          <w:lang w:val="en-US" w:eastAsia="zh-CN"/>
        </w:rPr>
        <w:t>个</w:t>
      </w:r>
      <w:r>
        <w:rPr>
          <w:rFonts w:hint="eastAsia" w:ascii="仿宋" w:hAnsi="仿宋" w:eastAsia="仿宋" w:cs="仿宋"/>
          <w:color w:val="000000"/>
          <w:sz w:val="24"/>
          <w:szCs w:val="24"/>
          <w:lang w:val="en-US" w:eastAsia="zh-CN"/>
        </w:rPr>
        <w:t>工作日</w:t>
      </w:r>
      <w:r>
        <w:rPr>
          <w:rFonts w:hint="default" w:ascii="仿宋" w:hAnsi="仿宋" w:eastAsia="仿宋" w:cs="仿宋"/>
          <w:color w:val="000000"/>
          <w:sz w:val="24"/>
          <w:szCs w:val="24"/>
          <w:lang w:val="en-US" w:eastAsia="zh-CN"/>
        </w:rPr>
        <w:t>内完成。</w:t>
      </w:r>
    </w:p>
    <w:p w14:paraId="5F1FEED9">
      <w:pPr>
        <w:keepNext w:val="0"/>
        <w:keepLines w:val="0"/>
        <w:pageBreakBefore w:val="0"/>
        <w:widowControl w:val="0"/>
        <w:numPr>
          <w:ilvl w:val="0"/>
          <w:numId w:val="2"/>
        </w:numPr>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按照本</w:t>
      </w:r>
      <w:r>
        <w:rPr>
          <w:rFonts w:hint="eastAsia" w:ascii="仿宋" w:hAnsi="仿宋" w:eastAsia="仿宋" w:cs="仿宋"/>
          <w:color w:val="000000"/>
          <w:sz w:val="24"/>
          <w:szCs w:val="24"/>
          <w:lang w:val="en-US" w:eastAsia="zh-CN"/>
        </w:rPr>
        <w:t>项目</w:t>
      </w:r>
      <w:r>
        <w:rPr>
          <w:rFonts w:hint="default" w:ascii="仿宋" w:hAnsi="仿宋" w:eastAsia="仿宋" w:cs="仿宋"/>
          <w:color w:val="000000"/>
          <w:sz w:val="24"/>
          <w:szCs w:val="24"/>
          <w:lang w:val="en-US" w:eastAsia="zh-CN"/>
        </w:rPr>
        <w:t>(或就本合同)所提供/披露的各类技术和商业资料、规格说明、图纸、文件及专有技术(统称“保密资料”)享有合法所有权。</w:t>
      </w:r>
    </w:p>
    <w:p w14:paraId="07292F0C">
      <w:pPr>
        <w:keepNext w:val="0"/>
        <w:keepLines w:val="0"/>
        <w:pageBreakBefore w:val="0"/>
        <w:widowControl w:val="0"/>
        <w:numPr>
          <w:ilvl w:val="0"/>
          <w:numId w:val="2"/>
        </w:numPr>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应将保密资料作为商业秘密予以保护，除</w:t>
      </w:r>
      <w:r>
        <w:rPr>
          <w:rFonts w:hint="eastAsia" w:ascii="仿宋" w:hAnsi="仿宋" w:eastAsia="仿宋" w:cs="仿宋"/>
          <w:color w:val="000000"/>
          <w:sz w:val="24"/>
          <w:szCs w:val="24"/>
          <w:lang w:val="en-US" w:eastAsia="zh-CN"/>
        </w:rPr>
        <w:t>采购人</w:t>
      </w:r>
      <w:r>
        <w:rPr>
          <w:rFonts w:hint="default" w:ascii="仿宋" w:hAnsi="仿宋" w:eastAsia="仿宋" w:cs="仿宋"/>
          <w:color w:val="000000"/>
          <w:sz w:val="24"/>
          <w:szCs w:val="24"/>
          <w:lang w:val="en-US" w:eastAsia="zh-CN"/>
        </w:rPr>
        <w:t>授权实施的行为外，不得将保密资料任何部分对外披露。</w:t>
      </w: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应当在本</w:t>
      </w:r>
      <w:r>
        <w:rPr>
          <w:rFonts w:hint="eastAsia" w:ascii="仿宋" w:hAnsi="仿宋" w:eastAsia="仿宋" w:cs="仿宋"/>
          <w:color w:val="000000"/>
          <w:sz w:val="24"/>
          <w:szCs w:val="24"/>
          <w:lang w:val="en-US" w:eastAsia="zh-CN"/>
        </w:rPr>
        <w:t>项目</w:t>
      </w:r>
      <w:r>
        <w:rPr>
          <w:rFonts w:hint="default" w:ascii="仿宋" w:hAnsi="仿宋" w:eastAsia="仿宋" w:cs="仿宋"/>
          <w:color w:val="000000"/>
          <w:sz w:val="24"/>
          <w:szCs w:val="24"/>
          <w:lang w:val="en-US" w:eastAsia="zh-CN"/>
        </w:rPr>
        <w:t>终止或解除时将保密资料原件全部返还</w:t>
      </w:r>
      <w:r>
        <w:rPr>
          <w:rFonts w:hint="eastAsia" w:ascii="仿宋" w:hAnsi="仿宋" w:eastAsia="仿宋" w:cs="仿宋"/>
          <w:color w:val="000000"/>
          <w:sz w:val="24"/>
          <w:szCs w:val="24"/>
          <w:lang w:val="en-US" w:eastAsia="zh-CN"/>
        </w:rPr>
        <w:t>采购人</w:t>
      </w:r>
      <w:r>
        <w:rPr>
          <w:rFonts w:hint="default" w:ascii="仿宋" w:hAnsi="仿宋" w:eastAsia="仿宋" w:cs="仿宋"/>
          <w:color w:val="000000"/>
          <w:sz w:val="24"/>
          <w:szCs w:val="24"/>
          <w:lang w:val="en-US" w:eastAsia="zh-CN"/>
        </w:rPr>
        <w:t>，并销毁所有复制件。</w:t>
      </w: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应当妥善保管保密资料，并对保密资料在</w:t>
      </w: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期间发生的被盗、遗失、泄露或其他有损保密资料保密性的事件承担全部责任。</w:t>
      </w:r>
    </w:p>
    <w:p w14:paraId="44035B1E">
      <w:pPr>
        <w:keepNext w:val="0"/>
        <w:keepLines w:val="0"/>
        <w:pageBreakBefore w:val="0"/>
        <w:widowControl w:val="0"/>
        <w:numPr>
          <w:ilvl w:val="0"/>
          <w:numId w:val="2"/>
        </w:numPr>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通信服务故障影响</w:t>
      </w:r>
      <w:r>
        <w:rPr>
          <w:rFonts w:hint="eastAsia" w:ascii="仿宋" w:hAnsi="仿宋" w:eastAsia="仿宋" w:cs="仿宋"/>
          <w:color w:val="000000"/>
          <w:sz w:val="24"/>
          <w:szCs w:val="24"/>
          <w:lang w:val="en-US" w:eastAsia="zh-CN"/>
        </w:rPr>
        <w:t>采购人</w:t>
      </w:r>
      <w:r>
        <w:rPr>
          <w:rFonts w:hint="default" w:ascii="仿宋" w:hAnsi="仿宋" w:eastAsia="仿宋" w:cs="仿宋"/>
          <w:color w:val="000000"/>
          <w:sz w:val="24"/>
          <w:szCs w:val="24"/>
          <w:lang w:val="en-US" w:eastAsia="zh-CN"/>
        </w:rPr>
        <w:t>使用的，</w:t>
      </w: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应于半小时内响应，4小时内解决故障并恢复通信功能。</w:t>
      </w:r>
    </w:p>
    <w:p w14:paraId="7E923A8A">
      <w:pPr>
        <w:keepNext w:val="0"/>
        <w:keepLines w:val="0"/>
        <w:pageBreakBefore w:val="0"/>
        <w:widowControl w:val="0"/>
        <w:numPr>
          <w:ilvl w:val="0"/>
          <w:numId w:val="2"/>
        </w:numPr>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因通信基站及其它投标人原因造成采购人通信中断，投标人保证停机不得超过1小时，如警务通停机超2小时且1个月停机三次则免除中断号码的当月通信服务费。</w:t>
      </w:r>
    </w:p>
    <w:p w14:paraId="042CD718">
      <w:pPr>
        <w:keepNext w:val="0"/>
        <w:keepLines w:val="0"/>
        <w:pageBreakBefore w:val="0"/>
        <w:widowControl w:val="0"/>
        <w:numPr>
          <w:ilvl w:val="0"/>
          <w:numId w:val="2"/>
        </w:numPr>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设备故障期间投标人应提供3-5台备用设备于采购人使用。</w:t>
      </w:r>
    </w:p>
    <w:p w14:paraId="1E30593F">
      <w:pPr>
        <w:keepNext w:val="0"/>
        <w:keepLines w:val="0"/>
        <w:pageBreakBefore w:val="0"/>
        <w:widowControl w:val="0"/>
        <w:numPr>
          <w:ilvl w:val="0"/>
          <w:numId w:val="2"/>
        </w:numPr>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投标人</w:t>
      </w:r>
      <w:r>
        <w:rPr>
          <w:rFonts w:hint="default" w:ascii="仿宋" w:hAnsi="仿宋" w:eastAsia="仿宋" w:cs="仿宋"/>
          <w:color w:val="000000"/>
          <w:sz w:val="24"/>
          <w:szCs w:val="24"/>
          <w:lang w:val="en-US" w:eastAsia="zh-CN"/>
        </w:rPr>
        <w:t>自服务开通之日起，为</w:t>
      </w:r>
      <w:r>
        <w:rPr>
          <w:rFonts w:hint="eastAsia" w:ascii="仿宋" w:hAnsi="仿宋" w:eastAsia="仿宋" w:cs="仿宋"/>
          <w:color w:val="000000"/>
          <w:sz w:val="24"/>
          <w:szCs w:val="24"/>
          <w:lang w:val="en-US" w:eastAsia="zh-CN"/>
        </w:rPr>
        <w:t>采购人</w:t>
      </w:r>
      <w:r>
        <w:rPr>
          <w:rFonts w:hint="default" w:ascii="仿宋" w:hAnsi="仿宋" w:eastAsia="仿宋" w:cs="仿宋"/>
          <w:color w:val="000000"/>
          <w:sz w:val="24"/>
          <w:szCs w:val="24"/>
          <w:lang w:val="en-US" w:eastAsia="zh-CN"/>
        </w:rPr>
        <w:t>提供与合同期相同的技术支持和服</w:t>
      </w:r>
      <w:r>
        <w:rPr>
          <w:rFonts w:hint="eastAsia" w:ascii="仿宋" w:hAnsi="仿宋" w:eastAsia="仿宋" w:cs="仿宋"/>
          <w:color w:val="000000"/>
          <w:sz w:val="24"/>
          <w:szCs w:val="24"/>
          <w:lang w:val="en-US" w:eastAsia="zh-CN"/>
        </w:rPr>
        <w:t>务。</w:t>
      </w:r>
    </w:p>
    <w:p w14:paraId="2981708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r>
        <w:rPr>
          <w:rFonts w:hint="default" w:ascii="仿宋" w:hAnsi="仿宋" w:eastAsia="仿宋" w:cs="仿宋"/>
          <w:color w:val="000000"/>
          <w:sz w:val="24"/>
          <w:szCs w:val="24"/>
          <w:lang w:val="en-US" w:eastAsia="zh-CN"/>
        </w:rPr>
        <w:t>．</w:t>
      </w:r>
      <w:r>
        <w:rPr>
          <w:rFonts w:hint="default" w:ascii="仿宋" w:hAnsi="仿宋" w:eastAsia="仿宋" w:cs="仿宋"/>
          <w:b/>
          <w:bCs/>
          <w:color w:val="000000"/>
          <w:sz w:val="24"/>
          <w:szCs w:val="24"/>
          <w:lang w:val="en-US" w:eastAsia="zh-CN"/>
        </w:rPr>
        <w:t>支付</w:t>
      </w:r>
      <w:r>
        <w:rPr>
          <w:rFonts w:hint="eastAsia" w:ascii="仿宋" w:hAnsi="仿宋" w:eastAsia="仿宋" w:cs="仿宋"/>
          <w:b/>
          <w:bCs/>
          <w:color w:val="000000"/>
          <w:sz w:val="24"/>
          <w:szCs w:val="24"/>
          <w:lang w:val="en-US" w:eastAsia="zh-CN"/>
        </w:rPr>
        <w:t>方式：</w:t>
      </w:r>
      <w:r>
        <w:rPr>
          <w:rFonts w:hint="eastAsia" w:ascii="仿宋" w:hAnsi="仿宋" w:eastAsia="仿宋" w:cs="仿宋"/>
          <w:color w:val="000000"/>
          <w:sz w:val="24"/>
          <w:szCs w:val="24"/>
          <w:lang w:val="en-US" w:eastAsia="zh-CN"/>
        </w:rPr>
        <w:t>签订合同后，支付合同金额的80%预付款，全部材料及设备通过验收后，支付至合同金额的100%。（具体以合同签订为准）</w:t>
      </w:r>
    </w:p>
    <w:p w14:paraId="194B791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仿宋" w:hAnsi="仿宋" w:eastAsia="仿宋" w:cs="仿宋"/>
          <w:color w:val="000000"/>
          <w:sz w:val="24"/>
          <w:szCs w:val="24"/>
          <w:lang w:val="en-US" w:eastAsia="zh-CN"/>
        </w:rPr>
      </w:pPr>
    </w:p>
    <w:p w14:paraId="0B82EE2C">
      <w:pPr>
        <w:rPr>
          <w:rFonts w:ascii="仿宋" w:hAnsi="仿宋" w:eastAsia="仿宋" w:cs="仿宋"/>
          <w:color w:val="000000"/>
          <w:sz w:val="30"/>
          <w:szCs w:val="30"/>
        </w:rPr>
      </w:pPr>
      <w:r>
        <w:rPr>
          <w:color w:val="000000"/>
        </w:rPr>
        <w:br w:type="page"/>
      </w:r>
      <w:bookmarkEnd w:id="491"/>
      <w:bookmarkEnd w:id="492"/>
      <w:bookmarkEnd w:id="493"/>
      <w:bookmarkEnd w:id="494"/>
      <w:bookmarkStart w:id="495" w:name="_Toc6865"/>
      <w:bookmarkStart w:id="496" w:name="_Toc4388"/>
      <w:bookmarkStart w:id="497" w:name="_Toc4796"/>
      <w:bookmarkStart w:id="498" w:name="_Toc515647833"/>
      <w:bookmarkStart w:id="499" w:name="_Toc45641513"/>
    </w:p>
    <w:bookmarkEnd w:id="495"/>
    <w:bookmarkEnd w:id="496"/>
    <w:bookmarkEnd w:id="497"/>
    <w:bookmarkEnd w:id="498"/>
    <w:bookmarkEnd w:id="499"/>
    <w:p w14:paraId="1C80E395">
      <w:pPr>
        <w:pStyle w:val="3"/>
        <w:tabs>
          <w:tab w:val="left" w:pos="0"/>
        </w:tabs>
        <w:spacing w:before="0" w:after="0" w:line="240" w:lineRule="atLeast"/>
        <w:ind w:firstLine="2570" w:firstLineChars="800"/>
        <w:jc w:val="both"/>
        <w:rPr>
          <w:rFonts w:hint="eastAsia" w:ascii="仿宋_GB2312" w:eastAsia="仿宋_GB2312"/>
          <w:color w:val="000000"/>
        </w:rPr>
      </w:pPr>
      <w:bookmarkStart w:id="500" w:name="_Toc19688"/>
      <w:bookmarkStart w:id="501" w:name="_Toc24815"/>
      <w:bookmarkStart w:id="502" w:name="_Toc13665"/>
      <w:bookmarkStart w:id="503" w:name="_Toc8964"/>
      <w:bookmarkStart w:id="504" w:name="_Toc8455"/>
      <w:bookmarkStart w:id="505" w:name="_Toc15367"/>
      <w:bookmarkStart w:id="506" w:name="_Toc14806"/>
      <w:bookmarkStart w:id="507" w:name="_Toc8320"/>
      <w:bookmarkStart w:id="508" w:name="_Toc19273"/>
      <w:bookmarkStart w:id="509" w:name="_Toc20421"/>
      <w:bookmarkStart w:id="510" w:name="_Toc13081"/>
      <w:bookmarkStart w:id="511" w:name="_Toc4589"/>
      <w:bookmarkStart w:id="512" w:name="_Toc28855"/>
      <w:bookmarkStart w:id="513" w:name="_Toc12620"/>
      <w:bookmarkStart w:id="514" w:name="_Toc13185"/>
      <w:bookmarkStart w:id="515" w:name="_Toc15822"/>
      <w:bookmarkStart w:id="516" w:name="_Toc29196"/>
      <w:bookmarkStart w:id="517" w:name="_Toc5062"/>
      <w:r>
        <w:rPr>
          <w:rFonts w:hint="eastAsia" w:ascii="仿宋_GB2312" w:eastAsia="仿宋_GB2312"/>
          <w:color w:val="000000"/>
        </w:rPr>
        <w:t>第六章、评标方法和标准</w:t>
      </w:r>
      <w:bookmarkEnd w:id="500"/>
    </w:p>
    <w:p w14:paraId="75170576">
      <w:pPr>
        <w:pStyle w:val="15"/>
        <w:tabs>
          <w:tab w:val="clear" w:pos="567"/>
        </w:tabs>
        <w:spacing w:before="0" w:line="360" w:lineRule="auto"/>
        <w:ind w:firstLine="540" w:firstLineChars="225"/>
        <w:rPr>
          <w:rFonts w:ascii="仿宋" w:hAnsi="仿宋" w:eastAsia="仿宋" w:cs="仿宋"/>
          <w:color w:val="000000"/>
        </w:rPr>
      </w:pPr>
    </w:p>
    <w:p w14:paraId="58FB41D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本项目将按照招标文件第一章投标人须知中“五 开标及评标”、“六 确定中标”及本章的规定评标。</w:t>
      </w:r>
    </w:p>
    <w:p w14:paraId="1401FCD5">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1、项目基本情况</w:t>
      </w:r>
    </w:p>
    <w:p w14:paraId="1C64ECD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采购方式：公开招标</w:t>
      </w:r>
    </w:p>
    <w:p w14:paraId="7E68BA3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评标办法; 综合评分法</w:t>
      </w:r>
    </w:p>
    <w:p w14:paraId="67ADF6E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是指投标文件满足招标文件全部实质性要求，且按照评审因素的量化指标评审得分最高的投标人为中标候选人的评标方法。</w:t>
      </w:r>
    </w:p>
    <w:p w14:paraId="653D041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2.投标无效的情形：</w:t>
      </w:r>
    </w:p>
    <w:p w14:paraId="6AD6189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（1）单位负责人为同一人或者存在直接控股、管理关系的不同供应商，其相关投标将被认定为投标无效。</w:t>
      </w:r>
    </w:p>
    <w:p w14:paraId="0E3121E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（2）若供应商须知资料表中未写明允许采购进口产品，如供应商所投产品为进口产品，其投标将被认定为投标无效。</w:t>
      </w:r>
    </w:p>
    <w:p w14:paraId="7EF6454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为本项目提供过整体设计、规范编制或者项目管理、监理、检测等货物的供应商，不得再参加本项目上述货物以外的其他采购活动。否则其投标将被认定为投标无效。供应商在投标过程中不得向采购人提供、给予任何有价值的物品，影响其正常决策行为。一经发现，其将被认定为投标无效。</w:t>
      </w:r>
    </w:p>
    <w:p w14:paraId="25382D6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（4）供应商报价超过招标文件规定的预算金额或者分项、最高限价的，其投标将被认定为投标无效。</w:t>
      </w:r>
    </w:p>
    <w:p w14:paraId="739CD39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44A8E34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（6）供应商应当对所投分包投标文件中“货物需求”所列的所有内容进行投标，如仅响应某一部分内容，其该包投标将被认定为投标无效。</w:t>
      </w:r>
    </w:p>
    <w:p w14:paraId="58F2945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（7）供应商未按本须知第12.1和12.3条规定提交投标保证金的，其投标资格将被认定为无效。</w:t>
      </w:r>
    </w:p>
    <w:p w14:paraId="49E94E3F">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14:paraId="15431C9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（9）供应商所报的各分项投标单价在合同履行过程中是固定不变的，不得以任何理由予以变更。任何包含价格调整要求的投标，其投标将被认定为投标无效。</w:t>
      </w:r>
    </w:p>
    <w:p w14:paraId="786DDBF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（10）投标应在供应商须知资料表中规定时间内保持有效。投标有效期不满足要求的投标，其投标将被认定为投标无效。</w:t>
      </w:r>
    </w:p>
    <w:p w14:paraId="2C2F8ED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（11）所有投标文件采用不可拆装的胶订方式装订，否则其投标将被认定为投标无效。</w:t>
      </w:r>
    </w:p>
    <w:p w14:paraId="1BE9B1B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（12）采购人或采购代理机构将在投标截止后1小时的期间内查询供应商的信用记录。供应商存在不良信用记录的，其投标将被认定为投标无效。</w:t>
      </w:r>
    </w:p>
    <w:p w14:paraId="0CDBC4C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48A940E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14）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12E9068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15）如发现下列情况之一的，其投标将被认定为投标无效：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6F07586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3.开评标</w:t>
      </w:r>
    </w:p>
    <w:p w14:paraId="23571FF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（1）开标</w:t>
      </w:r>
    </w:p>
    <w:p w14:paraId="1E1C877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按照招标文件要求，在投标截止时间之前，开启监控设备，接收投标单位递交的投标文件，投标截止时间后不再接收投标单位递交投标文件，投标人不足3家的，不得开标。</w:t>
      </w:r>
    </w:p>
    <w:p w14:paraId="07EDB78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第一项：宣布会议会场纪律</w:t>
      </w:r>
    </w:p>
    <w:p w14:paraId="3DEDE73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与会各位代表按指定的位置就座并保持网络畅通，并保持会场纪律，开标会议主持人宣布开标环节正式开始，各投标人员手机时刻保持畅通，评标专家手机调成静音交由代理公司保管，评标期间不得擅自离开。</w:t>
      </w:r>
    </w:p>
    <w:p w14:paraId="697CA8B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第二项：请投标单位对投标文件进行解密，解密时长为30分钟。</w:t>
      </w:r>
    </w:p>
    <w:p w14:paraId="649C823A">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第三项：由采购代理机构开启标书。</w:t>
      </w:r>
    </w:p>
    <w:p w14:paraId="14D0F4F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第四项：由评审小组推选一名组长，负责组织评标。</w:t>
      </w:r>
    </w:p>
    <w:p w14:paraId="2201F5E5">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第五项：由采购人或采购代理机构当众宣读供应商名称、投标报价及招标文件规定的内容。对于供应商在投标截止期前递交的投标声明，在开标时当众宣读，评标时有效。</w:t>
      </w:r>
    </w:p>
    <w:p w14:paraId="1C94897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第六项：未宣读投标价格、价格折扣等实质内容，评标时不予承认。</w:t>
      </w:r>
    </w:p>
    <w:p w14:paraId="3954F0A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第七项：采购人或采购代理机构将对开标过程进行记录，由参加开标的各供应商代表在系统上签字确认，工作人员打印并签字，存档备查。</w:t>
      </w:r>
    </w:p>
    <w:p w14:paraId="0D1DC67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第八项：供应商代表对开标过程和开标记录有疑义，以及认为采购人、采购代理机构相关工作人员有需要回避的情形的，应当场提出询问或者回避申请。</w:t>
      </w:r>
    </w:p>
    <w:p w14:paraId="03D867B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（2）项目评审专家要求：</w:t>
      </w:r>
    </w:p>
    <w:p w14:paraId="2AF1672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auto"/>
        </w:rPr>
        <w:t>本项目评标委员会由5人</w:t>
      </w:r>
      <w:r>
        <w:rPr>
          <w:rFonts w:hint="eastAsia" w:ascii="仿宋" w:hAnsi="仿宋" w:eastAsia="仿宋" w:cs="仿宋"/>
          <w:b w:val="0"/>
          <w:bCs w:val="0"/>
          <w:color w:val="auto"/>
          <w:lang w:val="en-US" w:eastAsia="zh-CN"/>
        </w:rPr>
        <w:t>单数</w:t>
      </w:r>
      <w:r>
        <w:rPr>
          <w:rFonts w:hint="eastAsia" w:ascii="仿宋" w:hAnsi="仿宋" w:eastAsia="仿宋" w:cs="仿宋"/>
          <w:b w:val="0"/>
          <w:bCs w:val="0"/>
          <w:color w:val="auto"/>
        </w:rPr>
        <w:t>组成（政采云专家库随机抽取专家</w:t>
      </w:r>
      <w:r>
        <w:rPr>
          <w:rFonts w:hint="eastAsia" w:ascii="仿宋" w:hAnsi="仿宋" w:eastAsia="仿宋" w:cs="仿宋"/>
          <w:b w:val="0"/>
          <w:bCs w:val="0"/>
          <w:color w:val="auto"/>
          <w:lang w:val="en-US" w:eastAsia="zh-CN"/>
        </w:rPr>
        <w:t>5</w:t>
      </w:r>
      <w:r>
        <w:rPr>
          <w:rFonts w:hint="eastAsia" w:ascii="仿宋" w:hAnsi="仿宋" w:eastAsia="仿宋" w:cs="仿宋"/>
          <w:b w:val="0"/>
          <w:bCs w:val="0"/>
          <w:color w:val="auto"/>
        </w:rPr>
        <w:t>名）</w:t>
      </w:r>
      <w:r>
        <w:rPr>
          <w:rFonts w:hint="eastAsia" w:ascii="仿宋" w:hAnsi="仿宋" w:eastAsia="仿宋" w:cs="仿宋"/>
          <w:b w:val="0"/>
          <w:bCs w:val="0"/>
          <w:color w:val="000000"/>
        </w:rPr>
        <w:t>。按照招标文件要求，评审专家按时到达指定评标会议室，由专家评委推荐评标委员会组长（采购人代表不得担任组长），并宣读评标纪律、统一保管评委手机、组织专家签到及签署《政府采购评审专家承诺书》，开始评标，评审委员会依据投标文件内容及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标委员会对投标文件有疑问时，需以书面形式转至投标单位，投标单位须对评标委员会提出的疑问做出书面澄清解答，而后专家针对评审的投标文件的商务技术部分进行打分并签字，最后出具本项目评审报告。</w:t>
      </w:r>
    </w:p>
    <w:p w14:paraId="55EAA3A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（3）评标</w:t>
      </w:r>
    </w:p>
    <w:p w14:paraId="580D508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1、评标的依据为招标文件和投标文件；</w:t>
      </w:r>
    </w:p>
    <w:p w14:paraId="6707B1E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2、本项目采用综合评分法：总分100分，共中报价分值</w:t>
      </w:r>
      <w:r>
        <w:rPr>
          <w:rFonts w:hint="eastAsia" w:ascii="仿宋" w:hAnsi="仿宋" w:eastAsia="仿宋" w:cs="仿宋"/>
          <w:b w:val="0"/>
          <w:bCs w:val="0"/>
          <w:color w:val="000000"/>
          <w:lang w:val="en-US" w:eastAsia="zh-CN"/>
        </w:rPr>
        <w:t>30</w:t>
      </w:r>
      <w:r>
        <w:rPr>
          <w:rFonts w:hint="eastAsia" w:ascii="仿宋" w:hAnsi="仿宋" w:eastAsia="仿宋" w:cs="仿宋"/>
          <w:b w:val="0"/>
          <w:bCs w:val="0"/>
          <w:color w:val="000000"/>
        </w:rPr>
        <w:t>分，技术</w:t>
      </w:r>
      <w:r>
        <w:rPr>
          <w:rFonts w:hint="eastAsia" w:ascii="仿宋" w:hAnsi="仿宋" w:eastAsia="仿宋" w:cs="仿宋"/>
          <w:b w:val="0"/>
          <w:bCs w:val="0"/>
          <w:color w:val="000000"/>
          <w:lang w:val="en-US" w:eastAsia="zh-CN"/>
        </w:rPr>
        <w:t>及</w:t>
      </w:r>
      <w:r>
        <w:rPr>
          <w:rFonts w:hint="eastAsia" w:ascii="仿宋" w:hAnsi="仿宋" w:eastAsia="仿宋" w:cs="仿宋"/>
          <w:b w:val="0"/>
          <w:bCs w:val="0"/>
          <w:color w:val="000000"/>
        </w:rPr>
        <w:t>商务得分</w:t>
      </w:r>
      <w:r>
        <w:rPr>
          <w:rFonts w:hint="eastAsia" w:ascii="仿宋" w:hAnsi="仿宋" w:eastAsia="仿宋" w:cs="仿宋"/>
          <w:b w:val="0"/>
          <w:bCs w:val="0"/>
          <w:color w:val="000000"/>
          <w:lang w:val="en-US" w:eastAsia="zh-CN"/>
        </w:rPr>
        <w:t>70</w:t>
      </w:r>
      <w:r>
        <w:rPr>
          <w:rFonts w:hint="eastAsia" w:ascii="仿宋" w:hAnsi="仿宋" w:eastAsia="仿宋" w:cs="仿宋"/>
          <w:b w:val="0"/>
          <w:bCs w:val="0"/>
          <w:color w:val="000000"/>
        </w:rPr>
        <w:t>分。</w:t>
      </w:r>
    </w:p>
    <w:p w14:paraId="0D82EA5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3、评标委员会依据招标文件和投标文件进行认真查阅。审查投标文件是否完整，是否有计算错误，要求的招标保证金是否提供，文件是否恰当地签署；</w:t>
      </w:r>
    </w:p>
    <w:p w14:paraId="38E02FF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4、在对投标文件进行详细评估前，依据投标方提供的资格证明文件审查投标方的财务、技术和服务能力。如果确定投标方无资格履行合同，其投标将被拒绝；</w:t>
      </w:r>
    </w:p>
    <w:p w14:paraId="099F1460">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评标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C20602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初步评审</w:t>
      </w:r>
    </w:p>
    <w:p w14:paraId="24D79F8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评标委员会应当对投标人提交的投标文件进行初步审查。初审分为资格性检查和符合性检查资格性检查。依据法律法规和招标文件的规定，对投标文件中的资格证明进行审查，以确定投标人是否具备投标资格。</w:t>
      </w:r>
    </w:p>
    <w:p w14:paraId="77A2303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投标文件的符合性审查</w:t>
      </w:r>
    </w:p>
    <w:p w14:paraId="358C3E9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投标文件是否实质性响应招标文件要求由评标委员会依据招标文件规定认定。评标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4BC53B7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1.未按规定由投标人的法定代表人或投标人代表签字，或未加盖投标投标人公章的，或签字人未经法定代表人有效授权委托的。</w:t>
      </w:r>
    </w:p>
    <w:p w14:paraId="3A3CAEE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2.投标有效期不满足招标文件要求的；</w:t>
      </w:r>
    </w:p>
    <w:p w14:paraId="5A9C8FEA">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 xml:space="preserve">3.投标人提交的投标报价高于最高投标限价的； </w:t>
      </w:r>
    </w:p>
    <w:p w14:paraId="4E48ECF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4.投标文件付款方式不能满足招标文件要求的；</w:t>
      </w:r>
    </w:p>
    <w:p w14:paraId="7E2E182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5.投标文件的关键内容字迹模糊、无法辨认的,或者投标文件中经修正的内容字迹模糊难以辩认或者修改处未按规定签名盖章的；</w:t>
      </w:r>
    </w:p>
    <w:p w14:paraId="363269F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6.投标有效期、交货期、供货范围等商务条款不能满足招标文件要求的；</w:t>
      </w:r>
    </w:p>
    <w:p w14:paraId="7B6028F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7.未实质性响应或者擅自改变招标文件要求或者投标文件有招标方不能接受的附加条件的。</w:t>
      </w:r>
    </w:p>
    <w:p w14:paraId="5487E65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对投标文件的评估和比较分为两步进行，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14:paraId="5A1955D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审完毕，评标委员会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021959B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复核。评分汇总结束后，评标委员会应当进行复核，特别要对拟推荐为中标候选供应商的、报价最低的、投标文件被认定为无效的进行重点复核。</w:t>
      </w:r>
    </w:p>
    <w:p w14:paraId="3C3037C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推荐中标候选供应商。中标候选供应商应当排序。</w:t>
      </w:r>
    </w:p>
    <w:p w14:paraId="344EED9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出具评标报告。评标委员会推荐中标候选供应商后，应当向招标采购单位出具评标报告。评标报告应当包括下列内容：</w:t>
      </w:r>
    </w:p>
    <w:p w14:paraId="2A2CBA2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（一）招标公告刊登的媒体名称、开标日期和地点；</w:t>
      </w:r>
    </w:p>
    <w:p w14:paraId="7EB671E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（二）评标委员会成员名单；</w:t>
      </w:r>
    </w:p>
    <w:p w14:paraId="79C9B64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（三）评标方法和标准；</w:t>
      </w:r>
    </w:p>
    <w:p w14:paraId="56B106B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（四）开标记录和评标情况及说明，包括无效投标人名单及原因；</w:t>
      </w:r>
    </w:p>
    <w:p w14:paraId="319A8CD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（五）评标结果，确定的中标候选人名单或者经采购人委托直接确定的中标人；</w:t>
      </w:r>
    </w:p>
    <w:p w14:paraId="2617E08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（六）其他需要说明的情况，包括评标过程中投标人根据评标委员会要求进行的澄清、说明或者补正，评标委员会成员的更换等。</w:t>
      </w:r>
    </w:p>
    <w:p w14:paraId="7DE8A3A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31E783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评标争议处理规则。</w:t>
      </w:r>
    </w:p>
    <w:p w14:paraId="733668E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0616838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供应商应当书面澄清、说明或者更正。</w:t>
      </w:r>
    </w:p>
    <w:p w14:paraId="1F09D80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0A1D25EF">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5E97877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评标委员会要求供应商澄清、说明或者更正，不得超出招标文件的范围，不得以此让供应商实质改变投标文件的内容，不得影响供应商公平竞争。本项目下列内容不得澄清：</w:t>
      </w:r>
    </w:p>
    <w:p w14:paraId="7281C01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（一）按财政部规定应当在评标时不予承认的投标文件内容事项；</w:t>
      </w:r>
    </w:p>
    <w:p w14:paraId="40E6D09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（二）投标文件中已经明确的内容事项；</w:t>
      </w:r>
    </w:p>
    <w:p w14:paraId="7D26BED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（三）投标文件未提供的材料。</w:t>
      </w:r>
    </w:p>
    <w:p w14:paraId="1C69185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27D8A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3844DC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招标采购单位现场复核评标结果。</w:t>
      </w:r>
    </w:p>
    <w:p w14:paraId="4D82B75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评标结果汇总完成后，评标委员会拟出具评标报告前，招标采购单位应当组织本单位工作人员，在采购现场监督人员的监督之下，依据有关的法律制度和采购文件对评标结果进行复核，提出复核意见。</w:t>
      </w:r>
    </w:p>
    <w:p w14:paraId="41CC162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D324F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4、确定中标</w:t>
      </w:r>
    </w:p>
    <w:p w14:paraId="3FEE26A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本项目采用综合评分法，是指投标文件满足招标文件全部实质性要求，且按照评审因素的量化指标评审得分最高的投标人为中标候选人的评标方法。对投标文件的评估和比较分为两步进行，评标委员会按照采购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w:t>
      </w:r>
    </w:p>
    <w:p w14:paraId="74E2AF3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采购代理机构在评标结束后2个工作日内将评标报告送采购人。</w:t>
      </w:r>
    </w:p>
    <w:p w14:paraId="1756D3A0">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若第一中标人拒绝签订政府采购合同，将取消中标资格，应当承担相应的法律责任。采购人可以按照评审报告推荐的中标候选人名单排序，确定下一候选人为中标人，也可以重新开展政府采购活动。</w:t>
      </w:r>
    </w:p>
    <w:p w14:paraId="7509DCA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根据采购人确定的中标供应商，采购代理机构在新疆政府采购网上发布中标公告，并自采购人确定中标之日起3个工作日内向中标供应商发出中标通知书。</w:t>
      </w:r>
    </w:p>
    <w:p w14:paraId="25C22D8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5、中小企业落实政策</w:t>
      </w:r>
    </w:p>
    <w:p w14:paraId="1A263FF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①根据《政府采购促进中小企业发展管理办法》（财库﹝2020﹞46号）、《关于落实好政府采购支持中小企业发展的通知》（新财购〔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10%后参与评审。对于同时属于小型、微型及小微企业、监狱企业或残疾人福利性单位的，不重复进行报价扣除（注：本项目不属于专门面向中小企业项目，产品制造商为小型企业或微型企业的可享受价10%的价格扣除后参与评审）。</w:t>
      </w:r>
    </w:p>
    <w:p w14:paraId="48716A2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②联合协议中约定，小型、微型企业和监狱企业的协议合同金额占到联合体协议合同总金额40%以上的，可给予联合体4%～6%的价格扣除。（本项目不适用）</w:t>
      </w:r>
    </w:p>
    <w:p w14:paraId="4201850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联合体各方均为小型、微型企业和监狱企业的，联合体视同为小型、微型企业和监狱企业。</w:t>
      </w:r>
    </w:p>
    <w:p w14:paraId="4F5A1060">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③供应商所投产品如被列入财政部与国家主管部门颁发的节能产品目录或环境标志产品目录或无线局域网产品目录，应提供相关证明，在评标时予以优先采购，具体优惠措施为：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14:paraId="4D3305BF">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④如采购人所采购产品为政府强制采购的节能产品，供应商所投产品的品牌及型号必须为清单中有效期内产品并提供证明文件，否则其投标将被认定为投标无效。</w:t>
      </w:r>
    </w:p>
    <w:p w14:paraId="3970462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⑤对创新产品或创新型企业的优惠措施为：/</w:t>
      </w:r>
    </w:p>
    <w:p w14:paraId="1A12FE57">
      <w:pPr>
        <w:rPr>
          <w:rFonts w:ascii="仿宋" w:hAnsi="仿宋" w:eastAsia="仿宋" w:cs="仿宋"/>
          <w:b/>
          <w:bCs/>
          <w:color w:val="000000"/>
          <w:sz w:val="28"/>
          <w:szCs w:val="32"/>
        </w:rPr>
      </w:pPr>
      <w:r>
        <w:rPr>
          <w:rFonts w:hint="eastAsia" w:ascii="仿宋" w:hAnsi="仿宋" w:eastAsia="仿宋" w:cs="仿宋"/>
          <w:b/>
          <w:bCs/>
          <w:color w:val="000000"/>
          <w:sz w:val="28"/>
          <w:szCs w:val="32"/>
        </w:rPr>
        <w:br w:type="page"/>
      </w:r>
    </w:p>
    <w:p w14:paraId="744B1B1F">
      <w:pPr>
        <w:spacing w:line="300" w:lineRule="auto"/>
        <w:jc w:val="center"/>
        <w:rPr>
          <w:rFonts w:ascii="仿宋" w:hAnsi="仿宋" w:eastAsia="仿宋" w:cs="仿宋"/>
          <w:b/>
          <w:bCs/>
          <w:color w:val="000000"/>
        </w:rPr>
      </w:pPr>
      <w:r>
        <w:rPr>
          <w:rFonts w:hint="eastAsia" w:ascii="仿宋" w:hAnsi="仿宋" w:eastAsia="仿宋" w:cs="仿宋"/>
          <w:b/>
          <w:bCs/>
          <w:color w:val="000000"/>
          <w:sz w:val="28"/>
          <w:szCs w:val="32"/>
        </w:rPr>
        <w:t>初步评审—资格性审查表</w:t>
      </w:r>
    </w:p>
    <w:tbl>
      <w:tblPr>
        <w:tblStyle w:val="36"/>
        <w:tblpPr w:leftFromText="180" w:rightFromText="180" w:vertAnchor="text" w:horzAnchor="page" w:tblpXSpec="center" w:tblpY="316"/>
        <w:tblOverlap w:val="never"/>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063"/>
        <w:gridCol w:w="722"/>
        <w:gridCol w:w="716"/>
        <w:gridCol w:w="821"/>
      </w:tblGrid>
      <w:tr w14:paraId="144D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16" w:type="dxa"/>
            <w:vMerge w:val="restart"/>
            <w:vAlign w:val="center"/>
          </w:tcPr>
          <w:p w14:paraId="6CC1255C">
            <w:pPr>
              <w:spacing w:line="300"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7063" w:type="dxa"/>
            <w:vMerge w:val="restart"/>
            <w:vAlign w:val="center"/>
          </w:tcPr>
          <w:p w14:paraId="08A34E1B">
            <w:pPr>
              <w:spacing w:line="300" w:lineRule="auto"/>
              <w:jc w:val="center"/>
              <w:rPr>
                <w:rFonts w:ascii="仿宋" w:hAnsi="仿宋" w:eastAsia="仿宋" w:cs="仿宋"/>
                <w:b/>
                <w:color w:val="000000"/>
                <w:sz w:val="24"/>
              </w:rPr>
            </w:pPr>
            <w:r>
              <w:rPr>
                <w:rFonts w:hint="eastAsia" w:ascii="仿宋" w:hAnsi="仿宋" w:eastAsia="仿宋" w:cs="仿宋"/>
                <w:b/>
                <w:color w:val="000000"/>
                <w:sz w:val="24"/>
              </w:rPr>
              <w:t>评审内容</w:t>
            </w:r>
          </w:p>
        </w:tc>
        <w:tc>
          <w:tcPr>
            <w:tcW w:w="2259" w:type="dxa"/>
            <w:gridSpan w:val="3"/>
            <w:vAlign w:val="center"/>
          </w:tcPr>
          <w:p w14:paraId="7904287D">
            <w:pPr>
              <w:spacing w:line="300" w:lineRule="auto"/>
              <w:jc w:val="center"/>
              <w:rPr>
                <w:rFonts w:ascii="仿宋" w:hAnsi="仿宋" w:eastAsia="仿宋" w:cs="仿宋"/>
                <w:b/>
                <w:color w:val="000000"/>
                <w:sz w:val="24"/>
              </w:rPr>
            </w:pPr>
            <w:r>
              <w:rPr>
                <w:rFonts w:hint="eastAsia" w:ascii="仿宋" w:hAnsi="仿宋" w:eastAsia="仿宋" w:cs="仿宋"/>
                <w:b/>
                <w:color w:val="000000"/>
                <w:sz w:val="24"/>
              </w:rPr>
              <w:t>供应商</w:t>
            </w:r>
          </w:p>
        </w:tc>
      </w:tr>
      <w:tr w14:paraId="67B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6" w:type="dxa"/>
            <w:vMerge w:val="continue"/>
            <w:vAlign w:val="center"/>
          </w:tcPr>
          <w:p w14:paraId="1FE78ABA">
            <w:pPr>
              <w:spacing w:line="300" w:lineRule="auto"/>
              <w:jc w:val="center"/>
              <w:rPr>
                <w:rFonts w:ascii="仿宋" w:hAnsi="仿宋" w:eastAsia="仿宋" w:cs="仿宋"/>
                <w:b/>
                <w:color w:val="000000"/>
                <w:sz w:val="24"/>
              </w:rPr>
            </w:pPr>
          </w:p>
        </w:tc>
        <w:tc>
          <w:tcPr>
            <w:tcW w:w="7063" w:type="dxa"/>
            <w:vMerge w:val="continue"/>
            <w:vAlign w:val="center"/>
          </w:tcPr>
          <w:p w14:paraId="1EA5DC93">
            <w:pPr>
              <w:spacing w:line="300" w:lineRule="auto"/>
              <w:jc w:val="center"/>
              <w:rPr>
                <w:rFonts w:ascii="仿宋" w:hAnsi="仿宋" w:eastAsia="仿宋" w:cs="仿宋"/>
                <w:b/>
                <w:color w:val="000000"/>
                <w:sz w:val="24"/>
              </w:rPr>
            </w:pPr>
          </w:p>
        </w:tc>
        <w:tc>
          <w:tcPr>
            <w:tcW w:w="722" w:type="dxa"/>
            <w:vAlign w:val="center"/>
          </w:tcPr>
          <w:p w14:paraId="5A1687BE">
            <w:pPr>
              <w:spacing w:line="300" w:lineRule="auto"/>
              <w:jc w:val="center"/>
              <w:rPr>
                <w:rFonts w:ascii="仿宋" w:hAnsi="仿宋" w:eastAsia="仿宋" w:cs="仿宋"/>
                <w:color w:val="000000"/>
                <w:sz w:val="24"/>
              </w:rPr>
            </w:pPr>
            <w:r>
              <w:rPr>
                <w:rFonts w:hint="eastAsia" w:ascii="仿宋" w:hAnsi="仿宋" w:eastAsia="仿宋" w:cs="仿宋"/>
                <w:color w:val="000000"/>
                <w:sz w:val="24"/>
              </w:rPr>
              <w:t>是否合格</w:t>
            </w:r>
          </w:p>
        </w:tc>
        <w:tc>
          <w:tcPr>
            <w:tcW w:w="716" w:type="dxa"/>
            <w:vAlign w:val="center"/>
          </w:tcPr>
          <w:p w14:paraId="48F60CEA">
            <w:pPr>
              <w:spacing w:line="300" w:lineRule="auto"/>
              <w:jc w:val="center"/>
              <w:rPr>
                <w:rFonts w:ascii="仿宋" w:hAnsi="仿宋" w:eastAsia="仿宋" w:cs="仿宋"/>
                <w:color w:val="000000"/>
                <w:sz w:val="24"/>
              </w:rPr>
            </w:pPr>
            <w:r>
              <w:rPr>
                <w:rFonts w:hint="eastAsia" w:ascii="仿宋" w:hAnsi="仿宋" w:eastAsia="仿宋" w:cs="仿宋"/>
                <w:color w:val="000000"/>
                <w:sz w:val="24"/>
              </w:rPr>
              <w:t>是否合格</w:t>
            </w:r>
          </w:p>
        </w:tc>
        <w:tc>
          <w:tcPr>
            <w:tcW w:w="821" w:type="dxa"/>
            <w:vAlign w:val="center"/>
          </w:tcPr>
          <w:p w14:paraId="480FA64A">
            <w:pPr>
              <w:spacing w:line="300" w:lineRule="auto"/>
              <w:jc w:val="center"/>
              <w:rPr>
                <w:rFonts w:ascii="仿宋" w:hAnsi="仿宋" w:eastAsia="仿宋" w:cs="仿宋"/>
                <w:color w:val="000000"/>
                <w:sz w:val="24"/>
              </w:rPr>
            </w:pPr>
            <w:r>
              <w:rPr>
                <w:rFonts w:hint="eastAsia" w:ascii="仿宋" w:hAnsi="仿宋" w:eastAsia="仿宋" w:cs="仿宋"/>
                <w:color w:val="000000"/>
                <w:sz w:val="24"/>
              </w:rPr>
              <w:t>是否合格</w:t>
            </w:r>
          </w:p>
        </w:tc>
      </w:tr>
      <w:tr w14:paraId="50EA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6" w:type="dxa"/>
            <w:vAlign w:val="center"/>
          </w:tcPr>
          <w:p w14:paraId="79901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1</w:t>
            </w:r>
          </w:p>
        </w:tc>
        <w:tc>
          <w:tcPr>
            <w:tcW w:w="7063" w:type="dxa"/>
            <w:vAlign w:val="center"/>
          </w:tcPr>
          <w:p w14:paraId="23FCC9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 w:cs="仿宋"/>
                <w:color w:val="000000"/>
                <w:sz w:val="24"/>
                <w:lang w:eastAsia="zh-CN"/>
              </w:rPr>
              <w:t>法人或者非法人组织的营业执照等证明文件</w:t>
            </w:r>
            <w:r>
              <w:rPr>
                <w:rFonts w:hint="eastAsia" w:ascii="仿宋" w:hAnsi="仿宋" w:eastAsia="仿宋" w:cs="仿宋"/>
                <w:color w:val="000000"/>
                <w:sz w:val="24"/>
              </w:rPr>
              <w:t>；</w:t>
            </w:r>
          </w:p>
        </w:tc>
        <w:tc>
          <w:tcPr>
            <w:tcW w:w="722" w:type="dxa"/>
          </w:tcPr>
          <w:p w14:paraId="6906980D">
            <w:pPr>
              <w:spacing w:line="300" w:lineRule="auto"/>
              <w:rPr>
                <w:rFonts w:ascii="仿宋" w:hAnsi="仿宋" w:eastAsia="仿宋" w:cs="仿宋"/>
                <w:color w:val="000000"/>
                <w:sz w:val="24"/>
              </w:rPr>
            </w:pPr>
          </w:p>
        </w:tc>
        <w:tc>
          <w:tcPr>
            <w:tcW w:w="716" w:type="dxa"/>
          </w:tcPr>
          <w:p w14:paraId="4E889689">
            <w:pPr>
              <w:spacing w:line="300" w:lineRule="auto"/>
              <w:rPr>
                <w:rFonts w:ascii="仿宋" w:hAnsi="仿宋" w:eastAsia="仿宋" w:cs="仿宋"/>
                <w:color w:val="000000"/>
                <w:sz w:val="24"/>
              </w:rPr>
            </w:pPr>
          </w:p>
        </w:tc>
        <w:tc>
          <w:tcPr>
            <w:tcW w:w="821" w:type="dxa"/>
          </w:tcPr>
          <w:p w14:paraId="30682B5D">
            <w:pPr>
              <w:spacing w:line="300" w:lineRule="auto"/>
              <w:rPr>
                <w:rFonts w:ascii="仿宋" w:hAnsi="仿宋" w:eastAsia="仿宋" w:cs="仿宋"/>
                <w:color w:val="000000"/>
                <w:sz w:val="24"/>
              </w:rPr>
            </w:pPr>
          </w:p>
        </w:tc>
      </w:tr>
      <w:tr w14:paraId="3F94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16" w:type="dxa"/>
            <w:vAlign w:val="center"/>
          </w:tcPr>
          <w:p w14:paraId="641EF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2</w:t>
            </w:r>
          </w:p>
        </w:tc>
        <w:tc>
          <w:tcPr>
            <w:tcW w:w="7063" w:type="dxa"/>
            <w:vAlign w:val="center"/>
          </w:tcPr>
          <w:p w14:paraId="553EC09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lang w:eastAsia="zh-CN"/>
              </w:rPr>
              <w:t>法定代表人投标的需提供法定代表人身份证明，被授权委托人需提供法定代表人授权委托书及被授权委托人身份证；</w:t>
            </w:r>
          </w:p>
        </w:tc>
        <w:tc>
          <w:tcPr>
            <w:tcW w:w="722" w:type="dxa"/>
          </w:tcPr>
          <w:p w14:paraId="5C208DE8">
            <w:pPr>
              <w:spacing w:line="300" w:lineRule="auto"/>
              <w:rPr>
                <w:rFonts w:ascii="仿宋" w:hAnsi="仿宋" w:eastAsia="仿宋" w:cs="仿宋"/>
                <w:color w:val="000000"/>
                <w:sz w:val="24"/>
              </w:rPr>
            </w:pPr>
          </w:p>
        </w:tc>
        <w:tc>
          <w:tcPr>
            <w:tcW w:w="716" w:type="dxa"/>
          </w:tcPr>
          <w:p w14:paraId="73490ECF">
            <w:pPr>
              <w:spacing w:line="300" w:lineRule="auto"/>
              <w:rPr>
                <w:rFonts w:ascii="仿宋" w:hAnsi="仿宋" w:eastAsia="仿宋" w:cs="仿宋"/>
                <w:color w:val="000000"/>
                <w:sz w:val="24"/>
              </w:rPr>
            </w:pPr>
          </w:p>
        </w:tc>
        <w:tc>
          <w:tcPr>
            <w:tcW w:w="821" w:type="dxa"/>
          </w:tcPr>
          <w:p w14:paraId="4BFA2FC6">
            <w:pPr>
              <w:spacing w:line="300" w:lineRule="auto"/>
              <w:rPr>
                <w:rFonts w:ascii="仿宋" w:hAnsi="仿宋" w:eastAsia="仿宋" w:cs="仿宋"/>
                <w:color w:val="000000"/>
                <w:sz w:val="24"/>
              </w:rPr>
            </w:pPr>
          </w:p>
        </w:tc>
      </w:tr>
      <w:tr w14:paraId="5886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6" w:type="dxa"/>
            <w:vAlign w:val="center"/>
          </w:tcPr>
          <w:p w14:paraId="2DFCA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3</w:t>
            </w:r>
          </w:p>
        </w:tc>
        <w:tc>
          <w:tcPr>
            <w:tcW w:w="7063" w:type="dxa"/>
            <w:vAlign w:val="center"/>
          </w:tcPr>
          <w:p w14:paraId="32E4043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lang w:val="en-US" w:eastAsia="zh-CN"/>
              </w:rPr>
              <w:t>提供</w:t>
            </w:r>
            <w:r>
              <w:rPr>
                <w:rFonts w:hint="eastAsia" w:ascii="仿宋" w:hAnsi="仿宋" w:eastAsia="仿宋_GB2312" w:cs="仿宋"/>
                <w:color w:val="000000"/>
                <w:sz w:val="24"/>
              </w:rPr>
              <w:t>本单位缴纳的</w:t>
            </w:r>
            <w:r>
              <w:rPr>
                <w:rFonts w:hint="eastAsia" w:ascii="仿宋" w:hAnsi="仿宋" w:eastAsia="仿宋_GB2312" w:cs="仿宋"/>
                <w:color w:val="000000"/>
                <w:sz w:val="24"/>
                <w:lang w:eastAsia="zh-CN"/>
              </w:rPr>
              <w:t>近六个月中任意一个月的社保缴纳证明</w:t>
            </w:r>
            <w:r>
              <w:rPr>
                <w:rFonts w:hint="eastAsia" w:ascii="仿宋" w:hAnsi="仿宋" w:eastAsia="仿宋" w:cs="仿宋"/>
                <w:color w:val="000000"/>
                <w:sz w:val="24"/>
              </w:rPr>
              <w:t>；</w:t>
            </w:r>
          </w:p>
        </w:tc>
        <w:tc>
          <w:tcPr>
            <w:tcW w:w="722" w:type="dxa"/>
          </w:tcPr>
          <w:p w14:paraId="5217A22A">
            <w:pPr>
              <w:spacing w:line="300" w:lineRule="auto"/>
              <w:rPr>
                <w:rFonts w:ascii="仿宋" w:hAnsi="仿宋" w:eastAsia="仿宋" w:cs="仿宋"/>
                <w:color w:val="000000"/>
                <w:sz w:val="24"/>
              </w:rPr>
            </w:pPr>
          </w:p>
        </w:tc>
        <w:tc>
          <w:tcPr>
            <w:tcW w:w="716" w:type="dxa"/>
          </w:tcPr>
          <w:p w14:paraId="1F49A76C">
            <w:pPr>
              <w:spacing w:line="300" w:lineRule="auto"/>
              <w:rPr>
                <w:rFonts w:ascii="仿宋" w:hAnsi="仿宋" w:eastAsia="仿宋" w:cs="仿宋"/>
                <w:color w:val="000000"/>
                <w:sz w:val="24"/>
              </w:rPr>
            </w:pPr>
          </w:p>
        </w:tc>
        <w:tc>
          <w:tcPr>
            <w:tcW w:w="821" w:type="dxa"/>
          </w:tcPr>
          <w:p w14:paraId="640A3E12">
            <w:pPr>
              <w:spacing w:line="300" w:lineRule="auto"/>
              <w:rPr>
                <w:rFonts w:ascii="仿宋" w:hAnsi="仿宋" w:eastAsia="仿宋" w:cs="仿宋"/>
                <w:color w:val="000000"/>
                <w:sz w:val="24"/>
              </w:rPr>
            </w:pPr>
          </w:p>
        </w:tc>
      </w:tr>
      <w:tr w14:paraId="4DA5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16" w:type="dxa"/>
            <w:vAlign w:val="center"/>
          </w:tcPr>
          <w:p w14:paraId="758C5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4</w:t>
            </w:r>
          </w:p>
        </w:tc>
        <w:tc>
          <w:tcPr>
            <w:tcW w:w="7063" w:type="dxa"/>
            <w:vAlign w:val="center"/>
          </w:tcPr>
          <w:p w14:paraId="7436242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rPr>
              <w:t>具有税务局开具依法缴纳</w:t>
            </w:r>
            <w:r>
              <w:rPr>
                <w:rFonts w:hint="eastAsia" w:ascii="仿宋" w:hAnsi="仿宋" w:eastAsia="仿宋_GB2312" w:cs="仿宋"/>
                <w:color w:val="000000"/>
                <w:sz w:val="24"/>
                <w:lang w:eastAsia="zh-CN"/>
              </w:rPr>
              <w:t>近六个月中任意一个月的税收证明</w:t>
            </w:r>
            <w:r>
              <w:rPr>
                <w:rFonts w:hint="eastAsia" w:ascii="仿宋" w:hAnsi="仿宋" w:eastAsia="仿宋_GB2312" w:cs="仿宋"/>
                <w:color w:val="000000"/>
                <w:sz w:val="24"/>
              </w:rPr>
              <w:t>的良好记录（完税证明）；注：①若为零申报企业，需提供无欠税证明或国家税务总局电子税务局“申报结果查询截图”。②“税种”非社会保险</w:t>
            </w:r>
            <w:r>
              <w:rPr>
                <w:rFonts w:hint="eastAsia" w:ascii="仿宋" w:hAnsi="仿宋" w:eastAsia="仿宋" w:cs="仿宋"/>
                <w:color w:val="000000"/>
                <w:sz w:val="24"/>
              </w:rPr>
              <w:t xml:space="preserve">；   </w:t>
            </w:r>
          </w:p>
        </w:tc>
        <w:tc>
          <w:tcPr>
            <w:tcW w:w="722" w:type="dxa"/>
          </w:tcPr>
          <w:p w14:paraId="7360FB97">
            <w:pPr>
              <w:spacing w:line="300" w:lineRule="auto"/>
              <w:rPr>
                <w:rFonts w:ascii="仿宋" w:hAnsi="仿宋" w:eastAsia="仿宋" w:cs="仿宋"/>
                <w:color w:val="000000"/>
                <w:sz w:val="24"/>
              </w:rPr>
            </w:pPr>
          </w:p>
        </w:tc>
        <w:tc>
          <w:tcPr>
            <w:tcW w:w="716" w:type="dxa"/>
          </w:tcPr>
          <w:p w14:paraId="7284A745">
            <w:pPr>
              <w:spacing w:line="300" w:lineRule="auto"/>
              <w:rPr>
                <w:rFonts w:ascii="仿宋" w:hAnsi="仿宋" w:eastAsia="仿宋" w:cs="仿宋"/>
                <w:color w:val="000000"/>
                <w:sz w:val="24"/>
              </w:rPr>
            </w:pPr>
          </w:p>
        </w:tc>
        <w:tc>
          <w:tcPr>
            <w:tcW w:w="821" w:type="dxa"/>
          </w:tcPr>
          <w:p w14:paraId="04477801">
            <w:pPr>
              <w:spacing w:line="300" w:lineRule="auto"/>
              <w:rPr>
                <w:rFonts w:ascii="仿宋" w:hAnsi="仿宋" w:eastAsia="仿宋" w:cs="仿宋"/>
                <w:color w:val="000000"/>
                <w:sz w:val="24"/>
              </w:rPr>
            </w:pPr>
          </w:p>
        </w:tc>
      </w:tr>
      <w:tr w14:paraId="7793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1FAC5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5</w:t>
            </w:r>
          </w:p>
        </w:tc>
        <w:tc>
          <w:tcPr>
            <w:tcW w:w="7063" w:type="dxa"/>
            <w:vAlign w:val="center"/>
          </w:tcPr>
          <w:p w14:paraId="656DF2E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rPr>
              <w:t>具有</w:t>
            </w:r>
            <w:r>
              <w:rPr>
                <w:rFonts w:hint="eastAsia" w:ascii="仿宋" w:hAnsi="仿宋" w:eastAsia="仿宋_GB2312" w:cs="仿宋"/>
                <w:color w:val="000000"/>
                <w:sz w:val="24"/>
                <w:lang w:eastAsia="zh-CN"/>
              </w:rPr>
              <w:t>2024年度或2025年度的财务审计报告</w:t>
            </w:r>
            <w:r>
              <w:rPr>
                <w:rFonts w:hint="eastAsia" w:ascii="仿宋" w:hAnsi="仿宋" w:eastAsia="仿宋_GB2312" w:cs="仿宋"/>
                <w:color w:val="000000"/>
                <w:sz w:val="24"/>
              </w:rPr>
              <w:t>（新成立未满一年的公司提供有效的银行资信证明）</w:t>
            </w:r>
            <w:r>
              <w:rPr>
                <w:rFonts w:hint="eastAsia" w:ascii="仿宋" w:hAnsi="仿宋" w:eastAsia="仿宋" w:cs="仿宋"/>
                <w:color w:val="000000"/>
                <w:sz w:val="24"/>
              </w:rPr>
              <w:t>；</w:t>
            </w:r>
          </w:p>
        </w:tc>
        <w:tc>
          <w:tcPr>
            <w:tcW w:w="722" w:type="dxa"/>
          </w:tcPr>
          <w:p w14:paraId="4AA6F8AC">
            <w:pPr>
              <w:spacing w:line="300" w:lineRule="auto"/>
              <w:rPr>
                <w:rFonts w:ascii="仿宋" w:hAnsi="仿宋" w:eastAsia="仿宋" w:cs="仿宋"/>
                <w:color w:val="000000"/>
                <w:sz w:val="24"/>
              </w:rPr>
            </w:pPr>
          </w:p>
        </w:tc>
        <w:tc>
          <w:tcPr>
            <w:tcW w:w="716" w:type="dxa"/>
          </w:tcPr>
          <w:p w14:paraId="7B395246">
            <w:pPr>
              <w:spacing w:line="300" w:lineRule="auto"/>
              <w:rPr>
                <w:rFonts w:ascii="仿宋" w:hAnsi="仿宋" w:eastAsia="仿宋" w:cs="仿宋"/>
                <w:color w:val="000000"/>
                <w:sz w:val="24"/>
              </w:rPr>
            </w:pPr>
          </w:p>
        </w:tc>
        <w:tc>
          <w:tcPr>
            <w:tcW w:w="821" w:type="dxa"/>
          </w:tcPr>
          <w:p w14:paraId="6665A019">
            <w:pPr>
              <w:spacing w:line="300" w:lineRule="auto"/>
              <w:rPr>
                <w:rFonts w:ascii="仿宋" w:hAnsi="仿宋" w:eastAsia="仿宋" w:cs="仿宋"/>
                <w:color w:val="000000"/>
                <w:sz w:val="24"/>
              </w:rPr>
            </w:pPr>
          </w:p>
        </w:tc>
      </w:tr>
      <w:tr w14:paraId="3497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6" w:type="dxa"/>
            <w:vAlign w:val="center"/>
          </w:tcPr>
          <w:p w14:paraId="3C82F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6</w:t>
            </w:r>
          </w:p>
        </w:tc>
        <w:tc>
          <w:tcPr>
            <w:tcW w:w="7063" w:type="dxa"/>
            <w:vAlign w:val="center"/>
          </w:tcPr>
          <w:p w14:paraId="154B6E5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 w:cs="仿宋"/>
                <w:b w:val="0"/>
                <w:bCs w:val="0"/>
                <w:color w:val="000000"/>
                <w:sz w:val="24"/>
                <w:highlight w:val="none"/>
                <w:lang w:val="en-US" w:eastAsia="zh-CN"/>
              </w:rPr>
              <w:t>投标人参加项目领取招标文件期间采购活动前三年内，在经营活动中没有重大违法记录的书面承诺书、三年内无行政处罚记录承诺书（格式自拟）</w:t>
            </w:r>
            <w:r>
              <w:rPr>
                <w:rFonts w:hint="eastAsia" w:ascii="仿宋" w:hAnsi="仿宋" w:eastAsia="仿宋" w:cs="仿宋"/>
                <w:color w:val="000000"/>
                <w:sz w:val="24"/>
              </w:rPr>
              <w:t>；</w:t>
            </w:r>
          </w:p>
        </w:tc>
        <w:tc>
          <w:tcPr>
            <w:tcW w:w="722" w:type="dxa"/>
          </w:tcPr>
          <w:p w14:paraId="678C53DE">
            <w:pPr>
              <w:spacing w:line="300" w:lineRule="auto"/>
              <w:rPr>
                <w:rFonts w:ascii="仿宋" w:hAnsi="仿宋" w:eastAsia="仿宋" w:cs="仿宋"/>
                <w:color w:val="000000"/>
                <w:sz w:val="24"/>
              </w:rPr>
            </w:pPr>
          </w:p>
        </w:tc>
        <w:tc>
          <w:tcPr>
            <w:tcW w:w="716" w:type="dxa"/>
          </w:tcPr>
          <w:p w14:paraId="1443FBDE">
            <w:pPr>
              <w:spacing w:line="300" w:lineRule="auto"/>
              <w:rPr>
                <w:rFonts w:ascii="仿宋" w:hAnsi="仿宋" w:eastAsia="仿宋" w:cs="仿宋"/>
                <w:color w:val="000000"/>
                <w:sz w:val="24"/>
              </w:rPr>
            </w:pPr>
          </w:p>
        </w:tc>
        <w:tc>
          <w:tcPr>
            <w:tcW w:w="821" w:type="dxa"/>
          </w:tcPr>
          <w:p w14:paraId="4651F19D">
            <w:pPr>
              <w:spacing w:line="300" w:lineRule="auto"/>
              <w:rPr>
                <w:rFonts w:ascii="仿宋" w:hAnsi="仿宋" w:eastAsia="仿宋" w:cs="仿宋"/>
                <w:color w:val="000000"/>
                <w:sz w:val="24"/>
              </w:rPr>
            </w:pPr>
          </w:p>
        </w:tc>
      </w:tr>
      <w:tr w14:paraId="36EE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16" w:type="dxa"/>
            <w:vAlign w:val="center"/>
          </w:tcPr>
          <w:p w14:paraId="4E986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sz w:val="24"/>
              </w:rPr>
            </w:pPr>
            <w:r>
              <w:rPr>
                <w:rFonts w:hint="eastAsia" w:ascii="仿宋" w:hAnsi="仿宋" w:eastAsia="仿宋" w:cs="仿宋"/>
                <w:color w:val="000000"/>
                <w:sz w:val="24"/>
              </w:rPr>
              <w:t>7</w:t>
            </w:r>
          </w:p>
        </w:tc>
        <w:tc>
          <w:tcPr>
            <w:tcW w:w="7063" w:type="dxa"/>
            <w:vAlign w:val="center"/>
          </w:tcPr>
          <w:p w14:paraId="2A1AE49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_GB2312" w:cs="仿宋"/>
                <w:color w:val="000000"/>
                <w:sz w:val="24"/>
              </w:rPr>
              <w:t>针对本项目的反商业贿赂承诺书</w:t>
            </w:r>
            <w:r>
              <w:rPr>
                <w:rFonts w:hint="eastAsia" w:ascii="仿宋" w:hAnsi="仿宋" w:eastAsia="仿宋" w:cs="仿宋"/>
                <w:color w:val="000000"/>
                <w:sz w:val="24"/>
              </w:rPr>
              <w:t>；</w:t>
            </w:r>
          </w:p>
        </w:tc>
        <w:tc>
          <w:tcPr>
            <w:tcW w:w="722" w:type="dxa"/>
          </w:tcPr>
          <w:p w14:paraId="4C323621">
            <w:pPr>
              <w:spacing w:line="300" w:lineRule="auto"/>
              <w:rPr>
                <w:rFonts w:ascii="仿宋" w:hAnsi="仿宋" w:eastAsia="仿宋" w:cs="仿宋"/>
                <w:color w:val="000000"/>
                <w:sz w:val="24"/>
              </w:rPr>
            </w:pPr>
          </w:p>
        </w:tc>
        <w:tc>
          <w:tcPr>
            <w:tcW w:w="716" w:type="dxa"/>
          </w:tcPr>
          <w:p w14:paraId="632387EA">
            <w:pPr>
              <w:spacing w:line="300" w:lineRule="auto"/>
              <w:rPr>
                <w:rFonts w:ascii="仿宋" w:hAnsi="仿宋" w:eastAsia="仿宋" w:cs="仿宋"/>
                <w:color w:val="000000"/>
                <w:sz w:val="24"/>
              </w:rPr>
            </w:pPr>
          </w:p>
        </w:tc>
        <w:tc>
          <w:tcPr>
            <w:tcW w:w="821" w:type="dxa"/>
          </w:tcPr>
          <w:p w14:paraId="3C1F6C0E">
            <w:pPr>
              <w:spacing w:line="300" w:lineRule="auto"/>
              <w:rPr>
                <w:rFonts w:ascii="仿宋" w:hAnsi="仿宋" w:eastAsia="仿宋" w:cs="仿宋"/>
                <w:color w:val="000000"/>
                <w:sz w:val="24"/>
              </w:rPr>
            </w:pPr>
          </w:p>
        </w:tc>
      </w:tr>
      <w:tr w14:paraId="0CEA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916" w:type="dxa"/>
            <w:vAlign w:val="center"/>
          </w:tcPr>
          <w:p w14:paraId="3FE35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063" w:type="dxa"/>
            <w:vAlign w:val="center"/>
          </w:tcPr>
          <w:p w14:paraId="3C0BE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_GB2312" w:cs="仿宋"/>
                <w:color w:val="000000"/>
                <w:sz w:val="24"/>
                <w:lang w:eastAsia="zh-CN"/>
              </w:rPr>
            </w:pPr>
            <w:r>
              <w:rPr>
                <w:rFonts w:hint="eastAsia" w:ascii="仿宋" w:hAnsi="仿宋" w:eastAsia="仿宋_GB2312" w:cs="仿宋"/>
                <w:color w:val="000000"/>
                <w:sz w:val="24"/>
                <w:lang w:eastAsia="zh-CN"/>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tc>
        <w:tc>
          <w:tcPr>
            <w:tcW w:w="722" w:type="dxa"/>
          </w:tcPr>
          <w:p w14:paraId="59A24066">
            <w:pPr>
              <w:spacing w:line="300" w:lineRule="auto"/>
              <w:rPr>
                <w:rFonts w:ascii="仿宋" w:hAnsi="仿宋" w:eastAsia="仿宋" w:cs="仿宋"/>
                <w:color w:val="000000"/>
                <w:sz w:val="24"/>
              </w:rPr>
            </w:pPr>
          </w:p>
        </w:tc>
        <w:tc>
          <w:tcPr>
            <w:tcW w:w="716" w:type="dxa"/>
          </w:tcPr>
          <w:p w14:paraId="22CA3006">
            <w:pPr>
              <w:spacing w:line="300" w:lineRule="auto"/>
              <w:rPr>
                <w:rFonts w:ascii="仿宋" w:hAnsi="仿宋" w:eastAsia="仿宋" w:cs="仿宋"/>
                <w:color w:val="000000"/>
                <w:sz w:val="24"/>
              </w:rPr>
            </w:pPr>
          </w:p>
        </w:tc>
        <w:tc>
          <w:tcPr>
            <w:tcW w:w="821" w:type="dxa"/>
          </w:tcPr>
          <w:p w14:paraId="5C01D83D">
            <w:pPr>
              <w:spacing w:line="300" w:lineRule="auto"/>
              <w:rPr>
                <w:rFonts w:ascii="仿宋" w:hAnsi="仿宋" w:eastAsia="仿宋" w:cs="仿宋"/>
                <w:color w:val="000000"/>
                <w:sz w:val="24"/>
              </w:rPr>
            </w:pPr>
          </w:p>
        </w:tc>
      </w:tr>
      <w:tr w14:paraId="2E9C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32856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p>
        </w:tc>
        <w:tc>
          <w:tcPr>
            <w:tcW w:w="7063" w:type="dxa"/>
            <w:vAlign w:val="center"/>
          </w:tcPr>
          <w:p w14:paraId="43966FD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b w:val="0"/>
                <w:bCs w:val="0"/>
                <w:color w:val="000000"/>
                <w:sz w:val="24"/>
                <w:highlight w:val="none"/>
              </w:rPr>
              <w:t>保证金</w:t>
            </w:r>
            <w:r>
              <w:rPr>
                <w:rFonts w:hint="eastAsia" w:ascii="仿宋" w:hAnsi="仿宋" w:eastAsia="仿宋" w:cs="仿宋"/>
                <w:b w:val="0"/>
                <w:bCs w:val="0"/>
                <w:color w:val="000000"/>
                <w:sz w:val="24"/>
                <w:highlight w:val="none"/>
                <w:lang w:val="en-US" w:eastAsia="zh-CN"/>
              </w:rPr>
              <w:t>有效</w:t>
            </w:r>
            <w:r>
              <w:rPr>
                <w:rFonts w:hint="eastAsia" w:ascii="仿宋" w:hAnsi="仿宋" w:eastAsia="仿宋" w:cs="仿宋"/>
                <w:b w:val="0"/>
                <w:bCs w:val="0"/>
                <w:color w:val="000000"/>
                <w:sz w:val="24"/>
                <w:highlight w:val="none"/>
              </w:rPr>
              <w:t>凭证</w:t>
            </w:r>
            <w:r>
              <w:rPr>
                <w:rFonts w:hint="eastAsia" w:ascii="仿宋" w:hAnsi="仿宋" w:eastAsia="仿宋" w:cs="仿宋"/>
                <w:color w:val="000000"/>
                <w:sz w:val="24"/>
              </w:rPr>
              <w:t>；</w:t>
            </w:r>
          </w:p>
        </w:tc>
        <w:tc>
          <w:tcPr>
            <w:tcW w:w="722" w:type="dxa"/>
          </w:tcPr>
          <w:p w14:paraId="480AD7F9">
            <w:pPr>
              <w:spacing w:line="300" w:lineRule="auto"/>
              <w:rPr>
                <w:rFonts w:ascii="仿宋" w:hAnsi="仿宋" w:eastAsia="仿宋" w:cs="仿宋"/>
                <w:color w:val="000000"/>
                <w:sz w:val="24"/>
              </w:rPr>
            </w:pPr>
          </w:p>
        </w:tc>
        <w:tc>
          <w:tcPr>
            <w:tcW w:w="716" w:type="dxa"/>
          </w:tcPr>
          <w:p w14:paraId="45254C62">
            <w:pPr>
              <w:spacing w:line="300" w:lineRule="auto"/>
              <w:rPr>
                <w:rFonts w:ascii="仿宋" w:hAnsi="仿宋" w:eastAsia="仿宋" w:cs="仿宋"/>
                <w:color w:val="000000"/>
                <w:sz w:val="24"/>
              </w:rPr>
            </w:pPr>
          </w:p>
        </w:tc>
        <w:tc>
          <w:tcPr>
            <w:tcW w:w="821" w:type="dxa"/>
          </w:tcPr>
          <w:p w14:paraId="531780FE">
            <w:pPr>
              <w:spacing w:line="300" w:lineRule="auto"/>
              <w:rPr>
                <w:rFonts w:ascii="仿宋" w:hAnsi="仿宋" w:eastAsia="仿宋" w:cs="仿宋"/>
                <w:color w:val="000000"/>
                <w:sz w:val="24"/>
              </w:rPr>
            </w:pPr>
          </w:p>
        </w:tc>
      </w:tr>
      <w:tr w14:paraId="30F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3C466A3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p>
        </w:tc>
        <w:tc>
          <w:tcPr>
            <w:tcW w:w="7063" w:type="dxa"/>
            <w:vAlign w:val="center"/>
          </w:tcPr>
          <w:p w14:paraId="11B8F7F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sz w:val="24"/>
              </w:rPr>
            </w:pPr>
            <w:r>
              <w:rPr>
                <w:rFonts w:hint="eastAsia" w:ascii="仿宋" w:hAnsi="仿宋" w:eastAsia="仿宋" w:cs="仿宋"/>
                <w:color w:val="000000"/>
                <w:sz w:val="24"/>
              </w:rPr>
              <w:t>结论：</w:t>
            </w:r>
            <w:r>
              <w:rPr>
                <w:rFonts w:hint="eastAsia" w:ascii="仿宋" w:hAnsi="仿宋" w:eastAsia="仿宋" w:cs="仿宋"/>
                <w:color w:val="000000"/>
                <w:spacing w:val="-2"/>
                <w:sz w:val="24"/>
              </w:rPr>
              <w:t>通过评审打“√”，未通过评审打“×”</w:t>
            </w:r>
          </w:p>
        </w:tc>
        <w:tc>
          <w:tcPr>
            <w:tcW w:w="722" w:type="dxa"/>
          </w:tcPr>
          <w:p w14:paraId="5A58C393">
            <w:pPr>
              <w:spacing w:line="300" w:lineRule="auto"/>
              <w:rPr>
                <w:rFonts w:ascii="仿宋" w:hAnsi="仿宋" w:eastAsia="仿宋" w:cs="仿宋"/>
                <w:color w:val="000000"/>
                <w:sz w:val="24"/>
              </w:rPr>
            </w:pPr>
          </w:p>
        </w:tc>
        <w:tc>
          <w:tcPr>
            <w:tcW w:w="716" w:type="dxa"/>
          </w:tcPr>
          <w:p w14:paraId="7E154719">
            <w:pPr>
              <w:spacing w:line="300" w:lineRule="auto"/>
              <w:rPr>
                <w:rFonts w:ascii="仿宋" w:hAnsi="仿宋" w:eastAsia="仿宋" w:cs="仿宋"/>
                <w:color w:val="000000"/>
                <w:sz w:val="24"/>
              </w:rPr>
            </w:pPr>
          </w:p>
        </w:tc>
        <w:tc>
          <w:tcPr>
            <w:tcW w:w="821" w:type="dxa"/>
          </w:tcPr>
          <w:p w14:paraId="50365048">
            <w:pPr>
              <w:spacing w:line="300" w:lineRule="auto"/>
              <w:rPr>
                <w:rFonts w:ascii="仿宋" w:hAnsi="仿宋" w:eastAsia="仿宋" w:cs="仿宋"/>
                <w:color w:val="000000"/>
                <w:sz w:val="24"/>
              </w:rPr>
            </w:pPr>
          </w:p>
        </w:tc>
      </w:tr>
    </w:tbl>
    <w:p w14:paraId="68364896">
      <w:pPr>
        <w:spacing w:line="360" w:lineRule="auto"/>
        <w:rPr>
          <w:rFonts w:ascii="仿宋" w:hAnsi="仿宋" w:eastAsia="仿宋" w:cs="仿宋"/>
          <w:color w:val="000000"/>
        </w:rPr>
      </w:pPr>
      <w:r>
        <w:rPr>
          <w:rFonts w:hint="eastAsia" w:ascii="仿宋" w:hAnsi="仿宋" w:eastAsia="仿宋" w:cs="仿宋"/>
          <w:color w:val="000000"/>
          <w:sz w:val="24"/>
        </w:rPr>
        <w:t>注：★</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0D17F9C5">
      <w:pPr>
        <w:widowControl/>
        <w:spacing w:line="400" w:lineRule="exact"/>
        <w:rPr>
          <w:rFonts w:ascii="仿宋" w:hAnsi="仿宋" w:eastAsia="仿宋" w:cs="仿宋"/>
          <w:bCs/>
          <w:color w:val="000000"/>
          <w:sz w:val="24"/>
        </w:rPr>
      </w:pPr>
      <w:r>
        <w:rPr>
          <w:rFonts w:hint="eastAsia" w:ascii="仿宋" w:hAnsi="仿宋" w:eastAsia="仿宋" w:cs="仿宋"/>
          <w:color w:val="000000"/>
          <w:sz w:val="24"/>
        </w:rPr>
        <w:t>1.</w:t>
      </w:r>
      <w:r>
        <w:rPr>
          <w:rFonts w:hint="eastAsia" w:ascii="仿宋" w:hAnsi="仿宋" w:eastAsia="仿宋" w:cs="仿宋"/>
          <w:bCs/>
          <w:color w:val="000000"/>
          <w:sz w:val="24"/>
        </w:rPr>
        <w:t xml:space="preserve"> 《中华人民共和国政府采购法》</w:t>
      </w:r>
    </w:p>
    <w:p w14:paraId="06E8A17C">
      <w:pPr>
        <w:pStyle w:val="33"/>
        <w:spacing w:before="75" w:beforeAutospacing="0" w:after="75" w:afterAutospacing="0" w:line="400" w:lineRule="exact"/>
        <w:rPr>
          <w:rFonts w:ascii="仿宋" w:hAnsi="仿宋" w:eastAsia="仿宋" w:cs="仿宋"/>
          <w:color w:val="000000"/>
        </w:rPr>
      </w:pPr>
      <w:r>
        <w:rPr>
          <w:rFonts w:hint="eastAsia" w:ascii="仿宋" w:hAnsi="仿宋" w:eastAsia="仿宋" w:cs="仿宋"/>
          <w:color w:val="000000"/>
        </w:rPr>
        <w:t>2. 财政部第87号令《政府采购货物和服务招标投标管理办法》</w:t>
      </w:r>
    </w:p>
    <w:p w14:paraId="456BBFAF">
      <w:pPr>
        <w:rPr>
          <w:rFonts w:ascii="仿宋" w:hAnsi="仿宋" w:eastAsia="仿宋" w:cs="仿宋"/>
          <w:b/>
          <w:color w:val="000000"/>
          <w:sz w:val="28"/>
          <w:szCs w:val="28"/>
        </w:rPr>
      </w:pPr>
      <w:bookmarkStart w:id="518" w:name="_Toc507399904"/>
      <w:r>
        <w:rPr>
          <w:rFonts w:hint="eastAsia" w:ascii="仿宋" w:hAnsi="仿宋" w:eastAsia="仿宋" w:cs="仿宋"/>
          <w:b/>
          <w:color w:val="000000"/>
          <w:sz w:val="28"/>
          <w:szCs w:val="28"/>
        </w:rPr>
        <w:br w:type="page"/>
      </w:r>
    </w:p>
    <w:p w14:paraId="25F84C8E">
      <w:pPr>
        <w:ind w:firstLine="2249" w:firstLineChars="800"/>
        <w:rPr>
          <w:rFonts w:ascii="仿宋" w:hAnsi="仿宋" w:eastAsia="仿宋" w:cs="仿宋"/>
          <w:b/>
          <w:color w:val="000000"/>
          <w:sz w:val="28"/>
          <w:szCs w:val="28"/>
        </w:rPr>
      </w:pPr>
    </w:p>
    <w:p w14:paraId="0BCE61D0">
      <w:pPr>
        <w:ind w:firstLine="2249" w:firstLineChars="800"/>
        <w:rPr>
          <w:rFonts w:ascii="仿宋" w:hAnsi="仿宋" w:eastAsia="仿宋" w:cs="仿宋"/>
          <w:b/>
          <w:color w:val="000000"/>
          <w:sz w:val="28"/>
          <w:szCs w:val="28"/>
        </w:rPr>
      </w:pPr>
      <w:r>
        <w:rPr>
          <w:rFonts w:hint="eastAsia" w:ascii="仿宋" w:hAnsi="仿宋" w:eastAsia="仿宋" w:cs="仿宋"/>
          <w:b/>
          <w:color w:val="000000"/>
          <w:sz w:val="28"/>
          <w:szCs w:val="28"/>
        </w:rPr>
        <w:t>初步评审—符合性审查表</w:t>
      </w:r>
    </w:p>
    <w:tbl>
      <w:tblPr>
        <w:tblStyle w:val="36"/>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08B7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14:paraId="4A1109C5">
            <w:pPr>
              <w:spacing w:line="300" w:lineRule="auto"/>
              <w:jc w:val="center"/>
              <w:rPr>
                <w:rFonts w:ascii="仿宋" w:hAnsi="仿宋" w:eastAsia="仿宋" w:cs="仿宋"/>
                <w:b/>
                <w:color w:val="000000"/>
                <w:spacing w:val="-2"/>
                <w:sz w:val="24"/>
              </w:rPr>
            </w:pPr>
            <w:r>
              <w:rPr>
                <w:rFonts w:hint="eastAsia" w:ascii="仿宋" w:hAnsi="仿宋" w:eastAsia="仿宋" w:cs="仿宋"/>
                <w:b/>
                <w:color w:val="000000"/>
                <w:spacing w:val="-2"/>
                <w:sz w:val="24"/>
              </w:rPr>
              <w:t>评审内容</w:t>
            </w:r>
          </w:p>
        </w:tc>
        <w:tc>
          <w:tcPr>
            <w:tcW w:w="1276" w:type="dxa"/>
            <w:vAlign w:val="center"/>
          </w:tcPr>
          <w:p w14:paraId="46891D00">
            <w:pPr>
              <w:spacing w:line="300" w:lineRule="auto"/>
              <w:jc w:val="center"/>
              <w:rPr>
                <w:rFonts w:ascii="仿宋" w:hAnsi="仿宋" w:eastAsia="仿宋" w:cs="仿宋"/>
                <w:color w:val="000000"/>
                <w:spacing w:val="-2"/>
                <w:sz w:val="24"/>
              </w:rPr>
            </w:pPr>
            <w:r>
              <w:rPr>
                <w:rFonts w:hint="eastAsia" w:ascii="仿宋" w:hAnsi="仿宋" w:eastAsia="仿宋" w:cs="仿宋"/>
                <w:b/>
                <w:color w:val="000000"/>
                <w:sz w:val="24"/>
              </w:rPr>
              <w:t>评审意见</w:t>
            </w:r>
          </w:p>
        </w:tc>
      </w:tr>
      <w:tr w14:paraId="4B4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14:paraId="2A647F38">
            <w:pPr>
              <w:spacing w:line="300" w:lineRule="auto"/>
              <w:jc w:val="center"/>
              <w:rPr>
                <w:rFonts w:ascii="仿宋" w:hAnsi="仿宋" w:eastAsia="仿宋" w:cs="仿宋"/>
                <w:color w:val="000000"/>
                <w:sz w:val="24"/>
              </w:rPr>
            </w:pPr>
            <w:r>
              <w:rPr>
                <w:rFonts w:hint="eastAsia" w:ascii="仿宋" w:hAnsi="仿宋" w:eastAsia="仿宋" w:cs="仿宋"/>
                <w:color w:val="000000"/>
                <w:sz w:val="24"/>
              </w:rPr>
              <w:t>序号</w:t>
            </w:r>
          </w:p>
        </w:tc>
        <w:tc>
          <w:tcPr>
            <w:tcW w:w="6915" w:type="dxa"/>
            <w:vAlign w:val="center"/>
          </w:tcPr>
          <w:p w14:paraId="49FEBA45">
            <w:pPr>
              <w:spacing w:line="300" w:lineRule="auto"/>
              <w:rPr>
                <w:rFonts w:ascii="仿宋" w:hAnsi="仿宋" w:eastAsia="仿宋" w:cs="仿宋"/>
                <w:color w:val="000000"/>
                <w:spacing w:val="-2"/>
                <w:sz w:val="24"/>
              </w:rPr>
            </w:pPr>
          </w:p>
        </w:tc>
        <w:tc>
          <w:tcPr>
            <w:tcW w:w="1276" w:type="dxa"/>
            <w:vAlign w:val="center"/>
          </w:tcPr>
          <w:p w14:paraId="47F17716">
            <w:pPr>
              <w:spacing w:line="300" w:lineRule="auto"/>
              <w:jc w:val="center"/>
              <w:rPr>
                <w:rFonts w:ascii="仿宋" w:hAnsi="仿宋" w:eastAsia="仿宋" w:cs="仿宋"/>
                <w:color w:val="000000"/>
                <w:spacing w:val="-2"/>
                <w:sz w:val="24"/>
              </w:rPr>
            </w:pPr>
            <w:r>
              <w:rPr>
                <w:rFonts w:hint="eastAsia" w:ascii="仿宋" w:hAnsi="仿宋" w:eastAsia="仿宋" w:cs="仿宋"/>
                <w:color w:val="000000"/>
                <w:spacing w:val="-2"/>
                <w:sz w:val="24"/>
              </w:rPr>
              <w:t>是否合格</w:t>
            </w:r>
          </w:p>
        </w:tc>
      </w:tr>
      <w:tr w14:paraId="767C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211ED71F">
            <w:pPr>
              <w:spacing w:line="300"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6915" w:type="dxa"/>
            <w:vAlign w:val="center"/>
          </w:tcPr>
          <w:p w14:paraId="3D87AD87">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投标报价高于预算金额；</w:t>
            </w:r>
          </w:p>
        </w:tc>
        <w:tc>
          <w:tcPr>
            <w:tcW w:w="1276" w:type="dxa"/>
            <w:vAlign w:val="center"/>
          </w:tcPr>
          <w:p w14:paraId="4CC38011">
            <w:pPr>
              <w:spacing w:line="300" w:lineRule="auto"/>
              <w:rPr>
                <w:rFonts w:ascii="仿宋" w:hAnsi="仿宋" w:eastAsia="仿宋" w:cs="仿宋"/>
                <w:color w:val="000000"/>
                <w:spacing w:val="-2"/>
                <w:sz w:val="24"/>
              </w:rPr>
            </w:pPr>
          </w:p>
        </w:tc>
      </w:tr>
      <w:tr w14:paraId="6419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14:paraId="1F1CF3FF">
            <w:pPr>
              <w:spacing w:line="300"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6915" w:type="dxa"/>
            <w:vAlign w:val="center"/>
          </w:tcPr>
          <w:p w14:paraId="235BFFC8">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投标人之间或者投标人与采购人串通投标的；</w:t>
            </w:r>
          </w:p>
        </w:tc>
        <w:tc>
          <w:tcPr>
            <w:tcW w:w="1276" w:type="dxa"/>
            <w:vAlign w:val="center"/>
          </w:tcPr>
          <w:p w14:paraId="5640B87C">
            <w:pPr>
              <w:spacing w:line="300" w:lineRule="auto"/>
              <w:rPr>
                <w:rFonts w:ascii="仿宋" w:hAnsi="仿宋" w:eastAsia="仿宋" w:cs="仿宋"/>
                <w:color w:val="000000"/>
                <w:spacing w:val="-2"/>
                <w:sz w:val="24"/>
              </w:rPr>
            </w:pPr>
          </w:p>
        </w:tc>
      </w:tr>
      <w:tr w14:paraId="6482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14:paraId="08B30833">
            <w:pPr>
              <w:spacing w:line="300" w:lineRule="auto"/>
              <w:jc w:val="center"/>
              <w:rPr>
                <w:rFonts w:ascii="仿宋" w:hAnsi="仿宋" w:eastAsia="仿宋" w:cs="仿宋"/>
                <w:color w:val="000000"/>
                <w:sz w:val="24"/>
              </w:rPr>
            </w:pPr>
            <w:r>
              <w:rPr>
                <w:rFonts w:hint="eastAsia" w:ascii="仿宋" w:hAnsi="仿宋" w:eastAsia="仿宋" w:cs="仿宋"/>
                <w:color w:val="000000"/>
                <w:sz w:val="24"/>
              </w:rPr>
              <w:t>3</w:t>
            </w:r>
          </w:p>
        </w:tc>
        <w:tc>
          <w:tcPr>
            <w:tcW w:w="6915" w:type="dxa"/>
            <w:vAlign w:val="center"/>
          </w:tcPr>
          <w:p w14:paraId="37047803">
            <w:pPr>
              <w:widowControl/>
              <w:spacing w:line="300" w:lineRule="auto"/>
              <w:jc w:val="left"/>
              <w:textAlignment w:val="center"/>
              <w:rPr>
                <w:rFonts w:ascii="仿宋" w:hAnsi="仿宋" w:eastAsia="仿宋" w:cs="仿宋"/>
                <w:color w:val="000000"/>
                <w:sz w:val="24"/>
              </w:rPr>
            </w:pPr>
            <w:r>
              <w:rPr>
                <w:rFonts w:hint="eastAsia" w:ascii="仿宋" w:hAnsi="仿宋" w:eastAsia="仿宋" w:cs="仿宋"/>
                <w:color w:val="000000"/>
                <w:kern w:val="0"/>
                <w:sz w:val="24"/>
              </w:rPr>
              <w:t>以行贿手段谋取中标或者以其他弄虚作假方式投标的；</w:t>
            </w:r>
          </w:p>
        </w:tc>
        <w:tc>
          <w:tcPr>
            <w:tcW w:w="1276" w:type="dxa"/>
            <w:vAlign w:val="center"/>
          </w:tcPr>
          <w:p w14:paraId="612C42CE">
            <w:pPr>
              <w:spacing w:line="300" w:lineRule="auto"/>
              <w:rPr>
                <w:rFonts w:ascii="仿宋" w:hAnsi="仿宋" w:eastAsia="仿宋" w:cs="仿宋"/>
                <w:color w:val="000000"/>
                <w:sz w:val="24"/>
              </w:rPr>
            </w:pPr>
          </w:p>
        </w:tc>
      </w:tr>
      <w:tr w14:paraId="61D2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74265756">
            <w:pPr>
              <w:spacing w:line="300" w:lineRule="auto"/>
              <w:jc w:val="center"/>
              <w:rPr>
                <w:rFonts w:ascii="仿宋" w:hAnsi="仿宋" w:eastAsia="仿宋" w:cs="仿宋"/>
                <w:color w:val="000000"/>
                <w:sz w:val="24"/>
              </w:rPr>
            </w:pPr>
            <w:r>
              <w:rPr>
                <w:rFonts w:hint="eastAsia" w:ascii="仿宋" w:hAnsi="仿宋" w:eastAsia="仿宋" w:cs="仿宋"/>
                <w:color w:val="000000"/>
                <w:sz w:val="24"/>
              </w:rPr>
              <w:t>4</w:t>
            </w:r>
          </w:p>
        </w:tc>
        <w:tc>
          <w:tcPr>
            <w:tcW w:w="6915" w:type="dxa"/>
            <w:vAlign w:val="center"/>
          </w:tcPr>
          <w:p w14:paraId="01118EB4">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评标委员会共同确定有实质上不响应招标文件要求的；</w:t>
            </w:r>
          </w:p>
        </w:tc>
        <w:tc>
          <w:tcPr>
            <w:tcW w:w="1276" w:type="dxa"/>
            <w:vAlign w:val="center"/>
          </w:tcPr>
          <w:p w14:paraId="6BEC8921">
            <w:pPr>
              <w:spacing w:line="300" w:lineRule="auto"/>
              <w:rPr>
                <w:rFonts w:ascii="仿宋" w:hAnsi="仿宋" w:eastAsia="仿宋" w:cs="仿宋"/>
                <w:color w:val="000000"/>
                <w:spacing w:val="-2"/>
                <w:sz w:val="24"/>
              </w:rPr>
            </w:pPr>
          </w:p>
        </w:tc>
      </w:tr>
      <w:tr w14:paraId="40A7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14:paraId="3F444BB0">
            <w:pPr>
              <w:spacing w:line="300" w:lineRule="auto"/>
              <w:jc w:val="center"/>
              <w:rPr>
                <w:rFonts w:ascii="仿宋" w:hAnsi="仿宋" w:eastAsia="仿宋" w:cs="仿宋"/>
                <w:color w:val="000000"/>
                <w:sz w:val="24"/>
              </w:rPr>
            </w:pPr>
            <w:r>
              <w:rPr>
                <w:rFonts w:hint="eastAsia" w:ascii="仿宋" w:hAnsi="仿宋" w:eastAsia="仿宋" w:cs="仿宋"/>
                <w:color w:val="000000"/>
                <w:sz w:val="24"/>
              </w:rPr>
              <w:t>5</w:t>
            </w:r>
          </w:p>
        </w:tc>
        <w:tc>
          <w:tcPr>
            <w:tcW w:w="6915" w:type="dxa"/>
            <w:vAlign w:val="center"/>
          </w:tcPr>
          <w:p w14:paraId="1C942035">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投标文件没有投标单位法定代表人或其授权代表签字（章）和加盖投标单位公章的（投标文件正本的印章和签字不能为复印件）；</w:t>
            </w:r>
          </w:p>
        </w:tc>
        <w:tc>
          <w:tcPr>
            <w:tcW w:w="1276" w:type="dxa"/>
            <w:vAlign w:val="center"/>
          </w:tcPr>
          <w:p w14:paraId="54EE8D77">
            <w:pPr>
              <w:spacing w:line="300" w:lineRule="auto"/>
              <w:rPr>
                <w:rFonts w:ascii="仿宋" w:hAnsi="仿宋" w:eastAsia="仿宋" w:cs="仿宋"/>
                <w:color w:val="000000"/>
                <w:spacing w:val="-2"/>
                <w:sz w:val="24"/>
              </w:rPr>
            </w:pPr>
          </w:p>
        </w:tc>
      </w:tr>
      <w:tr w14:paraId="779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44F5C391">
            <w:pPr>
              <w:spacing w:line="300" w:lineRule="auto"/>
              <w:jc w:val="center"/>
              <w:rPr>
                <w:rFonts w:ascii="仿宋" w:hAnsi="仿宋" w:eastAsia="仿宋" w:cs="仿宋"/>
                <w:color w:val="000000"/>
                <w:sz w:val="24"/>
              </w:rPr>
            </w:pPr>
            <w:r>
              <w:rPr>
                <w:rFonts w:hint="eastAsia" w:ascii="仿宋" w:hAnsi="仿宋" w:eastAsia="仿宋" w:cs="仿宋"/>
                <w:color w:val="000000"/>
                <w:sz w:val="24"/>
              </w:rPr>
              <w:t>6</w:t>
            </w:r>
          </w:p>
        </w:tc>
        <w:tc>
          <w:tcPr>
            <w:tcW w:w="6915" w:type="dxa"/>
            <w:vAlign w:val="center"/>
          </w:tcPr>
          <w:p w14:paraId="57ED7CCB">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投标的政府采购项目完成期限超过招标文件规定期限的；</w:t>
            </w:r>
          </w:p>
        </w:tc>
        <w:tc>
          <w:tcPr>
            <w:tcW w:w="1276" w:type="dxa"/>
            <w:vAlign w:val="center"/>
          </w:tcPr>
          <w:p w14:paraId="05C5BA45">
            <w:pPr>
              <w:spacing w:line="300" w:lineRule="auto"/>
              <w:rPr>
                <w:rFonts w:ascii="仿宋" w:hAnsi="仿宋" w:eastAsia="仿宋" w:cs="仿宋"/>
                <w:color w:val="000000"/>
                <w:spacing w:val="-2"/>
                <w:sz w:val="24"/>
              </w:rPr>
            </w:pPr>
          </w:p>
        </w:tc>
      </w:tr>
      <w:tr w14:paraId="3644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14:paraId="56618C34">
            <w:pPr>
              <w:spacing w:line="300" w:lineRule="auto"/>
              <w:jc w:val="center"/>
              <w:rPr>
                <w:rFonts w:ascii="仿宋" w:hAnsi="仿宋" w:eastAsia="仿宋" w:cs="仿宋"/>
                <w:color w:val="000000"/>
                <w:sz w:val="24"/>
              </w:rPr>
            </w:pPr>
            <w:r>
              <w:rPr>
                <w:rFonts w:hint="eastAsia" w:ascii="仿宋" w:hAnsi="仿宋" w:eastAsia="仿宋" w:cs="仿宋"/>
                <w:color w:val="000000"/>
                <w:sz w:val="24"/>
              </w:rPr>
              <w:t>7</w:t>
            </w:r>
          </w:p>
        </w:tc>
        <w:tc>
          <w:tcPr>
            <w:tcW w:w="6915" w:type="dxa"/>
            <w:vAlign w:val="center"/>
          </w:tcPr>
          <w:p w14:paraId="2DB04C93">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投标文件载明的技术规格、技术标准、货物包装方式、检验标准和方法等，不符合招标文件要求的；</w:t>
            </w:r>
          </w:p>
        </w:tc>
        <w:tc>
          <w:tcPr>
            <w:tcW w:w="1276" w:type="dxa"/>
            <w:vAlign w:val="center"/>
          </w:tcPr>
          <w:p w14:paraId="11EF56C9">
            <w:pPr>
              <w:spacing w:line="300" w:lineRule="auto"/>
              <w:rPr>
                <w:rFonts w:ascii="仿宋" w:hAnsi="仿宋" w:eastAsia="仿宋" w:cs="仿宋"/>
                <w:color w:val="000000"/>
                <w:spacing w:val="-2"/>
                <w:sz w:val="24"/>
              </w:rPr>
            </w:pPr>
          </w:p>
        </w:tc>
      </w:tr>
      <w:tr w14:paraId="4C10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39049370">
            <w:pPr>
              <w:spacing w:line="300" w:lineRule="auto"/>
              <w:jc w:val="center"/>
              <w:rPr>
                <w:rFonts w:ascii="仿宋" w:hAnsi="仿宋" w:eastAsia="仿宋" w:cs="仿宋"/>
                <w:color w:val="000000"/>
                <w:sz w:val="24"/>
              </w:rPr>
            </w:pPr>
            <w:r>
              <w:rPr>
                <w:rFonts w:hint="eastAsia" w:ascii="仿宋" w:hAnsi="仿宋" w:eastAsia="仿宋" w:cs="仿宋"/>
                <w:color w:val="000000"/>
                <w:sz w:val="24"/>
              </w:rPr>
              <w:t>8</w:t>
            </w:r>
          </w:p>
        </w:tc>
        <w:tc>
          <w:tcPr>
            <w:tcW w:w="6915" w:type="dxa"/>
            <w:vAlign w:val="center"/>
          </w:tcPr>
          <w:p w14:paraId="225B71BA">
            <w:pPr>
              <w:widowControl/>
              <w:spacing w:line="300" w:lineRule="auto"/>
              <w:textAlignment w:val="center"/>
              <w:rPr>
                <w:rFonts w:ascii="仿宋" w:hAnsi="仿宋" w:eastAsia="仿宋" w:cs="仿宋"/>
                <w:color w:val="000000"/>
                <w:sz w:val="24"/>
              </w:rPr>
            </w:pPr>
            <w:r>
              <w:rPr>
                <w:rFonts w:hint="eastAsia" w:ascii="仿宋" w:hAnsi="仿宋" w:eastAsia="仿宋" w:cs="仿宋"/>
                <w:color w:val="000000"/>
                <w:kern w:val="0"/>
                <w:sz w:val="24"/>
              </w:rPr>
              <w:t>投标文件附有采购人不能接受条件的；</w:t>
            </w:r>
          </w:p>
        </w:tc>
        <w:tc>
          <w:tcPr>
            <w:tcW w:w="1276" w:type="dxa"/>
            <w:vAlign w:val="center"/>
          </w:tcPr>
          <w:p w14:paraId="5560A965">
            <w:pPr>
              <w:spacing w:line="300" w:lineRule="auto"/>
              <w:rPr>
                <w:rFonts w:ascii="仿宋" w:hAnsi="仿宋" w:eastAsia="仿宋" w:cs="仿宋"/>
                <w:color w:val="000000"/>
                <w:sz w:val="24"/>
              </w:rPr>
            </w:pPr>
          </w:p>
        </w:tc>
      </w:tr>
      <w:tr w14:paraId="159B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550ECE12">
            <w:pPr>
              <w:spacing w:line="300" w:lineRule="auto"/>
              <w:jc w:val="center"/>
              <w:rPr>
                <w:rFonts w:ascii="仿宋" w:hAnsi="仿宋" w:eastAsia="仿宋" w:cs="仿宋"/>
                <w:color w:val="000000"/>
                <w:sz w:val="24"/>
              </w:rPr>
            </w:pPr>
            <w:r>
              <w:rPr>
                <w:rFonts w:hint="eastAsia" w:ascii="仿宋" w:hAnsi="仿宋" w:eastAsia="仿宋" w:cs="仿宋"/>
                <w:color w:val="000000"/>
                <w:sz w:val="24"/>
              </w:rPr>
              <w:t>9</w:t>
            </w:r>
          </w:p>
        </w:tc>
        <w:tc>
          <w:tcPr>
            <w:tcW w:w="6915" w:type="dxa"/>
            <w:vAlign w:val="center"/>
          </w:tcPr>
          <w:p w14:paraId="3B0D7E69">
            <w:pPr>
              <w:widowControl/>
              <w:spacing w:line="300" w:lineRule="auto"/>
              <w:jc w:val="left"/>
              <w:textAlignment w:val="center"/>
              <w:rPr>
                <w:rFonts w:ascii="仿宋" w:hAnsi="仿宋" w:eastAsia="仿宋" w:cs="仿宋"/>
                <w:color w:val="000000"/>
                <w:spacing w:val="-2"/>
                <w:sz w:val="24"/>
              </w:rPr>
            </w:pPr>
            <w:r>
              <w:rPr>
                <w:rFonts w:hint="eastAsia" w:ascii="仿宋" w:hAnsi="仿宋" w:eastAsia="仿宋" w:cs="仿宋"/>
                <w:color w:val="000000"/>
                <w:kern w:val="0"/>
                <w:sz w:val="24"/>
              </w:rPr>
              <w:t>不满足招标文件实质性要求的其他情形.</w:t>
            </w:r>
          </w:p>
        </w:tc>
        <w:tc>
          <w:tcPr>
            <w:tcW w:w="1276" w:type="dxa"/>
            <w:vAlign w:val="center"/>
          </w:tcPr>
          <w:p w14:paraId="19305283">
            <w:pPr>
              <w:spacing w:line="300" w:lineRule="auto"/>
              <w:rPr>
                <w:rFonts w:ascii="仿宋" w:hAnsi="仿宋" w:eastAsia="仿宋" w:cs="仿宋"/>
                <w:color w:val="000000"/>
                <w:spacing w:val="-2"/>
                <w:sz w:val="24"/>
              </w:rPr>
            </w:pPr>
          </w:p>
        </w:tc>
      </w:tr>
      <w:tr w14:paraId="2036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0E094A09">
            <w:pPr>
              <w:spacing w:line="300" w:lineRule="auto"/>
              <w:rPr>
                <w:rFonts w:ascii="仿宋" w:hAnsi="仿宋" w:eastAsia="仿宋" w:cs="仿宋"/>
                <w:color w:val="000000"/>
                <w:sz w:val="24"/>
              </w:rPr>
            </w:pPr>
          </w:p>
        </w:tc>
        <w:tc>
          <w:tcPr>
            <w:tcW w:w="6915" w:type="dxa"/>
            <w:vAlign w:val="center"/>
          </w:tcPr>
          <w:p w14:paraId="6DB32AEC">
            <w:pPr>
              <w:widowControl/>
              <w:spacing w:line="300" w:lineRule="auto"/>
              <w:jc w:val="left"/>
              <w:textAlignment w:val="center"/>
              <w:rPr>
                <w:rFonts w:ascii="仿宋" w:hAnsi="仿宋" w:eastAsia="仿宋" w:cs="仿宋"/>
                <w:color w:val="000000"/>
                <w:kern w:val="0"/>
                <w:sz w:val="24"/>
              </w:rPr>
            </w:pPr>
          </w:p>
        </w:tc>
        <w:tc>
          <w:tcPr>
            <w:tcW w:w="1276" w:type="dxa"/>
            <w:vAlign w:val="center"/>
          </w:tcPr>
          <w:p w14:paraId="2D2F6BDC">
            <w:pPr>
              <w:spacing w:line="300" w:lineRule="auto"/>
              <w:rPr>
                <w:rFonts w:ascii="仿宋" w:hAnsi="仿宋" w:eastAsia="仿宋" w:cs="仿宋"/>
                <w:color w:val="000000"/>
                <w:spacing w:val="-2"/>
                <w:sz w:val="24"/>
              </w:rPr>
            </w:pPr>
          </w:p>
        </w:tc>
      </w:tr>
      <w:tr w14:paraId="54EA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14:paraId="08D12F87">
            <w:pPr>
              <w:spacing w:line="300" w:lineRule="auto"/>
              <w:ind w:firstLine="424" w:firstLineChars="180"/>
              <w:rPr>
                <w:rFonts w:ascii="仿宋" w:hAnsi="仿宋" w:eastAsia="仿宋" w:cs="仿宋"/>
                <w:color w:val="000000"/>
                <w:spacing w:val="-2"/>
                <w:sz w:val="24"/>
              </w:rPr>
            </w:pPr>
            <w:r>
              <w:rPr>
                <w:rFonts w:hint="eastAsia" w:ascii="仿宋" w:hAnsi="仿宋" w:eastAsia="仿宋" w:cs="仿宋"/>
                <w:color w:val="000000"/>
                <w:spacing w:val="-2"/>
                <w:sz w:val="24"/>
              </w:rPr>
              <w:t>结论：通过评审打“√”，未通过评审打“×”</w:t>
            </w:r>
          </w:p>
        </w:tc>
        <w:tc>
          <w:tcPr>
            <w:tcW w:w="1276" w:type="dxa"/>
            <w:vAlign w:val="center"/>
          </w:tcPr>
          <w:p w14:paraId="5BC0C54A">
            <w:pPr>
              <w:spacing w:line="300" w:lineRule="auto"/>
              <w:ind w:firstLine="424" w:firstLineChars="180"/>
              <w:rPr>
                <w:rFonts w:ascii="仿宋" w:hAnsi="仿宋" w:eastAsia="仿宋" w:cs="仿宋"/>
                <w:color w:val="000000"/>
                <w:spacing w:val="-2"/>
                <w:sz w:val="24"/>
              </w:rPr>
            </w:pPr>
          </w:p>
        </w:tc>
      </w:tr>
    </w:tbl>
    <w:p w14:paraId="4544F968">
      <w:pPr>
        <w:spacing w:line="360" w:lineRule="exact"/>
        <w:rPr>
          <w:rFonts w:ascii="仿宋" w:hAnsi="仿宋" w:eastAsia="仿宋" w:cs="仿宋"/>
          <w:color w:val="000000"/>
          <w:sz w:val="24"/>
        </w:rPr>
      </w:pPr>
    </w:p>
    <w:p w14:paraId="254D6432">
      <w:pPr>
        <w:spacing w:line="360" w:lineRule="exact"/>
        <w:rPr>
          <w:rFonts w:ascii="仿宋" w:hAnsi="仿宋" w:eastAsia="仿宋" w:cs="仿宋"/>
          <w:color w:val="000000"/>
          <w:sz w:val="24"/>
        </w:rPr>
      </w:pPr>
      <w:r>
        <w:rPr>
          <w:rFonts w:hint="eastAsia" w:ascii="仿宋" w:hAnsi="仿宋" w:eastAsia="仿宋" w:cs="仿宋"/>
          <w:color w:val="000000"/>
          <w:sz w:val="24"/>
        </w:rPr>
        <w:t>说明：</w:t>
      </w:r>
    </w:p>
    <w:p w14:paraId="5BCD1C57">
      <w:pPr>
        <w:spacing w:line="360" w:lineRule="exact"/>
        <w:rPr>
          <w:rFonts w:ascii="仿宋" w:hAnsi="仿宋" w:eastAsia="仿宋" w:cs="仿宋"/>
          <w:color w:val="000000"/>
          <w:sz w:val="24"/>
        </w:rPr>
      </w:pPr>
      <w:r>
        <w:rPr>
          <w:rFonts w:hint="eastAsia" w:ascii="仿宋" w:hAnsi="仿宋" w:eastAsia="仿宋" w:cs="仿宋"/>
          <w:color w:val="000000"/>
          <w:sz w:val="24"/>
        </w:rPr>
        <w:t>（1）上述各项中用“√”表示通过，“×”表示不通过；</w:t>
      </w:r>
    </w:p>
    <w:p w14:paraId="2CDFC541">
      <w:pPr>
        <w:spacing w:line="360" w:lineRule="exact"/>
        <w:rPr>
          <w:rFonts w:ascii="仿宋" w:hAnsi="仿宋" w:eastAsia="仿宋" w:cs="仿宋"/>
          <w:color w:val="000000"/>
          <w:sz w:val="24"/>
        </w:rPr>
      </w:pPr>
      <w:r>
        <w:rPr>
          <w:rFonts w:hint="eastAsia" w:ascii="仿宋" w:hAnsi="仿宋" w:eastAsia="仿宋" w:cs="仿宋"/>
          <w:color w:val="000000"/>
          <w:sz w:val="24"/>
        </w:rPr>
        <w:t>（2）上述各项中如有一项为“×”，则结论为“×”，表示该投标文件中存在重大偏差，不能通过初步评审；评委对某一分项评审认为不合格时，必须要写明原因。</w:t>
      </w:r>
    </w:p>
    <w:p w14:paraId="2BD815B4">
      <w:pPr>
        <w:spacing w:line="360" w:lineRule="exact"/>
        <w:rPr>
          <w:rFonts w:eastAsia="仿宋"/>
          <w:color w:val="000000"/>
        </w:rPr>
      </w:pPr>
      <w:r>
        <w:rPr>
          <w:rFonts w:hint="eastAsia" w:ascii="仿宋" w:hAnsi="仿宋" w:eastAsia="仿宋" w:cs="仿宋"/>
          <w:color w:val="000000"/>
          <w:sz w:val="24"/>
        </w:rPr>
        <w:t>（3）投标文件最终合格与否，以所有评委的评审意见中少数服从多数为原则定论。</w:t>
      </w:r>
    </w:p>
    <w:p w14:paraId="6BE7392B">
      <w:pPr>
        <w:spacing w:line="360" w:lineRule="auto"/>
        <w:rPr>
          <w:rFonts w:ascii="仿宋" w:hAnsi="仿宋" w:eastAsia="仿宋" w:cs="仿宋"/>
          <w:b/>
          <w:bCs/>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0B8289AC">
      <w:pPr>
        <w:rPr>
          <w:rFonts w:ascii="仿宋" w:hAnsi="仿宋" w:eastAsia="仿宋" w:cs="仿宋"/>
          <w:b/>
          <w:bCs/>
          <w:color w:val="000000"/>
          <w:sz w:val="24"/>
        </w:rPr>
      </w:pPr>
      <w:r>
        <w:rPr>
          <w:rFonts w:hint="eastAsia" w:ascii="仿宋" w:hAnsi="仿宋" w:eastAsia="仿宋" w:cs="仿宋"/>
          <w:b/>
          <w:bCs/>
          <w:color w:val="000000"/>
          <w:sz w:val="24"/>
        </w:rPr>
        <w:br w:type="page"/>
      </w:r>
    </w:p>
    <w:tbl>
      <w:tblPr>
        <w:tblStyle w:val="36"/>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14:paraId="753EAAF7">
        <w:tblPrEx>
          <w:tblCellMar>
            <w:top w:w="0" w:type="dxa"/>
            <w:left w:w="108" w:type="dxa"/>
            <w:bottom w:w="0" w:type="dxa"/>
            <w:right w:w="108" w:type="dxa"/>
          </w:tblCellMar>
        </w:tblPrEx>
        <w:trPr>
          <w:trHeight w:val="585" w:hRule="atLeast"/>
        </w:trPr>
        <w:tc>
          <w:tcPr>
            <w:tcW w:w="9456" w:type="dxa"/>
            <w:gridSpan w:val="5"/>
            <w:tcBorders>
              <w:top w:val="nil"/>
              <w:left w:val="nil"/>
              <w:bottom w:val="single" w:color="auto" w:sz="4" w:space="0"/>
              <w:right w:val="nil"/>
            </w:tcBorders>
            <w:vAlign w:val="center"/>
          </w:tcPr>
          <w:p w14:paraId="269C423F">
            <w:pPr>
              <w:widowControl/>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商务符合性审查表</w:t>
            </w:r>
          </w:p>
        </w:tc>
      </w:tr>
      <w:tr w14:paraId="48B9EB46">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63102FEE">
            <w:pPr>
              <w:widowControl/>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14:paraId="5AD5A852">
            <w:pPr>
              <w:widowControl/>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投标人名称及审查情况</w:t>
            </w:r>
          </w:p>
        </w:tc>
      </w:tr>
      <w:tr w14:paraId="4CE88C6F">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32C0D0C2">
            <w:pPr>
              <w:widowControl/>
              <w:jc w:val="left"/>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14:paraId="703EB735">
            <w:pPr>
              <w:widowControl/>
              <w:jc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14:paraId="3A84F5F5">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4A1C2FA">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736DF7E1">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DC5A5D9">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14:paraId="1EB8D85B">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中小企业投标要求（1.3.6）</w:t>
            </w:r>
          </w:p>
        </w:tc>
        <w:tc>
          <w:tcPr>
            <w:tcW w:w="4872" w:type="dxa"/>
            <w:tcBorders>
              <w:top w:val="single" w:color="auto" w:sz="4" w:space="0"/>
              <w:left w:val="nil"/>
              <w:bottom w:val="single" w:color="auto" w:sz="4" w:space="0"/>
              <w:right w:val="single" w:color="auto" w:sz="4" w:space="0"/>
            </w:tcBorders>
            <w:vAlign w:val="center"/>
          </w:tcPr>
          <w:p w14:paraId="775A8068">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lang w:val="en-US" w:eastAsia="zh-CN"/>
              </w:rPr>
              <w:t>不</w:t>
            </w:r>
            <w:r>
              <w:rPr>
                <w:rFonts w:hint="eastAsia" w:ascii="仿宋" w:hAnsi="仿宋" w:eastAsia="仿宋" w:cs="仿宋"/>
                <w:i/>
                <w:iCs/>
                <w:color w:val="000000"/>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14:paraId="71C40CFB">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2BD62E4D">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7ACDCE6F">
            <w:pPr>
              <w:widowControl/>
              <w:jc w:val="left"/>
              <w:rPr>
                <w:rFonts w:ascii="仿宋" w:hAnsi="仿宋" w:eastAsia="仿宋" w:cs="仿宋"/>
                <w:color w:val="000000"/>
                <w:kern w:val="0"/>
                <w:sz w:val="22"/>
                <w:szCs w:val="22"/>
              </w:rPr>
            </w:pPr>
          </w:p>
        </w:tc>
      </w:tr>
      <w:tr w14:paraId="606D4B45">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A80A962">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联合体投标规定（1.4）</w:t>
            </w:r>
          </w:p>
        </w:tc>
        <w:tc>
          <w:tcPr>
            <w:tcW w:w="4872" w:type="dxa"/>
            <w:tcBorders>
              <w:top w:val="single" w:color="auto" w:sz="4" w:space="0"/>
              <w:left w:val="nil"/>
              <w:bottom w:val="single" w:color="auto" w:sz="4" w:space="0"/>
              <w:right w:val="single" w:color="auto" w:sz="4" w:space="0"/>
            </w:tcBorders>
            <w:vAlign w:val="center"/>
          </w:tcPr>
          <w:p w14:paraId="5F470C19">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rPr>
              <w:t>不接受</w:t>
            </w:r>
            <w:r>
              <w:rPr>
                <w:rFonts w:hint="eastAsia" w:ascii="仿宋" w:hAnsi="仿宋" w:eastAsia="仿宋" w:cs="仿宋"/>
                <w:color w:val="000000"/>
                <w:kern w:val="0"/>
                <w:szCs w:val="21"/>
              </w:rPr>
              <w:t>联合体投标</w:t>
            </w:r>
          </w:p>
        </w:tc>
        <w:tc>
          <w:tcPr>
            <w:tcW w:w="516" w:type="dxa"/>
            <w:tcBorders>
              <w:top w:val="single" w:color="auto" w:sz="4" w:space="0"/>
              <w:left w:val="nil"/>
              <w:bottom w:val="single" w:color="auto" w:sz="4" w:space="0"/>
              <w:right w:val="single" w:color="auto" w:sz="4" w:space="0"/>
            </w:tcBorders>
            <w:vAlign w:val="center"/>
          </w:tcPr>
          <w:p w14:paraId="4187FDA8">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FB35B4A">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0BCD858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1D15E88">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797CB34">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投标人的关联性</w:t>
            </w:r>
          </w:p>
          <w:p w14:paraId="1AB239F6">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（1.5）</w:t>
            </w:r>
          </w:p>
        </w:tc>
        <w:tc>
          <w:tcPr>
            <w:tcW w:w="4872" w:type="dxa"/>
            <w:tcBorders>
              <w:top w:val="single" w:color="auto" w:sz="4" w:space="0"/>
              <w:left w:val="nil"/>
              <w:bottom w:val="single" w:color="auto" w:sz="4" w:space="0"/>
              <w:right w:val="single" w:color="auto" w:sz="4" w:space="0"/>
            </w:tcBorders>
            <w:vAlign w:val="center"/>
          </w:tcPr>
          <w:p w14:paraId="4582DADD">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14:paraId="6495F224">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BF3680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1AF9DEB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72F71080">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05072DE">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14:paraId="25E711EA">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14:paraId="7F69D59F">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79E7AE94">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105DB70C">
            <w:pPr>
              <w:widowControl/>
              <w:jc w:val="left"/>
              <w:rPr>
                <w:rFonts w:ascii="仿宋" w:hAnsi="仿宋" w:eastAsia="仿宋" w:cs="仿宋"/>
                <w:color w:val="000000"/>
                <w:kern w:val="0"/>
                <w:sz w:val="22"/>
                <w:szCs w:val="22"/>
              </w:rPr>
            </w:pPr>
          </w:p>
        </w:tc>
      </w:tr>
      <w:tr w14:paraId="5A62BEAD">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5B3E5DE">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满足投标范围的完整性要求</w:t>
            </w:r>
          </w:p>
          <w:p w14:paraId="4DCD190A">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（8.1）</w:t>
            </w:r>
          </w:p>
        </w:tc>
        <w:tc>
          <w:tcPr>
            <w:tcW w:w="4872" w:type="dxa"/>
            <w:tcBorders>
              <w:top w:val="single" w:color="auto" w:sz="4" w:space="0"/>
              <w:left w:val="nil"/>
              <w:bottom w:val="single" w:color="auto" w:sz="4" w:space="0"/>
              <w:right w:val="single" w:color="auto" w:sz="4" w:space="0"/>
            </w:tcBorders>
            <w:vAlign w:val="center"/>
          </w:tcPr>
          <w:p w14:paraId="3A0E76ED">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投标人对所投分包招标文件中所列的所有内容进行投标。</w:t>
            </w:r>
          </w:p>
        </w:tc>
        <w:tc>
          <w:tcPr>
            <w:tcW w:w="516" w:type="dxa"/>
            <w:tcBorders>
              <w:top w:val="single" w:color="auto" w:sz="4" w:space="0"/>
              <w:left w:val="nil"/>
              <w:bottom w:val="single" w:color="auto" w:sz="4" w:space="0"/>
              <w:right w:val="single" w:color="auto" w:sz="4" w:space="0"/>
            </w:tcBorders>
            <w:vAlign w:val="center"/>
          </w:tcPr>
          <w:p w14:paraId="08149938">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16613154">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0EBCCD85">
            <w:pPr>
              <w:widowControl/>
              <w:jc w:val="left"/>
              <w:rPr>
                <w:rFonts w:ascii="仿宋" w:hAnsi="仿宋" w:eastAsia="仿宋" w:cs="仿宋"/>
                <w:color w:val="000000"/>
                <w:kern w:val="0"/>
                <w:sz w:val="22"/>
                <w:szCs w:val="22"/>
              </w:rPr>
            </w:pPr>
          </w:p>
        </w:tc>
      </w:tr>
      <w:tr w14:paraId="0859CD74">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3F50BDA">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未包含价格调整要求</w:t>
            </w:r>
          </w:p>
          <w:p w14:paraId="587EACD6">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（11.4）</w:t>
            </w:r>
          </w:p>
        </w:tc>
        <w:tc>
          <w:tcPr>
            <w:tcW w:w="4872" w:type="dxa"/>
            <w:tcBorders>
              <w:top w:val="single" w:color="auto" w:sz="4" w:space="0"/>
              <w:left w:val="nil"/>
              <w:bottom w:val="single" w:color="auto" w:sz="4" w:space="0"/>
              <w:right w:val="single" w:color="auto" w:sz="4" w:space="0"/>
            </w:tcBorders>
            <w:vAlign w:val="center"/>
          </w:tcPr>
          <w:p w14:paraId="54B02D06">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14:paraId="5E568E1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F6542E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5A698AFD">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7E7869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4ED0FCB">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投标保证金（12.1）</w:t>
            </w:r>
          </w:p>
        </w:tc>
        <w:tc>
          <w:tcPr>
            <w:tcW w:w="4872" w:type="dxa"/>
            <w:tcBorders>
              <w:top w:val="single" w:color="auto" w:sz="4" w:space="0"/>
              <w:left w:val="nil"/>
              <w:bottom w:val="single" w:color="auto" w:sz="4" w:space="0"/>
              <w:right w:val="single" w:color="auto" w:sz="4" w:space="0"/>
            </w:tcBorders>
            <w:vAlign w:val="center"/>
          </w:tcPr>
          <w:p w14:paraId="6D5C0A59">
            <w:pPr>
              <w:widowControl/>
              <w:jc w:val="center"/>
              <w:rPr>
                <w:rFonts w:ascii="仿宋" w:hAnsi="仿宋" w:eastAsia="仿宋" w:cs="仿宋"/>
                <w:color w:val="000000"/>
                <w:szCs w:val="21"/>
              </w:rPr>
            </w:pPr>
            <w:r>
              <w:rPr>
                <w:rFonts w:hint="eastAsia" w:ascii="仿宋" w:hAnsi="仿宋" w:eastAsia="仿宋" w:cs="仿宋"/>
                <w:color w:val="000000"/>
                <w:szCs w:val="21"/>
              </w:rPr>
              <w:t>符合招标文件要求</w:t>
            </w:r>
          </w:p>
        </w:tc>
        <w:tc>
          <w:tcPr>
            <w:tcW w:w="516" w:type="dxa"/>
            <w:tcBorders>
              <w:top w:val="single" w:color="auto" w:sz="4" w:space="0"/>
              <w:left w:val="nil"/>
              <w:bottom w:val="single" w:color="auto" w:sz="4" w:space="0"/>
              <w:right w:val="single" w:color="auto" w:sz="4" w:space="0"/>
            </w:tcBorders>
            <w:vAlign w:val="center"/>
          </w:tcPr>
          <w:p w14:paraId="3E647178">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4D97C91A">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637343FF">
            <w:pPr>
              <w:widowControl/>
              <w:jc w:val="left"/>
              <w:rPr>
                <w:rFonts w:ascii="仿宋" w:hAnsi="仿宋" w:eastAsia="仿宋" w:cs="仿宋"/>
                <w:color w:val="000000"/>
                <w:kern w:val="0"/>
                <w:sz w:val="22"/>
                <w:szCs w:val="22"/>
              </w:rPr>
            </w:pPr>
          </w:p>
        </w:tc>
      </w:tr>
      <w:tr w14:paraId="6240C32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F0ACB75">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投标有效期满足要求（13.1）</w:t>
            </w:r>
          </w:p>
        </w:tc>
        <w:tc>
          <w:tcPr>
            <w:tcW w:w="4872" w:type="dxa"/>
            <w:tcBorders>
              <w:top w:val="single" w:color="auto" w:sz="4" w:space="0"/>
              <w:left w:val="nil"/>
              <w:bottom w:val="single" w:color="auto" w:sz="4" w:space="0"/>
              <w:right w:val="single" w:color="auto" w:sz="4" w:space="0"/>
            </w:tcBorders>
            <w:vAlign w:val="center"/>
          </w:tcPr>
          <w:p w14:paraId="41E2B9B2">
            <w:pPr>
              <w:widowControl/>
              <w:jc w:val="center"/>
              <w:rPr>
                <w:rFonts w:ascii="仿宋" w:hAnsi="仿宋" w:eastAsia="仿宋" w:cs="仿宋"/>
                <w:color w:val="000000"/>
                <w:kern w:val="0"/>
                <w:szCs w:val="21"/>
              </w:rPr>
            </w:pPr>
            <w:r>
              <w:rPr>
                <w:rFonts w:hint="eastAsia" w:ascii="仿宋" w:hAnsi="仿宋" w:eastAsia="仿宋" w:cs="仿宋"/>
                <w:color w:val="000000"/>
                <w:szCs w:val="21"/>
              </w:rPr>
              <w:t>自提交投标文件截止之日起</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90</w:t>
            </w:r>
            <w:r>
              <w:rPr>
                <w:rFonts w:hint="eastAsia" w:ascii="仿宋" w:hAnsi="仿宋" w:eastAsia="仿宋" w:cs="仿宋"/>
                <w:color w:val="000000"/>
                <w:szCs w:val="21"/>
                <w:u w:val="single"/>
              </w:rPr>
              <w:t>日</w:t>
            </w:r>
            <w:r>
              <w:rPr>
                <w:rFonts w:hint="eastAsia" w:ascii="仿宋" w:hAnsi="仿宋" w:eastAsia="仿宋" w:cs="仿宋"/>
                <w:color w:val="000000"/>
                <w:szCs w:val="21"/>
              </w:rPr>
              <w:t>历日内</w:t>
            </w:r>
          </w:p>
        </w:tc>
        <w:tc>
          <w:tcPr>
            <w:tcW w:w="516" w:type="dxa"/>
            <w:tcBorders>
              <w:top w:val="single" w:color="auto" w:sz="4" w:space="0"/>
              <w:left w:val="nil"/>
              <w:bottom w:val="single" w:color="auto" w:sz="4" w:space="0"/>
              <w:right w:val="single" w:color="auto" w:sz="4" w:space="0"/>
            </w:tcBorders>
            <w:vAlign w:val="center"/>
          </w:tcPr>
          <w:p w14:paraId="4FAE215F">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724413B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169F288">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E94C479">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669ADA4F">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投标文件的签署和盖章符合要求（14.2、14.4）</w:t>
            </w:r>
          </w:p>
        </w:tc>
        <w:tc>
          <w:tcPr>
            <w:tcW w:w="4872" w:type="dxa"/>
            <w:tcBorders>
              <w:top w:val="single" w:color="auto" w:sz="4" w:space="0"/>
              <w:left w:val="nil"/>
              <w:bottom w:val="single" w:color="auto" w:sz="4" w:space="0"/>
              <w:right w:val="single" w:color="auto" w:sz="4" w:space="0"/>
            </w:tcBorders>
            <w:vAlign w:val="center"/>
          </w:tcPr>
          <w:p w14:paraId="66C92CD2">
            <w:pPr>
              <w:widowControl/>
              <w:jc w:val="center"/>
              <w:rPr>
                <w:rFonts w:ascii="仿宋" w:hAnsi="仿宋" w:eastAsia="仿宋" w:cs="仿宋"/>
                <w:color w:val="000000"/>
                <w:szCs w:val="21"/>
              </w:rPr>
            </w:pPr>
            <w:r>
              <w:rPr>
                <w:rFonts w:hint="eastAsia" w:ascii="仿宋" w:hAnsi="仿宋" w:eastAsia="仿宋" w:cs="仿宋"/>
                <w:color w:val="000000"/>
                <w:szCs w:val="21"/>
              </w:rPr>
              <w:t>按照招标文件规定要求签署、盖章。</w:t>
            </w:r>
          </w:p>
        </w:tc>
        <w:tc>
          <w:tcPr>
            <w:tcW w:w="516" w:type="dxa"/>
            <w:tcBorders>
              <w:top w:val="single" w:color="auto" w:sz="4" w:space="0"/>
              <w:left w:val="nil"/>
              <w:bottom w:val="single" w:color="auto" w:sz="4" w:space="0"/>
              <w:right w:val="single" w:color="auto" w:sz="4" w:space="0"/>
            </w:tcBorders>
            <w:vAlign w:val="center"/>
          </w:tcPr>
          <w:p w14:paraId="1DE4E93A">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5C78A74C">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3F4AFFC7">
            <w:pPr>
              <w:widowControl/>
              <w:jc w:val="left"/>
              <w:rPr>
                <w:rFonts w:ascii="仿宋" w:hAnsi="仿宋" w:eastAsia="仿宋" w:cs="仿宋"/>
                <w:color w:val="000000"/>
                <w:kern w:val="0"/>
                <w:sz w:val="22"/>
                <w:szCs w:val="22"/>
              </w:rPr>
            </w:pPr>
          </w:p>
        </w:tc>
      </w:tr>
      <w:tr w14:paraId="089E2D07">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CCFDA84">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接受价格的算术修正</w:t>
            </w:r>
          </w:p>
          <w:p w14:paraId="776D7FB3">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（20.3）</w:t>
            </w:r>
          </w:p>
        </w:tc>
        <w:tc>
          <w:tcPr>
            <w:tcW w:w="4872" w:type="dxa"/>
            <w:tcBorders>
              <w:top w:val="single" w:color="auto" w:sz="4" w:space="0"/>
              <w:left w:val="nil"/>
              <w:bottom w:val="single" w:color="auto" w:sz="4" w:space="0"/>
              <w:right w:val="single" w:color="auto" w:sz="4" w:space="0"/>
            </w:tcBorders>
            <w:vAlign w:val="center"/>
          </w:tcPr>
          <w:p w14:paraId="218A304F">
            <w:pPr>
              <w:widowControl/>
              <w:jc w:val="center"/>
              <w:rPr>
                <w:rFonts w:ascii="仿宋" w:hAnsi="仿宋" w:eastAsia="仿宋" w:cs="仿宋"/>
                <w:color w:val="000000"/>
                <w:kern w:val="0"/>
                <w:szCs w:val="21"/>
              </w:rPr>
            </w:pPr>
            <w:r>
              <w:rPr>
                <w:rFonts w:hint="eastAsia" w:ascii="仿宋" w:hAnsi="仿宋" w:eastAsia="仿宋" w:cs="仿宋"/>
                <w:color w:val="000000"/>
                <w:szCs w:val="21"/>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vAlign w:val="center"/>
          </w:tcPr>
          <w:p w14:paraId="5FABFB06">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A63A2A9">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39832E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EA63B1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55E9EF0F">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14:paraId="158723B3">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lang w:val="en-US" w:eastAsia="zh-CN"/>
              </w:rPr>
              <w:t>不</w:t>
            </w:r>
            <w:r>
              <w:rPr>
                <w:rFonts w:hint="eastAsia" w:ascii="仿宋" w:hAnsi="仿宋" w:eastAsia="仿宋" w:cs="仿宋"/>
                <w:i/>
                <w:iCs/>
                <w:color w:val="000000"/>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14:paraId="44D9DCB0">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61E3C9C">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1D0552F6">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2A2503E">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42A0B254">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未发现串通投标（22.2）</w:t>
            </w:r>
          </w:p>
        </w:tc>
        <w:tc>
          <w:tcPr>
            <w:tcW w:w="4872" w:type="dxa"/>
            <w:tcBorders>
              <w:top w:val="single" w:color="auto" w:sz="4" w:space="0"/>
              <w:left w:val="nil"/>
              <w:bottom w:val="single" w:color="auto" w:sz="4" w:space="0"/>
              <w:right w:val="single" w:color="auto" w:sz="4" w:space="0"/>
            </w:tcBorders>
            <w:vAlign w:val="center"/>
          </w:tcPr>
          <w:p w14:paraId="12D1761A">
            <w:pPr>
              <w:widowControl/>
              <w:jc w:val="center"/>
              <w:rPr>
                <w:rFonts w:ascii="仿宋" w:hAnsi="仿宋" w:eastAsia="仿宋" w:cs="仿宋"/>
                <w:color w:val="000000"/>
                <w:kern w:val="0"/>
                <w:szCs w:val="21"/>
              </w:rPr>
            </w:pPr>
            <w:r>
              <w:rPr>
                <w:rFonts w:hint="eastAsia" w:ascii="仿宋" w:hAnsi="仿宋" w:eastAsia="仿宋" w:cs="仿宋"/>
                <w:color w:val="000000"/>
                <w:szCs w:val="21"/>
              </w:rPr>
              <w:t>未与其他投标人串通投标，或者与招标人串通投标。</w:t>
            </w:r>
          </w:p>
        </w:tc>
        <w:tc>
          <w:tcPr>
            <w:tcW w:w="516" w:type="dxa"/>
            <w:tcBorders>
              <w:top w:val="single" w:color="auto" w:sz="4" w:space="0"/>
              <w:left w:val="nil"/>
              <w:bottom w:val="single" w:color="auto" w:sz="4" w:space="0"/>
              <w:right w:val="single" w:color="auto" w:sz="4" w:space="0"/>
            </w:tcBorders>
            <w:vAlign w:val="center"/>
          </w:tcPr>
          <w:p w14:paraId="592CD125">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C00C813">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208F3FFB">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5F271CC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F9C16E6">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报价说明可以接受（22.2）</w:t>
            </w:r>
          </w:p>
        </w:tc>
        <w:tc>
          <w:tcPr>
            <w:tcW w:w="4872" w:type="dxa"/>
            <w:tcBorders>
              <w:top w:val="single" w:color="auto" w:sz="4" w:space="0"/>
              <w:left w:val="nil"/>
              <w:bottom w:val="single" w:color="auto" w:sz="4" w:space="0"/>
              <w:right w:val="single" w:color="auto" w:sz="4" w:space="0"/>
            </w:tcBorders>
            <w:vAlign w:val="center"/>
          </w:tcPr>
          <w:p w14:paraId="4692CA3C">
            <w:pPr>
              <w:widowControl/>
              <w:jc w:val="center"/>
              <w:rPr>
                <w:rFonts w:ascii="仿宋" w:hAnsi="仿宋" w:eastAsia="仿宋" w:cs="仿宋"/>
                <w:color w:val="000000"/>
                <w:kern w:val="0"/>
                <w:szCs w:val="21"/>
              </w:rPr>
            </w:pPr>
            <w:r>
              <w:rPr>
                <w:rFonts w:hint="eastAsia" w:ascii="仿宋" w:hAnsi="仿宋" w:eastAsia="仿宋" w:cs="仿宋"/>
                <w:color w:val="000000"/>
                <w:szCs w:val="21"/>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vAlign w:val="center"/>
          </w:tcPr>
          <w:p w14:paraId="1AF083A4">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26236039">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3EE08C5">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6944303">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00D351E">
            <w:pPr>
              <w:widowControl/>
              <w:jc w:val="center"/>
              <w:rPr>
                <w:rFonts w:ascii="仿宋" w:hAnsi="仿宋" w:eastAsia="仿宋" w:cs="仿宋"/>
                <w:color w:val="000000"/>
                <w:kern w:val="0"/>
                <w:sz w:val="22"/>
                <w:szCs w:val="22"/>
              </w:rPr>
            </w:pPr>
            <w:r>
              <w:rPr>
                <w:rFonts w:hint="eastAsia" w:ascii="仿宋" w:hAnsi="仿宋" w:eastAsia="仿宋" w:cs="仿宋"/>
                <w:color w:val="000000"/>
                <w:sz w:val="22"/>
                <w:szCs w:val="22"/>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14:paraId="3A8F80FA">
            <w:pPr>
              <w:widowControl/>
              <w:jc w:val="center"/>
              <w:rPr>
                <w:rFonts w:ascii="仿宋" w:hAnsi="仿宋" w:eastAsia="仿宋" w:cs="仿宋"/>
                <w:color w:val="000000"/>
                <w:kern w:val="0"/>
                <w:szCs w:val="21"/>
              </w:rPr>
            </w:pPr>
            <w:r>
              <w:rPr>
                <w:rFonts w:hint="eastAsia" w:ascii="仿宋" w:hAnsi="仿宋" w:eastAsia="仿宋" w:cs="仿宋"/>
                <w:color w:val="000000"/>
                <w:szCs w:val="21"/>
              </w:rPr>
              <w:t>投标文件未含有采购人不能接受的附加条件。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14:paraId="12513E7B">
            <w:pPr>
              <w:widowControl/>
              <w:jc w:val="left"/>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05DEFBDE">
            <w:pPr>
              <w:widowControl/>
              <w:jc w:val="left"/>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34F5742E">
            <w:pPr>
              <w:widowControl/>
              <w:jc w:val="left"/>
              <w:rPr>
                <w:rFonts w:ascii="仿宋" w:hAnsi="仿宋" w:eastAsia="仿宋" w:cs="仿宋"/>
                <w:color w:val="000000"/>
                <w:kern w:val="0"/>
                <w:sz w:val="22"/>
                <w:szCs w:val="22"/>
              </w:rPr>
            </w:pPr>
          </w:p>
        </w:tc>
      </w:tr>
      <w:tr w14:paraId="6EF4A8B4">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5A01859F">
            <w:pPr>
              <w:widowControl/>
              <w:jc w:val="left"/>
              <w:rPr>
                <w:rFonts w:ascii="仿宋" w:hAnsi="仿宋" w:eastAsia="仿宋" w:cs="仿宋"/>
                <w:b/>
                <w:color w:val="000000"/>
                <w:szCs w:val="21"/>
              </w:rPr>
            </w:pPr>
            <w:r>
              <w:rPr>
                <w:rFonts w:hint="eastAsia" w:ascii="仿宋" w:hAnsi="仿宋" w:eastAsia="仿宋" w:cs="仿宋"/>
                <w:b/>
                <w:color w:val="000000"/>
                <w:kern w:val="0"/>
                <w:sz w:val="22"/>
                <w:szCs w:val="22"/>
              </w:rPr>
              <w:t>结论：</w:t>
            </w:r>
            <w:r>
              <w:rPr>
                <w:rFonts w:hint="eastAsia" w:ascii="仿宋" w:hAnsi="仿宋" w:eastAsia="仿宋" w:cs="仿宋"/>
                <w:b/>
                <w:bCs/>
                <w:color w:val="000000"/>
                <w:spacing w:val="-2"/>
                <w:sz w:val="24"/>
              </w:rPr>
              <w:t>通过评审打“√”，未通过评审打“×”</w:t>
            </w:r>
          </w:p>
        </w:tc>
        <w:tc>
          <w:tcPr>
            <w:tcW w:w="516" w:type="dxa"/>
            <w:tcBorders>
              <w:top w:val="single" w:color="auto" w:sz="4" w:space="0"/>
              <w:left w:val="nil"/>
              <w:bottom w:val="single" w:color="auto" w:sz="4" w:space="0"/>
              <w:right w:val="single" w:color="auto" w:sz="4" w:space="0"/>
            </w:tcBorders>
            <w:vAlign w:val="center"/>
          </w:tcPr>
          <w:p w14:paraId="1D72C277">
            <w:pPr>
              <w:widowControl/>
              <w:jc w:val="center"/>
              <w:rPr>
                <w:rFonts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57B23FBD">
            <w:pPr>
              <w:widowControl/>
              <w:jc w:val="center"/>
              <w:rPr>
                <w:rFonts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27E353D3">
            <w:pPr>
              <w:widowControl/>
              <w:jc w:val="center"/>
              <w:rPr>
                <w:rFonts w:ascii="仿宋" w:hAnsi="仿宋" w:eastAsia="仿宋" w:cs="仿宋"/>
                <w:color w:val="000000"/>
                <w:kern w:val="0"/>
                <w:sz w:val="22"/>
                <w:szCs w:val="22"/>
              </w:rPr>
            </w:pPr>
          </w:p>
        </w:tc>
      </w:tr>
    </w:tbl>
    <w:p w14:paraId="0A69C8F3">
      <w:pPr>
        <w:pStyle w:val="10"/>
        <w:ind w:left="0" w:leftChars="0"/>
        <w:rPr>
          <w:color w:val="000000"/>
        </w:rPr>
      </w:pPr>
    </w:p>
    <w:p w14:paraId="1A0C9727">
      <w:pPr>
        <w:spacing w:line="360" w:lineRule="auto"/>
        <w:rPr>
          <w:color w:val="000000"/>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4E12EF65">
      <w:pPr>
        <w:spacing w:line="300" w:lineRule="auto"/>
        <w:jc w:val="center"/>
        <w:rPr>
          <w:rFonts w:ascii="仿宋" w:hAnsi="仿宋" w:eastAsia="仿宋" w:cs="仿宋"/>
          <w:b/>
          <w:bCs/>
          <w:color w:val="000000"/>
          <w:kern w:val="0"/>
          <w:sz w:val="28"/>
          <w:szCs w:val="28"/>
        </w:rPr>
      </w:pPr>
    </w:p>
    <w:p w14:paraId="41DE5308">
      <w:pPr>
        <w:spacing w:line="300" w:lineRule="auto"/>
        <w:jc w:val="center"/>
        <w:rPr>
          <w:rFonts w:ascii="仿宋" w:hAnsi="仿宋" w:eastAsia="仿宋" w:cs="仿宋"/>
          <w:b/>
          <w:bCs/>
          <w:color w:val="000000"/>
          <w:kern w:val="0"/>
          <w:sz w:val="28"/>
          <w:szCs w:val="28"/>
        </w:rPr>
      </w:pPr>
    </w:p>
    <w:p w14:paraId="347E8DA1">
      <w:pPr>
        <w:pStyle w:val="2"/>
        <w:rPr>
          <w:rFonts w:ascii="仿宋" w:hAnsi="仿宋" w:eastAsia="仿宋" w:cs="仿宋"/>
          <w:b/>
          <w:bCs/>
          <w:color w:val="000000"/>
          <w:sz w:val="28"/>
          <w:szCs w:val="28"/>
        </w:rPr>
      </w:pPr>
    </w:p>
    <w:p w14:paraId="0DF268DA">
      <w:pPr>
        <w:rPr>
          <w:rFonts w:ascii="仿宋" w:hAnsi="仿宋" w:eastAsia="仿宋" w:cs="仿宋"/>
          <w:b/>
          <w:bCs/>
          <w:color w:val="000000"/>
          <w:kern w:val="0"/>
          <w:sz w:val="28"/>
          <w:szCs w:val="28"/>
        </w:rPr>
      </w:pPr>
    </w:p>
    <w:p w14:paraId="0D49E4CC">
      <w:pPr>
        <w:pStyle w:val="2"/>
        <w:ind w:firstLine="0"/>
        <w:rPr>
          <w:color w:val="000000"/>
        </w:rPr>
      </w:pPr>
    </w:p>
    <w:p w14:paraId="4569A0B2">
      <w:pPr>
        <w:spacing w:line="300" w:lineRule="auto"/>
        <w:jc w:val="center"/>
        <w:rPr>
          <w:rFonts w:hint="eastAsia" w:ascii="仿宋" w:hAnsi="仿宋" w:eastAsia="仿宋" w:cs="仿宋"/>
          <w:b/>
          <w:bCs/>
          <w:color w:val="000000"/>
          <w:kern w:val="0"/>
          <w:sz w:val="28"/>
          <w:szCs w:val="28"/>
        </w:rPr>
      </w:pPr>
    </w:p>
    <w:p w14:paraId="60C19F9D">
      <w:pPr>
        <w:spacing w:line="300" w:lineRule="auto"/>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技术符合性审查表</w:t>
      </w:r>
    </w:p>
    <w:tbl>
      <w:tblPr>
        <w:tblStyle w:val="36"/>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14:paraId="5766C1A7">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09B4401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审查事项</w:t>
            </w:r>
          </w:p>
        </w:tc>
        <w:tc>
          <w:tcPr>
            <w:tcW w:w="1696" w:type="dxa"/>
            <w:vMerge w:val="restart"/>
            <w:tcBorders>
              <w:top w:val="single" w:color="000000" w:sz="4" w:space="0"/>
              <w:left w:val="single" w:color="000000" w:sz="4" w:space="0"/>
              <w:right w:val="single" w:color="000000" w:sz="4" w:space="0"/>
            </w:tcBorders>
            <w:vAlign w:val="center"/>
          </w:tcPr>
          <w:p w14:paraId="2FD849A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77B3972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6531E0B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投标人名称</w:t>
            </w:r>
          </w:p>
        </w:tc>
      </w:tr>
      <w:tr w14:paraId="503E41F6">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70FC72D">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招标文件要求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14:paraId="260F811D">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条款号</w:t>
            </w:r>
          </w:p>
        </w:tc>
        <w:tc>
          <w:tcPr>
            <w:tcW w:w="1696" w:type="dxa"/>
            <w:vMerge w:val="continue"/>
            <w:tcBorders>
              <w:left w:val="single" w:color="000000" w:sz="4" w:space="0"/>
              <w:bottom w:val="single" w:color="000000" w:sz="4" w:space="0"/>
              <w:right w:val="single" w:color="000000" w:sz="4" w:space="0"/>
            </w:tcBorders>
            <w:vAlign w:val="center"/>
          </w:tcPr>
          <w:p w14:paraId="3ADB51C4">
            <w:pPr>
              <w:widowControl/>
              <w:jc w:val="center"/>
              <w:textAlignment w:val="center"/>
              <w:rPr>
                <w:rFonts w:ascii="仿宋" w:hAnsi="仿宋" w:eastAsia="仿宋" w:cs="仿宋"/>
                <w:color w:val="000000"/>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18449528">
            <w:pPr>
              <w:widowControl/>
              <w:jc w:val="center"/>
              <w:textAlignment w:val="center"/>
              <w:rPr>
                <w:rFonts w:ascii="仿宋" w:hAnsi="仿宋" w:eastAsia="仿宋" w:cs="仿宋"/>
                <w:color w:val="000000"/>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2531607A">
            <w:pPr>
              <w:widowControl/>
              <w:jc w:val="center"/>
              <w:textAlignment w:val="center"/>
              <w:rPr>
                <w:rFonts w:ascii="仿宋" w:hAnsi="仿宋" w:eastAsia="仿宋" w:cs="仿宋"/>
                <w:color w:val="000000"/>
                <w:kern w:val="0"/>
                <w:sz w:val="22"/>
                <w:szCs w:val="22"/>
              </w:rPr>
            </w:pPr>
          </w:p>
        </w:tc>
      </w:tr>
      <w:tr w14:paraId="677D6CB9">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95580E8">
            <w:pPr>
              <w:widowControl/>
              <w:spacing w:line="360" w:lineRule="exact"/>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采购需求</w:t>
            </w:r>
          </w:p>
        </w:tc>
        <w:tc>
          <w:tcPr>
            <w:tcW w:w="1698" w:type="dxa"/>
            <w:tcBorders>
              <w:top w:val="single" w:color="000000" w:sz="4" w:space="0"/>
              <w:left w:val="single" w:color="000000" w:sz="4" w:space="0"/>
              <w:bottom w:val="single" w:color="000000" w:sz="4" w:space="0"/>
              <w:right w:val="single" w:color="000000" w:sz="4" w:space="0"/>
            </w:tcBorders>
            <w:vAlign w:val="center"/>
          </w:tcPr>
          <w:p w14:paraId="32038EB1">
            <w:pPr>
              <w:widowControl/>
              <w:spacing w:line="360" w:lineRule="exact"/>
              <w:jc w:val="center"/>
              <w:rPr>
                <w:rFonts w:ascii="仿宋" w:hAnsi="仿宋" w:eastAsia="仿宋" w:cs="仿宋"/>
                <w:color w:val="000000"/>
                <w:sz w:val="22"/>
                <w:szCs w:val="22"/>
              </w:rPr>
            </w:pPr>
            <w:r>
              <w:rPr>
                <w:rFonts w:hint="eastAsia" w:ascii="仿宋" w:hAnsi="仿宋" w:eastAsia="仿宋" w:cs="仿宋"/>
                <w:color w:val="000000"/>
                <w:kern w:val="0"/>
                <w:sz w:val="22"/>
                <w:szCs w:val="22"/>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14:paraId="4F7CE744">
            <w:pPr>
              <w:jc w:val="left"/>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38B77E3">
            <w:pPr>
              <w:jc w:val="left"/>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4C3AE86">
            <w:pPr>
              <w:jc w:val="left"/>
              <w:rPr>
                <w:rFonts w:ascii="仿宋" w:hAnsi="仿宋" w:eastAsia="仿宋" w:cs="仿宋"/>
                <w:color w:val="000000"/>
                <w:sz w:val="22"/>
                <w:szCs w:val="22"/>
              </w:rPr>
            </w:pPr>
          </w:p>
        </w:tc>
      </w:tr>
      <w:tr w14:paraId="6BCCF59A">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55A7B62">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E1DEC85">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DAD057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0F8216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EF7497A">
            <w:pPr>
              <w:rPr>
                <w:rFonts w:ascii="仿宋" w:hAnsi="仿宋" w:eastAsia="仿宋" w:cs="仿宋"/>
                <w:color w:val="000000"/>
                <w:sz w:val="22"/>
                <w:szCs w:val="22"/>
              </w:rPr>
            </w:pPr>
          </w:p>
        </w:tc>
      </w:tr>
      <w:tr w14:paraId="5E4C138B">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0E9BF5A">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5080BDC">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BEA9C9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468DCE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4CF8874">
            <w:pPr>
              <w:rPr>
                <w:rFonts w:ascii="仿宋" w:hAnsi="仿宋" w:eastAsia="仿宋" w:cs="仿宋"/>
                <w:color w:val="000000"/>
                <w:sz w:val="22"/>
                <w:szCs w:val="22"/>
              </w:rPr>
            </w:pPr>
          </w:p>
        </w:tc>
      </w:tr>
      <w:tr w14:paraId="3BF93E0B">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E519EB9">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431B10E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B4B3A0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DF6F52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9694AAD">
            <w:pPr>
              <w:rPr>
                <w:rFonts w:ascii="仿宋" w:hAnsi="仿宋" w:eastAsia="仿宋" w:cs="仿宋"/>
                <w:color w:val="000000"/>
                <w:sz w:val="22"/>
                <w:szCs w:val="22"/>
              </w:rPr>
            </w:pPr>
          </w:p>
        </w:tc>
      </w:tr>
      <w:tr w14:paraId="2B734A9F">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22DE61F">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A0A99F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FE1CD6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281F08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8DDCD8E">
            <w:pPr>
              <w:rPr>
                <w:rFonts w:ascii="仿宋" w:hAnsi="仿宋" w:eastAsia="仿宋" w:cs="仿宋"/>
                <w:color w:val="000000"/>
                <w:sz w:val="22"/>
                <w:szCs w:val="22"/>
              </w:rPr>
            </w:pPr>
          </w:p>
        </w:tc>
      </w:tr>
      <w:tr w14:paraId="0772B85A">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8651417">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8F7E5EB">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F24146C">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F9A7F7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D7AC644">
            <w:pPr>
              <w:rPr>
                <w:rFonts w:ascii="仿宋" w:hAnsi="仿宋" w:eastAsia="仿宋" w:cs="仿宋"/>
                <w:color w:val="000000"/>
                <w:sz w:val="22"/>
                <w:szCs w:val="22"/>
              </w:rPr>
            </w:pPr>
          </w:p>
        </w:tc>
      </w:tr>
      <w:tr w14:paraId="4FBB9AFE">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40ABDBE">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4E6643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9E9894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0F0C1D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C8A4569">
            <w:pPr>
              <w:rPr>
                <w:rFonts w:ascii="仿宋" w:hAnsi="仿宋" w:eastAsia="仿宋" w:cs="仿宋"/>
                <w:color w:val="000000"/>
                <w:sz w:val="22"/>
                <w:szCs w:val="22"/>
              </w:rPr>
            </w:pPr>
          </w:p>
        </w:tc>
      </w:tr>
      <w:tr w14:paraId="58B94F6A">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24BC97E">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1F61745">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F91AA41">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985988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375F546">
            <w:pPr>
              <w:rPr>
                <w:rFonts w:ascii="仿宋" w:hAnsi="仿宋" w:eastAsia="仿宋" w:cs="仿宋"/>
                <w:color w:val="000000"/>
                <w:sz w:val="22"/>
                <w:szCs w:val="22"/>
              </w:rPr>
            </w:pPr>
          </w:p>
        </w:tc>
      </w:tr>
      <w:tr w14:paraId="195109D4">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B489364">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DD536E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4D7A7E5">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E8FB001">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4D66AC0">
            <w:pPr>
              <w:rPr>
                <w:rFonts w:ascii="仿宋" w:hAnsi="仿宋" w:eastAsia="仿宋" w:cs="仿宋"/>
                <w:color w:val="000000"/>
                <w:sz w:val="22"/>
                <w:szCs w:val="22"/>
              </w:rPr>
            </w:pPr>
          </w:p>
        </w:tc>
      </w:tr>
      <w:tr w14:paraId="1E87E62E">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9C071A6">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D168EF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0E87B3B">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A0031C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04B5DC9">
            <w:pPr>
              <w:rPr>
                <w:rFonts w:ascii="仿宋" w:hAnsi="仿宋" w:eastAsia="仿宋" w:cs="仿宋"/>
                <w:color w:val="000000"/>
                <w:sz w:val="22"/>
                <w:szCs w:val="22"/>
              </w:rPr>
            </w:pPr>
          </w:p>
        </w:tc>
      </w:tr>
      <w:tr w14:paraId="77D62940">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E297FC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561FDC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051F562">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370FA5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DF63F89">
            <w:pPr>
              <w:rPr>
                <w:rFonts w:ascii="仿宋" w:hAnsi="仿宋" w:eastAsia="仿宋" w:cs="仿宋"/>
                <w:color w:val="000000"/>
                <w:sz w:val="22"/>
                <w:szCs w:val="22"/>
              </w:rPr>
            </w:pPr>
          </w:p>
        </w:tc>
      </w:tr>
      <w:tr w14:paraId="55611F1F">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411F8A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9FFDA7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FDE866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78814F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3B915E7">
            <w:pPr>
              <w:rPr>
                <w:rFonts w:ascii="仿宋" w:hAnsi="仿宋" w:eastAsia="仿宋" w:cs="仿宋"/>
                <w:color w:val="000000"/>
                <w:sz w:val="22"/>
                <w:szCs w:val="22"/>
              </w:rPr>
            </w:pPr>
          </w:p>
        </w:tc>
      </w:tr>
      <w:tr w14:paraId="16B5474B">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B1B187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BB04A9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47EF38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E87267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8B5EB3C">
            <w:pPr>
              <w:rPr>
                <w:rFonts w:ascii="仿宋" w:hAnsi="仿宋" w:eastAsia="仿宋" w:cs="仿宋"/>
                <w:color w:val="000000"/>
                <w:sz w:val="22"/>
                <w:szCs w:val="22"/>
              </w:rPr>
            </w:pPr>
          </w:p>
        </w:tc>
      </w:tr>
      <w:tr w14:paraId="749CABEE">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D5E920B">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1B06CCE">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A5D5D2A">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A6E3AEF">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5DAB42E">
            <w:pPr>
              <w:rPr>
                <w:rFonts w:ascii="仿宋" w:hAnsi="仿宋" w:eastAsia="仿宋" w:cs="仿宋"/>
                <w:color w:val="000000"/>
                <w:sz w:val="22"/>
                <w:szCs w:val="22"/>
              </w:rPr>
            </w:pPr>
          </w:p>
        </w:tc>
      </w:tr>
      <w:tr w14:paraId="51353BE9">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0D12185">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FBF0CE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9AFFFFC">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1AE018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63F91DF">
            <w:pPr>
              <w:rPr>
                <w:rFonts w:ascii="仿宋" w:hAnsi="仿宋" w:eastAsia="仿宋" w:cs="仿宋"/>
                <w:color w:val="000000"/>
                <w:sz w:val="22"/>
                <w:szCs w:val="22"/>
              </w:rPr>
            </w:pPr>
          </w:p>
        </w:tc>
      </w:tr>
      <w:tr w14:paraId="12BAFC24">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2C9B20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435D584">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043F31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9C2966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70D7A9D">
            <w:pPr>
              <w:rPr>
                <w:rFonts w:ascii="仿宋" w:hAnsi="仿宋" w:eastAsia="仿宋" w:cs="仿宋"/>
                <w:color w:val="000000"/>
                <w:sz w:val="22"/>
                <w:szCs w:val="22"/>
              </w:rPr>
            </w:pPr>
          </w:p>
        </w:tc>
      </w:tr>
      <w:tr w14:paraId="3B0F7FD4">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74B99A31">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9C9E9E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BF7B4E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5B253DB">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7BF75A8">
            <w:pPr>
              <w:rPr>
                <w:rFonts w:ascii="仿宋" w:hAnsi="仿宋" w:eastAsia="仿宋" w:cs="仿宋"/>
                <w:color w:val="000000"/>
                <w:sz w:val="22"/>
                <w:szCs w:val="22"/>
              </w:rPr>
            </w:pPr>
          </w:p>
        </w:tc>
      </w:tr>
      <w:tr w14:paraId="2111AF10">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276A72C">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49359088">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DFE982D">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E1CDBB7">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FBD404F">
            <w:pPr>
              <w:rPr>
                <w:rFonts w:ascii="仿宋" w:hAnsi="仿宋" w:eastAsia="仿宋" w:cs="仿宋"/>
                <w:color w:val="000000"/>
                <w:sz w:val="22"/>
                <w:szCs w:val="22"/>
              </w:rPr>
            </w:pPr>
          </w:p>
        </w:tc>
      </w:tr>
      <w:tr w14:paraId="0D9BF31D">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E7E4656">
            <w:pPr>
              <w:rPr>
                <w:rFonts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B68D476">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F80F7C2">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55BBAF3">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CF274D6">
            <w:pPr>
              <w:rPr>
                <w:rFonts w:ascii="仿宋" w:hAnsi="仿宋" w:eastAsia="仿宋" w:cs="仿宋"/>
                <w:color w:val="000000"/>
                <w:sz w:val="22"/>
                <w:szCs w:val="22"/>
              </w:rPr>
            </w:pPr>
          </w:p>
        </w:tc>
      </w:tr>
      <w:tr w14:paraId="349295F0">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367911FA">
            <w:pPr>
              <w:jc w:val="center"/>
              <w:rPr>
                <w:rFonts w:ascii="仿宋" w:hAnsi="仿宋" w:eastAsia="仿宋" w:cs="仿宋"/>
                <w:color w:val="000000"/>
                <w:sz w:val="22"/>
                <w:szCs w:val="22"/>
              </w:rPr>
            </w:pPr>
            <w:r>
              <w:rPr>
                <w:rFonts w:hint="eastAsia" w:ascii="仿宋" w:hAnsi="仿宋" w:eastAsia="仿宋" w:cs="仿宋"/>
                <w:color w:val="000000"/>
                <w:sz w:val="22"/>
                <w:szCs w:val="22"/>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14:paraId="797F2489">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407F0D4">
            <w:pPr>
              <w:rPr>
                <w:rFonts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BD459DD">
            <w:pPr>
              <w:rPr>
                <w:rFonts w:ascii="仿宋" w:hAnsi="仿宋" w:eastAsia="仿宋" w:cs="仿宋"/>
                <w:color w:val="000000"/>
                <w:sz w:val="22"/>
                <w:szCs w:val="22"/>
              </w:rPr>
            </w:pPr>
          </w:p>
        </w:tc>
      </w:tr>
    </w:tbl>
    <w:p w14:paraId="09514B61">
      <w:pPr>
        <w:pStyle w:val="15"/>
        <w:tabs>
          <w:tab w:val="clear" w:pos="567"/>
        </w:tabs>
        <w:spacing w:before="0" w:line="360" w:lineRule="auto"/>
        <w:rPr>
          <w:rFonts w:ascii="仿宋" w:hAnsi="仿宋" w:eastAsia="仿宋" w:cs="仿宋"/>
          <w:b/>
          <w:bCs/>
          <w:color w:val="000000"/>
        </w:rPr>
      </w:pPr>
    </w:p>
    <w:p w14:paraId="7A55A36C">
      <w:pPr>
        <w:spacing w:line="360" w:lineRule="auto"/>
        <w:rPr>
          <w:color w:val="000000"/>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备注：如果投标文件中有一项技术参数未响应招标要求，评标委员会将认定整个投标文件未响应招标文件而予以废标处理。</w:t>
      </w:r>
    </w:p>
    <w:p w14:paraId="6D029260">
      <w:pPr>
        <w:pStyle w:val="15"/>
        <w:tabs>
          <w:tab w:val="clear" w:pos="567"/>
        </w:tabs>
        <w:spacing w:before="0" w:line="360" w:lineRule="auto"/>
        <w:rPr>
          <w:rFonts w:ascii="仿宋" w:hAnsi="仿宋" w:eastAsia="仿宋" w:cs="仿宋"/>
          <w:b/>
          <w:bCs/>
          <w:color w:val="000000"/>
        </w:rPr>
      </w:pPr>
    </w:p>
    <w:p w14:paraId="5897A3A1">
      <w:pPr>
        <w:pStyle w:val="15"/>
        <w:tabs>
          <w:tab w:val="clear" w:pos="567"/>
        </w:tabs>
        <w:spacing w:before="0" w:line="360" w:lineRule="auto"/>
        <w:ind w:firstLine="1807" w:firstLineChars="600"/>
        <w:rPr>
          <w:rFonts w:ascii="仿宋" w:hAnsi="仿宋" w:eastAsia="仿宋" w:cs="仿宋"/>
          <w:b/>
          <w:bCs/>
          <w:color w:val="000000"/>
          <w:sz w:val="30"/>
          <w:szCs w:val="30"/>
        </w:rPr>
      </w:pPr>
    </w:p>
    <w:p w14:paraId="18AA232C">
      <w:pPr>
        <w:pStyle w:val="23"/>
        <w:rPr>
          <w:rFonts w:ascii="仿宋" w:hAnsi="仿宋" w:eastAsia="仿宋" w:cs="仿宋"/>
          <w:b/>
          <w:bCs/>
          <w:color w:val="000000"/>
          <w:sz w:val="30"/>
          <w:szCs w:val="30"/>
        </w:rPr>
      </w:pPr>
    </w:p>
    <w:p w14:paraId="2D68F7E9">
      <w:pPr>
        <w:pStyle w:val="11"/>
        <w:rPr>
          <w:rFonts w:ascii="仿宋" w:hAnsi="仿宋" w:eastAsia="仿宋" w:cs="仿宋"/>
          <w:b/>
          <w:bCs/>
          <w:color w:val="000000"/>
          <w:sz w:val="30"/>
          <w:szCs w:val="30"/>
        </w:rPr>
      </w:pPr>
    </w:p>
    <w:p w14:paraId="09A8B534">
      <w:pPr>
        <w:rPr>
          <w:color w:val="000000"/>
        </w:rPr>
      </w:pPr>
    </w:p>
    <w:p w14:paraId="0DA6451B">
      <w:pPr>
        <w:pStyle w:val="15"/>
        <w:tabs>
          <w:tab w:val="clear" w:pos="567"/>
        </w:tabs>
        <w:spacing w:before="0" w:line="360" w:lineRule="auto"/>
        <w:ind w:firstLine="1807" w:firstLineChars="600"/>
        <w:rPr>
          <w:rFonts w:ascii="仿宋" w:hAnsi="仿宋" w:eastAsia="仿宋" w:cs="仿宋"/>
          <w:b/>
          <w:bCs/>
          <w:color w:val="000000"/>
          <w:sz w:val="30"/>
          <w:szCs w:val="30"/>
        </w:rPr>
      </w:pPr>
    </w:p>
    <w:p w14:paraId="1461F74B">
      <w:pPr>
        <w:pStyle w:val="15"/>
        <w:tabs>
          <w:tab w:val="clear" w:pos="567"/>
        </w:tabs>
        <w:spacing w:before="0" w:line="360" w:lineRule="auto"/>
        <w:ind w:firstLine="1807" w:firstLineChars="600"/>
        <w:rPr>
          <w:rFonts w:ascii="仿宋" w:hAnsi="仿宋" w:eastAsia="仿宋" w:cs="仿宋"/>
          <w:b/>
          <w:bCs/>
          <w:color w:val="000000"/>
        </w:rPr>
      </w:pPr>
      <w:r>
        <w:rPr>
          <w:rFonts w:hint="eastAsia" w:ascii="仿宋" w:hAnsi="仿宋" w:eastAsia="仿宋" w:cs="仿宋"/>
          <w:b/>
          <w:bCs/>
          <w:color w:val="000000"/>
          <w:sz w:val="30"/>
          <w:szCs w:val="30"/>
        </w:rPr>
        <w:t>评分方法（综合评分法）及评分标准</w:t>
      </w:r>
    </w:p>
    <w:tbl>
      <w:tblPr>
        <w:tblStyle w:val="36"/>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5"/>
        <w:gridCol w:w="6086"/>
        <w:gridCol w:w="1049"/>
      </w:tblGrid>
      <w:tr w14:paraId="4640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11DB34D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评分项目</w:t>
            </w:r>
          </w:p>
        </w:tc>
        <w:tc>
          <w:tcPr>
            <w:tcW w:w="1245" w:type="dxa"/>
            <w:noWrap w:val="0"/>
            <w:vAlign w:val="center"/>
          </w:tcPr>
          <w:p w14:paraId="5880F3A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评分因素</w:t>
            </w:r>
          </w:p>
        </w:tc>
        <w:tc>
          <w:tcPr>
            <w:tcW w:w="6086" w:type="dxa"/>
            <w:noWrap w:val="0"/>
            <w:vAlign w:val="center"/>
          </w:tcPr>
          <w:p w14:paraId="7E560A9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评审内容</w:t>
            </w:r>
          </w:p>
        </w:tc>
        <w:tc>
          <w:tcPr>
            <w:tcW w:w="1049" w:type="dxa"/>
            <w:noWrap w:val="0"/>
            <w:vAlign w:val="center"/>
          </w:tcPr>
          <w:p w14:paraId="5DBE323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分值</w:t>
            </w:r>
          </w:p>
        </w:tc>
      </w:tr>
      <w:tr w14:paraId="5043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07" w:type="dxa"/>
            <w:noWrap w:val="0"/>
            <w:vAlign w:val="center"/>
          </w:tcPr>
          <w:p w14:paraId="0594A491">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价格部分（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0分）</w:t>
            </w:r>
          </w:p>
        </w:tc>
        <w:tc>
          <w:tcPr>
            <w:tcW w:w="1245" w:type="dxa"/>
            <w:noWrap w:val="0"/>
            <w:vAlign w:val="center"/>
          </w:tcPr>
          <w:p w14:paraId="17FB2348">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w:t>
            </w:r>
          </w:p>
        </w:tc>
        <w:tc>
          <w:tcPr>
            <w:tcW w:w="6086" w:type="dxa"/>
            <w:noWrap w:val="0"/>
            <w:vAlign w:val="center"/>
          </w:tcPr>
          <w:p w14:paraId="6A73A2F3">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价格分采用低价优先法计算，即满足本招标文件要求的最低投标报价为评标基准价，其价格分为满分，其它投标人的价格分统一按照下列公式计算：</w:t>
            </w:r>
          </w:p>
          <w:p w14:paraId="591ED739">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投标报价得分=（评标基准价／投标报价）×价格分分值（精确到小数点后两位）。</w:t>
            </w:r>
          </w:p>
          <w:p w14:paraId="5B2B3D47">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超过了采购项目预算或最高限价的，为无效投标。</w:t>
            </w:r>
          </w:p>
        </w:tc>
        <w:tc>
          <w:tcPr>
            <w:tcW w:w="1049" w:type="dxa"/>
            <w:noWrap w:val="0"/>
            <w:vAlign w:val="center"/>
          </w:tcPr>
          <w:p w14:paraId="69FFAF9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30</w:t>
            </w:r>
          </w:p>
        </w:tc>
      </w:tr>
      <w:tr w14:paraId="5EF4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7" w:type="dxa"/>
            <w:vMerge w:val="restart"/>
            <w:shd w:val="clear" w:color="auto" w:fill="auto"/>
            <w:noWrap w:val="0"/>
            <w:vAlign w:val="center"/>
          </w:tcPr>
          <w:p w14:paraId="2220BE9B">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商务部分（</w:t>
            </w:r>
            <w:r>
              <w:rPr>
                <w:rFonts w:hint="eastAsia" w:ascii="仿宋" w:hAnsi="仿宋" w:eastAsia="仿宋" w:cs="仿宋"/>
                <w:color w:val="auto"/>
                <w:kern w:val="0"/>
                <w:sz w:val="24"/>
                <w:szCs w:val="24"/>
                <w:lang w:val="en-US" w:eastAsia="zh-CN"/>
              </w:rPr>
              <w:t>13</w:t>
            </w:r>
            <w:r>
              <w:rPr>
                <w:rFonts w:hint="eastAsia" w:ascii="仿宋" w:hAnsi="仿宋" w:eastAsia="仿宋" w:cs="仿宋"/>
                <w:color w:val="auto"/>
                <w:kern w:val="0"/>
                <w:sz w:val="24"/>
                <w:szCs w:val="24"/>
              </w:rPr>
              <w:t>分）</w:t>
            </w:r>
          </w:p>
        </w:tc>
        <w:tc>
          <w:tcPr>
            <w:tcW w:w="1245" w:type="dxa"/>
            <w:shd w:val="clear" w:color="auto" w:fill="auto"/>
            <w:noWrap w:val="0"/>
            <w:vAlign w:val="center"/>
          </w:tcPr>
          <w:p w14:paraId="1F939DC2">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w:t>
            </w:r>
          </w:p>
          <w:p w14:paraId="5F7920F3">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业绩</w:t>
            </w:r>
          </w:p>
        </w:tc>
        <w:tc>
          <w:tcPr>
            <w:tcW w:w="6086" w:type="dxa"/>
            <w:shd w:val="clear" w:color="auto" w:fill="auto"/>
            <w:noWrap w:val="0"/>
            <w:vAlign w:val="center"/>
          </w:tcPr>
          <w:p w14:paraId="16AC7A8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提供近三年内完成类似业绩完整的合同或中标通知书扫描件，每提供一个得1分，合同缺失不得分，本项最高5分。</w:t>
            </w:r>
          </w:p>
        </w:tc>
        <w:tc>
          <w:tcPr>
            <w:tcW w:w="1049" w:type="dxa"/>
            <w:shd w:val="clear" w:color="000000" w:fill="FFFFFF"/>
            <w:noWrap w:val="0"/>
            <w:vAlign w:val="center"/>
          </w:tcPr>
          <w:p w14:paraId="23D9E1B6">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r>
      <w:tr w14:paraId="23B7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Merge w:val="continue"/>
            <w:shd w:val="clear" w:color="auto" w:fill="auto"/>
            <w:noWrap w:val="0"/>
            <w:vAlign w:val="center"/>
          </w:tcPr>
          <w:p w14:paraId="6BACE690">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shd w:val="clear" w:color="auto" w:fill="auto"/>
            <w:noWrap w:val="0"/>
            <w:vAlign w:val="center"/>
          </w:tcPr>
          <w:p w14:paraId="74673B96">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履约能力</w:t>
            </w:r>
          </w:p>
        </w:tc>
        <w:tc>
          <w:tcPr>
            <w:tcW w:w="6086" w:type="dxa"/>
            <w:shd w:val="clear" w:color="auto" w:fill="auto"/>
            <w:noWrap w:val="0"/>
            <w:vAlign w:val="center"/>
          </w:tcPr>
          <w:p w14:paraId="3E0D5BB9">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SA"/>
              </w:rPr>
              <w:t>项目实施详细计划：为本项目提供包括但不限于项目实施计划、关键路径、进度计划、交付物清单、验收标准、项目实施过程中可能出现的技术风险、管理风险、进度和安全风险等实施内容，完全满足要求得8分，每有1项缺失或偏差的扣1分，扣完为止。</w:t>
            </w:r>
          </w:p>
        </w:tc>
        <w:tc>
          <w:tcPr>
            <w:tcW w:w="1049" w:type="dxa"/>
            <w:shd w:val="clear" w:color="000000" w:fill="FFFFFF"/>
            <w:noWrap w:val="0"/>
            <w:vAlign w:val="center"/>
          </w:tcPr>
          <w:p w14:paraId="4502488B">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r>
      <w:tr w14:paraId="2A16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restart"/>
            <w:noWrap w:val="0"/>
            <w:vAlign w:val="center"/>
          </w:tcPr>
          <w:p w14:paraId="3D30403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技术部分(</w:t>
            </w:r>
            <w:r>
              <w:rPr>
                <w:rFonts w:hint="eastAsia" w:ascii="仿宋" w:hAnsi="仿宋" w:eastAsia="仿宋" w:cs="仿宋"/>
                <w:color w:val="auto"/>
                <w:kern w:val="0"/>
                <w:sz w:val="24"/>
                <w:szCs w:val="24"/>
                <w:lang w:val="en-US" w:eastAsia="zh-CN"/>
              </w:rPr>
              <w:t>57</w:t>
            </w:r>
            <w:r>
              <w:rPr>
                <w:rFonts w:hint="eastAsia" w:ascii="仿宋" w:hAnsi="仿宋" w:eastAsia="仿宋" w:cs="仿宋"/>
                <w:color w:val="auto"/>
                <w:kern w:val="0"/>
                <w:sz w:val="24"/>
                <w:szCs w:val="24"/>
              </w:rPr>
              <w:t>分)</w:t>
            </w:r>
          </w:p>
        </w:tc>
        <w:tc>
          <w:tcPr>
            <w:tcW w:w="1245" w:type="dxa"/>
            <w:tcBorders>
              <w:bottom w:val="single" w:color="auto" w:sz="4" w:space="0"/>
            </w:tcBorders>
            <w:noWrap w:val="0"/>
            <w:vAlign w:val="center"/>
          </w:tcPr>
          <w:p w14:paraId="71FF44A6">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技术参数要求</w:t>
            </w:r>
          </w:p>
        </w:tc>
        <w:tc>
          <w:tcPr>
            <w:tcW w:w="6086" w:type="dxa"/>
            <w:tcBorders>
              <w:bottom w:val="single" w:color="auto" w:sz="4" w:space="0"/>
            </w:tcBorders>
            <w:noWrap w:val="0"/>
            <w:vAlign w:val="center"/>
          </w:tcPr>
          <w:p w14:paraId="531186F6">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eastAsia="zh-CN"/>
              </w:rPr>
              <w:t>非</w:t>
            </w:r>
            <w:r>
              <w:rPr>
                <w:rFonts w:hint="eastAsia" w:ascii="仿宋" w:hAnsi="仿宋" w:eastAsia="仿宋" w:cs="仿宋"/>
                <w:color w:val="auto"/>
                <w:sz w:val="24"/>
                <w:szCs w:val="24"/>
              </w:rPr>
              <w:t>实质性要求</w:t>
            </w:r>
            <w:r>
              <w:rPr>
                <w:rFonts w:hint="eastAsia" w:ascii="仿宋" w:hAnsi="仿宋" w:eastAsia="仿宋" w:cs="仿宋"/>
                <w:color w:val="auto"/>
                <w:kern w:val="0"/>
                <w:sz w:val="24"/>
                <w:szCs w:val="24"/>
                <w:lang w:val="en-US" w:eastAsia="zh-CN" w:bidi="ar-SA"/>
              </w:rPr>
              <w:t>参数，参数中每有1小项不满足或偏离的扣1分,扣完为止。</w:t>
            </w:r>
          </w:p>
        </w:tc>
        <w:tc>
          <w:tcPr>
            <w:tcW w:w="1049" w:type="dxa"/>
            <w:tcBorders>
              <w:bottom w:val="single" w:color="auto" w:sz="4" w:space="0"/>
            </w:tcBorders>
            <w:noWrap w:val="0"/>
            <w:vAlign w:val="center"/>
          </w:tcPr>
          <w:p w14:paraId="21484E2C">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29</w:t>
            </w:r>
          </w:p>
        </w:tc>
      </w:tr>
      <w:tr w14:paraId="6894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continue"/>
            <w:noWrap w:val="0"/>
            <w:vAlign w:val="center"/>
          </w:tcPr>
          <w:p w14:paraId="2234895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p>
        </w:tc>
        <w:tc>
          <w:tcPr>
            <w:tcW w:w="1245" w:type="dxa"/>
            <w:tcBorders>
              <w:bottom w:val="single" w:color="auto" w:sz="4" w:space="0"/>
            </w:tcBorders>
            <w:noWrap w:val="0"/>
            <w:vAlign w:val="center"/>
          </w:tcPr>
          <w:p w14:paraId="53EEE0BA">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yellow"/>
              </w:rPr>
            </w:pPr>
            <w:r>
              <w:rPr>
                <w:rFonts w:hint="eastAsia" w:ascii="仿宋" w:hAnsi="仿宋" w:eastAsia="仿宋" w:cs="仿宋"/>
                <w:color w:val="auto"/>
                <w:kern w:val="0"/>
                <w:sz w:val="24"/>
                <w:szCs w:val="24"/>
              </w:rPr>
              <w:t>需求分析</w:t>
            </w:r>
          </w:p>
        </w:tc>
        <w:tc>
          <w:tcPr>
            <w:tcW w:w="6086" w:type="dxa"/>
            <w:tcBorders>
              <w:bottom w:val="single" w:color="auto" w:sz="4" w:space="0"/>
            </w:tcBorders>
            <w:noWrap w:val="0"/>
            <w:vAlign w:val="center"/>
          </w:tcPr>
          <w:p w14:paraId="58D18D4A">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SA"/>
              </w:rPr>
              <w:t>对招标内容中的移动执法终端的运行保障和维修替换服务、管理平台运维服务、应用功能提升完善服务、安全管控能力服务方面提供解决方案。方案满足运行保障和维修替换服务、管理平台运维服务、应用功能提升完善服务、安全管控能力服务需求得8分，每有1项缺失扣2分，扣完为止。</w:t>
            </w:r>
          </w:p>
        </w:tc>
        <w:tc>
          <w:tcPr>
            <w:tcW w:w="1049" w:type="dxa"/>
            <w:tcBorders>
              <w:bottom w:val="single" w:color="auto" w:sz="4" w:space="0"/>
            </w:tcBorders>
            <w:noWrap w:val="0"/>
            <w:vAlign w:val="center"/>
          </w:tcPr>
          <w:p w14:paraId="17616561">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8</w:t>
            </w:r>
          </w:p>
        </w:tc>
      </w:tr>
      <w:tr w14:paraId="2F84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07" w:type="dxa"/>
            <w:vMerge w:val="continue"/>
            <w:noWrap w:val="0"/>
            <w:vAlign w:val="center"/>
          </w:tcPr>
          <w:p w14:paraId="59837D81">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61D7FF1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增值服务</w:t>
            </w:r>
          </w:p>
        </w:tc>
        <w:tc>
          <w:tcPr>
            <w:tcW w:w="6086" w:type="dxa"/>
            <w:noWrap w:val="0"/>
            <w:vAlign w:val="center"/>
          </w:tcPr>
          <w:p w14:paraId="1166F45D">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kern w:val="0"/>
                <w:sz w:val="24"/>
                <w:szCs w:val="24"/>
                <w:lang w:val="en-US" w:eastAsia="zh-CN" w:bidi="ar-SA"/>
              </w:rPr>
              <w:t>对“▲”项服务内容性能满足基础参数要求的不加分，每项服务内容满足参数且参数正偏离的，每项增加1分，满分6分。（“▲”正偏离的加分参数）</w:t>
            </w:r>
          </w:p>
        </w:tc>
        <w:tc>
          <w:tcPr>
            <w:tcW w:w="1049" w:type="dxa"/>
            <w:noWrap w:val="0"/>
            <w:vAlign w:val="center"/>
          </w:tcPr>
          <w:p w14:paraId="5B6A4FF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FF0000"/>
                <w:kern w:val="0"/>
                <w:sz w:val="24"/>
                <w:szCs w:val="24"/>
                <w:lang w:val="en-US" w:eastAsia="zh-CN"/>
              </w:rPr>
            </w:pPr>
            <w:r>
              <w:rPr>
                <w:rFonts w:hint="eastAsia" w:ascii="仿宋" w:hAnsi="仿宋" w:eastAsia="仿宋" w:cs="仿宋"/>
                <w:color w:val="auto"/>
                <w:kern w:val="0"/>
                <w:sz w:val="24"/>
                <w:szCs w:val="24"/>
                <w:lang w:val="en-US" w:eastAsia="zh-CN"/>
              </w:rPr>
              <w:t>6</w:t>
            </w:r>
          </w:p>
        </w:tc>
      </w:tr>
      <w:tr w14:paraId="4861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14:paraId="019D2C5A">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0BA54D3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售后服务</w:t>
            </w:r>
            <w:r>
              <w:rPr>
                <w:rFonts w:hint="eastAsia" w:ascii="仿宋" w:hAnsi="仿宋" w:eastAsia="仿宋" w:cs="仿宋"/>
                <w:color w:val="auto"/>
                <w:kern w:val="0"/>
                <w:sz w:val="24"/>
                <w:szCs w:val="24"/>
              </w:rPr>
              <w:t>方案</w:t>
            </w:r>
          </w:p>
        </w:tc>
        <w:tc>
          <w:tcPr>
            <w:tcW w:w="6086" w:type="dxa"/>
            <w:noWrap w:val="0"/>
            <w:vAlign w:val="center"/>
          </w:tcPr>
          <w:p w14:paraId="386BE31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方案内容包括但不限于①质量保证承诺、②免费维保期限及内容（至少3年）、③维保方式、④全疆维保体系（需包含全疆所有区域上门维护方式）、⑤安全承诺（维修过程中保证终端、内部程序数据安全及不得进行非授权操作的条款）、⑥远程系统升级等⑦大众市场“三包服务”常规内容。</w:t>
            </w:r>
          </w:p>
          <w:p w14:paraId="11A0E92F">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每提供一项得0.5分，每一项提供不全得0.3分，本项满分3.5分。</w:t>
            </w:r>
          </w:p>
        </w:tc>
        <w:tc>
          <w:tcPr>
            <w:tcW w:w="1049" w:type="dxa"/>
            <w:noWrap w:val="0"/>
            <w:vAlign w:val="center"/>
          </w:tcPr>
          <w:p w14:paraId="777C597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r>
      <w:tr w14:paraId="7150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07" w:type="dxa"/>
            <w:vMerge w:val="continue"/>
            <w:noWrap w:val="0"/>
            <w:vAlign w:val="center"/>
          </w:tcPr>
          <w:p w14:paraId="4ADC3BD7">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0C4CD599">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bidi="ar-SA"/>
              </w:rPr>
              <w:t>服务响应时间</w:t>
            </w:r>
          </w:p>
        </w:tc>
        <w:tc>
          <w:tcPr>
            <w:tcW w:w="6086" w:type="dxa"/>
            <w:noWrap w:val="0"/>
            <w:vAlign w:val="center"/>
          </w:tcPr>
          <w:p w14:paraId="631A4A5C">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1、质保期内10分钟响应，30分钟内到达设备使用现场，1小时内免费完成维修服务，对于非人为损坏的产品予以免费更换或维修，同时提供备品备件的清单与存放点得2.5分。</w:t>
            </w:r>
          </w:p>
          <w:p w14:paraId="2D4C912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2、质保期内20分钟响应，1小时内到达设备使用现场，2小时内免费完成维修服务，对于非人为损坏的产品予以免费更换或维修，得1.5分。</w:t>
            </w:r>
          </w:p>
          <w:p w14:paraId="0F1D3094">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3、质保期内超过30分钟响应，2小时内未到达设备使用现场，3小时内免费完成维修服务，对于非人为损坏的产品予以免费更换或维修，得1分。</w:t>
            </w:r>
          </w:p>
          <w:p w14:paraId="7055C140">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4、没有提供服务响应内容的均不得分。</w:t>
            </w:r>
          </w:p>
        </w:tc>
        <w:tc>
          <w:tcPr>
            <w:tcW w:w="1049" w:type="dxa"/>
            <w:noWrap w:val="0"/>
            <w:vAlign w:val="center"/>
          </w:tcPr>
          <w:p w14:paraId="715E857C">
            <w:pPr>
              <w:keepNext w:val="0"/>
              <w:keepLines w:val="0"/>
              <w:pageBreakBefore w:val="0"/>
              <w:kinsoku/>
              <w:wordWrap/>
              <w:overflowPunct/>
              <w:topLinePunct w:val="0"/>
              <w:autoSpaceDE/>
              <w:autoSpaceDN/>
              <w:bidi w:val="0"/>
              <w:adjustRightInd w:val="0"/>
              <w:snapToGrid w:val="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w:t>
            </w:r>
          </w:p>
        </w:tc>
      </w:tr>
      <w:tr w14:paraId="407A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07" w:type="dxa"/>
            <w:vMerge w:val="continue"/>
            <w:noWrap w:val="0"/>
            <w:vAlign w:val="center"/>
          </w:tcPr>
          <w:p w14:paraId="16E80F7E">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1663EC2D">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退换货方案</w:t>
            </w:r>
          </w:p>
        </w:tc>
        <w:tc>
          <w:tcPr>
            <w:tcW w:w="6086" w:type="dxa"/>
            <w:noWrap w:val="0"/>
            <w:vAlign w:val="center"/>
          </w:tcPr>
          <w:p w14:paraId="4B66234F">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SA"/>
              </w:rPr>
              <w:t>供应商有明确地针对配送产品质量存在的问题时的退换货方案，①退换货方式②保证措施。全部提供得2分，每缺少一项扣1分。每有1项内容存在不足（指内容不全面或不完善、与项目实际不匹配或存在偏差、内容缺乏逻辑性等）扣0.5分，扣完为止。</w:t>
            </w:r>
          </w:p>
        </w:tc>
        <w:tc>
          <w:tcPr>
            <w:tcW w:w="1049" w:type="dxa"/>
            <w:noWrap w:val="0"/>
            <w:vAlign w:val="center"/>
          </w:tcPr>
          <w:p w14:paraId="3A08E631">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r>
      <w:tr w14:paraId="590E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13D08788">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17F99F1A">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质量保证措施</w:t>
            </w:r>
          </w:p>
        </w:tc>
        <w:tc>
          <w:tcPr>
            <w:tcW w:w="6086" w:type="dxa"/>
            <w:noWrap w:val="0"/>
            <w:vAlign w:val="center"/>
          </w:tcPr>
          <w:p w14:paraId="04EFD4EC">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供应商有明确的①项目质量的保障措施方案，能够持续提供完整、优质后续服务；②工作安排满足任务要求，进度安排合理；全面提供得1分，每缺少1项扣0.5分。每有1处内容存在不足（指内容不全面或不完善、与项目实际不匹配或存在偏差、内容缺乏逻辑性等）扣0.25分，扣完为止。</w:t>
            </w:r>
          </w:p>
        </w:tc>
        <w:tc>
          <w:tcPr>
            <w:tcW w:w="1049" w:type="dxa"/>
            <w:noWrap w:val="0"/>
            <w:vAlign w:val="center"/>
          </w:tcPr>
          <w:p w14:paraId="6AB3C4AC">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r>
      <w:tr w14:paraId="632A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4E5636F2">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60228156">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保</w:t>
            </w:r>
            <w:r>
              <w:rPr>
                <w:rFonts w:hint="eastAsia" w:ascii="仿宋" w:hAnsi="仿宋" w:eastAsia="仿宋" w:cs="仿宋"/>
                <w:color w:val="auto"/>
                <w:kern w:val="0"/>
                <w:sz w:val="24"/>
                <w:szCs w:val="24"/>
                <w:lang w:val="en-US" w:eastAsia="zh-CN"/>
              </w:rPr>
              <w:t>mi</w:t>
            </w:r>
            <w:r>
              <w:rPr>
                <w:rFonts w:hint="eastAsia" w:ascii="仿宋" w:hAnsi="仿宋" w:eastAsia="仿宋" w:cs="仿宋"/>
                <w:color w:val="auto"/>
                <w:kern w:val="0"/>
                <w:sz w:val="24"/>
                <w:szCs w:val="24"/>
                <w:lang w:eastAsia="zh-CN"/>
              </w:rPr>
              <w:t>措施</w:t>
            </w:r>
          </w:p>
        </w:tc>
        <w:tc>
          <w:tcPr>
            <w:tcW w:w="6086" w:type="dxa"/>
            <w:noWrap w:val="0"/>
            <w:vAlign w:val="center"/>
          </w:tcPr>
          <w:p w14:paraId="5A21216D">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提交项目服务安全保mi方案，保证信息不外泄且保mi措施完善、保mi方案安全度高，知悉范围（项目参与人员）人数在20人内的得1分，保mi方案及措施有缺失悉范围人数大于20人的得0.5分，较差或有泄mi风险得0分。</w:t>
            </w:r>
          </w:p>
        </w:tc>
        <w:tc>
          <w:tcPr>
            <w:tcW w:w="1049" w:type="dxa"/>
            <w:noWrap w:val="0"/>
            <w:vAlign w:val="center"/>
          </w:tcPr>
          <w:p w14:paraId="105DD7D3">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r>
      <w:tr w14:paraId="0F4F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5387A301">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2622AA45">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人员配置</w:t>
            </w:r>
          </w:p>
          <w:p w14:paraId="6CD3FC00">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bidi="ar-SA"/>
              </w:rPr>
            </w:pPr>
          </w:p>
        </w:tc>
        <w:tc>
          <w:tcPr>
            <w:tcW w:w="6086" w:type="dxa"/>
            <w:noWrap w:val="0"/>
            <w:vAlign w:val="center"/>
          </w:tcPr>
          <w:p w14:paraId="2B2E81A7">
            <w:pPr>
              <w:keepNext w:val="0"/>
              <w:keepLines w:val="0"/>
              <w:pageBreakBefore w:val="0"/>
              <w:widowControl/>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1、项目经理资质：持有信息系统项目管理师或通信工程师（高级）等证书，提供得2分，最高2分。</w:t>
            </w:r>
          </w:p>
          <w:p w14:paraId="31E26F3C">
            <w:pPr>
              <w:pStyle w:val="14"/>
              <w:keepNext w:val="0"/>
              <w:keepLines w:val="0"/>
              <w:pageBreakBefore w:val="0"/>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SA"/>
              </w:rPr>
              <w:t>2、技术团队资质：团队成员5人，具备系统集成项目管理工程师或项目集成管理工程师或信息安全工程师等证书，每提供一个认证得1分，最高得2分。</w:t>
            </w:r>
          </w:p>
          <w:p w14:paraId="4AEBDCEF">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SA"/>
              </w:rPr>
              <w:t>（备注：项目组人员应为投标人正式员工，除提供上述证书外，还须提供投标人近半年任意一个月社保缴纳证明（依法享受免缴或缓缴的提供税务机关证明材料））</w:t>
            </w:r>
          </w:p>
        </w:tc>
        <w:tc>
          <w:tcPr>
            <w:tcW w:w="1049" w:type="dxa"/>
            <w:noWrap w:val="0"/>
            <w:vAlign w:val="center"/>
          </w:tcPr>
          <w:p w14:paraId="3851A094">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w:t>
            </w:r>
          </w:p>
        </w:tc>
      </w:tr>
    </w:tbl>
    <w:p w14:paraId="6321A02F">
      <w:pPr>
        <w:pStyle w:val="15"/>
        <w:tabs>
          <w:tab w:val="clear" w:pos="567"/>
        </w:tabs>
        <w:spacing w:before="0" w:line="360" w:lineRule="auto"/>
        <w:rPr>
          <w:rFonts w:ascii="仿宋" w:hAnsi="仿宋" w:eastAsia="仿宋" w:cs="仿宋"/>
          <w:b/>
          <w:bCs/>
          <w:color w:val="000000"/>
        </w:rPr>
      </w:pPr>
    </w:p>
    <w:p w14:paraId="574DEAE1">
      <w:pPr>
        <w:spacing w:line="400" w:lineRule="exact"/>
        <w:rPr>
          <w:rFonts w:ascii="仿宋" w:hAnsi="仿宋" w:eastAsia="仿宋" w:cs="仿宋"/>
          <w:b/>
          <w:bCs/>
          <w:color w:val="000000"/>
          <w:sz w:val="24"/>
        </w:rPr>
      </w:pPr>
      <w:r>
        <w:rPr>
          <w:rFonts w:hint="eastAsia" w:ascii="仿宋" w:hAnsi="仿宋" w:eastAsia="仿宋" w:cs="仿宋"/>
          <w:b/>
          <w:bCs/>
          <w:color w:val="000000"/>
          <w:sz w:val="24"/>
        </w:rPr>
        <w:t>注：商务和技术的计分方法：汇总所有评标小组成员对投标方的有效记分的算术平均值为该项目投标方的综合得分。计算各评审项目得分时，按四舍五入保留二位小数。</w:t>
      </w:r>
      <w:r>
        <w:rPr>
          <w:rFonts w:hint="eastAsia" w:ascii="仿宋" w:hAnsi="仿宋" w:eastAsia="仿宋" w:cs="仿宋"/>
          <w:b/>
          <w:color w:val="000000"/>
          <w:sz w:val="24"/>
        </w:rPr>
        <w:t>(</w:t>
      </w:r>
      <w:r>
        <w:rPr>
          <w:rFonts w:hint="eastAsia" w:ascii="仿宋" w:hAnsi="仿宋" w:eastAsia="仿宋" w:cs="仿宋"/>
          <w:b/>
          <w:color w:val="000000"/>
          <w:sz w:val="24"/>
          <w:lang w:val="zh-CN"/>
        </w:rPr>
        <w:t>价格评分仅限于有效投标人。</w:t>
      </w:r>
      <w:r>
        <w:rPr>
          <w:rFonts w:hint="eastAsia" w:ascii="仿宋" w:hAnsi="仿宋" w:eastAsia="仿宋" w:cs="仿宋"/>
          <w:b/>
          <w:color w:val="000000"/>
          <w:sz w:val="24"/>
        </w:rPr>
        <w:t>)</w:t>
      </w:r>
    </w:p>
    <w:p w14:paraId="6956C5AD">
      <w:pPr>
        <w:pStyle w:val="2"/>
        <w:ind w:firstLine="0"/>
        <w:rPr>
          <w:rFonts w:hAnsi="宋体" w:cs="宋体"/>
          <w:b/>
          <w:bCs/>
          <w:color w:val="000000"/>
          <w:sz w:val="44"/>
          <w:szCs w:val="44"/>
        </w:rPr>
      </w:pPr>
    </w:p>
    <w:p w14:paraId="7CD1DB4D">
      <w:pPr>
        <w:rPr>
          <w:color w:val="000000"/>
        </w:rPr>
      </w:pPr>
    </w:p>
    <w:p w14:paraId="590E5E84">
      <w:pPr>
        <w:rPr>
          <w:rFonts w:hAnsi="宋体" w:cs="宋体"/>
          <w:b/>
          <w:bCs/>
          <w:color w:val="000000"/>
          <w:sz w:val="44"/>
          <w:szCs w:val="44"/>
        </w:rPr>
      </w:pPr>
      <w:r>
        <w:rPr>
          <w:rFonts w:hint="eastAsia" w:hAnsi="宋体" w:cs="宋体"/>
          <w:b/>
          <w:bCs/>
          <w:color w:val="000000"/>
          <w:sz w:val="44"/>
          <w:szCs w:val="44"/>
        </w:rPr>
        <w:br w:type="page"/>
      </w:r>
    </w:p>
    <w:p w14:paraId="5095629B">
      <w:pPr>
        <w:pStyle w:val="2"/>
        <w:ind w:firstLine="0"/>
        <w:jc w:val="center"/>
        <w:rPr>
          <w:rFonts w:hAnsi="宋体" w:cs="宋体"/>
          <w:b/>
          <w:bCs/>
          <w:color w:val="000000"/>
          <w:sz w:val="44"/>
          <w:szCs w:val="44"/>
        </w:rPr>
      </w:pPr>
    </w:p>
    <w:p w14:paraId="1685B496">
      <w:pPr>
        <w:pStyle w:val="2"/>
        <w:ind w:firstLine="0"/>
        <w:jc w:val="center"/>
        <w:rPr>
          <w:rFonts w:hint="eastAsia" w:hAnsi="宋体" w:eastAsia="宋体" w:cs="宋体"/>
          <w:b/>
          <w:bCs/>
          <w:color w:val="000000"/>
          <w:sz w:val="36"/>
          <w:szCs w:val="36"/>
          <w:lang w:eastAsia="zh-CN"/>
        </w:rPr>
      </w:pPr>
      <w:r>
        <w:rPr>
          <w:rFonts w:hint="eastAsia" w:hAnsi="宋体" w:cs="宋体"/>
          <w:b/>
          <w:bCs/>
          <w:color w:val="000000"/>
          <w:sz w:val="44"/>
          <w:szCs w:val="44"/>
          <w:lang w:eastAsia="zh-CN"/>
        </w:rPr>
        <w:t>移动执法系统运维服务项目(二次）</w:t>
      </w:r>
    </w:p>
    <w:p w14:paraId="364D9810">
      <w:pPr>
        <w:pStyle w:val="2"/>
        <w:rPr>
          <w:color w:val="000000"/>
        </w:rPr>
      </w:pPr>
    </w:p>
    <w:p w14:paraId="79E0279A">
      <w:pPr>
        <w:spacing w:line="240" w:lineRule="atLeast"/>
        <w:jc w:val="center"/>
        <w:rPr>
          <w:rFonts w:ascii="仿宋" w:hAnsi="仿宋" w:eastAsia="仿宋" w:cs="仿宋"/>
          <w:b/>
          <w:color w:val="000000"/>
          <w:kern w:val="0"/>
          <w:sz w:val="44"/>
          <w:szCs w:val="44"/>
        </w:rPr>
      </w:pPr>
    </w:p>
    <w:p w14:paraId="4AB5168B">
      <w:pPr>
        <w:pStyle w:val="2"/>
        <w:rPr>
          <w:color w:val="000000"/>
        </w:rPr>
      </w:pPr>
    </w:p>
    <w:p w14:paraId="6F0E13B3">
      <w:pPr>
        <w:rPr>
          <w:color w:val="000000"/>
        </w:rPr>
      </w:pPr>
    </w:p>
    <w:p w14:paraId="2E432FD8">
      <w:pPr>
        <w:pStyle w:val="2"/>
        <w:rPr>
          <w:color w:val="000000"/>
        </w:rPr>
      </w:pPr>
    </w:p>
    <w:p w14:paraId="3B10E7D7">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招标文件</w:t>
      </w:r>
    </w:p>
    <w:p w14:paraId="39A6503A">
      <w:pPr>
        <w:spacing w:line="240" w:lineRule="atLeast"/>
        <w:ind w:firstLine="1506" w:firstLineChars="500"/>
        <w:rPr>
          <w:rFonts w:ascii="仿宋" w:hAnsi="仿宋" w:eastAsia="仿宋" w:cs="仿宋"/>
          <w:b/>
          <w:color w:val="000000"/>
          <w:sz w:val="30"/>
          <w:szCs w:val="30"/>
        </w:rPr>
      </w:pPr>
    </w:p>
    <w:p w14:paraId="3CF91B5D">
      <w:pPr>
        <w:spacing w:line="240" w:lineRule="atLeast"/>
        <w:ind w:firstLine="1285" w:firstLineChars="400"/>
        <w:rPr>
          <w:rFonts w:hint="default" w:ascii="仿宋" w:hAnsi="仿宋" w:eastAsia="仿宋" w:cs="仿宋"/>
          <w:b/>
          <w:color w:val="000000"/>
          <w:sz w:val="32"/>
          <w:szCs w:val="32"/>
          <w:lang w:val="en-US"/>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XJFZYCG(GK)-2026-04-1</w:t>
      </w:r>
      <w:r>
        <w:rPr>
          <w:rFonts w:hint="eastAsia" w:ascii="仿宋" w:hAnsi="仿宋" w:eastAsia="仿宋" w:cs="仿宋"/>
          <w:b/>
          <w:color w:val="000000"/>
          <w:sz w:val="32"/>
          <w:szCs w:val="32"/>
          <w:lang w:val="en-US" w:eastAsia="zh-CN"/>
        </w:rPr>
        <w:t>)</w:t>
      </w:r>
    </w:p>
    <w:p w14:paraId="6154CE27">
      <w:pPr>
        <w:spacing w:line="240" w:lineRule="atLeast"/>
        <w:rPr>
          <w:rFonts w:ascii="仿宋" w:hAnsi="仿宋" w:eastAsia="仿宋" w:cs="仿宋"/>
          <w:b/>
          <w:color w:val="000000"/>
          <w:sz w:val="28"/>
        </w:rPr>
      </w:pPr>
    </w:p>
    <w:p w14:paraId="116DC095">
      <w:pPr>
        <w:spacing w:line="240" w:lineRule="atLeast"/>
        <w:ind w:left="1080" w:leftChars="257" w:hanging="540"/>
        <w:jc w:val="center"/>
        <w:rPr>
          <w:rFonts w:ascii="仿宋" w:hAnsi="仿宋" w:eastAsia="仿宋" w:cs="仿宋"/>
          <w:b/>
          <w:color w:val="000000"/>
          <w:sz w:val="32"/>
          <w:szCs w:val="32"/>
        </w:rPr>
      </w:pPr>
    </w:p>
    <w:p w14:paraId="6DF6840C">
      <w:pPr>
        <w:spacing w:line="240" w:lineRule="atLeast"/>
        <w:ind w:left="1080" w:leftChars="257" w:hanging="540"/>
        <w:rPr>
          <w:rFonts w:ascii="仿宋" w:hAnsi="仿宋" w:eastAsia="仿宋" w:cs="仿宋"/>
          <w:b/>
          <w:color w:val="000000"/>
          <w:sz w:val="28"/>
        </w:rPr>
      </w:pPr>
    </w:p>
    <w:p w14:paraId="06B56277">
      <w:pPr>
        <w:spacing w:line="240" w:lineRule="atLeast"/>
        <w:ind w:left="1080" w:leftChars="257" w:hanging="540"/>
        <w:jc w:val="center"/>
        <w:rPr>
          <w:rFonts w:ascii="仿宋" w:hAnsi="仿宋" w:eastAsia="仿宋" w:cs="仿宋"/>
          <w:b/>
          <w:color w:val="000000"/>
          <w:sz w:val="36"/>
          <w:szCs w:val="36"/>
        </w:rPr>
      </w:pPr>
      <w:r>
        <w:rPr>
          <w:rFonts w:hint="eastAsia" w:ascii="仿宋" w:hAnsi="仿宋" w:eastAsia="仿宋" w:cs="仿宋"/>
          <w:b/>
          <w:color w:val="000000"/>
          <w:sz w:val="36"/>
          <w:szCs w:val="36"/>
        </w:rPr>
        <w:t>第三册</w:t>
      </w:r>
    </w:p>
    <w:p w14:paraId="624EF278">
      <w:pPr>
        <w:spacing w:line="240" w:lineRule="atLeast"/>
        <w:ind w:left="1080" w:leftChars="257" w:hanging="540"/>
        <w:jc w:val="center"/>
        <w:rPr>
          <w:rFonts w:ascii="仿宋" w:hAnsi="仿宋" w:eastAsia="仿宋" w:cs="仿宋"/>
          <w:b/>
          <w:color w:val="000000"/>
          <w:sz w:val="52"/>
        </w:rPr>
      </w:pPr>
    </w:p>
    <w:p w14:paraId="2F535B77">
      <w:pPr>
        <w:spacing w:line="240" w:lineRule="atLeast"/>
        <w:ind w:left="1080" w:leftChars="257" w:hanging="540"/>
        <w:jc w:val="center"/>
        <w:rPr>
          <w:rFonts w:ascii="仿宋" w:hAnsi="仿宋" w:eastAsia="仿宋" w:cs="仿宋"/>
          <w:b/>
          <w:color w:val="000000"/>
          <w:sz w:val="52"/>
        </w:rPr>
      </w:pPr>
    </w:p>
    <w:p w14:paraId="2319E64A">
      <w:pPr>
        <w:spacing w:line="240" w:lineRule="atLeast"/>
        <w:ind w:left="1080" w:leftChars="257" w:hanging="540"/>
        <w:jc w:val="center"/>
        <w:rPr>
          <w:rFonts w:ascii="仿宋" w:hAnsi="仿宋" w:eastAsia="仿宋" w:cs="仿宋"/>
          <w:b/>
          <w:color w:val="000000"/>
          <w:sz w:val="52"/>
        </w:rPr>
      </w:pPr>
    </w:p>
    <w:p w14:paraId="320ECA0F">
      <w:pPr>
        <w:spacing w:line="240" w:lineRule="atLeast"/>
        <w:ind w:left="1080" w:leftChars="257" w:hanging="540"/>
        <w:jc w:val="center"/>
        <w:rPr>
          <w:rFonts w:ascii="仿宋" w:hAnsi="仿宋" w:eastAsia="仿宋" w:cs="仿宋"/>
          <w:b/>
          <w:color w:val="000000"/>
          <w:sz w:val="52"/>
        </w:rPr>
      </w:pPr>
    </w:p>
    <w:p w14:paraId="5CA3ED29">
      <w:pPr>
        <w:spacing w:line="240" w:lineRule="atLeast"/>
        <w:ind w:left="1080" w:leftChars="257" w:hanging="540"/>
        <w:jc w:val="center"/>
        <w:rPr>
          <w:rFonts w:ascii="仿宋" w:hAnsi="仿宋" w:eastAsia="仿宋" w:cs="仿宋"/>
          <w:b/>
          <w:color w:val="000000"/>
          <w:sz w:val="52"/>
        </w:rPr>
      </w:pPr>
    </w:p>
    <w:p w14:paraId="4BBB5F14">
      <w:pPr>
        <w:spacing w:line="240" w:lineRule="atLeast"/>
        <w:ind w:left="1080" w:leftChars="257" w:hanging="540"/>
        <w:jc w:val="center"/>
        <w:rPr>
          <w:rFonts w:ascii="仿宋" w:hAnsi="仿宋" w:eastAsia="仿宋" w:cs="仿宋"/>
          <w:b/>
          <w:color w:val="000000"/>
          <w:sz w:val="52"/>
        </w:rPr>
      </w:pPr>
    </w:p>
    <w:p w14:paraId="5E11C933">
      <w:pPr>
        <w:spacing w:line="240" w:lineRule="atLeast"/>
        <w:ind w:left="1080" w:leftChars="257" w:hanging="540"/>
        <w:jc w:val="center"/>
        <w:rPr>
          <w:rFonts w:ascii="仿宋" w:hAnsi="仿宋" w:eastAsia="仿宋" w:cs="仿宋"/>
          <w:b/>
          <w:color w:val="000000"/>
          <w:sz w:val="52"/>
        </w:rPr>
      </w:pPr>
      <w:r>
        <w:rPr>
          <w:rFonts w:hint="eastAsia" w:ascii="仿宋" w:hAnsi="仿宋" w:eastAsia="仿宋" w:cs="仿宋"/>
          <w:b/>
          <w:color w:val="000000"/>
          <w:sz w:val="52"/>
        </w:rPr>
        <w:t xml:space="preserve">  </w:t>
      </w:r>
    </w:p>
    <w:p w14:paraId="667BF5B6">
      <w:pPr>
        <w:rPr>
          <w:rFonts w:ascii="仿宋" w:hAnsi="仿宋" w:eastAsia="仿宋" w:cs="仿宋"/>
          <w:color w:val="000000"/>
        </w:rPr>
      </w:pPr>
      <w:r>
        <w:rPr>
          <w:rFonts w:hint="eastAsia" w:ascii="仿宋" w:hAnsi="仿宋" w:eastAsia="仿宋" w:cs="仿宋"/>
          <w:b/>
          <w:color w:val="000000"/>
          <w:sz w:val="52"/>
        </w:rPr>
        <w:br w:type="page"/>
      </w:r>
    </w:p>
    <w:bookmarkEnd w:id="518"/>
    <w:p w14:paraId="58FF2947">
      <w:pPr>
        <w:pStyle w:val="3"/>
        <w:tabs>
          <w:tab w:val="left" w:pos="0"/>
        </w:tabs>
        <w:spacing w:before="0" w:after="0" w:line="240" w:lineRule="atLeast"/>
        <w:ind w:firstLine="2570" w:firstLineChars="800"/>
        <w:jc w:val="both"/>
        <w:rPr>
          <w:rFonts w:ascii="仿宋_GB2312" w:eastAsia="仿宋_GB2312"/>
          <w:color w:val="000000"/>
        </w:rPr>
      </w:pPr>
      <w:bookmarkStart w:id="519" w:name="_Toc13031"/>
      <w:bookmarkStart w:id="520" w:name="_Toc32085"/>
      <w:bookmarkStart w:id="521" w:name="_Toc20387"/>
      <w:r>
        <w:rPr>
          <w:rFonts w:hint="eastAsia" w:ascii="仿宋_GB2312" w:eastAsia="仿宋_GB2312"/>
          <w:color w:val="000000"/>
        </w:rPr>
        <w:t>第七章、政府采购合同</w:t>
      </w:r>
      <w:bookmarkEnd w:id="519"/>
      <w:bookmarkEnd w:id="520"/>
      <w:bookmarkEnd w:id="521"/>
    </w:p>
    <w:p w14:paraId="17BA4155">
      <w:pPr>
        <w:spacing w:line="240" w:lineRule="atLeast"/>
        <w:rPr>
          <w:rFonts w:ascii="仿宋_GB2312" w:eastAsia="仿宋_GB2312"/>
          <w:b/>
          <w:color w:val="000000"/>
          <w:kern w:val="44"/>
          <w:sz w:val="32"/>
          <w:szCs w:val="20"/>
        </w:rPr>
      </w:pPr>
    </w:p>
    <w:p w14:paraId="74CDBA69">
      <w:pPr>
        <w:rPr>
          <w:rFonts w:hint="eastAsia" w:ascii="仿宋" w:hAnsi="仿宋" w:eastAsia="仿宋" w:cs="仿宋"/>
          <w:b/>
          <w:color w:val="000000"/>
          <w:sz w:val="28"/>
          <w:szCs w:val="28"/>
        </w:rPr>
      </w:pPr>
      <w:r>
        <w:rPr>
          <w:rFonts w:hint="eastAsia" w:ascii="仿宋" w:hAnsi="仿宋" w:eastAsia="仿宋" w:cs="仿宋"/>
          <w:color w:val="000000"/>
          <w:sz w:val="24"/>
        </w:rPr>
        <w:t>合同编号：</w:t>
      </w:r>
      <w:r>
        <w:rPr>
          <w:rFonts w:hint="eastAsia" w:ascii="仿宋" w:hAnsi="仿宋" w:eastAsia="仿宋" w:cs="仿宋"/>
          <w:color w:val="000000"/>
          <w:sz w:val="24"/>
          <w:u w:val="single"/>
        </w:rPr>
        <w:t xml:space="preserve">           </w:t>
      </w:r>
    </w:p>
    <w:p w14:paraId="2C4559DE">
      <w:pPr>
        <w:spacing w:line="480" w:lineRule="auto"/>
        <w:jc w:val="center"/>
        <w:rPr>
          <w:rFonts w:hint="eastAsia" w:ascii="仿宋" w:hAnsi="仿宋" w:eastAsia="仿宋" w:cs="仿宋"/>
          <w:b/>
          <w:color w:val="000000"/>
          <w:sz w:val="28"/>
          <w:szCs w:val="28"/>
        </w:rPr>
      </w:pPr>
    </w:p>
    <w:p w14:paraId="2C837BD9">
      <w:pPr>
        <w:spacing w:line="480" w:lineRule="auto"/>
        <w:jc w:val="center"/>
        <w:outlineLvl w:val="9"/>
        <w:rPr>
          <w:rFonts w:hint="eastAsia" w:ascii="仿宋" w:hAnsi="仿宋" w:eastAsia="仿宋" w:cs="仿宋"/>
          <w:b/>
          <w:color w:val="000000"/>
          <w:sz w:val="44"/>
          <w:szCs w:val="44"/>
        </w:rPr>
      </w:pPr>
      <w:bookmarkStart w:id="522" w:name="_Toc219"/>
      <w:r>
        <w:rPr>
          <w:rFonts w:hint="eastAsia" w:ascii="仿宋" w:hAnsi="仿宋" w:eastAsia="仿宋" w:cs="仿宋"/>
          <w:b/>
          <w:color w:val="000000"/>
          <w:sz w:val="44"/>
          <w:szCs w:val="44"/>
        </w:rPr>
        <w:t>政府采购合同参考范本</w:t>
      </w:r>
      <w:bookmarkEnd w:id="522"/>
    </w:p>
    <w:p w14:paraId="5B337978">
      <w:pPr>
        <w:spacing w:line="480" w:lineRule="auto"/>
        <w:jc w:val="center"/>
        <w:outlineLvl w:val="9"/>
        <w:rPr>
          <w:rFonts w:hint="eastAsia" w:ascii="仿宋" w:hAnsi="仿宋" w:eastAsia="仿宋" w:cs="仿宋"/>
          <w:b/>
          <w:color w:val="000000"/>
          <w:sz w:val="24"/>
        </w:rPr>
      </w:pPr>
      <w:r>
        <w:rPr>
          <w:rFonts w:hint="eastAsia" w:ascii="仿宋" w:hAnsi="仿宋" w:eastAsia="仿宋" w:cs="仿宋"/>
          <w:b/>
          <w:color w:val="000000"/>
          <w:sz w:val="24"/>
        </w:rPr>
        <w:t>（服务类）</w:t>
      </w:r>
    </w:p>
    <w:p w14:paraId="0F3CA45A">
      <w:pPr>
        <w:pStyle w:val="45"/>
        <w:ind w:firstLine="0"/>
        <w:outlineLvl w:val="9"/>
        <w:rPr>
          <w:rFonts w:hint="eastAsia" w:ascii="仿宋" w:hAnsi="仿宋" w:eastAsia="仿宋" w:cs="仿宋"/>
          <w:color w:val="000000"/>
          <w:szCs w:val="24"/>
        </w:rPr>
      </w:pPr>
    </w:p>
    <w:p w14:paraId="214103F1">
      <w:pPr>
        <w:pStyle w:val="45"/>
        <w:ind w:firstLine="0"/>
        <w:outlineLvl w:val="9"/>
        <w:rPr>
          <w:rFonts w:hint="eastAsia" w:ascii="仿宋" w:hAnsi="仿宋" w:eastAsia="仿宋" w:cs="仿宋"/>
          <w:color w:val="000000"/>
          <w:szCs w:val="24"/>
        </w:rPr>
      </w:pPr>
    </w:p>
    <w:p w14:paraId="7BCB66A9">
      <w:pPr>
        <w:pStyle w:val="45"/>
        <w:ind w:firstLine="0"/>
        <w:outlineLvl w:val="9"/>
        <w:rPr>
          <w:rFonts w:hint="eastAsia" w:ascii="仿宋" w:hAnsi="仿宋" w:eastAsia="仿宋" w:cs="仿宋"/>
          <w:color w:val="000000"/>
          <w:szCs w:val="24"/>
        </w:rPr>
      </w:pPr>
    </w:p>
    <w:p w14:paraId="5C1746FF">
      <w:pPr>
        <w:pStyle w:val="45"/>
        <w:ind w:firstLine="0"/>
        <w:jc w:val="center"/>
        <w:outlineLvl w:val="9"/>
        <w:rPr>
          <w:rFonts w:hint="eastAsia" w:ascii="仿宋" w:hAnsi="仿宋" w:eastAsia="仿宋" w:cs="仿宋"/>
          <w:b/>
          <w:color w:val="000000"/>
          <w:szCs w:val="24"/>
        </w:rPr>
      </w:pPr>
      <w:bookmarkStart w:id="523" w:name="_Toc22340"/>
      <w:r>
        <w:rPr>
          <w:rFonts w:hint="eastAsia" w:ascii="仿宋" w:hAnsi="仿宋" w:eastAsia="仿宋" w:cs="仿宋"/>
          <w:b/>
          <w:color w:val="000000"/>
          <w:szCs w:val="24"/>
        </w:rPr>
        <w:t>第一部分 合同书</w:t>
      </w:r>
      <w:bookmarkEnd w:id="523"/>
    </w:p>
    <w:p w14:paraId="699FDAF5">
      <w:pPr>
        <w:pStyle w:val="45"/>
        <w:ind w:firstLine="0"/>
        <w:rPr>
          <w:rFonts w:hint="eastAsia" w:ascii="仿宋" w:hAnsi="仿宋" w:eastAsia="仿宋" w:cs="仿宋"/>
          <w:color w:val="000000"/>
          <w:szCs w:val="24"/>
        </w:rPr>
      </w:pPr>
    </w:p>
    <w:p w14:paraId="3D9557DC">
      <w:pPr>
        <w:pStyle w:val="45"/>
        <w:ind w:firstLine="0"/>
        <w:rPr>
          <w:rFonts w:hint="eastAsia" w:ascii="仿宋" w:hAnsi="仿宋" w:eastAsia="仿宋" w:cs="仿宋"/>
          <w:color w:val="000000"/>
          <w:szCs w:val="24"/>
        </w:rPr>
      </w:pPr>
    </w:p>
    <w:p w14:paraId="6E1CFD7F">
      <w:pPr>
        <w:spacing w:before="120" w:line="22" w:lineRule="atLeast"/>
        <w:rPr>
          <w:rFonts w:hint="eastAsia" w:ascii="仿宋" w:hAnsi="仿宋" w:eastAsia="仿宋" w:cs="仿宋"/>
          <w:color w:val="000000"/>
          <w:sz w:val="24"/>
        </w:rPr>
      </w:pPr>
    </w:p>
    <w:p w14:paraId="71E888A1">
      <w:pPr>
        <w:spacing w:before="120" w:line="22" w:lineRule="atLeast"/>
        <w:ind w:left="96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p>
    <w:p w14:paraId="07B2BCFF">
      <w:pPr>
        <w:pStyle w:val="46"/>
        <w:spacing w:before="120" w:line="22" w:lineRule="atLeast"/>
        <w:rPr>
          <w:rFonts w:hint="eastAsia" w:ascii="仿宋" w:hAnsi="仿宋" w:eastAsia="仿宋" w:cs="仿宋"/>
          <w:color w:val="000000"/>
          <w:szCs w:val="24"/>
        </w:rPr>
      </w:pPr>
    </w:p>
    <w:p w14:paraId="44D0196D">
      <w:pPr>
        <w:pStyle w:val="46"/>
        <w:spacing w:before="120" w:line="22" w:lineRule="atLeast"/>
        <w:rPr>
          <w:rFonts w:hint="eastAsia" w:ascii="仿宋" w:hAnsi="仿宋" w:eastAsia="仿宋" w:cs="仿宋"/>
          <w:color w:val="000000"/>
          <w:szCs w:val="24"/>
        </w:rPr>
      </w:pPr>
    </w:p>
    <w:p w14:paraId="221AEA10">
      <w:pPr>
        <w:rPr>
          <w:rFonts w:hint="eastAsia" w:ascii="仿宋" w:hAnsi="仿宋" w:eastAsia="仿宋" w:cs="仿宋"/>
          <w:color w:val="000000"/>
        </w:rPr>
      </w:pPr>
    </w:p>
    <w:p w14:paraId="2AD92A73">
      <w:pPr>
        <w:pStyle w:val="2"/>
        <w:rPr>
          <w:rFonts w:hint="eastAsia" w:ascii="仿宋" w:hAnsi="仿宋" w:eastAsia="仿宋" w:cs="仿宋"/>
          <w:color w:val="000000"/>
        </w:rPr>
      </w:pPr>
    </w:p>
    <w:p w14:paraId="0B24DE93">
      <w:pPr>
        <w:rPr>
          <w:rFonts w:hint="eastAsia" w:ascii="仿宋" w:hAnsi="仿宋" w:eastAsia="仿宋" w:cs="仿宋"/>
          <w:color w:val="000000"/>
        </w:rPr>
      </w:pPr>
    </w:p>
    <w:p w14:paraId="2AB73DCB">
      <w:pPr>
        <w:pStyle w:val="2"/>
        <w:rPr>
          <w:rFonts w:hint="eastAsia" w:ascii="仿宋" w:hAnsi="仿宋" w:eastAsia="仿宋" w:cs="仿宋"/>
          <w:color w:val="000000"/>
        </w:rPr>
      </w:pPr>
    </w:p>
    <w:p w14:paraId="334DA864">
      <w:pPr>
        <w:rPr>
          <w:rFonts w:hint="eastAsia" w:ascii="仿宋" w:hAnsi="仿宋" w:eastAsia="仿宋" w:cs="仿宋"/>
          <w:color w:val="000000"/>
        </w:rPr>
      </w:pPr>
    </w:p>
    <w:p w14:paraId="06BE1CEF">
      <w:pPr>
        <w:pStyle w:val="2"/>
        <w:rPr>
          <w:rFonts w:hint="eastAsia" w:ascii="仿宋" w:hAnsi="仿宋" w:eastAsia="仿宋" w:cs="仿宋"/>
          <w:color w:val="000000"/>
        </w:rPr>
      </w:pPr>
    </w:p>
    <w:p w14:paraId="11BE73CD">
      <w:pPr>
        <w:rPr>
          <w:rFonts w:hint="eastAsia" w:ascii="仿宋" w:hAnsi="仿宋" w:eastAsia="仿宋" w:cs="仿宋"/>
          <w:color w:val="000000"/>
        </w:rPr>
      </w:pPr>
    </w:p>
    <w:p w14:paraId="2630FB5D">
      <w:pPr>
        <w:pStyle w:val="2"/>
        <w:rPr>
          <w:rFonts w:hint="eastAsia" w:ascii="仿宋" w:hAnsi="仿宋" w:eastAsia="仿宋" w:cs="仿宋"/>
          <w:color w:val="000000"/>
        </w:rPr>
      </w:pPr>
    </w:p>
    <w:p w14:paraId="19E1710F">
      <w:pPr>
        <w:spacing w:before="120" w:line="22" w:lineRule="atLeast"/>
        <w:ind w:left="960"/>
        <w:rPr>
          <w:rFonts w:hint="eastAsia" w:ascii="仿宋" w:hAnsi="仿宋" w:eastAsia="仿宋" w:cs="仿宋"/>
          <w:color w:val="000000"/>
          <w:sz w:val="24"/>
          <w:u w:val="single"/>
        </w:rPr>
      </w:pPr>
      <w:r>
        <w:rPr>
          <w:rFonts w:hint="eastAsia" w:ascii="仿宋" w:hAnsi="仿宋" w:eastAsia="仿宋" w:cs="仿宋"/>
          <w:color w:val="000000"/>
          <w:sz w:val="24"/>
        </w:rPr>
        <w:t>甲方：</w:t>
      </w:r>
      <w:r>
        <w:rPr>
          <w:rFonts w:hint="eastAsia" w:ascii="仿宋" w:hAnsi="仿宋" w:eastAsia="仿宋" w:cs="仿宋"/>
          <w:color w:val="000000"/>
          <w:sz w:val="24"/>
          <w:u w:val="single"/>
        </w:rPr>
        <w:t xml:space="preserve">                                       </w:t>
      </w:r>
    </w:p>
    <w:p w14:paraId="333A196D">
      <w:pPr>
        <w:spacing w:before="120" w:line="22" w:lineRule="atLeast"/>
        <w:rPr>
          <w:rFonts w:hint="eastAsia" w:ascii="仿宋" w:hAnsi="仿宋" w:eastAsia="仿宋" w:cs="仿宋"/>
          <w:color w:val="000000"/>
          <w:sz w:val="24"/>
        </w:rPr>
      </w:pPr>
    </w:p>
    <w:p w14:paraId="1D0F4332">
      <w:pPr>
        <w:spacing w:before="120" w:line="22" w:lineRule="atLeast"/>
        <w:ind w:left="960"/>
        <w:rPr>
          <w:rFonts w:hint="eastAsia" w:ascii="仿宋" w:hAnsi="仿宋" w:eastAsia="仿宋" w:cs="仿宋"/>
          <w:color w:val="000000"/>
          <w:sz w:val="24"/>
          <w:u w:val="single"/>
        </w:rPr>
      </w:pPr>
      <w:r>
        <w:rPr>
          <w:rFonts w:hint="eastAsia" w:ascii="仿宋" w:hAnsi="仿宋" w:eastAsia="仿宋" w:cs="仿宋"/>
          <w:color w:val="000000"/>
          <w:sz w:val="24"/>
        </w:rPr>
        <w:t>乙方：</w:t>
      </w:r>
      <w:r>
        <w:rPr>
          <w:rFonts w:hint="eastAsia" w:ascii="仿宋" w:hAnsi="仿宋" w:eastAsia="仿宋" w:cs="仿宋"/>
          <w:color w:val="000000"/>
          <w:sz w:val="24"/>
          <w:u w:val="single"/>
        </w:rPr>
        <w:t xml:space="preserve">                                       </w:t>
      </w:r>
    </w:p>
    <w:p w14:paraId="7AD8479D">
      <w:pPr>
        <w:spacing w:before="120" w:line="22" w:lineRule="atLeast"/>
        <w:rPr>
          <w:rFonts w:hint="eastAsia" w:ascii="仿宋" w:hAnsi="仿宋" w:eastAsia="仿宋" w:cs="仿宋"/>
          <w:color w:val="000000"/>
          <w:sz w:val="24"/>
        </w:rPr>
      </w:pPr>
    </w:p>
    <w:p w14:paraId="267C180F">
      <w:pPr>
        <w:spacing w:before="120" w:line="22" w:lineRule="atLeast"/>
        <w:ind w:firstLine="960" w:firstLineChars="400"/>
        <w:rPr>
          <w:rFonts w:hint="eastAsia" w:ascii="仿宋" w:hAnsi="仿宋" w:eastAsia="仿宋" w:cs="仿宋"/>
          <w:color w:val="000000"/>
          <w:sz w:val="24"/>
          <w:u w:val="single"/>
        </w:rPr>
      </w:pPr>
      <w:r>
        <w:rPr>
          <w:rFonts w:hint="eastAsia" w:ascii="仿宋" w:hAnsi="仿宋" w:eastAsia="仿宋" w:cs="仿宋"/>
          <w:color w:val="000000"/>
          <w:sz w:val="24"/>
        </w:rPr>
        <w:t>签订地：</w:t>
      </w:r>
      <w:r>
        <w:rPr>
          <w:rFonts w:hint="eastAsia" w:ascii="仿宋" w:hAnsi="仿宋" w:eastAsia="仿宋" w:cs="仿宋"/>
          <w:color w:val="000000"/>
          <w:sz w:val="24"/>
          <w:u w:val="single"/>
        </w:rPr>
        <w:t xml:space="preserve">                                     </w:t>
      </w:r>
    </w:p>
    <w:p w14:paraId="319ADAEB">
      <w:pPr>
        <w:spacing w:before="120" w:line="22" w:lineRule="atLeast"/>
        <w:rPr>
          <w:rFonts w:hint="eastAsia" w:ascii="仿宋" w:hAnsi="仿宋" w:eastAsia="仿宋" w:cs="仿宋"/>
          <w:color w:val="000000"/>
          <w:sz w:val="24"/>
        </w:rPr>
      </w:pPr>
    </w:p>
    <w:p w14:paraId="77852FC9">
      <w:pPr>
        <w:spacing w:before="120" w:line="22" w:lineRule="atLeast"/>
        <w:ind w:firstLine="960" w:firstLineChars="400"/>
        <w:rPr>
          <w:rFonts w:hint="eastAsia" w:ascii="仿宋" w:hAnsi="仿宋" w:eastAsia="仿宋" w:cs="仿宋"/>
          <w:color w:val="000000"/>
          <w:sz w:val="24"/>
          <w:u w:val="single"/>
        </w:rPr>
      </w:pPr>
      <w:r>
        <w:rPr>
          <w:rFonts w:hint="eastAsia" w:ascii="仿宋" w:hAnsi="仿宋" w:eastAsia="仿宋" w:cs="仿宋"/>
          <w:color w:val="000000"/>
          <w:sz w:val="24"/>
        </w:rPr>
        <w:t>签订日期：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4F76444">
      <w:pPr>
        <w:autoSpaceDE w:val="0"/>
        <w:autoSpaceDN w:val="0"/>
        <w:adjustRightInd w:val="0"/>
        <w:spacing w:line="600" w:lineRule="exact"/>
        <w:ind w:firstLine="640"/>
        <w:jc w:val="center"/>
        <w:rPr>
          <w:rFonts w:hint="eastAsia" w:ascii="仿宋" w:hAnsi="仿宋" w:eastAsia="仿宋" w:cs="仿宋"/>
          <w:color w:val="000000"/>
          <w:sz w:val="24"/>
        </w:rPr>
        <w:sectPr>
          <w:headerReference r:id="rId9" w:type="default"/>
          <w:footerReference r:id="rId10" w:type="default"/>
          <w:pgSz w:w="11907" w:h="16840"/>
          <w:pgMar w:top="1440" w:right="1797" w:bottom="1440" w:left="1797" w:header="851" w:footer="851" w:gutter="0"/>
          <w:pgNumType w:fmt="decimal"/>
          <w:cols w:space="720" w:num="1"/>
          <w:docGrid w:linePitch="462" w:charSpace="0"/>
        </w:sectPr>
      </w:pPr>
    </w:p>
    <w:p w14:paraId="2690393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年</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月</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日</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（采购人名称）   </w:t>
      </w:r>
      <w:r>
        <w:rPr>
          <w:rFonts w:hint="eastAsia" w:ascii="仿宋" w:hAnsi="仿宋" w:eastAsia="仿宋" w:cs="仿宋"/>
          <w:color w:val="000000"/>
          <w:sz w:val="24"/>
        </w:rPr>
        <w:t>以</w:t>
      </w:r>
      <w:r>
        <w:rPr>
          <w:rFonts w:hint="eastAsia" w:ascii="仿宋" w:hAnsi="仿宋" w:eastAsia="仿宋" w:cs="仿宋"/>
          <w:color w:val="000000"/>
          <w:sz w:val="24"/>
          <w:u w:val="single"/>
        </w:rPr>
        <w:t xml:space="preserve">   （政府采购方式）  </w:t>
      </w:r>
      <w:r>
        <w:rPr>
          <w:rFonts w:hint="eastAsia" w:ascii="仿宋" w:hAnsi="仿宋" w:eastAsia="仿宋" w:cs="仿宋"/>
          <w:color w:val="000000"/>
          <w:sz w:val="24"/>
        </w:rPr>
        <w:t>对</w:t>
      </w:r>
      <w:r>
        <w:rPr>
          <w:rFonts w:hint="eastAsia" w:ascii="仿宋" w:hAnsi="仿宋" w:eastAsia="仿宋" w:cs="仿宋"/>
          <w:color w:val="000000"/>
          <w:sz w:val="24"/>
          <w:u w:val="single"/>
        </w:rPr>
        <w:t xml:space="preserve">   （同前页项目名称）   </w:t>
      </w:r>
      <w:r>
        <w:rPr>
          <w:rFonts w:hint="eastAsia" w:ascii="仿宋" w:hAnsi="仿宋" w:eastAsia="仿宋" w:cs="仿宋"/>
          <w:color w:val="000000"/>
          <w:sz w:val="24"/>
        </w:rPr>
        <w:t>项目进行了采购。经</w:t>
      </w:r>
      <w:r>
        <w:rPr>
          <w:rFonts w:hint="eastAsia" w:ascii="仿宋" w:hAnsi="仿宋" w:eastAsia="仿宋" w:cs="仿宋"/>
          <w:color w:val="000000"/>
          <w:sz w:val="24"/>
          <w:u w:val="single"/>
        </w:rPr>
        <w:t xml:space="preserve">   （相关评定主体名称）   </w:t>
      </w:r>
      <w:r>
        <w:rPr>
          <w:rFonts w:hint="eastAsia" w:ascii="仿宋" w:hAnsi="仿宋" w:eastAsia="仿宋" w:cs="仿宋"/>
          <w:color w:val="000000"/>
          <w:sz w:val="24"/>
        </w:rPr>
        <w:t>评定，</w:t>
      </w:r>
      <w:r>
        <w:rPr>
          <w:rFonts w:hint="eastAsia" w:ascii="仿宋" w:hAnsi="仿宋" w:eastAsia="仿宋" w:cs="仿宋"/>
          <w:color w:val="000000"/>
          <w:sz w:val="24"/>
          <w:u w:val="single"/>
        </w:rPr>
        <w:t xml:space="preserve">   （中标供应商名称） </w:t>
      </w:r>
      <w:r>
        <w:rPr>
          <w:rFonts w:hint="eastAsia" w:ascii="仿宋" w:hAnsi="仿宋" w:eastAsia="仿宋" w:cs="仿宋"/>
          <w:color w:val="000000"/>
          <w:sz w:val="24"/>
        </w:rPr>
        <w:t>为该项目中标供应商。现于中标通知书发出之日起三十日内，按照采购文件确定的事项签订本合同。</w:t>
      </w:r>
    </w:p>
    <w:p w14:paraId="396BEF9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000000"/>
          <w:sz w:val="24"/>
          <w:u w:val="single"/>
        </w:rPr>
        <w:t xml:space="preserve">   （采购人名称）   </w:t>
      </w:r>
      <w:r>
        <w:rPr>
          <w:rFonts w:hint="eastAsia" w:ascii="仿宋" w:hAnsi="仿宋" w:eastAsia="仿宋" w:cs="仿宋"/>
          <w:color w:val="000000"/>
          <w:sz w:val="24"/>
          <w:lang w:val="zh-CN"/>
        </w:rPr>
        <w:t>(以下简称：甲方)和</w:t>
      </w:r>
      <w:r>
        <w:rPr>
          <w:rFonts w:hint="eastAsia" w:ascii="仿宋" w:hAnsi="仿宋" w:eastAsia="仿宋" w:cs="仿宋"/>
          <w:color w:val="000000"/>
          <w:sz w:val="24"/>
          <w:u w:val="single"/>
        </w:rPr>
        <w:t xml:space="preserve">   （中标供应商名称）   </w:t>
      </w:r>
      <w:r>
        <w:rPr>
          <w:rFonts w:hint="eastAsia" w:ascii="仿宋" w:hAnsi="仿宋" w:eastAsia="仿宋" w:cs="仿宋"/>
          <w:color w:val="000000"/>
          <w:sz w:val="24"/>
          <w:lang w:val="zh-CN"/>
        </w:rPr>
        <w:t>(以下简称：乙方)协商一致，约定以下合同</w:t>
      </w:r>
      <w:r>
        <w:rPr>
          <w:rFonts w:hint="eastAsia" w:ascii="仿宋" w:hAnsi="仿宋" w:eastAsia="仿宋" w:cs="仿宋"/>
          <w:color w:val="000000"/>
          <w:sz w:val="24"/>
        </w:rPr>
        <w:t>条款，以兹共同遵守、全面履行。</w:t>
      </w:r>
    </w:p>
    <w:p w14:paraId="7BB85D43">
      <w:pPr>
        <w:spacing w:line="560" w:lineRule="exact"/>
        <w:ind w:firstLine="482" w:firstLineChars="200"/>
        <w:outlineLvl w:val="0"/>
        <w:rPr>
          <w:rFonts w:hint="eastAsia" w:ascii="仿宋" w:hAnsi="仿宋" w:eastAsia="仿宋" w:cs="仿宋"/>
          <w:color w:val="000000"/>
          <w:sz w:val="24"/>
        </w:rPr>
      </w:pPr>
      <w:bookmarkStart w:id="524" w:name="_Toc7135"/>
      <w:r>
        <w:rPr>
          <w:rFonts w:hint="eastAsia" w:ascii="仿宋" w:hAnsi="仿宋" w:eastAsia="仿宋" w:cs="仿宋"/>
          <w:b/>
          <w:color w:val="000000"/>
          <w:sz w:val="24"/>
        </w:rPr>
        <w:t>1.1 合同组成部分</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24"/>
    </w:p>
    <w:p w14:paraId="145F21F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5DE331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1.1.1 本合同及其补充合同、变更协议；</w:t>
      </w:r>
    </w:p>
    <w:p w14:paraId="198866B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1.1.2 中标通知书；</w:t>
      </w:r>
    </w:p>
    <w:p w14:paraId="2439CEC4">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1.1.3 投标文件（含澄清或者说明文件）；</w:t>
      </w:r>
    </w:p>
    <w:p w14:paraId="13EDBF6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1.1.4 招标文件（含澄清或者修改文件）；</w:t>
      </w:r>
    </w:p>
    <w:p w14:paraId="0BEC6A5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1.1.5 其他相关采购文件。</w:t>
      </w:r>
    </w:p>
    <w:p w14:paraId="1E29E51A">
      <w:pPr>
        <w:spacing w:line="560" w:lineRule="exact"/>
        <w:ind w:firstLine="482" w:firstLineChars="200"/>
        <w:outlineLvl w:val="0"/>
        <w:rPr>
          <w:rFonts w:hint="eastAsia" w:ascii="仿宋" w:hAnsi="仿宋" w:eastAsia="仿宋" w:cs="仿宋"/>
          <w:b/>
          <w:color w:val="000000"/>
          <w:sz w:val="24"/>
        </w:rPr>
      </w:pPr>
      <w:bookmarkStart w:id="525" w:name="_Toc6436"/>
      <w:bookmarkStart w:id="526" w:name="_Toc6773"/>
      <w:bookmarkStart w:id="527" w:name="_Toc32174"/>
      <w:bookmarkStart w:id="528" w:name="_Toc6311"/>
      <w:bookmarkStart w:id="529" w:name="_Toc17347"/>
      <w:bookmarkStart w:id="530" w:name="_Toc10448"/>
      <w:bookmarkStart w:id="531" w:name="_Toc28816"/>
      <w:bookmarkStart w:id="532" w:name="_Toc2952"/>
      <w:bookmarkStart w:id="533" w:name="_Toc25044"/>
      <w:bookmarkStart w:id="534" w:name="_Toc26396"/>
      <w:bookmarkStart w:id="535" w:name="_Toc2126"/>
      <w:bookmarkStart w:id="536" w:name="_Toc2918"/>
      <w:bookmarkStart w:id="537" w:name="_Toc22185"/>
      <w:bookmarkStart w:id="538" w:name="_Toc20068"/>
      <w:bookmarkStart w:id="539" w:name="_Toc8315"/>
      <w:bookmarkStart w:id="540" w:name="_Toc3865"/>
      <w:bookmarkStart w:id="541" w:name="_Toc18585"/>
      <w:bookmarkStart w:id="542" w:name="_Toc24508"/>
      <w:r>
        <w:rPr>
          <w:rFonts w:hint="eastAsia" w:ascii="仿宋" w:hAnsi="仿宋" w:eastAsia="仿宋" w:cs="仿宋"/>
          <w:b/>
          <w:color w:val="000000"/>
          <w:sz w:val="24"/>
        </w:rPr>
        <w:t>1.2 标的</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AF0584E">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1.2.1 标的名称：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47FA5DA6">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1.2.2 标的数量：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BA04D1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1.2.3 标的质量：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77C03DA">
      <w:pPr>
        <w:spacing w:line="560" w:lineRule="exact"/>
        <w:ind w:firstLine="482" w:firstLineChars="200"/>
        <w:outlineLvl w:val="0"/>
        <w:rPr>
          <w:rFonts w:hint="eastAsia" w:ascii="仿宋" w:hAnsi="仿宋" w:eastAsia="仿宋" w:cs="仿宋"/>
          <w:b/>
          <w:color w:val="000000"/>
          <w:sz w:val="24"/>
        </w:rPr>
      </w:pPr>
      <w:bookmarkStart w:id="543" w:name="_Toc5635"/>
      <w:bookmarkStart w:id="544" w:name="_Toc29973"/>
      <w:bookmarkStart w:id="545" w:name="_Toc1386"/>
      <w:bookmarkStart w:id="546" w:name="_Toc1907"/>
      <w:bookmarkStart w:id="547" w:name="_Toc23521"/>
      <w:bookmarkStart w:id="548" w:name="_Toc32081"/>
      <w:bookmarkStart w:id="549" w:name="_Toc17464"/>
      <w:bookmarkStart w:id="550" w:name="_Toc21124"/>
      <w:bookmarkStart w:id="551" w:name="_Toc9286"/>
      <w:bookmarkStart w:id="552" w:name="_Toc7426"/>
      <w:bookmarkStart w:id="553" w:name="_Toc4929"/>
      <w:bookmarkStart w:id="554" w:name="_Toc25479"/>
      <w:bookmarkStart w:id="555" w:name="_Toc14904"/>
      <w:bookmarkStart w:id="556" w:name="_Toc13918"/>
      <w:bookmarkStart w:id="557" w:name="_Toc7998"/>
      <w:bookmarkStart w:id="558" w:name="_Toc15232"/>
      <w:bookmarkStart w:id="559" w:name="_Toc28004"/>
      <w:bookmarkStart w:id="560" w:name="_Toc8258"/>
      <w:bookmarkStart w:id="561" w:name="_Toc21306"/>
      <w:r>
        <w:rPr>
          <w:rFonts w:hint="eastAsia" w:ascii="仿宋" w:hAnsi="仿宋" w:eastAsia="仿宋" w:cs="仿宋"/>
          <w:b/>
          <w:color w:val="000000"/>
          <w:sz w:val="24"/>
        </w:rPr>
        <w:t>1.3 价款</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227E8A9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本合同总价为：￥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元人民币）。</w:t>
      </w:r>
    </w:p>
    <w:p w14:paraId="5BE17829">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分项价格：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0CA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396277">
            <w:pPr>
              <w:pStyle w:val="47"/>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vAlign w:val="center"/>
          </w:tcPr>
          <w:p w14:paraId="530069A5">
            <w:pPr>
              <w:pStyle w:val="47"/>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分项名称</w:t>
            </w:r>
          </w:p>
        </w:tc>
        <w:tc>
          <w:tcPr>
            <w:tcW w:w="2552" w:type="dxa"/>
            <w:vAlign w:val="center"/>
          </w:tcPr>
          <w:p w14:paraId="23B8D58C">
            <w:pPr>
              <w:pStyle w:val="47"/>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分项价格</w:t>
            </w:r>
          </w:p>
        </w:tc>
      </w:tr>
      <w:tr w14:paraId="0E0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91CB65">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25C5BAB1">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75C3374E">
            <w:pPr>
              <w:pStyle w:val="47"/>
              <w:spacing w:line="560" w:lineRule="exact"/>
              <w:ind w:firstLine="200"/>
              <w:jc w:val="center"/>
              <w:rPr>
                <w:rFonts w:hint="eastAsia" w:ascii="仿宋" w:hAnsi="仿宋" w:eastAsia="仿宋" w:cs="仿宋"/>
                <w:color w:val="000000"/>
                <w:kern w:val="2"/>
                <w:sz w:val="24"/>
                <w:szCs w:val="24"/>
              </w:rPr>
            </w:pPr>
          </w:p>
        </w:tc>
      </w:tr>
      <w:tr w14:paraId="64A0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25AA95">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780F5E7E">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0CDBF0EC">
            <w:pPr>
              <w:pStyle w:val="47"/>
              <w:spacing w:line="560" w:lineRule="exact"/>
              <w:ind w:firstLine="200"/>
              <w:jc w:val="center"/>
              <w:rPr>
                <w:rFonts w:hint="eastAsia" w:ascii="仿宋" w:hAnsi="仿宋" w:eastAsia="仿宋" w:cs="仿宋"/>
                <w:color w:val="000000"/>
                <w:kern w:val="2"/>
                <w:sz w:val="24"/>
                <w:szCs w:val="24"/>
              </w:rPr>
            </w:pPr>
          </w:p>
        </w:tc>
      </w:tr>
      <w:tr w14:paraId="551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9D8C4F3">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1E0CD015">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2ADA04E8">
            <w:pPr>
              <w:pStyle w:val="47"/>
              <w:spacing w:line="560" w:lineRule="exact"/>
              <w:ind w:firstLine="200"/>
              <w:jc w:val="center"/>
              <w:rPr>
                <w:rFonts w:hint="eastAsia" w:ascii="仿宋" w:hAnsi="仿宋" w:eastAsia="仿宋" w:cs="仿宋"/>
                <w:color w:val="000000"/>
                <w:kern w:val="2"/>
                <w:sz w:val="24"/>
                <w:szCs w:val="24"/>
              </w:rPr>
            </w:pPr>
          </w:p>
        </w:tc>
      </w:tr>
      <w:tr w14:paraId="4B8C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D96D22">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5D1CCAC4">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79677394">
            <w:pPr>
              <w:pStyle w:val="47"/>
              <w:spacing w:line="560" w:lineRule="exact"/>
              <w:ind w:firstLine="200"/>
              <w:jc w:val="center"/>
              <w:rPr>
                <w:rFonts w:hint="eastAsia" w:ascii="仿宋" w:hAnsi="仿宋" w:eastAsia="仿宋" w:cs="仿宋"/>
                <w:color w:val="000000"/>
                <w:kern w:val="2"/>
                <w:sz w:val="24"/>
                <w:szCs w:val="24"/>
              </w:rPr>
            </w:pPr>
          </w:p>
        </w:tc>
      </w:tr>
      <w:tr w14:paraId="5775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DAD726A">
            <w:pPr>
              <w:pStyle w:val="47"/>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vAlign w:val="center"/>
          </w:tcPr>
          <w:p w14:paraId="27A96681">
            <w:pPr>
              <w:pStyle w:val="47"/>
              <w:spacing w:line="560" w:lineRule="exact"/>
              <w:ind w:firstLine="200"/>
              <w:jc w:val="center"/>
              <w:rPr>
                <w:rFonts w:hint="eastAsia" w:ascii="仿宋" w:hAnsi="仿宋" w:eastAsia="仿宋" w:cs="仿宋"/>
                <w:color w:val="000000"/>
                <w:kern w:val="2"/>
                <w:sz w:val="24"/>
                <w:szCs w:val="24"/>
              </w:rPr>
            </w:pPr>
          </w:p>
        </w:tc>
      </w:tr>
    </w:tbl>
    <w:p w14:paraId="228ABA61">
      <w:pPr>
        <w:spacing w:line="560" w:lineRule="exact"/>
        <w:ind w:firstLine="482" w:firstLineChars="200"/>
        <w:outlineLvl w:val="0"/>
        <w:rPr>
          <w:rFonts w:hint="eastAsia" w:ascii="仿宋" w:hAnsi="仿宋" w:eastAsia="仿宋" w:cs="仿宋"/>
          <w:b/>
          <w:color w:val="000000"/>
          <w:sz w:val="24"/>
        </w:rPr>
      </w:pPr>
      <w:bookmarkStart w:id="562" w:name="_Toc10179"/>
      <w:bookmarkStart w:id="563" w:name="_Toc24840"/>
      <w:bookmarkStart w:id="564" w:name="_Toc26916"/>
      <w:bookmarkStart w:id="565" w:name="_Toc8731"/>
      <w:bookmarkStart w:id="566" w:name="_Toc30506"/>
      <w:bookmarkStart w:id="567" w:name="_Toc6957"/>
      <w:bookmarkStart w:id="568" w:name="_Toc17801"/>
      <w:bookmarkStart w:id="569" w:name="_Toc3654"/>
      <w:bookmarkStart w:id="570" w:name="_Toc15526"/>
      <w:bookmarkStart w:id="571" w:name="_Toc18649"/>
      <w:bookmarkStart w:id="572" w:name="_Toc16327"/>
      <w:bookmarkStart w:id="573" w:name="_Toc7708"/>
      <w:bookmarkStart w:id="574" w:name="_Toc30158"/>
      <w:bookmarkStart w:id="575" w:name="_Toc16215"/>
      <w:bookmarkStart w:id="576" w:name="_Toc14993"/>
      <w:bookmarkStart w:id="577" w:name="_Toc11457"/>
      <w:bookmarkStart w:id="578" w:name="_Toc27719"/>
      <w:bookmarkStart w:id="579" w:name="_Toc31356"/>
      <w:r>
        <w:rPr>
          <w:rFonts w:hint="eastAsia" w:ascii="仿宋" w:hAnsi="仿宋" w:eastAsia="仿宋" w:cs="仿宋"/>
          <w:b/>
          <w:color w:val="000000"/>
          <w:sz w:val="24"/>
        </w:rPr>
        <w:t>1.4 付款方式和发票开具方式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46D882E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1.4.1付款方式：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8064ED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1.4.2 发票开具方式：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536B3178">
      <w:pPr>
        <w:spacing w:line="560" w:lineRule="exact"/>
        <w:ind w:firstLine="482" w:firstLineChars="200"/>
        <w:outlineLvl w:val="0"/>
        <w:rPr>
          <w:rFonts w:hint="eastAsia" w:ascii="仿宋" w:hAnsi="仿宋" w:eastAsia="仿宋" w:cs="仿宋"/>
          <w:b/>
          <w:color w:val="000000"/>
          <w:sz w:val="24"/>
        </w:rPr>
      </w:pPr>
      <w:bookmarkStart w:id="580" w:name="_Toc26346"/>
      <w:bookmarkStart w:id="581" w:name="_Toc22227"/>
      <w:bookmarkStart w:id="582" w:name="_Toc7520"/>
      <w:bookmarkStart w:id="583" w:name="_Toc15887"/>
      <w:bookmarkStart w:id="584" w:name="_Toc15388"/>
      <w:bookmarkStart w:id="585" w:name="_Toc3625"/>
      <w:bookmarkStart w:id="586" w:name="_Toc11108"/>
      <w:bookmarkStart w:id="587" w:name="_Toc3879"/>
      <w:bookmarkStart w:id="588" w:name="_Toc3871"/>
      <w:bookmarkStart w:id="589" w:name="_Toc22503"/>
      <w:bookmarkStart w:id="590" w:name="_Toc29323"/>
      <w:bookmarkStart w:id="591" w:name="_Toc10307"/>
      <w:bookmarkStart w:id="592" w:name="_Toc16274"/>
      <w:bookmarkStart w:id="593" w:name="_Toc25024"/>
      <w:bookmarkStart w:id="594" w:name="_Toc31421"/>
      <w:bookmarkStart w:id="595" w:name="_Toc18095"/>
      <w:bookmarkStart w:id="596" w:name="_Toc6546"/>
      <w:bookmarkStart w:id="597" w:name="_Toc4760"/>
      <w:r>
        <w:rPr>
          <w:rFonts w:hint="eastAsia" w:ascii="仿宋" w:hAnsi="仿宋" w:eastAsia="仿宋" w:cs="仿宋"/>
          <w:b/>
          <w:color w:val="000000"/>
          <w:sz w:val="24"/>
        </w:rPr>
        <w:t>1.5 履行期限、地点和方式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556555FB">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1.5.1 履行期限：</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8F10D2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1.5.2 履行地点：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D4CB17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1.5.3 履行方式：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4650AB7">
      <w:pPr>
        <w:spacing w:line="560" w:lineRule="exact"/>
        <w:ind w:firstLine="482" w:firstLineChars="200"/>
        <w:outlineLvl w:val="0"/>
        <w:rPr>
          <w:rFonts w:hint="eastAsia" w:ascii="仿宋" w:hAnsi="仿宋" w:eastAsia="仿宋" w:cs="仿宋"/>
          <w:color w:val="000000"/>
          <w:sz w:val="24"/>
          <w:u w:val="single"/>
        </w:rPr>
      </w:pPr>
      <w:bookmarkStart w:id="598" w:name="_Toc2375"/>
      <w:bookmarkStart w:id="599" w:name="_Toc11259"/>
      <w:bookmarkStart w:id="600" w:name="_Toc29075"/>
      <w:bookmarkStart w:id="601" w:name="_Toc5698"/>
      <w:bookmarkStart w:id="602" w:name="_Toc6980"/>
      <w:bookmarkStart w:id="603" w:name="_Toc15847"/>
      <w:bookmarkStart w:id="604" w:name="_Toc30788"/>
      <w:bookmarkStart w:id="605" w:name="_Toc10482"/>
      <w:bookmarkStart w:id="606" w:name="_Toc3079"/>
      <w:bookmarkStart w:id="607" w:name="_Toc18434"/>
      <w:bookmarkStart w:id="608" w:name="_Toc5997"/>
      <w:bookmarkStart w:id="609" w:name="_Toc9199"/>
      <w:bookmarkStart w:id="610" w:name="_Toc8586"/>
      <w:bookmarkStart w:id="611" w:name="_Toc11726"/>
      <w:bookmarkStart w:id="612" w:name="_Toc31071"/>
      <w:bookmarkStart w:id="613" w:name="_Toc24662"/>
      <w:bookmarkStart w:id="614" w:name="_Toc8176"/>
      <w:bookmarkStart w:id="615" w:name="_Toc7843"/>
      <w:bookmarkStart w:id="616" w:name="_Toc11834"/>
      <w:r>
        <w:rPr>
          <w:rFonts w:hint="eastAsia" w:ascii="仿宋" w:hAnsi="仿宋" w:eastAsia="仿宋" w:cs="仿宋"/>
          <w:b/>
          <w:color w:val="000000"/>
          <w:sz w:val="24"/>
        </w:rPr>
        <w:t>1.6 违约责任</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B83CED9">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%计算，最高限额为本合同总价的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%；迟延履行的违约金计算数额达到前述最高限额之日起，甲方有权在要求乙方支付违约金的同时，书面通知乙方解除本合同；</w:t>
      </w:r>
    </w:p>
    <w:p w14:paraId="7976FFA7">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%计算，最高限额为本合同总价的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%；迟延付款的违约金计算数额达到前述最高限额之日起，乙方有权在要求甲方支付违约金的同时，书面通知甲方解除本合同；</w:t>
      </w:r>
    </w:p>
    <w:p w14:paraId="55B94E8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01B539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3EC07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9709734">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14:paraId="282BFE11">
      <w:pPr>
        <w:spacing w:line="560" w:lineRule="exact"/>
        <w:ind w:firstLine="482" w:firstLineChars="200"/>
        <w:outlineLvl w:val="0"/>
        <w:rPr>
          <w:rFonts w:hint="eastAsia" w:ascii="仿宋" w:hAnsi="仿宋" w:eastAsia="仿宋" w:cs="仿宋"/>
          <w:b/>
          <w:color w:val="000000"/>
          <w:sz w:val="24"/>
        </w:rPr>
      </w:pPr>
      <w:bookmarkStart w:id="617" w:name="_Toc18114"/>
      <w:bookmarkStart w:id="618" w:name="_Toc9396"/>
      <w:bookmarkStart w:id="619" w:name="_Toc9685"/>
      <w:bookmarkStart w:id="620" w:name="_Toc30329"/>
      <w:bookmarkStart w:id="621" w:name="_Toc30492"/>
      <w:bookmarkStart w:id="622" w:name="_Toc373"/>
      <w:bookmarkStart w:id="623" w:name="_Toc15148"/>
      <w:bookmarkStart w:id="624" w:name="_Toc18683"/>
      <w:bookmarkStart w:id="625" w:name="_Toc8662"/>
      <w:bookmarkStart w:id="626" w:name="_Toc28549"/>
      <w:bookmarkStart w:id="627" w:name="_Toc26807"/>
      <w:bookmarkStart w:id="628" w:name="_Toc9497"/>
      <w:bookmarkStart w:id="629" w:name="_Toc7371"/>
      <w:bookmarkStart w:id="630" w:name="_Toc5602"/>
      <w:bookmarkStart w:id="631" w:name="_Toc32454"/>
      <w:bookmarkStart w:id="632" w:name="_Toc9240"/>
      <w:bookmarkStart w:id="633" w:name="_Toc2884"/>
      <w:bookmarkStart w:id="634" w:name="_Toc8750"/>
      <w:bookmarkStart w:id="635" w:name="_Toc16452"/>
      <w:r>
        <w:rPr>
          <w:rFonts w:hint="eastAsia" w:ascii="仿宋" w:hAnsi="仿宋" w:eastAsia="仿宋" w:cs="仿宋"/>
          <w:b/>
          <w:color w:val="000000"/>
          <w:sz w:val="24"/>
        </w:rPr>
        <w:t>1.7 合同争议的解决</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6A218F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种方式解决：</w:t>
      </w:r>
    </w:p>
    <w:p w14:paraId="439CEFE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1.7.1 将争议提交</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仲裁委员会依申请仲裁时其现行有效的仲裁规则裁决；</w:t>
      </w:r>
    </w:p>
    <w:p w14:paraId="5C5FC7EF">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1.7.2 向</w:t>
      </w:r>
      <w:r>
        <w:rPr>
          <w:rFonts w:hint="eastAsia" w:ascii="仿宋" w:hAnsi="仿宋" w:eastAsia="仿宋" w:cs="仿宋"/>
          <w:color w:val="000000"/>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000000"/>
          <w:sz w:val="24"/>
        </w:rPr>
        <w:t>人民法院起诉。</w:t>
      </w:r>
    </w:p>
    <w:p w14:paraId="785F713E">
      <w:pPr>
        <w:spacing w:line="560" w:lineRule="exact"/>
        <w:ind w:firstLine="482" w:firstLineChars="200"/>
        <w:outlineLvl w:val="0"/>
        <w:rPr>
          <w:rFonts w:hint="eastAsia" w:ascii="仿宋" w:hAnsi="仿宋" w:eastAsia="仿宋" w:cs="仿宋"/>
          <w:b/>
          <w:color w:val="000000"/>
          <w:sz w:val="24"/>
        </w:rPr>
      </w:pPr>
      <w:bookmarkStart w:id="636" w:name="_Toc2585"/>
      <w:bookmarkStart w:id="637" w:name="_Toc21887"/>
      <w:bookmarkStart w:id="638" w:name="_Toc26227"/>
      <w:bookmarkStart w:id="639" w:name="_Toc25041"/>
      <w:bookmarkStart w:id="640" w:name="_Toc21438"/>
      <w:bookmarkStart w:id="641" w:name="_Toc25978"/>
      <w:bookmarkStart w:id="642" w:name="_Toc12273"/>
      <w:bookmarkStart w:id="643" w:name="_Toc16669"/>
      <w:bookmarkStart w:id="644" w:name="_Toc14973"/>
      <w:bookmarkStart w:id="645" w:name="_Toc23784"/>
      <w:bookmarkStart w:id="646" w:name="_Toc16417"/>
      <w:bookmarkStart w:id="647" w:name="_Toc23249"/>
      <w:bookmarkStart w:id="648" w:name="_Toc25782"/>
      <w:bookmarkStart w:id="649" w:name="_Toc23171"/>
      <w:bookmarkStart w:id="650" w:name="_Toc10946"/>
      <w:bookmarkStart w:id="651" w:name="_Toc13209"/>
      <w:bookmarkStart w:id="652" w:name="_Toc29852"/>
      <w:bookmarkStart w:id="653" w:name="_Toc4093"/>
      <w:bookmarkStart w:id="654" w:name="_Toc15827"/>
      <w:r>
        <w:rPr>
          <w:rFonts w:hint="eastAsia" w:ascii="仿宋" w:hAnsi="仿宋" w:eastAsia="仿宋" w:cs="仿宋"/>
          <w:b/>
          <w:color w:val="000000"/>
          <w:sz w:val="24"/>
        </w:rPr>
        <w:t>1.8 合同生效</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E3463FF">
      <w:pPr>
        <w:spacing w:line="560" w:lineRule="exact"/>
        <w:ind w:firstLine="480" w:firstLineChars="200"/>
        <w:rPr>
          <w:rFonts w:hint="eastAsia" w:ascii="仿宋" w:hAnsi="仿宋" w:eastAsia="仿宋" w:cs="仿宋"/>
          <w:b/>
          <w:color w:val="000000"/>
          <w:sz w:val="24"/>
        </w:rPr>
      </w:pPr>
      <w:r>
        <w:rPr>
          <w:rFonts w:hint="eastAsia" w:ascii="仿宋" w:hAnsi="仿宋" w:eastAsia="仿宋" w:cs="仿宋"/>
          <w:color w:val="000000"/>
          <w:sz w:val="24"/>
        </w:rPr>
        <w:t>本合同自双方当事人盖章或者签字时生效。</w:t>
      </w:r>
    </w:p>
    <w:p w14:paraId="6B9F7903">
      <w:pPr>
        <w:autoSpaceDE w:val="0"/>
        <w:autoSpaceDN w:val="0"/>
        <w:adjustRightInd w:val="0"/>
        <w:spacing w:line="560" w:lineRule="exact"/>
        <w:rPr>
          <w:rFonts w:hint="eastAsia" w:ascii="仿宋" w:hAnsi="仿宋" w:eastAsia="仿宋" w:cs="仿宋"/>
          <w:color w:val="000000"/>
          <w:sz w:val="24"/>
          <w:lang w:val="zh-CN"/>
        </w:rPr>
      </w:pPr>
    </w:p>
    <w:p w14:paraId="44E6FBDD">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b/>
          <w:color w:val="000000"/>
          <w:sz w:val="24"/>
          <w:lang w:val="zh-CN"/>
        </w:rPr>
        <w:t>甲方</w:t>
      </w:r>
      <w:r>
        <w:rPr>
          <w:rFonts w:hint="eastAsia" w:ascii="仿宋" w:hAnsi="仿宋" w:eastAsia="仿宋" w:cs="仿宋"/>
          <w:color w:val="000000"/>
          <w:sz w:val="24"/>
          <w:lang w:val="zh-CN"/>
        </w:rPr>
        <w:t xml:space="preserve">：                             </w:t>
      </w:r>
      <w:r>
        <w:rPr>
          <w:rFonts w:hint="eastAsia" w:ascii="仿宋" w:hAnsi="仿宋" w:eastAsia="仿宋" w:cs="仿宋"/>
          <w:b/>
          <w:color w:val="000000"/>
          <w:sz w:val="24"/>
          <w:lang w:val="zh-CN"/>
        </w:rPr>
        <w:t xml:space="preserve">      乙方</w:t>
      </w:r>
      <w:r>
        <w:rPr>
          <w:rFonts w:hint="eastAsia" w:ascii="仿宋" w:hAnsi="仿宋" w:eastAsia="仿宋" w:cs="仿宋"/>
          <w:color w:val="000000"/>
          <w:sz w:val="24"/>
          <w:lang w:val="zh-CN"/>
        </w:rPr>
        <w:t>：</w:t>
      </w:r>
    </w:p>
    <w:p w14:paraId="45EE8B96">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统一社会信用代码：                        统一社会信用代码或身份证号码：</w:t>
      </w:r>
    </w:p>
    <w:p w14:paraId="20246FC0">
      <w:pPr>
        <w:autoSpaceDE w:val="0"/>
        <w:autoSpaceDN w:val="0"/>
        <w:adjustRightInd w:val="0"/>
        <w:spacing w:line="560" w:lineRule="exact"/>
        <w:rPr>
          <w:rFonts w:hint="eastAsia" w:ascii="仿宋" w:hAnsi="仿宋" w:eastAsia="仿宋" w:cs="仿宋"/>
          <w:color w:val="000000"/>
          <w:sz w:val="24"/>
          <w:lang w:val="zh-CN"/>
        </w:rPr>
      </w:pPr>
    </w:p>
    <w:p w14:paraId="7FFA6DC4">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住所：                                   住所：</w:t>
      </w:r>
    </w:p>
    <w:p w14:paraId="2A2CE761">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法定代表人或                             法定代表人</w:t>
      </w:r>
    </w:p>
    <w:p w14:paraId="2DB3D4AC">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授权代表（签字）：                        或授权代表（签字）: </w:t>
      </w:r>
    </w:p>
    <w:p w14:paraId="2810E0ED">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联系人：                                 联系人：</w:t>
      </w:r>
    </w:p>
    <w:p w14:paraId="4D621FBE">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约定送达地址：                           约定送达地址：</w:t>
      </w:r>
    </w:p>
    <w:p w14:paraId="0DC1BBC8">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邮政编码：                               邮政编码：</w:t>
      </w:r>
    </w:p>
    <w:p w14:paraId="1C0D2C05">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电话:                                    电话: </w:t>
      </w:r>
    </w:p>
    <w:p w14:paraId="022AB0D9">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传真:                                    传真:</w:t>
      </w:r>
    </w:p>
    <w:p w14:paraId="65C8B0F8">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lang w:val="zh-CN"/>
        </w:rPr>
        <w:t>电子邮箱：                               电子邮箱：</w:t>
      </w:r>
    </w:p>
    <w:p w14:paraId="35963F3B">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rPr>
        <w:t xml:space="preserve">开户银行：                               开户银行： </w:t>
      </w:r>
    </w:p>
    <w:p w14:paraId="34BD561F">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rPr>
        <w:t xml:space="preserve">开户名称：                               开户名称： </w:t>
      </w:r>
    </w:p>
    <w:p w14:paraId="778DD44D">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rPr>
        <w:t>开户账号：</w:t>
      </w:r>
      <w:r>
        <w:rPr>
          <w:rFonts w:hint="eastAsia" w:ascii="仿宋" w:hAnsi="仿宋" w:eastAsia="仿宋" w:cs="仿宋"/>
          <w:color w:val="000000"/>
          <w:sz w:val="24"/>
          <w:lang w:val="zh-CN"/>
        </w:rPr>
        <w:t xml:space="preserve">                               </w:t>
      </w:r>
      <w:r>
        <w:rPr>
          <w:rFonts w:hint="eastAsia" w:ascii="仿宋" w:hAnsi="仿宋" w:eastAsia="仿宋" w:cs="仿宋"/>
          <w:color w:val="000000"/>
          <w:sz w:val="24"/>
        </w:rPr>
        <w:t>开户账号：</w:t>
      </w:r>
    </w:p>
    <w:p w14:paraId="2956CFD4">
      <w:pPr>
        <w:pStyle w:val="45"/>
        <w:spacing w:line="560" w:lineRule="exact"/>
        <w:ind w:firstLine="200"/>
        <w:jc w:val="center"/>
        <w:outlineLvl w:val="1"/>
        <w:rPr>
          <w:rFonts w:hint="eastAsia" w:ascii="仿宋" w:hAnsi="仿宋" w:eastAsia="仿宋" w:cs="仿宋"/>
          <w:b/>
          <w:color w:val="000000"/>
          <w:szCs w:val="24"/>
        </w:rPr>
      </w:pPr>
      <w:bookmarkStart w:id="655" w:name="_Toc331685783"/>
      <w:r>
        <w:rPr>
          <w:rFonts w:hint="eastAsia" w:ascii="仿宋" w:hAnsi="仿宋" w:eastAsia="仿宋" w:cs="仿宋"/>
          <w:b/>
          <w:color w:val="000000"/>
          <w:szCs w:val="24"/>
        </w:rPr>
        <w:br w:type="page"/>
      </w:r>
      <w:bookmarkStart w:id="656" w:name="_Toc26365"/>
      <w:bookmarkStart w:id="657" w:name="_Toc18422"/>
      <w:bookmarkStart w:id="658" w:name="_Toc6583"/>
      <w:bookmarkStart w:id="659" w:name="_Toc6418"/>
      <w:r>
        <w:rPr>
          <w:rFonts w:hint="eastAsia" w:ascii="仿宋" w:hAnsi="仿宋" w:eastAsia="仿宋" w:cs="仿宋"/>
          <w:b/>
          <w:color w:val="000000"/>
          <w:szCs w:val="24"/>
        </w:rPr>
        <w:t>第二部分 合同一般条款</w:t>
      </w:r>
      <w:bookmarkEnd w:id="655"/>
      <w:bookmarkEnd w:id="656"/>
      <w:bookmarkEnd w:id="657"/>
      <w:bookmarkEnd w:id="658"/>
      <w:bookmarkEnd w:id="659"/>
    </w:p>
    <w:p w14:paraId="677755FA">
      <w:pPr>
        <w:spacing w:line="560" w:lineRule="exact"/>
        <w:ind w:firstLine="482" w:firstLineChars="200"/>
        <w:outlineLvl w:val="0"/>
        <w:rPr>
          <w:rFonts w:hint="eastAsia" w:ascii="仿宋" w:hAnsi="仿宋" w:eastAsia="仿宋" w:cs="仿宋"/>
          <w:b/>
          <w:color w:val="000000"/>
          <w:sz w:val="24"/>
        </w:rPr>
      </w:pPr>
      <w:bookmarkStart w:id="660" w:name="_Toc5228"/>
      <w:bookmarkStart w:id="661" w:name="_Toc9855"/>
      <w:bookmarkStart w:id="662" w:name="_Ref467379195"/>
      <w:bookmarkStart w:id="663" w:name="_Ref467378463"/>
      <w:bookmarkStart w:id="664" w:name="_Toc14021"/>
      <w:bookmarkStart w:id="665" w:name="_Toc27012"/>
      <w:bookmarkStart w:id="666" w:name="_Ref467379205"/>
      <w:bookmarkStart w:id="667" w:name="_Toc259093669"/>
      <w:bookmarkStart w:id="668" w:name="_Ref467379214"/>
      <w:bookmarkStart w:id="669" w:name="_Toc17871"/>
      <w:bookmarkStart w:id="670" w:name="_Toc24519"/>
      <w:bookmarkStart w:id="671" w:name="_Ref467379101"/>
      <w:bookmarkStart w:id="672" w:name="_Toc19038"/>
      <w:bookmarkStart w:id="673" w:name="_Toc25079"/>
      <w:bookmarkStart w:id="674" w:name="_Toc31297"/>
      <w:bookmarkStart w:id="675" w:name="_Ref467378404"/>
      <w:bookmarkStart w:id="676" w:name="_Toc9775"/>
      <w:bookmarkStart w:id="677" w:name="_Toc19680"/>
      <w:bookmarkStart w:id="678" w:name="_Ref467379094"/>
      <w:bookmarkStart w:id="679" w:name="_Ref467378499"/>
      <w:bookmarkStart w:id="680" w:name="_Ref467379225"/>
      <w:bookmarkStart w:id="681" w:name="_Toc24660"/>
      <w:bookmarkStart w:id="682" w:name="_Toc30660"/>
      <w:bookmarkStart w:id="683" w:name="_Ref467379109"/>
      <w:bookmarkStart w:id="684" w:name="_Toc487900349"/>
      <w:bookmarkStart w:id="685" w:name="_Toc279701240"/>
      <w:bookmarkStart w:id="686" w:name="_Toc288"/>
      <w:bookmarkStart w:id="687" w:name="_Toc10641"/>
      <w:bookmarkStart w:id="688" w:name="_Toc7322"/>
      <w:bookmarkStart w:id="689" w:name="_Toc17963"/>
      <w:bookmarkStart w:id="690" w:name="_Toc16524"/>
      <w:r>
        <w:rPr>
          <w:rFonts w:hint="eastAsia" w:ascii="仿宋" w:hAnsi="仿宋" w:eastAsia="仿宋" w:cs="仿宋"/>
          <w:b/>
          <w:color w:val="000000"/>
          <w:sz w:val="24"/>
        </w:rPr>
        <w:t>2.1 定义</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7DE9549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本合同中的下列词语应按以下内容进行解释：</w:t>
      </w:r>
    </w:p>
    <w:p w14:paraId="170CF42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 “合同”系指采购人和中标供应商签订的载明双方当事人所达成的协议，并包括所有的附件、附录和构成合同的其他文件。</w:t>
      </w:r>
    </w:p>
    <w:p w14:paraId="20FDCF2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2.1.2 “合同价”系指根据合同约定，中标供应商在完全履行合同义务后，采购人应支付给中标供应商的价格。</w:t>
      </w:r>
    </w:p>
    <w:p w14:paraId="2853426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2.1.3 “服务”系指中标供应商根据合同约定应向采购人履行的除货物和工程以外的其他政府采购对象，包括采购人自身需要的服务和向社会公众提供的公共服务。</w:t>
      </w:r>
    </w:p>
    <w:p w14:paraId="24C6B91B">
      <w:pPr>
        <w:spacing w:line="560" w:lineRule="exact"/>
        <w:ind w:firstLine="480" w:firstLineChars="200"/>
        <w:rPr>
          <w:rFonts w:hint="eastAsia" w:ascii="仿宋" w:hAnsi="仿宋" w:eastAsia="仿宋" w:cs="仿宋"/>
          <w:color w:val="000000"/>
          <w:sz w:val="24"/>
        </w:rPr>
      </w:pPr>
      <w:bookmarkStart w:id="691" w:name="_Ref467378840"/>
      <w:r>
        <w:rPr>
          <w:rFonts w:hint="eastAsia" w:ascii="仿宋" w:hAnsi="仿宋" w:eastAsia="仿宋" w:cs="仿宋"/>
          <w:color w:val="000000"/>
          <w:sz w:val="24"/>
        </w:rPr>
        <w:t>2.1.4 “甲方”系指与中标供应商签署合同的采购人</w:t>
      </w:r>
      <w:bookmarkEnd w:id="691"/>
      <w:r>
        <w:rPr>
          <w:rFonts w:hint="eastAsia" w:ascii="仿宋" w:hAnsi="仿宋" w:eastAsia="仿宋" w:cs="仿宋"/>
          <w:color w:val="000000"/>
          <w:sz w:val="24"/>
        </w:rPr>
        <w:t>；采购人委托采购代理机构代表其与乙方签订合同的，采购人的授权委托书作为合同附件。</w:t>
      </w:r>
    </w:p>
    <w:p w14:paraId="3A036AC4">
      <w:pPr>
        <w:spacing w:line="560" w:lineRule="exact"/>
        <w:ind w:firstLine="480" w:firstLineChars="200"/>
        <w:rPr>
          <w:rFonts w:hint="eastAsia" w:ascii="仿宋" w:hAnsi="仿宋" w:eastAsia="仿宋" w:cs="仿宋"/>
          <w:color w:val="000000"/>
          <w:sz w:val="24"/>
        </w:rPr>
      </w:pPr>
      <w:bookmarkStart w:id="692" w:name="_Ref467379400"/>
      <w:r>
        <w:rPr>
          <w:rFonts w:hint="eastAsia" w:ascii="仿宋" w:hAnsi="仿宋" w:eastAsia="仿宋" w:cs="仿宋"/>
          <w:color w:val="000000"/>
          <w:sz w:val="24"/>
        </w:rPr>
        <w:t>2.1.5 “乙方”系指根据合同约定提供服务的中标供应商</w:t>
      </w:r>
      <w:bookmarkEnd w:id="692"/>
      <w:r>
        <w:rPr>
          <w:rFonts w:hint="eastAsia" w:ascii="仿宋" w:hAnsi="仿宋" w:eastAsia="仿宋" w:cs="仿宋"/>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0D91FC">
      <w:pPr>
        <w:spacing w:line="560" w:lineRule="exact"/>
        <w:ind w:firstLine="480" w:firstLineChars="200"/>
        <w:rPr>
          <w:rFonts w:hint="eastAsia" w:ascii="仿宋" w:hAnsi="仿宋" w:eastAsia="仿宋" w:cs="仿宋"/>
          <w:color w:val="000000"/>
          <w:sz w:val="24"/>
        </w:rPr>
      </w:pPr>
      <w:bookmarkStart w:id="693" w:name="_Ref467379436"/>
      <w:r>
        <w:rPr>
          <w:rFonts w:hint="eastAsia" w:ascii="仿宋" w:hAnsi="仿宋" w:eastAsia="仿宋" w:cs="仿宋"/>
          <w:color w:val="000000"/>
          <w:sz w:val="24"/>
        </w:rPr>
        <w:t>2.1.6 “现场”系指合同约定提供服务的地点。</w:t>
      </w:r>
      <w:bookmarkEnd w:id="693"/>
    </w:p>
    <w:p w14:paraId="6C408E7B">
      <w:pPr>
        <w:spacing w:line="560" w:lineRule="exact"/>
        <w:ind w:firstLine="482" w:firstLineChars="200"/>
        <w:outlineLvl w:val="0"/>
        <w:rPr>
          <w:rFonts w:hint="eastAsia" w:ascii="仿宋" w:hAnsi="仿宋" w:eastAsia="仿宋" w:cs="仿宋"/>
          <w:b/>
          <w:color w:val="000000"/>
          <w:sz w:val="24"/>
        </w:rPr>
      </w:pPr>
      <w:bookmarkStart w:id="694" w:name="_Toc3769"/>
      <w:bookmarkStart w:id="695" w:name="_Toc259093670"/>
      <w:bookmarkStart w:id="696" w:name="_Toc16202"/>
      <w:bookmarkStart w:id="697" w:name="_Toc31402"/>
      <w:bookmarkStart w:id="698" w:name="_Toc561"/>
      <w:bookmarkStart w:id="699" w:name="_Toc29640"/>
      <w:bookmarkStart w:id="700" w:name="_Toc31660"/>
      <w:bookmarkStart w:id="701" w:name="_Toc31350"/>
      <w:bookmarkStart w:id="702" w:name="_Toc23289"/>
      <w:bookmarkStart w:id="703" w:name="_Toc16513"/>
      <w:bookmarkStart w:id="704" w:name="_Toc19539"/>
      <w:bookmarkStart w:id="705" w:name="_Toc16752"/>
      <w:bookmarkStart w:id="706" w:name="_Toc487900350"/>
      <w:bookmarkStart w:id="707" w:name="_Toc22475"/>
      <w:bookmarkStart w:id="708" w:name="_Toc23640"/>
      <w:bookmarkStart w:id="709" w:name="_Toc10235"/>
      <w:bookmarkStart w:id="710" w:name="_Toc279701241"/>
      <w:bookmarkStart w:id="711" w:name="_Toc7655"/>
      <w:bookmarkStart w:id="712" w:name="_Toc1498"/>
      <w:bookmarkStart w:id="713" w:name="_Toc30650"/>
      <w:bookmarkStart w:id="714" w:name="_Toc4530"/>
      <w:bookmarkStart w:id="715" w:name="_Toc28079"/>
      <w:r>
        <w:rPr>
          <w:rFonts w:hint="eastAsia" w:ascii="仿宋" w:hAnsi="仿宋" w:eastAsia="仿宋" w:cs="仿宋"/>
          <w:b/>
          <w:color w:val="000000"/>
          <w:sz w:val="24"/>
        </w:rPr>
        <w:t>2.2 技术规范</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16CB510">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BDD2EBB">
      <w:pPr>
        <w:spacing w:line="560" w:lineRule="exact"/>
        <w:ind w:firstLine="482" w:firstLineChars="200"/>
        <w:outlineLvl w:val="0"/>
        <w:rPr>
          <w:rFonts w:hint="eastAsia" w:ascii="仿宋" w:hAnsi="仿宋" w:eastAsia="仿宋" w:cs="仿宋"/>
          <w:b/>
          <w:color w:val="000000"/>
          <w:sz w:val="24"/>
        </w:rPr>
      </w:pPr>
      <w:bookmarkStart w:id="716" w:name="_Toc27945"/>
      <w:bookmarkStart w:id="717" w:name="_Toc4359"/>
      <w:bookmarkStart w:id="718" w:name="_Toc4133"/>
      <w:bookmarkStart w:id="719" w:name="_Toc487900351"/>
      <w:bookmarkStart w:id="720" w:name="_Toc6895"/>
      <w:bookmarkStart w:id="721" w:name="_Toc27248"/>
      <w:bookmarkStart w:id="722" w:name="_Toc14583"/>
      <w:bookmarkStart w:id="723" w:name="_Toc11181"/>
      <w:bookmarkStart w:id="724" w:name="_Toc10981"/>
      <w:bookmarkStart w:id="725" w:name="_Toc12412"/>
      <w:bookmarkStart w:id="726" w:name="_Toc16629"/>
      <w:bookmarkStart w:id="727" w:name="_Toc7249"/>
      <w:bookmarkStart w:id="728" w:name="_Toc13445"/>
      <w:bookmarkStart w:id="729" w:name="_Toc6359"/>
      <w:bookmarkStart w:id="730" w:name="_Toc9161"/>
      <w:bookmarkStart w:id="731" w:name="_Toc259093671"/>
      <w:bookmarkStart w:id="732" w:name="_Toc279701242"/>
      <w:bookmarkStart w:id="733" w:name="_Toc8564"/>
      <w:bookmarkStart w:id="734" w:name="_Toc1232"/>
      <w:bookmarkStart w:id="735" w:name="_Toc4398"/>
      <w:bookmarkStart w:id="736" w:name="_Toc24207"/>
      <w:r>
        <w:rPr>
          <w:rFonts w:hint="eastAsia" w:ascii="仿宋" w:hAnsi="仿宋" w:eastAsia="仿宋" w:cs="仿宋"/>
          <w:b/>
          <w:color w:val="000000"/>
          <w:sz w:val="24"/>
        </w:rPr>
        <w:t>2.3 知识产权</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D6B2EE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5F21BE3">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2.3.2 合同涉及技术成果的归属和收益的分成办法的，详见</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w:t>
      </w:r>
    </w:p>
    <w:p w14:paraId="2184F77F">
      <w:pPr>
        <w:spacing w:line="56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2.4 履约检查和问题反馈</w:t>
      </w:r>
    </w:p>
    <w:p w14:paraId="54B32447">
      <w:pPr>
        <w:spacing w:line="560" w:lineRule="exact"/>
        <w:ind w:firstLine="480" w:firstLineChars="200"/>
        <w:rPr>
          <w:rFonts w:hint="eastAsia" w:ascii="仿宋" w:hAnsi="仿宋" w:eastAsia="仿宋" w:cs="仿宋"/>
          <w:color w:val="000000"/>
          <w:sz w:val="24"/>
        </w:rPr>
      </w:pPr>
      <w:bookmarkStart w:id="737" w:name="_Ref467379657"/>
      <w:r>
        <w:rPr>
          <w:rFonts w:hint="eastAsia" w:ascii="仿宋" w:hAnsi="仿宋" w:eastAsia="仿宋" w:cs="仿宋"/>
          <w:color w:val="000000"/>
          <w:sz w:val="24"/>
        </w:rPr>
        <w:t>2.4.1</w:t>
      </w:r>
      <w:bookmarkEnd w:id="737"/>
      <w:bookmarkStart w:id="738" w:name="_Toc186431854"/>
      <w:bookmarkStart w:id="739" w:name="_Toc279701247"/>
      <w:bookmarkStart w:id="740" w:name="_Toc487900357"/>
      <w:bookmarkStart w:id="741" w:name="_Toc259093676"/>
      <w:bookmarkStart w:id="742" w:name="_Ref467379793"/>
      <w:bookmarkStart w:id="743" w:name="_Ref467379807"/>
      <w:r>
        <w:rPr>
          <w:rFonts w:hint="eastAsia" w:ascii="仿宋" w:hAnsi="仿宋" w:eastAsia="仿宋" w:cs="仿宋"/>
          <w:color w:val="000000"/>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462DECF9">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2.4.2 合同履行期间，甲方有权将履行过程中出现的问题反馈给乙方，双方当事人应以书面形式约定需要完善和改进的内容</w:t>
      </w:r>
      <w:bookmarkEnd w:id="738"/>
      <w:bookmarkStart w:id="744" w:name="_Toc186431855"/>
      <w:r>
        <w:rPr>
          <w:rFonts w:hint="eastAsia" w:ascii="仿宋" w:hAnsi="仿宋" w:eastAsia="仿宋" w:cs="仿宋"/>
          <w:color w:val="000000"/>
          <w:sz w:val="24"/>
        </w:rPr>
        <w:t>。</w:t>
      </w:r>
    </w:p>
    <w:bookmarkEnd w:id="744"/>
    <w:p w14:paraId="0A2A3246">
      <w:pPr>
        <w:spacing w:line="560" w:lineRule="exact"/>
        <w:ind w:firstLine="482" w:firstLineChars="200"/>
        <w:outlineLvl w:val="0"/>
        <w:rPr>
          <w:rFonts w:hint="eastAsia" w:ascii="仿宋" w:hAnsi="仿宋" w:eastAsia="仿宋" w:cs="仿宋"/>
          <w:b/>
          <w:color w:val="000000"/>
          <w:sz w:val="24"/>
        </w:rPr>
      </w:pPr>
      <w:bookmarkStart w:id="745" w:name="_Toc3645"/>
      <w:bookmarkStart w:id="746" w:name="_Toc8883"/>
      <w:bookmarkStart w:id="747" w:name="_Toc18435"/>
      <w:bookmarkStart w:id="748" w:name="_Toc16963"/>
      <w:bookmarkStart w:id="749" w:name="_Toc22011"/>
      <w:bookmarkStart w:id="750" w:name="_Toc24756"/>
      <w:bookmarkStart w:id="751" w:name="_Toc15447"/>
      <w:bookmarkStart w:id="752" w:name="_Toc28335"/>
      <w:bookmarkStart w:id="753" w:name="_Toc11853"/>
      <w:bookmarkStart w:id="754" w:name="_Toc15894"/>
      <w:bookmarkStart w:id="755" w:name="_Toc26555"/>
      <w:bookmarkStart w:id="756" w:name="_Toc31233"/>
      <w:bookmarkStart w:id="757" w:name="_Toc29894"/>
      <w:bookmarkStart w:id="758" w:name="_Toc2919"/>
      <w:bookmarkStart w:id="759" w:name="_Toc25232"/>
      <w:bookmarkStart w:id="760" w:name="_Toc26526"/>
      <w:bookmarkStart w:id="761" w:name="_Toc2180"/>
      <w:bookmarkStart w:id="762" w:name="_Toc26986"/>
      <w:r>
        <w:rPr>
          <w:rFonts w:hint="eastAsia" w:ascii="仿宋" w:hAnsi="仿宋" w:eastAsia="仿宋" w:cs="仿宋"/>
          <w:b/>
          <w:color w:val="000000"/>
          <w:sz w:val="24"/>
        </w:rPr>
        <w:t>2.5 结算方式和付款条件</w:t>
      </w:r>
      <w:bookmarkEnd w:id="739"/>
      <w:bookmarkEnd w:id="740"/>
      <w:bookmarkEnd w:id="741"/>
      <w:bookmarkEnd w:id="742"/>
      <w:bookmarkEnd w:id="743"/>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770341B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详见</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w:t>
      </w:r>
    </w:p>
    <w:p w14:paraId="10954BD1">
      <w:pPr>
        <w:spacing w:line="560" w:lineRule="exact"/>
        <w:ind w:firstLine="482" w:firstLineChars="200"/>
        <w:outlineLvl w:val="0"/>
        <w:rPr>
          <w:rFonts w:hint="eastAsia" w:ascii="仿宋" w:hAnsi="仿宋" w:eastAsia="仿宋" w:cs="仿宋"/>
          <w:b/>
          <w:color w:val="000000"/>
          <w:sz w:val="24"/>
        </w:rPr>
      </w:pPr>
      <w:bookmarkStart w:id="763" w:name="_Ref467379852"/>
      <w:bookmarkStart w:id="764" w:name="_Toc259093677"/>
      <w:bookmarkStart w:id="765" w:name="_Ref467379923"/>
      <w:bookmarkStart w:id="766" w:name="_Ref467379863"/>
      <w:bookmarkStart w:id="767" w:name="_Toc487900358"/>
      <w:bookmarkStart w:id="768" w:name="_Toc279701248"/>
      <w:bookmarkStart w:id="769" w:name="_Toc13154"/>
      <w:bookmarkStart w:id="770" w:name="_Toc18252"/>
      <w:bookmarkStart w:id="771" w:name="_Toc31386"/>
      <w:bookmarkStart w:id="772" w:name="_Toc18990"/>
      <w:bookmarkStart w:id="773" w:name="_Toc16163"/>
      <w:bookmarkStart w:id="774" w:name="_Toc25094"/>
      <w:bookmarkStart w:id="775" w:name="_Toc17974"/>
      <w:bookmarkStart w:id="776" w:name="_Toc15056"/>
      <w:bookmarkStart w:id="777" w:name="_Toc4544"/>
      <w:bookmarkStart w:id="778" w:name="_Toc21975"/>
      <w:bookmarkStart w:id="779" w:name="_Toc12192"/>
      <w:bookmarkStart w:id="780" w:name="_Toc12307"/>
      <w:bookmarkStart w:id="781" w:name="_Toc10617"/>
      <w:bookmarkStart w:id="782" w:name="_Toc13467"/>
      <w:bookmarkStart w:id="783" w:name="_Toc22945"/>
      <w:bookmarkStart w:id="784" w:name="_Toc20010"/>
      <w:bookmarkStart w:id="785" w:name="_Toc24914"/>
      <w:bookmarkStart w:id="786" w:name="_Toc30507"/>
      <w:bookmarkStart w:id="787" w:name="_Toc11496"/>
      <w:r>
        <w:rPr>
          <w:rFonts w:hint="eastAsia" w:ascii="仿宋" w:hAnsi="仿宋" w:eastAsia="仿宋" w:cs="仿宋"/>
          <w:b/>
          <w:color w:val="000000"/>
          <w:sz w:val="24"/>
        </w:rPr>
        <w:t>2.6 技术资料</w:t>
      </w:r>
      <w:bookmarkEnd w:id="763"/>
      <w:bookmarkEnd w:id="764"/>
      <w:bookmarkEnd w:id="765"/>
      <w:bookmarkEnd w:id="766"/>
      <w:bookmarkEnd w:id="767"/>
      <w:bookmarkEnd w:id="768"/>
      <w:r>
        <w:rPr>
          <w:rFonts w:hint="eastAsia" w:ascii="仿宋" w:hAnsi="仿宋" w:eastAsia="仿宋" w:cs="仿宋"/>
          <w:b/>
          <w:color w:val="000000"/>
          <w:sz w:val="24"/>
        </w:rPr>
        <w:t>和保密义务</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1B0962B7">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2.6.1 乙方有权依据合同约定和项目需要，向甲方了解有关情况，调阅有关资料等，甲方应予积极配合；</w:t>
      </w:r>
    </w:p>
    <w:p w14:paraId="4789A2B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2.6.2 乙方有义务妥善保管和保护由甲方提供的前款信息和资料等；</w:t>
      </w:r>
    </w:p>
    <w:p w14:paraId="3903B30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0E9EF6E">
      <w:pPr>
        <w:spacing w:line="560" w:lineRule="exact"/>
        <w:ind w:firstLine="482" w:firstLineChars="200"/>
        <w:outlineLvl w:val="0"/>
        <w:rPr>
          <w:rFonts w:hint="eastAsia" w:ascii="仿宋" w:hAnsi="仿宋" w:eastAsia="仿宋" w:cs="仿宋"/>
          <w:b/>
          <w:color w:val="000000"/>
          <w:sz w:val="24"/>
        </w:rPr>
      </w:pPr>
      <w:bookmarkStart w:id="788" w:name="_Toc13737"/>
      <w:bookmarkStart w:id="789" w:name="_Toc10124"/>
      <w:bookmarkStart w:id="790" w:name="_Toc9582"/>
      <w:bookmarkStart w:id="791" w:name="_Toc11"/>
      <w:bookmarkStart w:id="792" w:name="_Toc10286"/>
      <w:bookmarkStart w:id="793" w:name="_Toc25831"/>
      <w:bookmarkStart w:id="794" w:name="_Toc19069"/>
      <w:bookmarkStart w:id="795" w:name="_Toc24195"/>
      <w:bookmarkStart w:id="796" w:name="_Toc10447"/>
      <w:bookmarkStart w:id="797" w:name="_Toc25126"/>
      <w:bookmarkStart w:id="798" w:name="_Toc28880"/>
      <w:bookmarkStart w:id="799" w:name="_Toc11260"/>
      <w:bookmarkStart w:id="800" w:name="_Toc9459"/>
      <w:bookmarkStart w:id="801" w:name="_Toc5057"/>
      <w:bookmarkStart w:id="802" w:name="_Toc9824"/>
      <w:bookmarkStart w:id="803" w:name="_Toc259093681"/>
      <w:bookmarkStart w:id="804" w:name="_Toc487900362"/>
      <w:bookmarkStart w:id="805" w:name="_Toc279701252"/>
      <w:r>
        <w:rPr>
          <w:rFonts w:hint="eastAsia" w:ascii="仿宋" w:hAnsi="仿宋" w:eastAsia="仿宋" w:cs="仿宋"/>
          <w:b/>
          <w:color w:val="000000"/>
          <w:sz w:val="24"/>
        </w:rPr>
        <w:t>2.7 质量保证</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4AFF266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2.7.1 乙方应建立和完善履行合同的内部质量保证体系，并提供相关内部规章制度给甲方，以便甲方进行监督检查；</w:t>
      </w:r>
    </w:p>
    <w:p w14:paraId="341622B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2.7.2 乙方应保证履行合同的人员数量和素质、软件和硬件设备的配置、场地、环境和设施等满足全面履行合同的要求，并应接受甲方的监督检查。</w:t>
      </w:r>
    </w:p>
    <w:p w14:paraId="697BD4CC">
      <w:pPr>
        <w:spacing w:line="560" w:lineRule="exact"/>
        <w:ind w:firstLine="482" w:firstLineChars="200"/>
        <w:outlineLvl w:val="0"/>
        <w:rPr>
          <w:rFonts w:hint="eastAsia" w:ascii="仿宋" w:hAnsi="仿宋" w:eastAsia="仿宋" w:cs="仿宋"/>
          <w:b/>
          <w:color w:val="000000"/>
          <w:sz w:val="24"/>
        </w:rPr>
      </w:pPr>
      <w:bookmarkStart w:id="806" w:name="_Toc20761"/>
      <w:bookmarkStart w:id="807" w:name="_Toc29183"/>
      <w:bookmarkStart w:id="808" w:name="_Toc22267"/>
      <w:bookmarkStart w:id="809" w:name="_Toc31783"/>
      <w:bookmarkStart w:id="810" w:name="_Toc5511"/>
      <w:bookmarkStart w:id="811" w:name="_Toc18897"/>
      <w:bookmarkStart w:id="812" w:name="_Toc4742"/>
      <w:bookmarkStart w:id="813" w:name="_Toc4256"/>
      <w:bookmarkStart w:id="814" w:name="_Toc20357"/>
      <w:bookmarkStart w:id="815" w:name="_Toc17219"/>
      <w:bookmarkStart w:id="816" w:name="_Toc13137"/>
      <w:bookmarkStart w:id="817" w:name="_Toc20285"/>
      <w:bookmarkStart w:id="818" w:name="_Toc20125"/>
      <w:bookmarkStart w:id="819" w:name="_Toc15753"/>
      <w:bookmarkStart w:id="820" w:name="_Toc29258"/>
      <w:r>
        <w:rPr>
          <w:rFonts w:hint="eastAsia" w:ascii="仿宋" w:hAnsi="仿宋" w:eastAsia="仿宋" w:cs="仿宋"/>
          <w:b/>
          <w:color w:val="000000"/>
          <w:sz w:val="24"/>
        </w:rPr>
        <w:t>2.8 延迟</w:t>
      </w:r>
      <w:bookmarkEnd w:id="803"/>
      <w:bookmarkEnd w:id="804"/>
      <w:bookmarkEnd w:id="805"/>
      <w:r>
        <w:rPr>
          <w:rFonts w:hint="eastAsia" w:ascii="仿宋" w:hAnsi="仿宋" w:eastAsia="仿宋" w:cs="仿宋"/>
          <w:b/>
          <w:color w:val="000000"/>
          <w:sz w:val="24"/>
        </w:rPr>
        <w:t>履行</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A5C7AC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30C52A1">
      <w:pPr>
        <w:spacing w:line="560" w:lineRule="exact"/>
        <w:ind w:firstLine="482" w:firstLineChars="200"/>
        <w:outlineLvl w:val="0"/>
        <w:rPr>
          <w:rFonts w:hint="eastAsia" w:ascii="仿宋" w:hAnsi="仿宋" w:eastAsia="仿宋" w:cs="仿宋"/>
          <w:b/>
          <w:color w:val="000000"/>
          <w:sz w:val="24"/>
        </w:rPr>
      </w:pPr>
      <w:bookmarkStart w:id="821" w:name="_Toc15190"/>
      <w:bookmarkStart w:id="822" w:name="_Toc23753"/>
      <w:bookmarkStart w:id="823" w:name="_Toc30399"/>
      <w:bookmarkStart w:id="824" w:name="_Toc11427"/>
      <w:bookmarkStart w:id="825" w:name="_Toc12283"/>
      <w:bookmarkStart w:id="826" w:name="_Toc21832"/>
      <w:bookmarkStart w:id="827" w:name="_Toc12085"/>
      <w:bookmarkStart w:id="828" w:name="_Toc1827"/>
      <w:bookmarkStart w:id="829" w:name="_Toc20156"/>
      <w:bookmarkStart w:id="830" w:name="_Toc10611"/>
      <w:bookmarkStart w:id="831" w:name="_Toc1138"/>
      <w:bookmarkStart w:id="832" w:name="_Toc29708"/>
      <w:bookmarkStart w:id="833" w:name="_Toc24803"/>
      <w:bookmarkStart w:id="834" w:name="_Toc19043"/>
      <w:bookmarkStart w:id="835" w:name="_Toc5747"/>
      <w:bookmarkStart w:id="836" w:name="_Toc279701254"/>
      <w:bookmarkStart w:id="837" w:name="_Toc259093683"/>
      <w:bookmarkStart w:id="838" w:name="_Ref467378121"/>
      <w:bookmarkStart w:id="839" w:name="_Toc487900364"/>
      <w:r>
        <w:rPr>
          <w:rFonts w:hint="eastAsia" w:ascii="仿宋" w:hAnsi="仿宋" w:eastAsia="仿宋" w:cs="仿宋"/>
          <w:b/>
          <w:color w:val="000000"/>
          <w:sz w:val="24"/>
        </w:rPr>
        <w:t>2.9 合同变更</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3A34D91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843AEB6">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2.9.2 合同继续履行将损害国家利益和社会公共利益的，双方当事人应当以书面形式变更合同。有过错的一方应当承担赔偿责任，双方当事人都有过错的，各自承担相应的责任。</w:t>
      </w:r>
      <w:bookmarkStart w:id="840" w:name="_Toc259093688"/>
      <w:bookmarkStart w:id="841" w:name="_Toc279701259"/>
      <w:bookmarkStart w:id="842" w:name="_Toc487900369"/>
    </w:p>
    <w:p w14:paraId="6AD60FE9">
      <w:pPr>
        <w:spacing w:line="560" w:lineRule="exact"/>
        <w:ind w:firstLine="482" w:firstLineChars="200"/>
        <w:outlineLvl w:val="0"/>
        <w:rPr>
          <w:rFonts w:hint="eastAsia" w:ascii="仿宋" w:hAnsi="仿宋" w:eastAsia="仿宋" w:cs="仿宋"/>
          <w:b/>
          <w:color w:val="000000"/>
          <w:sz w:val="24"/>
        </w:rPr>
      </w:pPr>
      <w:bookmarkStart w:id="843" w:name="_Toc16201"/>
      <w:bookmarkStart w:id="844" w:name="_Toc8943"/>
      <w:bookmarkStart w:id="845" w:name="_Toc10880"/>
      <w:bookmarkStart w:id="846" w:name="_Toc26787"/>
      <w:bookmarkStart w:id="847" w:name="_Toc31248"/>
      <w:bookmarkStart w:id="848" w:name="_Toc21558"/>
      <w:bookmarkStart w:id="849" w:name="_Toc27372"/>
      <w:bookmarkStart w:id="850" w:name="_Toc3647"/>
      <w:bookmarkStart w:id="851" w:name="_Toc21213"/>
      <w:bookmarkStart w:id="852" w:name="_Toc9277"/>
      <w:bookmarkStart w:id="853" w:name="_Toc26689"/>
      <w:bookmarkStart w:id="854" w:name="_Toc42"/>
      <w:bookmarkStart w:id="855" w:name="_Toc18693"/>
      <w:bookmarkStart w:id="856" w:name="_Toc10663"/>
      <w:bookmarkStart w:id="857" w:name="_Toc23368"/>
      <w:bookmarkStart w:id="858" w:name="_Toc29484"/>
      <w:bookmarkStart w:id="859" w:name="_Toc21830"/>
      <w:bookmarkStart w:id="860" w:name="_Toc2959"/>
      <w:r>
        <w:rPr>
          <w:rFonts w:hint="eastAsia" w:ascii="仿宋" w:hAnsi="仿宋" w:eastAsia="仿宋" w:cs="仿宋"/>
          <w:b/>
          <w:color w:val="000000"/>
          <w:sz w:val="24"/>
        </w:rPr>
        <w:t>2.10 合同转让</w:t>
      </w:r>
      <w:bookmarkEnd w:id="840"/>
      <w:bookmarkEnd w:id="841"/>
      <w:bookmarkEnd w:id="842"/>
      <w:r>
        <w:rPr>
          <w:rFonts w:hint="eastAsia" w:ascii="仿宋" w:hAnsi="仿宋" w:eastAsia="仿宋" w:cs="仿宋"/>
          <w:b/>
          <w:color w:val="000000"/>
          <w:sz w:val="24"/>
        </w:rPr>
        <w:t>和分包</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58BFA33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0FDA2E9">
      <w:pPr>
        <w:spacing w:line="560" w:lineRule="exact"/>
        <w:ind w:firstLine="482" w:firstLineChars="200"/>
        <w:outlineLvl w:val="0"/>
        <w:rPr>
          <w:rFonts w:hint="eastAsia" w:ascii="仿宋" w:hAnsi="仿宋" w:eastAsia="仿宋" w:cs="仿宋"/>
          <w:b/>
          <w:color w:val="000000"/>
          <w:sz w:val="24"/>
        </w:rPr>
      </w:pPr>
      <w:bookmarkStart w:id="861" w:name="_Toc25571"/>
      <w:bookmarkStart w:id="862" w:name="_Toc30739"/>
      <w:bookmarkStart w:id="863" w:name="_Toc5394"/>
      <w:bookmarkStart w:id="864" w:name="_Toc4720"/>
      <w:bookmarkStart w:id="865" w:name="_Toc32494"/>
      <w:bookmarkStart w:id="866" w:name="_Toc31489"/>
      <w:bookmarkStart w:id="867" w:name="_Toc27091"/>
      <w:bookmarkStart w:id="868" w:name="_Toc26633"/>
      <w:bookmarkStart w:id="869" w:name="_Toc18850"/>
      <w:bookmarkStart w:id="870" w:name="_Toc14371"/>
      <w:bookmarkStart w:id="871" w:name="_Toc14293"/>
      <w:bookmarkStart w:id="872" w:name="_Toc25037"/>
      <w:bookmarkStart w:id="873" w:name="_Toc12890"/>
      <w:bookmarkStart w:id="874" w:name="_Toc13026"/>
      <w:bookmarkStart w:id="875" w:name="_Toc8463"/>
      <w:bookmarkStart w:id="876" w:name="_Toc2182"/>
      <w:bookmarkStart w:id="877" w:name="_Toc8409"/>
      <w:bookmarkStart w:id="878" w:name="_Toc27395"/>
      <w:r>
        <w:rPr>
          <w:rFonts w:hint="eastAsia" w:ascii="仿宋" w:hAnsi="仿宋" w:eastAsia="仿宋" w:cs="仿宋"/>
          <w:b/>
          <w:color w:val="000000"/>
          <w:sz w:val="24"/>
        </w:rPr>
        <w:t>2.11 不可抗力</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3DD91379">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2.11.1如果任何一方遭遇法律规定的不可抗力，致使合同履行受阻时，履行合同的期限应予延长，延长的期限应相当于不可抗力所影响的时间；</w:t>
      </w:r>
    </w:p>
    <w:p w14:paraId="6A529DE6">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2.11.2 因不可抗力致使不能实现合同目的的，当事人可以解除合同；</w:t>
      </w:r>
    </w:p>
    <w:p w14:paraId="4EA44A40">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2.11.3 因不可抗力致使合同有变更必要的，双方当事人应在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约定时间内以书面形式变更合同；</w:t>
      </w:r>
    </w:p>
    <w:p w14:paraId="085D75B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2.11.4受不可抗力影响的一方在不可抗力发生后，应在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约定时间内以书面形式通知对方当事人，并在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约定时间内，将有关部门出具的证明文件送达对方当事人。</w:t>
      </w:r>
    </w:p>
    <w:p w14:paraId="5974CE47">
      <w:pPr>
        <w:spacing w:line="560" w:lineRule="exact"/>
        <w:ind w:firstLine="482" w:firstLineChars="200"/>
        <w:outlineLvl w:val="0"/>
        <w:rPr>
          <w:rFonts w:hint="eastAsia" w:ascii="仿宋" w:hAnsi="仿宋" w:eastAsia="仿宋" w:cs="仿宋"/>
          <w:b/>
          <w:color w:val="000000"/>
          <w:sz w:val="24"/>
        </w:rPr>
      </w:pPr>
      <w:bookmarkStart w:id="879" w:name="_Toc25783"/>
      <w:bookmarkStart w:id="880" w:name="_Toc32696"/>
      <w:bookmarkStart w:id="881" w:name="_Toc14435"/>
      <w:bookmarkStart w:id="882" w:name="_Toc487900365"/>
      <w:bookmarkStart w:id="883" w:name="_Toc3433"/>
      <w:bookmarkStart w:id="884" w:name="_Toc279701255"/>
      <w:bookmarkStart w:id="885" w:name="_Toc2201"/>
      <w:bookmarkStart w:id="886" w:name="_Toc7698"/>
      <w:bookmarkStart w:id="887" w:name="_Toc619"/>
      <w:bookmarkStart w:id="888" w:name="_Toc28245"/>
      <w:bookmarkStart w:id="889" w:name="_Toc5469"/>
      <w:bookmarkStart w:id="890" w:name="_Toc14115"/>
      <w:bookmarkStart w:id="891" w:name="_Toc23854"/>
      <w:bookmarkStart w:id="892" w:name="_Toc565"/>
      <w:bookmarkStart w:id="893" w:name="_Toc29095"/>
      <w:bookmarkStart w:id="894" w:name="_Toc24175"/>
      <w:bookmarkStart w:id="895" w:name="_Toc3638"/>
      <w:bookmarkStart w:id="896" w:name="_Toc259093684"/>
      <w:bookmarkStart w:id="897" w:name="_Toc31319"/>
      <w:bookmarkStart w:id="898" w:name="_Toc29532"/>
      <w:bookmarkStart w:id="899" w:name="_Toc24465"/>
      <w:r>
        <w:rPr>
          <w:rFonts w:hint="eastAsia" w:ascii="仿宋" w:hAnsi="仿宋" w:eastAsia="仿宋" w:cs="仿宋"/>
          <w:b/>
          <w:color w:val="000000"/>
          <w:sz w:val="24"/>
        </w:rPr>
        <w:t>2.12 税费</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10360EB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与合同有关的一切税费，均按照中华人民共和国法律的相关规定缴纳。</w:t>
      </w:r>
    </w:p>
    <w:p w14:paraId="60FD11B0">
      <w:pPr>
        <w:spacing w:line="560" w:lineRule="exact"/>
        <w:ind w:firstLine="482" w:firstLineChars="200"/>
        <w:outlineLvl w:val="0"/>
        <w:rPr>
          <w:rFonts w:hint="eastAsia" w:ascii="仿宋" w:hAnsi="仿宋" w:eastAsia="仿宋" w:cs="仿宋"/>
          <w:b/>
          <w:color w:val="000000"/>
          <w:sz w:val="24"/>
        </w:rPr>
      </w:pPr>
      <w:bookmarkStart w:id="900" w:name="_Toc26883"/>
      <w:bookmarkStart w:id="901" w:name="_Toc11653"/>
      <w:bookmarkStart w:id="902" w:name="_Toc259093687"/>
      <w:bookmarkStart w:id="903" w:name="_Toc4151"/>
      <w:bookmarkStart w:id="904" w:name="_Toc3085"/>
      <w:bookmarkStart w:id="905" w:name="_Toc29829"/>
      <w:bookmarkStart w:id="906" w:name="_Toc103"/>
      <w:bookmarkStart w:id="907" w:name="_Toc14814"/>
      <w:bookmarkStart w:id="908" w:name="_Toc487900368"/>
      <w:bookmarkStart w:id="909" w:name="_Toc27546"/>
      <w:bookmarkStart w:id="910" w:name="_Toc9431"/>
      <w:bookmarkStart w:id="911" w:name="_Toc16820"/>
      <w:bookmarkStart w:id="912" w:name="_Toc8559"/>
      <w:bookmarkStart w:id="913" w:name="_Toc279701258"/>
      <w:bookmarkStart w:id="914" w:name="_Toc19733"/>
      <w:bookmarkStart w:id="915" w:name="_Toc7315"/>
      <w:bookmarkStart w:id="916" w:name="_Toc25525"/>
      <w:bookmarkStart w:id="917" w:name="_Toc11230"/>
      <w:bookmarkStart w:id="918" w:name="_Toc18305"/>
      <w:bookmarkStart w:id="919" w:name="_Toc24902"/>
      <w:r>
        <w:rPr>
          <w:rFonts w:hint="eastAsia" w:ascii="仿宋" w:hAnsi="仿宋" w:eastAsia="仿宋" w:cs="仿宋"/>
          <w:b/>
          <w:color w:val="000000"/>
          <w:sz w:val="24"/>
        </w:rPr>
        <w:t>2.13 乙方破产</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596F6B2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3666E5">
      <w:pPr>
        <w:spacing w:line="560" w:lineRule="exact"/>
        <w:ind w:firstLine="482" w:firstLineChars="200"/>
        <w:outlineLvl w:val="0"/>
        <w:rPr>
          <w:rFonts w:hint="eastAsia" w:ascii="仿宋" w:hAnsi="仿宋" w:eastAsia="仿宋" w:cs="仿宋"/>
          <w:b/>
          <w:color w:val="000000"/>
          <w:sz w:val="24"/>
        </w:rPr>
      </w:pPr>
      <w:bookmarkStart w:id="920" w:name="_Toc14944"/>
      <w:bookmarkStart w:id="921" w:name="_Toc3661"/>
      <w:bookmarkStart w:id="922" w:name="_Toc8981"/>
      <w:bookmarkStart w:id="923" w:name="_Toc12165"/>
      <w:bookmarkStart w:id="924" w:name="_Toc32056"/>
      <w:bookmarkStart w:id="925" w:name="_Toc4970"/>
      <w:bookmarkStart w:id="926" w:name="_Toc10847"/>
      <w:bookmarkStart w:id="927" w:name="_Toc28636"/>
      <w:bookmarkStart w:id="928" w:name="_Toc1123"/>
      <w:bookmarkStart w:id="929" w:name="_Toc18371"/>
      <w:bookmarkStart w:id="930" w:name="_Toc15854"/>
      <w:bookmarkStart w:id="931" w:name="_Toc5149"/>
      <w:bookmarkStart w:id="932" w:name="_Toc16846"/>
      <w:bookmarkStart w:id="933" w:name="_Toc2016"/>
      <w:bookmarkStart w:id="934" w:name="_Toc23323"/>
      <w:bookmarkStart w:id="935" w:name="_Toc19757"/>
      <w:bookmarkStart w:id="936" w:name="_Toc1662"/>
      <w:r>
        <w:rPr>
          <w:rFonts w:hint="eastAsia" w:ascii="仿宋" w:hAnsi="仿宋" w:eastAsia="仿宋" w:cs="仿宋"/>
          <w:b/>
          <w:color w:val="000000"/>
          <w:sz w:val="24"/>
        </w:rPr>
        <w:t>2.14 合同中止、终止</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7DB0F7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2.14.1 双方当事人不得擅自中止或者终止合同；</w:t>
      </w:r>
    </w:p>
    <w:p w14:paraId="43EB7AE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2.14.2合同继续履行将损害国家利益和社会公共利益的，双方当事人应当中止或者终止合同。有过错的一方应当承担赔偿责任，双方当事人都有过错的，各自承担相应的责任。</w:t>
      </w:r>
    </w:p>
    <w:p w14:paraId="009DC518">
      <w:pPr>
        <w:spacing w:line="560" w:lineRule="exact"/>
        <w:ind w:firstLine="482" w:firstLineChars="200"/>
        <w:outlineLvl w:val="0"/>
        <w:rPr>
          <w:rFonts w:hint="eastAsia" w:ascii="仿宋" w:hAnsi="仿宋" w:eastAsia="仿宋" w:cs="仿宋"/>
          <w:b/>
          <w:color w:val="000000"/>
          <w:sz w:val="24"/>
        </w:rPr>
      </w:pPr>
      <w:bookmarkStart w:id="937" w:name="_Toc14525"/>
      <w:bookmarkStart w:id="938" w:name="_Toc17363"/>
      <w:bookmarkStart w:id="939" w:name="_Toc1969"/>
      <w:bookmarkStart w:id="940" w:name="_Toc11480"/>
      <w:bookmarkStart w:id="941" w:name="_Toc30654"/>
      <w:bookmarkStart w:id="942" w:name="_Toc5510"/>
      <w:bookmarkStart w:id="943" w:name="_Toc19995"/>
      <w:bookmarkStart w:id="944" w:name="_Toc5592"/>
      <w:bookmarkStart w:id="945" w:name="_Toc14765"/>
      <w:bookmarkStart w:id="946" w:name="_Toc16267"/>
      <w:bookmarkStart w:id="947" w:name="_Toc8537"/>
      <w:bookmarkStart w:id="948" w:name="_Toc15450"/>
      <w:bookmarkStart w:id="949" w:name="_Toc28098"/>
      <w:bookmarkStart w:id="950" w:name="_Toc28142"/>
      <w:bookmarkStart w:id="951" w:name="_Toc11454"/>
      <w:bookmarkStart w:id="952" w:name="_Toc29689"/>
      <w:bookmarkStart w:id="953" w:name="_Toc9329"/>
      <w:r>
        <w:rPr>
          <w:rFonts w:hint="eastAsia" w:ascii="仿宋" w:hAnsi="仿宋" w:eastAsia="仿宋" w:cs="仿宋"/>
          <w:b/>
          <w:color w:val="000000"/>
          <w:sz w:val="24"/>
        </w:rPr>
        <w:t>2.15 检验和验收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4BF28017">
      <w:pPr>
        <w:tabs>
          <w:tab w:val="left" w:pos="360"/>
          <w:tab w:val="left" w:pos="540"/>
          <w:tab w:val="left" w:pos="1080"/>
        </w:tabs>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2.15.1 乙方按照</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的约定，定期提交服务报告，甲方按照</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的约定进行定期验收；</w:t>
      </w:r>
    </w:p>
    <w:p w14:paraId="5B5A4FE9">
      <w:pPr>
        <w:tabs>
          <w:tab w:val="left" w:pos="360"/>
          <w:tab w:val="left" w:pos="540"/>
          <w:tab w:val="left" w:pos="1080"/>
        </w:tabs>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6C4BF54">
      <w:pPr>
        <w:tabs>
          <w:tab w:val="left" w:pos="360"/>
          <w:tab w:val="left" w:pos="540"/>
          <w:tab w:val="left" w:pos="1080"/>
        </w:tabs>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2.15.3 检验和验收标准、程序等具体内容以及前述验收书的效力详见</w:t>
      </w:r>
      <w:r>
        <w:rPr>
          <w:rFonts w:hint="eastAsia" w:ascii="仿宋" w:hAnsi="仿宋" w:eastAsia="仿宋" w:cs="仿宋"/>
          <w:b/>
          <w:i/>
          <w:color w:val="000000"/>
          <w:sz w:val="24"/>
          <w:u w:val="single"/>
        </w:rPr>
        <w:t>合同专用条款</w:t>
      </w:r>
      <w:r>
        <w:rPr>
          <w:rFonts w:hint="eastAsia" w:ascii="仿宋" w:hAnsi="仿宋" w:eastAsia="仿宋" w:cs="仿宋"/>
          <w:i/>
          <w:color w:val="000000"/>
          <w:sz w:val="24"/>
        </w:rPr>
        <w:t>。</w:t>
      </w:r>
    </w:p>
    <w:bookmarkEnd w:id="836"/>
    <w:bookmarkEnd w:id="837"/>
    <w:bookmarkEnd w:id="838"/>
    <w:bookmarkEnd w:id="839"/>
    <w:p w14:paraId="338C52FF">
      <w:pPr>
        <w:spacing w:line="560" w:lineRule="exact"/>
        <w:ind w:firstLine="482" w:firstLineChars="200"/>
        <w:outlineLvl w:val="0"/>
        <w:rPr>
          <w:rFonts w:hint="eastAsia" w:ascii="仿宋" w:hAnsi="仿宋" w:eastAsia="仿宋" w:cs="仿宋"/>
          <w:b/>
          <w:color w:val="000000"/>
          <w:sz w:val="24"/>
        </w:rPr>
      </w:pPr>
      <w:bookmarkStart w:id="954" w:name="_Toc279701261"/>
      <w:bookmarkStart w:id="955" w:name="_Toc259093690"/>
      <w:bookmarkStart w:id="956" w:name="_Toc487900371"/>
      <w:bookmarkStart w:id="957" w:name="_Toc9808"/>
      <w:bookmarkStart w:id="958" w:name="_Toc26729"/>
      <w:bookmarkStart w:id="959" w:name="_Toc12666"/>
      <w:bookmarkStart w:id="960" w:name="_Toc20483"/>
      <w:bookmarkStart w:id="961" w:name="_Toc32463"/>
      <w:bookmarkStart w:id="962" w:name="_Toc25198"/>
      <w:bookmarkStart w:id="963" w:name="_Toc28772"/>
      <w:bookmarkStart w:id="964" w:name="_Toc20656"/>
      <w:bookmarkStart w:id="965" w:name="_Toc12378"/>
      <w:bookmarkStart w:id="966" w:name="_Toc24093"/>
      <w:bookmarkStart w:id="967" w:name="_Toc31892"/>
      <w:bookmarkStart w:id="968" w:name="_Toc2308"/>
      <w:bookmarkStart w:id="969" w:name="_Toc15999"/>
      <w:bookmarkStart w:id="970" w:name="_Toc16331"/>
      <w:bookmarkStart w:id="971" w:name="_Toc26738"/>
      <w:bookmarkStart w:id="972" w:name="_Toc8680"/>
      <w:bookmarkStart w:id="973" w:name="_Toc28597"/>
      <w:bookmarkStart w:id="974" w:name="_Toc17143"/>
      <w:r>
        <w:rPr>
          <w:rFonts w:hint="eastAsia" w:ascii="仿宋" w:hAnsi="仿宋" w:eastAsia="仿宋" w:cs="仿宋"/>
          <w:b/>
          <w:color w:val="000000"/>
          <w:sz w:val="24"/>
        </w:rPr>
        <w:t>2.16 通知</w:t>
      </w:r>
      <w:bookmarkEnd w:id="954"/>
      <w:bookmarkEnd w:id="955"/>
      <w:bookmarkEnd w:id="956"/>
      <w:r>
        <w:rPr>
          <w:rFonts w:hint="eastAsia" w:ascii="仿宋" w:hAnsi="仿宋" w:eastAsia="仿宋" w:cs="仿宋"/>
          <w:b/>
          <w:color w:val="000000"/>
          <w:sz w:val="24"/>
        </w:rPr>
        <w:t>和送达</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0B5ACC99">
      <w:pPr>
        <w:spacing w:line="560" w:lineRule="exact"/>
        <w:ind w:firstLine="480" w:firstLineChars="200"/>
        <w:rPr>
          <w:rFonts w:hint="eastAsia" w:ascii="仿宋" w:hAnsi="仿宋" w:eastAsia="仿宋" w:cs="仿宋"/>
          <w:color w:val="000000"/>
          <w:sz w:val="24"/>
        </w:rPr>
      </w:pPr>
      <w:bookmarkStart w:id="975" w:name="_Toc29220"/>
      <w:bookmarkStart w:id="976" w:name="_Toc7073"/>
      <w:bookmarkStart w:id="977" w:name="_Toc259093691"/>
      <w:bookmarkStart w:id="978" w:name="_Toc279701262"/>
      <w:bookmarkStart w:id="979" w:name="_Toc487900372"/>
      <w:r>
        <w:rPr>
          <w:rFonts w:hint="eastAsia" w:ascii="仿宋" w:hAnsi="仿宋" w:eastAsia="仿宋" w:cs="仿宋"/>
          <w:color w:val="000000"/>
          <w:sz w:val="24"/>
        </w:rPr>
        <w:t>2.16.1 任何一方因履行合同而以合同第一部分尾部所列明的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发出的所有通知、文件、材料，均视为已向对方当事人送达；任何一方变更上述送达方式或者地址的，应于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个工作日内书面通知对方当事人，在对方当事人收到有关变更通知之前，变更前的约定送达方式或者地址仍视为有效。</w:t>
      </w:r>
      <w:bookmarkEnd w:id="975"/>
      <w:bookmarkEnd w:id="976"/>
    </w:p>
    <w:p w14:paraId="01F7F4A4">
      <w:pPr>
        <w:spacing w:line="560" w:lineRule="exact"/>
        <w:ind w:firstLine="480" w:firstLineChars="200"/>
        <w:rPr>
          <w:rFonts w:hint="eastAsia" w:ascii="仿宋" w:hAnsi="仿宋" w:eastAsia="仿宋" w:cs="仿宋"/>
          <w:color w:val="000000"/>
          <w:sz w:val="24"/>
        </w:rPr>
      </w:pPr>
      <w:bookmarkStart w:id="980" w:name="_Toc27674"/>
      <w:bookmarkStart w:id="981" w:name="_Toc18401"/>
      <w:r>
        <w:rPr>
          <w:rFonts w:hint="eastAsia" w:ascii="仿宋" w:hAnsi="仿宋" w:eastAsia="仿宋" w:cs="仿宋"/>
          <w:color w:val="000000"/>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80"/>
      <w:bookmarkEnd w:id="981"/>
    </w:p>
    <w:bookmarkEnd w:id="977"/>
    <w:bookmarkEnd w:id="978"/>
    <w:bookmarkEnd w:id="979"/>
    <w:p w14:paraId="7407FCEA">
      <w:pPr>
        <w:spacing w:line="560" w:lineRule="exact"/>
        <w:ind w:firstLine="482" w:firstLineChars="200"/>
        <w:outlineLvl w:val="0"/>
        <w:rPr>
          <w:rFonts w:hint="eastAsia" w:ascii="仿宋" w:hAnsi="仿宋" w:eastAsia="仿宋" w:cs="仿宋"/>
          <w:b/>
          <w:color w:val="000000"/>
          <w:sz w:val="24"/>
        </w:rPr>
      </w:pPr>
      <w:bookmarkStart w:id="982" w:name="_Toc27644"/>
      <w:bookmarkStart w:id="983" w:name="_Toc28341"/>
      <w:bookmarkStart w:id="984" w:name="_Toc279701263"/>
      <w:bookmarkStart w:id="985" w:name="_Toc21659"/>
      <w:bookmarkStart w:id="986" w:name="_Toc13835"/>
      <w:bookmarkStart w:id="987" w:name="_Toc31705"/>
      <w:bookmarkStart w:id="988" w:name="_Toc7285"/>
      <w:bookmarkStart w:id="989" w:name="_Toc29382"/>
      <w:bookmarkStart w:id="990" w:name="_Toc29565"/>
      <w:bookmarkStart w:id="991" w:name="_Toc18059"/>
      <w:bookmarkStart w:id="992" w:name="_Toc18588"/>
      <w:bookmarkStart w:id="993" w:name="_Toc9550"/>
      <w:bookmarkStart w:id="994" w:name="_Toc25009"/>
      <w:bookmarkStart w:id="995" w:name="_Toc487900373"/>
      <w:bookmarkStart w:id="996" w:name="_Toc9388"/>
      <w:bookmarkStart w:id="997" w:name="_Toc30073"/>
      <w:bookmarkStart w:id="998" w:name="_Toc28906"/>
      <w:bookmarkStart w:id="999" w:name="_Toc12254"/>
      <w:bookmarkStart w:id="1000" w:name="_Toc22883"/>
      <w:bookmarkStart w:id="1001" w:name="_Toc20808"/>
      <w:bookmarkStart w:id="1002" w:name="_Toc259093692"/>
      <w:bookmarkStart w:id="1003" w:name="_Toc5063"/>
      <w:r>
        <w:rPr>
          <w:rFonts w:hint="eastAsia" w:ascii="仿宋" w:hAnsi="仿宋" w:eastAsia="仿宋" w:cs="仿宋"/>
          <w:b/>
          <w:color w:val="000000"/>
          <w:sz w:val="24"/>
        </w:rPr>
        <w:t>2.17 合同使用的文字和适用的法律</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350DC87F">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2.17.1 合同使用汉语书就、变更和解释；</w:t>
      </w:r>
    </w:p>
    <w:p w14:paraId="6986461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2.17.2 合同适用中华人民共和国法律。</w:t>
      </w:r>
    </w:p>
    <w:p w14:paraId="46C4D0D3">
      <w:pPr>
        <w:spacing w:line="560" w:lineRule="exact"/>
        <w:ind w:firstLine="482" w:firstLineChars="200"/>
        <w:outlineLvl w:val="0"/>
        <w:rPr>
          <w:rFonts w:hint="eastAsia" w:ascii="仿宋" w:hAnsi="仿宋" w:eastAsia="仿宋" w:cs="仿宋"/>
          <w:b/>
          <w:color w:val="000000"/>
          <w:sz w:val="24"/>
        </w:rPr>
      </w:pPr>
      <w:bookmarkStart w:id="1004" w:name="_Toc27127"/>
      <w:bookmarkStart w:id="1005" w:name="_Toc27403"/>
      <w:bookmarkStart w:id="1006" w:name="_Toc22266"/>
      <w:bookmarkStart w:id="1007" w:name="_Toc1934"/>
      <w:bookmarkStart w:id="1008" w:name="_Toc30096"/>
      <w:bookmarkStart w:id="1009" w:name="_Toc19624"/>
      <w:bookmarkStart w:id="1010" w:name="_Toc15019"/>
      <w:bookmarkStart w:id="1011" w:name="_Toc411"/>
      <w:bookmarkStart w:id="1012" w:name="_Toc279701264"/>
      <w:bookmarkStart w:id="1013" w:name="_Toc12891"/>
      <w:bookmarkStart w:id="1014" w:name="_Toc1492"/>
      <w:bookmarkStart w:id="1015" w:name="_Toc31740"/>
      <w:bookmarkStart w:id="1016" w:name="_Toc8396"/>
      <w:bookmarkStart w:id="1017" w:name="_Toc25039"/>
      <w:bookmarkStart w:id="1018" w:name="_Toc26472"/>
      <w:bookmarkStart w:id="1019" w:name="_Toc7711"/>
      <w:bookmarkStart w:id="1020" w:name="_Toc27175"/>
      <w:bookmarkStart w:id="1021" w:name="_Toc22524"/>
      <w:bookmarkStart w:id="1022" w:name="_Toc259093693"/>
      <w:bookmarkStart w:id="1023" w:name="_Toc8539"/>
      <w:bookmarkStart w:id="1024" w:name="_Toc23657"/>
      <w:bookmarkStart w:id="1025" w:name="_Toc487900374"/>
      <w:r>
        <w:rPr>
          <w:rFonts w:hint="eastAsia" w:ascii="仿宋" w:hAnsi="仿宋" w:eastAsia="仿宋" w:cs="仿宋"/>
          <w:b/>
          <w:color w:val="000000"/>
          <w:sz w:val="24"/>
        </w:rPr>
        <w:t>2.18 履约保证金</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B59BC77">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2.18.1 采购文件要求乙方提交履约保证金的，乙方应按</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约定的方式，以支票、汇票、本票或者金融机构、担保机构出具的保函等非现金形式，提交不超过合同价10%的履约保证金；</w:t>
      </w:r>
    </w:p>
    <w:p w14:paraId="101419E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2.18.2 履约保证金在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约定期间内不予退还或者应完全有效，前述约定期间届满之日起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个工作日内，甲方应将履约保证金退还乙方；</w:t>
      </w:r>
    </w:p>
    <w:p w14:paraId="59DA4A96">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25"/>
    <w:p w14:paraId="1D47D4D5">
      <w:pPr>
        <w:spacing w:line="56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2.19 合同份数</w:t>
      </w:r>
    </w:p>
    <w:p w14:paraId="6CE7900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合同份数按</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规定，每份均具有同等法律效力。</w:t>
      </w:r>
    </w:p>
    <w:p w14:paraId="03EFF5F5">
      <w:pPr>
        <w:pStyle w:val="45"/>
        <w:spacing w:line="560" w:lineRule="exact"/>
        <w:ind w:firstLine="0"/>
        <w:jc w:val="center"/>
        <w:outlineLvl w:val="1"/>
        <w:rPr>
          <w:rFonts w:hint="eastAsia" w:ascii="仿宋" w:hAnsi="仿宋" w:eastAsia="仿宋" w:cs="仿宋"/>
          <w:b/>
          <w:color w:val="000000"/>
          <w:szCs w:val="24"/>
        </w:rPr>
      </w:pPr>
      <w:r>
        <w:rPr>
          <w:rFonts w:hint="eastAsia" w:ascii="仿宋" w:hAnsi="仿宋" w:eastAsia="仿宋" w:cs="仿宋"/>
          <w:color w:val="000000"/>
          <w:szCs w:val="24"/>
        </w:rPr>
        <w:br w:type="page"/>
      </w:r>
      <w:bookmarkStart w:id="1026" w:name="_Toc21478"/>
      <w:bookmarkStart w:id="1027" w:name="_Toc2223"/>
      <w:bookmarkStart w:id="1028" w:name="_Toc15167"/>
      <w:bookmarkStart w:id="1029" w:name="_Toc331685784"/>
      <w:bookmarkStart w:id="1030" w:name="_Toc16531"/>
      <w:r>
        <w:rPr>
          <w:rFonts w:hint="eastAsia" w:ascii="仿宋" w:hAnsi="仿宋" w:eastAsia="仿宋" w:cs="仿宋"/>
          <w:b/>
          <w:color w:val="000000"/>
          <w:szCs w:val="24"/>
        </w:rPr>
        <w:t>第三部分  合同专用条款</w:t>
      </w:r>
      <w:bookmarkEnd w:id="1026"/>
      <w:bookmarkEnd w:id="1027"/>
      <w:bookmarkEnd w:id="1028"/>
      <w:bookmarkEnd w:id="1029"/>
      <w:bookmarkEnd w:id="1030"/>
    </w:p>
    <w:p w14:paraId="2ECB7A7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72B7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801" w:type="dxa"/>
            <w:tcBorders>
              <w:left w:val="single" w:color="auto" w:sz="4" w:space="0"/>
            </w:tcBorders>
            <w:vAlign w:val="center"/>
          </w:tcPr>
          <w:p w14:paraId="3DDE1B1F">
            <w:pPr>
              <w:spacing w:line="560" w:lineRule="exact"/>
              <w:jc w:val="center"/>
              <w:rPr>
                <w:rFonts w:hint="eastAsia" w:ascii="仿宋" w:hAnsi="仿宋" w:eastAsia="仿宋" w:cs="仿宋"/>
                <w:b/>
                <w:color w:val="000000"/>
                <w:sz w:val="24"/>
              </w:rPr>
            </w:pPr>
            <w:r>
              <w:rPr>
                <w:rFonts w:hint="eastAsia" w:ascii="仿宋" w:hAnsi="仿宋" w:eastAsia="仿宋" w:cs="仿宋"/>
                <w:b/>
                <w:color w:val="000000"/>
                <w:sz w:val="24"/>
              </w:rPr>
              <w:t>条款号</w:t>
            </w:r>
          </w:p>
        </w:tc>
        <w:tc>
          <w:tcPr>
            <w:tcW w:w="7633" w:type="dxa"/>
            <w:vAlign w:val="center"/>
          </w:tcPr>
          <w:p w14:paraId="77814061">
            <w:pPr>
              <w:spacing w:line="560" w:lineRule="exact"/>
              <w:jc w:val="center"/>
              <w:rPr>
                <w:rFonts w:hint="eastAsia" w:ascii="仿宋" w:hAnsi="仿宋" w:eastAsia="仿宋" w:cs="仿宋"/>
                <w:b/>
                <w:color w:val="000000"/>
                <w:sz w:val="24"/>
              </w:rPr>
            </w:pPr>
            <w:r>
              <w:rPr>
                <w:rFonts w:hint="eastAsia" w:ascii="仿宋" w:hAnsi="仿宋" w:eastAsia="仿宋" w:cs="仿宋"/>
                <w:b/>
                <w:color w:val="000000"/>
                <w:sz w:val="24"/>
              </w:rPr>
              <w:t>约定内容</w:t>
            </w:r>
          </w:p>
        </w:tc>
      </w:tr>
      <w:tr w14:paraId="43AD4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51D74E86">
            <w:pPr>
              <w:spacing w:line="560" w:lineRule="exact"/>
              <w:rPr>
                <w:rFonts w:hint="eastAsia" w:ascii="仿宋" w:hAnsi="仿宋" w:eastAsia="仿宋" w:cs="仿宋"/>
                <w:color w:val="000000"/>
                <w:sz w:val="24"/>
              </w:rPr>
            </w:pPr>
          </w:p>
        </w:tc>
        <w:tc>
          <w:tcPr>
            <w:tcW w:w="7633" w:type="dxa"/>
            <w:vAlign w:val="center"/>
          </w:tcPr>
          <w:p w14:paraId="5D2F2165">
            <w:pPr>
              <w:spacing w:line="560" w:lineRule="exact"/>
              <w:rPr>
                <w:rFonts w:hint="eastAsia" w:ascii="仿宋" w:hAnsi="仿宋" w:eastAsia="仿宋" w:cs="仿宋"/>
                <w:color w:val="000000"/>
                <w:sz w:val="24"/>
              </w:rPr>
            </w:pPr>
          </w:p>
        </w:tc>
      </w:tr>
      <w:tr w14:paraId="3CE46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63C79D4">
            <w:pPr>
              <w:spacing w:line="560" w:lineRule="exact"/>
              <w:rPr>
                <w:rFonts w:hint="eastAsia" w:ascii="仿宋" w:hAnsi="仿宋" w:eastAsia="仿宋" w:cs="仿宋"/>
                <w:color w:val="000000"/>
                <w:sz w:val="24"/>
              </w:rPr>
            </w:pPr>
          </w:p>
        </w:tc>
        <w:tc>
          <w:tcPr>
            <w:tcW w:w="7633" w:type="dxa"/>
            <w:vAlign w:val="center"/>
          </w:tcPr>
          <w:p w14:paraId="032A4211">
            <w:pPr>
              <w:spacing w:line="560" w:lineRule="exact"/>
              <w:rPr>
                <w:rFonts w:hint="eastAsia" w:ascii="仿宋" w:hAnsi="仿宋" w:eastAsia="仿宋" w:cs="仿宋"/>
                <w:color w:val="000000"/>
                <w:sz w:val="24"/>
              </w:rPr>
            </w:pPr>
          </w:p>
        </w:tc>
      </w:tr>
      <w:tr w14:paraId="0536E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C10FBCC">
            <w:pPr>
              <w:spacing w:line="560" w:lineRule="exact"/>
              <w:rPr>
                <w:rFonts w:hint="eastAsia" w:ascii="仿宋" w:hAnsi="仿宋" w:eastAsia="仿宋" w:cs="仿宋"/>
                <w:color w:val="000000"/>
                <w:sz w:val="24"/>
              </w:rPr>
            </w:pPr>
          </w:p>
        </w:tc>
        <w:tc>
          <w:tcPr>
            <w:tcW w:w="7633" w:type="dxa"/>
            <w:vAlign w:val="center"/>
          </w:tcPr>
          <w:p w14:paraId="7D22BD9C">
            <w:pPr>
              <w:spacing w:line="560" w:lineRule="exact"/>
              <w:rPr>
                <w:rFonts w:hint="eastAsia" w:ascii="仿宋" w:hAnsi="仿宋" w:eastAsia="仿宋" w:cs="仿宋"/>
                <w:color w:val="000000"/>
                <w:sz w:val="24"/>
              </w:rPr>
            </w:pPr>
          </w:p>
        </w:tc>
      </w:tr>
      <w:tr w14:paraId="3F73D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C2453AB">
            <w:pPr>
              <w:spacing w:line="560" w:lineRule="exact"/>
              <w:rPr>
                <w:rFonts w:hint="eastAsia" w:ascii="仿宋" w:hAnsi="仿宋" w:eastAsia="仿宋" w:cs="仿宋"/>
                <w:color w:val="000000"/>
                <w:sz w:val="24"/>
              </w:rPr>
            </w:pPr>
          </w:p>
        </w:tc>
        <w:tc>
          <w:tcPr>
            <w:tcW w:w="7633" w:type="dxa"/>
            <w:vAlign w:val="center"/>
          </w:tcPr>
          <w:p w14:paraId="584FD18D">
            <w:pPr>
              <w:spacing w:line="560" w:lineRule="exact"/>
              <w:rPr>
                <w:rFonts w:hint="eastAsia" w:ascii="仿宋" w:hAnsi="仿宋" w:eastAsia="仿宋" w:cs="仿宋"/>
                <w:color w:val="000000"/>
                <w:sz w:val="24"/>
              </w:rPr>
            </w:pPr>
          </w:p>
        </w:tc>
      </w:tr>
      <w:tr w14:paraId="6A45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791F7B7">
            <w:pPr>
              <w:spacing w:line="560" w:lineRule="exact"/>
              <w:rPr>
                <w:rFonts w:hint="eastAsia" w:ascii="仿宋" w:hAnsi="仿宋" w:eastAsia="仿宋" w:cs="仿宋"/>
                <w:color w:val="000000"/>
                <w:sz w:val="24"/>
              </w:rPr>
            </w:pPr>
          </w:p>
        </w:tc>
        <w:tc>
          <w:tcPr>
            <w:tcW w:w="7633" w:type="dxa"/>
            <w:vAlign w:val="center"/>
          </w:tcPr>
          <w:p w14:paraId="640E5E6F">
            <w:pPr>
              <w:spacing w:line="560" w:lineRule="exact"/>
              <w:rPr>
                <w:rFonts w:hint="eastAsia" w:ascii="仿宋" w:hAnsi="仿宋" w:eastAsia="仿宋" w:cs="仿宋"/>
                <w:color w:val="000000"/>
                <w:sz w:val="24"/>
                <w:u w:val="single"/>
              </w:rPr>
            </w:pPr>
          </w:p>
        </w:tc>
      </w:tr>
      <w:tr w14:paraId="567B9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5362455C">
            <w:pPr>
              <w:spacing w:line="560" w:lineRule="exact"/>
              <w:rPr>
                <w:rFonts w:hint="eastAsia" w:ascii="仿宋" w:hAnsi="仿宋" w:eastAsia="仿宋" w:cs="仿宋"/>
                <w:color w:val="000000"/>
                <w:sz w:val="24"/>
              </w:rPr>
            </w:pPr>
          </w:p>
        </w:tc>
        <w:tc>
          <w:tcPr>
            <w:tcW w:w="7633" w:type="dxa"/>
            <w:vAlign w:val="center"/>
          </w:tcPr>
          <w:p w14:paraId="0BCFE8E4">
            <w:pPr>
              <w:spacing w:line="560" w:lineRule="exact"/>
              <w:rPr>
                <w:rFonts w:hint="eastAsia" w:ascii="仿宋" w:hAnsi="仿宋" w:eastAsia="仿宋" w:cs="仿宋"/>
                <w:color w:val="000000"/>
                <w:sz w:val="24"/>
              </w:rPr>
            </w:pPr>
          </w:p>
        </w:tc>
      </w:tr>
      <w:tr w14:paraId="572E2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6ED394A">
            <w:pPr>
              <w:spacing w:line="560" w:lineRule="exact"/>
              <w:rPr>
                <w:rFonts w:hint="eastAsia" w:ascii="仿宋" w:hAnsi="仿宋" w:eastAsia="仿宋" w:cs="仿宋"/>
                <w:color w:val="000000"/>
                <w:sz w:val="24"/>
              </w:rPr>
            </w:pPr>
          </w:p>
        </w:tc>
        <w:tc>
          <w:tcPr>
            <w:tcW w:w="7633" w:type="dxa"/>
            <w:vAlign w:val="center"/>
          </w:tcPr>
          <w:p w14:paraId="0C728E51">
            <w:pPr>
              <w:spacing w:line="560" w:lineRule="exact"/>
              <w:rPr>
                <w:rFonts w:hint="eastAsia" w:ascii="仿宋" w:hAnsi="仿宋" w:eastAsia="仿宋" w:cs="仿宋"/>
                <w:color w:val="000000"/>
                <w:sz w:val="24"/>
                <w:u w:val="single"/>
              </w:rPr>
            </w:pPr>
          </w:p>
        </w:tc>
      </w:tr>
      <w:tr w14:paraId="7AA5D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CCC5E26">
            <w:pPr>
              <w:spacing w:line="560" w:lineRule="exact"/>
              <w:rPr>
                <w:rFonts w:hint="eastAsia" w:ascii="仿宋" w:hAnsi="仿宋" w:eastAsia="仿宋" w:cs="仿宋"/>
                <w:color w:val="000000"/>
                <w:sz w:val="24"/>
              </w:rPr>
            </w:pPr>
          </w:p>
        </w:tc>
        <w:tc>
          <w:tcPr>
            <w:tcW w:w="7633" w:type="dxa"/>
            <w:vAlign w:val="center"/>
          </w:tcPr>
          <w:p w14:paraId="4D1CABF1">
            <w:pPr>
              <w:spacing w:line="560" w:lineRule="exact"/>
              <w:rPr>
                <w:rFonts w:hint="eastAsia" w:ascii="仿宋" w:hAnsi="仿宋" w:eastAsia="仿宋" w:cs="仿宋"/>
                <w:color w:val="000000"/>
                <w:sz w:val="24"/>
              </w:rPr>
            </w:pPr>
          </w:p>
        </w:tc>
      </w:tr>
      <w:tr w14:paraId="4D282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49EB67D">
            <w:pPr>
              <w:spacing w:line="560" w:lineRule="exact"/>
              <w:rPr>
                <w:rFonts w:hint="eastAsia" w:ascii="仿宋" w:hAnsi="仿宋" w:eastAsia="仿宋" w:cs="仿宋"/>
                <w:color w:val="000000"/>
                <w:sz w:val="24"/>
              </w:rPr>
            </w:pPr>
          </w:p>
        </w:tc>
        <w:tc>
          <w:tcPr>
            <w:tcW w:w="7633" w:type="dxa"/>
            <w:vAlign w:val="center"/>
          </w:tcPr>
          <w:p w14:paraId="1286E6C6">
            <w:pPr>
              <w:spacing w:line="560" w:lineRule="exact"/>
              <w:rPr>
                <w:rFonts w:hint="eastAsia" w:ascii="仿宋" w:hAnsi="仿宋" w:eastAsia="仿宋" w:cs="仿宋"/>
                <w:color w:val="000000"/>
                <w:sz w:val="24"/>
              </w:rPr>
            </w:pPr>
          </w:p>
        </w:tc>
      </w:tr>
      <w:tr w14:paraId="590F9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73D7B7F">
            <w:pPr>
              <w:spacing w:line="560" w:lineRule="exact"/>
              <w:rPr>
                <w:rFonts w:hint="eastAsia" w:ascii="仿宋" w:hAnsi="仿宋" w:eastAsia="仿宋" w:cs="仿宋"/>
                <w:color w:val="000000"/>
                <w:sz w:val="24"/>
              </w:rPr>
            </w:pPr>
          </w:p>
        </w:tc>
        <w:tc>
          <w:tcPr>
            <w:tcW w:w="7633" w:type="dxa"/>
            <w:vAlign w:val="center"/>
          </w:tcPr>
          <w:p w14:paraId="75623E7D">
            <w:pPr>
              <w:spacing w:line="560" w:lineRule="exact"/>
              <w:rPr>
                <w:rFonts w:hint="eastAsia" w:ascii="仿宋" w:hAnsi="仿宋" w:eastAsia="仿宋" w:cs="仿宋"/>
                <w:color w:val="000000"/>
                <w:sz w:val="24"/>
              </w:rPr>
            </w:pPr>
          </w:p>
        </w:tc>
      </w:tr>
      <w:tr w14:paraId="5B43F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2386E60">
            <w:pPr>
              <w:spacing w:line="560" w:lineRule="exact"/>
              <w:rPr>
                <w:rFonts w:hint="eastAsia" w:ascii="仿宋" w:hAnsi="仿宋" w:eastAsia="仿宋" w:cs="仿宋"/>
                <w:color w:val="000000"/>
                <w:sz w:val="24"/>
              </w:rPr>
            </w:pPr>
          </w:p>
        </w:tc>
        <w:tc>
          <w:tcPr>
            <w:tcW w:w="7633" w:type="dxa"/>
            <w:vAlign w:val="center"/>
          </w:tcPr>
          <w:p w14:paraId="7AFD2B13">
            <w:pPr>
              <w:spacing w:line="560" w:lineRule="exact"/>
              <w:rPr>
                <w:rFonts w:hint="eastAsia" w:ascii="仿宋" w:hAnsi="仿宋" w:eastAsia="仿宋" w:cs="仿宋"/>
                <w:color w:val="000000"/>
                <w:sz w:val="24"/>
              </w:rPr>
            </w:pPr>
          </w:p>
        </w:tc>
      </w:tr>
      <w:tr w14:paraId="6B7A8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D4FBA06">
            <w:pPr>
              <w:spacing w:line="560" w:lineRule="exact"/>
              <w:rPr>
                <w:rFonts w:hint="eastAsia" w:ascii="仿宋" w:hAnsi="仿宋" w:eastAsia="仿宋" w:cs="仿宋"/>
                <w:color w:val="000000"/>
                <w:sz w:val="24"/>
              </w:rPr>
            </w:pPr>
          </w:p>
        </w:tc>
        <w:tc>
          <w:tcPr>
            <w:tcW w:w="7633" w:type="dxa"/>
            <w:vAlign w:val="center"/>
          </w:tcPr>
          <w:p w14:paraId="71ACF79C">
            <w:pPr>
              <w:spacing w:line="560" w:lineRule="exact"/>
              <w:rPr>
                <w:rFonts w:hint="eastAsia" w:ascii="仿宋" w:hAnsi="仿宋" w:eastAsia="仿宋" w:cs="仿宋"/>
                <w:color w:val="000000"/>
                <w:sz w:val="24"/>
              </w:rPr>
            </w:pPr>
          </w:p>
        </w:tc>
      </w:tr>
    </w:tbl>
    <w:p w14:paraId="45E8C897">
      <w:pPr>
        <w:pStyle w:val="52"/>
        <w:bidi w:val="0"/>
        <w:ind w:firstLine="420" w:firstLineChars="200"/>
        <w:outlineLvl w:val="9"/>
        <w:rPr>
          <w:rFonts w:hint="eastAsia" w:ascii="仿宋" w:hAnsi="仿宋" w:eastAsia="仿宋" w:cs="仿宋"/>
          <w:color w:val="000000"/>
          <w:sz w:val="21"/>
          <w:szCs w:val="21"/>
          <w:highlight w:val="none"/>
        </w:rPr>
      </w:pPr>
    </w:p>
    <w:p w14:paraId="3AD401E8">
      <w:pPr>
        <w:pStyle w:val="27"/>
        <w:rPr>
          <w:rFonts w:hint="eastAsia" w:ascii="仿宋" w:hAnsi="仿宋" w:eastAsia="仿宋" w:cs="仿宋"/>
          <w:color w:val="000000"/>
        </w:rPr>
      </w:pPr>
    </w:p>
    <w:p w14:paraId="01D94E69">
      <w:pPr>
        <w:rPr>
          <w:color w:val="000000"/>
        </w:rPr>
      </w:pPr>
    </w:p>
    <w:sectPr>
      <w:headerReference r:id="rId11" w:type="default"/>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YaHei">
    <w:altName w:val="Times New Roman"/>
    <w:panose1 w:val="00000000000000000000"/>
    <w:charset w:val="00"/>
    <w:family w:val="roman"/>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6AB7">
    <w:pPr>
      <w:pStyle w:val="23"/>
      <w:ind w:right="360" w:firstLine="360"/>
      <w:jc w:val="righ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10819C">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VshXDAQAAhw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y6RQH7CixPtwB5OHZCa6Qws2fYkIG7Kq56uqaohM0uVyvVqvSxJcUmx2CKd4+D0AxvfKW5aM&#10;mgONLaspTh8xjqlzSqpmXDqdv9XGjNF0U6Q2x8aSFYf9MHW7982ZWPY05po72mrOzAdHKqaNmA2Y&#10;jf1sHAPoQ5dXJtXD8O4YqWZuKFUYYafCNJ9MadqltAB/+znr4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xhWyFcMBAACHAwAADgAAAAAAAAABACAAAAAfAQAAZHJzL2Uyb0RvYy54bWxQ&#10;SwUGAAAAAAYABgBZAQAAVAUAAAAA&#10;">
              <v:fill on="f" focussize="0,0"/>
              <v:stroke on="f"/>
              <v:imagedata o:title=""/>
              <o:lock v:ext="edit" aspectratio="f"/>
              <v:textbox inset="0mm,0mm,0mm,0mm" style="mso-fit-shape-to-text:t;">
                <w:txbxContent>
                  <w:p w14:paraId="7510819C">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2EB5">
    <w:pPr>
      <w:pStyle w:val="23"/>
      <w:ind w:right="360" w:firstLine="360"/>
      <w:jc w:val="righ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003AF4">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rkffC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TuavBOWZn758f3y8/fl&#10;1zf2N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tK5H3wgEAAIcDAAAOAAAAAAAAAAEAIAAAAB8BAABkcnMvZTJvRG9jLnhtbFBL&#10;BQYAAAAABgAGAFkBAABTBQAAAAA=&#10;">
              <v:fill on="f" focussize="0,0"/>
              <v:stroke on="f"/>
              <v:imagedata o:title=""/>
              <o:lock v:ext="edit" aspectratio="f"/>
              <v:textbox inset="0mm,0mm,0mm,0mm" style="mso-fit-shape-to-text:t;">
                <w:txbxContent>
                  <w:p w14:paraId="3F003AF4">
                    <w:pPr>
                      <w:pStyle w:val="2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B786">
    <w:pPr>
      <w:pStyle w:val="23"/>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97C392">
                          <w:pPr>
                            <w:pStyle w:val="2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QDbLJ8MBAACHAwAADgAAAAAAAAABACAAAAAfAQAAZHJzL2Uyb0RvYy54bWxQ&#10;SwUGAAAAAAYABgBZAQAAVAUAAAAA&#10;">
              <v:fill on="f" focussize="0,0"/>
              <v:stroke on="f"/>
              <v:imagedata o:title=""/>
              <o:lock v:ext="edit" aspectratio="f"/>
              <v:textbox inset="0mm,0mm,0mm,0mm" style="mso-fit-shape-to-text:t;">
                <w:txbxContent>
                  <w:p w14:paraId="6A97C392">
                    <w:pPr>
                      <w:pStyle w:val="23"/>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rect>
          </w:pict>
        </mc:Fallback>
      </mc:AlternateContent>
    </w:r>
  </w:p>
  <w:p w14:paraId="6312967A">
    <w:pPr>
      <w:pStyle w:val="2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A54A">
    <w:pPr>
      <w:pStyle w:val="23"/>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F29E52">
                          <w:pPr>
                            <w:pStyle w:val="2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41</w:t>
                          </w:r>
                          <w:r>
                            <w:rPr>
                              <w:rFonts w:hint="eastAsia"/>
                              <w:lang w:eastAsia="zh-CN"/>
                            </w:rPr>
                            <w:fldChar w:fldCharType="end"/>
                          </w:r>
                        </w:p>
                      </w:txbxContent>
                    </wps:txbx>
                    <wps:bodyPr wrap="none" lIns="0" tIns="0" rIns="0" bIns="0"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l9FnLB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XZYkihOWZn75+ePy68/l&#10;93f2PinUB6wo8SHcw+QhmYnu0IJNXyLChqzq+aqqGiKTdLlcr9brhC0pNjuEUzz+HgDjB+UtS0bN&#10;gcaW1RSnTxjH1DklVTMunc7faWPGaLopUptjY8mKw36Yut375kwsexpzzR1tNWfmoyMV00bMBszG&#10;fjaOAfShyyuT6mG4PUaqmRtKFUbYqTDNJ1OadiktwL9+znp8P9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Ml9FnLBAQAAhwMAAA4AAAAAAAAAAQAgAAAAHwEAAGRycy9lMm9Eb2MueG1sUEsF&#10;BgAAAAAGAAYAWQEAAFIFAAAAAA==&#10;">
              <v:fill on="f" focussize="0,0"/>
              <v:stroke on="f"/>
              <v:imagedata o:title=""/>
              <o:lock v:ext="edit" aspectratio="f"/>
              <v:textbox inset="0mm,0mm,0mm,0mm" style="mso-fit-shape-to-text:t;">
                <w:txbxContent>
                  <w:p w14:paraId="0DF29E52">
                    <w:pPr>
                      <w:pStyle w:val="2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41</w:t>
                    </w:r>
                    <w:r>
                      <w:rPr>
                        <w:rFonts w:hint="eastAsia"/>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BE46">
    <w:pPr>
      <w:pStyle w:val="23"/>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666F87">
                          <w:pPr>
                            <w:pStyle w:val="23"/>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mP1QbwgEAAIcDAAAOAAAAAAAAAAEAIAAAAB8BAABkcnMvZTJvRG9jLnhtbFBL&#10;BQYAAAAABgAGAFkBAABTBQAAAAA=&#10;">
              <v:fill on="f" focussize="0,0"/>
              <v:stroke on="f"/>
              <v:imagedata o:title=""/>
              <o:lock v:ext="edit" aspectratio="f"/>
              <v:textbox inset="0mm,0mm,0mm,0mm" style="mso-fit-shape-to-text:t;">
                <w:txbxContent>
                  <w:p w14:paraId="37666F87">
                    <w:pPr>
                      <w:pStyle w:val="23"/>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rect>
          </w:pict>
        </mc:Fallback>
      </mc:AlternateContent>
    </w:r>
  </w:p>
  <w:p w14:paraId="31640358">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2EE0">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7DE2">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5F4F">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ACC6">
    <w:pPr>
      <w:pStyle w:val="24"/>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DF74">
    <w:pPr>
      <w:pStyle w:val="2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09311"/>
    <w:multiLevelType w:val="singleLevel"/>
    <w:tmpl w:val="84F09311"/>
    <w:lvl w:ilvl="0" w:tentative="0">
      <w:start w:val="1"/>
      <w:numFmt w:val="decimal"/>
      <w:lvlText w:val="%1."/>
      <w:lvlJc w:val="left"/>
      <w:pPr>
        <w:tabs>
          <w:tab w:val="left" w:pos="312"/>
        </w:tabs>
      </w:pPr>
    </w:lvl>
  </w:abstractNum>
  <w:abstractNum w:abstractNumId="1">
    <w:nsid w:val="00000000"/>
    <w:multiLevelType w:val="multilevel"/>
    <w:tmpl w:val="00000000"/>
    <w:lvl w:ilvl="0" w:tentative="0">
      <w:start w:val="1"/>
      <w:numFmt w:val="decimal"/>
      <w:lvlText w:val="（%1）"/>
      <w:lvlJc w:val="left"/>
      <w:pPr>
        <w:tabs>
          <w:tab w:val="left" w:pos="1571"/>
        </w:tabs>
        <w:ind w:left="1721" w:hanging="720"/>
      </w:pPr>
      <w:rPr>
        <w:rFonts w:hint="default" w:ascii="仿宋_GB2312" w:hAnsi="宋体" w:eastAsia="仿宋_GB2312" w:cs="Times New Roman"/>
        <w:b/>
        <w:bCs/>
        <w:sz w:val="20"/>
        <w:szCs w:val="20"/>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7D30"/>
    <w:rsid w:val="00B406C6"/>
    <w:rsid w:val="02720839"/>
    <w:rsid w:val="02F1570A"/>
    <w:rsid w:val="03345AEF"/>
    <w:rsid w:val="037C1244"/>
    <w:rsid w:val="03C2759E"/>
    <w:rsid w:val="048110D0"/>
    <w:rsid w:val="07A33592"/>
    <w:rsid w:val="08980941"/>
    <w:rsid w:val="08DA7138"/>
    <w:rsid w:val="097F1A8E"/>
    <w:rsid w:val="09896468"/>
    <w:rsid w:val="0A357AEC"/>
    <w:rsid w:val="0AC31B50"/>
    <w:rsid w:val="0B6650D6"/>
    <w:rsid w:val="0BF95B27"/>
    <w:rsid w:val="0DEC1D46"/>
    <w:rsid w:val="10260EB5"/>
    <w:rsid w:val="10417A9D"/>
    <w:rsid w:val="10857989"/>
    <w:rsid w:val="14065285"/>
    <w:rsid w:val="14423DE3"/>
    <w:rsid w:val="14445DAD"/>
    <w:rsid w:val="14AB7BDB"/>
    <w:rsid w:val="15A937EF"/>
    <w:rsid w:val="15C22F19"/>
    <w:rsid w:val="1698683A"/>
    <w:rsid w:val="17171557"/>
    <w:rsid w:val="17D411F6"/>
    <w:rsid w:val="17EF6030"/>
    <w:rsid w:val="18491BE4"/>
    <w:rsid w:val="18DA672E"/>
    <w:rsid w:val="194D0C0F"/>
    <w:rsid w:val="19EC0BF3"/>
    <w:rsid w:val="1A6A4C5B"/>
    <w:rsid w:val="1A8A0DC2"/>
    <w:rsid w:val="1D6978BE"/>
    <w:rsid w:val="1DA63635"/>
    <w:rsid w:val="21617F9F"/>
    <w:rsid w:val="2175353F"/>
    <w:rsid w:val="22631AF5"/>
    <w:rsid w:val="24283E33"/>
    <w:rsid w:val="24C745BD"/>
    <w:rsid w:val="256775AD"/>
    <w:rsid w:val="25E46D6D"/>
    <w:rsid w:val="262241EA"/>
    <w:rsid w:val="26A34D40"/>
    <w:rsid w:val="2767173F"/>
    <w:rsid w:val="27DA7E77"/>
    <w:rsid w:val="27E64D5A"/>
    <w:rsid w:val="2BEF50B2"/>
    <w:rsid w:val="2C041C52"/>
    <w:rsid w:val="2C22657D"/>
    <w:rsid w:val="2D870D8D"/>
    <w:rsid w:val="2DA32A8E"/>
    <w:rsid w:val="32A61CB5"/>
    <w:rsid w:val="342A06C4"/>
    <w:rsid w:val="36770A64"/>
    <w:rsid w:val="37215DAE"/>
    <w:rsid w:val="3B4007CD"/>
    <w:rsid w:val="3BA1126C"/>
    <w:rsid w:val="3F566811"/>
    <w:rsid w:val="3FDF4E62"/>
    <w:rsid w:val="411918A4"/>
    <w:rsid w:val="42BE6BA7"/>
    <w:rsid w:val="441F3676"/>
    <w:rsid w:val="4B4656F5"/>
    <w:rsid w:val="4BEA27BB"/>
    <w:rsid w:val="4D07739D"/>
    <w:rsid w:val="4D3A595B"/>
    <w:rsid w:val="4E546612"/>
    <w:rsid w:val="4E760336"/>
    <w:rsid w:val="4EBB0180"/>
    <w:rsid w:val="52650DED"/>
    <w:rsid w:val="52812ED5"/>
    <w:rsid w:val="55A0038E"/>
    <w:rsid w:val="566D62CB"/>
    <w:rsid w:val="57396B47"/>
    <w:rsid w:val="591F781C"/>
    <w:rsid w:val="5A7A7400"/>
    <w:rsid w:val="5B303F63"/>
    <w:rsid w:val="5B5E07F4"/>
    <w:rsid w:val="5B5E10B5"/>
    <w:rsid w:val="5B885B4D"/>
    <w:rsid w:val="5C8F1D6F"/>
    <w:rsid w:val="63352116"/>
    <w:rsid w:val="635C3B47"/>
    <w:rsid w:val="65311B82"/>
    <w:rsid w:val="68E85E7D"/>
    <w:rsid w:val="697A2F79"/>
    <w:rsid w:val="69F94E90"/>
    <w:rsid w:val="6AAF6C52"/>
    <w:rsid w:val="6C1A3B5A"/>
    <w:rsid w:val="6CED1CB3"/>
    <w:rsid w:val="6E554A2C"/>
    <w:rsid w:val="6ED21161"/>
    <w:rsid w:val="6EE91D19"/>
    <w:rsid w:val="6FC7059A"/>
    <w:rsid w:val="70012F00"/>
    <w:rsid w:val="70CE5958"/>
    <w:rsid w:val="726447C6"/>
    <w:rsid w:val="741144D9"/>
    <w:rsid w:val="76960CC6"/>
    <w:rsid w:val="76C439B8"/>
    <w:rsid w:val="78C63AFF"/>
    <w:rsid w:val="79FD51EE"/>
    <w:rsid w:val="7B937ECA"/>
    <w:rsid w:val="7C6D055C"/>
    <w:rsid w:val="7C975798"/>
    <w:rsid w:val="7D051EC5"/>
    <w:rsid w:val="7D562F5D"/>
    <w:rsid w:val="7D7004C3"/>
    <w:rsid w:val="7F21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Cambria" w:hAnsi="Cambria"/>
      <w:b/>
      <w:bCs/>
    </w:rPr>
  </w:style>
  <w:style w:type="character" w:default="1" w:styleId="38">
    <w:name w:val="Default Paragraph Font"/>
    <w:qFormat/>
    <w:uiPriority w:val="1"/>
  </w:style>
  <w:style w:type="table" w:default="1" w:styleId="36">
    <w:name w:val="Normal Table"/>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39"/>
    <w:pPr>
      <w:ind w:left="2520" w:leftChars="1200"/>
    </w:pPr>
    <w:rPr>
      <w:rFonts w:ascii="Calibri" w:hAnsi="Calibri" w:eastAsia="宋体" w:cs="宋体"/>
      <w:szCs w:val="22"/>
    </w:rPr>
  </w:style>
  <w:style w:type="paragraph" w:styleId="10">
    <w:name w:val="index 8"/>
    <w:basedOn w:val="1"/>
    <w:next w:val="1"/>
    <w:qFormat/>
    <w:uiPriority w:val="0"/>
    <w:pPr>
      <w:ind w:left="3920" w:leftChars="1400"/>
    </w:pPr>
  </w:style>
  <w:style w:type="paragraph" w:styleId="11">
    <w:name w:val="index 5"/>
    <w:basedOn w:val="1"/>
    <w:next w:val="1"/>
    <w:qFormat/>
    <w:uiPriority w:val="0"/>
    <w:pPr>
      <w:ind w:left="1680"/>
    </w:pPr>
    <w:rPr>
      <w:rFonts w:hint="eastAsia"/>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qFormat/>
    <w:uiPriority w:val="99"/>
    <w:pPr>
      <w:jc w:val="left"/>
    </w:pPr>
  </w:style>
  <w:style w:type="paragraph" w:styleId="14">
    <w:name w:val="index 6"/>
    <w:basedOn w:val="1"/>
    <w:next w:val="1"/>
    <w:qFormat/>
    <w:uiPriority w:val="99"/>
    <w:pPr>
      <w:ind w:left="2100"/>
    </w:pPr>
  </w:style>
  <w:style w:type="paragraph" w:styleId="15">
    <w:name w:val="Body Text"/>
    <w:basedOn w:val="1"/>
    <w:next w:val="16"/>
    <w:qFormat/>
    <w:uiPriority w:val="0"/>
    <w:pPr>
      <w:tabs>
        <w:tab w:val="left" w:pos="567"/>
      </w:tabs>
      <w:spacing w:before="120" w:line="22" w:lineRule="atLeast"/>
    </w:pPr>
    <w:rPr>
      <w:rFonts w:ascii="宋体" w:hAnsi="宋体"/>
      <w:sz w:val="24"/>
    </w:rPr>
  </w:style>
  <w:style w:type="paragraph" w:customStyle="1" w:styleId="16">
    <w:name w:val="_Style 2"/>
    <w:basedOn w:val="1"/>
    <w:next w:val="1"/>
    <w:qFormat/>
    <w:uiPriority w:val="0"/>
    <w:pPr>
      <w:ind w:firstLine="200" w:firstLineChars="200"/>
    </w:pPr>
    <w:rPr>
      <w:rFonts w:ascii="Calibri" w:hAnsi="Calibri"/>
      <w:sz w:val="28"/>
      <w:szCs w:val="22"/>
    </w:rPr>
  </w:style>
  <w:style w:type="paragraph" w:styleId="17">
    <w:name w:val="Body Text Indent"/>
    <w:basedOn w:val="1"/>
    <w:next w:val="6"/>
    <w:qFormat/>
    <w:uiPriority w:val="99"/>
    <w:pPr>
      <w:spacing w:after="120"/>
      <w:ind w:left="420" w:leftChars="200"/>
    </w:pPr>
  </w:style>
  <w:style w:type="paragraph" w:styleId="18">
    <w:name w:val="toc 5"/>
    <w:basedOn w:val="1"/>
    <w:next w:val="1"/>
    <w:qFormat/>
    <w:uiPriority w:val="39"/>
    <w:pPr>
      <w:ind w:left="1680" w:leftChars="800"/>
    </w:pPr>
    <w:rPr>
      <w:rFonts w:ascii="Calibri" w:hAnsi="Calibri" w:eastAsia="宋体" w:cs="宋体"/>
      <w:szCs w:val="22"/>
    </w:rPr>
  </w:style>
  <w:style w:type="paragraph" w:styleId="19">
    <w:name w:val="toc 3"/>
    <w:basedOn w:val="1"/>
    <w:next w:val="1"/>
    <w:qFormat/>
    <w:uiPriority w:val="39"/>
    <w:pPr>
      <w:tabs>
        <w:tab w:val="left" w:pos="1260"/>
        <w:tab w:val="right" w:leader="dot" w:pos="8630"/>
      </w:tabs>
      <w:ind w:left="840" w:leftChars="400"/>
    </w:pPr>
  </w:style>
  <w:style w:type="paragraph" w:styleId="20">
    <w:name w:val="Plain Text"/>
    <w:basedOn w:val="1"/>
    <w:qFormat/>
    <w:uiPriority w:val="0"/>
    <w:rPr>
      <w:rFonts w:ascii="宋体" w:hAnsi="Courier New"/>
      <w:szCs w:val="20"/>
    </w:rPr>
  </w:style>
  <w:style w:type="paragraph" w:styleId="21">
    <w:name w:val="toc 8"/>
    <w:basedOn w:val="1"/>
    <w:next w:val="1"/>
    <w:qFormat/>
    <w:uiPriority w:val="39"/>
    <w:pPr>
      <w:ind w:left="2940" w:leftChars="1400"/>
    </w:pPr>
    <w:rPr>
      <w:rFonts w:ascii="Calibri" w:hAnsi="Calibri" w:eastAsia="宋体" w:cs="宋体"/>
      <w:szCs w:val="22"/>
    </w:rPr>
  </w:style>
  <w:style w:type="paragraph" w:styleId="22">
    <w:name w:val="Body Text Indent 2"/>
    <w:basedOn w:val="1"/>
    <w:qFormat/>
    <w:uiPriority w:val="0"/>
    <w:pPr>
      <w:ind w:firstLine="480" w:firstLineChars="200"/>
    </w:pPr>
    <w:rPr>
      <w:rFonts w:ascii="仿宋_GB2312" w:eastAsia="仿宋_GB2312"/>
      <w:sz w:val="24"/>
    </w:rPr>
  </w:style>
  <w:style w:type="paragraph" w:styleId="2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rPr>
      <w:rFonts w:ascii="Calibri" w:hAnsi="Calibri" w:eastAsia="宋体" w:cs="宋体"/>
      <w:szCs w:val="22"/>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rPr>
      <w:rFonts w:ascii="Calibri" w:hAnsi="Calibri" w:eastAsia="宋体" w:cs="宋体"/>
      <w:szCs w:val="22"/>
    </w:rPr>
  </w:style>
  <w:style w:type="paragraph" w:styleId="29">
    <w:name w:val="index 7"/>
    <w:basedOn w:val="1"/>
    <w:next w:val="1"/>
    <w:qFormat/>
    <w:uiPriority w:val="0"/>
    <w:pPr>
      <w:autoSpaceDE/>
      <w:autoSpaceDN/>
      <w:adjustRightInd/>
      <w:ind w:left="1200" w:leftChars="1200"/>
    </w:pPr>
    <w:rPr>
      <w:color w:val="auto"/>
      <w:kern w:val="2"/>
      <w:szCs w:val="24"/>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rPr>
      <w:rFonts w:ascii="Calibri" w:hAnsi="Calibri" w:eastAsia="宋体" w:cs="宋体"/>
      <w:szCs w:val="22"/>
    </w:rPr>
  </w:style>
  <w:style w:type="paragraph" w:styleId="32">
    <w:name w:val="Body Text 2"/>
    <w:basedOn w:val="1"/>
    <w:qFormat/>
    <w:uiPriority w:val="0"/>
    <w:pPr>
      <w:adjustRightInd w:val="0"/>
      <w:snapToGrid w:val="0"/>
      <w:spacing w:line="480" w:lineRule="atLeast"/>
    </w:pPr>
    <w:rPr>
      <w:rFonts w:ascii="宋体" w:hAnsi="宋体"/>
      <w:sz w:val="28"/>
    </w:rPr>
  </w:style>
  <w:style w:type="paragraph" w:styleId="33">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34">
    <w:name w:val="Body Text First Indent"/>
    <w:basedOn w:val="15"/>
    <w:next w:val="1"/>
    <w:qFormat/>
    <w:uiPriority w:val="99"/>
    <w:pPr>
      <w:tabs>
        <w:tab w:val="clear" w:pos="567"/>
      </w:tabs>
      <w:ind w:firstLine="420" w:firstLineChars="100"/>
    </w:pPr>
    <w:rPr>
      <w:sz w:val="21"/>
    </w:rPr>
  </w:style>
  <w:style w:type="paragraph" w:styleId="35">
    <w:name w:val="Body Text First Indent 2"/>
    <w:basedOn w:val="17"/>
    <w:next w:val="34"/>
    <w:qFormat/>
    <w:uiPriority w:val="0"/>
    <w:pPr>
      <w:spacing w:after="0"/>
      <w:ind w:left="0" w:leftChars="0" w:firstLine="420" w:firstLineChars="200"/>
    </w:pPr>
    <w:rPr>
      <w:rFonts w:ascii="Calibri" w:hAnsi="Calibri" w:cs="Calibri"/>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basedOn w:val="38"/>
    <w:qFormat/>
    <w:uiPriority w:val="99"/>
    <w:rPr>
      <w:color w:val="0563C1"/>
      <w:u w:val="single"/>
    </w:rPr>
  </w:style>
  <w:style w:type="character" w:styleId="42">
    <w:name w:val="HTML Sample"/>
    <w:basedOn w:val="38"/>
    <w:qFormat/>
    <w:uiPriority w:val="0"/>
    <w:rPr>
      <w:rFonts w:ascii="Courier New" w:hAnsi="Courier New"/>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0"/>
      <w:szCs w:val="20"/>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50">
    <w:name w:val="List Paragraph"/>
    <w:basedOn w:val="1"/>
    <w:qFormat/>
    <w:uiPriority w:val="34"/>
    <w:pPr>
      <w:ind w:firstLine="420" w:firstLineChars="200"/>
    </w:p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2">
    <w:name w:val="正文_0"/>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bookmark-item"/>
    <w:qFormat/>
    <w:uiPriority w:val="0"/>
  </w:style>
  <w:style w:type="paragraph" w:customStyle="1" w:styleId="54">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6">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列表段落1"/>
    <w:basedOn w:val="1"/>
    <w:qFormat/>
    <w:uiPriority w:val="34"/>
    <w:pPr>
      <w:ind w:firstLine="420" w:firstLineChars="200"/>
    </w:pPr>
  </w:style>
  <w:style w:type="character" w:customStyle="1" w:styleId="59">
    <w:name w:val="fontstyle01"/>
    <w:basedOn w:val="38"/>
    <w:qFormat/>
    <w:uiPriority w:val="0"/>
    <w:rPr>
      <w:rFonts w:hint="default" w:ascii="MicrosoftYaHei" w:hAnsi="MicrosoftYaHei"/>
      <w:color w:val="000000"/>
      <w:sz w:val="32"/>
      <w:szCs w:val="32"/>
    </w:rPr>
  </w:style>
  <w:style w:type="paragraph" w:customStyle="1" w:styleId="60">
    <w:name w:val="BodyText1I"/>
    <w:basedOn w:val="61"/>
    <w:qFormat/>
    <w:uiPriority w:val="0"/>
    <w:pPr>
      <w:tabs>
        <w:tab w:val="left" w:pos="567"/>
      </w:tabs>
      <w:spacing w:before="120" w:line="240" w:lineRule="atLeast"/>
      <w:ind w:firstLine="420" w:firstLineChars="100"/>
      <w:jc w:val="both"/>
      <w:textAlignment w:val="baseline"/>
    </w:pPr>
  </w:style>
  <w:style w:type="paragraph" w:customStyle="1" w:styleId="61">
    <w:name w:val="BodyText"/>
    <w:basedOn w:val="1"/>
    <w:next w:val="62"/>
    <w:qFormat/>
    <w:uiPriority w:val="0"/>
    <w:pPr>
      <w:tabs>
        <w:tab w:val="left" w:pos="567"/>
      </w:tabs>
      <w:spacing w:before="120" w:line="240" w:lineRule="atLeast"/>
      <w:jc w:val="both"/>
      <w:textAlignment w:val="baseline"/>
    </w:pPr>
    <w:rPr>
      <w:rFonts w:ascii="宋体" w:hAnsi="宋体" w:eastAsia="宋体"/>
      <w:kern w:val="2"/>
      <w:sz w:val="24"/>
      <w:szCs w:val="24"/>
      <w:lang w:val="en-US" w:eastAsia="zh-CN" w:bidi="ar-SA"/>
    </w:rPr>
  </w:style>
  <w:style w:type="paragraph" w:customStyle="1" w:styleId="62">
    <w:name w:val="UserStyle_0"/>
    <w:qFormat/>
    <w:uiPriority w:val="0"/>
    <w:pPr>
      <w:textAlignment w:val="baseline"/>
    </w:pPr>
    <w:rPr>
      <w:rFonts w:ascii="Calibri" w:hAnsi="Calibri" w:eastAsia="宋体" w:cs="Times New Roman"/>
      <w:color w:val="000000"/>
      <w:sz w:val="24"/>
      <w:szCs w:val="24"/>
      <w:lang w:val="en-US" w:eastAsia="zh-CN" w:bidi="ar-SA"/>
    </w:rPr>
  </w:style>
  <w:style w:type="character" w:customStyle="1" w:styleId="63">
    <w:name w:val="font11"/>
    <w:basedOn w:val="38"/>
    <w:qFormat/>
    <w:uiPriority w:val="0"/>
    <w:rPr>
      <w:rFonts w:hint="eastAsia" w:ascii="宋体" w:hAnsi="宋体" w:eastAsia="宋体" w:cs="宋体"/>
      <w:color w:val="000000"/>
      <w:sz w:val="20"/>
      <w:szCs w:val="20"/>
      <w:u w:val="none"/>
    </w:rPr>
  </w:style>
  <w:style w:type="paragraph" w:customStyle="1" w:styleId="64">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65">
    <w:name w:val="Table Text"/>
    <w:basedOn w:val="1"/>
    <w:qFormat/>
    <w:uiPriority w:val="0"/>
    <w:rPr>
      <w:rFonts w:ascii="仿宋" w:hAnsi="仿宋" w:eastAsia="仿宋" w:cs="仿宋"/>
      <w:sz w:val="24"/>
      <w:szCs w:val="24"/>
    </w:rPr>
  </w:style>
  <w:style w:type="table" w:customStyle="1" w:styleId="6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BE9C6-76DC-4E48-9D37-0D5149B37C97}">
  <ds:schemaRefs/>
</ds:datastoreItem>
</file>

<file path=docProps/app.xml><?xml version="1.0" encoding="utf-8"?>
<Properties xmlns="http://schemas.openxmlformats.org/officeDocument/2006/extended-properties" xmlns:vt="http://schemas.openxmlformats.org/officeDocument/2006/docPropsVTypes">
  <Template>Normal</Template>
  <Pages>78</Pages>
  <Words>13462</Words>
  <Characters>14174</Characters>
  <Paragraphs>2468</Paragraphs>
  <TotalTime>20</TotalTime>
  <ScaleCrop>false</ScaleCrop>
  <LinksUpToDate>false</LinksUpToDate>
  <CharactersWithSpaces>16285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我不叫赵山河</cp:lastModifiedBy>
  <cp:lastPrinted>2022-03-15T04:11:00Z</cp:lastPrinted>
  <dcterms:modified xsi:type="dcterms:W3CDTF">2026-04-17T05:34:53Z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11F0C892DB564C07B76E55DDE20510F0_13</vt:lpwstr>
  </property>
  <property fmtid="{D5CDD505-2E9C-101B-9397-08002B2CF9AE}" pid="4" name="KSOTemplateDocerSaveRecord">
    <vt:lpwstr>eyJoZGlkIjoiN2E1Y2E4Mjc0NWJmMzkwMTJlMmJlMDQ0ZDczY2JhYzMiLCJ1c2VySWQiOiI4OTU5Mzg4OTgifQ==</vt:lpwstr>
  </property>
</Properties>
</file>