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4E3D">
      <w:pPr>
        <w:spacing w:line="360" w:lineRule="auto"/>
        <w:jc w:val="center"/>
        <w:rPr>
          <w:rFonts w:ascii="宋体" w:hAnsi="宋体" w:cs="宋体"/>
          <w:b/>
          <w:sz w:val="24"/>
          <w:highlight w:val="none"/>
        </w:rPr>
      </w:pPr>
    </w:p>
    <w:p w14:paraId="60175F9B">
      <w:pPr>
        <w:spacing w:line="360" w:lineRule="auto"/>
        <w:jc w:val="center"/>
        <w:rPr>
          <w:rFonts w:ascii="宋体" w:hAnsi="宋体" w:cs="宋体"/>
          <w:b/>
          <w:sz w:val="24"/>
          <w:highlight w:val="none"/>
        </w:rPr>
      </w:pPr>
    </w:p>
    <w:p w14:paraId="3025DBB7">
      <w:pPr>
        <w:adjustRightInd/>
        <w:spacing w:line="360" w:lineRule="auto"/>
        <w:jc w:val="center"/>
        <w:rPr>
          <w:rFonts w:ascii="宋体" w:hAnsi="宋体" w:cs="宋体"/>
          <w:b/>
          <w:sz w:val="44"/>
          <w:szCs w:val="44"/>
          <w:highlight w:val="none"/>
        </w:rPr>
      </w:pPr>
    </w:p>
    <w:p w14:paraId="66CB01C9">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浙江海洋大学</w:t>
      </w:r>
    </w:p>
    <w:p w14:paraId="5FECD5D1">
      <w:pPr>
        <w:adjustRightInd/>
        <w:spacing w:line="360" w:lineRule="auto"/>
        <w:jc w:val="center"/>
        <w:rPr>
          <w:rFonts w:hint="eastAsia" w:ascii="宋体" w:hAnsi="宋体" w:eastAsia="宋体" w:cs="宋体"/>
          <w:sz w:val="48"/>
          <w:szCs w:val="48"/>
          <w:highlight w:val="none"/>
          <w:lang w:eastAsia="zh-CN"/>
        </w:rPr>
      </w:pPr>
      <w:r>
        <w:rPr>
          <w:rFonts w:hint="eastAsia" w:ascii="宋体" w:hAnsi="宋体" w:cs="宋体"/>
          <w:sz w:val="48"/>
          <w:szCs w:val="48"/>
          <w:highlight w:val="none"/>
          <w:lang w:eastAsia="zh-CN"/>
        </w:rPr>
        <w:t>比萨学院实验室设备采购</w:t>
      </w:r>
    </w:p>
    <w:p w14:paraId="5216F687">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招标文件</w:t>
      </w:r>
    </w:p>
    <w:p w14:paraId="7B972C93">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（电子招投标）</w:t>
      </w:r>
    </w:p>
    <w:p w14:paraId="3572FF0B">
      <w:pPr>
        <w:snapToGrid w:val="0"/>
        <w:spacing w:line="360" w:lineRule="auto"/>
        <w:jc w:val="center"/>
        <w:rPr>
          <w:rFonts w:ascii="宋体" w:hAnsi="宋体" w:cs="宋体"/>
          <w:sz w:val="30"/>
          <w:szCs w:val="30"/>
          <w:highlight w:val="none"/>
        </w:rPr>
      </w:pPr>
      <w:r>
        <w:rPr>
          <w:rFonts w:hint="eastAsia" w:ascii="宋体" w:hAnsi="宋体" w:cs="宋体"/>
          <w:sz w:val="30"/>
          <w:szCs w:val="30"/>
          <w:highlight w:val="none"/>
        </w:rPr>
        <w:t>编号:</w:t>
      </w:r>
      <w:r>
        <w:rPr>
          <w:highlight w:val="none"/>
        </w:rPr>
        <w:fldChar w:fldCharType="begin"/>
      </w:r>
      <w:r>
        <w:rPr>
          <w:highlight w:val="none"/>
        </w:rPr>
        <w:instrText xml:space="preserve"> HYPERLINK "https://pay.zcygov.cn/purchaseplan_front/" \l "/procurement-plan/plan/detail?id=1101000000834338&amp;_app_=zcy.purchase-plan" \t "https://www.zcygov.cn/delegation-order/_procurement_/order/orderInfo/detail/_blank" </w:instrText>
      </w:r>
      <w:r>
        <w:rPr>
          <w:highlight w:val="none"/>
        </w:rPr>
        <w:fldChar w:fldCharType="separate"/>
      </w:r>
      <w:r>
        <w:rPr>
          <w:rFonts w:hint="eastAsia" w:ascii="宋体" w:hAnsi="宋体" w:cs="宋体"/>
          <w:sz w:val="30"/>
          <w:szCs w:val="30"/>
          <w:highlight w:val="none"/>
          <w:lang w:eastAsia="zh-CN"/>
        </w:rPr>
        <w:t>330000263030050000088</w:t>
      </w:r>
      <w:r>
        <w:rPr>
          <w:rFonts w:hint="eastAsia" w:ascii="宋体" w:hAnsi="宋体" w:cs="宋体"/>
          <w:sz w:val="30"/>
          <w:szCs w:val="30"/>
          <w:highlight w:val="none"/>
        </w:rPr>
        <w:fldChar w:fldCharType="end"/>
      </w:r>
    </w:p>
    <w:p w14:paraId="05FCCEF9">
      <w:pPr>
        <w:adjustRightInd/>
        <w:spacing w:line="360" w:lineRule="auto"/>
        <w:rPr>
          <w:rFonts w:ascii="宋体" w:hAnsi="宋体" w:cs="宋体"/>
          <w:sz w:val="28"/>
          <w:szCs w:val="20"/>
          <w:highlight w:val="none"/>
        </w:rPr>
      </w:pPr>
    </w:p>
    <w:p w14:paraId="69CBC71D">
      <w:pPr>
        <w:spacing w:line="360" w:lineRule="auto"/>
        <w:jc w:val="center"/>
        <w:rPr>
          <w:rFonts w:ascii="宋体" w:hAnsi="宋体" w:cs="宋体"/>
          <w:b/>
          <w:sz w:val="44"/>
          <w:szCs w:val="44"/>
          <w:highlight w:val="none"/>
        </w:rPr>
      </w:pPr>
    </w:p>
    <w:p w14:paraId="4BDC1620">
      <w:pPr>
        <w:spacing w:line="360" w:lineRule="auto"/>
        <w:jc w:val="center"/>
        <w:rPr>
          <w:rFonts w:ascii="宋体" w:hAnsi="宋体" w:cs="宋体"/>
          <w:b/>
          <w:sz w:val="44"/>
          <w:szCs w:val="44"/>
          <w:highlight w:val="none"/>
        </w:rPr>
      </w:pPr>
    </w:p>
    <w:p w14:paraId="19D4A741">
      <w:pPr>
        <w:spacing w:line="360" w:lineRule="auto"/>
        <w:jc w:val="center"/>
        <w:rPr>
          <w:rFonts w:ascii="宋体" w:hAnsi="宋体" w:cs="宋体"/>
          <w:sz w:val="24"/>
          <w:highlight w:val="none"/>
        </w:rPr>
      </w:pPr>
    </w:p>
    <w:p w14:paraId="67DF7A4F">
      <w:pPr>
        <w:spacing w:line="360" w:lineRule="auto"/>
        <w:jc w:val="center"/>
        <w:rPr>
          <w:rFonts w:ascii="宋体" w:hAnsi="宋体" w:cs="宋体"/>
          <w:sz w:val="24"/>
          <w:highlight w:val="none"/>
        </w:rPr>
      </w:pPr>
    </w:p>
    <w:p w14:paraId="2581C6AE">
      <w:pPr>
        <w:spacing w:line="360" w:lineRule="auto"/>
        <w:rPr>
          <w:rFonts w:ascii="宋体" w:hAnsi="宋体" w:cs="宋体"/>
          <w:sz w:val="32"/>
          <w:szCs w:val="32"/>
          <w:highlight w:val="none"/>
        </w:rPr>
      </w:pPr>
    </w:p>
    <w:p w14:paraId="00E5E629">
      <w:pPr>
        <w:snapToGrid w:val="0"/>
        <w:spacing w:line="360" w:lineRule="auto"/>
        <w:jc w:val="center"/>
        <w:rPr>
          <w:rFonts w:ascii="宋体" w:hAnsi="宋体" w:cs="宋体"/>
          <w:sz w:val="32"/>
          <w:szCs w:val="32"/>
          <w:highlight w:val="none"/>
        </w:rPr>
      </w:pPr>
      <w:r>
        <w:rPr>
          <w:rFonts w:hint="eastAsia" w:ascii="宋体" w:hAnsi="宋体" w:cs="宋体"/>
          <w:sz w:val="32"/>
          <w:szCs w:val="32"/>
          <w:highlight w:val="none"/>
        </w:rPr>
        <w:t>浙江海洋大学</w:t>
      </w:r>
    </w:p>
    <w:p w14:paraId="25F0ECD1">
      <w:pPr>
        <w:spacing w:line="360" w:lineRule="auto"/>
        <w:jc w:val="center"/>
        <w:rPr>
          <w:rFonts w:ascii="宋体" w:hAnsi="宋体" w:cs="宋体"/>
          <w:bCs/>
          <w:sz w:val="32"/>
          <w:szCs w:val="32"/>
          <w:highlight w:val="none"/>
        </w:rPr>
      </w:pPr>
      <w:r>
        <w:rPr>
          <w:rFonts w:hint="eastAsia" w:ascii="宋体" w:hAnsi="宋体" w:cs="宋体"/>
          <w:bCs/>
          <w:sz w:val="32"/>
          <w:szCs w:val="32"/>
          <w:highlight w:val="none"/>
        </w:rPr>
        <w:t>浙江科佳工程咨询有限公司</w:t>
      </w:r>
    </w:p>
    <w:p w14:paraId="4F85EA5B">
      <w:pPr>
        <w:snapToGrid w:val="0"/>
        <w:spacing w:line="360" w:lineRule="auto"/>
        <w:jc w:val="center"/>
        <w:rPr>
          <w:rFonts w:ascii="宋体" w:hAnsi="宋体" w:cs="宋体"/>
          <w:bCs/>
          <w:sz w:val="32"/>
          <w:szCs w:val="32"/>
          <w:highlight w:val="none"/>
        </w:rPr>
      </w:pPr>
      <w:r>
        <w:rPr>
          <w:rFonts w:hint="eastAsia" w:ascii="宋体" w:hAnsi="宋体" w:cs="宋体"/>
          <w:bCs/>
          <w:sz w:val="32"/>
          <w:szCs w:val="32"/>
          <w:highlight w:val="none"/>
        </w:rPr>
        <w:t>二〇二六年四月</w:t>
      </w:r>
    </w:p>
    <w:p w14:paraId="46E4B3F3">
      <w:pPr>
        <w:snapToGrid w:val="0"/>
        <w:spacing w:line="360" w:lineRule="auto"/>
        <w:jc w:val="center"/>
        <w:rPr>
          <w:rFonts w:ascii="宋体" w:hAnsi="宋体" w:cs="宋体"/>
          <w:sz w:val="24"/>
          <w:highlight w:val="none"/>
        </w:rPr>
      </w:pPr>
      <w:bookmarkStart w:id="0" w:name="_Hlt67893495"/>
      <w:bookmarkEnd w:id="0"/>
      <w:r>
        <w:rPr>
          <w:rFonts w:hint="eastAsia" w:ascii="宋体" w:hAnsi="宋体" w:cs="宋体"/>
          <w:sz w:val="24"/>
          <w:highlight w:val="none"/>
        </w:rPr>
        <w:br w:type="page"/>
      </w:r>
    </w:p>
    <w:p w14:paraId="6EB7BD52">
      <w:pPr>
        <w:spacing w:line="360" w:lineRule="auto"/>
        <w:jc w:val="center"/>
        <w:rPr>
          <w:rFonts w:ascii="宋体" w:hAnsi="宋体" w:cs="宋体"/>
          <w:sz w:val="24"/>
          <w:highlight w:val="none"/>
        </w:rPr>
      </w:pPr>
    </w:p>
    <w:p w14:paraId="2374581E">
      <w:pPr>
        <w:snapToGrid w:val="0"/>
        <w:jc w:val="center"/>
        <w:rPr>
          <w:rFonts w:ascii="宋体" w:hAnsi="宋体" w:cs="宋体"/>
          <w:b/>
          <w:sz w:val="48"/>
          <w:szCs w:val="48"/>
          <w:highlight w:val="none"/>
        </w:rPr>
      </w:pPr>
      <w:r>
        <w:rPr>
          <w:rFonts w:hint="eastAsia" w:ascii="宋体" w:hAnsi="宋体" w:cs="宋体"/>
          <w:b/>
          <w:sz w:val="48"/>
          <w:szCs w:val="48"/>
          <w:highlight w:val="none"/>
        </w:rPr>
        <w:t>目  录</w:t>
      </w:r>
    </w:p>
    <w:sdt>
      <w:sdtPr>
        <w:rPr>
          <w:rFonts w:hint="eastAsia" w:ascii="宋体" w:hAnsi="宋体" w:cs="宋体"/>
          <w:highlight w:val="none"/>
        </w:rPr>
        <w:id w:val="147461475"/>
        <w15:color w:val="DBDBDB"/>
        <w:docPartObj>
          <w:docPartGallery w:val="Table of Contents"/>
          <w:docPartUnique/>
        </w:docPartObj>
      </w:sdtPr>
      <w:sdtEndPr>
        <w:rPr>
          <w:rFonts w:hint="eastAsia" w:ascii="宋体" w:hAnsi="宋体" w:cs="宋体"/>
          <w:highlight w:val="none"/>
        </w:rPr>
      </w:sdtEndPr>
      <w:sdtContent>
        <w:p w14:paraId="079B6B0C">
          <w:pPr>
            <w:jc w:val="center"/>
            <w:rPr>
              <w:rFonts w:ascii="宋体" w:hAnsi="宋体" w:cs="宋体"/>
              <w:highlight w:val="none"/>
            </w:rPr>
          </w:pPr>
          <w:bookmarkStart w:id="1" w:name="_Hlt91233176"/>
          <w:bookmarkEnd w:id="1"/>
          <w:bookmarkStart w:id="2" w:name="_Toc91899869"/>
        </w:p>
        <w:p w14:paraId="58372308">
          <w:pPr>
            <w:pStyle w:val="45"/>
            <w:tabs>
              <w:tab w:val="right" w:leader="dot" w:pos="9746"/>
            </w:tabs>
            <w:snapToGrid w:val="0"/>
            <w:spacing w:line="360" w:lineRule="auto"/>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"1-2"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"_Toc25803" </w:instrText>
          </w:r>
          <w:r>
            <w:rPr>
              <w:highlight w:val="none"/>
            </w:rPr>
            <w:fldChar w:fldCharType="separate"/>
          </w:r>
          <w:r>
            <w:rPr>
              <w:rFonts w:hint="eastAsia" w:ascii="宋体" w:hAnsi="宋体" w:cs="宋体"/>
              <w:sz w:val="28"/>
              <w:szCs w:val="28"/>
              <w:highlight w:val="none"/>
            </w:rPr>
            <w:t>第一部分 招标公告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_Toc25803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DA5D0E8">
          <w:pPr>
            <w:pStyle w:val="45"/>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"_Toc28231" </w:instrText>
          </w:r>
          <w:r>
            <w:rPr>
              <w:highlight w:val="none"/>
            </w:rPr>
            <w:fldChar w:fldCharType="separate"/>
          </w:r>
          <w:r>
            <w:rPr>
              <w:rFonts w:hint="eastAsia" w:ascii="宋体" w:hAnsi="宋体" w:cs="宋体"/>
              <w:sz w:val="28"/>
              <w:szCs w:val="28"/>
              <w:highlight w:val="none"/>
            </w:rPr>
            <w:t>第二部分 投标人须知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_Toc28231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D123E61">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"_Toc269" </w:instrText>
          </w:r>
          <w:r>
            <w:rPr>
              <w:highlight w:val="none"/>
            </w:rPr>
            <w:fldChar w:fldCharType="separate"/>
          </w:r>
          <w:r>
            <w:rPr>
              <w:rFonts w:hint="eastAsia" w:ascii="宋体" w:hAnsi="宋体" w:cs="宋体"/>
              <w:sz w:val="28"/>
              <w:szCs w:val="28"/>
              <w:highlight w:val="none"/>
            </w:rPr>
            <w:t>前附表</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_Toc269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313F112">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"_Toc23033" </w:instrText>
          </w:r>
          <w:r>
            <w:rPr>
              <w:highlight w:val="none"/>
            </w:rPr>
            <w:fldChar w:fldCharType="separate"/>
          </w:r>
          <w:r>
            <w:rPr>
              <w:rFonts w:hint="eastAsia" w:ascii="宋体" w:hAnsi="宋体" w:cs="宋体"/>
              <w:sz w:val="28"/>
              <w:szCs w:val="28"/>
              <w:highlight w:val="none"/>
            </w:rPr>
            <w:t>一、总则</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_Toc23033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10BFE5F">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"_Toc32424" </w:instrText>
          </w:r>
          <w:r>
            <w:rPr>
              <w:highlight w:val="none"/>
            </w:rPr>
            <w:fldChar w:fldCharType="separate"/>
          </w:r>
          <w:r>
            <w:rPr>
              <w:rFonts w:hint="eastAsia" w:ascii="宋体" w:hAnsi="宋体" w:cs="宋体"/>
              <w:sz w:val="28"/>
              <w:szCs w:val="28"/>
              <w:highlight w:val="none"/>
            </w:rPr>
            <w:t>二、招标文件的构成、澄清、修改</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_Toc32424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9E266A4">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"_Toc6324" </w:instrText>
          </w:r>
          <w:r>
            <w:rPr>
              <w:highlight w:val="none"/>
            </w:rPr>
            <w:fldChar w:fldCharType="separate"/>
          </w:r>
          <w:r>
            <w:rPr>
              <w:rFonts w:hint="eastAsia" w:ascii="宋体" w:hAnsi="宋体" w:cs="宋体"/>
              <w:sz w:val="28"/>
              <w:szCs w:val="28"/>
              <w:highlight w:val="none"/>
            </w:rPr>
            <w:t>三、投标</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_Toc6324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401F175">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"_Toc12025" </w:instrText>
          </w:r>
          <w:r>
            <w:rPr>
              <w:highlight w:val="none"/>
            </w:rPr>
            <w:fldChar w:fldCharType="separate"/>
          </w:r>
          <w:r>
            <w:rPr>
              <w:rFonts w:hint="eastAsia" w:ascii="宋体" w:hAnsi="宋体" w:cs="宋体"/>
              <w:sz w:val="28"/>
              <w:szCs w:val="28"/>
              <w:highlight w:val="none"/>
            </w:rPr>
            <w:t>四、开标、资格审查与信用信息查询</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_Toc12025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18</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2ECDAED">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"_Toc2269" </w:instrText>
          </w:r>
          <w:r>
            <w:rPr>
              <w:highlight w:val="none"/>
            </w:rPr>
            <w:fldChar w:fldCharType="separate"/>
          </w:r>
          <w:r>
            <w:rPr>
              <w:rFonts w:hint="eastAsia" w:ascii="宋体" w:hAnsi="宋体" w:cs="宋体"/>
              <w:sz w:val="28"/>
              <w:szCs w:val="28"/>
              <w:highlight w:val="none"/>
            </w:rPr>
            <w:t>五、评标</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_Toc2269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145F931">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"_Toc1866" </w:instrText>
          </w:r>
          <w:r>
            <w:rPr>
              <w:highlight w:val="none"/>
            </w:rPr>
            <w:fldChar w:fldCharType="separate"/>
          </w:r>
          <w:r>
            <w:rPr>
              <w:rFonts w:hint="eastAsia" w:ascii="宋体" w:hAnsi="宋体" w:cs="宋体"/>
              <w:sz w:val="28"/>
              <w:szCs w:val="28"/>
              <w:highlight w:val="none"/>
            </w:rPr>
            <w:t>六、定标</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_Toc1866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9C28EC3">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"_Toc300" </w:instrText>
          </w:r>
          <w:r>
            <w:rPr>
              <w:highlight w:val="none"/>
            </w:rPr>
            <w:fldChar w:fldCharType="separate"/>
          </w:r>
          <w:r>
            <w:rPr>
              <w:rFonts w:hint="eastAsia" w:ascii="宋体" w:hAnsi="宋体" w:cs="宋体"/>
              <w:sz w:val="28"/>
              <w:szCs w:val="28"/>
              <w:highlight w:val="none"/>
            </w:rPr>
            <w:t>七、合同授予</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B244DBD">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"_Toc10170" </w:instrText>
          </w:r>
          <w:r>
            <w:rPr>
              <w:highlight w:val="none"/>
            </w:rPr>
            <w:fldChar w:fldCharType="separate"/>
          </w:r>
          <w:r>
            <w:rPr>
              <w:rFonts w:hint="eastAsia" w:ascii="宋体" w:hAnsi="宋体" w:cs="宋体"/>
              <w:sz w:val="28"/>
              <w:szCs w:val="28"/>
              <w:highlight w:val="none"/>
            </w:rPr>
            <w:t>八、电子交易活动的中止</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_Toc10170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2E1A2B5E">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"_Toc23650" </w:instrText>
          </w:r>
          <w:r>
            <w:rPr>
              <w:highlight w:val="none"/>
            </w:rPr>
            <w:fldChar w:fldCharType="separate"/>
          </w:r>
          <w:r>
            <w:rPr>
              <w:rFonts w:hint="eastAsia" w:ascii="宋体" w:hAnsi="宋体" w:cs="宋体"/>
              <w:sz w:val="28"/>
              <w:szCs w:val="28"/>
              <w:highlight w:val="none"/>
            </w:rPr>
            <w:t>九、验收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_Toc23650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2D61479">
          <w:pPr>
            <w:pStyle w:val="45"/>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"_Toc22177" </w:instrText>
          </w:r>
          <w:r>
            <w:rPr>
              <w:highlight w:val="none"/>
            </w:rPr>
            <w:fldChar w:fldCharType="separate"/>
          </w:r>
          <w:r>
            <w:rPr>
              <w:rFonts w:hint="eastAsia" w:ascii="宋体" w:hAnsi="宋体" w:cs="宋体"/>
              <w:sz w:val="28"/>
              <w:szCs w:val="28"/>
              <w:highlight w:val="none"/>
            </w:rPr>
            <w:t>第三部分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_Toc22177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2731633">
          <w:pPr>
            <w:pStyle w:val="45"/>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"_Toc3291" </w:instrText>
          </w:r>
          <w:r>
            <w:rPr>
              <w:highlight w:val="none"/>
            </w:rPr>
            <w:fldChar w:fldCharType="separate"/>
          </w:r>
          <w:r>
            <w:rPr>
              <w:rFonts w:hint="eastAsia" w:ascii="宋体" w:hAnsi="宋体" w:cs="宋体"/>
              <w:sz w:val="28"/>
              <w:szCs w:val="28"/>
              <w:highlight w:val="none"/>
            </w:rPr>
            <w:t>第四部分 评标办法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_Toc3291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391CDCB">
          <w:pPr>
            <w:pStyle w:val="45"/>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"_Toc5183" </w:instrText>
          </w:r>
          <w:r>
            <w:rPr>
              <w:highlight w:val="none"/>
            </w:rPr>
            <w:fldChar w:fldCharType="separate"/>
          </w:r>
          <w:r>
            <w:rPr>
              <w:rFonts w:hint="eastAsia" w:ascii="宋体" w:hAnsi="宋体" w:cs="宋体"/>
              <w:sz w:val="28"/>
              <w:szCs w:val="28"/>
              <w:highlight w:val="none"/>
            </w:rPr>
            <w:t>第五部分 拟签订的合同文本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_Toc5183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E2027E5">
          <w:pPr>
            <w:pStyle w:val="45"/>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"_Toc3090" </w:instrText>
          </w:r>
          <w:r>
            <w:rPr>
              <w:highlight w:val="none"/>
            </w:rPr>
            <w:fldChar w:fldCharType="separate"/>
          </w:r>
          <w:r>
            <w:rPr>
              <w:rFonts w:hint="eastAsia" w:ascii="宋体" w:hAnsi="宋体" w:cs="宋体"/>
              <w:sz w:val="28"/>
              <w:szCs w:val="28"/>
              <w:highlight w:val="none"/>
            </w:rPr>
            <w:t>第六部分 应提交的有关格式范例</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_Toc3090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6445B4C">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"_Toc3841" </w:instrText>
          </w:r>
          <w:r>
            <w:rPr>
              <w:highlight w:val="none"/>
            </w:rPr>
            <w:fldChar w:fldCharType="separate"/>
          </w:r>
          <w:r>
            <w:rPr>
              <w:rFonts w:hint="eastAsia" w:ascii="宋体" w:hAnsi="宋体" w:cs="宋体"/>
              <w:sz w:val="28"/>
              <w:szCs w:val="28"/>
              <w:highlight w:val="none"/>
            </w:rPr>
            <w:t>资格文件部分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_Toc3841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226350F">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"_Toc30381" </w:instrText>
          </w:r>
          <w:r>
            <w:rPr>
              <w:highlight w:val="none"/>
            </w:rPr>
            <w:fldChar w:fldCharType="separate"/>
          </w:r>
          <w:r>
            <w:rPr>
              <w:rFonts w:hint="eastAsia" w:ascii="宋体" w:hAnsi="宋体" w:cs="宋体"/>
              <w:sz w:val="28"/>
              <w:szCs w:val="28"/>
              <w:highlight w:val="none"/>
            </w:rPr>
            <w:t>商务技术文件部分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_Toc30381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4B8D2C5">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"_Toc7986" </w:instrText>
          </w:r>
          <w:r>
            <w:rPr>
              <w:highlight w:val="none"/>
            </w:rPr>
            <w:fldChar w:fldCharType="separate"/>
          </w:r>
          <w:r>
            <w:rPr>
              <w:rFonts w:hint="eastAsia" w:ascii="宋体" w:hAnsi="宋体" w:cs="宋体"/>
              <w:sz w:val="28"/>
              <w:szCs w:val="28"/>
              <w:highlight w:val="none"/>
            </w:rPr>
            <w:t>报价文件部分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_Toc7986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63</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F5BAD68">
          <w:pPr>
            <w:pStyle w:val="57"/>
            <w:tabs>
              <w:tab w:val="right" w:leader="dot" w:pos="9746"/>
            </w:tabs>
            <w:snapToGrid w:val="0"/>
            <w:spacing w:line="360" w:lineRule="auto"/>
            <w:rPr>
              <w:rFonts w:ascii="宋体" w:hAnsi="宋体" w:cs="宋体"/>
              <w:sz w:val="28"/>
              <w:szCs w:val="28"/>
              <w:highlight w:val="none"/>
            </w:rPr>
          </w:pPr>
          <w:r>
            <w:rPr>
              <w:highlight w:val="none"/>
            </w:rPr>
            <w:fldChar w:fldCharType="begin"/>
          </w:r>
          <w:r>
            <w:rPr>
              <w:highlight w:val="none"/>
            </w:rPr>
            <w:instrText xml:space="preserve"> HYPERLINK \l "_Toc13368" </w:instrText>
          </w:r>
          <w:r>
            <w:rPr>
              <w:highlight w:val="none"/>
            </w:rPr>
            <w:fldChar w:fldCharType="separate"/>
          </w:r>
          <w:r>
            <w:rPr>
              <w:rFonts w:hint="eastAsia" w:ascii="宋体" w:hAnsi="宋体" w:cs="宋体"/>
              <w:sz w:val="28"/>
              <w:szCs w:val="28"/>
              <w:highlight w:val="none"/>
            </w:rPr>
            <w:t>附件</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_Toc13368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67</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4010FE5">
          <w:pPr>
            <w:snapToGrid w:val="0"/>
            <w:spacing w:line="360" w:lineRule="auto"/>
            <w:ind w:firstLine="641" w:firstLineChars="229"/>
            <w:rPr>
              <w:rFonts w:ascii="宋体" w:hAnsi="宋体" w:cs="宋体"/>
              <w:highlight w:val="none"/>
            </w:rPr>
          </w:pPr>
          <w:r>
            <w:rPr>
              <w:rFonts w:hint="eastAsia" w:ascii="宋体" w:hAnsi="宋体" w:cs="宋体"/>
              <w:sz w:val="28"/>
              <w:szCs w:val="28"/>
              <w:highlight w:val="none"/>
            </w:rPr>
            <w:fldChar w:fldCharType="end"/>
          </w:r>
        </w:p>
      </w:sdtContent>
    </w:sdt>
    <w:p w14:paraId="3346DCE7">
      <w:pPr>
        <w:spacing w:line="360" w:lineRule="auto"/>
        <w:ind w:firstLine="549" w:firstLineChars="229"/>
        <w:rPr>
          <w:rFonts w:ascii="宋体" w:hAnsi="宋体" w:cs="宋体"/>
          <w:sz w:val="24"/>
          <w:highlight w:val="none"/>
        </w:rPr>
      </w:pPr>
    </w:p>
    <w:p w14:paraId="34FAF63E">
      <w:pPr>
        <w:spacing w:line="360" w:lineRule="auto"/>
        <w:rPr>
          <w:rFonts w:ascii="宋体" w:hAnsi="宋体" w:cs="宋体"/>
          <w:sz w:val="24"/>
          <w:highlight w:val="none"/>
        </w:rPr>
      </w:pPr>
    </w:p>
    <w:bookmarkEnd w:id="2"/>
    <w:p w14:paraId="02738A85">
      <w:pPr>
        <w:pStyle w:val="2"/>
        <w:rPr>
          <w:rFonts w:ascii="宋体" w:hAnsi="宋体" w:cs="宋体"/>
          <w:szCs w:val="20"/>
          <w:highlight w:val="none"/>
        </w:rPr>
      </w:pPr>
      <w:bookmarkStart w:id="3" w:name="第一部分"/>
      <w:bookmarkEnd w:id="3"/>
      <w:bookmarkStart w:id="4" w:name="_Hlt74649545"/>
      <w:bookmarkEnd w:id="4"/>
      <w:bookmarkStart w:id="5" w:name="_Hlt74729822"/>
      <w:bookmarkEnd w:id="5"/>
      <w:bookmarkStart w:id="6" w:name="_Hlt74728647"/>
      <w:bookmarkEnd w:id="6"/>
      <w:bookmarkStart w:id="7" w:name="_Hlt74707423"/>
      <w:bookmarkEnd w:id="7"/>
      <w:bookmarkStart w:id="8" w:name="_Toc91899870"/>
      <w:bookmarkStart w:id="9" w:name="第二部分"/>
      <w:r>
        <w:rPr>
          <w:rFonts w:hint="eastAsia" w:ascii="宋体" w:hAnsi="宋体" w:cs="宋体"/>
          <w:szCs w:val="36"/>
          <w:highlight w:val="none"/>
        </w:rPr>
        <w:br w:type="page"/>
      </w:r>
      <w:bookmarkStart w:id="10" w:name="_Toc25803"/>
      <w:r>
        <w:rPr>
          <w:rFonts w:hint="eastAsia" w:ascii="宋体" w:hAnsi="宋体" w:cs="宋体"/>
          <w:szCs w:val="20"/>
          <w:highlight w:val="none"/>
        </w:rPr>
        <w:t>第一部分 招标公告</w:t>
      </w:r>
      <w:bookmarkEnd w:id="10"/>
    </w:p>
    <w:p w14:paraId="0E369C7F">
      <w:pPr>
        <w:snapToGrid w:val="0"/>
        <w:spacing w:line="360" w:lineRule="auto"/>
        <w:rPr>
          <w:rFonts w:ascii="宋体" w:hAnsi="宋体" w:cs="宋体"/>
          <w:b/>
          <w:bCs/>
          <w:sz w:val="24"/>
          <w:highlight w:val="none"/>
          <w:u w:val="single"/>
        </w:rPr>
      </w:pPr>
      <w:r>
        <w:rPr>
          <w:rFonts w:hint="eastAsia" w:ascii="宋体" w:hAnsi="宋体" w:cs="宋体"/>
          <w:b/>
          <w:bCs/>
          <w:sz w:val="24"/>
          <w:highlight w:val="none"/>
        </w:rPr>
        <w:t>项目概况</w:t>
      </w:r>
    </w:p>
    <w:p w14:paraId="7D78DBDD">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u w:val="single"/>
          <w:lang w:eastAsia="zh-CN"/>
        </w:rPr>
        <w:t>比萨学院实验室设备采购</w:t>
      </w:r>
      <w:r>
        <w:rPr>
          <w:rFonts w:hint="eastAsia" w:ascii="宋体" w:hAnsi="宋体" w:cs="宋体"/>
          <w:sz w:val="24"/>
          <w:highlight w:val="none"/>
        </w:rPr>
        <w:t>招标项目的潜在投标人应在政采云平台（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80"/>
          <w:rFonts w:hint="eastAsia" w:ascii="宋体" w:hAnsi="宋体" w:eastAsia="宋体" w:cs="宋体"/>
          <w:color w:val="auto"/>
          <w:kern w:val="2"/>
          <w:sz w:val="24"/>
          <w:szCs w:val="24"/>
          <w:highlight w:val="none"/>
        </w:rPr>
        <w:t>https://www.zcygov.cn/）获取（下载）招标文件，并于</w:t>
      </w:r>
      <w:r>
        <w:rPr>
          <w:rStyle w:val="80"/>
          <w:rFonts w:hint="eastAsia" w:ascii="宋体" w:hAnsi="宋体" w:eastAsia="宋体" w:cs="宋体"/>
          <w:color w:val="auto"/>
          <w:kern w:val="2"/>
          <w:sz w:val="24"/>
          <w:szCs w:val="24"/>
          <w:highlight w:val="none"/>
          <w:u w:val="single"/>
        </w:rPr>
        <w:t>2026年</w:t>
      </w:r>
      <w:r>
        <w:rPr>
          <w:rStyle w:val="80"/>
          <w:rFonts w:hint="eastAsia" w:ascii="宋体" w:hAnsi="宋体" w:cs="宋体"/>
          <w:color w:val="auto"/>
          <w:kern w:val="2"/>
          <w:sz w:val="24"/>
          <w:szCs w:val="24"/>
          <w:highlight w:val="none"/>
          <w:u w:val="single"/>
          <w:lang w:val="en-US" w:eastAsia="zh-CN"/>
        </w:rPr>
        <w:t>5</w:t>
      </w:r>
      <w:r>
        <w:rPr>
          <w:rStyle w:val="80"/>
          <w:rFonts w:hint="eastAsia" w:ascii="宋体" w:hAnsi="宋体" w:eastAsia="宋体" w:cs="宋体"/>
          <w:color w:val="auto"/>
          <w:kern w:val="2"/>
          <w:sz w:val="24"/>
          <w:szCs w:val="24"/>
          <w:highlight w:val="none"/>
          <w:u w:val="single"/>
        </w:rPr>
        <w:t>月</w:t>
      </w:r>
      <w:r>
        <w:rPr>
          <w:rStyle w:val="80"/>
          <w:rFonts w:hint="eastAsia" w:ascii="宋体" w:hAnsi="宋体" w:cs="宋体"/>
          <w:color w:val="auto"/>
          <w:kern w:val="2"/>
          <w:sz w:val="24"/>
          <w:szCs w:val="24"/>
          <w:highlight w:val="none"/>
          <w:u w:val="single"/>
          <w:lang w:val="en-US" w:eastAsia="zh-CN"/>
        </w:rPr>
        <w:t>21</w:t>
      </w:r>
      <w:r>
        <w:rPr>
          <w:rStyle w:val="80"/>
          <w:rFonts w:hint="eastAsia" w:ascii="宋体" w:hAnsi="宋体" w:eastAsia="宋体" w:cs="宋体"/>
          <w:color w:val="auto"/>
          <w:kern w:val="2"/>
          <w:sz w:val="24"/>
          <w:szCs w:val="24"/>
          <w:highlight w:val="none"/>
          <w:u w:val="single"/>
        </w:rPr>
        <w:t>日</w:t>
      </w:r>
      <w:r>
        <w:rPr>
          <w:rStyle w:val="80"/>
          <w:rFonts w:hint="eastAsia" w:ascii="宋体" w:hAnsi="宋体" w:cs="宋体"/>
          <w:color w:val="auto"/>
          <w:kern w:val="2"/>
          <w:sz w:val="24"/>
          <w:szCs w:val="24"/>
          <w:highlight w:val="none"/>
          <w:u w:val="single"/>
          <w:lang w:val="en-US" w:eastAsia="zh-CN"/>
        </w:rPr>
        <w:t>9</w:t>
      </w:r>
      <w:r>
        <w:rPr>
          <w:rStyle w:val="80"/>
          <w:rFonts w:hint="eastAsia" w:ascii="宋体" w:hAnsi="宋体" w:eastAsia="宋体" w:cs="宋体"/>
          <w:color w:val="auto"/>
          <w:kern w:val="2"/>
          <w:sz w:val="24"/>
          <w:szCs w:val="24"/>
          <w:highlight w:val="none"/>
          <w:u w:val="single"/>
        </w:rPr>
        <w:t>点</w:t>
      </w:r>
      <w:r>
        <w:rPr>
          <w:rStyle w:val="80"/>
          <w:rFonts w:hint="eastAsia" w:ascii="宋体" w:hAnsi="宋体" w:cs="宋体"/>
          <w:color w:val="auto"/>
          <w:kern w:val="2"/>
          <w:sz w:val="24"/>
          <w:szCs w:val="24"/>
          <w:highlight w:val="none"/>
          <w:u w:val="single"/>
        </w:rPr>
        <w:t>30</w:t>
      </w:r>
      <w:r>
        <w:rPr>
          <w:rStyle w:val="80"/>
          <w:rFonts w:hint="eastAsia" w:ascii="宋体" w:hAnsi="宋体" w:eastAsia="宋体" w:cs="宋体"/>
          <w:color w:val="auto"/>
          <w:kern w:val="2"/>
          <w:sz w:val="24"/>
          <w:szCs w:val="24"/>
          <w:highlight w:val="none"/>
          <w:u w:val="single"/>
        </w:rPr>
        <w:t>分00秒</w:t>
      </w:r>
      <w:r>
        <w:rPr>
          <w:rStyle w:val="80"/>
          <w:rFonts w:hint="eastAsia" w:ascii="宋体" w:hAnsi="宋体" w:eastAsia="宋体" w:cs="宋体"/>
          <w:color w:val="auto"/>
          <w:kern w:val="2"/>
          <w:sz w:val="24"/>
          <w:szCs w:val="24"/>
          <w:highlight w:val="none"/>
          <w:u w:val="single"/>
        </w:rPr>
        <w:fldChar w:fldCharType="end"/>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0F10AF2A">
      <w:pPr>
        <w:snapToGrid w:val="0"/>
        <w:spacing w:line="360" w:lineRule="auto"/>
        <w:rPr>
          <w:rFonts w:ascii="宋体" w:hAnsi="宋体" w:cs="宋体"/>
          <w:b/>
          <w:sz w:val="24"/>
          <w:highlight w:val="none"/>
        </w:rPr>
      </w:pPr>
      <w:r>
        <w:rPr>
          <w:rFonts w:hint="eastAsia" w:ascii="宋体" w:hAnsi="宋体" w:cs="宋体"/>
          <w:b/>
          <w:sz w:val="24"/>
          <w:highlight w:val="none"/>
        </w:rPr>
        <w:t>一、项目基本情况</w:t>
      </w:r>
    </w:p>
    <w:p w14:paraId="12906E6F">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项目编号：</w:t>
      </w:r>
      <w:r>
        <w:rPr>
          <w:b w:val="0"/>
          <w:bCs w:val="0"/>
          <w:highlight w:val="none"/>
        </w:rPr>
        <w:fldChar w:fldCharType="begin"/>
      </w:r>
      <w:r>
        <w:rPr>
          <w:b w:val="0"/>
          <w:bCs w:val="0"/>
          <w:highlight w:val="none"/>
        </w:rPr>
        <w:instrText xml:space="preserve"> HYPERLINK "https://pay.zcygov.cn/purchaseplan_front/" \l "/procurement-plan/plan/detail?id=1101000000834338&amp;_app_=zcy.purchase-plan" \t "https://www.zcygov.cn/delegation-order/_procurement_/order/orderInfo/detail/_blank" </w:instrText>
      </w:r>
      <w:r>
        <w:rPr>
          <w:b w:val="0"/>
          <w:bCs w:val="0"/>
          <w:highlight w:val="none"/>
        </w:rPr>
        <w:fldChar w:fldCharType="separate"/>
      </w:r>
      <w:r>
        <w:rPr>
          <w:rFonts w:hint="eastAsia" w:ascii="宋体" w:hAnsi="宋体" w:cs="宋体"/>
          <w:b w:val="0"/>
          <w:bCs w:val="0"/>
          <w:sz w:val="24"/>
          <w:highlight w:val="none"/>
          <w:lang w:eastAsia="zh-CN"/>
        </w:rPr>
        <w:t>330000263030050000088</w:t>
      </w:r>
      <w:r>
        <w:rPr>
          <w:rFonts w:hint="eastAsia" w:ascii="宋体" w:hAnsi="宋体" w:cs="宋体"/>
          <w:b w:val="0"/>
          <w:bCs w:val="0"/>
          <w:sz w:val="24"/>
          <w:highlight w:val="none"/>
        </w:rPr>
        <w:fldChar w:fldCharType="end"/>
      </w:r>
    </w:p>
    <w:p w14:paraId="68CA0E00">
      <w:pPr>
        <w:snapToGrid w:val="0"/>
        <w:spacing w:line="360" w:lineRule="auto"/>
        <w:ind w:firstLine="482" w:firstLineChars="200"/>
        <w:rPr>
          <w:rFonts w:hint="eastAsia" w:ascii="宋体" w:hAnsi="宋体" w:eastAsia="宋体" w:cs="宋体"/>
          <w:sz w:val="24"/>
          <w:highlight w:val="none"/>
          <w:lang w:eastAsia="zh-CN"/>
        </w:rPr>
      </w:pPr>
      <w:r>
        <w:rPr>
          <w:rFonts w:hint="eastAsia" w:ascii="宋体" w:hAnsi="宋体" w:cs="宋体"/>
          <w:b/>
          <w:sz w:val="24"/>
          <w:highlight w:val="none"/>
        </w:rPr>
        <w:t>项目名称：</w:t>
      </w:r>
      <w:r>
        <w:rPr>
          <w:rFonts w:hint="eastAsia" w:ascii="宋体" w:hAnsi="宋体" w:cs="宋体"/>
          <w:sz w:val="24"/>
          <w:highlight w:val="none"/>
          <w:lang w:eastAsia="zh-CN"/>
        </w:rPr>
        <w:t>比萨学院实验室设备采购</w:t>
      </w:r>
    </w:p>
    <w:p w14:paraId="171BD5DE">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预算金额（元）：</w:t>
      </w:r>
      <w:r>
        <w:rPr>
          <w:rFonts w:hint="eastAsia" w:ascii="宋体" w:hAnsi="宋体" w:cs="宋体"/>
          <w:b w:val="0"/>
          <w:bCs/>
          <w:sz w:val="24"/>
          <w:highlight w:val="none"/>
        </w:rPr>
        <w:t>349705</w:t>
      </w:r>
    </w:p>
    <w:p w14:paraId="44657E9A">
      <w:pPr>
        <w:snapToGrid w:val="0"/>
        <w:spacing w:line="360" w:lineRule="auto"/>
        <w:ind w:firstLine="480"/>
        <w:rPr>
          <w:rFonts w:ascii="宋体" w:hAnsi="宋体" w:cs="宋体"/>
          <w:sz w:val="24"/>
          <w:highlight w:val="none"/>
        </w:rPr>
      </w:pPr>
      <w:r>
        <w:rPr>
          <w:rFonts w:hint="eastAsia" w:ascii="宋体" w:hAnsi="宋体" w:cs="宋体"/>
          <w:b/>
          <w:sz w:val="24"/>
          <w:highlight w:val="none"/>
        </w:rPr>
        <w:t>最高限价（元）：</w:t>
      </w:r>
      <w:r>
        <w:rPr>
          <w:rFonts w:hint="eastAsia" w:ascii="宋体" w:hAnsi="宋体" w:cs="宋体"/>
          <w:b w:val="0"/>
          <w:bCs/>
          <w:sz w:val="24"/>
          <w:highlight w:val="none"/>
        </w:rPr>
        <w:t>349705</w:t>
      </w:r>
    </w:p>
    <w:p w14:paraId="3C4ED3D1">
      <w:pPr>
        <w:pStyle w:val="15"/>
        <w:spacing w:line="360" w:lineRule="auto"/>
        <w:ind w:firstLine="480"/>
        <w:rPr>
          <w:rFonts w:hAnsi="宋体" w:cs="宋体"/>
          <w:b/>
          <w:color w:val="auto"/>
          <w:sz w:val="24"/>
          <w:highlight w:val="none"/>
        </w:rPr>
      </w:pPr>
      <w:r>
        <w:rPr>
          <w:rFonts w:hint="eastAsia" w:hAnsi="宋体" w:cs="宋体"/>
          <w:b/>
          <w:color w:val="auto"/>
          <w:sz w:val="24"/>
          <w:highlight w:val="none"/>
        </w:rPr>
        <w:t>采购需求：</w:t>
      </w:r>
    </w:p>
    <w:p w14:paraId="6567FCCD">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标项一</w:t>
      </w:r>
    </w:p>
    <w:p w14:paraId="3A61B6B5">
      <w:pPr>
        <w:pStyle w:val="15"/>
        <w:spacing w:line="360" w:lineRule="auto"/>
        <w:ind w:firstLine="960" w:firstLineChars="400"/>
        <w:rPr>
          <w:rFonts w:hint="default" w:hAnsi="宋体" w:eastAsia="宋体" w:cs="宋体"/>
          <w:bCs/>
          <w:color w:val="auto"/>
          <w:sz w:val="24"/>
          <w:highlight w:val="none"/>
          <w:lang w:val="en-US" w:eastAsia="zh-CN"/>
        </w:rPr>
      </w:pPr>
      <w:r>
        <w:rPr>
          <w:rFonts w:hint="eastAsia" w:hAnsi="宋体" w:cs="宋体"/>
          <w:bCs/>
          <w:color w:val="auto"/>
          <w:sz w:val="24"/>
          <w:highlight w:val="none"/>
        </w:rPr>
        <w:t>标项名称：</w:t>
      </w:r>
      <w:r>
        <w:rPr>
          <w:rFonts w:hint="eastAsia" w:hAnsi="宋体" w:cs="宋体"/>
          <w:bCs/>
          <w:color w:val="auto"/>
          <w:sz w:val="24"/>
          <w:highlight w:val="none"/>
          <w:lang w:val="en-US" w:eastAsia="zh-CN"/>
        </w:rPr>
        <w:t>比萨学院实验室设备采购</w:t>
      </w:r>
    </w:p>
    <w:p w14:paraId="3D18BB28">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数量：1批</w:t>
      </w:r>
    </w:p>
    <w:p w14:paraId="26D4E0D8">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预算金额（元）：349705</w:t>
      </w:r>
    </w:p>
    <w:p w14:paraId="643CA9E6">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简要规格描述或项目基本概况介绍、用途：详见招标文件第三部分采购需求。</w:t>
      </w:r>
    </w:p>
    <w:p w14:paraId="059E2ED9">
      <w:pPr>
        <w:pStyle w:val="15"/>
        <w:spacing w:line="360" w:lineRule="auto"/>
        <w:ind w:firstLine="960" w:firstLineChars="400"/>
        <w:rPr>
          <w:rFonts w:hAnsi="宋体" w:cs="宋体"/>
          <w:bCs/>
          <w:color w:val="auto"/>
          <w:sz w:val="24"/>
          <w:highlight w:val="none"/>
        </w:rPr>
      </w:pPr>
      <w:r>
        <w:rPr>
          <w:rFonts w:hint="eastAsia" w:hAnsi="宋体" w:cs="宋体"/>
          <w:bCs/>
          <w:color w:val="auto"/>
          <w:sz w:val="24"/>
          <w:highlight w:val="none"/>
        </w:rPr>
        <w:t>备注：/。</w:t>
      </w:r>
    </w:p>
    <w:p w14:paraId="63551DCE">
      <w:pPr>
        <w:snapToGrid w:val="0"/>
        <w:spacing w:line="360" w:lineRule="auto"/>
        <w:ind w:firstLine="482" w:firstLineChars="200"/>
        <w:rPr>
          <w:rFonts w:ascii="宋体" w:hAnsi="宋体" w:cs="宋体"/>
          <w:b/>
          <w:kern w:val="28"/>
          <w:sz w:val="24"/>
          <w:szCs w:val="20"/>
          <w:highlight w:val="none"/>
        </w:rPr>
      </w:pPr>
      <w:r>
        <w:rPr>
          <w:rFonts w:hint="eastAsia" w:ascii="宋体" w:hAnsi="宋体" w:cs="宋体"/>
          <w:b/>
          <w:kern w:val="28"/>
          <w:sz w:val="24"/>
          <w:szCs w:val="20"/>
          <w:highlight w:val="none"/>
        </w:rPr>
        <w:t>合同履约期限：</w:t>
      </w:r>
    </w:p>
    <w:p w14:paraId="24141E5A">
      <w:pPr>
        <w:snapToGrid w:val="0"/>
        <w:spacing w:line="360" w:lineRule="auto"/>
        <w:ind w:firstLine="482" w:firstLineChars="200"/>
        <w:rPr>
          <w:rFonts w:ascii="宋体" w:hAnsi="宋体" w:cs="宋体"/>
          <w:b/>
          <w:kern w:val="28"/>
          <w:sz w:val="24"/>
          <w:szCs w:val="20"/>
          <w:highlight w:val="none"/>
        </w:rPr>
      </w:pPr>
      <w:r>
        <w:rPr>
          <w:rFonts w:hint="eastAsia" w:ascii="宋体" w:hAnsi="宋体" w:cs="宋体"/>
          <w:b/>
          <w:kern w:val="28"/>
          <w:sz w:val="24"/>
          <w:szCs w:val="20"/>
          <w:highlight w:val="none"/>
        </w:rPr>
        <w:t>标项一：</w:t>
      </w:r>
      <w:r>
        <w:rPr>
          <w:rFonts w:hint="eastAsia" w:ascii="宋体" w:hAnsi="宋体" w:cs="宋体"/>
          <w:b/>
          <w:kern w:val="28"/>
          <w:sz w:val="24"/>
          <w:szCs w:val="20"/>
          <w:highlight w:val="none"/>
          <w:lang w:eastAsia="zh-CN"/>
        </w:rPr>
        <w:t>合同签订后60天</w:t>
      </w:r>
      <w:r>
        <w:rPr>
          <w:rFonts w:hint="eastAsia" w:ascii="宋体" w:hAnsi="宋体" w:cs="宋体"/>
          <w:b/>
          <w:kern w:val="28"/>
          <w:sz w:val="24"/>
          <w:szCs w:val="20"/>
          <w:highlight w:val="none"/>
        </w:rPr>
        <w:t>。</w:t>
      </w:r>
    </w:p>
    <w:p w14:paraId="2E0883EC">
      <w:pPr>
        <w:snapToGrid w:val="0"/>
        <w:spacing w:line="360" w:lineRule="auto"/>
        <w:ind w:firstLine="482" w:firstLineChars="200"/>
        <w:rPr>
          <w:rFonts w:ascii="宋体" w:hAnsi="宋体" w:cs="宋体"/>
          <w:kern w:val="0"/>
          <w:sz w:val="24"/>
          <w:highlight w:val="none"/>
        </w:rPr>
      </w:pPr>
      <w:r>
        <w:rPr>
          <w:rFonts w:hint="eastAsia" w:ascii="宋体" w:hAnsi="宋体" w:cs="宋体"/>
          <w:b/>
          <w:sz w:val="24"/>
          <w:highlight w:val="none"/>
        </w:rPr>
        <w:t>本项目是否接受联合体投标：</w:t>
      </w:r>
      <w:sdt>
        <w:sdtPr>
          <w:rPr>
            <w:rFonts w:hint="eastAsia" w:ascii="宋体" w:hAnsi="宋体" w:cs="宋体"/>
            <w:kern w:val="0"/>
            <w:sz w:val="24"/>
            <w:highlight w:val="none"/>
          </w:rPr>
          <w:id w:val="2035453831"/>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A8"/>
          </w:r>
        </w:sdtContent>
      </w:sdt>
      <w:r>
        <w:rPr>
          <w:rFonts w:hint="eastAsia" w:ascii="宋体" w:hAnsi="宋体" w:cs="宋体"/>
          <w:b/>
          <w:sz w:val="24"/>
          <w:highlight w:val="none"/>
        </w:rPr>
        <w:t>是；</w:t>
      </w:r>
      <w:sdt>
        <w:sdtPr>
          <w:rPr>
            <w:rFonts w:hint="eastAsia" w:ascii="宋体" w:hAnsi="宋体" w:cs="宋体"/>
            <w:b/>
            <w:sz w:val="24"/>
            <w:highlight w:val="none"/>
          </w:rPr>
          <w:id w:val="147478978"/>
        </w:sdtPr>
        <w:sdtEndPr>
          <w:rPr>
            <w:rFonts w:hint="eastAsia" w:ascii="宋体" w:hAnsi="宋体" w:cs="宋体"/>
            <w:b/>
            <w:sz w:val="24"/>
            <w:highlight w:val="none"/>
          </w:rPr>
        </w:sdtEndPr>
        <w:sdtContent>
          <w:r>
            <w:rPr>
              <w:rFonts w:hint="eastAsia" w:ascii="宋体" w:hAnsi="宋体" w:cs="宋体"/>
              <w:b/>
              <w:sz w:val="24"/>
              <w:highlight w:val="none"/>
            </w:rPr>
            <w:sym w:font="Wingdings" w:char="00FE"/>
          </w:r>
        </w:sdtContent>
      </w:sdt>
      <w:r>
        <w:rPr>
          <w:rFonts w:hint="eastAsia" w:ascii="宋体" w:hAnsi="宋体" w:cs="宋体"/>
          <w:b/>
          <w:sz w:val="24"/>
          <w:highlight w:val="none"/>
        </w:rPr>
        <w:t>否。</w:t>
      </w:r>
    </w:p>
    <w:p w14:paraId="252F82B4">
      <w:pPr>
        <w:snapToGrid w:val="0"/>
        <w:spacing w:line="360" w:lineRule="auto"/>
        <w:rPr>
          <w:rFonts w:ascii="宋体" w:hAnsi="宋体" w:cs="宋体"/>
          <w:b/>
          <w:sz w:val="24"/>
          <w:highlight w:val="none"/>
        </w:rPr>
      </w:pPr>
      <w:bookmarkStart w:id="11" w:name="_Hlk101132948"/>
      <w:bookmarkEnd w:id="11"/>
      <w:r>
        <w:rPr>
          <w:rFonts w:hint="eastAsia" w:ascii="宋体" w:hAnsi="宋体" w:cs="宋体"/>
          <w:b/>
          <w:sz w:val="24"/>
          <w:highlight w:val="none"/>
        </w:rPr>
        <w:t>二、申请人的资格要求：</w:t>
      </w:r>
    </w:p>
    <w:p w14:paraId="7E7B8348">
      <w:pPr>
        <w:snapToGrid w:val="0"/>
        <w:spacing w:line="360" w:lineRule="auto"/>
        <w:ind w:firstLine="480"/>
        <w:rPr>
          <w:rFonts w:ascii="宋体" w:hAnsi="宋体" w:cs="宋体"/>
          <w:kern w:val="28"/>
          <w:sz w:val="24"/>
          <w:szCs w:val="20"/>
          <w:highlight w:val="none"/>
        </w:rPr>
      </w:pPr>
      <w:r>
        <w:rPr>
          <w:rFonts w:hint="eastAsia" w:ascii="宋体" w:hAnsi="宋体" w:cs="宋体"/>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8036323">
      <w:pPr>
        <w:snapToGrid w:val="0"/>
        <w:spacing w:line="360" w:lineRule="auto"/>
        <w:ind w:firstLine="480"/>
        <w:rPr>
          <w:rFonts w:ascii="宋体" w:hAnsi="宋体" w:cs="宋体"/>
          <w:kern w:val="28"/>
          <w:sz w:val="24"/>
          <w:szCs w:val="20"/>
          <w:highlight w:val="none"/>
        </w:rPr>
      </w:pPr>
      <w:r>
        <w:rPr>
          <w:rFonts w:hint="eastAsia" w:ascii="宋体" w:hAnsi="宋体" w:cs="宋体"/>
          <w:kern w:val="28"/>
          <w:sz w:val="24"/>
          <w:szCs w:val="20"/>
          <w:highlight w:val="none"/>
        </w:rPr>
        <w:t>2.以联合体形式投标的，提供联合协议(本项目不接受联</w:t>
      </w:r>
      <w:r>
        <w:rPr>
          <w:rFonts w:hint="eastAsia" w:ascii="宋体" w:hAnsi="宋体" w:cs="宋体"/>
          <w:kern w:val="28"/>
          <w:sz w:val="24"/>
          <w:szCs w:val="20"/>
          <w:highlight w:val="none"/>
        </w:rPr>
        <w:t>合体投标或者投标人不以联合体形式投标的，则不需要提供)；</w:t>
      </w:r>
    </w:p>
    <w:p w14:paraId="5BD3B0B9">
      <w:pPr>
        <w:snapToGrid w:val="0"/>
        <w:spacing w:line="360" w:lineRule="auto"/>
        <w:ind w:firstLine="480" w:firstLineChars="200"/>
        <w:rPr>
          <w:rFonts w:ascii="宋体" w:hAnsi="宋体" w:cs="宋体"/>
          <w:sz w:val="24"/>
          <w:highlight w:val="none"/>
        </w:rPr>
      </w:pPr>
      <w:r>
        <w:rPr>
          <w:rFonts w:hint="eastAsia" w:ascii="宋体" w:hAnsi="宋体" w:cs="宋体"/>
          <w:kern w:val="28"/>
          <w:sz w:val="24"/>
          <w:szCs w:val="20"/>
          <w:highlight w:val="none"/>
        </w:rPr>
        <w:t>3.落实政府采购政策需满足的资格要求：</w:t>
      </w:r>
      <w:r>
        <w:rPr>
          <w:rFonts w:hint="eastAsia" w:ascii="宋体" w:hAnsi="宋体" w:cs="宋体"/>
          <w:sz w:val="24"/>
          <w:highlight w:val="none"/>
        </w:rPr>
        <w:t>无。</w:t>
      </w:r>
    </w:p>
    <w:p w14:paraId="2E7B2BB4">
      <w:pPr>
        <w:snapToGrid w:val="0"/>
        <w:spacing w:line="360" w:lineRule="auto"/>
        <w:ind w:firstLine="480" w:firstLineChars="200"/>
        <w:rPr>
          <w:rFonts w:ascii="宋体" w:hAnsi="宋体" w:cs="宋体"/>
          <w:b/>
          <w:bCs/>
          <w:sz w:val="24"/>
          <w:highlight w:val="none"/>
        </w:rPr>
      </w:pPr>
      <w:r>
        <w:rPr>
          <w:rFonts w:hint="eastAsia" w:ascii="宋体" w:hAnsi="宋体" w:cs="宋体"/>
          <w:sz w:val="24"/>
          <w:highlight w:val="none"/>
        </w:rPr>
        <w:t>4.本项目的特定资格要求：无。</w:t>
      </w:r>
    </w:p>
    <w:p w14:paraId="44E4408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42FED3D">
      <w:pPr>
        <w:snapToGrid w:val="0"/>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1F30B202">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w:t>
      </w:r>
      <w:r>
        <w:rPr>
          <w:rFonts w:hint="eastAsia" w:ascii="宋体" w:hAnsi="宋体" w:cs="宋体"/>
          <w:sz w:val="24"/>
          <w:highlight w:val="none"/>
        </w:rPr>
        <w:t>，每天上午00:00至12:00，下午12:00至23:59（北京时间，线上获取法定节假日均可，线下获取文件法定节假日除外）</w:t>
      </w:r>
    </w:p>
    <w:p w14:paraId="07A1B373">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63536FD6">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4C5F8C73">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2ED97A13">
      <w:pPr>
        <w:snapToGrid w:val="0"/>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07870009">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9</w:t>
      </w:r>
      <w:r>
        <w:rPr>
          <w:rFonts w:hint="eastAsia" w:ascii="宋体" w:hAnsi="宋体" w:cs="宋体"/>
          <w:sz w:val="24"/>
          <w:highlight w:val="none"/>
          <w:u w:val="single"/>
        </w:rPr>
        <w:t>点30分00秒</w:t>
      </w:r>
      <w:r>
        <w:rPr>
          <w:rFonts w:hint="eastAsia" w:ascii="宋体" w:hAnsi="宋体" w:cs="宋体"/>
          <w:sz w:val="24"/>
          <w:highlight w:val="none"/>
        </w:rPr>
        <w:t>（北京时间）</w:t>
      </w:r>
    </w:p>
    <w:p w14:paraId="60ED139B">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14:paraId="02E49755">
      <w:pPr>
        <w:snapToGrid w:val="0"/>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sz w:val="24"/>
          <w:highlight w:val="none"/>
          <w:u w:val="single"/>
        </w:rPr>
        <w:t>2026年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9</w:t>
      </w:r>
      <w:r>
        <w:rPr>
          <w:rFonts w:hint="eastAsia" w:ascii="宋体" w:hAnsi="宋体" w:cs="宋体"/>
          <w:sz w:val="24"/>
          <w:highlight w:val="none"/>
          <w:u w:val="single"/>
        </w:rPr>
        <w:t>点30分00秒</w:t>
      </w:r>
      <w:r>
        <w:rPr>
          <w:rFonts w:hint="eastAsia" w:ascii="宋体" w:hAnsi="宋体" w:cs="宋体"/>
          <w:sz w:val="24"/>
          <w:highlight w:val="none"/>
        </w:rPr>
        <w:t>（北京时间）</w:t>
      </w:r>
    </w:p>
    <w:p w14:paraId="4E7DE8B0">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191030EE">
      <w:pPr>
        <w:snapToGrid w:val="0"/>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08DD348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6A5C4E51">
      <w:pPr>
        <w:snapToGrid w:val="0"/>
        <w:spacing w:line="360" w:lineRule="auto"/>
        <w:rPr>
          <w:rFonts w:ascii="宋体" w:hAnsi="宋体" w:cs="宋体"/>
          <w:b/>
          <w:sz w:val="24"/>
          <w:highlight w:val="none"/>
        </w:rPr>
      </w:pPr>
      <w:r>
        <w:rPr>
          <w:rFonts w:hint="eastAsia" w:ascii="宋体" w:hAnsi="宋体" w:cs="宋体"/>
          <w:b/>
          <w:sz w:val="24"/>
          <w:highlight w:val="none"/>
        </w:rPr>
        <w:t>六、其他补充事宜</w:t>
      </w:r>
    </w:p>
    <w:p w14:paraId="74F62FC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C32EF9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CFDD36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CDE650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人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92EAD8C">
      <w:pPr>
        <w:snapToGrid w:val="0"/>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1F8E643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1.采购人信息</w:t>
      </w:r>
    </w:p>
    <w:p w14:paraId="7093445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名称：浙江海洋大学</w:t>
      </w:r>
    </w:p>
    <w:p w14:paraId="7E513FD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地址：浙江省舟山市定海区临城街道长峙岛海大南1号海洋大学</w:t>
      </w:r>
    </w:p>
    <w:p w14:paraId="342A9D3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项目联系人（询问）：肖老师</w:t>
      </w:r>
    </w:p>
    <w:p w14:paraId="5873002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项目联系方式（询问）：0580-8180348</w:t>
      </w:r>
    </w:p>
    <w:p w14:paraId="412F528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质疑联系人：陆老师</w:t>
      </w:r>
    </w:p>
    <w:p w14:paraId="2778AD8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质疑联系方式：0580-8180989</w:t>
      </w:r>
    </w:p>
    <w:p w14:paraId="09EA7B8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E2499B1">
      <w:pPr>
        <w:snapToGrid w:val="0"/>
        <w:spacing w:line="360" w:lineRule="auto"/>
        <w:ind w:firstLine="480"/>
        <w:rPr>
          <w:rFonts w:ascii="宋体" w:hAnsi="宋体" w:cs="宋体"/>
          <w:sz w:val="24"/>
          <w:highlight w:val="none"/>
        </w:rPr>
      </w:pPr>
      <w:r>
        <w:rPr>
          <w:rFonts w:hint="eastAsia" w:ascii="宋体" w:hAnsi="宋体" w:cs="宋体"/>
          <w:sz w:val="24"/>
          <w:highlight w:val="none"/>
        </w:rPr>
        <w:t>名    称：浙江科佳工程咨询有限公司</w:t>
      </w:r>
    </w:p>
    <w:p w14:paraId="4C1F0C19">
      <w:pPr>
        <w:snapToGrid w:val="0"/>
        <w:spacing w:line="360" w:lineRule="auto"/>
        <w:ind w:firstLine="480"/>
        <w:rPr>
          <w:rFonts w:ascii="宋体" w:hAnsi="宋体" w:cs="宋体"/>
          <w:sz w:val="24"/>
          <w:highlight w:val="none"/>
        </w:rPr>
      </w:pPr>
      <w:r>
        <w:rPr>
          <w:rFonts w:hint="eastAsia" w:ascii="宋体" w:hAnsi="宋体" w:cs="宋体"/>
          <w:sz w:val="24"/>
          <w:highlight w:val="none"/>
        </w:rPr>
        <w:t>地    址：浙江省杭州市上城区顺福商务中心3幢1001、1002、1003室</w:t>
      </w:r>
    </w:p>
    <w:p w14:paraId="267E0B6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项目联系人（询问）：吴金沛、余工</w:t>
      </w:r>
    </w:p>
    <w:p w14:paraId="694BA68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项目联系方式（询问）：17815506260</w:t>
      </w:r>
    </w:p>
    <w:p w14:paraId="254670C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质疑联系人：沈工</w:t>
      </w:r>
    </w:p>
    <w:p w14:paraId="3180DD2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质疑联系方式：19305817244</w:t>
      </w:r>
    </w:p>
    <w:p w14:paraId="0AD54E1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3.同级政府采购监督管理部门</w:t>
      </w:r>
    </w:p>
    <w:p w14:paraId="4D06B57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    称：浙江省政府采购行政裁决服务中心（杭州市上城区清泰街549号城建综合大楼11楼）</w:t>
      </w:r>
    </w:p>
    <w:p w14:paraId="76B8F40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地    址：杭州市上城区清泰街549号城建综合大楼11楼 </w:t>
      </w:r>
    </w:p>
    <w:p w14:paraId="4956F5C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传    真： /</w:t>
      </w:r>
    </w:p>
    <w:p w14:paraId="4E1D875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 系 人：匡老师</w:t>
      </w:r>
    </w:p>
    <w:p w14:paraId="5F0D41C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监督投诉电话：0571-87807798</w:t>
      </w:r>
    </w:p>
    <w:p w14:paraId="2D7949C5">
      <w:pPr>
        <w:snapToGrid w:val="0"/>
        <w:spacing w:line="360" w:lineRule="auto"/>
        <w:ind w:firstLine="480" w:firstLineChars="200"/>
        <w:rPr>
          <w:rFonts w:ascii="宋体" w:hAnsi="宋体" w:cs="宋体"/>
          <w:sz w:val="24"/>
          <w:highlight w:val="none"/>
        </w:rPr>
      </w:pPr>
    </w:p>
    <w:p w14:paraId="62FC91D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政策咨询：何一平、冯华，0571-87058424、87055741</w:t>
      </w:r>
    </w:p>
    <w:p w14:paraId="632F7D5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预算金额未达100万元的采购项目，由采购人处理采购争议。</w:t>
      </w:r>
    </w:p>
    <w:p w14:paraId="62B50B94">
      <w:pPr>
        <w:snapToGrid w:val="0"/>
        <w:spacing w:line="360" w:lineRule="auto"/>
        <w:ind w:firstLine="480" w:firstLineChars="200"/>
        <w:rPr>
          <w:rFonts w:ascii="宋体" w:hAnsi="宋体" w:cs="宋体"/>
          <w:sz w:val="24"/>
          <w:highlight w:val="none"/>
        </w:rPr>
      </w:pPr>
    </w:p>
    <w:p w14:paraId="0106B783">
      <w:pPr>
        <w:snapToGrid w:val="0"/>
        <w:spacing w:line="360" w:lineRule="auto"/>
        <w:rPr>
          <w:rFonts w:ascii="宋体" w:hAnsi="宋体" w:cs="宋体"/>
          <w:sz w:val="24"/>
          <w:highlight w:val="none"/>
        </w:rPr>
      </w:pPr>
      <w:r>
        <w:rPr>
          <w:rFonts w:hint="eastAsia" w:ascii="宋体" w:hAnsi="宋体" w:cs="宋体"/>
          <w:sz w:val="24"/>
          <w:highlight w:val="none"/>
        </w:rPr>
        <w:t xml:space="preserve">    若对项目采购电子交易系统操作有疑问，可登录政采云（https://www.zcygov.cn/），点击右侧咨询小采，获取采小蜜智能服务管家帮助，或拨打政采云服务热线95763获取热线服务帮助。</w:t>
      </w:r>
    </w:p>
    <w:p w14:paraId="001C2CCD">
      <w:pPr>
        <w:snapToGrid w:val="0"/>
        <w:spacing w:line="360" w:lineRule="auto"/>
        <w:ind w:firstLine="480" w:firstLineChars="200"/>
        <w:rPr>
          <w:rFonts w:ascii="宋体" w:hAnsi="宋体" w:cs="宋体"/>
          <w:highlight w:val="none"/>
        </w:rPr>
      </w:pPr>
      <w:r>
        <w:rPr>
          <w:rFonts w:hint="eastAsia" w:ascii="宋体" w:hAnsi="宋体" w:cs="宋体"/>
          <w:sz w:val="24"/>
          <w:highlight w:val="none"/>
        </w:rPr>
        <w:t>CA问题联系电话（人工）：汇信CA 400-888-4636；天谷CA 400-087-8198。</w:t>
      </w:r>
      <w:r>
        <w:rPr>
          <w:rFonts w:hint="eastAsia" w:ascii="宋体" w:hAnsi="宋体" w:cs="宋体"/>
          <w:highlight w:val="none"/>
        </w:rPr>
        <w:br w:type="page"/>
      </w:r>
    </w:p>
    <w:bookmarkEnd w:id="8"/>
    <w:bookmarkEnd w:id="9"/>
    <w:p w14:paraId="58055071">
      <w:pPr>
        <w:pStyle w:val="2"/>
        <w:rPr>
          <w:rFonts w:ascii="宋体" w:hAnsi="宋体" w:cs="宋体"/>
          <w:highlight w:val="none"/>
        </w:rPr>
      </w:pPr>
      <w:bookmarkStart w:id="12" w:name="_Toc28231"/>
      <w:r>
        <w:rPr>
          <w:rFonts w:hint="eastAsia" w:ascii="宋体" w:hAnsi="宋体" w:cs="宋体"/>
          <w:highlight w:val="none"/>
        </w:rPr>
        <w:t>第二部分 投标人须知</w:t>
      </w:r>
      <w:bookmarkEnd w:id="12"/>
    </w:p>
    <w:p w14:paraId="3AC94D48">
      <w:pPr>
        <w:pStyle w:val="3"/>
        <w:jc w:val="center"/>
        <w:rPr>
          <w:rFonts w:cs="宋体"/>
          <w:highlight w:val="none"/>
        </w:rPr>
      </w:pPr>
      <w:bookmarkStart w:id="13" w:name="_Toc269"/>
      <w:r>
        <w:rPr>
          <w:rFonts w:hint="eastAsia" w:cs="宋体"/>
          <w:highlight w:val="none"/>
        </w:rPr>
        <w:t>前附表</w:t>
      </w:r>
      <w:bookmarkEnd w:id="13"/>
    </w:p>
    <w:tbl>
      <w:tblPr>
        <w:tblStyle w:val="66"/>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7"/>
        <w:gridCol w:w="2107"/>
        <w:gridCol w:w="6972"/>
      </w:tblGrid>
      <w:tr w14:paraId="5C30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717" w:type="dxa"/>
          </w:tcPr>
          <w:p w14:paraId="509D1D9E">
            <w:pPr>
              <w:snapToGrid w:val="0"/>
              <w:jc w:val="center"/>
              <w:rPr>
                <w:rFonts w:ascii="宋体" w:hAnsi="宋体" w:cs="宋体"/>
                <w:b/>
                <w:sz w:val="24"/>
                <w:highlight w:val="none"/>
              </w:rPr>
            </w:pPr>
            <w:r>
              <w:rPr>
                <w:rFonts w:hint="eastAsia" w:ascii="宋体" w:hAnsi="宋体" w:cs="宋体"/>
                <w:b/>
                <w:sz w:val="24"/>
                <w:highlight w:val="none"/>
              </w:rPr>
              <w:t>序号</w:t>
            </w:r>
          </w:p>
        </w:tc>
        <w:tc>
          <w:tcPr>
            <w:tcW w:w="2107" w:type="dxa"/>
            <w:vAlign w:val="center"/>
          </w:tcPr>
          <w:p w14:paraId="1ADEF4C4">
            <w:pPr>
              <w:snapToGrid w:val="0"/>
              <w:jc w:val="center"/>
              <w:rPr>
                <w:rFonts w:ascii="宋体" w:hAnsi="宋体" w:cs="宋体"/>
                <w:b/>
                <w:sz w:val="24"/>
                <w:highlight w:val="none"/>
              </w:rPr>
            </w:pPr>
            <w:r>
              <w:rPr>
                <w:rFonts w:hint="eastAsia" w:ascii="宋体" w:hAnsi="宋体" w:cs="宋体"/>
                <w:b/>
                <w:sz w:val="24"/>
                <w:highlight w:val="none"/>
              </w:rPr>
              <w:t>事项</w:t>
            </w:r>
          </w:p>
        </w:tc>
        <w:tc>
          <w:tcPr>
            <w:tcW w:w="6972" w:type="dxa"/>
            <w:vAlign w:val="center"/>
          </w:tcPr>
          <w:p w14:paraId="22C4E28B">
            <w:pPr>
              <w:snapToGrid w:val="0"/>
              <w:jc w:val="center"/>
              <w:rPr>
                <w:rFonts w:ascii="宋体" w:hAnsi="宋体" w:cs="宋体"/>
                <w:b/>
                <w:sz w:val="24"/>
                <w:highlight w:val="none"/>
              </w:rPr>
            </w:pPr>
            <w:r>
              <w:rPr>
                <w:rFonts w:hint="eastAsia" w:ascii="宋体" w:hAnsi="宋体" w:cs="宋体"/>
                <w:b/>
                <w:sz w:val="24"/>
                <w:highlight w:val="none"/>
              </w:rPr>
              <w:t>本项目的特别规定</w:t>
            </w:r>
          </w:p>
        </w:tc>
      </w:tr>
      <w:tr w14:paraId="608A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717" w:type="dxa"/>
            <w:vAlign w:val="center"/>
          </w:tcPr>
          <w:p w14:paraId="01ACDC2A">
            <w:pPr>
              <w:snapToGrid w:val="0"/>
              <w:jc w:val="center"/>
              <w:rPr>
                <w:rFonts w:ascii="宋体" w:hAnsi="宋体" w:cs="宋体"/>
                <w:sz w:val="24"/>
                <w:highlight w:val="none"/>
              </w:rPr>
            </w:pPr>
            <w:r>
              <w:rPr>
                <w:rFonts w:hint="eastAsia" w:ascii="宋体" w:hAnsi="宋体" w:cs="宋体"/>
                <w:sz w:val="24"/>
                <w:highlight w:val="none"/>
              </w:rPr>
              <w:t>1</w:t>
            </w:r>
          </w:p>
        </w:tc>
        <w:tc>
          <w:tcPr>
            <w:tcW w:w="2107" w:type="dxa"/>
            <w:vAlign w:val="center"/>
          </w:tcPr>
          <w:p w14:paraId="2A35119F">
            <w:pPr>
              <w:snapToGrid w:val="0"/>
              <w:jc w:val="center"/>
              <w:rPr>
                <w:rFonts w:ascii="宋体" w:hAnsi="宋体" w:cs="宋体"/>
                <w:b/>
                <w:sz w:val="24"/>
                <w:highlight w:val="none"/>
              </w:rPr>
            </w:pPr>
            <w:r>
              <w:rPr>
                <w:rFonts w:hint="eastAsia" w:ascii="宋体" w:hAnsi="宋体" w:cs="宋体"/>
                <w:b/>
                <w:sz w:val="24"/>
                <w:highlight w:val="none"/>
              </w:rPr>
              <w:t>项目属性</w:t>
            </w:r>
          </w:p>
        </w:tc>
        <w:tc>
          <w:tcPr>
            <w:tcW w:w="6972" w:type="dxa"/>
            <w:vAlign w:val="center"/>
          </w:tcPr>
          <w:p w14:paraId="5BDE83FA">
            <w:pPr>
              <w:rPr>
                <w:rFonts w:ascii="宋体" w:hAnsi="宋体" w:cs="宋体"/>
                <w:sz w:val="24"/>
                <w:highlight w:val="none"/>
              </w:rPr>
            </w:pPr>
            <w:r>
              <w:rPr>
                <w:rFonts w:hint="eastAsia" w:ascii="宋体" w:hAnsi="宋体" w:cs="宋体"/>
                <w:sz w:val="24"/>
                <w:highlight w:val="none"/>
              </w:rPr>
              <w:t>标项一：货物</w:t>
            </w:r>
            <w:r>
              <w:rPr>
                <w:rFonts w:hint="eastAsia" w:ascii="宋体" w:hAnsi="宋体" w:cs="宋体"/>
                <w:sz w:val="24"/>
                <w:highlight w:val="none"/>
              </w:rPr>
              <w:t>类，核心产品：</w:t>
            </w:r>
            <w:r>
              <w:rPr>
                <w:rFonts w:hint="eastAsia" w:ascii="宋体" w:hAnsi="宋体" w:cs="宋体"/>
                <w:sz w:val="24"/>
                <w:highlight w:val="none"/>
                <w:u w:val="single"/>
                <w:lang w:val="en-US" w:eastAsia="zh-CN"/>
              </w:rPr>
              <w:t xml:space="preserve"> 台式通风柜      </w:t>
            </w:r>
            <w:r>
              <w:rPr>
                <w:rFonts w:hint="eastAsia" w:ascii="宋体" w:hAnsi="宋体" w:cs="宋体"/>
                <w:sz w:val="24"/>
                <w:highlight w:val="none"/>
              </w:rPr>
              <w:t>。</w:t>
            </w:r>
          </w:p>
        </w:tc>
      </w:tr>
      <w:tr w14:paraId="3100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7" w:type="dxa"/>
            <w:vAlign w:val="center"/>
          </w:tcPr>
          <w:p w14:paraId="18C249DB">
            <w:pPr>
              <w:snapToGrid w:val="0"/>
              <w:jc w:val="center"/>
              <w:rPr>
                <w:rFonts w:ascii="宋体" w:hAnsi="宋体" w:cs="宋体"/>
                <w:sz w:val="24"/>
                <w:highlight w:val="none"/>
              </w:rPr>
            </w:pPr>
            <w:r>
              <w:rPr>
                <w:rFonts w:hint="eastAsia" w:ascii="宋体" w:hAnsi="宋体" w:cs="宋体"/>
                <w:sz w:val="24"/>
                <w:highlight w:val="none"/>
              </w:rPr>
              <w:t>2</w:t>
            </w:r>
          </w:p>
        </w:tc>
        <w:tc>
          <w:tcPr>
            <w:tcW w:w="2107" w:type="dxa"/>
            <w:vAlign w:val="center"/>
          </w:tcPr>
          <w:p w14:paraId="69108D06">
            <w:pPr>
              <w:snapToGrid w:val="0"/>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972" w:type="dxa"/>
            <w:vAlign w:val="center"/>
          </w:tcPr>
          <w:tbl>
            <w:tblPr>
              <w:tblStyle w:val="66"/>
              <w:tblW w:w="6915" w:type="dxa"/>
              <w:jc w:val="center"/>
              <w:tblLayout w:type="fixed"/>
              <w:tblCellMar>
                <w:top w:w="0" w:type="dxa"/>
                <w:left w:w="108" w:type="dxa"/>
                <w:bottom w:w="0" w:type="dxa"/>
                <w:right w:w="108" w:type="dxa"/>
              </w:tblCellMar>
            </w:tblPr>
            <w:tblGrid>
              <w:gridCol w:w="801"/>
              <w:gridCol w:w="4041"/>
              <w:gridCol w:w="2073"/>
            </w:tblGrid>
            <w:tr w14:paraId="1E535D9E">
              <w:tblPrEx>
                <w:tblCellMar>
                  <w:top w:w="0" w:type="dxa"/>
                  <w:left w:w="108" w:type="dxa"/>
                  <w:bottom w:w="0" w:type="dxa"/>
                  <w:right w:w="108" w:type="dxa"/>
                </w:tblCellMar>
              </w:tblPrEx>
              <w:trPr>
                <w:trHeight w:val="567" w:hRule="atLeast"/>
                <w:jc w:val="center"/>
              </w:trPr>
              <w:tc>
                <w:tcPr>
                  <w:tcW w:w="801" w:type="dxa"/>
                  <w:tcBorders>
                    <w:top w:val="single" w:color="000000" w:sz="4" w:space="0"/>
                    <w:left w:val="single" w:color="000000" w:sz="4" w:space="0"/>
                    <w:bottom w:val="single" w:color="000000" w:sz="4" w:space="0"/>
                    <w:right w:val="single" w:color="000000" w:sz="4" w:space="0"/>
                  </w:tcBorders>
                  <w:noWrap/>
                  <w:vAlign w:val="center"/>
                </w:tcPr>
                <w:p w14:paraId="5702CC19">
                  <w:pPr>
                    <w:widowControl/>
                    <w:jc w:val="center"/>
                    <w:rPr>
                      <w:rFonts w:hint="eastAsia" w:ascii="宋体" w:hAnsi="宋体" w:eastAsia="宋体" w:cs="宋体"/>
                      <w:b/>
                      <w:bCs/>
                      <w:sz w:val="24"/>
                      <w:highlight w:val="none"/>
                      <w:lang w:eastAsia="zh-CN"/>
                    </w:rPr>
                  </w:pPr>
                  <w:r>
                    <w:rPr>
                      <w:rFonts w:hint="eastAsia" w:ascii="宋体" w:hAnsi="宋体" w:cs="宋体"/>
                      <w:b/>
                      <w:bCs/>
                      <w:kern w:val="0"/>
                      <w:sz w:val="24"/>
                      <w:highlight w:val="none"/>
                      <w:lang w:val="en-US" w:eastAsia="zh-CN" w:bidi="ar"/>
                    </w:rPr>
                    <w:t>序号</w:t>
                  </w:r>
                </w:p>
              </w:tc>
              <w:tc>
                <w:tcPr>
                  <w:tcW w:w="4041" w:type="dxa"/>
                  <w:tcBorders>
                    <w:top w:val="single" w:color="000000" w:sz="4" w:space="0"/>
                    <w:left w:val="single" w:color="000000" w:sz="4" w:space="0"/>
                    <w:bottom w:val="single" w:color="000000" w:sz="4" w:space="0"/>
                    <w:right w:val="single" w:color="000000" w:sz="4" w:space="0"/>
                  </w:tcBorders>
                  <w:vAlign w:val="center"/>
                </w:tcPr>
                <w:p w14:paraId="45B3F060">
                  <w:pPr>
                    <w:widowControl/>
                    <w:jc w:val="center"/>
                    <w:rPr>
                      <w:rFonts w:ascii="宋体" w:hAnsi="宋体" w:cs="宋体"/>
                      <w:b/>
                      <w:bCs/>
                      <w:sz w:val="24"/>
                      <w:highlight w:val="none"/>
                    </w:rPr>
                  </w:pPr>
                  <w:r>
                    <w:rPr>
                      <w:rFonts w:hint="eastAsia" w:ascii="宋体" w:hAnsi="宋体" w:cs="宋体"/>
                      <w:b/>
                      <w:bCs/>
                      <w:kern w:val="0"/>
                      <w:sz w:val="24"/>
                      <w:highlight w:val="none"/>
                      <w:lang w:bidi="ar"/>
                    </w:rPr>
                    <w:t>标的</w:t>
                  </w:r>
                </w:p>
              </w:tc>
              <w:tc>
                <w:tcPr>
                  <w:tcW w:w="2073" w:type="dxa"/>
                  <w:tcBorders>
                    <w:top w:val="single" w:color="000000" w:sz="4" w:space="0"/>
                    <w:left w:val="single" w:color="000000" w:sz="4" w:space="0"/>
                    <w:bottom w:val="single" w:color="000000" w:sz="4" w:space="0"/>
                    <w:right w:val="single" w:color="000000" w:sz="4" w:space="0"/>
                  </w:tcBorders>
                  <w:vAlign w:val="center"/>
                </w:tcPr>
                <w:p w14:paraId="069BB26C">
                  <w:pPr>
                    <w:widowControl/>
                    <w:snapToGrid w:val="0"/>
                    <w:jc w:val="center"/>
                    <w:rPr>
                      <w:rFonts w:ascii="宋体" w:hAnsi="宋体" w:cs="宋体"/>
                      <w:b/>
                      <w:bCs/>
                      <w:kern w:val="0"/>
                      <w:sz w:val="24"/>
                      <w:highlight w:val="none"/>
                      <w:lang w:bidi="ar"/>
                    </w:rPr>
                  </w:pPr>
                  <w:r>
                    <w:rPr>
                      <w:rFonts w:hint="eastAsia" w:ascii="宋体" w:hAnsi="宋体" w:cs="宋体"/>
                      <w:b/>
                      <w:bCs/>
                      <w:kern w:val="0"/>
                      <w:sz w:val="24"/>
                      <w:highlight w:val="none"/>
                      <w:lang w:bidi="ar"/>
                    </w:rPr>
                    <w:t>所属行业</w:t>
                  </w:r>
                </w:p>
              </w:tc>
            </w:tr>
            <w:tr w14:paraId="72A9A623">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CB04">
                  <w:pPr>
                    <w:jc w:val="center"/>
                    <w:rPr>
                      <w:rFonts w:ascii="宋体" w:hAnsi="宋体" w:cs="宋体"/>
                      <w:sz w:val="24"/>
                      <w:highlight w:val="none"/>
                    </w:rPr>
                  </w:pPr>
                  <w:r>
                    <w:rPr>
                      <w:rFonts w:hint="eastAsia" w:ascii="宋体" w:hAnsi="宋体" w:cs="宋体"/>
                      <w:sz w:val="24"/>
                      <w:highlight w:val="none"/>
                    </w:rPr>
                    <w:t>1</w:t>
                  </w:r>
                </w:p>
              </w:tc>
              <w:tc>
                <w:tcPr>
                  <w:tcW w:w="4041" w:type="dxa"/>
                  <w:tcBorders>
                    <w:top w:val="single" w:color="000000" w:sz="4" w:space="0"/>
                    <w:left w:val="single" w:color="000000" w:sz="4" w:space="0"/>
                    <w:bottom w:val="single" w:color="000000" w:sz="4" w:space="0"/>
                    <w:right w:val="nil"/>
                  </w:tcBorders>
                  <w:vAlign w:val="center"/>
                </w:tcPr>
                <w:p w14:paraId="63099B9B">
                  <w:pPr>
                    <w:jc w:val="center"/>
                    <w:rPr>
                      <w:rFonts w:hint="eastAsia" w:ascii="宋体" w:hAnsi="宋体" w:cs="宋体"/>
                      <w:sz w:val="24"/>
                      <w:highlight w:val="none"/>
                    </w:rPr>
                  </w:pPr>
                  <w:r>
                    <w:rPr>
                      <w:rFonts w:hint="eastAsia" w:ascii="宋体" w:hAnsi="宋体" w:cs="宋体"/>
                      <w:sz w:val="24"/>
                      <w:highlight w:val="none"/>
                    </w:rPr>
                    <w:t>中央实验台</w:t>
                  </w:r>
                </w:p>
              </w:tc>
              <w:tc>
                <w:tcPr>
                  <w:tcW w:w="2073" w:type="dxa"/>
                  <w:tcBorders>
                    <w:top w:val="single" w:color="000000" w:sz="4" w:space="0"/>
                    <w:left w:val="single" w:color="000000" w:sz="4" w:space="0"/>
                    <w:bottom w:val="single" w:color="000000" w:sz="4" w:space="0"/>
                    <w:right w:val="nil"/>
                  </w:tcBorders>
                  <w:vAlign w:val="center"/>
                </w:tcPr>
                <w:p w14:paraId="26FAD16D">
                  <w:pPr>
                    <w:jc w:val="center"/>
                    <w:rPr>
                      <w:rFonts w:ascii="宋体" w:hAnsi="宋体" w:cs="宋体"/>
                      <w:sz w:val="24"/>
                      <w:highlight w:val="none"/>
                    </w:rPr>
                  </w:pPr>
                  <w:r>
                    <w:rPr>
                      <w:rFonts w:hint="eastAsia" w:ascii="宋体" w:hAnsi="宋体" w:cs="宋体"/>
                      <w:sz w:val="24"/>
                      <w:highlight w:val="none"/>
                    </w:rPr>
                    <w:t>工业</w:t>
                  </w:r>
                </w:p>
              </w:tc>
            </w:tr>
            <w:tr w14:paraId="65690C64">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0D54">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p>
              </w:tc>
              <w:tc>
                <w:tcPr>
                  <w:tcW w:w="4041" w:type="dxa"/>
                  <w:tcBorders>
                    <w:top w:val="single" w:color="000000" w:sz="4" w:space="0"/>
                    <w:left w:val="single" w:color="000000" w:sz="4" w:space="0"/>
                    <w:bottom w:val="single" w:color="000000" w:sz="4" w:space="0"/>
                    <w:right w:val="nil"/>
                  </w:tcBorders>
                  <w:vAlign w:val="center"/>
                </w:tcPr>
                <w:p w14:paraId="707B61B3">
                  <w:pPr>
                    <w:jc w:val="center"/>
                    <w:rPr>
                      <w:rFonts w:hint="eastAsia" w:ascii="宋体" w:hAnsi="宋体" w:cs="宋体"/>
                      <w:sz w:val="24"/>
                      <w:highlight w:val="none"/>
                    </w:rPr>
                  </w:pPr>
                  <w:r>
                    <w:rPr>
                      <w:rFonts w:hint="eastAsia" w:ascii="宋体" w:hAnsi="宋体" w:cs="宋体"/>
                      <w:sz w:val="24"/>
                      <w:highlight w:val="none"/>
                    </w:rPr>
                    <w:t>靠边实验台</w:t>
                  </w:r>
                </w:p>
              </w:tc>
              <w:tc>
                <w:tcPr>
                  <w:tcW w:w="2073" w:type="dxa"/>
                  <w:tcBorders>
                    <w:top w:val="single" w:color="000000" w:sz="4" w:space="0"/>
                    <w:left w:val="single" w:color="000000" w:sz="4" w:space="0"/>
                    <w:bottom w:val="single" w:color="000000" w:sz="4" w:space="0"/>
                    <w:right w:val="nil"/>
                  </w:tcBorders>
                  <w:vAlign w:val="center"/>
                </w:tcPr>
                <w:p w14:paraId="16AFC1F3">
                  <w:pPr>
                    <w:jc w:val="center"/>
                    <w:rPr>
                      <w:rFonts w:hint="eastAsia" w:ascii="宋体" w:hAnsi="宋体" w:cs="宋体"/>
                      <w:sz w:val="24"/>
                      <w:highlight w:val="none"/>
                    </w:rPr>
                  </w:pPr>
                  <w:r>
                    <w:rPr>
                      <w:rFonts w:hint="eastAsia" w:ascii="宋体" w:hAnsi="宋体" w:cs="宋体"/>
                      <w:sz w:val="24"/>
                      <w:highlight w:val="none"/>
                    </w:rPr>
                    <w:t>工业</w:t>
                  </w:r>
                </w:p>
              </w:tc>
            </w:tr>
            <w:tr w14:paraId="4975A48D">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C1D">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4041" w:type="dxa"/>
                  <w:tcBorders>
                    <w:top w:val="single" w:color="000000" w:sz="4" w:space="0"/>
                    <w:left w:val="single" w:color="000000" w:sz="4" w:space="0"/>
                    <w:bottom w:val="single" w:color="000000" w:sz="4" w:space="0"/>
                    <w:right w:val="nil"/>
                  </w:tcBorders>
                  <w:vAlign w:val="center"/>
                </w:tcPr>
                <w:p w14:paraId="6009F195">
                  <w:pPr>
                    <w:jc w:val="center"/>
                    <w:rPr>
                      <w:rFonts w:hint="eastAsia" w:ascii="宋体" w:hAnsi="宋体" w:cs="宋体"/>
                      <w:sz w:val="24"/>
                      <w:highlight w:val="none"/>
                    </w:rPr>
                  </w:pPr>
                  <w:r>
                    <w:rPr>
                      <w:rFonts w:hint="eastAsia" w:ascii="宋体" w:hAnsi="宋体" w:cs="宋体"/>
                      <w:sz w:val="24"/>
                      <w:highlight w:val="none"/>
                    </w:rPr>
                    <w:t>美式双面试剂架</w:t>
                  </w:r>
                </w:p>
              </w:tc>
              <w:tc>
                <w:tcPr>
                  <w:tcW w:w="2073" w:type="dxa"/>
                  <w:tcBorders>
                    <w:top w:val="single" w:color="000000" w:sz="4" w:space="0"/>
                    <w:left w:val="single" w:color="000000" w:sz="4" w:space="0"/>
                    <w:bottom w:val="single" w:color="000000" w:sz="4" w:space="0"/>
                    <w:right w:val="nil"/>
                  </w:tcBorders>
                  <w:vAlign w:val="center"/>
                </w:tcPr>
                <w:p w14:paraId="5FCAEA92">
                  <w:pPr>
                    <w:jc w:val="center"/>
                    <w:rPr>
                      <w:rFonts w:hint="eastAsia" w:ascii="宋体" w:hAnsi="宋体" w:cs="宋体"/>
                      <w:sz w:val="24"/>
                      <w:highlight w:val="none"/>
                    </w:rPr>
                  </w:pPr>
                  <w:r>
                    <w:rPr>
                      <w:rFonts w:hint="eastAsia" w:ascii="宋体" w:hAnsi="宋体" w:cs="宋体"/>
                      <w:sz w:val="24"/>
                      <w:highlight w:val="none"/>
                    </w:rPr>
                    <w:t>工业</w:t>
                  </w:r>
                </w:p>
              </w:tc>
            </w:tr>
            <w:tr w14:paraId="60581AE5">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EF8">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60C6089B">
                  <w:pPr>
                    <w:jc w:val="center"/>
                    <w:rPr>
                      <w:rFonts w:hint="eastAsia" w:ascii="宋体" w:hAnsi="宋体" w:cs="宋体"/>
                      <w:sz w:val="24"/>
                      <w:highlight w:val="none"/>
                      <w:lang w:val="en-US" w:eastAsia="zh-CN"/>
                    </w:rPr>
                  </w:pPr>
                  <w:r>
                    <w:rPr>
                      <w:rFonts w:hint="eastAsia" w:ascii="宋体" w:hAnsi="宋体" w:cs="宋体"/>
                      <w:sz w:val="24"/>
                      <w:highlight w:val="none"/>
                    </w:rPr>
                    <w:t>台式通风柜</w:t>
                  </w:r>
                </w:p>
              </w:tc>
              <w:tc>
                <w:tcPr>
                  <w:tcW w:w="2073" w:type="dxa"/>
                  <w:tcBorders>
                    <w:top w:val="single" w:color="000000" w:sz="4" w:space="0"/>
                    <w:left w:val="single" w:color="000000" w:sz="4" w:space="0"/>
                    <w:bottom w:val="single" w:color="000000" w:sz="4" w:space="0"/>
                    <w:right w:val="nil"/>
                  </w:tcBorders>
                  <w:vAlign w:val="center"/>
                </w:tcPr>
                <w:p w14:paraId="207CC7F8">
                  <w:pPr>
                    <w:jc w:val="center"/>
                    <w:rPr>
                      <w:rFonts w:hint="eastAsia" w:ascii="宋体" w:hAnsi="宋体" w:cs="宋体"/>
                      <w:sz w:val="24"/>
                      <w:highlight w:val="none"/>
                    </w:rPr>
                  </w:pPr>
                  <w:r>
                    <w:rPr>
                      <w:rFonts w:hint="eastAsia" w:ascii="宋体" w:hAnsi="宋体" w:cs="宋体"/>
                      <w:sz w:val="24"/>
                      <w:highlight w:val="none"/>
                    </w:rPr>
                    <w:t>工业</w:t>
                  </w:r>
                </w:p>
              </w:tc>
            </w:tr>
            <w:tr w14:paraId="5CE378EE">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FF6">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04B7A6B0">
                  <w:pPr>
                    <w:jc w:val="center"/>
                    <w:rPr>
                      <w:rFonts w:hint="eastAsia" w:ascii="宋体" w:hAnsi="宋体" w:cs="宋体"/>
                      <w:sz w:val="24"/>
                      <w:highlight w:val="none"/>
                      <w:lang w:val="en-US" w:eastAsia="zh-CN"/>
                    </w:rPr>
                  </w:pPr>
                  <w:r>
                    <w:rPr>
                      <w:rFonts w:hint="eastAsia" w:ascii="宋体" w:hAnsi="宋体" w:cs="宋体"/>
                      <w:sz w:val="24"/>
                      <w:highlight w:val="none"/>
                    </w:rPr>
                    <w:t>洁净工作台</w:t>
                  </w:r>
                </w:p>
              </w:tc>
              <w:tc>
                <w:tcPr>
                  <w:tcW w:w="2073" w:type="dxa"/>
                  <w:tcBorders>
                    <w:top w:val="single" w:color="000000" w:sz="4" w:space="0"/>
                    <w:left w:val="single" w:color="000000" w:sz="4" w:space="0"/>
                    <w:bottom w:val="single" w:color="000000" w:sz="4" w:space="0"/>
                    <w:right w:val="nil"/>
                  </w:tcBorders>
                  <w:vAlign w:val="center"/>
                </w:tcPr>
                <w:p w14:paraId="0A5F5F9B">
                  <w:pPr>
                    <w:jc w:val="center"/>
                    <w:rPr>
                      <w:rFonts w:hint="eastAsia" w:ascii="宋体" w:hAnsi="宋体" w:cs="宋体"/>
                      <w:sz w:val="24"/>
                      <w:highlight w:val="none"/>
                    </w:rPr>
                  </w:pPr>
                  <w:r>
                    <w:rPr>
                      <w:rFonts w:hint="eastAsia" w:ascii="宋体" w:hAnsi="宋体" w:cs="宋体"/>
                      <w:sz w:val="24"/>
                      <w:highlight w:val="none"/>
                    </w:rPr>
                    <w:t>工业</w:t>
                  </w:r>
                </w:p>
              </w:tc>
            </w:tr>
            <w:tr w14:paraId="1E7C279B">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2A47">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2C8A7DFE">
                  <w:pPr>
                    <w:jc w:val="center"/>
                    <w:rPr>
                      <w:rFonts w:hint="eastAsia" w:ascii="宋体" w:hAnsi="宋体" w:cs="宋体"/>
                      <w:sz w:val="24"/>
                      <w:highlight w:val="none"/>
                      <w:lang w:val="en-US" w:eastAsia="zh-CN"/>
                    </w:rPr>
                  </w:pPr>
                  <w:r>
                    <w:rPr>
                      <w:rFonts w:hint="eastAsia" w:ascii="宋体" w:hAnsi="宋体" w:cs="宋体"/>
                      <w:sz w:val="24"/>
                      <w:highlight w:val="none"/>
                    </w:rPr>
                    <w:t>吊柜</w:t>
                  </w:r>
                </w:p>
              </w:tc>
              <w:tc>
                <w:tcPr>
                  <w:tcW w:w="2073" w:type="dxa"/>
                  <w:tcBorders>
                    <w:top w:val="single" w:color="000000" w:sz="4" w:space="0"/>
                    <w:left w:val="single" w:color="000000" w:sz="4" w:space="0"/>
                    <w:bottom w:val="single" w:color="000000" w:sz="4" w:space="0"/>
                    <w:right w:val="nil"/>
                  </w:tcBorders>
                  <w:vAlign w:val="center"/>
                </w:tcPr>
                <w:p w14:paraId="22D328BA">
                  <w:pPr>
                    <w:jc w:val="center"/>
                    <w:rPr>
                      <w:rFonts w:hint="eastAsia" w:ascii="宋体" w:hAnsi="宋体" w:cs="宋体"/>
                      <w:sz w:val="24"/>
                      <w:highlight w:val="none"/>
                    </w:rPr>
                  </w:pPr>
                  <w:r>
                    <w:rPr>
                      <w:rFonts w:hint="eastAsia" w:ascii="宋体" w:hAnsi="宋体" w:cs="宋体"/>
                      <w:sz w:val="24"/>
                      <w:highlight w:val="none"/>
                    </w:rPr>
                    <w:t>工业</w:t>
                  </w:r>
                </w:p>
              </w:tc>
            </w:tr>
            <w:tr w14:paraId="2CECB2EB">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8B72">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1A02AAB0">
                  <w:pPr>
                    <w:jc w:val="center"/>
                    <w:rPr>
                      <w:rFonts w:hint="eastAsia" w:ascii="宋体" w:hAnsi="宋体" w:cs="宋体"/>
                      <w:sz w:val="24"/>
                      <w:highlight w:val="none"/>
                      <w:lang w:val="en-US" w:eastAsia="zh-CN"/>
                    </w:rPr>
                  </w:pPr>
                  <w:r>
                    <w:rPr>
                      <w:rFonts w:hint="eastAsia" w:ascii="宋体" w:hAnsi="宋体" w:cs="宋体"/>
                      <w:sz w:val="24"/>
                      <w:highlight w:val="none"/>
                    </w:rPr>
                    <w:t>PP水槽</w:t>
                  </w:r>
                </w:p>
              </w:tc>
              <w:tc>
                <w:tcPr>
                  <w:tcW w:w="2073" w:type="dxa"/>
                  <w:tcBorders>
                    <w:top w:val="single" w:color="000000" w:sz="4" w:space="0"/>
                    <w:left w:val="single" w:color="000000" w:sz="4" w:space="0"/>
                    <w:bottom w:val="single" w:color="000000" w:sz="4" w:space="0"/>
                    <w:right w:val="nil"/>
                  </w:tcBorders>
                  <w:vAlign w:val="center"/>
                </w:tcPr>
                <w:p w14:paraId="5B288ADE">
                  <w:pPr>
                    <w:jc w:val="center"/>
                    <w:rPr>
                      <w:rFonts w:hint="eastAsia" w:ascii="宋体" w:hAnsi="宋体" w:cs="宋体"/>
                      <w:sz w:val="24"/>
                      <w:highlight w:val="none"/>
                    </w:rPr>
                  </w:pPr>
                  <w:r>
                    <w:rPr>
                      <w:rFonts w:hint="eastAsia" w:ascii="宋体" w:hAnsi="宋体" w:cs="宋体"/>
                      <w:sz w:val="24"/>
                      <w:highlight w:val="none"/>
                    </w:rPr>
                    <w:t>工业</w:t>
                  </w:r>
                </w:p>
              </w:tc>
            </w:tr>
            <w:tr w14:paraId="10749F7D">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90E">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1E07CBFC">
                  <w:pPr>
                    <w:jc w:val="center"/>
                    <w:rPr>
                      <w:rFonts w:hint="eastAsia" w:ascii="宋体" w:hAnsi="宋体" w:cs="宋体"/>
                      <w:sz w:val="24"/>
                      <w:highlight w:val="none"/>
                      <w:lang w:val="en-US" w:eastAsia="zh-CN"/>
                    </w:rPr>
                  </w:pPr>
                  <w:r>
                    <w:rPr>
                      <w:rFonts w:hint="eastAsia" w:ascii="宋体" w:hAnsi="宋体" w:cs="宋体"/>
                      <w:sz w:val="24"/>
                      <w:highlight w:val="none"/>
                    </w:rPr>
                    <w:t>三口水龙头</w:t>
                  </w:r>
                </w:p>
              </w:tc>
              <w:tc>
                <w:tcPr>
                  <w:tcW w:w="2073" w:type="dxa"/>
                  <w:tcBorders>
                    <w:top w:val="single" w:color="000000" w:sz="4" w:space="0"/>
                    <w:left w:val="single" w:color="000000" w:sz="4" w:space="0"/>
                    <w:bottom w:val="single" w:color="000000" w:sz="4" w:space="0"/>
                    <w:right w:val="nil"/>
                  </w:tcBorders>
                  <w:vAlign w:val="center"/>
                </w:tcPr>
                <w:p w14:paraId="6A7BAA49">
                  <w:pPr>
                    <w:jc w:val="center"/>
                    <w:rPr>
                      <w:rFonts w:hint="eastAsia" w:ascii="宋体" w:hAnsi="宋体" w:cs="宋体"/>
                      <w:sz w:val="24"/>
                      <w:highlight w:val="none"/>
                    </w:rPr>
                  </w:pPr>
                  <w:r>
                    <w:rPr>
                      <w:rFonts w:hint="eastAsia" w:ascii="宋体" w:hAnsi="宋体" w:cs="宋体"/>
                      <w:sz w:val="24"/>
                      <w:highlight w:val="none"/>
                    </w:rPr>
                    <w:t>工业</w:t>
                  </w:r>
                </w:p>
              </w:tc>
            </w:tr>
            <w:tr w14:paraId="3905D923">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F461">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6A213EAA">
                  <w:pPr>
                    <w:jc w:val="center"/>
                    <w:rPr>
                      <w:rFonts w:hint="eastAsia" w:ascii="宋体" w:hAnsi="宋体" w:cs="宋体"/>
                      <w:sz w:val="24"/>
                      <w:highlight w:val="none"/>
                      <w:lang w:val="en-US" w:eastAsia="zh-CN"/>
                    </w:rPr>
                  </w:pPr>
                  <w:r>
                    <w:rPr>
                      <w:rFonts w:hint="eastAsia" w:ascii="宋体" w:hAnsi="宋体" w:cs="宋体"/>
                      <w:sz w:val="24"/>
                      <w:highlight w:val="none"/>
                    </w:rPr>
                    <w:t>单头洗眼器</w:t>
                  </w:r>
                </w:p>
              </w:tc>
              <w:tc>
                <w:tcPr>
                  <w:tcW w:w="2073" w:type="dxa"/>
                  <w:tcBorders>
                    <w:top w:val="single" w:color="000000" w:sz="4" w:space="0"/>
                    <w:left w:val="single" w:color="000000" w:sz="4" w:space="0"/>
                    <w:bottom w:val="single" w:color="000000" w:sz="4" w:space="0"/>
                    <w:right w:val="nil"/>
                  </w:tcBorders>
                  <w:vAlign w:val="center"/>
                </w:tcPr>
                <w:p w14:paraId="326AAF91">
                  <w:pPr>
                    <w:jc w:val="center"/>
                    <w:rPr>
                      <w:rFonts w:hint="eastAsia" w:ascii="宋体" w:hAnsi="宋体" w:cs="宋体"/>
                      <w:sz w:val="24"/>
                      <w:highlight w:val="none"/>
                    </w:rPr>
                  </w:pPr>
                  <w:r>
                    <w:rPr>
                      <w:rFonts w:hint="eastAsia" w:ascii="宋体" w:hAnsi="宋体" w:cs="宋体"/>
                      <w:sz w:val="24"/>
                      <w:highlight w:val="none"/>
                    </w:rPr>
                    <w:t>工业</w:t>
                  </w:r>
                </w:p>
              </w:tc>
            </w:tr>
            <w:tr w14:paraId="74F8163F">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6B07">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10</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4AF1B871">
                  <w:pPr>
                    <w:jc w:val="center"/>
                    <w:rPr>
                      <w:rFonts w:hint="eastAsia" w:ascii="宋体" w:hAnsi="宋体" w:cs="宋体"/>
                      <w:sz w:val="24"/>
                      <w:highlight w:val="none"/>
                      <w:lang w:val="en-US" w:eastAsia="zh-CN"/>
                    </w:rPr>
                  </w:pPr>
                  <w:r>
                    <w:rPr>
                      <w:rFonts w:hint="eastAsia" w:ascii="宋体" w:hAnsi="宋体" w:cs="宋体"/>
                      <w:sz w:val="24"/>
                      <w:highlight w:val="none"/>
                    </w:rPr>
                    <w:t>滴水架</w:t>
                  </w:r>
                </w:p>
              </w:tc>
              <w:tc>
                <w:tcPr>
                  <w:tcW w:w="2073" w:type="dxa"/>
                  <w:tcBorders>
                    <w:top w:val="single" w:color="000000" w:sz="4" w:space="0"/>
                    <w:left w:val="single" w:color="000000" w:sz="4" w:space="0"/>
                    <w:bottom w:val="single" w:color="000000" w:sz="4" w:space="0"/>
                    <w:right w:val="nil"/>
                  </w:tcBorders>
                  <w:vAlign w:val="center"/>
                </w:tcPr>
                <w:p w14:paraId="573BFCC3">
                  <w:pPr>
                    <w:jc w:val="center"/>
                    <w:rPr>
                      <w:rFonts w:hint="eastAsia" w:ascii="宋体" w:hAnsi="宋体" w:cs="宋体"/>
                      <w:sz w:val="24"/>
                      <w:highlight w:val="none"/>
                    </w:rPr>
                  </w:pPr>
                  <w:r>
                    <w:rPr>
                      <w:rFonts w:hint="eastAsia" w:ascii="宋体" w:hAnsi="宋体" w:cs="宋体"/>
                      <w:sz w:val="24"/>
                      <w:highlight w:val="none"/>
                    </w:rPr>
                    <w:t>工业</w:t>
                  </w:r>
                </w:p>
              </w:tc>
            </w:tr>
            <w:tr w14:paraId="1FABBC9E">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175">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11</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2C5199D4">
                  <w:pPr>
                    <w:jc w:val="center"/>
                    <w:rPr>
                      <w:rFonts w:hint="eastAsia" w:ascii="宋体" w:hAnsi="宋体" w:cs="宋体"/>
                      <w:sz w:val="24"/>
                      <w:highlight w:val="none"/>
                      <w:lang w:val="en-US" w:eastAsia="zh-CN"/>
                    </w:rPr>
                  </w:pPr>
                  <w:r>
                    <w:rPr>
                      <w:rFonts w:hint="eastAsia" w:ascii="宋体" w:hAnsi="宋体" w:cs="宋体"/>
                      <w:sz w:val="24"/>
                      <w:highlight w:val="none"/>
                    </w:rPr>
                    <w:t xml:space="preserve">落地式紧急冲淋器 </w:t>
                  </w:r>
                </w:p>
              </w:tc>
              <w:tc>
                <w:tcPr>
                  <w:tcW w:w="2073" w:type="dxa"/>
                  <w:tcBorders>
                    <w:top w:val="single" w:color="000000" w:sz="4" w:space="0"/>
                    <w:left w:val="single" w:color="000000" w:sz="4" w:space="0"/>
                    <w:bottom w:val="single" w:color="000000" w:sz="4" w:space="0"/>
                    <w:right w:val="nil"/>
                  </w:tcBorders>
                  <w:vAlign w:val="center"/>
                </w:tcPr>
                <w:p w14:paraId="730837CD">
                  <w:pPr>
                    <w:jc w:val="center"/>
                    <w:rPr>
                      <w:rFonts w:hint="eastAsia" w:ascii="宋体" w:hAnsi="宋体" w:cs="宋体"/>
                      <w:sz w:val="24"/>
                      <w:highlight w:val="none"/>
                    </w:rPr>
                  </w:pPr>
                  <w:r>
                    <w:rPr>
                      <w:rFonts w:hint="eastAsia" w:ascii="宋体" w:hAnsi="宋体" w:cs="宋体"/>
                      <w:sz w:val="24"/>
                      <w:highlight w:val="none"/>
                    </w:rPr>
                    <w:t>工业</w:t>
                  </w:r>
                </w:p>
              </w:tc>
            </w:tr>
            <w:tr w14:paraId="67FE9B79">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70FC">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12</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50256345">
                  <w:pPr>
                    <w:jc w:val="center"/>
                    <w:rPr>
                      <w:rFonts w:hint="eastAsia" w:ascii="宋体" w:hAnsi="宋体" w:cs="宋体"/>
                      <w:sz w:val="24"/>
                      <w:highlight w:val="none"/>
                      <w:lang w:val="en-US" w:eastAsia="zh-CN"/>
                    </w:rPr>
                  </w:pPr>
                  <w:r>
                    <w:rPr>
                      <w:rFonts w:hint="eastAsia" w:ascii="宋体" w:hAnsi="宋体" w:cs="宋体"/>
                      <w:sz w:val="24"/>
                      <w:highlight w:val="none"/>
                    </w:rPr>
                    <w:t>防水隔断</w:t>
                  </w:r>
                </w:p>
              </w:tc>
              <w:tc>
                <w:tcPr>
                  <w:tcW w:w="2073" w:type="dxa"/>
                  <w:tcBorders>
                    <w:top w:val="single" w:color="000000" w:sz="4" w:space="0"/>
                    <w:left w:val="single" w:color="000000" w:sz="4" w:space="0"/>
                    <w:bottom w:val="single" w:color="000000" w:sz="4" w:space="0"/>
                    <w:right w:val="nil"/>
                  </w:tcBorders>
                  <w:vAlign w:val="center"/>
                </w:tcPr>
                <w:p w14:paraId="6E387629">
                  <w:pPr>
                    <w:jc w:val="center"/>
                    <w:rPr>
                      <w:rFonts w:hint="eastAsia" w:ascii="宋体" w:hAnsi="宋体" w:cs="宋体"/>
                      <w:sz w:val="24"/>
                      <w:highlight w:val="none"/>
                    </w:rPr>
                  </w:pPr>
                  <w:r>
                    <w:rPr>
                      <w:rFonts w:hint="eastAsia" w:ascii="宋体" w:hAnsi="宋体" w:cs="宋体"/>
                      <w:sz w:val="24"/>
                      <w:highlight w:val="none"/>
                    </w:rPr>
                    <w:t>工业</w:t>
                  </w:r>
                </w:p>
              </w:tc>
            </w:tr>
            <w:tr w14:paraId="3094BF1A">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BDE8">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13</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33B18AE9">
                  <w:pPr>
                    <w:jc w:val="center"/>
                    <w:rPr>
                      <w:rFonts w:hint="eastAsia" w:ascii="宋体" w:hAnsi="宋体" w:cs="宋体"/>
                      <w:sz w:val="24"/>
                      <w:highlight w:val="none"/>
                      <w:lang w:val="en-US" w:eastAsia="zh-CN"/>
                    </w:rPr>
                  </w:pPr>
                  <w:r>
                    <w:rPr>
                      <w:rFonts w:hint="eastAsia" w:ascii="宋体" w:hAnsi="宋体" w:cs="宋体"/>
                      <w:sz w:val="24"/>
                      <w:highlight w:val="none"/>
                    </w:rPr>
                    <w:t>污水处理系统</w:t>
                  </w:r>
                </w:p>
              </w:tc>
              <w:tc>
                <w:tcPr>
                  <w:tcW w:w="2073" w:type="dxa"/>
                  <w:tcBorders>
                    <w:top w:val="single" w:color="000000" w:sz="4" w:space="0"/>
                    <w:left w:val="single" w:color="000000" w:sz="4" w:space="0"/>
                    <w:bottom w:val="single" w:color="000000" w:sz="4" w:space="0"/>
                    <w:right w:val="nil"/>
                  </w:tcBorders>
                  <w:vAlign w:val="center"/>
                </w:tcPr>
                <w:p w14:paraId="3B252A3F">
                  <w:pPr>
                    <w:jc w:val="center"/>
                    <w:rPr>
                      <w:rFonts w:hint="eastAsia" w:ascii="宋体" w:hAnsi="宋体" w:cs="宋体"/>
                      <w:sz w:val="24"/>
                      <w:highlight w:val="none"/>
                    </w:rPr>
                  </w:pPr>
                  <w:r>
                    <w:rPr>
                      <w:rFonts w:hint="eastAsia" w:ascii="宋体" w:hAnsi="宋体" w:cs="宋体"/>
                      <w:sz w:val="24"/>
                      <w:highlight w:val="none"/>
                    </w:rPr>
                    <w:t>工业</w:t>
                  </w:r>
                </w:p>
              </w:tc>
            </w:tr>
            <w:tr w14:paraId="1A77A0FC">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721F">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14</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11CF1868">
                  <w:pPr>
                    <w:jc w:val="center"/>
                    <w:rPr>
                      <w:rFonts w:hint="eastAsia" w:ascii="宋体" w:hAnsi="宋体" w:cs="宋体"/>
                      <w:sz w:val="24"/>
                      <w:highlight w:val="none"/>
                      <w:lang w:val="en-US" w:eastAsia="zh-CN"/>
                    </w:rPr>
                  </w:pPr>
                  <w:r>
                    <w:rPr>
                      <w:rFonts w:hint="eastAsia" w:ascii="宋体" w:hAnsi="宋体" w:cs="宋体"/>
                      <w:sz w:val="24"/>
                      <w:highlight w:val="none"/>
                    </w:rPr>
                    <w:t>排风系统</w:t>
                  </w:r>
                </w:p>
              </w:tc>
              <w:tc>
                <w:tcPr>
                  <w:tcW w:w="2073" w:type="dxa"/>
                  <w:tcBorders>
                    <w:top w:val="single" w:color="000000" w:sz="4" w:space="0"/>
                    <w:left w:val="single" w:color="000000" w:sz="4" w:space="0"/>
                    <w:bottom w:val="single" w:color="000000" w:sz="4" w:space="0"/>
                    <w:right w:val="nil"/>
                  </w:tcBorders>
                  <w:vAlign w:val="center"/>
                </w:tcPr>
                <w:p w14:paraId="25B8C3A1">
                  <w:pPr>
                    <w:jc w:val="center"/>
                    <w:rPr>
                      <w:rFonts w:hint="eastAsia" w:ascii="宋体" w:hAnsi="宋体" w:cs="宋体"/>
                      <w:sz w:val="24"/>
                      <w:highlight w:val="none"/>
                    </w:rPr>
                  </w:pPr>
                  <w:r>
                    <w:rPr>
                      <w:rFonts w:hint="eastAsia" w:ascii="宋体" w:hAnsi="宋体" w:cs="宋体"/>
                      <w:sz w:val="24"/>
                      <w:highlight w:val="none"/>
                    </w:rPr>
                    <w:t>工业</w:t>
                  </w:r>
                </w:p>
              </w:tc>
            </w:tr>
            <w:tr w14:paraId="24CFB78A">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42EE">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29B7813D">
                  <w:pPr>
                    <w:jc w:val="center"/>
                    <w:rPr>
                      <w:rFonts w:hint="eastAsia" w:ascii="宋体" w:hAnsi="宋体" w:cs="宋体"/>
                      <w:sz w:val="24"/>
                      <w:highlight w:val="none"/>
                      <w:lang w:val="en-US" w:eastAsia="zh-CN"/>
                    </w:rPr>
                  </w:pPr>
                  <w:r>
                    <w:rPr>
                      <w:rFonts w:hint="eastAsia" w:ascii="宋体" w:hAnsi="宋体" w:cs="宋体"/>
                      <w:sz w:val="24"/>
                      <w:highlight w:val="none"/>
                    </w:rPr>
                    <w:t>实验用电气系统</w:t>
                  </w:r>
                </w:p>
              </w:tc>
              <w:tc>
                <w:tcPr>
                  <w:tcW w:w="2073" w:type="dxa"/>
                  <w:tcBorders>
                    <w:top w:val="single" w:color="000000" w:sz="4" w:space="0"/>
                    <w:left w:val="single" w:color="000000" w:sz="4" w:space="0"/>
                    <w:bottom w:val="single" w:color="000000" w:sz="4" w:space="0"/>
                    <w:right w:val="nil"/>
                  </w:tcBorders>
                  <w:vAlign w:val="center"/>
                </w:tcPr>
                <w:p w14:paraId="1DE60C0D">
                  <w:pPr>
                    <w:jc w:val="center"/>
                    <w:rPr>
                      <w:rFonts w:hint="eastAsia" w:ascii="宋体" w:hAnsi="宋体" w:cs="宋体"/>
                      <w:sz w:val="24"/>
                      <w:highlight w:val="none"/>
                    </w:rPr>
                  </w:pPr>
                  <w:r>
                    <w:rPr>
                      <w:rFonts w:hint="eastAsia" w:ascii="宋体" w:hAnsi="宋体" w:cs="宋体"/>
                      <w:sz w:val="24"/>
                      <w:highlight w:val="none"/>
                    </w:rPr>
                    <w:t>工业</w:t>
                  </w:r>
                </w:p>
              </w:tc>
            </w:tr>
            <w:tr w14:paraId="4F70032B">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F689">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16</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33A8DD14">
                  <w:pPr>
                    <w:jc w:val="center"/>
                    <w:rPr>
                      <w:rFonts w:hint="eastAsia" w:ascii="宋体" w:hAnsi="宋体" w:cs="宋体"/>
                      <w:sz w:val="24"/>
                      <w:highlight w:val="none"/>
                      <w:lang w:val="en-US" w:eastAsia="zh-CN"/>
                    </w:rPr>
                  </w:pPr>
                  <w:r>
                    <w:rPr>
                      <w:rFonts w:hint="eastAsia" w:ascii="宋体" w:hAnsi="宋体" w:cs="宋体"/>
                      <w:sz w:val="24"/>
                      <w:highlight w:val="none"/>
                    </w:rPr>
                    <w:t>废气处理系统</w:t>
                  </w:r>
                </w:p>
              </w:tc>
              <w:tc>
                <w:tcPr>
                  <w:tcW w:w="2073" w:type="dxa"/>
                  <w:tcBorders>
                    <w:top w:val="single" w:color="000000" w:sz="4" w:space="0"/>
                    <w:left w:val="single" w:color="000000" w:sz="4" w:space="0"/>
                    <w:bottom w:val="single" w:color="000000" w:sz="4" w:space="0"/>
                    <w:right w:val="nil"/>
                  </w:tcBorders>
                  <w:vAlign w:val="center"/>
                </w:tcPr>
                <w:p w14:paraId="3CE08368">
                  <w:pPr>
                    <w:jc w:val="center"/>
                    <w:rPr>
                      <w:rFonts w:hint="eastAsia" w:ascii="宋体" w:hAnsi="宋体" w:cs="宋体"/>
                      <w:sz w:val="24"/>
                      <w:highlight w:val="none"/>
                    </w:rPr>
                  </w:pPr>
                  <w:r>
                    <w:rPr>
                      <w:rFonts w:hint="eastAsia" w:ascii="宋体" w:hAnsi="宋体" w:cs="宋体"/>
                      <w:sz w:val="24"/>
                      <w:highlight w:val="none"/>
                    </w:rPr>
                    <w:t>工业</w:t>
                  </w:r>
                </w:p>
              </w:tc>
            </w:tr>
            <w:tr w14:paraId="00F4DB84">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68BA">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17</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410E487E">
                  <w:pPr>
                    <w:jc w:val="center"/>
                    <w:rPr>
                      <w:rFonts w:hint="eastAsia" w:ascii="宋体" w:hAnsi="宋体" w:cs="宋体"/>
                      <w:sz w:val="24"/>
                      <w:highlight w:val="none"/>
                      <w:lang w:val="en-US" w:eastAsia="zh-CN"/>
                    </w:rPr>
                  </w:pPr>
                  <w:r>
                    <w:rPr>
                      <w:rFonts w:hint="eastAsia" w:ascii="宋体" w:hAnsi="宋体" w:cs="宋体"/>
                      <w:sz w:val="24"/>
                      <w:highlight w:val="none"/>
                    </w:rPr>
                    <w:t>VAV控制系统</w:t>
                  </w:r>
                </w:p>
              </w:tc>
              <w:tc>
                <w:tcPr>
                  <w:tcW w:w="2073" w:type="dxa"/>
                  <w:tcBorders>
                    <w:top w:val="single" w:color="000000" w:sz="4" w:space="0"/>
                    <w:left w:val="single" w:color="000000" w:sz="4" w:space="0"/>
                    <w:bottom w:val="single" w:color="000000" w:sz="4" w:space="0"/>
                    <w:right w:val="nil"/>
                  </w:tcBorders>
                  <w:vAlign w:val="center"/>
                </w:tcPr>
                <w:p w14:paraId="7867EDE3">
                  <w:pPr>
                    <w:jc w:val="center"/>
                    <w:rPr>
                      <w:rFonts w:hint="eastAsia" w:ascii="宋体" w:hAnsi="宋体" w:cs="宋体"/>
                      <w:sz w:val="24"/>
                      <w:highlight w:val="none"/>
                    </w:rPr>
                  </w:pPr>
                  <w:r>
                    <w:rPr>
                      <w:rFonts w:hint="eastAsia" w:ascii="宋体" w:hAnsi="宋体" w:cs="宋体"/>
                      <w:sz w:val="24"/>
                      <w:highlight w:val="none"/>
                    </w:rPr>
                    <w:t>工业</w:t>
                  </w:r>
                </w:p>
              </w:tc>
            </w:tr>
            <w:tr w14:paraId="13900745">
              <w:tblPrEx>
                <w:tblCellMar>
                  <w:top w:w="0" w:type="dxa"/>
                  <w:left w:w="108" w:type="dxa"/>
                  <w:bottom w:w="0" w:type="dxa"/>
                  <w:right w:w="108" w:type="dxa"/>
                </w:tblCellMar>
              </w:tblPrEx>
              <w:trPr>
                <w:trHeight w:val="622"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C76">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18</w:t>
                  </w:r>
                </w:p>
              </w:tc>
              <w:tc>
                <w:tcPr>
                  <w:tcW w:w="4041" w:type="dxa"/>
                  <w:tcBorders>
                    <w:top w:val="single" w:color="000000" w:sz="4" w:space="0"/>
                    <w:left w:val="single" w:color="000000" w:sz="4" w:space="0"/>
                    <w:bottom w:val="single" w:color="000000" w:sz="4" w:space="0"/>
                    <w:right w:val="nil"/>
                  </w:tcBorders>
                  <w:shd w:val="clear" w:color="auto" w:fill="auto"/>
                  <w:vAlign w:val="center"/>
                </w:tcPr>
                <w:p w14:paraId="15E5F43D">
                  <w:pPr>
                    <w:jc w:val="center"/>
                    <w:rPr>
                      <w:rFonts w:hint="eastAsia" w:ascii="宋体" w:hAnsi="宋体" w:cs="宋体"/>
                      <w:sz w:val="24"/>
                      <w:highlight w:val="none"/>
                      <w:lang w:val="en-US" w:eastAsia="zh-CN"/>
                    </w:rPr>
                  </w:pPr>
                  <w:r>
                    <w:rPr>
                      <w:rFonts w:hint="eastAsia" w:ascii="宋体" w:hAnsi="宋体" w:cs="宋体"/>
                      <w:sz w:val="24"/>
                      <w:highlight w:val="none"/>
                    </w:rPr>
                    <w:t>危化品储存柜</w:t>
                  </w:r>
                </w:p>
              </w:tc>
              <w:tc>
                <w:tcPr>
                  <w:tcW w:w="2073" w:type="dxa"/>
                  <w:tcBorders>
                    <w:top w:val="single" w:color="000000" w:sz="4" w:space="0"/>
                    <w:left w:val="single" w:color="000000" w:sz="4" w:space="0"/>
                    <w:bottom w:val="single" w:color="000000" w:sz="4" w:space="0"/>
                    <w:right w:val="nil"/>
                  </w:tcBorders>
                  <w:vAlign w:val="center"/>
                </w:tcPr>
                <w:p w14:paraId="120F50B1">
                  <w:pPr>
                    <w:jc w:val="center"/>
                    <w:rPr>
                      <w:rFonts w:hint="eastAsia" w:ascii="宋体" w:hAnsi="宋体" w:cs="宋体"/>
                      <w:sz w:val="24"/>
                      <w:highlight w:val="none"/>
                    </w:rPr>
                  </w:pPr>
                  <w:r>
                    <w:rPr>
                      <w:rFonts w:hint="eastAsia" w:ascii="宋体" w:hAnsi="宋体" w:cs="宋体"/>
                      <w:sz w:val="24"/>
                      <w:highlight w:val="none"/>
                    </w:rPr>
                    <w:t>工业</w:t>
                  </w:r>
                </w:p>
              </w:tc>
            </w:tr>
          </w:tbl>
          <w:p w14:paraId="69BD3B12">
            <w:pPr>
              <w:snapToGrid w:val="0"/>
              <w:rPr>
                <w:rFonts w:ascii="宋体" w:hAnsi="宋体" w:cs="宋体"/>
                <w:kern w:val="0"/>
                <w:sz w:val="24"/>
                <w:highlight w:val="none"/>
              </w:rPr>
            </w:pPr>
            <w:r>
              <w:rPr>
                <w:rFonts w:hint="eastAsia" w:ascii="宋体" w:hAnsi="宋体" w:cs="宋体"/>
                <w:kern w:val="0"/>
                <w:sz w:val="24"/>
                <w:highlight w:val="none"/>
              </w:rPr>
              <w:t>中小企业划型标准：详见《招标文件》第六部分 应提交的有关格式范例：</w:t>
            </w:r>
            <w:r>
              <w:rPr>
                <w:rFonts w:hint="eastAsia" w:ascii="宋体" w:hAnsi="宋体" w:cs="宋体"/>
                <w:b/>
                <w:bCs/>
                <w:kern w:val="0"/>
                <w:sz w:val="24"/>
                <w:highlight w:val="none"/>
              </w:rPr>
              <w:t>各行业划型标准</w:t>
            </w:r>
            <w:r>
              <w:rPr>
                <w:rFonts w:hint="eastAsia" w:ascii="宋体" w:hAnsi="宋体" w:cs="宋体"/>
                <w:kern w:val="0"/>
                <w:sz w:val="24"/>
                <w:highlight w:val="none"/>
              </w:rPr>
              <w:t>。</w:t>
            </w:r>
          </w:p>
          <w:p w14:paraId="472E1D2C">
            <w:pPr>
              <w:snapToGrid w:val="0"/>
              <w:rPr>
                <w:rFonts w:ascii="宋体" w:hAnsi="宋体" w:cs="宋体"/>
                <w:kern w:val="0"/>
                <w:sz w:val="24"/>
                <w:highlight w:val="none"/>
              </w:rPr>
            </w:pPr>
            <w:r>
              <w:rPr>
                <w:rFonts w:hint="eastAsia" w:ascii="宋体" w:hAnsi="宋体" w:cs="宋体"/>
                <w:b/>
                <w:bCs/>
                <w:kern w:val="0"/>
                <w:sz w:val="24"/>
                <w:highlight w:val="none"/>
              </w:rPr>
              <w:t>注：对于未预留份额专门面向中小企业的政府采购货物或服务项目，以及预留份额政府采购货物或服务项目中的非预留部分标项，对小型和微型企业的最后报价给予10%的扣除，用扣除后的价格参与评审。</w:t>
            </w:r>
          </w:p>
        </w:tc>
      </w:tr>
      <w:tr w14:paraId="12DE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7" w:type="dxa"/>
            <w:shd w:val="clear" w:color="auto" w:fill="auto"/>
            <w:vAlign w:val="center"/>
          </w:tcPr>
          <w:p w14:paraId="40AEB91D">
            <w:pPr>
              <w:snapToGrid w:val="0"/>
              <w:jc w:val="center"/>
              <w:rPr>
                <w:rFonts w:ascii="宋体" w:hAnsi="宋体" w:cs="宋体"/>
                <w:sz w:val="24"/>
                <w:highlight w:val="none"/>
              </w:rPr>
            </w:pPr>
            <w:r>
              <w:rPr>
                <w:rFonts w:hint="eastAsia" w:ascii="宋体" w:hAnsi="宋体" w:cs="宋体"/>
                <w:sz w:val="24"/>
                <w:highlight w:val="none"/>
              </w:rPr>
              <w:t>3</w:t>
            </w:r>
          </w:p>
        </w:tc>
        <w:tc>
          <w:tcPr>
            <w:tcW w:w="2107" w:type="dxa"/>
            <w:vAlign w:val="center"/>
          </w:tcPr>
          <w:p w14:paraId="6C1E5924">
            <w:pPr>
              <w:snapToGrid w:val="0"/>
              <w:jc w:val="center"/>
              <w:rPr>
                <w:rFonts w:ascii="宋体" w:hAnsi="宋体" w:cs="宋体"/>
                <w:b/>
                <w:sz w:val="24"/>
                <w:highlight w:val="none"/>
              </w:rPr>
            </w:pPr>
            <w:r>
              <w:rPr>
                <w:rFonts w:hint="eastAsia" w:ascii="宋体" w:hAnsi="宋体" w:cs="宋体"/>
                <w:b/>
                <w:sz w:val="24"/>
                <w:highlight w:val="none"/>
              </w:rPr>
              <w:t>支持本国产品</w:t>
            </w:r>
          </w:p>
        </w:tc>
        <w:tc>
          <w:tcPr>
            <w:tcW w:w="6972" w:type="dxa"/>
            <w:vAlign w:val="center"/>
          </w:tcPr>
          <w:p w14:paraId="77FEAD5B">
            <w:pPr>
              <w:snapToGrid w:val="0"/>
              <w:rPr>
                <w:rFonts w:ascii="宋体" w:hAnsi="宋体" w:cs="宋体"/>
                <w:kern w:val="0"/>
                <w:sz w:val="24"/>
                <w:highlight w:val="none"/>
              </w:rPr>
            </w:pPr>
            <w:r>
              <w:rPr>
                <w:rFonts w:hint="eastAsia" w:ascii="宋体" w:hAnsi="宋体" w:cs="宋体"/>
                <w:kern w:val="0"/>
                <w:sz w:val="24"/>
                <w:highlight w:val="none"/>
              </w:rPr>
              <w:t>本国产品标准的适用范围</w:t>
            </w:r>
          </w:p>
          <w:p w14:paraId="23D0FFC9">
            <w:pPr>
              <w:snapToGrid w:val="0"/>
              <w:rPr>
                <w:rFonts w:ascii="宋体" w:hAnsi="宋体" w:cs="宋体"/>
                <w:kern w:val="0"/>
                <w:sz w:val="24"/>
                <w:highlight w:val="none"/>
              </w:rPr>
            </w:pPr>
            <w:r>
              <w:rPr>
                <w:rFonts w:hint="eastAsia" w:ascii="宋体" w:hAnsi="宋体" w:cs="宋体"/>
                <w:kern w:val="0"/>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24C8B3">
            <w:pPr>
              <w:snapToGrid w:val="0"/>
              <w:rPr>
                <w:rFonts w:ascii="宋体" w:hAnsi="宋体" w:cs="宋体"/>
                <w:kern w:val="0"/>
                <w:sz w:val="24"/>
                <w:highlight w:val="none"/>
              </w:rPr>
            </w:pPr>
            <w:r>
              <w:rPr>
                <w:rFonts w:hint="eastAsia" w:ascii="宋体" w:hAnsi="宋体" w:cs="宋体"/>
                <w:kern w:val="0"/>
                <w:sz w:val="24"/>
                <w:highlight w:val="none"/>
              </w:rPr>
              <w:t>（1）政府采购活动中既有本国产品又有非本国产品参与竞争的，依法对本国产品的报价给予20%的价格扣除，用扣除后的价格参与评审。评审活动应贯彻落实对本国产品的评审价格扣除优惠；</w:t>
            </w:r>
          </w:p>
          <w:p w14:paraId="40860409">
            <w:pPr>
              <w:snapToGrid w:val="0"/>
              <w:rPr>
                <w:rFonts w:ascii="宋体" w:hAnsi="宋体" w:cs="宋体"/>
                <w:kern w:val="0"/>
                <w:sz w:val="24"/>
                <w:highlight w:val="none"/>
              </w:rPr>
            </w:pPr>
            <w:r>
              <w:rPr>
                <w:rFonts w:hint="eastAsia" w:ascii="宋体" w:hAnsi="宋体" w:cs="宋体"/>
                <w:kern w:val="0"/>
                <w:sz w:val="24"/>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b/>
                <w:bCs/>
                <w:kern w:val="0"/>
                <w:sz w:val="24"/>
                <w:highlight w:val="none"/>
              </w:rPr>
              <w:t>（对于多产品，除提供《关于符合本国产品标准的声明函》或财政部会同有关部门规定的有关证明文件以外，还须要供应商在投标响应文件中承诺成本之和达到80%（</w:t>
            </w:r>
            <w:r>
              <w:rPr>
                <w:rFonts w:hint="eastAsia" w:ascii="宋体" w:hAnsi="宋体" w:cs="宋体"/>
                <w:b/>
                <w:bCs/>
                <w:kern w:val="0"/>
                <w:sz w:val="24"/>
                <w:highlight w:val="none"/>
                <w:lang w:eastAsia="zh-CN"/>
              </w:rPr>
              <w:t>提供承诺成本之和达到80%的承诺书，格式自拟</w:t>
            </w:r>
            <w:r>
              <w:rPr>
                <w:rFonts w:hint="eastAsia" w:ascii="宋体" w:hAnsi="宋体" w:cs="宋体"/>
                <w:b/>
                <w:bCs/>
                <w:kern w:val="0"/>
                <w:sz w:val="24"/>
                <w:highlight w:val="none"/>
              </w:rPr>
              <w:t>）</w:t>
            </w:r>
            <w:r>
              <w:rPr>
                <w:rFonts w:hint="eastAsia" w:ascii="宋体" w:hAnsi="宋体" w:cs="宋体"/>
                <w:kern w:val="0"/>
                <w:sz w:val="24"/>
                <w:highlight w:val="none"/>
              </w:rPr>
              <w:t>。无承诺或者承诺占比无法达标则不享受政策。）</w:t>
            </w:r>
          </w:p>
          <w:p w14:paraId="02D4D4A8">
            <w:pPr>
              <w:snapToGrid w:val="0"/>
              <w:rPr>
                <w:rFonts w:ascii="宋体" w:hAnsi="宋体" w:cs="宋体"/>
                <w:b/>
                <w:bCs/>
                <w:kern w:val="0"/>
                <w:sz w:val="24"/>
                <w:highlight w:val="none"/>
              </w:rPr>
            </w:pPr>
            <w:r>
              <w:rPr>
                <w:rFonts w:hint="eastAsia" w:ascii="宋体" w:hAnsi="宋体" w:cs="宋体"/>
                <w:kern w:val="0"/>
                <w:sz w:val="24"/>
                <w:highlight w:val="none"/>
              </w:rPr>
              <w:t>说明：本国产品除了享受20%的价格扣除外，还可以叠加小微企业的价格扣除优惠。即商品报价*（小微企业扣除率+本国产品扣除率）</w:t>
            </w:r>
          </w:p>
        </w:tc>
      </w:tr>
      <w:tr w14:paraId="57C4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atLeast"/>
          <w:jc w:val="center"/>
        </w:trPr>
        <w:tc>
          <w:tcPr>
            <w:tcW w:w="717" w:type="dxa"/>
            <w:shd w:val="clear" w:color="auto" w:fill="auto"/>
            <w:vAlign w:val="center"/>
          </w:tcPr>
          <w:p w14:paraId="24C08328">
            <w:pPr>
              <w:snapToGrid w:val="0"/>
              <w:jc w:val="center"/>
              <w:rPr>
                <w:rFonts w:ascii="宋体" w:hAnsi="宋体" w:cs="宋体"/>
                <w:sz w:val="24"/>
                <w:highlight w:val="none"/>
              </w:rPr>
            </w:pPr>
            <w:r>
              <w:rPr>
                <w:rFonts w:hint="eastAsia" w:ascii="宋体" w:hAnsi="宋体" w:cs="宋体"/>
                <w:sz w:val="24"/>
                <w:highlight w:val="none"/>
              </w:rPr>
              <w:t>4</w:t>
            </w:r>
          </w:p>
        </w:tc>
        <w:tc>
          <w:tcPr>
            <w:tcW w:w="2107" w:type="dxa"/>
            <w:vAlign w:val="center"/>
          </w:tcPr>
          <w:p w14:paraId="77FC082A">
            <w:pPr>
              <w:snapToGrid w:val="0"/>
              <w:jc w:val="center"/>
              <w:rPr>
                <w:rFonts w:ascii="宋体" w:hAnsi="宋体" w:cs="宋体"/>
                <w:b/>
                <w:sz w:val="24"/>
                <w:highlight w:val="none"/>
              </w:rPr>
            </w:pPr>
            <w:r>
              <w:rPr>
                <w:rFonts w:hint="eastAsia" w:ascii="宋体" w:hAnsi="宋体" w:cs="宋体"/>
                <w:b/>
                <w:sz w:val="24"/>
                <w:highlight w:val="none"/>
              </w:rPr>
              <w:t>是否允许采购进口产品</w:t>
            </w:r>
          </w:p>
        </w:tc>
        <w:tc>
          <w:tcPr>
            <w:tcW w:w="6972" w:type="dxa"/>
            <w:vAlign w:val="center"/>
          </w:tcPr>
          <w:p w14:paraId="05268B18">
            <w:pPr>
              <w:rPr>
                <w:rFonts w:ascii="宋体" w:hAnsi="宋体" w:cs="宋体"/>
                <w:kern w:val="0"/>
                <w:sz w:val="24"/>
                <w:highlight w:val="none"/>
              </w:rPr>
            </w:pPr>
            <w:sdt>
              <w:sdtPr>
                <w:rPr>
                  <w:rFonts w:hint="eastAsia" w:ascii="宋体" w:hAnsi="宋体" w:cs="宋体"/>
                  <w:kern w:val="0"/>
                  <w:sz w:val="24"/>
                  <w:highlight w:val="none"/>
                </w:rPr>
                <w:id w:val="100182911"/>
              </w:sdtPr>
              <w:sdtEndPr>
                <w:rPr>
                  <w:rFonts w:hint="eastAsia" w:ascii="宋体" w:hAnsi="宋体" w:cs="宋体"/>
                  <w:kern w:val="0"/>
                  <w:sz w:val="24"/>
                  <w:highlight w:val="none"/>
                </w:rPr>
              </w:sdtEndPr>
              <w:sdtContent>
                <w:sdt>
                  <w:sdtPr>
                    <w:rPr>
                      <w:rFonts w:hint="eastAsia" w:ascii="宋体" w:hAnsi="宋体" w:cs="宋体"/>
                      <w:kern w:val="0"/>
                      <w:sz w:val="24"/>
                      <w:highlight w:val="none"/>
                    </w:rPr>
                    <w:id w:val="147454379"/>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FE"/>
                    </w:r>
                  </w:sdtContent>
                </w:sdt>
              </w:sdtContent>
            </w:sdt>
            <w:r>
              <w:rPr>
                <w:rFonts w:hint="eastAsia" w:ascii="宋体" w:hAnsi="宋体" w:cs="宋体"/>
                <w:kern w:val="0"/>
                <w:sz w:val="24"/>
                <w:highlight w:val="none"/>
              </w:rPr>
              <w:t>本项目不允许采购进口产品。</w:t>
            </w:r>
          </w:p>
        </w:tc>
      </w:tr>
      <w:tr w14:paraId="2A08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717" w:type="dxa"/>
            <w:shd w:val="clear" w:color="auto" w:fill="auto"/>
            <w:vAlign w:val="center"/>
          </w:tcPr>
          <w:p w14:paraId="033C5512">
            <w:pPr>
              <w:snapToGrid w:val="0"/>
              <w:jc w:val="center"/>
              <w:rPr>
                <w:rFonts w:ascii="宋体" w:hAnsi="宋体" w:cs="宋体"/>
                <w:sz w:val="24"/>
                <w:highlight w:val="none"/>
              </w:rPr>
            </w:pPr>
            <w:r>
              <w:rPr>
                <w:rFonts w:hint="eastAsia" w:ascii="宋体" w:hAnsi="宋体" w:cs="宋体"/>
                <w:sz w:val="24"/>
                <w:highlight w:val="none"/>
              </w:rPr>
              <w:t>5</w:t>
            </w:r>
          </w:p>
        </w:tc>
        <w:tc>
          <w:tcPr>
            <w:tcW w:w="2107" w:type="dxa"/>
            <w:vAlign w:val="center"/>
          </w:tcPr>
          <w:p w14:paraId="180431D0">
            <w:pPr>
              <w:snapToGrid w:val="0"/>
              <w:jc w:val="center"/>
              <w:rPr>
                <w:rFonts w:ascii="宋体" w:hAnsi="宋体" w:cs="宋体"/>
                <w:b/>
                <w:sz w:val="24"/>
                <w:highlight w:val="none"/>
              </w:rPr>
            </w:pPr>
            <w:r>
              <w:rPr>
                <w:rFonts w:hint="eastAsia" w:ascii="宋体" w:hAnsi="宋体" w:cs="宋体"/>
                <w:b/>
                <w:sz w:val="24"/>
                <w:highlight w:val="none"/>
              </w:rPr>
              <w:t>转包、分包</w:t>
            </w:r>
          </w:p>
        </w:tc>
        <w:tc>
          <w:tcPr>
            <w:tcW w:w="6972" w:type="dxa"/>
            <w:vAlign w:val="center"/>
          </w:tcPr>
          <w:p w14:paraId="6F171E34">
            <w:pPr>
              <w:rPr>
                <w:rFonts w:ascii="宋体" w:hAnsi="宋体" w:cs="宋体"/>
                <w:kern w:val="0"/>
                <w:sz w:val="24"/>
                <w:highlight w:val="none"/>
              </w:rPr>
            </w:pPr>
            <w:r>
              <w:rPr>
                <w:rFonts w:hint="eastAsia" w:ascii="宋体" w:hAnsi="宋体" w:cs="宋体"/>
                <w:kern w:val="0"/>
                <w:sz w:val="24"/>
                <w:highlight w:val="none"/>
              </w:rPr>
              <w:t>转包：否</w:t>
            </w:r>
          </w:p>
          <w:p w14:paraId="5A0A6E99">
            <w:pPr>
              <w:rPr>
                <w:rFonts w:ascii="宋体" w:hAnsi="宋体" w:cs="宋体"/>
                <w:sz w:val="24"/>
                <w:highlight w:val="none"/>
              </w:rPr>
            </w:pPr>
            <w:r>
              <w:rPr>
                <w:rFonts w:hint="eastAsia" w:ascii="宋体" w:hAnsi="宋体" w:cs="宋体"/>
                <w:kern w:val="0"/>
                <w:sz w:val="24"/>
                <w:highlight w:val="none"/>
              </w:rPr>
              <w:t>分包：</w:t>
            </w:r>
            <w:sdt>
              <w:sdtPr>
                <w:rPr>
                  <w:rFonts w:hint="eastAsia" w:ascii="宋体" w:hAnsi="宋体" w:cs="宋体"/>
                  <w:kern w:val="0"/>
                  <w:sz w:val="24"/>
                  <w:highlight w:val="none"/>
                </w:rPr>
                <w:id w:val="737348981"/>
              </w:sdtPr>
              <w:sdtEndPr>
                <w:rPr>
                  <w:rFonts w:hint="eastAsia" w:ascii="宋体" w:hAnsi="宋体" w:cs="宋体"/>
                  <w:kern w:val="0"/>
                  <w:sz w:val="24"/>
                  <w:highlight w:val="none"/>
                </w:rPr>
              </w:sdtEndPr>
              <w:sdtContent>
                <w:sdt>
                  <w:sdtPr>
                    <w:rPr>
                      <w:rFonts w:hint="eastAsia" w:ascii="宋体" w:hAnsi="宋体" w:cs="宋体"/>
                      <w:kern w:val="0"/>
                      <w:sz w:val="24"/>
                      <w:highlight w:val="none"/>
                    </w:rPr>
                    <w:id w:val="147482333"/>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FE"/>
                    </w:r>
                  </w:sdtContent>
                </w:sdt>
              </w:sdtContent>
            </w:sdt>
            <w:r>
              <w:rPr>
                <w:rFonts w:hint="eastAsia" w:ascii="宋体" w:hAnsi="宋体" w:cs="宋体"/>
                <w:sz w:val="24"/>
                <w:highlight w:val="none"/>
              </w:rPr>
              <w:t>同意将本项目非主体、非关键性的</w:t>
            </w:r>
            <w:r>
              <w:rPr>
                <w:rFonts w:hint="eastAsia" w:ascii="宋体" w:hAnsi="宋体" w:cs="宋体"/>
                <w:sz w:val="24"/>
                <w:highlight w:val="none"/>
                <w:u w:val="single"/>
              </w:rPr>
              <w:t xml:space="preserve"> 运输 </w:t>
            </w:r>
            <w:r>
              <w:rPr>
                <w:rFonts w:hint="eastAsia" w:ascii="宋体" w:hAnsi="宋体" w:cs="宋体"/>
                <w:sz w:val="24"/>
                <w:highlight w:val="none"/>
              </w:rPr>
              <w:t>部分进行合理分包。</w:t>
            </w:r>
          </w:p>
        </w:tc>
      </w:tr>
      <w:tr w14:paraId="49AB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2" w:hRule="atLeast"/>
          <w:jc w:val="center"/>
        </w:trPr>
        <w:tc>
          <w:tcPr>
            <w:tcW w:w="717" w:type="dxa"/>
            <w:shd w:val="clear" w:color="auto" w:fill="auto"/>
            <w:vAlign w:val="center"/>
          </w:tcPr>
          <w:p w14:paraId="77CB35B4">
            <w:pPr>
              <w:snapToGrid w:val="0"/>
              <w:jc w:val="center"/>
              <w:rPr>
                <w:rFonts w:ascii="宋体" w:hAnsi="宋体" w:cs="宋体"/>
                <w:sz w:val="24"/>
                <w:highlight w:val="none"/>
              </w:rPr>
            </w:pPr>
            <w:r>
              <w:rPr>
                <w:rFonts w:hint="eastAsia" w:ascii="宋体" w:hAnsi="宋体" w:cs="宋体"/>
                <w:sz w:val="24"/>
                <w:highlight w:val="none"/>
              </w:rPr>
              <w:t>6</w:t>
            </w:r>
          </w:p>
        </w:tc>
        <w:tc>
          <w:tcPr>
            <w:tcW w:w="2107" w:type="dxa"/>
            <w:vAlign w:val="center"/>
          </w:tcPr>
          <w:p w14:paraId="63C66C96">
            <w:pPr>
              <w:snapToGrid w:val="0"/>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972" w:type="dxa"/>
            <w:vAlign w:val="center"/>
          </w:tcPr>
          <w:p w14:paraId="18196FC7">
            <w:pPr>
              <w:rPr>
                <w:rFonts w:ascii="宋体" w:hAnsi="宋体" w:cs="宋体"/>
                <w:sz w:val="24"/>
                <w:highlight w:val="none"/>
              </w:rPr>
            </w:pPr>
            <w:sdt>
              <w:sdtPr>
                <w:rPr>
                  <w:rFonts w:hint="eastAsia" w:ascii="宋体" w:hAnsi="宋体" w:cs="宋体"/>
                  <w:kern w:val="0"/>
                  <w:sz w:val="24"/>
                  <w:highlight w:val="none"/>
                </w:rPr>
                <w:id w:val="415589095"/>
              </w:sdtPr>
              <w:sdtEndPr>
                <w:rPr>
                  <w:rFonts w:hint="eastAsia" w:ascii="宋体" w:hAnsi="宋体" w:cs="宋体"/>
                  <w:kern w:val="0"/>
                  <w:sz w:val="24"/>
                  <w:highlight w:val="none"/>
                </w:rPr>
              </w:sdtEndPr>
              <w:sdtContent>
                <w:sdt>
                  <w:sdtPr>
                    <w:rPr>
                      <w:rFonts w:hint="eastAsia" w:ascii="宋体" w:hAnsi="宋体" w:cs="宋体"/>
                      <w:kern w:val="0"/>
                      <w:sz w:val="24"/>
                      <w:highlight w:val="none"/>
                    </w:rPr>
                    <w:id w:val="147469629"/>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FE"/>
                    </w:r>
                  </w:sdtContent>
                </w:sdt>
              </w:sdtContent>
            </w:sdt>
            <w:r>
              <w:rPr>
                <w:rFonts w:hint="eastAsia" w:ascii="宋体" w:hAnsi="宋体" w:cs="宋体"/>
                <w:sz w:val="24"/>
                <w:highlight w:val="none"/>
              </w:rPr>
              <w:t>不组织。</w:t>
            </w:r>
          </w:p>
        </w:tc>
      </w:tr>
      <w:tr w14:paraId="3992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717" w:type="dxa"/>
            <w:shd w:val="clear" w:color="auto" w:fill="auto"/>
            <w:vAlign w:val="center"/>
          </w:tcPr>
          <w:p w14:paraId="5C8CB0BC">
            <w:pPr>
              <w:snapToGrid w:val="0"/>
              <w:jc w:val="center"/>
              <w:rPr>
                <w:rFonts w:ascii="宋体" w:hAnsi="宋体" w:cs="宋体"/>
                <w:sz w:val="24"/>
                <w:highlight w:val="none"/>
              </w:rPr>
            </w:pPr>
            <w:r>
              <w:rPr>
                <w:rFonts w:hint="eastAsia" w:ascii="宋体" w:hAnsi="宋体" w:cs="宋体"/>
                <w:sz w:val="24"/>
                <w:highlight w:val="none"/>
              </w:rPr>
              <w:t>7</w:t>
            </w:r>
          </w:p>
        </w:tc>
        <w:tc>
          <w:tcPr>
            <w:tcW w:w="2107" w:type="dxa"/>
            <w:vAlign w:val="center"/>
          </w:tcPr>
          <w:p w14:paraId="7A24E2A9">
            <w:pPr>
              <w:snapToGrid w:val="0"/>
              <w:jc w:val="center"/>
              <w:rPr>
                <w:rFonts w:ascii="宋体" w:hAnsi="宋体" w:cs="宋体"/>
                <w:b/>
                <w:sz w:val="24"/>
                <w:highlight w:val="none"/>
              </w:rPr>
            </w:pPr>
            <w:r>
              <w:rPr>
                <w:rFonts w:hint="eastAsia" w:ascii="宋体" w:hAnsi="宋体" w:cs="宋体"/>
                <w:b/>
                <w:sz w:val="24"/>
                <w:highlight w:val="none"/>
              </w:rPr>
              <w:t>样品提供</w:t>
            </w:r>
          </w:p>
        </w:tc>
        <w:tc>
          <w:tcPr>
            <w:tcW w:w="6972" w:type="dxa"/>
            <w:vAlign w:val="center"/>
          </w:tcPr>
          <w:p w14:paraId="65DB2253">
            <w:pPr>
              <w:rPr>
                <w:rFonts w:hint="eastAsia" w:ascii="宋体" w:hAnsi="宋体" w:cs="宋体"/>
                <w:sz w:val="24"/>
                <w:highlight w:val="none"/>
              </w:rPr>
            </w:pPr>
            <w:sdt>
              <w:sdtPr>
                <w:rPr>
                  <w:rFonts w:hint="eastAsia" w:ascii="宋体" w:hAnsi="宋体" w:cs="宋体"/>
                  <w:kern w:val="0"/>
                  <w:sz w:val="24"/>
                  <w:highlight w:val="none"/>
                </w:rPr>
                <w:id w:val="714511165"/>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FE"/>
                </w:r>
              </w:sdtContent>
            </w:sdt>
            <w:r>
              <w:rPr>
                <w:rFonts w:hint="eastAsia" w:ascii="宋体" w:hAnsi="宋体" w:cs="宋体"/>
                <w:sz w:val="24"/>
                <w:highlight w:val="none"/>
              </w:rPr>
              <w:t>要求提供。</w:t>
            </w:r>
          </w:p>
          <w:p w14:paraId="5DC1D252">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snapToGrid w:val="0"/>
                <w:color w:val="auto"/>
                <w:kern w:val="28"/>
                <w:sz w:val="24"/>
                <w:highlight w:val="none"/>
              </w:rPr>
              <w:t>样品：</w:t>
            </w:r>
            <w:r>
              <w:rPr>
                <w:rFonts w:hint="eastAsia" w:asciiTheme="minorEastAsia" w:hAnsiTheme="minorEastAsia" w:eastAsiaTheme="minorEastAsia" w:cstheme="minorEastAsia"/>
                <w:color w:val="auto"/>
                <w:sz w:val="24"/>
                <w:highlight w:val="none"/>
                <w:u w:val="single"/>
              </w:rPr>
              <w:t xml:space="preserve"> 见第三部分 采购需求</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rPr>
              <w:t>；</w:t>
            </w:r>
          </w:p>
          <w:p w14:paraId="0C7C6F71">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snapToGrid w:val="0"/>
                <w:color w:val="auto"/>
                <w:kern w:val="28"/>
                <w:sz w:val="24"/>
                <w:highlight w:val="none"/>
              </w:rPr>
              <w:t>样品制作的标准和要求：</w:t>
            </w:r>
            <w:r>
              <w:rPr>
                <w:rFonts w:hint="eastAsia" w:asciiTheme="minorEastAsia" w:hAnsiTheme="minorEastAsia" w:eastAsiaTheme="minorEastAsia" w:cstheme="minorEastAsia"/>
                <w:color w:val="auto"/>
                <w:sz w:val="24"/>
                <w:highlight w:val="none"/>
                <w:u w:val="single"/>
              </w:rPr>
              <w:t>见第三部分 采购需求</w:t>
            </w:r>
            <w:r>
              <w:rPr>
                <w:rFonts w:hint="eastAsia" w:asciiTheme="minorEastAsia" w:hAnsiTheme="minorEastAsia" w:eastAsiaTheme="minorEastAsia" w:cstheme="minorEastAsia"/>
                <w:color w:val="auto"/>
                <w:sz w:val="24"/>
                <w:highlight w:val="none"/>
                <w:u w:val="single"/>
                <w:lang w:val="en-US" w:eastAsia="zh-CN"/>
              </w:rPr>
              <w:t>要求</w:t>
            </w:r>
            <w:r>
              <w:rPr>
                <w:rFonts w:hint="eastAsia" w:asciiTheme="minorEastAsia" w:hAnsiTheme="minorEastAsia" w:eastAsiaTheme="minorEastAsia" w:cstheme="minorEastAsia"/>
                <w:color w:val="auto"/>
                <w:kern w:val="0"/>
                <w:sz w:val="24"/>
                <w:highlight w:val="none"/>
              </w:rPr>
              <w:t>；</w:t>
            </w:r>
          </w:p>
          <w:p w14:paraId="1F55A7E3">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（3）样品的评审方法以及评审标准</w:t>
            </w:r>
            <w:r>
              <w:rPr>
                <w:rFonts w:hint="eastAsia" w:asciiTheme="minorEastAsia" w:hAnsiTheme="minorEastAsia" w:eastAsiaTheme="minorEastAsia" w:cstheme="minorEastAsia"/>
                <w:snapToGrid w:val="0"/>
                <w:color w:val="auto"/>
                <w:kern w:val="28"/>
                <w:sz w:val="24"/>
                <w:highlight w:val="none"/>
              </w:rPr>
              <w:t>：详见</w:t>
            </w:r>
            <w:r>
              <w:rPr>
                <w:rFonts w:hint="eastAsia" w:asciiTheme="minorEastAsia" w:hAnsiTheme="minorEastAsia" w:eastAsiaTheme="minorEastAsia" w:cstheme="minorEastAsia"/>
                <w:color w:val="auto"/>
                <w:sz w:val="24"/>
                <w:highlight w:val="none"/>
                <w:u w:val="single"/>
              </w:rPr>
              <w:t>评标办法</w:t>
            </w:r>
            <w:r>
              <w:rPr>
                <w:rFonts w:hint="eastAsia" w:asciiTheme="minorEastAsia" w:hAnsiTheme="minorEastAsia" w:eastAsiaTheme="minorEastAsia" w:cstheme="minorEastAsia"/>
                <w:color w:val="auto"/>
                <w:kern w:val="0"/>
                <w:sz w:val="24"/>
                <w:highlight w:val="none"/>
              </w:rPr>
              <w:t>；</w:t>
            </w:r>
          </w:p>
          <w:p w14:paraId="6157DD9C">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（4）是否需要随样品提交检测报告：</w:t>
            </w:r>
            <w:sdt>
              <w:sdtPr>
                <w:rPr>
                  <w:rFonts w:hint="eastAsia" w:asciiTheme="minorEastAsia" w:hAnsiTheme="minorEastAsia" w:eastAsiaTheme="minorEastAsia" w:cstheme="minorEastAsia"/>
                  <w:color w:val="auto"/>
                  <w:kern w:val="0"/>
                  <w:sz w:val="24"/>
                  <w:highlight w:val="none"/>
                </w:rPr>
                <w:id w:val="147460789"/>
                <w14:checkbox>
                  <w14:checked w14:val="1"/>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Wingdings" w:hAnsi="Wingdings" w:eastAsiaTheme="minorEastAsia" w:cstheme="minorEastAsia"/>
                    <w:color w:val="auto"/>
                    <w:kern w:val="0"/>
                    <w:sz w:val="24"/>
                    <w:szCs w:val="24"/>
                    <w:highlight w:val="none"/>
                    <w:lang w:val="en-US" w:eastAsia="zh-CN" w:bidi="ar-SA"/>
                  </w:rPr>
                  <w:t>þ</w:t>
                </w:r>
              </w:sdtContent>
            </w:sdt>
            <w:sdt>
              <w:sdtPr>
                <w:rPr>
                  <w:rFonts w:hint="eastAsia" w:asciiTheme="minorEastAsia" w:hAnsiTheme="minorEastAsia" w:eastAsiaTheme="minorEastAsia" w:cstheme="minorEastAsia"/>
                  <w:color w:val="auto"/>
                  <w:kern w:val="0"/>
                  <w:sz w:val="24"/>
                  <w:highlight w:val="none"/>
                </w:rPr>
                <w:id w:val="1303421454"/>
              </w:sdtPr>
              <w:sdtEndPr>
                <w:rPr>
                  <w:rFonts w:hint="eastAsia" w:asciiTheme="minorEastAsia" w:hAnsiTheme="minorEastAsia" w:eastAsiaTheme="minorEastAsia" w:cstheme="minorEastAsia"/>
                  <w:color w:val="auto"/>
                  <w:kern w:val="0"/>
                  <w:sz w:val="24"/>
                  <w:highlight w:val="none"/>
                </w:rPr>
              </w:sdtEndPr>
              <w:sdtContent/>
            </w:sdt>
            <w:r>
              <w:rPr>
                <w:rFonts w:hint="eastAsia" w:asciiTheme="minorEastAsia" w:hAnsiTheme="minorEastAsia" w:eastAsiaTheme="minorEastAsia" w:cstheme="minorEastAsia"/>
                <w:color w:val="auto"/>
                <w:kern w:val="0"/>
                <w:sz w:val="24"/>
                <w:highlight w:val="none"/>
              </w:rPr>
              <w:t>否；</w:t>
            </w:r>
            <w:sdt>
              <w:sdtPr>
                <w:rPr>
                  <w:rFonts w:hint="eastAsia" w:asciiTheme="minorEastAsia" w:hAnsiTheme="minorEastAsia" w:eastAsiaTheme="minorEastAsia" w:cstheme="minorEastAsia"/>
                  <w:color w:val="auto"/>
                  <w:kern w:val="0"/>
                  <w:sz w:val="24"/>
                  <w:highlight w:val="none"/>
                </w:rPr>
                <w:id w:val="1621728433"/>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是，检测机构的要求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kern w:val="0"/>
                <w:sz w:val="24"/>
                <w:highlight w:val="none"/>
              </w:rPr>
              <w:t>；检测内容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kern w:val="0"/>
                <w:sz w:val="24"/>
                <w:highlight w:val="none"/>
              </w:rPr>
              <w:t>。</w:t>
            </w:r>
          </w:p>
          <w:p w14:paraId="21943A10">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（5）提供样品的时间：</w:t>
            </w:r>
            <w:r>
              <w:rPr>
                <w:rFonts w:hint="eastAsia" w:asciiTheme="minorEastAsia" w:hAnsiTheme="minorEastAsia" w:eastAsiaTheme="minorEastAsia" w:cstheme="minorEastAsia"/>
                <w:color w:val="auto"/>
                <w:sz w:val="24"/>
                <w:highlight w:val="none"/>
                <w:u w:val="single"/>
              </w:rPr>
              <w:t xml:space="preserve"> 投标文件递交截止时间前 </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rPr>
              <w:t>地点</w:t>
            </w:r>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u w:val="single"/>
                <w:lang w:val="en-US" w:eastAsia="zh-CN"/>
              </w:rPr>
              <w:t>浙江省舟山市定海区城东街道昌洲大道玉兰桥72号楼1楼</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rPr>
              <w:t>联系人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lang w:val="en-US" w:eastAsia="zh-CN"/>
              </w:rPr>
              <w:t xml:space="preserve"> 吴工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28"/>
                <w:sz w:val="24"/>
                <w:highlight w:val="none"/>
              </w:rPr>
              <w:t>联系电话：</w:t>
            </w:r>
            <w:r>
              <w:rPr>
                <w:rFonts w:hint="eastAsia" w:asciiTheme="minorEastAsia" w:hAnsiTheme="minorEastAsia" w:eastAsiaTheme="minorEastAsia" w:cstheme="minorEastAsia"/>
                <w:color w:val="auto"/>
                <w:sz w:val="24"/>
                <w:highlight w:val="none"/>
                <w:u w:val="single"/>
                <w:lang w:val="en-US" w:eastAsia="zh-CN"/>
              </w:rPr>
              <w:t xml:space="preserve"> 17815506260 </w:t>
            </w:r>
            <w:r>
              <w:rPr>
                <w:rFonts w:hint="eastAsia" w:asciiTheme="minorEastAsia" w:hAnsiTheme="minorEastAsia" w:eastAsiaTheme="minorEastAsia" w:cstheme="minorEastAsia"/>
                <w:color w:val="auto"/>
                <w:sz w:val="24"/>
                <w:highlight w:val="none"/>
              </w:rPr>
              <w:t>。请投标人在上述时间内提供样品并按规定位置安装完毕。超过截止时间的，</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或采购代理机构将不予接收，并将清场并封闭样品现场。</w:t>
            </w:r>
          </w:p>
          <w:p w14:paraId="57A638ED">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未中标单位样品的退还处理方式：由未中标单位在开标结束后当天内自行撤回，采购人和代理机构不负责样品保管。逾期未取回的，采购人、代理机构不负保管义务；对于中标人提供的样品，采购人将进行保管、封存，并作为履约验收的参考。</w:t>
            </w:r>
          </w:p>
          <w:p w14:paraId="5DBEE8A6">
            <w:pPr>
              <w:rPr>
                <w:rFonts w:hint="eastAsia" w:ascii="宋体" w:hAnsi="宋体" w:cs="宋体"/>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制作、运输、安装和保管样品所发生的一切费用由投标人自理，其中样品存放场地占用费800元/半天，由每个半天（以每日中午12：00为半天划分界限）内同时存放样品的供应商分摊，代理公司代为收取。</w:t>
            </w:r>
          </w:p>
        </w:tc>
      </w:tr>
      <w:tr w14:paraId="79AE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717" w:type="dxa"/>
            <w:shd w:val="clear" w:color="auto" w:fill="auto"/>
            <w:vAlign w:val="center"/>
          </w:tcPr>
          <w:p w14:paraId="3674C557">
            <w:pPr>
              <w:snapToGrid w:val="0"/>
              <w:jc w:val="center"/>
              <w:rPr>
                <w:rFonts w:ascii="宋体" w:hAnsi="宋体" w:cs="宋体"/>
                <w:sz w:val="24"/>
                <w:highlight w:val="none"/>
              </w:rPr>
            </w:pPr>
            <w:r>
              <w:rPr>
                <w:rFonts w:hint="eastAsia" w:ascii="宋体" w:hAnsi="宋体" w:cs="宋体"/>
                <w:sz w:val="24"/>
                <w:highlight w:val="none"/>
              </w:rPr>
              <w:t>8</w:t>
            </w:r>
          </w:p>
        </w:tc>
        <w:tc>
          <w:tcPr>
            <w:tcW w:w="2107" w:type="dxa"/>
            <w:vAlign w:val="center"/>
          </w:tcPr>
          <w:p w14:paraId="0F3BC619">
            <w:pPr>
              <w:snapToGrid w:val="0"/>
              <w:jc w:val="center"/>
              <w:rPr>
                <w:rFonts w:ascii="宋体" w:hAnsi="宋体" w:cs="宋体"/>
                <w:bCs/>
                <w:sz w:val="24"/>
                <w:highlight w:val="none"/>
              </w:rPr>
            </w:pPr>
            <w:r>
              <w:rPr>
                <w:rFonts w:hint="eastAsia" w:ascii="宋体" w:hAnsi="宋体" w:cs="宋体"/>
                <w:b/>
                <w:sz w:val="24"/>
                <w:highlight w:val="none"/>
              </w:rPr>
              <w:t>演示</w:t>
            </w:r>
          </w:p>
        </w:tc>
        <w:tc>
          <w:tcPr>
            <w:tcW w:w="6972" w:type="dxa"/>
            <w:vAlign w:val="center"/>
          </w:tcPr>
          <w:p w14:paraId="482682E0">
            <w:pPr>
              <w:rPr>
                <w:rFonts w:ascii="宋体" w:hAnsi="宋体" w:cs="宋体"/>
                <w:b/>
                <w:kern w:val="0"/>
                <w:sz w:val="24"/>
                <w:highlight w:val="none"/>
              </w:rPr>
            </w:pPr>
            <w:sdt>
              <w:sdtPr>
                <w:rPr>
                  <w:rFonts w:hint="eastAsia" w:ascii="宋体" w:hAnsi="宋体" w:cs="宋体"/>
                  <w:kern w:val="0"/>
                  <w:sz w:val="24"/>
                  <w:highlight w:val="none"/>
                </w:rPr>
                <w:id w:val="1174071719"/>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00FE"/>
                </w:r>
              </w:sdtContent>
            </w:sdt>
            <w:r>
              <w:rPr>
                <w:rFonts w:hint="eastAsia" w:ascii="宋体" w:hAnsi="宋体" w:cs="宋体"/>
                <w:kern w:val="0"/>
                <w:sz w:val="24"/>
                <w:highlight w:val="none"/>
                <w:lang w:val="en-US" w:eastAsia="zh-CN"/>
              </w:rPr>
              <w:t>不</w:t>
            </w:r>
            <w:r>
              <w:rPr>
                <w:rFonts w:hint="eastAsia" w:ascii="宋体" w:hAnsi="宋体" w:cs="宋体"/>
                <w:kern w:val="0"/>
                <w:sz w:val="24"/>
                <w:highlight w:val="none"/>
              </w:rPr>
              <w:t>组织。</w:t>
            </w:r>
          </w:p>
        </w:tc>
      </w:tr>
      <w:tr w14:paraId="36E8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717" w:type="dxa"/>
            <w:vMerge w:val="restart"/>
            <w:vAlign w:val="center"/>
          </w:tcPr>
          <w:p w14:paraId="60F5B2C9">
            <w:pPr>
              <w:snapToGrid w:val="0"/>
              <w:jc w:val="center"/>
              <w:rPr>
                <w:rFonts w:ascii="宋体" w:hAnsi="宋体" w:cs="宋体"/>
                <w:sz w:val="24"/>
                <w:highlight w:val="none"/>
              </w:rPr>
            </w:pPr>
            <w:r>
              <w:rPr>
                <w:rFonts w:hint="eastAsia" w:ascii="宋体" w:hAnsi="宋体" w:cs="宋体"/>
                <w:sz w:val="24"/>
                <w:highlight w:val="none"/>
              </w:rPr>
              <w:t>9</w:t>
            </w:r>
          </w:p>
        </w:tc>
        <w:tc>
          <w:tcPr>
            <w:tcW w:w="2107" w:type="dxa"/>
            <w:vMerge w:val="restart"/>
            <w:vAlign w:val="center"/>
          </w:tcPr>
          <w:p w14:paraId="756C1736">
            <w:pPr>
              <w:snapToGrid w:val="0"/>
              <w:jc w:val="center"/>
              <w:rPr>
                <w:rFonts w:ascii="宋体" w:hAnsi="宋体" w:cs="宋体"/>
                <w:b/>
                <w:sz w:val="24"/>
                <w:highlight w:val="none"/>
              </w:rPr>
            </w:pPr>
            <w:r>
              <w:rPr>
                <w:rFonts w:hint="eastAsia" w:ascii="宋体" w:hAnsi="宋体" w:cs="宋体"/>
                <w:b/>
                <w:sz w:val="24"/>
                <w:highlight w:val="none"/>
              </w:rPr>
              <w:t>投标人应当提供的资格、资信证明文件</w:t>
            </w:r>
          </w:p>
        </w:tc>
        <w:tc>
          <w:tcPr>
            <w:tcW w:w="6972" w:type="dxa"/>
            <w:vAlign w:val="center"/>
          </w:tcPr>
          <w:p w14:paraId="16E533F1">
            <w:pPr>
              <w:rPr>
                <w:rFonts w:ascii="宋体" w:hAnsi="宋体" w:cs="宋体"/>
                <w:sz w:val="24"/>
                <w:highlight w:val="none"/>
              </w:rPr>
            </w:pPr>
            <w:r>
              <w:rPr>
                <w:rFonts w:hint="eastAsia" w:ascii="宋体" w:hAnsi="宋体" w:cs="宋体"/>
                <w:sz w:val="24"/>
                <w:highlight w:val="none"/>
              </w:rPr>
              <w:t>（1）资格证明文件：见招标文件第二部分11.1。</w:t>
            </w:r>
          </w:p>
          <w:p w14:paraId="61BF3F9F">
            <w:pPr>
              <w:rPr>
                <w:rFonts w:ascii="宋体" w:hAnsi="宋体" w:cs="宋体"/>
                <w:kern w:val="0"/>
                <w:sz w:val="24"/>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2E39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717" w:type="dxa"/>
            <w:vMerge w:val="continue"/>
            <w:shd w:val="clear" w:color="auto" w:fill="auto"/>
            <w:vAlign w:val="center"/>
          </w:tcPr>
          <w:p w14:paraId="63EB6F64">
            <w:pPr>
              <w:snapToGrid w:val="0"/>
              <w:jc w:val="center"/>
              <w:rPr>
                <w:rFonts w:ascii="宋体" w:hAnsi="宋体" w:cs="宋体"/>
                <w:sz w:val="24"/>
                <w:highlight w:val="none"/>
              </w:rPr>
            </w:pPr>
          </w:p>
        </w:tc>
        <w:tc>
          <w:tcPr>
            <w:tcW w:w="2107" w:type="dxa"/>
            <w:vMerge w:val="continue"/>
            <w:vAlign w:val="center"/>
          </w:tcPr>
          <w:p w14:paraId="345453E5">
            <w:pPr>
              <w:snapToGrid w:val="0"/>
              <w:jc w:val="center"/>
              <w:rPr>
                <w:rFonts w:ascii="宋体" w:hAnsi="宋体" w:cs="宋体"/>
                <w:b/>
                <w:sz w:val="24"/>
                <w:highlight w:val="none"/>
              </w:rPr>
            </w:pPr>
          </w:p>
        </w:tc>
        <w:tc>
          <w:tcPr>
            <w:tcW w:w="6972" w:type="dxa"/>
            <w:vAlign w:val="center"/>
          </w:tcPr>
          <w:p w14:paraId="013742C7">
            <w:pPr>
              <w:rPr>
                <w:rFonts w:ascii="宋体" w:hAnsi="宋体" w:cs="宋体"/>
                <w:sz w:val="24"/>
                <w:highlight w:val="none"/>
              </w:rPr>
            </w:pPr>
            <w:r>
              <w:rPr>
                <w:rFonts w:hint="eastAsia" w:ascii="宋体" w:hAnsi="宋体" w:cs="宋体"/>
                <w:sz w:val="24"/>
                <w:highlight w:val="none"/>
              </w:rPr>
              <w:t>（2）资信证明文件：根据招标文件第四部分评标标准提供。</w:t>
            </w:r>
          </w:p>
        </w:tc>
      </w:tr>
      <w:tr w14:paraId="7C2B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 w:hRule="atLeast"/>
          <w:jc w:val="center"/>
        </w:trPr>
        <w:tc>
          <w:tcPr>
            <w:tcW w:w="717" w:type="dxa"/>
            <w:shd w:val="clear" w:color="auto" w:fill="auto"/>
            <w:vAlign w:val="center"/>
          </w:tcPr>
          <w:p w14:paraId="13451813">
            <w:pPr>
              <w:snapToGrid w:val="0"/>
              <w:jc w:val="center"/>
              <w:rPr>
                <w:rFonts w:ascii="宋体" w:hAnsi="宋体" w:cs="宋体"/>
                <w:sz w:val="24"/>
                <w:highlight w:val="none"/>
              </w:rPr>
            </w:pPr>
            <w:r>
              <w:rPr>
                <w:rFonts w:hint="eastAsia" w:ascii="宋体" w:hAnsi="宋体" w:cs="宋体"/>
                <w:sz w:val="24"/>
                <w:highlight w:val="none"/>
              </w:rPr>
              <w:t>10</w:t>
            </w:r>
          </w:p>
        </w:tc>
        <w:tc>
          <w:tcPr>
            <w:tcW w:w="2107" w:type="dxa"/>
            <w:vAlign w:val="center"/>
          </w:tcPr>
          <w:p w14:paraId="3E2E9691">
            <w:pPr>
              <w:snapToGrid w:val="0"/>
              <w:jc w:val="center"/>
              <w:rPr>
                <w:rFonts w:ascii="宋体" w:hAnsi="宋体" w:cs="宋体"/>
                <w:b/>
                <w:sz w:val="24"/>
                <w:highlight w:val="none"/>
              </w:rPr>
            </w:pPr>
            <w:r>
              <w:rPr>
                <w:rFonts w:hint="eastAsia" w:ascii="宋体" w:hAnsi="宋体" w:cs="宋体"/>
                <w:b/>
                <w:sz w:val="24"/>
                <w:highlight w:val="none"/>
              </w:rPr>
              <w:t>节能产品、环境标志产品</w:t>
            </w:r>
          </w:p>
        </w:tc>
        <w:tc>
          <w:tcPr>
            <w:tcW w:w="6972" w:type="dxa"/>
            <w:vAlign w:val="center"/>
          </w:tcPr>
          <w:p w14:paraId="644CEE67">
            <w:pPr>
              <w:snapToGrid w:val="0"/>
              <w:rPr>
                <w:rFonts w:ascii="宋体" w:hAnsi="宋体" w:cs="宋体"/>
                <w:sz w:val="24"/>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DF9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jc w:val="center"/>
        </w:trPr>
        <w:tc>
          <w:tcPr>
            <w:tcW w:w="717" w:type="dxa"/>
            <w:shd w:val="clear" w:color="auto" w:fill="auto"/>
            <w:vAlign w:val="center"/>
          </w:tcPr>
          <w:p w14:paraId="33B14ADB">
            <w:pPr>
              <w:snapToGrid w:val="0"/>
              <w:jc w:val="center"/>
              <w:rPr>
                <w:rFonts w:ascii="宋体" w:hAnsi="宋体" w:cs="宋体"/>
                <w:sz w:val="24"/>
                <w:highlight w:val="none"/>
              </w:rPr>
            </w:pPr>
            <w:r>
              <w:rPr>
                <w:rFonts w:hint="eastAsia" w:ascii="宋体" w:hAnsi="宋体" w:cs="宋体"/>
                <w:sz w:val="24"/>
                <w:highlight w:val="none"/>
              </w:rPr>
              <w:t>11</w:t>
            </w:r>
          </w:p>
        </w:tc>
        <w:tc>
          <w:tcPr>
            <w:tcW w:w="2107" w:type="dxa"/>
            <w:vAlign w:val="center"/>
          </w:tcPr>
          <w:p w14:paraId="0F378F51">
            <w:pPr>
              <w:snapToGrid w:val="0"/>
              <w:jc w:val="center"/>
              <w:rPr>
                <w:rFonts w:ascii="宋体" w:hAnsi="宋体" w:cs="宋体"/>
                <w:b/>
                <w:sz w:val="24"/>
                <w:highlight w:val="none"/>
              </w:rPr>
            </w:pPr>
            <w:r>
              <w:rPr>
                <w:rFonts w:hint="eastAsia" w:ascii="宋体" w:hAnsi="宋体" w:cs="宋体"/>
                <w:b/>
                <w:sz w:val="24"/>
                <w:highlight w:val="none"/>
              </w:rPr>
              <w:t>报价要求</w:t>
            </w:r>
          </w:p>
        </w:tc>
        <w:tc>
          <w:tcPr>
            <w:tcW w:w="6972" w:type="dxa"/>
            <w:vAlign w:val="center"/>
          </w:tcPr>
          <w:p w14:paraId="3AD308E1">
            <w:pPr>
              <w:snapToGrid w:val="0"/>
              <w:jc w:val="left"/>
              <w:rPr>
                <w:rFonts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color w:val="auto"/>
                <w:sz w:val="24"/>
                <w:highlight w:val="none"/>
              </w:rPr>
              <w:t>但投标人认为完成本项目必需的费用，</w:t>
            </w:r>
            <w:r>
              <w:rPr>
                <w:rStyle w:val="74"/>
                <w:rFonts w:ascii="宋体" w:hAnsi="宋体" w:cs="宋体"/>
                <w:color w:val="auto"/>
                <w:sz w:val="24"/>
                <w:highlight w:val="none"/>
              </w:rPr>
              <w:t>均应计入投标报价</w:t>
            </w:r>
            <w:r>
              <w:rPr>
                <w:rFonts w:ascii="宋体" w:hAnsi="宋体" w:cs="宋体"/>
                <w:color w:val="auto"/>
                <w:sz w:val="24"/>
                <w:highlight w:val="none"/>
              </w:rPr>
              <w:t>。投标人本次报价为</w:t>
            </w:r>
            <w:r>
              <w:rPr>
                <w:rStyle w:val="74"/>
                <w:rFonts w:ascii="宋体" w:hAnsi="宋体" w:cs="宋体"/>
                <w:color w:val="auto"/>
                <w:sz w:val="24"/>
                <w:highlight w:val="none"/>
              </w:rPr>
              <w:t>本项目最终</w:t>
            </w:r>
            <w:r>
              <w:rPr>
                <w:rStyle w:val="74"/>
                <w:rFonts w:hint="eastAsia" w:ascii="宋体" w:hAnsi="宋体" w:cs="宋体"/>
                <w:color w:val="auto"/>
                <w:sz w:val="24"/>
                <w:highlight w:val="none"/>
                <w:lang w:val="en-US" w:eastAsia="zh-CN"/>
              </w:rPr>
              <w:t>中标</w:t>
            </w:r>
            <w:r>
              <w:rPr>
                <w:rStyle w:val="74"/>
                <w:rFonts w:ascii="宋体" w:hAnsi="宋体" w:cs="宋体"/>
                <w:color w:val="auto"/>
                <w:sz w:val="24"/>
                <w:highlight w:val="none"/>
              </w:rPr>
              <w:t>价格</w:t>
            </w:r>
            <w:r>
              <w:rPr>
                <w:rFonts w:ascii="宋体" w:hAnsi="宋体" w:cs="宋体"/>
                <w:color w:val="auto"/>
                <w:sz w:val="24"/>
                <w:highlight w:val="none"/>
              </w:rPr>
              <w:t>，</w:t>
            </w:r>
            <w:r>
              <w:rPr>
                <w:rFonts w:hint="eastAsia" w:ascii="宋体" w:hAnsi="宋体" w:cs="宋体"/>
                <w:color w:val="auto"/>
                <w:sz w:val="24"/>
                <w:highlight w:val="none"/>
                <w:lang w:eastAsia="zh-CN"/>
              </w:rPr>
              <w:t>采购人</w:t>
            </w:r>
            <w:r>
              <w:rPr>
                <w:rFonts w:ascii="宋体" w:hAnsi="宋体" w:cs="宋体"/>
                <w:color w:val="auto"/>
                <w:sz w:val="24"/>
                <w:highlight w:val="none"/>
              </w:rPr>
              <w:t>不再另行支付任何其他费用。</w:t>
            </w:r>
          </w:p>
          <w:p w14:paraId="0C4398CF">
            <w:pPr>
              <w:snapToGrid w:val="0"/>
              <w:jc w:val="left"/>
              <w:rPr>
                <w:rFonts w:ascii="宋体" w:hAnsi="宋体" w:cs="宋体"/>
                <w:b/>
                <w:kern w:val="0"/>
                <w:sz w:val="24"/>
                <w:highlight w:val="none"/>
                <w:lang w:val="zh-CN"/>
              </w:rPr>
            </w:pPr>
            <w:r>
              <w:rPr>
                <w:rFonts w:hint="eastAsia" w:ascii="宋体" w:hAnsi="宋体" w:cs="宋体"/>
                <w:b/>
                <w:kern w:val="0"/>
                <w:sz w:val="24"/>
                <w:highlight w:val="none"/>
                <w:lang w:val="zh-CN"/>
              </w:rPr>
              <w:t>投标报价出现下列情形的，投标无效：</w:t>
            </w:r>
          </w:p>
          <w:p w14:paraId="38866E85">
            <w:pPr>
              <w:snapToGrid w:val="0"/>
              <w:jc w:val="left"/>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571B8650">
            <w:pPr>
              <w:snapToGrid w:val="0"/>
              <w:jc w:val="left"/>
              <w:rPr>
                <w:rFonts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5550091E">
            <w:pPr>
              <w:rPr>
                <w:rFonts w:ascii="宋体" w:hAnsi="宋体" w:cs="宋体"/>
                <w:b/>
                <w:sz w:val="24"/>
                <w:highlight w:val="none"/>
              </w:rPr>
            </w:pPr>
            <w:r>
              <w:rPr>
                <w:rFonts w:hint="eastAsia" w:ascii="宋体" w:hAnsi="宋体" w:cs="宋体"/>
                <w:b/>
                <w:sz w:val="24"/>
                <w:highlight w:val="none"/>
                <w:lang w:eastAsia="zh-CN"/>
              </w:rPr>
              <w:t>评标委员会</w:t>
            </w:r>
            <w:r>
              <w:rPr>
                <w:rFonts w:hint="eastAsia" w:ascii="宋体" w:hAnsi="宋体" w:cs="宋体"/>
                <w:b/>
                <w:sz w:val="24"/>
                <w:highlight w:val="none"/>
              </w:rPr>
              <w:t>启动异常低价投标审查后，投标人不能提供书面说明、证明材料，或者提供的书面说明、证明材料不能证明其报价合理性的;</w:t>
            </w:r>
          </w:p>
          <w:p w14:paraId="5C2DD15E">
            <w:pPr>
              <w:rPr>
                <w:rFonts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4761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 w:hRule="atLeast"/>
          <w:jc w:val="center"/>
        </w:trPr>
        <w:tc>
          <w:tcPr>
            <w:tcW w:w="717" w:type="dxa"/>
            <w:shd w:val="clear" w:color="auto" w:fill="auto"/>
            <w:vAlign w:val="center"/>
          </w:tcPr>
          <w:p w14:paraId="4FF41EC8">
            <w:pPr>
              <w:snapToGrid w:val="0"/>
              <w:jc w:val="center"/>
              <w:rPr>
                <w:rFonts w:ascii="宋体" w:hAnsi="宋体" w:cs="宋体"/>
                <w:sz w:val="24"/>
                <w:highlight w:val="none"/>
              </w:rPr>
            </w:pPr>
            <w:r>
              <w:rPr>
                <w:rFonts w:hint="eastAsia" w:ascii="宋体" w:hAnsi="宋体" w:cs="宋体"/>
                <w:sz w:val="24"/>
                <w:highlight w:val="none"/>
              </w:rPr>
              <w:t>12</w:t>
            </w:r>
          </w:p>
        </w:tc>
        <w:tc>
          <w:tcPr>
            <w:tcW w:w="2107" w:type="dxa"/>
            <w:vAlign w:val="center"/>
          </w:tcPr>
          <w:p w14:paraId="4613B499">
            <w:pPr>
              <w:snapToGrid w:val="0"/>
              <w:jc w:val="center"/>
              <w:rPr>
                <w:rFonts w:ascii="宋体" w:hAnsi="宋体" w:cs="宋体"/>
                <w:b/>
                <w:sz w:val="24"/>
                <w:highlight w:val="none"/>
              </w:rPr>
            </w:pPr>
            <w:r>
              <w:rPr>
                <w:rFonts w:hint="eastAsia" w:ascii="宋体" w:hAnsi="宋体" w:cs="宋体"/>
                <w:b/>
                <w:sz w:val="24"/>
                <w:highlight w:val="none"/>
              </w:rPr>
              <w:t>采购代理服务费</w:t>
            </w:r>
          </w:p>
        </w:tc>
        <w:tc>
          <w:tcPr>
            <w:tcW w:w="6972" w:type="dxa"/>
            <w:vAlign w:val="center"/>
          </w:tcPr>
          <w:p w14:paraId="14150544">
            <w:pPr>
              <w:jc w:val="left"/>
              <w:rPr>
                <w:rFonts w:ascii="宋体" w:hAnsi="宋体" w:cs="宋体"/>
                <w:kern w:val="28"/>
                <w:sz w:val="24"/>
                <w:highlight w:val="none"/>
              </w:rPr>
            </w:pPr>
            <w:r>
              <w:rPr>
                <w:rFonts w:hint="eastAsia" w:ascii="宋体" w:hAnsi="宋体" w:cs="宋体"/>
                <w:kern w:val="28"/>
                <w:sz w:val="24"/>
                <w:highlight w:val="none"/>
              </w:rPr>
              <w:t>（1）采购代理服务费参照国家计[2002]1980号文件规定的招标费率标准4折收取，不足3000元按3000元收取。</w:t>
            </w:r>
          </w:p>
          <w:p w14:paraId="3EF992D9">
            <w:pPr>
              <w:ind w:left="240" w:hanging="240" w:hangingChars="100"/>
              <w:jc w:val="left"/>
              <w:rPr>
                <w:rFonts w:ascii="宋体" w:hAnsi="宋体" w:cs="宋体"/>
                <w:kern w:val="28"/>
                <w:sz w:val="24"/>
                <w:highlight w:val="none"/>
              </w:rPr>
            </w:pPr>
            <w:r>
              <w:rPr>
                <w:rFonts w:hint="eastAsia" w:ascii="宋体" w:hAnsi="宋体" w:cs="宋体"/>
                <w:kern w:val="28"/>
                <w:sz w:val="24"/>
                <w:highlight w:val="none"/>
              </w:rPr>
              <w:t>（2）中标人在领取成交通知书前，应向采购代理机构交纳采购代理服务费。</w:t>
            </w:r>
          </w:p>
          <w:p w14:paraId="75F3FF51">
            <w:pPr>
              <w:jc w:val="left"/>
              <w:rPr>
                <w:rFonts w:ascii="宋体" w:hAnsi="宋体" w:cs="宋体"/>
                <w:kern w:val="28"/>
                <w:sz w:val="24"/>
                <w:highlight w:val="none"/>
              </w:rPr>
            </w:pPr>
            <w:r>
              <w:rPr>
                <w:rFonts w:hint="eastAsia" w:ascii="宋体" w:hAnsi="宋体" w:cs="宋体"/>
                <w:kern w:val="28"/>
                <w:sz w:val="24"/>
                <w:highlight w:val="none"/>
              </w:rPr>
              <w:t>（3）采购代理服务费以电汇方式支付。</w:t>
            </w:r>
          </w:p>
          <w:p w14:paraId="6D433690">
            <w:pPr>
              <w:jc w:val="left"/>
              <w:rPr>
                <w:rFonts w:ascii="宋体" w:hAnsi="宋体" w:cs="宋体"/>
                <w:kern w:val="28"/>
                <w:sz w:val="24"/>
                <w:highlight w:val="none"/>
              </w:rPr>
            </w:pPr>
            <w:r>
              <w:rPr>
                <w:rFonts w:hint="eastAsia" w:ascii="宋体" w:hAnsi="宋体" w:cs="宋体"/>
                <w:kern w:val="28"/>
                <w:sz w:val="24"/>
                <w:highlight w:val="none"/>
              </w:rPr>
              <w:t>（4）中标人如未按上述规定办理，本采购代理机构有权对不足部分进行追索。</w:t>
            </w:r>
          </w:p>
          <w:p w14:paraId="46502D09">
            <w:pPr>
              <w:jc w:val="left"/>
              <w:rPr>
                <w:rFonts w:ascii="宋体" w:hAnsi="宋体" w:cs="宋体"/>
                <w:kern w:val="28"/>
                <w:sz w:val="24"/>
                <w:highlight w:val="none"/>
              </w:rPr>
            </w:pPr>
            <w:r>
              <w:rPr>
                <w:rFonts w:hint="eastAsia" w:ascii="宋体" w:hAnsi="宋体" w:cs="宋体"/>
                <w:kern w:val="28"/>
                <w:sz w:val="24"/>
                <w:highlight w:val="none"/>
              </w:rPr>
              <w:t>（5）服务费缴纳账号：</w:t>
            </w:r>
          </w:p>
          <w:p w14:paraId="7691147B">
            <w:pPr>
              <w:jc w:val="left"/>
              <w:rPr>
                <w:rFonts w:ascii="宋体" w:hAnsi="宋体" w:cs="宋体"/>
                <w:kern w:val="28"/>
                <w:sz w:val="24"/>
                <w:highlight w:val="none"/>
              </w:rPr>
            </w:pPr>
            <w:r>
              <w:rPr>
                <w:rFonts w:hint="eastAsia" w:ascii="宋体" w:hAnsi="宋体" w:cs="宋体"/>
                <w:kern w:val="28"/>
                <w:sz w:val="24"/>
                <w:highlight w:val="none"/>
              </w:rPr>
              <w:t>户名：浙江科佳工程咨询有限公司</w:t>
            </w:r>
          </w:p>
          <w:p w14:paraId="6C344E08">
            <w:pPr>
              <w:jc w:val="left"/>
              <w:rPr>
                <w:rFonts w:ascii="宋体" w:hAnsi="宋体" w:cs="宋体"/>
                <w:kern w:val="28"/>
                <w:sz w:val="24"/>
                <w:highlight w:val="none"/>
              </w:rPr>
            </w:pPr>
            <w:r>
              <w:rPr>
                <w:rFonts w:hint="eastAsia" w:ascii="宋体" w:hAnsi="宋体" w:cs="宋体"/>
                <w:kern w:val="28"/>
                <w:sz w:val="24"/>
                <w:highlight w:val="none"/>
              </w:rPr>
              <w:t>账号：7331110182600053000</w:t>
            </w:r>
          </w:p>
          <w:p w14:paraId="18C6E411">
            <w:pPr>
              <w:jc w:val="left"/>
              <w:rPr>
                <w:rFonts w:ascii="宋体" w:hAnsi="宋体" w:cs="宋体"/>
                <w:kern w:val="28"/>
                <w:sz w:val="24"/>
                <w:highlight w:val="none"/>
              </w:rPr>
            </w:pPr>
            <w:r>
              <w:rPr>
                <w:rFonts w:hint="eastAsia" w:ascii="宋体" w:hAnsi="宋体" w:cs="宋体"/>
                <w:kern w:val="28"/>
                <w:sz w:val="24"/>
                <w:highlight w:val="none"/>
              </w:rPr>
              <w:t>开户行：中信银行杭州天水支行</w:t>
            </w:r>
          </w:p>
        </w:tc>
      </w:tr>
      <w:tr w14:paraId="75B5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0" w:hRule="atLeast"/>
          <w:jc w:val="center"/>
        </w:trPr>
        <w:tc>
          <w:tcPr>
            <w:tcW w:w="717" w:type="dxa"/>
            <w:shd w:val="clear" w:color="auto" w:fill="auto"/>
            <w:vAlign w:val="center"/>
          </w:tcPr>
          <w:p w14:paraId="48AF28D5">
            <w:pPr>
              <w:snapToGrid w:val="0"/>
              <w:jc w:val="center"/>
              <w:rPr>
                <w:rFonts w:ascii="宋体" w:hAnsi="宋体" w:cs="宋体"/>
                <w:sz w:val="24"/>
                <w:highlight w:val="none"/>
              </w:rPr>
            </w:pPr>
            <w:r>
              <w:rPr>
                <w:rFonts w:hint="eastAsia" w:ascii="宋体" w:hAnsi="宋体" w:cs="宋体"/>
                <w:sz w:val="24"/>
                <w:highlight w:val="none"/>
              </w:rPr>
              <w:t>13</w:t>
            </w:r>
          </w:p>
        </w:tc>
        <w:tc>
          <w:tcPr>
            <w:tcW w:w="2107" w:type="dxa"/>
            <w:vAlign w:val="center"/>
          </w:tcPr>
          <w:p w14:paraId="5634C7C0">
            <w:pPr>
              <w:snapToGrid w:val="0"/>
              <w:jc w:val="center"/>
              <w:rPr>
                <w:rFonts w:ascii="宋体" w:hAnsi="宋体" w:cs="宋体"/>
                <w:b/>
                <w:sz w:val="24"/>
                <w:highlight w:val="none"/>
              </w:rPr>
            </w:pPr>
            <w:r>
              <w:rPr>
                <w:rFonts w:hint="eastAsia" w:ascii="宋体" w:hAnsi="宋体" w:cs="宋体"/>
                <w:b/>
                <w:sz w:val="24"/>
                <w:highlight w:val="none"/>
              </w:rPr>
              <w:t>备份投标文件送达地点和签收人员</w:t>
            </w:r>
          </w:p>
        </w:tc>
        <w:tc>
          <w:tcPr>
            <w:tcW w:w="6972" w:type="dxa"/>
            <w:vAlign w:val="center"/>
          </w:tcPr>
          <w:p w14:paraId="7E45677D">
            <w:pPr>
              <w:pStyle w:val="34"/>
              <w:rPr>
                <w:rFonts w:hAnsi="宋体" w:cs="宋体"/>
                <w:kern w:val="28"/>
                <w:sz w:val="24"/>
                <w:szCs w:val="24"/>
                <w:highlight w:val="none"/>
              </w:rPr>
            </w:pPr>
            <w:r>
              <w:rPr>
                <w:rFonts w:hint="eastAsia" w:hAnsi="宋体" w:cs="宋体"/>
                <w:kern w:val="28"/>
                <w:sz w:val="24"/>
                <w:szCs w:val="24"/>
                <w:highlight w:val="none"/>
              </w:rPr>
              <w:t>备份投标文件送达地点：</w:t>
            </w:r>
            <w:r>
              <w:rPr>
                <w:rFonts w:hint="eastAsia" w:hAnsi="宋体" w:cs="宋体"/>
                <w:sz w:val="24"/>
                <w:szCs w:val="24"/>
                <w:highlight w:val="none"/>
                <w:u w:val="single"/>
              </w:rPr>
              <w:t xml:space="preserve"> 浙江省杭州市上城区顺福商务中心3幢10楼</w:t>
            </w:r>
            <w:r>
              <w:rPr>
                <w:rFonts w:hint="eastAsia" w:hAnsi="宋体" w:cs="宋体"/>
                <w:kern w:val="28"/>
                <w:sz w:val="24"/>
                <w:szCs w:val="24"/>
                <w:highlight w:val="none"/>
              </w:rPr>
              <w:t>；备份投标文件签收人员联系电话：</w:t>
            </w:r>
            <w:r>
              <w:rPr>
                <w:rFonts w:hint="eastAsia" w:hAnsi="宋体" w:cs="宋体"/>
                <w:kern w:val="28"/>
                <w:sz w:val="24"/>
                <w:szCs w:val="24"/>
                <w:highlight w:val="none"/>
                <w:u w:val="single"/>
              </w:rPr>
              <w:t>吴金沛/17815506260</w:t>
            </w:r>
            <w:r>
              <w:rPr>
                <w:rFonts w:hint="eastAsia" w:hAnsi="宋体" w:cs="宋体"/>
                <w:sz w:val="24"/>
                <w:szCs w:val="24"/>
                <w:highlight w:val="none"/>
              </w:rPr>
              <w:t>。</w:t>
            </w:r>
            <w:r>
              <w:rPr>
                <w:rFonts w:hint="eastAsia" w:hAnsi="宋体" w:cs="宋体"/>
                <w:b/>
                <w:sz w:val="24"/>
                <w:szCs w:val="24"/>
                <w:highlight w:val="none"/>
              </w:rPr>
              <w:t>采购人、采购代理机构不强制或变相强制投标人提交备份投标文件。</w:t>
            </w:r>
          </w:p>
        </w:tc>
      </w:tr>
      <w:tr w14:paraId="625B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17" w:type="dxa"/>
            <w:vMerge w:val="restart"/>
            <w:vAlign w:val="center"/>
          </w:tcPr>
          <w:p w14:paraId="61531FFB">
            <w:pPr>
              <w:snapToGrid w:val="0"/>
              <w:jc w:val="center"/>
              <w:rPr>
                <w:rFonts w:ascii="宋体" w:hAnsi="宋体" w:cs="宋体"/>
                <w:sz w:val="24"/>
                <w:highlight w:val="none"/>
              </w:rPr>
            </w:pPr>
            <w:r>
              <w:rPr>
                <w:rFonts w:hint="eastAsia" w:ascii="宋体" w:hAnsi="宋体" w:cs="宋体"/>
                <w:sz w:val="24"/>
                <w:highlight w:val="none"/>
              </w:rPr>
              <w:t>14</w:t>
            </w:r>
          </w:p>
        </w:tc>
        <w:tc>
          <w:tcPr>
            <w:tcW w:w="2107" w:type="dxa"/>
            <w:vMerge w:val="restart"/>
            <w:vAlign w:val="center"/>
          </w:tcPr>
          <w:p w14:paraId="03AB298C">
            <w:pPr>
              <w:snapToGrid w:val="0"/>
              <w:jc w:val="center"/>
              <w:rPr>
                <w:rFonts w:ascii="宋体" w:hAnsi="宋体" w:cs="宋体"/>
                <w:b/>
                <w:sz w:val="24"/>
                <w:highlight w:val="none"/>
              </w:rPr>
            </w:pPr>
            <w:r>
              <w:rPr>
                <w:rFonts w:hint="eastAsia" w:ascii="宋体" w:hAnsi="宋体" w:cs="宋体"/>
                <w:b/>
                <w:sz w:val="24"/>
                <w:highlight w:val="none"/>
              </w:rPr>
              <w:t>特别说明</w:t>
            </w:r>
          </w:p>
        </w:tc>
        <w:tc>
          <w:tcPr>
            <w:tcW w:w="6972" w:type="dxa"/>
            <w:vAlign w:val="center"/>
          </w:tcPr>
          <w:p w14:paraId="362ACE14">
            <w:pPr>
              <w:rPr>
                <w:rFonts w:ascii="宋体" w:hAnsi="宋体" w:cs="宋体"/>
                <w:kern w:val="28"/>
                <w:sz w:val="24"/>
                <w:highlight w:val="none"/>
              </w:rPr>
            </w:pPr>
            <w:r>
              <w:rPr>
                <w:rFonts w:hint="eastAsia" w:ascii="宋体" w:hAnsi="宋体" w:cs="宋体"/>
                <w:kern w:val="28"/>
                <w:sz w:val="24"/>
                <w:highlight w:val="none"/>
              </w:rPr>
              <w:t>联合体投标的，联合体各方分别提供与联合体协议中规定的分工内容相应的业绩证明材料，业绩数量以提供材料较少的一方为准。</w:t>
            </w:r>
          </w:p>
        </w:tc>
      </w:tr>
      <w:tr w14:paraId="797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717" w:type="dxa"/>
            <w:vMerge w:val="continue"/>
          </w:tcPr>
          <w:p w14:paraId="1A71A169">
            <w:pPr>
              <w:snapToGrid w:val="0"/>
              <w:jc w:val="center"/>
              <w:rPr>
                <w:rFonts w:ascii="宋体" w:hAnsi="宋体" w:cs="宋体"/>
                <w:sz w:val="24"/>
                <w:highlight w:val="none"/>
              </w:rPr>
            </w:pPr>
          </w:p>
        </w:tc>
        <w:tc>
          <w:tcPr>
            <w:tcW w:w="2107" w:type="dxa"/>
            <w:vMerge w:val="continue"/>
            <w:vAlign w:val="center"/>
          </w:tcPr>
          <w:p w14:paraId="6DD28E69">
            <w:pPr>
              <w:snapToGrid w:val="0"/>
              <w:jc w:val="center"/>
              <w:rPr>
                <w:rFonts w:ascii="宋体" w:hAnsi="宋体" w:cs="宋体"/>
                <w:b/>
                <w:sz w:val="24"/>
                <w:highlight w:val="none"/>
              </w:rPr>
            </w:pPr>
          </w:p>
        </w:tc>
        <w:tc>
          <w:tcPr>
            <w:tcW w:w="6972" w:type="dxa"/>
            <w:vAlign w:val="center"/>
          </w:tcPr>
          <w:p w14:paraId="2593AB17">
            <w:pPr>
              <w:rPr>
                <w:rFonts w:ascii="宋体" w:hAnsi="宋体" w:cs="宋体"/>
                <w:kern w:val="28"/>
                <w:sz w:val="24"/>
                <w:highlight w:val="none"/>
              </w:rPr>
            </w:pPr>
            <w:sdt>
              <w:sdtPr>
                <w:rPr>
                  <w:rFonts w:hint="eastAsia" w:ascii="宋体" w:hAnsi="宋体" w:cs="宋体"/>
                  <w:kern w:val="0"/>
                  <w:sz w:val="24"/>
                  <w:highlight w:val="none"/>
                </w:rPr>
                <w:id w:val="89708012"/>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28"/>
                <w:sz w:val="24"/>
                <w:highlight w:val="none"/>
              </w:rPr>
              <w:t>联合体投标的，联合体中有一方或者联合体成员根据分工按招标文件第四部分评标标准要求提供资信证明文件的，视为符合了相关要求。</w:t>
            </w:r>
          </w:p>
        </w:tc>
      </w:tr>
    </w:tbl>
    <w:p w14:paraId="015E406C">
      <w:pPr>
        <w:rPr>
          <w:rFonts w:ascii="宋体" w:hAnsi="宋体" w:cs="宋体"/>
          <w:highlight w:val="none"/>
        </w:rPr>
      </w:pPr>
    </w:p>
    <w:p w14:paraId="6462EA0D">
      <w:pPr>
        <w:pStyle w:val="3"/>
        <w:jc w:val="center"/>
        <w:rPr>
          <w:rFonts w:cs="宋体"/>
          <w:highlight w:val="none"/>
        </w:rPr>
      </w:pPr>
      <w:bookmarkStart w:id="14" w:name="_Toc23033"/>
      <w:r>
        <w:rPr>
          <w:rFonts w:hint="eastAsia" w:cs="宋体"/>
          <w:highlight w:val="none"/>
        </w:rPr>
        <w:t>一、总则</w:t>
      </w:r>
      <w:bookmarkEnd w:id="14"/>
    </w:p>
    <w:p w14:paraId="70F874C2">
      <w:pPr>
        <w:pStyle w:val="4"/>
        <w:rPr>
          <w:rFonts w:cs="宋体"/>
          <w:highlight w:val="none"/>
        </w:rPr>
      </w:pPr>
      <w:r>
        <w:rPr>
          <w:rFonts w:hint="eastAsia" w:cs="宋体"/>
          <w:highlight w:val="none"/>
        </w:rPr>
        <w:t>1.适用范围</w:t>
      </w:r>
    </w:p>
    <w:p w14:paraId="17FDDE2B">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3E66166B">
      <w:pPr>
        <w:pStyle w:val="4"/>
        <w:rPr>
          <w:rFonts w:cs="宋体"/>
          <w:highlight w:val="none"/>
        </w:rPr>
      </w:pPr>
      <w:r>
        <w:rPr>
          <w:rFonts w:hint="eastAsia" w:cs="宋体"/>
          <w:highlight w:val="none"/>
        </w:rPr>
        <w:t>2.定义</w:t>
      </w:r>
    </w:p>
    <w:p w14:paraId="25256423">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67CA7E08">
      <w:pPr>
        <w:spacing w:line="360" w:lineRule="auto"/>
        <w:ind w:firstLine="480" w:firstLineChars="200"/>
        <w:rPr>
          <w:rFonts w:ascii="宋体" w:hAnsi="宋体" w:cs="宋体"/>
          <w:sz w:val="24"/>
          <w:highlight w:val="none"/>
        </w:rPr>
      </w:pPr>
      <w:r>
        <w:rPr>
          <w:rFonts w:hint="eastAsia" w:ascii="宋体" w:hAnsi="宋体" w:cs="宋体"/>
          <w:sz w:val="24"/>
          <w:highlight w:val="none"/>
        </w:rPr>
        <w:t>2.2 “采购代理机构”系指招标公告中载明的本项目的采购代理机构。</w:t>
      </w:r>
    </w:p>
    <w:p w14:paraId="32A11030">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“投标人”系指是指响应招标、参加投标竞争的法人、其他组织或者自然人。</w:t>
      </w:r>
    </w:p>
    <w:p w14:paraId="7CEB3546">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4F322F1C">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4BEB94A">
      <w:pPr>
        <w:spacing w:line="360" w:lineRule="auto"/>
        <w:ind w:firstLine="480" w:firstLineChars="200"/>
        <w:rPr>
          <w:rFonts w:ascii="宋体" w:hAnsi="宋体" w:cs="宋体"/>
          <w:sz w:val="24"/>
          <w:highlight w:val="none"/>
        </w:rPr>
      </w:pPr>
      <w:r>
        <w:rPr>
          <w:rFonts w:hint="eastAsia" w:ascii="宋体" w:hAnsi="宋体" w:cs="宋体"/>
          <w:sz w:val="24"/>
          <w:highlight w:val="none"/>
        </w:rPr>
        <w:t>2.6 “电子交易平台”系指本项目政府采购活动所依托的政府采购云平台（https://www.zcygov.cn/）。</w:t>
      </w:r>
    </w:p>
    <w:p w14:paraId="3D0DF214">
      <w:pPr>
        <w:spacing w:line="360" w:lineRule="auto"/>
        <w:ind w:firstLine="480" w:firstLineChars="200"/>
        <w:rPr>
          <w:rFonts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147459106"/>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sz w:val="24"/>
          <w:highlight w:val="none"/>
        </w:rPr>
        <w:t>”系指适用本项目的要求，“</w:t>
      </w:r>
      <w:r>
        <w:rPr>
          <w:rFonts w:hint="eastAsia" w:ascii="宋体" w:hAnsi="宋体" w:cs="宋体"/>
          <w:kern w:val="0"/>
          <w:sz w:val="24"/>
          <w:highlight w:val="none"/>
        </w:rPr>
        <w:t>☐</w:t>
      </w:r>
      <w:r>
        <w:rPr>
          <w:rFonts w:hint="eastAsia" w:ascii="宋体" w:hAnsi="宋体" w:cs="宋体"/>
          <w:sz w:val="24"/>
          <w:highlight w:val="none"/>
        </w:rPr>
        <w:t>” 系指不适用本项目的要求。“★”系指重要条款。</w:t>
      </w:r>
    </w:p>
    <w:p w14:paraId="4167BD30">
      <w:pPr>
        <w:pStyle w:val="4"/>
        <w:rPr>
          <w:rFonts w:cs="宋体"/>
          <w:highlight w:val="none"/>
        </w:rPr>
      </w:pPr>
      <w:r>
        <w:rPr>
          <w:rFonts w:hint="eastAsia" w:cs="宋体"/>
          <w:highlight w:val="none"/>
        </w:rPr>
        <w:t>3.采购项目需要落实的政府采购政策</w:t>
      </w:r>
    </w:p>
    <w:p w14:paraId="792CF38D">
      <w:pPr>
        <w:spacing w:line="360" w:lineRule="auto"/>
        <w:ind w:firstLine="480" w:firstLineChars="2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76D4D274">
      <w:pPr>
        <w:spacing w:line="360" w:lineRule="auto"/>
        <w:ind w:firstLine="480" w:firstLineChars="200"/>
        <w:rPr>
          <w:rFonts w:ascii="宋体" w:hAnsi="宋体" w:cs="宋体"/>
          <w:sz w:val="24"/>
          <w:highlight w:val="none"/>
        </w:rPr>
      </w:pPr>
      <w:r>
        <w:rPr>
          <w:rFonts w:hint="eastAsia" w:ascii="宋体" w:hAnsi="宋体" w:cs="宋体"/>
          <w:sz w:val="24"/>
          <w:highlight w:val="none"/>
        </w:rPr>
        <w:t>3.2 支持绿色发展</w:t>
      </w:r>
    </w:p>
    <w:p w14:paraId="620D1CF7">
      <w:pPr>
        <w:spacing w:line="360" w:lineRule="auto"/>
        <w:ind w:firstLine="480" w:firstLineChars="200"/>
        <w:rPr>
          <w:rFonts w:ascii="宋体" w:hAnsi="宋体" w:cs="宋体"/>
          <w:b/>
          <w:sz w:val="24"/>
          <w:highlight w:val="none"/>
        </w:rPr>
      </w:pPr>
      <w:r>
        <w:rPr>
          <w:rFonts w:hint="eastAsia" w:ascii="宋体" w:hAnsi="宋体" w:cs="宋体"/>
          <w:sz w:val="24"/>
          <w:highlight w:val="none"/>
        </w:rPr>
        <w:t>3.2.1 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F80BA67">
      <w:pPr>
        <w:spacing w:line="360" w:lineRule="auto"/>
        <w:ind w:firstLine="480" w:firstLineChars="200"/>
        <w:rPr>
          <w:rFonts w:ascii="宋体" w:hAnsi="宋体" w:cs="宋体"/>
          <w:sz w:val="24"/>
          <w:highlight w:val="none"/>
        </w:rPr>
      </w:pPr>
      <w:r>
        <w:rPr>
          <w:rFonts w:hint="eastAsia" w:ascii="宋体" w:hAnsi="宋体" w:cs="宋体"/>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E60E2D4">
      <w:pPr>
        <w:spacing w:line="360" w:lineRule="auto"/>
        <w:ind w:firstLine="480" w:firstLineChars="200"/>
        <w:rPr>
          <w:rFonts w:ascii="宋体" w:hAnsi="宋体" w:cs="宋体"/>
          <w:sz w:val="24"/>
          <w:highlight w:val="none"/>
        </w:rPr>
      </w:pPr>
      <w:bookmarkStart w:id="15" w:name="_Hlk107568539"/>
      <w:r>
        <w:rPr>
          <w:rFonts w:hint="eastAsia" w:ascii="宋体" w:hAnsi="宋体" w:cs="宋体"/>
          <w:sz w:val="24"/>
          <w:highlight w:val="none"/>
        </w:rPr>
        <w:t>3.2.3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bookmarkEnd w:id="15"/>
    <w:p w14:paraId="59121D41">
      <w:pPr>
        <w:spacing w:line="360" w:lineRule="auto"/>
        <w:ind w:firstLine="480" w:firstLineChars="200"/>
        <w:rPr>
          <w:rFonts w:ascii="宋体" w:hAnsi="宋体" w:cs="宋体"/>
          <w:sz w:val="24"/>
          <w:highlight w:val="none"/>
        </w:rPr>
      </w:pPr>
      <w:r>
        <w:rPr>
          <w:rFonts w:hint="eastAsia" w:ascii="宋体" w:hAnsi="宋体" w:cs="宋体"/>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BA85FE8">
      <w:pPr>
        <w:spacing w:line="360" w:lineRule="auto"/>
        <w:ind w:firstLine="480" w:firstLineChars="200"/>
        <w:rPr>
          <w:rFonts w:ascii="宋体" w:hAnsi="宋体" w:cs="宋体"/>
          <w:sz w:val="24"/>
          <w:highlight w:val="none"/>
        </w:rPr>
      </w:pPr>
      <w:r>
        <w:rPr>
          <w:rFonts w:hint="eastAsia" w:ascii="宋体" w:hAnsi="宋体" w:cs="宋体"/>
          <w:sz w:val="24"/>
          <w:highlight w:val="none"/>
        </w:rPr>
        <w:t>3.3 支持中小企业发展</w:t>
      </w:r>
    </w:p>
    <w:p w14:paraId="022A0365">
      <w:pPr>
        <w:spacing w:line="360" w:lineRule="auto"/>
        <w:ind w:firstLine="480" w:firstLineChars="200"/>
        <w:rPr>
          <w:rFonts w:ascii="宋体" w:hAnsi="宋体" w:cs="宋体"/>
          <w:sz w:val="24"/>
          <w:highlight w:val="none"/>
        </w:rPr>
      </w:pPr>
      <w:r>
        <w:rPr>
          <w:rFonts w:hint="eastAsia" w:ascii="宋体" w:hAnsi="宋体" w:cs="宋体"/>
          <w:sz w:val="24"/>
          <w:highlight w:val="none"/>
        </w:rPr>
        <w:t>3.3.1 中小企业，是指在中华人民共和国境内依法设立，依据国务院批准的中小企业划分标准确定的中型企业、小型企业和微型企业，但与大企业的负责人为同一人，或者与大企业存在直接控股、管理关系的除外。</w:t>
      </w:r>
    </w:p>
    <w:p w14:paraId="34470851">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54E93907">
      <w:pPr>
        <w:widowControl/>
        <w:spacing w:line="360" w:lineRule="auto"/>
        <w:ind w:firstLine="480" w:firstLineChars="200"/>
        <w:jc w:val="left"/>
        <w:rPr>
          <w:rFonts w:ascii="宋体" w:hAnsi="宋体" w:cs="宋体"/>
          <w:kern w:val="0"/>
          <w:sz w:val="24"/>
          <w:highlight w:val="none"/>
        </w:rPr>
      </w:pPr>
      <w:r>
        <w:rPr>
          <w:rFonts w:hint="eastAsia" w:ascii="宋体" w:hAnsi="宋体" w:cs="宋体"/>
          <w:bCs/>
          <w:sz w:val="24"/>
          <w:highlight w:val="none"/>
        </w:rPr>
        <w:t xml:space="preserve">3.3.2 </w:t>
      </w:r>
      <w:r>
        <w:rPr>
          <w:rFonts w:hint="eastAsia" w:ascii="宋体" w:hAnsi="宋体" w:cs="宋体"/>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364E8F9">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1A234577">
      <w:pPr>
        <w:spacing w:line="360" w:lineRule="auto"/>
        <w:ind w:firstLine="480" w:firstLineChars="200"/>
        <w:rPr>
          <w:rFonts w:ascii="宋体" w:hAnsi="宋体" w:cs="宋体"/>
          <w:sz w:val="24"/>
          <w:highlight w:val="none"/>
        </w:rPr>
      </w:pPr>
      <w:bookmarkStart w:id="16" w:name="_Hlk101132181"/>
      <w:bookmarkEnd w:id="16"/>
      <w:r>
        <w:rPr>
          <w:rFonts w:hint="eastAsia" w:ascii="宋体" w:hAnsi="宋体" w:cs="宋体"/>
          <w:sz w:val="24"/>
          <w:highlight w:val="none"/>
        </w:rPr>
        <w:t>3.3.3 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E4143F0">
      <w:pPr>
        <w:spacing w:line="360" w:lineRule="auto"/>
        <w:ind w:firstLine="480" w:firstLineChars="200"/>
        <w:rPr>
          <w:rFonts w:ascii="宋体" w:hAnsi="宋体" w:cs="宋体"/>
          <w:sz w:val="24"/>
          <w:highlight w:val="none"/>
        </w:rPr>
      </w:pPr>
      <w:r>
        <w:rPr>
          <w:rFonts w:hint="eastAsia" w:ascii="宋体" w:hAnsi="宋体" w:cs="宋体"/>
          <w:sz w:val="24"/>
          <w:highlight w:val="none"/>
        </w:rPr>
        <w:t>3.3.4 符合《关于促进残疾人就业政府采购政策的通知》（财库〔2017〕141号）规定的条件并提供《残疾人福利性单位声明函》（附件1）的残疾人福利性单位视同小型、微型企业；</w:t>
      </w:r>
    </w:p>
    <w:p w14:paraId="27340610">
      <w:pPr>
        <w:spacing w:line="360" w:lineRule="auto"/>
        <w:ind w:firstLine="480" w:firstLineChars="200"/>
        <w:rPr>
          <w:rFonts w:ascii="宋体" w:hAnsi="宋体" w:cs="宋体"/>
          <w:sz w:val="24"/>
          <w:highlight w:val="none"/>
        </w:rPr>
      </w:pPr>
      <w:r>
        <w:rPr>
          <w:rFonts w:hint="eastAsia" w:ascii="宋体" w:hAnsi="宋体" w:cs="宋体"/>
          <w:sz w:val="24"/>
          <w:highlight w:val="none"/>
        </w:rPr>
        <w:t>3.3.5 符合《关于政府采购支持监狱企业发展有关问题的通知》（财库[2014]68号）规定的监狱企业并提供由省级以上监狱管理局、戒毒管理局（含新疆生产建设兵团）出具的属于监狱企业证明文件的，视同为小型、微型企业。</w:t>
      </w:r>
    </w:p>
    <w:p w14:paraId="0ACDA682">
      <w:pPr>
        <w:spacing w:line="360" w:lineRule="auto"/>
        <w:ind w:firstLine="480" w:firstLineChars="200"/>
        <w:rPr>
          <w:rFonts w:ascii="宋体" w:hAnsi="宋体" w:cs="宋体"/>
          <w:sz w:val="24"/>
          <w:highlight w:val="none"/>
        </w:rPr>
      </w:pPr>
      <w:r>
        <w:rPr>
          <w:rFonts w:hint="eastAsia" w:ascii="宋体" w:hAnsi="宋体" w:cs="宋体"/>
          <w:sz w:val="24"/>
          <w:highlight w:val="none"/>
        </w:rPr>
        <w:t>3.3.6 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070615F">
      <w:pPr>
        <w:spacing w:line="360" w:lineRule="auto"/>
        <w:ind w:firstLine="480" w:firstLineChars="200"/>
        <w:rPr>
          <w:rFonts w:ascii="宋体" w:hAnsi="宋体" w:cs="宋体"/>
          <w:sz w:val="24"/>
          <w:highlight w:val="none"/>
        </w:rPr>
      </w:pPr>
      <w:r>
        <w:rPr>
          <w:rFonts w:hint="eastAsia" w:ascii="宋体" w:hAnsi="宋体" w:cs="宋体"/>
          <w:sz w:val="24"/>
          <w:highlight w:val="none"/>
        </w:rPr>
        <w:t>3.3.7 中小企业享受扶持政策获得政府采购合同的，小微企业不得将合同分包给大中型企业，中型企业不得将合同分包给大型企业。</w:t>
      </w:r>
    </w:p>
    <w:p w14:paraId="1E62F22C">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 </w:t>
      </w:r>
      <w:r>
        <w:rPr>
          <w:rFonts w:hint="eastAsia" w:ascii="宋体" w:hAnsi="宋体" w:cs="宋体"/>
          <w:bCs/>
          <w:sz w:val="24"/>
          <w:highlight w:val="none"/>
        </w:rPr>
        <w:t>支持创新发展</w:t>
      </w:r>
    </w:p>
    <w:p w14:paraId="59209005">
      <w:pPr>
        <w:spacing w:line="360" w:lineRule="auto"/>
        <w:ind w:firstLine="480" w:firstLineChars="200"/>
        <w:rPr>
          <w:rFonts w:ascii="宋体" w:hAnsi="宋体" w:cs="宋体"/>
          <w:sz w:val="24"/>
          <w:highlight w:val="none"/>
        </w:rPr>
      </w:pPr>
      <w:r>
        <w:rPr>
          <w:rFonts w:hint="eastAsia" w:ascii="宋体" w:hAnsi="宋体" w:cs="宋体"/>
          <w:sz w:val="24"/>
          <w:highlight w:val="none"/>
        </w:rPr>
        <w:t>3.4.1 采购人优先采购被认定为首台套产品和“制造精品”的自主创新产品。</w:t>
      </w:r>
    </w:p>
    <w:p w14:paraId="691A0824">
      <w:pPr>
        <w:spacing w:line="360" w:lineRule="auto"/>
        <w:ind w:firstLine="480" w:firstLineChars="200"/>
        <w:rPr>
          <w:rFonts w:ascii="宋体" w:hAnsi="宋体" w:cs="宋体"/>
          <w:sz w:val="24"/>
          <w:highlight w:val="none"/>
        </w:rPr>
      </w:pPr>
      <w:r>
        <w:rPr>
          <w:rFonts w:hint="eastAsia" w:ascii="宋体" w:hAnsi="宋体" w:cs="宋体"/>
          <w:sz w:val="24"/>
          <w:highlight w:val="none"/>
        </w:rPr>
        <w:t>3.4.2 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97B6D48">
      <w:pPr>
        <w:spacing w:line="360" w:lineRule="auto"/>
        <w:ind w:firstLine="480" w:firstLineChars="200"/>
        <w:rPr>
          <w:rFonts w:ascii="宋体" w:hAnsi="宋体" w:cs="宋体"/>
          <w:sz w:val="24"/>
          <w:highlight w:val="none"/>
        </w:rPr>
      </w:pPr>
      <w:r>
        <w:rPr>
          <w:rFonts w:hint="eastAsia" w:ascii="宋体" w:hAnsi="宋体" w:cs="宋体"/>
          <w:sz w:val="24"/>
          <w:highlight w:val="none"/>
        </w:rPr>
        <w:t>3.5 平等对待内外资企业和符合条件的破产重整企业</w:t>
      </w:r>
    </w:p>
    <w:p w14:paraId="41FE7EC3">
      <w:pPr>
        <w:spacing w:line="360" w:lineRule="auto"/>
        <w:ind w:firstLine="480" w:firstLineChars="200"/>
        <w:rPr>
          <w:rFonts w:ascii="宋体" w:hAnsi="宋体" w:cs="宋体"/>
          <w:sz w:val="24"/>
          <w:highlight w:val="none"/>
        </w:rPr>
      </w:pPr>
      <w:r>
        <w:rPr>
          <w:rFonts w:hint="eastAsia" w:ascii="宋体" w:hAnsi="宋体" w:cs="宋体"/>
          <w:sz w:val="24"/>
          <w:highlight w:val="none"/>
        </w:rPr>
        <w:t>平等对待内外资企业和符合条件的破产重整企业，切实保障企业公平竞争，平等维护企业的合法利益。</w:t>
      </w:r>
    </w:p>
    <w:p w14:paraId="06D967A1">
      <w:pPr>
        <w:spacing w:line="360" w:lineRule="auto"/>
        <w:ind w:firstLine="480" w:firstLineChars="200"/>
        <w:rPr>
          <w:rFonts w:ascii="宋体" w:hAnsi="宋体" w:cs="宋体"/>
          <w:sz w:val="24"/>
          <w:highlight w:val="none"/>
        </w:rPr>
      </w:pPr>
      <w:r>
        <w:rPr>
          <w:rFonts w:hint="eastAsia" w:ascii="宋体" w:hAnsi="宋体" w:cs="宋体"/>
          <w:sz w:val="24"/>
          <w:highlight w:val="none"/>
        </w:rPr>
        <w:t>3.6支持本国产品</w:t>
      </w:r>
    </w:p>
    <w:p w14:paraId="1585653B">
      <w:pPr>
        <w:spacing w:line="360" w:lineRule="auto"/>
        <w:ind w:firstLine="480" w:firstLineChars="200"/>
        <w:rPr>
          <w:rFonts w:ascii="宋体" w:hAnsi="宋体" w:cs="宋体"/>
          <w:sz w:val="24"/>
          <w:highlight w:val="none"/>
        </w:rPr>
      </w:pPr>
      <w:r>
        <w:rPr>
          <w:rFonts w:hint="eastAsia" w:ascii="宋体" w:hAnsi="宋体" w:cs="宋体"/>
          <w:sz w:val="24"/>
          <w:highlight w:val="none"/>
        </w:rPr>
        <w:t>3.6.1政府采购活动中既有本国产品又有非本国产品参与竞争的，依法对本国产品的报价给予20%的价格扣除，用扣除后的价格参与评审。评审活动应贯彻落实对本国产品的评审价格扣除优惠；</w:t>
      </w:r>
    </w:p>
    <w:p w14:paraId="62006584">
      <w:pPr>
        <w:spacing w:line="360" w:lineRule="auto"/>
        <w:ind w:firstLine="480" w:firstLineChars="200"/>
        <w:rPr>
          <w:rFonts w:ascii="宋体" w:hAnsi="宋体" w:cs="宋体"/>
          <w:sz w:val="24"/>
          <w:highlight w:val="none"/>
        </w:rPr>
      </w:pPr>
      <w:r>
        <w:rPr>
          <w:rFonts w:hint="eastAsia" w:ascii="宋体" w:hAnsi="宋体" w:cs="宋体"/>
          <w:sz w:val="24"/>
          <w:highlight w:val="none"/>
        </w:rPr>
        <w:t>3.6.2在财政部、工业和信息化部制定出台在中国境内生产的组件成本占比要求，以及特定产品的关键组件、关键工序要求之前，目前，在中国境内生产的产品即视为符合本国产品标准，享受政府采购本国产品支持政策。具体如下：</w:t>
      </w:r>
    </w:p>
    <w:p w14:paraId="3303BD7D">
      <w:pPr>
        <w:spacing w:line="360" w:lineRule="auto"/>
        <w:ind w:firstLine="480" w:firstLineChars="200"/>
        <w:rPr>
          <w:rFonts w:ascii="宋体" w:hAnsi="宋体" w:cs="宋体"/>
          <w:sz w:val="24"/>
          <w:highlight w:val="none"/>
        </w:rPr>
      </w:pPr>
      <w:r>
        <w:rPr>
          <w:rFonts w:hint="eastAsia" w:ascii="宋体" w:hAnsi="宋体" w:cs="宋体"/>
          <w:sz w:val="24"/>
          <w:highlight w:val="none"/>
        </w:rPr>
        <w:t>产品应当在中国境内生产，即在中华人民共和国关境内实现从原材料、组件到产品的属性改变。</w:t>
      </w:r>
    </w:p>
    <w:p w14:paraId="1EECF350">
      <w:pPr>
        <w:spacing w:line="360" w:lineRule="auto"/>
        <w:ind w:firstLine="480" w:firstLineChars="200"/>
        <w:rPr>
          <w:rFonts w:ascii="宋体" w:hAnsi="宋体" w:cs="宋体"/>
          <w:sz w:val="24"/>
          <w:highlight w:val="none"/>
        </w:rPr>
      </w:pPr>
      <w:r>
        <w:rPr>
          <w:rFonts w:hint="eastAsia" w:ascii="宋体" w:hAnsi="宋体" w:cs="宋体"/>
          <w:sz w:val="24"/>
          <w:highlight w:val="none"/>
        </w:rPr>
        <w:t>属性改变是指经过制造、加工或者组装等工序，产生完全不同于原材料、组件的新产品，并具有新的名称和特征（用途）。属性改变不包括以下细微操作：</w:t>
      </w:r>
    </w:p>
    <w:p w14:paraId="0F37EA52">
      <w:pPr>
        <w:spacing w:line="360" w:lineRule="auto"/>
        <w:ind w:firstLine="480" w:firstLineChars="200"/>
        <w:rPr>
          <w:rFonts w:ascii="宋体" w:hAnsi="宋体" w:cs="宋体"/>
          <w:sz w:val="24"/>
          <w:highlight w:val="none"/>
        </w:rPr>
      </w:pPr>
      <w:r>
        <w:rPr>
          <w:rFonts w:hint="eastAsia" w:ascii="宋体" w:hAnsi="宋体" w:cs="宋体"/>
          <w:sz w:val="24"/>
          <w:highlight w:val="none"/>
        </w:rPr>
        <w:t>1.为确保产品在运输或者储存期间保持某种状态而进行的操作；</w:t>
      </w:r>
    </w:p>
    <w:p w14:paraId="4EB819FF">
      <w:pPr>
        <w:spacing w:line="360" w:lineRule="auto"/>
        <w:ind w:firstLine="480" w:firstLineChars="200"/>
        <w:rPr>
          <w:rFonts w:ascii="宋体" w:hAnsi="宋体" w:cs="宋体"/>
          <w:sz w:val="24"/>
          <w:highlight w:val="none"/>
        </w:rPr>
      </w:pPr>
      <w:r>
        <w:rPr>
          <w:rFonts w:hint="eastAsia" w:ascii="宋体" w:hAnsi="宋体" w:cs="宋体"/>
          <w:sz w:val="24"/>
          <w:highlight w:val="none"/>
        </w:rPr>
        <w:t>2.为产品运输或者销售进行的包装或者展示；</w:t>
      </w:r>
    </w:p>
    <w:p w14:paraId="449605BF">
      <w:pPr>
        <w:spacing w:line="360" w:lineRule="auto"/>
        <w:ind w:firstLine="480" w:firstLineChars="200"/>
        <w:rPr>
          <w:rFonts w:ascii="宋体" w:hAnsi="宋体" w:cs="宋体"/>
          <w:sz w:val="24"/>
          <w:highlight w:val="none"/>
        </w:rPr>
      </w:pPr>
      <w:r>
        <w:rPr>
          <w:rFonts w:hint="eastAsia" w:ascii="宋体" w:hAnsi="宋体" w:cs="宋体"/>
          <w:sz w:val="24"/>
          <w:highlight w:val="none"/>
        </w:rPr>
        <w:t>3.在产品或者其包装上粘贴或者印刷品牌、标志、标识以及其他用于区别的标记；</w:t>
      </w:r>
    </w:p>
    <w:p w14:paraId="5831DEB5">
      <w:pPr>
        <w:spacing w:line="360" w:lineRule="auto"/>
        <w:ind w:firstLine="480" w:firstLineChars="200"/>
        <w:rPr>
          <w:rFonts w:ascii="宋体" w:hAnsi="宋体" w:cs="宋体"/>
          <w:sz w:val="24"/>
          <w:highlight w:val="none"/>
        </w:rPr>
      </w:pPr>
      <w:r>
        <w:rPr>
          <w:rFonts w:hint="eastAsia" w:ascii="宋体" w:hAnsi="宋体" w:cs="宋体"/>
          <w:sz w:val="24"/>
          <w:highlight w:val="none"/>
        </w:rPr>
        <w:t>4.简单的上漆、磨光和分装；</w:t>
      </w:r>
    </w:p>
    <w:p w14:paraId="3493F06E">
      <w:pPr>
        <w:spacing w:line="360" w:lineRule="auto"/>
        <w:ind w:firstLine="480" w:firstLineChars="200"/>
        <w:rPr>
          <w:rFonts w:ascii="宋体" w:hAnsi="宋体" w:cs="宋体"/>
          <w:sz w:val="24"/>
          <w:highlight w:val="none"/>
        </w:rPr>
      </w:pPr>
      <w:r>
        <w:rPr>
          <w:rFonts w:hint="eastAsia" w:ascii="宋体" w:hAnsi="宋体" w:cs="宋体"/>
          <w:sz w:val="24"/>
          <w:highlight w:val="none"/>
        </w:rPr>
        <w:t>5.其他不属于属性改变的情形。</w:t>
      </w:r>
    </w:p>
    <w:p w14:paraId="2A362A2B">
      <w:pPr>
        <w:spacing w:line="360" w:lineRule="auto"/>
        <w:ind w:firstLine="480" w:firstLineChars="200"/>
        <w:rPr>
          <w:rFonts w:ascii="宋体" w:hAnsi="宋体" w:cs="宋体"/>
          <w:sz w:val="24"/>
          <w:highlight w:val="none"/>
        </w:rPr>
      </w:pPr>
      <w:r>
        <w:rPr>
          <w:rFonts w:hint="eastAsia" w:ascii="宋体" w:hAnsi="宋体" w:cs="宋体"/>
          <w:sz w:val="24"/>
          <w:highlight w:val="none"/>
        </w:rPr>
        <w:t>注：须提供《关于符合本国产品标准的声明函》或财政部会同有关部门规定的有关证明文件，声明函格式详见招标文件附件；供应商提供虚假《声明函》、虚假证明文件谋取中标、成交的，依照《中华人民共和国政府采购法》等法律法规规定追究相应责任。</w:t>
      </w:r>
    </w:p>
    <w:p w14:paraId="07F03DF2">
      <w:pPr>
        <w:spacing w:line="360" w:lineRule="auto"/>
        <w:ind w:firstLine="480" w:firstLineChars="200"/>
        <w:rPr>
          <w:rFonts w:ascii="宋体" w:hAnsi="宋体" w:cs="宋体"/>
          <w:sz w:val="24"/>
          <w:highlight w:val="none"/>
        </w:rPr>
      </w:pPr>
      <w:r>
        <w:rPr>
          <w:rFonts w:hint="eastAsia" w:ascii="宋体" w:hAnsi="宋体" w:cs="宋体"/>
          <w:sz w:val="24"/>
          <w:highlight w:val="none"/>
        </w:rPr>
        <w:t>3.6.3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b/>
          <w:bCs/>
          <w:sz w:val="24"/>
          <w:highlight w:val="none"/>
        </w:rPr>
        <w:t>（对于多产品，除提供《关于符合本国产品标准的声明函》或财政部会同有关部门规定的有关证明文件以外，还须要供应商在投标响应文件中承诺成本之和达到80%（</w:t>
      </w:r>
      <w:r>
        <w:rPr>
          <w:rFonts w:hint="eastAsia" w:ascii="宋体" w:hAnsi="宋体" w:cs="宋体"/>
          <w:b/>
          <w:bCs/>
          <w:sz w:val="24"/>
          <w:highlight w:val="none"/>
          <w:lang w:eastAsia="zh-CN"/>
        </w:rPr>
        <w:t>提供承诺成本之和达到80%的承诺书，格式自拟</w:t>
      </w:r>
      <w:r>
        <w:rPr>
          <w:rFonts w:hint="eastAsia" w:ascii="宋体" w:hAnsi="宋体" w:cs="宋体"/>
          <w:b/>
          <w:bCs/>
          <w:sz w:val="24"/>
          <w:highlight w:val="none"/>
        </w:rPr>
        <w:t>）</w:t>
      </w:r>
      <w:r>
        <w:rPr>
          <w:rFonts w:hint="eastAsia" w:ascii="宋体" w:hAnsi="宋体" w:cs="宋体"/>
          <w:sz w:val="24"/>
          <w:highlight w:val="none"/>
        </w:rPr>
        <w:t>。无承诺或者承诺占比无法达标则不享受政策。）</w:t>
      </w:r>
    </w:p>
    <w:p w14:paraId="2324C94E">
      <w:pPr>
        <w:spacing w:line="360" w:lineRule="auto"/>
        <w:ind w:firstLine="480" w:firstLineChars="200"/>
        <w:rPr>
          <w:rFonts w:ascii="宋体" w:hAnsi="宋体" w:cs="宋体"/>
          <w:sz w:val="24"/>
          <w:highlight w:val="none"/>
        </w:rPr>
      </w:pPr>
      <w:r>
        <w:rPr>
          <w:rFonts w:hint="eastAsia" w:ascii="宋体" w:hAnsi="宋体" w:cs="宋体"/>
          <w:sz w:val="24"/>
          <w:highlight w:val="none"/>
        </w:rPr>
        <w:t>说明：本国产品除了享受20%的价格扣除外，还可以叠加小微企业的价格扣除优惠。即商品报价*（小微企业扣除率+本国产品扣除率）</w:t>
      </w:r>
    </w:p>
    <w:p w14:paraId="3A4B7E50">
      <w:pPr>
        <w:pStyle w:val="4"/>
        <w:rPr>
          <w:rFonts w:cs="宋体"/>
          <w:highlight w:val="none"/>
        </w:rPr>
      </w:pPr>
      <w:r>
        <w:rPr>
          <w:rFonts w:hint="eastAsia" w:cs="宋体"/>
          <w:highlight w:val="none"/>
        </w:rPr>
        <w:t>4.询问、质疑、投诉</w:t>
      </w:r>
    </w:p>
    <w:p w14:paraId="05ADA00F">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4.1</w:t>
      </w:r>
      <w:r>
        <w:rPr>
          <w:rFonts w:hint="eastAsia" w:ascii="宋体" w:hAnsi="宋体" w:cs="宋体"/>
          <w:sz w:val="24"/>
          <w:highlight w:val="none"/>
        </w:rPr>
        <w:t xml:space="preserve"> </w:t>
      </w:r>
      <w:r>
        <w:rPr>
          <w:rFonts w:hint="eastAsia" w:ascii="宋体" w:hAnsi="宋体" w:cs="宋体"/>
          <w:sz w:val="24"/>
          <w:highlight w:val="none"/>
          <w:lang w:val="zh-CN"/>
        </w:rPr>
        <w:t>在线询问、质疑、投诉</w:t>
      </w:r>
    </w:p>
    <w:p w14:paraId="4C72FAD4">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FC3C652">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4.2</w:t>
      </w:r>
      <w:r>
        <w:rPr>
          <w:rFonts w:hint="eastAsia" w:ascii="宋体" w:hAnsi="宋体" w:cs="宋体"/>
          <w:sz w:val="24"/>
          <w:highlight w:val="none"/>
        </w:rPr>
        <w:t xml:space="preserve"> </w:t>
      </w:r>
      <w:r>
        <w:rPr>
          <w:rFonts w:hint="eastAsia" w:ascii="宋体" w:hAnsi="宋体" w:cs="宋体"/>
          <w:sz w:val="24"/>
          <w:highlight w:val="none"/>
          <w:lang w:val="zh-CN"/>
        </w:rPr>
        <w:t>供应商询问</w:t>
      </w:r>
    </w:p>
    <w:p w14:paraId="25E165E1">
      <w:pPr>
        <w:spacing w:line="360" w:lineRule="auto"/>
        <w:ind w:firstLine="480" w:firstLineChars="200"/>
        <w:rPr>
          <w:rFonts w:ascii="宋体" w:hAnsi="宋体" w:cs="宋体"/>
          <w:kern w:val="0"/>
          <w:sz w:val="24"/>
          <w:highlight w:val="none"/>
          <w:lang w:val="zh-CN"/>
        </w:rPr>
      </w:pPr>
      <w:r>
        <w:rPr>
          <w:rFonts w:hint="eastAsia" w:ascii="宋体" w:hAnsi="宋体" w:cs="宋体"/>
          <w:sz w:val="24"/>
          <w:highlight w:val="none"/>
          <w:lang w:val="zh-CN"/>
        </w:rPr>
        <w:t>供应商对政府采购活动事项有疑问的，可以提出询问，采购人或者采购代理机构应当在3个工作日内对供应商依法提出的询问作出答复，但答复的内容不得</w:t>
      </w:r>
      <w:r>
        <w:rPr>
          <w:rFonts w:hint="eastAsia" w:ascii="宋体" w:hAnsi="宋体" w:cs="宋体"/>
          <w:kern w:val="0"/>
          <w:sz w:val="24"/>
          <w:highlight w:val="none"/>
          <w:lang w:val="zh-CN"/>
        </w:rPr>
        <w:t>涉及商业秘密。供应商提出的询问超出采购人对采购代理机构委托授权范围的，采购代理机构应当告知供应商向采购人提出。</w:t>
      </w:r>
    </w:p>
    <w:p w14:paraId="39E003DA">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4.3</w:t>
      </w:r>
      <w:r>
        <w:rPr>
          <w:rFonts w:hint="eastAsia" w:ascii="宋体" w:hAnsi="宋体" w:cs="宋体"/>
          <w:kern w:val="0"/>
          <w:sz w:val="24"/>
          <w:highlight w:val="none"/>
        </w:rPr>
        <w:t xml:space="preserve"> </w:t>
      </w:r>
      <w:r>
        <w:rPr>
          <w:rFonts w:hint="eastAsia" w:ascii="宋体" w:hAnsi="宋体" w:cs="宋体"/>
          <w:kern w:val="0"/>
          <w:sz w:val="24"/>
          <w:highlight w:val="none"/>
          <w:lang w:val="zh-CN"/>
        </w:rPr>
        <w:t>供应商质疑</w:t>
      </w:r>
    </w:p>
    <w:p w14:paraId="49D764DF">
      <w:pPr>
        <w:pStyle w:val="34"/>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 提出质疑的供应商应当是参与所质疑项目采购活动的供应商。潜在供应商已依法获取其可质疑的招标文件的，可以对该文件提出质疑。</w:t>
      </w:r>
    </w:p>
    <w:p w14:paraId="326DA38F">
      <w:pPr>
        <w:pStyle w:val="34"/>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 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A332161">
      <w:pPr>
        <w:pStyle w:val="1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 对招标文件提出质疑的，质疑期限为供应商获得招标文件之日或者招标文件公告期限届满之日起计算。</w:t>
      </w:r>
    </w:p>
    <w:p w14:paraId="62805BF3">
      <w:pPr>
        <w:pStyle w:val="34"/>
        <w:spacing w:line="360" w:lineRule="auto"/>
        <w:ind w:left="479" w:leftChars="228"/>
        <w:rPr>
          <w:rFonts w:hAnsi="宋体" w:cs="宋体"/>
          <w:sz w:val="24"/>
          <w:highlight w:val="none"/>
        </w:rPr>
      </w:pPr>
      <w:r>
        <w:rPr>
          <w:rFonts w:hint="eastAsia" w:hAnsi="宋体" w:cs="宋体"/>
          <w:sz w:val="24"/>
          <w:highlight w:val="none"/>
        </w:rPr>
        <w:t>4.3.2.2 对采购过程提出质疑的，质疑期限为各采购程序环节结束之日起计算。4.3.2.3对采购结果提出质疑的，质疑期限自采购结果公告期限届满之日起计算。</w:t>
      </w:r>
    </w:p>
    <w:p w14:paraId="694D943F">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kern w:val="0"/>
          <w:sz w:val="24"/>
          <w:highlight w:val="none"/>
        </w:rPr>
        <w:t xml:space="preserve"> </w:t>
      </w:r>
      <w:r>
        <w:rPr>
          <w:rFonts w:hint="eastAsia" w:hAnsi="宋体" w:cs="宋体"/>
          <w:sz w:val="24"/>
          <w:highlight w:val="none"/>
        </w:rPr>
        <w:t>供应商提出质疑应当提交质疑函和必要的证明材料。质疑函应当包括下列内容：</w:t>
      </w:r>
    </w:p>
    <w:p w14:paraId="12FB58E3">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4.3.3.1</w:t>
      </w:r>
      <w:r>
        <w:rPr>
          <w:rFonts w:hint="eastAsia" w:hAnsi="宋体" w:cs="宋体"/>
          <w:kern w:val="0"/>
          <w:sz w:val="24"/>
          <w:highlight w:val="none"/>
        </w:rPr>
        <w:t xml:space="preserve"> </w:t>
      </w:r>
      <w:r>
        <w:rPr>
          <w:rFonts w:hint="eastAsia" w:hAnsi="宋体" w:cs="宋体"/>
          <w:kern w:val="0"/>
          <w:sz w:val="24"/>
          <w:highlight w:val="none"/>
          <w:lang w:val="zh-CN"/>
        </w:rPr>
        <w:t>供应商的姓名或者名称、地址、邮编、联系人及联系电话；</w:t>
      </w:r>
    </w:p>
    <w:p w14:paraId="0F26DFEE">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4.3.3.2</w:t>
      </w:r>
      <w:r>
        <w:rPr>
          <w:rFonts w:hint="eastAsia" w:hAnsi="宋体" w:cs="宋体"/>
          <w:kern w:val="0"/>
          <w:sz w:val="24"/>
          <w:highlight w:val="none"/>
        </w:rPr>
        <w:t xml:space="preserve"> </w:t>
      </w:r>
      <w:r>
        <w:rPr>
          <w:rFonts w:hint="eastAsia" w:hAnsi="宋体" w:cs="宋体"/>
          <w:kern w:val="0"/>
          <w:sz w:val="24"/>
          <w:highlight w:val="none"/>
          <w:lang w:val="zh-CN"/>
        </w:rPr>
        <w:t>质疑项目的名称、编号；</w:t>
      </w:r>
    </w:p>
    <w:p w14:paraId="6931FA4F">
      <w:pPr>
        <w:pStyle w:val="34"/>
        <w:spacing w:line="360" w:lineRule="auto"/>
        <w:ind w:firstLine="480" w:firstLineChars="200"/>
        <w:rPr>
          <w:rFonts w:hAnsi="宋体" w:cs="宋体"/>
          <w:sz w:val="24"/>
          <w:highlight w:val="none"/>
          <w:lang w:val="zh-CN"/>
        </w:rPr>
      </w:pPr>
      <w:r>
        <w:rPr>
          <w:rFonts w:hint="eastAsia" w:hAnsi="宋体" w:cs="宋体"/>
          <w:kern w:val="0"/>
          <w:sz w:val="24"/>
          <w:highlight w:val="none"/>
          <w:lang w:val="zh-CN"/>
        </w:rPr>
        <w:t>4.3.3.3</w:t>
      </w:r>
      <w:r>
        <w:rPr>
          <w:rFonts w:hint="eastAsia" w:hAnsi="宋体" w:cs="宋体"/>
          <w:kern w:val="0"/>
          <w:sz w:val="24"/>
          <w:highlight w:val="none"/>
        </w:rPr>
        <w:t xml:space="preserve"> </w:t>
      </w:r>
      <w:r>
        <w:rPr>
          <w:rFonts w:hint="eastAsia" w:hAnsi="宋体" w:cs="宋体"/>
          <w:kern w:val="0"/>
          <w:sz w:val="24"/>
          <w:highlight w:val="none"/>
          <w:lang w:val="zh-CN"/>
        </w:rPr>
        <w:t>具体、明确的质疑事项</w:t>
      </w:r>
      <w:r>
        <w:rPr>
          <w:rFonts w:hint="eastAsia" w:hAnsi="宋体" w:cs="宋体"/>
          <w:sz w:val="24"/>
          <w:highlight w:val="none"/>
          <w:lang w:val="zh-CN"/>
        </w:rPr>
        <w:t>和与质疑事项相关的请求；</w:t>
      </w:r>
    </w:p>
    <w:p w14:paraId="2B443E9E">
      <w:pPr>
        <w:pStyle w:val="34"/>
        <w:spacing w:line="360" w:lineRule="auto"/>
        <w:ind w:firstLine="480" w:firstLineChars="200"/>
        <w:rPr>
          <w:rFonts w:hAnsi="宋体" w:cs="宋体"/>
          <w:sz w:val="24"/>
          <w:highlight w:val="none"/>
          <w:lang w:val="zh-CN"/>
        </w:rPr>
      </w:pPr>
      <w:r>
        <w:rPr>
          <w:rFonts w:hint="eastAsia" w:hAnsi="宋体" w:cs="宋体"/>
          <w:sz w:val="24"/>
          <w:highlight w:val="none"/>
          <w:lang w:val="zh-CN"/>
        </w:rPr>
        <w:t>4.3.3.4</w:t>
      </w:r>
      <w:r>
        <w:rPr>
          <w:rFonts w:hint="eastAsia" w:hAnsi="宋体" w:cs="宋体"/>
          <w:sz w:val="24"/>
          <w:highlight w:val="none"/>
        </w:rPr>
        <w:t xml:space="preserve"> </w:t>
      </w:r>
      <w:r>
        <w:rPr>
          <w:rFonts w:hint="eastAsia" w:hAnsi="宋体" w:cs="宋体"/>
          <w:sz w:val="24"/>
          <w:highlight w:val="none"/>
          <w:lang w:val="zh-CN"/>
        </w:rPr>
        <w:t>事实依据；</w:t>
      </w:r>
    </w:p>
    <w:p w14:paraId="6FE7FCEA">
      <w:pPr>
        <w:pStyle w:val="34"/>
        <w:spacing w:line="360" w:lineRule="auto"/>
        <w:ind w:firstLine="480" w:firstLineChars="200"/>
        <w:rPr>
          <w:rFonts w:hAnsi="宋体" w:cs="宋体"/>
          <w:sz w:val="24"/>
          <w:highlight w:val="none"/>
          <w:lang w:val="zh-CN"/>
        </w:rPr>
      </w:pPr>
      <w:r>
        <w:rPr>
          <w:rFonts w:hint="eastAsia" w:hAnsi="宋体" w:cs="宋体"/>
          <w:sz w:val="24"/>
          <w:highlight w:val="none"/>
          <w:lang w:val="zh-CN"/>
        </w:rPr>
        <w:t>4.3.3.5</w:t>
      </w:r>
      <w:r>
        <w:rPr>
          <w:rFonts w:hint="eastAsia" w:hAnsi="宋体" w:cs="宋体"/>
          <w:sz w:val="24"/>
          <w:highlight w:val="none"/>
        </w:rPr>
        <w:t xml:space="preserve"> </w:t>
      </w:r>
      <w:r>
        <w:rPr>
          <w:rFonts w:hint="eastAsia" w:hAnsi="宋体" w:cs="宋体"/>
          <w:sz w:val="24"/>
          <w:highlight w:val="none"/>
          <w:lang w:val="zh-CN"/>
        </w:rPr>
        <w:t>必要的法律依据；</w:t>
      </w:r>
    </w:p>
    <w:p w14:paraId="10605861">
      <w:pPr>
        <w:pStyle w:val="34"/>
        <w:spacing w:line="360" w:lineRule="auto"/>
        <w:ind w:firstLine="480" w:firstLineChars="200"/>
        <w:rPr>
          <w:rFonts w:hAnsi="宋体" w:cs="宋体"/>
          <w:sz w:val="24"/>
          <w:highlight w:val="none"/>
          <w:lang w:val="zh-CN"/>
        </w:rPr>
      </w:pPr>
      <w:r>
        <w:rPr>
          <w:rFonts w:hint="eastAsia" w:hAnsi="宋体" w:cs="宋体"/>
          <w:sz w:val="24"/>
          <w:highlight w:val="none"/>
          <w:lang w:val="zh-CN"/>
        </w:rPr>
        <w:t>4.3.3.6</w:t>
      </w:r>
      <w:r>
        <w:rPr>
          <w:rFonts w:hint="eastAsia" w:hAnsi="宋体" w:cs="宋体"/>
          <w:sz w:val="24"/>
          <w:highlight w:val="none"/>
        </w:rPr>
        <w:t xml:space="preserve"> </w:t>
      </w:r>
      <w:r>
        <w:rPr>
          <w:rFonts w:hint="eastAsia" w:hAnsi="宋体" w:cs="宋体"/>
          <w:sz w:val="24"/>
          <w:highlight w:val="none"/>
          <w:lang w:val="zh-CN"/>
        </w:rPr>
        <w:t>提出质疑的日期。</w:t>
      </w:r>
    </w:p>
    <w:p w14:paraId="1DAF6B66">
      <w:pPr>
        <w:pStyle w:val="34"/>
        <w:spacing w:line="360" w:lineRule="auto"/>
        <w:ind w:firstLine="482" w:firstLineChars="200"/>
        <w:rPr>
          <w:rFonts w:hAnsi="宋体" w:cs="宋体"/>
          <w:b/>
          <w:bCs/>
          <w:sz w:val="24"/>
          <w:highlight w:val="none"/>
        </w:rPr>
      </w:pPr>
      <w:r>
        <w:rPr>
          <w:rFonts w:hint="eastAsia" w:hAnsi="宋体" w:cs="宋体"/>
          <w:b/>
          <w:bCs/>
          <w:sz w:val="24"/>
          <w:highlight w:val="none"/>
        </w:rPr>
        <w:t>供应商提交的质疑函需一式三份。供应商为自然人的，应当由本人签字；供应商为法人或者其他组织的，应当由法定代表人、主要负责人，或者其授权代表签字或者盖章，并加盖公章。</w:t>
      </w:r>
    </w:p>
    <w:p w14:paraId="6DDF1D2E">
      <w:pPr>
        <w:pStyle w:val="34"/>
        <w:spacing w:line="360" w:lineRule="auto"/>
        <w:ind w:firstLine="482" w:firstLineChars="200"/>
        <w:rPr>
          <w:rFonts w:hAnsi="宋体" w:cs="宋体"/>
          <w:b/>
          <w:bCs/>
          <w:sz w:val="24"/>
          <w:highlight w:val="none"/>
        </w:rPr>
      </w:pPr>
      <w:r>
        <w:rPr>
          <w:rFonts w:hint="eastAsia" w:hAnsi="宋体" w:cs="宋体"/>
          <w:b/>
          <w:bCs/>
          <w:sz w:val="24"/>
          <w:highlight w:val="none"/>
        </w:rPr>
        <w:t>质疑函范本及制作说明详见附件2。</w:t>
      </w:r>
    </w:p>
    <w:p w14:paraId="6AAAE0F8">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4.3.4</w:t>
      </w:r>
      <w:r>
        <w:rPr>
          <w:rFonts w:hint="eastAsia" w:hAnsi="宋体" w:cs="宋体"/>
          <w:kern w:val="0"/>
          <w:sz w:val="24"/>
          <w:highlight w:val="none"/>
        </w:rPr>
        <w:t xml:space="preserve"> </w:t>
      </w:r>
      <w:r>
        <w:rPr>
          <w:rFonts w:hint="eastAsia" w:hAnsi="宋体" w:cs="宋体"/>
          <w:kern w:val="0"/>
          <w:sz w:val="24"/>
          <w:highlight w:val="none"/>
          <w:lang w:val="zh-CN"/>
        </w:rPr>
        <w:t>对同一采购程序环节的质疑，供应商须在法定质疑期内一次性提出。</w:t>
      </w:r>
    </w:p>
    <w:p w14:paraId="3D8FEE1D">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4.3.5</w:t>
      </w:r>
      <w:r>
        <w:rPr>
          <w:rFonts w:hint="eastAsia" w:hAnsi="宋体" w:cs="宋体"/>
          <w:kern w:val="0"/>
          <w:sz w:val="24"/>
          <w:highlight w:val="none"/>
        </w:rPr>
        <w:t xml:space="preserve"> </w:t>
      </w:r>
      <w:r>
        <w:rPr>
          <w:rFonts w:hint="eastAsia" w:hAnsi="宋体" w:cs="宋体"/>
          <w:kern w:val="0"/>
          <w:sz w:val="24"/>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14:paraId="0DB32B59">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4.3.6</w:t>
      </w:r>
      <w:r>
        <w:rPr>
          <w:rFonts w:hint="eastAsia" w:hAnsi="宋体" w:cs="宋体"/>
          <w:kern w:val="0"/>
          <w:sz w:val="24"/>
          <w:highlight w:val="none"/>
        </w:rPr>
        <w:t xml:space="preserve"> </w:t>
      </w:r>
      <w:r>
        <w:rPr>
          <w:rFonts w:hint="eastAsia" w:hAnsi="宋体" w:cs="宋体"/>
          <w:kern w:val="0"/>
          <w:sz w:val="24"/>
          <w:highlight w:val="none"/>
          <w:lang w:val="zh-CN"/>
        </w:rPr>
        <w:t>询问或者质疑事项可能影响采购结果的，采购人应当暂停签订合同，已经签订合同的，应当中止履行合同。</w:t>
      </w:r>
    </w:p>
    <w:p w14:paraId="52A3D6AF">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4.4</w:t>
      </w:r>
      <w:r>
        <w:rPr>
          <w:rFonts w:hint="eastAsia" w:hAnsi="宋体" w:cs="宋体"/>
          <w:kern w:val="0"/>
          <w:sz w:val="24"/>
          <w:highlight w:val="none"/>
        </w:rPr>
        <w:t xml:space="preserve"> </w:t>
      </w:r>
      <w:r>
        <w:rPr>
          <w:rFonts w:hint="eastAsia" w:hAnsi="宋体" w:cs="宋体"/>
          <w:kern w:val="0"/>
          <w:sz w:val="24"/>
          <w:highlight w:val="none"/>
          <w:lang w:val="zh-CN"/>
        </w:rPr>
        <w:t>供应商投诉</w:t>
      </w:r>
    </w:p>
    <w:p w14:paraId="07527430">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4.4.1</w:t>
      </w:r>
      <w:r>
        <w:rPr>
          <w:rFonts w:hint="eastAsia" w:hAnsi="宋体" w:cs="宋体"/>
          <w:kern w:val="0"/>
          <w:sz w:val="24"/>
          <w:highlight w:val="none"/>
        </w:rPr>
        <w:t xml:space="preserve"> </w:t>
      </w:r>
      <w:r>
        <w:rPr>
          <w:rFonts w:hint="eastAsia" w:hAnsi="宋体" w:cs="宋体"/>
          <w:kern w:val="0"/>
          <w:sz w:val="24"/>
          <w:highlight w:val="none"/>
          <w:lang w:val="zh-CN"/>
        </w:rPr>
        <w:t>质疑供应商对采购人、采购代理机构的答复不满意或者采购人、采购代理机构未在规定的时间内作出答复的，可以在答复期满后十五个工作日内向同级政府采购监督管理部门提出投诉。</w:t>
      </w:r>
    </w:p>
    <w:p w14:paraId="6D650232">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4.4.2</w:t>
      </w:r>
      <w:r>
        <w:rPr>
          <w:rFonts w:hint="eastAsia" w:hAnsi="宋体" w:cs="宋体"/>
          <w:kern w:val="0"/>
          <w:sz w:val="24"/>
          <w:highlight w:val="none"/>
        </w:rPr>
        <w:t xml:space="preserve"> </w:t>
      </w:r>
      <w:r>
        <w:rPr>
          <w:rFonts w:hint="eastAsia" w:hAnsi="宋体" w:cs="宋体"/>
          <w:kern w:val="0"/>
          <w:sz w:val="24"/>
          <w:highlight w:val="none"/>
          <w:lang w:val="zh-CN"/>
        </w:rPr>
        <w:t>供应商投诉的事项不得超出已质疑事项的范围，基于质疑答复内容提出的投诉事项除外。</w:t>
      </w:r>
    </w:p>
    <w:p w14:paraId="06FFBDA4">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4.4.3</w:t>
      </w:r>
      <w:r>
        <w:rPr>
          <w:rFonts w:hint="eastAsia" w:hAnsi="宋体" w:cs="宋体"/>
          <w:kern w:val="0"/>
          <w:sz w:val="24"/>
          <w:highlight w:val="none"/>
        </w:rPr>
        <w:t xml:space="preserve"> </w:t>
      </w:r>
      <w:r>
        <w:rPr>
          <w:rFonts w:hint="eastAsia" w:hAnsi="宋体" w:cs="宋体"/>
          <w:kern w:val="0"/>
          <w:sz w:val="24"/>
          <w:highlight w:val="none"/>
          <w:lang w:val="zh-CN"/>
        </w:rPr>
        <w:t>供应商投诉应当有明确的请求和必要的证明材料。</w:t>
      </w:r>
    </w:p>
    <w:p w14:paraId="6477B043">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4.4.4 以联合体形式参加政府采购活动的，其投诉应当由组成联合体的所有供应商共同提出。</w:t>
      </w:r>
    </w:p>
    <w:p w14:paraId="55497B41">
      <w:pPr>
        <w:pStyle w:val="34"/>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投诉书范本及制作说明详见附件3。</w:t>
      </w:r>
    </w:p>
    <w:p w14:paraId="01C0CFBD">
      <w:pPr>
        <w:rPr>
          <w:rFonts w:ascii="宋体" w:hAnsi="宋体" w:cs="宋体"/>
          <w:highlight w:val="none"/>
        </w:rPr>
      </w:pPr>
    </w:p>
    <w:p w14:paraId="059A2D54">
      <w:pPr>
        <w:pStyle w:val="3"/>
        <w:jc w:val="center"/>
        <w:rPr>
          <w:rFonts w:cs="宋体"/>
          <w:highlight w:val="none"/>
        </w:rPr>
      </w:pPr>
      <w:bookmarkStart w:id="17" w:name="_Toc32424"/>
      <w:r>
        <w:rPr>
          <w:rFonts w:hint="eastAsia" w:cs="宋体"/>
          <w:highlight w:val="none"/>
        </w:rPr>
        <w:t>二、招标文件的构成、澄清、修改</w:t>
      </w:r>
      <w:bookmarkEnd w:id="17"/>
    </w:p>
    <w:p w14:paraId="0F9E445E">
      <w:pPr>
        <w:pStyle w:val="4"/>
        <w:rPr>
          <w:rFonts w:cs="宋体"/>
          <w:highlight w:val="none"/>
        </w:rPr>
      </w:pPr>
      <w:r>
        <w:rPr>
          <w:rFonts w:hint="eastAsia" w:cs="宋体"/>
          <w:highlight w:val="none"/>
        </w:rPr>
        <w:t>5.招标文件的构成</w:t>
      </w:r>
    </w:p>
    <w:p w14:paraId="64EEE3E3">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7A182A13">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 招标公告；</w:t>
      </w:r>
    </w:p>
    <w:p w14:paraId="0F086B6A">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 投标人须知；</w:t>
      </w:r>
    </w:p>
    <w:p w14:paraId="0C19D9DA">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 采购需求；</w:t>
      </w:r>
    </w:p>
    <w:p w14:paraId="02D129FC">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 评标办法；</w:t>
      </w:r>
    </w:p>
    <w:p w14:paraId="7566F34A">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 拟签订的合同文本；</w:t>
      </w:r>
    </w:p>
    <w:p w14:paraId="0FAE6BFB">
      <w:pPr>
        <w:pStyle w:val="34"/>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 xml:space="preserve">5.1.6 </w:t>
      </w:r>
      <w:r>
        <w:rPr>
          <w:rFonts w:hint="eastAsia" w:hAnsi="宋体" w:cs="宋体"/>
          <w:sz w:val="24"/>
          <w:szCs w:val="24"/>
          <w:highlight w:val="none"/>
        </w:rPr>
        <w:t>应提交的有关格式范例。</w:t>
      </w:r>
    </w:p>
    <w:p w14:paraId="098FBBD7">
      <w:pPr>
        <w:spacing w:line="360" w:lineRule="auto"/>
        <w:ind w:firstLine="480" w:firstLineChars="200"/>
        <w:rPr>
          <w:rFonts w:ascii="宋体" w:hAnsi="宋体" w:cs="宋体"/>
          <w:sz w:val="24"/>
          <w:highlight w:val="none"/>
        </w:rPr>
      </w:pPr>
      <w:r>
        <w:rPr>
          <w:rFonts w:hint="eastAsia" w:ascii="宋体" w:hAnsi="宋体" w:cs="宋体"/>
          <w:sz w:val="24"/>
          <w:highlight w:val="none"/>
        </w:rPr>
        <w:t>5.2 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37EC3053">
      <w:pPr>
        <w:pStyle w:val="4"/>
        <w:rPr>
          <w:rFonts w:cs="宋体"/>
          <w:highlight w:val="none"/>
        </w:rPr>
      </w:pPr>
      <w:r>
        <w:rPr>
          <w:rFonts w:hint="eastAsia" w:cs="宋体"/>
          <w:highlight w:val="none"/>
        </w:rPr>
        <w:t>6.招标文件的澄清、修改</w:t>
      </w:r>
    </w:p>
    <w:p w14:paraId="3BDA5538">
      <w:pPr>
        <w:pStyle w:val="136"/>
        <w:snapToGrid w:val="0"/>
        <w:spacing w:before="0"/>
        <w:ind w:firstLine="480"/>
        <w:rPr>
          <w:rFonts w:ascii="宋体" w:hAnsi="宋体" w:cs="宋体"/>
          <w:highlight w:val="none"/>
        </w:rPr>
      </w:pPr>
      <w:r>
        <w:rPr>
          <w:rFonts w:hint="eastAsia" w:ascii="宋体" w:hAnsi="宋体" w:cs="宋体"/>
          <w:highlight w:val="none"/>
        </w:rPr>
        <w:t>6.1 已获取招标文件的潜在投标人，若有问题需要澄清，应于投标截止时间前，以书面形式向采购代理机构提出。</w:t>
      </w:r>
    </w:p>
    <w:p w14:paraId="5EB39AEA">
      <w:pPr>
        <w:pStyle w:val="136"/>
        <w:snapToGrid w:val="0"/>
        <w:spacing w:before="0"/>
        <w:ind w:firstLine="480"/>
        <w:rPr>
          <w:rFonts w:ascii="宋体" w:hAnsi="宋体" w:cs="宋体"/>
          <w:highlight w:val="none"/>
        </w:rPr>
      </w:pPr>
      <w:r>
        <w:rPr>
          <w:rFonts w:hint="eastAsia" w:ascii="宋体" w:hAnsi="宋体" w:cs="宋体"/>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7117AFE">
      <w:pPr>
        <w:rPr>
          <w:rFonts w:ascii="宋体" w:hAnsi="宋体" w:cs="宋体"/>
          <w:highlight w:val="none"/>
        </w:rPr>
      </w:pPr>
    </w:p>
    <w:p w14:paraId="1BC992C0">
      <w:pPr>
        <w:pStyle w:val="3"/>
        <w:jc w:val="center"/>
        <w:rPr>
          <w:rFonts w:cs="宋体"/>
          <w:highlight w:val="none"/>
        </w:rPr>
      </w:pPr>
      <w:bookmarkStart w:id="18" w:name="_Toc6324"/>
      <w:r>
        <w:rPr>
          <w:rFonts w:hint="eastAsia" w:cs="宋体"/>
          <w:highlight w:val="none"/>
        </w:rPr>
        <w:t>三、投标</w:t>
      </w:r>
      <w:bookmarkEnd w:id="18"/>
    </w:p>
    <w:p w14:paraId="71364039">
      <w:pPr>
        <w:pStyle w:val="4"/>
        <w:rPr>
          <w:rFonts w:cs="宋体"/>
          <w:highlight w:val="none"/>
        </w:rPr>
      </w:pPr>
      <w:r>
        <w:rPr>
          <w:rFonts w:hint="eastAsia" w:cs="宋体"/>
          <w:highlight w:val="none"/>
        </w:rPr>
        <w:t>7.招标文件的获取</w:t>
      </w:r>
    </w:p>
    <w:p w14:paraId="4FC5D310">
      <w:pPr>
        <w:spacing w:line="360" w:lineRule="auto"/>
        <w:ind w:firstLine="480" w:firstLineChars="200"/>
        <w:rPr>
          <w:rFonts w:ascii="宋体" w:hAnsi="宋体" w:cs="宋体"/>
          <w:kern w:val="28"/>
          <w:sz w:val="24"/>
          <w:highlight w:val="none"/>
        </w:rPr>
      </w:pPr>
      <w:r>
        <w:rPr>
          <w:rFonts w:hint="eastAsia" w:ascii="宋体" w:hAnsi="宋体" w:cs="宋体"/>
          <w:kern w:val="28"/>
          <w:sz w:val="24"/>
          <w:highlight w:val="none"/>
        </w:rPr>
        <w:t>详见招标公告中获取招标文件的时间期限、地点、方式及招标文件售价。</w:t>
      </w:r>
    </w:p>
    <w:p w14:paraId="4E61A888">
      <w:pPr>
        <w:pStyle w:val="4"/>
        <w:rPr>
          <w:rFonts w:cs="宋体"/>
          <w:highlight w:val="none"/>
        </w:rPr>
      </w:pPr>
      <w:r>
        <w:rPr>
          <w:rFonts w:hint="eastAsia" w:cs="宋体"/>
          <w:highlight w:val="none"/>
        </w:rPr>
        <w:t>8.开标前答疑会或现场考察</w:t>
      </w:r>
    </w:p>
    <w:p w14:paraId="5D111A15">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4200EA42">
      <w:pPr>
        <w:pStyle w:val="4"/>
        <w:rPr>
          <w:rFonts w:cs="宋体"/>
          <w:highlight w:val="none"/>
        </w:rPr>
      </w:pPr>
      <w:r>
        <w:rPr>
          <w:rFonts w:hint="eastAsia" w:cs="宋体"/>
          <w:highlight w:val="none"/>
        </w:rPr>
        <w:t>9.投标保证金</w:t>
      </w:r>
    </w:p>
    <w:p w14:paraId="6FDA366E">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A73CDD5">
      <w:pPr>
        <w:pStyle w:val="4"/>
        <w:rPr>
          <w:rFonts w:cs="宋体"/>
          <w:highlight w:val="none"/>
        </w:rPr>
      </w:pPr>
      <w:r>
        <w:rPr>
          <w:rFonts w:hint="eastAsia" w:cs="宋体"/>
          <w:highlight w:val="none"/>
        </w:rPr>
        <w:t>10.投标文件的语言</w:t>
      </w:r>
    </w:p>
    <w:p w14:paraId="3BEA14F9">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12B4CDD1">
      <w:pPr>
        <w:pStyle w:val="4"/>
        <w:rPr>
          <w:rFonts w:cs="宋体"/>
          <w:highlight w:val="none"/>
        </w:rPr>
      </w:pPr>
      <w:r>
        <w:rPr>
          <w:rFonts w:hint="eastAsia" w:cs="宋体"/>
          <w:highlight w:val="none"/>
        </w:rPr>
        <w:t>11.投标文件的组成</w:t>
      </w:r>
    </w:p>
    <w:p w14:paraId="446B1768">
      <w:pPr>
        <w:snapToGrid w:val="0"/>
        <w:spacing w:line="360" w:lineRule="auto"/>
        <w:ind w:firstLine="482" w:firstLineChars="200"/>
        <w:rPr>
          <w:rFonts w:ascii="宋体" w:hAnsi="宋体" w:cs="宋体"/>
          <w:sz w:val="24"/>
          <w:highlight w:val="none"/>
        </w:rPr>
      </w:pPr>
      <w:r>
        <w:rPr>
          <w:rFonts w:hint="eastAsia" w:ascii="宋体" w:hAnsi="宋体" w:cs="宋体"/>
          <w:b/>
          <w:bCs/>
          <w:sz w:val="24"/>
          <w:highlight w:val="none"/>
        </w:rPr>
        <w:t xml:space="preserve">11.1 </w:t>
      </w:r>
      <w:r>
        <w:rPr>
          <w:rFonts w:hint="eastAsia" w:ascii="宋体" w:hAnsi="宋体" w:cs="宋体"/>
          <w:b/>
          <w:sz w:val="24"/>
          <w:highlight w:val="none"/>
        </w:rPr>
        <w:t>资格文件</w:t>
      </w:r>
      <w:r>
        <w:rPr>
          <w:rFonts w:hint="eastAsia" w:ascii="宋体" w:hAnsi="宋体" w:cs="宋体"/>
          <w:sz w:val="24"/>
          <w:highlight w:val="none"/>
        </w:rPr>
        <w:t>：</w:t>
      </w:r>
    </w:p>
    <w:p w14:paraId="043A740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14:paraId="6142CA67">
      <w:pPr>
        <w:snapToGrid w:val="0"/>
        <w:spacing w:line="360" w:lineRule="auto"/>
        <w:ind w:firstLine="960" w:firstLineChars="400"/>
        <w:rPr>
          <w:rFonts w:ascii="宋体" w:hAnsi="宋体" w:cs="宋体"/>
          <w:sz w:val="24"/>
          <w:highlight w:val="none"/>
        </w:rPr>
      </w:pPr>
      <w:bookmarkStart w:id="19" w:name="_Hlk101259339"/>
      <w:bookmarkEnd w:id="19"/>
      <w:r>
        <w:rPr>
          <w:rFonts w:hint="eastAsia" w:ascii="宋体" w:hAnsi="宋体" w:cs="宋体"/>
          <w:sz w:val="24"/>
          <w:highlight w:val="none"/>
        </w:rPr>
        <w:t>11.1.2</w:t>
      </w:r>
      <w:r>
        <w:rPr>
          <w:rFonts w:hint="eastAsia" w:ascii="宋体" w:hAnsi="宋体" w:cs="宋体"/>
          <w:kern w:val="28"/>
          <w:sz w:val="24"/>
          <w:szCs w:val="20"/>
          <w:highlight w:val="none"/>
        </w:rPr>
        <w:t>联合协议（如果有)；</w:t>
      </w:r>
    </w:p>
    <w:p w14:paraId="6F4943A4">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11.1.3落实政府采购政策需满足的资格要求</w:t>
      </w:r>
      <w:r>
        <w:rPr>
          <w:rFonts w:hint="eastAsia" w:ascii="宋体" w:hAnsi="宋体" w:cs="宋体"/>
          <w:kern w:val="28"/>
          <w:sz w:val="24"/>
          <w:szCs w:val="20"/>
          <w:highlight w:val="none"/>
        </w:rPr>
        <w:t>（如果有)</w:t>
      </w:r>
      <w:r>
        <w:rPr>
          <w:rFonts w:hint="eastAsia" w:ascii="宋体" w:hAnsi="宋体" w:cs="宋体"/>
          <w:sz w:val="24"/>
          <w:highlight w:val="none"/>
        </w:rPr>
        <w:t>；</w:t>
      </w:r>
    </w:p>
    <w:p w14:paraId="232239E2">
      <w:pPr>
        <w:snapToGrid w:val="0"/>
        <w:spacing w:line="360" w:lineRule="auto"/>
        <w:ind w:firstLine="960" w:firstLineChars="400"/>
        <w:rPr>
          <w:rFonts w:ascii="宋体" w:hAnsi="宋体" w:cs="宋体"/>
          <w:kern w:val="28"/>
          <w:sz w:val="24"/>
          <w:szCs w:val="20"/>
          <w:highlight w:val="none"/>
        </w:rPr>
      </w:pPr>
      <w:r>
        <w:rPr>
          <w:rFonts w:hint="eastAsia" w:ascii="宋体" w:hAnsi="宋体" w:cs="宋体"/>
          <w:sz w:val="24"/>
          <w:highlight w:val="none"/>
        </w:rPr>
        <w:t>11.1.4本项目的特定资格要求</w:t>
      </w:r>
      <w:r>
        <w:rPr>
          <w:rFonts w:hint="eastAsia" w:ascii="宋体" w:hAnsi="宋体" w:cs="宋体"/>
          <w:kern w:val="28"/>
          <w:sz w:val="24"/>
          <w:szCs w:val="20"/>
          <w:highlight w:val="none"/>
        </w:rPr>
        <w:t>（如果有)；</w:t>
      </w:r>
    </w:p>
    <w:p w14:paraId="00684D99">
      <w:pPr>
        <w:snapToGrid w:val="0"/>
        <w:spacing w:line="360" w:lineRule="auto"/>
        <w:ind w:firstLine="960" w:firstLineChars="400"/>
        <w:rPr>
          <w:rFonts w:ascii="宋体" w:hAnsi="宋体" w:cs="宋体"/>
          <w:sz w:val="24"/>
          <w:highlight w:val="none"/>
        </w:rPr>
      </w:pPr>
      <w:r>
        <w:rPr>
          <w:rFonts w:hint="eastAsia" w:ascii="宋体" w:hAnsi="宋体" w:cs="宋体"/>
          <w:kern w:val="28"/>
          <w:sz w:val="24"/>
          <w:szCs w:val="20"/>
          <w:highlight w:val="none"/>
        </w:rPr>
        <w:t>11.1.5营业执照</w:t>
      </w:r>
      <w:r>
        <w:rPr>
          <w:rFonts w:hint="eastAsia" w:ascii="宋体" w:hAnsi="宋体" w:cs="宋体"/>
          <w:sz w:val="24"/>
          <w:highlight w:val="none"/>
        </w:rPr>
        <w:t>。</w:t>
      </w:r>
    </w:p>
    <w:p w14:paraId="70716E17">
      <w:pPr>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11.</w:t>
      </w:r>
      <w:r>
        <w:rPr>
          <w:rFonts w:hint="eastAsia" w:ascii="宋体" w:hAnsi="宋体" w:cs="宋体"/>
          <w:b/>
          <w:bCs/>
          <w:sz w:val="24"/>
          <w:highlight w:val="none"/>
        </w:rPr>
        <w:t>2</w:t>
      </w:r>
      <w:r>
        <w:rPr>
          <w:rFonts w:hint="eastAsia" w:ascii="宋体" w:hAnsi="宋体" w:cs="宋体"/>
          <w:b/>
          <w:bCs/>
          <w:sz w:val="24"/>
          <w:highlight w:val="none"/>
          <w:lang w:val="zh-CN"/>
        </w:rPr>
        <w:t xml:space="preserve"> </w:t>
      </w:r>
      <w:r>
        <w:rPr>
          <w:rFonts w:hint="eastAsia" w:ascii="宋体" w:hAnsi="宋体" w:cs="宋体"/>
          <w:b/>
          <w:bCs/>
          <w:sz w:val="24"/>
          <w:highlight w:val="none"/>
        </w:rPr>
        <w:t>商务技术</w:t>
      </w:r>
      <w:r>
        <w:rPr>
          <w:rFonts w:hint="eastAsia" w:ascii="宋体" w:hAnsi="宋体" w:cs="宋体"/>
          <w:b/>
          <w:bCs/>
          <w:sz w:val="24"/>
          <w:highlight w:val="none"/>
          <w:lang w:val="zh-CN"/>
        </w:rPr>
        <w:t>文件：</w:t>
      </w:r>
    </w:p>
    <w:p w14:paraId="70A1C52E">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14:paraId="2FFBA4AD">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5A0FC114">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11.2.3分包意向协议</w:t>
      </w:r>
      <w:r>
        <w:rPr>
          <w:rFonts w:hint="eastAsia" w:ascii="宋体" w:hAnsi="宋体" w:cs="宋体"/>
          <w:kern w:val="28"/>
          <w:sz w:val="24"/>
          <w:szCs w:val="20"/>
          <w:highlight w:val="none"/>
        </w:rPr>
        <w:t>（如果有)</w:t>
      </w:r>
      <w:r>
        <w:rPr>
          <w:rFonts w:hint="eastAsia" w:ascii="宋体" w:hAnsi="宋体" w:cs="宋体"/>
          <w:sz w:val="24"/>
          <w:highlight w:val="none"/>
        </w:rPr>
        <w:t>；</w:t>
      </w:r>
    </w:p>
    <w:p w14:paraId="3C18214A">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11.2.4符合性审查资料；</w:t>
      </w:r>
    </w:p>
    <w:p w14:paraId="07DD7287">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11.2.5评标标准相应的商务技术资料；</w:t>
      </w:r>
    </w:p>
    <w:p w14:paraId="5ACF78D7">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11.2.6投标标的清单；</w:t>
      </w:r>
    </w:p>
    <w:p w14:paraId="7DC19AE7">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11.2.7商务技术偏离表；</w:t>
      </w:r>
    </w:p>
    <w:p w14:paraId="2D38AB06">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sz w:val="24"/>
          <w:highlight w:val="none"/>
        </w:rPr>
        <w:t>。</w:t>
      </w:r>
    </w:p>
    <w:p w14:paraId="1C634F12">
      <w:pPr>
        <w:snapToGrid w:val="0"/>
        <w:spacing w:line="360" w:lineRule="auto"/>
        <w:ind w:firstLine="482" w:firstLineChars="200"/>
        <w:rPr>
          <w:rFonts w:ascii="宋体" w:hAnsi="宋体" w:cs="宋体"/>
          <w:sz w:val="24"/>
          <w:highlight w:val="none"/>
          <w:u w:val="single"/>
          <w:lang w:val="zh-CN"/>
        </w:rPr>
      </w:pPr>
      <w:r>
        <w:rPr>
          <w:rFonts w:hint="eastAsia" w:ascii="宋体" w:hAnsi="宋体" w:cs="宋体"/>
          <w:b/>
          <w:bCs/>
          <w:kern w:val="0"/>
          <w:sz w:val="24"/>
          <w:highlight w:val="none"/>
          <w:lang w:val="zh-CN"/>
        </w:rPr>
        <w:t>11.</w:t>
      </w:r>
      <w:r>
        <w:rPr>
          <w:rFonts w:hint="eastAsia" w:ascii="宋体" w:hAnsi="宋体" w:cs="宋体"/>
          <w:b/>
          <w:bCs/>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7F230398">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11.3.1开标一览表（报价表）；</w:t>
      </w:r>
    </w:p>
    <w:p w14:paraId="24FCFBFB">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11.3.2中小企业声明函（如果有)；</w:t>
      </w:r>
    </w:p>
    <w:p w14:paraId="21E81891">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11.3.3关于符合本国产品标准的声明函（如果有)。</w:t>
      </w:r>
    </w:p>
    <w:p w14:paraId="6DC64A52">
      <w:pPr>
        <w:spacing w:line="360" w:lineRule="auto"/>
        <w:ind w:firstLine="723" w:firstLineChars="3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14:paraId="64590080">
      <w:pPr>
        <w:spacing w:line="360" w:lineRule="auto"/>
        <w:ind w:firstLine="723" w:firstLineChars="300"/>
        <w:rPr>
          <w:rFonts w:ascii="宋体" w:hAnsi="宋体" w:cs="宋体"/>
          <w:b/>
          <w:sz w:val="24"/>
          <w:szCs w:val="21"/>
          <w:highlight w:val="none"/>
        </w:rPr>
      </w:pPr>
      <w:r>
        <w:rPr>
          <w:rFonts w:hint="eastAsia" w:ascii="宋体" w:hAnsi="宋体" w:cs="宋体"/>
          <w:b/>
          <w:sz w:val="24"/>
          <w:highlight w:val="none"/>
        </w:rPr>
        <w:t>投标人提供虚假材料投标的，投标无效。</w:t>
      </w:r>
    </w:p>
    <w:p w14:paraId="4A0E53F6">
      <w:pPr>
        <w:pStyle w:val="4"/>
        <w:rPr>
          <w:rFonts w:cs="宋体"/>
          <w:szCs w:val="24"/>
          <w:highlight w:val="none"/>
        </w:rPr>
      </w:pPr>
      <w:r>
        <w:rPr>
          <w:rFonts w:hint="eastAsia" w:cs="宋体"/>
          <w:szCs w:val="24"/>
          <w:highlight w:val="none"/>
        </w:rPr>
        <w:t>12</w:t>
      </w:r>
      <w:r>
        <w:rPr>
          <w:rFonts w:hint="eastAsia" w:cs="宋体"/>
          <w:kern w:val="0"/>
          <w:szCs w:val="24"/>
          <w:highlight w:val="none"/>
          <w:lang w:val="zh-CN"/>
        </w:rPr>
        <w:t>.</w:t>
      </w:r>
      <w:r>
        <w:rPr>
          <w:rFonts w:hint="eastAsia" w:cs="宋体"/>
          <w:szCs w:val="24"/>
          <w:highlight w:val="none"/>
        </w:rPr>
        <w:t>投标文件的编制</w:t>
      </w:r>
    </w:p>
    <w:p w14:paraId="0FA849FD">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w:t>
      </w:r>
      <w:r>
        <w:rPr>
          <w:rFonts w:hint="eastAsia" w:ascii="宋体" w:hAnsi="宋体" w:cs="宋体"/>
          <w:kern w:val="0"/>
          <w:sz w:val="24"/>
          <w:highlight w:val="none"/>
        </w:rPr>
        <w:t xml:space="preserve"> </w:t>
      </w:r>
      <w:r>
        <w:rPr>
          <w:rFonts w:hint="eastAsia" w:ascii="宋体" w:hAnsi="宋体" w:cs="宋体"/>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B554DC5">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w:t>
      </w:r>
      <w:r>
        <w:rPr>
          <w:rFonts w:hint="eastAsia" w:ascii="宋体" w:hAnsi="宋体" w:cs="宋体"/>
          <w:kern w:val="0"/>
          <w:sz w:val="24"/>
          <w:highlight w:val="none"/>
        </w:rPr>
        <w:t xml:space="preserve"> </w:t>
      </w:r>
      <w:r>
        <w:rPr>
          <w:rFonts w:hint="eastAsia" w:ascii="宋体" w:hAnsi="宋体" w:cs="宋体"/>
          <w:kern w:val="0"/>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47B9743E">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w:t>
      </w:r>
      <w:r>
        <w:rPr>
          <w:rFonts w:hint="eastAsia" w:ascii="宋体" w:hAnsi="宋体" w:cs="宋体"/>
          <w:kern w:val="0"/>
          <w:sz w:val="24"/>
          <w:highlight w:val="none"/>
        </w:rPr>
        <w:t xml:space="preserve"> </w:t>
      </w:r>
      <w:r>
        <w:rPr>
          <w:rFonts w:hint="eastAsia" w:ascii="宋体" w:hAnsi="宋体" w:cs="宋体"/>
          <w:kern w:val="0"/>
          <w:sz w:val="24"/>
          <w:highlight w:val="none"/>
          <w:lang w:val="zh-CN"/>
        </w:rPr>
        <w:t>使用“政采云电子交易客户端”需要提前申领CA数字证书，申领流程请自行前往“浙江政府采购网-下载专区-电子交易客户端-CA驱动和申领流程”进行查阅。</w:t>
      </w:r>
    </w:p>
    <w:p w14:paraId="3230B4FE">
      <w:pPr>
        <w:pStyle w:val="4"/>
        <w:rPr>
          <w:rFonts w:cs="宋体"/>
          <w:highlight w:val="none"/>
        </w:rPr>
      </w:pPr>
      <w:r>
        <w:rPr>
          <w:rFonts w:hint="eastAsia" w:cs="宋体"/>
          <w:highlight w:val="none"/>
        </w:rPr>
        <w:t>13.投标文件的签署、盖章</w:t>
      </w:r>
    </w:p>
    <w:p w14:paraId="4B03DC0F">
      <w:pPr>
        <w:pStyle w:val="136"/>
        <w:snapToGrid w:val="0"/>
        <w:spacing w:before="0"/>
        <w:ind w:firstLine="480"/>
        <w:rPr>
          <w:rFonts w:ascii="宋体" w:hAnsi="宋体" w:cs="宋体"/>
          <w:b/>
          <w:highlight w:val="none"/>
        </w:rPr>
      </w:pPr>
      <w:r>
        <w:rPr>
          <w:rFonts w:hint="eastAsia" w:ascii="宋体" w:hAnsi="宋体" w:cs="宋体"/>
          <w:szCs w:val="24"/>
          <w:highlight w:val="none"/>
        </w:rPr>
        <w:t>13.1 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5FBDFB3A">
      <w:pPr>
        <w:pStyle w:val="136"/>
        <w:snapToGrid w:val="0"/>
        <w:spacing w:before="0"/>
        <w:ind w:firstLine="480"/>
        <w:rPr>
          <w:rFonts w:ascii="宋体" w:hAnsi="宋体" w:cs="宋体"/>
          <w:highlight w:val="none"/>
        </w:rPr>
      </w:pPr>
      <w:r>
        <w:rPr>
          <w:rFonts w:hint="eastAsia" w:ascii="宋体" w:hAnsi="宋体" w:cs="宋体"/>
          <w:highlight w:val="none"/>
        </w:rPr>
        <w:t>13.2 为确保网上操作合法、有效和安全，投标人应当在投标截止时间前完成在“政府采购云平台”的身份认证，确保在电子投标过程中能够对相关数据电文进行加密和使用电子签名。</w:t>
      </w:r>
    </w:p>
    <w:p w14:paraId="347B7D50">
      <w:pPr>
        <w:pStyle w:val="136"/>
        <w:snapToGrid w:val="0"/>
        <w:spacing w:before="0"/>
        <w:ind w:firstLine="480"/>
        <w:rPr>
          <w:rFonts w:ascii="宋体" w:hAnsi="宋体" w:cs="宋体"/>
          <w:szCs w:val="24"/>
          <w:highlight w:val="none"/>
        </w:rPr>
      </w:pPr>
      <w:r>
        <w:rPr>
          <w:rFonts w:hint="eastAsia" w:ascii="宋体" w:hAnsi="宋体" w:cs="宋体"/>
          <w:highlight w:val="none"/>
        </w:rPr>
        <w:t>13.3 招标文件对投标文件签署、盖章的要求适用于电子签名。</w:t>
      </w:r>
    </w:p>
    <w:p w14:paraId="485AFFC7">
      <w:pPr>
        <w:pStyle w:val="4"/>
        <w:rPr>
          <w:rFonts w:cs="宋体"/>
          <w:highlight w:val="none"/>
        </w:rPr>
      </w:pPr>
      <w:r>
        <w:rPr>
          <w:rFonts w:hint="eastAsia" w:cs="宋体"/>
          <w:highlight w:val="none"/>
        </w:rPr>
        <w:t>14.投标文件的提交、补充、修改、撤回</w:t>
      </w:r>
    </w:p>
    <w:p w14:paraId="4488D0B9">
      <w:pPr>
        <w:pStyle w:val="136"/>
        <w:snapToGrid w:val="0"/>
        <w:spacing w:before="0"/>
        <w:ind w:firstLine="480"/>
        <w:rPr>
          <w:rFonts w:ascii="宋体" w:hAnsi="宋体" w:cs="宋体"/>
          <w:highlight w:val="none"/>
        </w:rPr>
      </w:pPr>
      <w:r>
        <w:rPr>
          <w:rFonts w:hint="eastAsia" w:ascii="宋体" w:hAnsi="宋体" w:cs="宋体"/>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21A6A23">
      <w:pPr>
        <w:pStyle w:val="136"/>
        <w:snapToGrid w:val="0"/>
        <w:spacing w:before="0"/>
        <w:ind w:firstLine="480"/>
        <w:rPr>
          <w:rFonts w:ascii="宋体" w:hAnsi="宋体" w:cs="宋体"/>
          <w:highlight w:val="none"/>
        </w:rPr>
      </w:pPr>
      <w:r>
        <w:rPr>
          <w:rFonts w:hint="eastAsia" w:ascii="宋体" w:hAnsi="宋体" w:cs="宋体"/>
          <w:highlight w:val="none"/>
        </w:rPr>
        <w:t>14.2 电子交易平台收到投标文件，将妥善保存并即时向供应商发出确认回执通知。在投标截止时间前，除供应商补充、修改或者撤回投标文件外，任何单位和个人不得解密或提取投标文件。</w:t>
      </w:r>
    </w:p>
    <w:p w14:paraId="4C444E32">
      <w:pPr>
        <w:pStyle w:val="136"/>
        <w:snapToGrid w:val="0"/>
        <w:spacing w:before="0"/>
        <w:ind w:firstLine="480"/>
        <w:rPr>
          <w:rFonts w:ascii="宋体" w:hAnsi="宋体" w:cs="宋体"/>
          <w:highlight w:val="none"/>
        </w:rPr>
      </w:pPr>
      <w:r>
        <w:rPr>
          <w:rFonts w:hint="eastAsia" w:ascii="宋体" w:hAnsi="宋体" w:cs="宋体"/>
          <w:highlight w:val="none"/>
        </w:rPr>
        <w:t>14.3 采购人、采购代理机构可以视情况延长投标文件提交的截止时间。在上述情况下，采购代理机构与投标人以前在投标截止期方面的全部权利、责任和义务，将适用于延长至新的投标截止期。</w:t>
      </w:r>
    </w:p>
    <w:p w14:paraId="789CEF7F">
      <w:pPr>
        <w:pStyle w:val="4"/>
        <w:rPr>
          <w:rFonts w:cs="宋体"/>
          <w:highlight w:val="none"/>
        </w:rPr>
      </w:pPr>
      <w:r>
        <w:rPr>
          <w:rFonts w:hint="eastAsia" w:cs="宋体"/>
          <w:highlight w:val="none"/>
        </w:rPr>
        <w:t>15.备份投标文件</w:t>
      </w:r>
    </w:p>
    <w:p w14:paraId="717D30D3">
      <w:pPr>
        <w:pStyle w:val="136"/>
        <w:snapToGrid w:val="0"/>
        <w:spacing w:before="0"/>
        <w:ind w:firstLine="480"/>
        <w:rPr>
          <w:rFonts w:ascii="宋体" w:hAnsi="宋体" w:cs="宋体"/>
          <w:b/>
          <w:bCs/>
          <w:highlight w:val="none"/>
        </w:rPr>
      </w:pPr>
      <w:r>
        <w:rPr>
          <w:rFonts w:hint="eastAsia" w:ascii="宋体" w:hAnsi="宋体" w:cs="宋体"/>
          <w:highlight w:val="none"/>
        </w:rPr>
        <w:t>15.1 投标人在电子交易平台传输递交投标文件后，还可以在投标截止时间前直接提交或者以邮政快递方式递交备份投标文件1份，</w:t>
      </w:r>
      <w:r>
        <w:rPr>
          <w:rFonts w:hint="eastAsia" w:ascii="宋体" w:hAnsi="宋体" w:cs="宋体"/>
          <w:b/>
          <w:bCs/>
          <w:highlight w:val="none"/>
        </w:rPr>
        <w:t>但采购人、采购代理机构不强制或变相强制投标人提交备份投标文件。</w:t>
      </w:r>
    </w:p>
    <w:p w14:paraId="10F346D3">
      <w:pPr>
        <w:pStyle w:val="136"/>
        <w:snapToGrid w:val="0"/>
        <w:spacing w:before="0"/>
        <w:ind w:firstLine="480"/>
        <w:rPr>
          <w:rFonts w:ascii="宋体" w:hAnsi="宋体" w:cs="宋体"/>
          <w:b/>
          <w:szCs w:val="24"/>
          <w:highlight w:val="none"/>
        </w:rPr>
      </w:pPr>
      <w:r>
        <w:rPr>
          <w:rFonts w:hint="eastAsia" w:ascii="宋体" w:hAnsi="宋体" w:cs="宋体"/>
          <w:szCs w:val="24"/>
          <w:highlight w:val="none"/>
        </w:rPr>
        <w:t>15.2 备份投标文件须在“政采云投标客户端”制作生成，并储存在</w:t>
      </w:r>
      <w:r>
        <w:rPr>
          <w:rFonts w:hint="eastAsia" w:ascii="宋体" w:hAnsi="宋体" w:cs="宋体"/>
          <w:highlight w:val="none"/>
        </w:rPr>
        <w:t>DVD光盘等存储介质</w:t>
      </w:r>
      <w:r>
        <w:rPr>
          <w:rFonts w:hint="eastAsia" w:ascii="宋体" w:hAnsi="宋体" w:cs="宋体"/>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cs="宋体"/>
          <w:b/>
          <w:highlight w:val="none"/>
        </w:rPr>
        <w:t>不符合上述制作、</w:t>
      </w:r>
      <w:r>
        <w:rPr>
          <w:rFonts w:hint="eastAsia" w:ascii="宋体" w:hAnsi="宋体" w:cs="宋体"/>
          <w:b/>
          <w:szCs w:val="24"/>
          <w:highlight w:val="none"/>
        </w:rPr>
        <w:t>存储、密封规定的备份投标文件将被视为无效或者被拒绝接收。</w:t>
      </w:r>
    </w:p>
    <w:p w14:paraId="2963DFA6">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15.3 直接提交备份投标文件的，投标人应于投标截止时间前在招标公告中载明的开标地点将备份投标文件提交给采购代理机构，采购代理机构将拒绝接受逾期送达的备份投标文件。</w:t>
      </w:r>
    </w:p>
    <w:p w14:paraId="3AB3F1AF">
      <w:pPr>
        <w:pStyle w:val="34"/>
        <w:spacing w:line="360" w:lineRule="auto"/>
        <w:ind w:firstLine="480" w:firstLineChars="200"/>
        <w:rPr>
          <w:rFonts w:hAnsi="宋体" w:cs="宋体"/>
          <w:sz w:val="24"/>
          <w:szCs w:val="24"/>
          <w:highlight w:val="none"/>
        </w:rPr>
      </w:pPr>
      <w:r>
        <w:rPr>
          <w:rFonts w:hint="eastAsia" w:hAnsi="宋体" w:cs="宋体"/>
          <w:sz w:val="24"/>
          <w:szCs w:val="24"/>
          <w:highlight w:val="none"/>
        </w:rPr>
        <w:t>15.4 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1232DE7E">
      <w:pPr>
        <w:pStyle w:val="34"/>
        <w:spacing w:line="360" w:lineRule="auto"/>
        <w:ind w:firstLine="479" w:firstLineChars="199"/>
        <w:rPr>
          <w:rFonts w:hAnsi="宋体" w:cs="宋体"/>
          <w:b/>
          <w:sz w:val="24"/>
          <w:szCs w:val="24"/>
          <w:highlight w:val="none"/>
        </w:rPr>
      </w:pPr>
      <w:r>
        <w:rPr>
          <w:rFonts w:hint="eastAsia" w:hAnsi="宋体" w:cs="宋体"/>
          <w:b/>
          <w:sz w:val="24"/>
          <w:szCs w:val="24"/>
          <w:highlight w:val="none"/>
        </w:rPr>
        <w:t>15.5 投标人仅提交备份投标文件，未在电子交易平台传输递交投标文件的，投标无效。</w:t>
      </w:r>
    </w:p>
    <w:p w14:paraId="5E4B2656">
      <w:pPr>
        <w:pStyle w:val="4"/>
        <w:rPr>
          <w:rFonts w:cs="宋体"/>
          <w:highlight w:val="none"/>
        </w:rPr>
      </w:pPr>
      <w:r>
        <w:rPr>
          <w:rFonts w:hint="eastAsia" w:cs="宋体"/>
          <w:highlight w:val="none"/>
        </w:rPr>
        <w:t>16.投标文件的无效处理</w:t>
      </w:r>
    </w:p>
    <w:p w14:paraId="1FD75429">
      <w:pPr>
        <w:pStyle w:val="26"/>
        <w:spacing w:line="360" w:lineRule="auto"/>
        <w:ind w:firstLine="360" w:firstLineChars="150"/>
        <w:rPr>
          <w:rFonts w:cs="宋体"/>
          <w:szCs w:val="21"/>
          <w:highlight w:val="none"/>
        </w:rPr>
      </w:pPr>
      <w:r>
        <w:rPr>
          <w:rFonts w:hint="eastAsia" w:cs="宋体"/>
          <w:szCs w:val="21"/>
          <w:highlight w:val="none"/>
        </w:rPr>
        <w:t>有招标文件第四部分</w:t>
      </w:r>
      <w:r>
        <w:rPr>
          <w:rFonts w:hint="eastAsia" w:cs="宋体"/>
          <w:highlight w:val="none"/>
        </w:rPr>
        <w:t>4.2规定</w:t>
      </w:r>
      <w:r>
        <w:rPr>
          <w:rFonts w:hint="eastAsia" w:cs="宋体"/>
          <w:szCs w:val="21"/>
          <w:highlight w:val="none"/>
        </w:rPr>
        <w:t>的情形之一的，投标无效：</w:t>
      </w:r>
    </w:p>
    <w:p w14:paraId="71D719B0">
      <w:pPr>
        <w:pStyle w:val="4"/>
        <w:rPr>
          <w:rFonts w:cs="宋体"/>
          <w:highlight w:val="none"/>
        </w:rPr>
      </w:pPr>
      <w:r>
        <w:rPr>
          <w:rFonts w:hint="eastAsia" w:cs="宋体"/>
          <w:highlight w:val="none"/>
        </w:rPr>
        <w:t>17.投标有效期</w:t>
      </w:r>
    </w:p>
    <w:p w14:paraId="470FED22">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 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350BC593">
      <w:pPr>
        <w:pStyle w:val="136"/>
        <w:spacing w:before="0"/>
        <w:ind w:firstLine="480"/>
        <w:rPr>
          <w:rFonts w:ascii="宋体" w:hAnsi="宋体" w:cs="宋体"/>
          <w:highlight w:val="none"/>
        </w:rPr>
      </w:pPr>
      <w:r>
        <w:rPr>
          <w:rFonts w:hint="eastAsia" w:ascii="宋体" w:hAnsi="宋体" w:cs="宋体"/>
          <w:highlight w:val="none"/>
        </w:rPr>
        <w:t>17.2 投标文件合格投递后，自投标截止日期起，在投标有效期内有效。</w:t>
      </w:r>
    </w:p>
    <w:p w14:paraId="1B0AD843">
      <w:pPr>
        <w:pStyle w:val="136"/>
        <w:spacing w:before="0"/>
        <w:ind w:firstLine="480"/>
        <w:rPr>
          <w:rFonts w:ascii="宋体" w:hAnsi="宋体" w:cs="宋体"/>
          <w:highlight w:val="none"/>
        </w:rPr>
      </w:pPr>
      <w:r>
        <w:rPr>
          <w:rFonts w:hint="eastAsia" w:ascii="宋体" w:hAnsi="宋体" w:cs="宋体"/>
          <w:highlight w:val="none"/>
        </w:rPr>
        <w:t>17.3 在原定投标有效期满之前，如果出现特殊情况，采购代理机构可以以书面形式通知投标人延长投标有效期。投标人同意延长的，不得要求或被允许修改其投标文件，投标人拒绝延长的，其投标无效。</w:t>
      </w:r>
    </w:p>
    <w:p w14:paraId="2714F6C3">
      <w:pPr>
        <w:pStyle w:val="136"/>
        <w:spacing w:before="0"/>
        <w:ind w:firstLine="480"/>
        <w:rPr>
          <w:rFonts w:ascii="宋体" w:hAnsi="宋体" w:cs="宋体"/>
          <w:highlight w:val="none"/>
        </w:rPr>
      </w:pPr>
    </w:p>
    <w:p w14:paraId="71269944">
      <w:pPr>
        <w:pStyle w:val="3"/>
        <w:jc w:val="center"/>
        <w:rPr>
          <w:rFonts w:cs="宋体"/>
          <w:highlight w:val="none"/>
        </w:rPr>
      </w:pPr>
      <w:bookmarkStart w:id="20" w:name="_Toc12025"/>
      <w:r>
        <w:rPr>
          <w:rFonts w:hint="eastAsia" w:cs="宋体"/>
          <w:highlight w:val="none"/>
        </w:rPr>
        <w:t>四、开标、资格审查与信用信息查询</w:t>
      </w:r>
      <w:bookmarkEnd w:id="20"/>
    </w:p>
    <w:p w14:paraId="5E5069C0">
      <w:pPr>
        <w:pStyle w:val="4"/>
        <w:rPr>
          <w:rFonts w:cs="宋体"/>
          <w:highlight w:val="none"/>
        </w:rPr>
      </w:pPr>
      <w:r>
        <w:rPr>
          <w:rFonts w:hint="eastAsia" w:cs="宋体"/>
          <w:szCs w:val="24"/>
          <w:highlight w:val="none"/>
        </w:rPr>
        <w:t>18.开标</w:t>
      </w:r>
    </w:p>
    <w:p w14:paraId="3B78A843">
      <w:pPr>
        <w:pStyle w:val="559"/>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 采购代理机构按照招标文件规定的时间通过电子交易平台组织开标，所有投标人均应当准时在线参加。投标人不足3家的，不得开标。</w:t>
      </w:r>
    </w:p>
    <w:p w14:paraId="216C2421">
      <w:pPr>
        <w:pStyle w:val="559"/>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18.2 开标时，电子交易平台按开标时间自动提取所有投标文件。采购代理机构依托电子交易平台发起开始解密指令，投标人按照平台提示和招标文件的规定在半小时内完成在线解密。</w:t>
      </w:r>
    </w:p>
    <w:p w14:paraId="4BA5FAB7">
      <w:pPr>
        <w:pStyle w:val="559"/>
        <w:spacing w:before="0" w:line="360" w:lineRule="auto"/>
        <w:ind w:left="0" w:firstLine="480" w:firstLineChars="200"/>
        <w:contextualSpacing/>
        <w:rPr>
          <w:rFonts w:ascii="宋体" w:hAnsi="宋体" w:cs="宋体"/>
          <w:b/>
          <w:sz w:val="24"/>
          <w:highlight w:val="none"/>
        </w:rPr>
      </w:pPr>
      <w:r>
        <w:rPr>
          <w:rFonts w:hint="eastAsia" w:ascii="宋体" w:hAnsi="宋体" w:cs="宋体"/>
          <w:sz w:val="24"/>
          <w:highlight w:val="none"/>
        </w:rPr>
        <w:t xml:space="preserve">18.3 </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0435C1DB">
      <w:pPr>
        <w:pStyle w:val="4"/>
        <w:rPr>
          <w:rFonts w:cs="宋体"/>
          <w:highlight w:val="none"/>
        </w:rPr>
      </w:pPr>
      <w:r>
        <w:rPr>
          <w:rFonts w:hint="eastAsia" w:cs="宋体"/>
          <w:highlight w:val="none"/>
        </w:rPr>
        <w:t>19.资格审查</w:t>
      </w:r>
    </w:p>
    <w:p w14:paraId="73347924">
      <w:pPr>
        <w:snapToGrid w:val="0"/>
        <w:spacing w:line="360" w:lineRule="auto"/>
        <w:ind w:firstLine="480" w:firstLineChars="200"/>
        <w:rPr>
          <w:rFonts w:ascii="宋体" w:hAnsi="宋体" w:cs="宋体"/>
          <w:sz w:val="24"/>
          <w:highlight w:val="none"/>
        </w:rPr>
      </w:pPr>
      <w:r>
        <w:rPr>
          <w:rFonts w:hint="eastAsia" w:ascii="宋体" w:hAnsi="宋体" w:cs="宋体"/>
          <w:kern w:val="0"/>
          <w:sz w:val="24"/>
          <w:highlight w:val="none"/>
        </w:rPr>
        <w:t xml:space="preserve">19.1 </w:t>
      </w:r>
      <w:r>
        <w:rPr>
          <w:rFonts w:hint="eastAsia" w:ascii="宋体" w:hAnsi="宋体" w:cs="宋体"/>
          <w:sz w:val="24"/>
          <w:highlight w:val="none"/>
        </w:rPr>
        <w:t>采购代理机构依据法律法规和招标文件的规定，对投标人的资格进行审查。</w:t>
      </w:r>
    </w:p>
    <w:p w14:paraId="4AFA4E0D">
      <w:pPr>
        <w:pStyle w:val="136"/>
        <w:spacing w:before="0"/>
        <w:ind w:firstLine="480"/>
        <w:rPr>
          <w:rFonts w:ascii="宋体" w:hAnsi="宋体" w:cs="宋体"/>
          <w:highlight w:val="none"/>
        </w:rPr>
      </w:pPr>
      <w:r>
        <w:rPr>
          <w:rFonts w:hint="eastAsia" w:ascii="宋体" w:hAnsi="宋体" w:cs="宋体"/>
          <w:kern w:val="0"/>
          <w:szCs w:val="24"/>
          <w:highlight w:val="none"/>
        </w:rPr>
        <w:t>19.2 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14C08ED1">
      <w:pPr>
        <w:pStyle w:val="136"/>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 对未通过资格审查的投标人，采购人或采购代理机构告知其未通过的原因。</w:t>
      </w:r>
    </w:p>
    <w:p w14:paraId="39E5D479">
      <w:pPr>
        <w:pStyle w:val="136"/>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 合格投标人不足3家的，不再评标。</w:t>
      </w:r>
    </w:p>
    <w:p w14:paraId="527A1DDE">
      <w:pPr>
        <w:pStyle w:val="4"/>
        <w:rPr>
          <w:rFonts w:cs="宋体"/>
          <w:highlight w:val="none"/>
        </w:rPr>
      </w:pPr>
      <w:r>
        <w:rPr>
          <w:rFonts w:hint="eastAsia" w:cs="宋体"/>
          <w:highlight w:val="none"/>
        </w:rPr>
        <w:t>20.信用信息查询</w:t>
      </w:r>
    </w:p>
    <w:p w14:paraId="3EE583C5">
      <w:pPr>
        <w:pStyle w:val="13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 信用信息查询渠道及截止时间：采购代理机构将在资格审查时通过“信用中国”网站(www.creditchina.gov.cn)、中国政府采购网(www.ccgp.gov.cn)渠道查询投标人接受资格审查时的信用记录。</w:t>
      </w:r>
    </w:p>
    <w:p w14:paraId="7149D3DB">
      <w:pPr>
        <w:pStyle w:val="13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 信用信息查询记录和证据留存的具体方式：现场查询的投标人的信用记录、查询结果经确认后将与采购文件一起存档。</w:t>
      </w:r>
    </w:p>
    <w:p w14:paraId="609EC9D9">
      <w:pPr>
        <w:pStyle w:val="136"/>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 信用信息的使用规则：经查询列入失信被执行人名单、重大税收违法案件当事人名单、政府采购严重违法失信行为记录名单的投标人将被拒绝参与政府采购活动。</w:t>
      </w:r>
    </w:p>
    <w:p w14:paraId="6429E194">
      <w:pPr>
        <w:pStyle w:val="136"/>
        <w:spacing w:before="0"/>
        <w:ind w:firstLine="480"/>
        <w:rPr>
          <w:rFonts w:ascii="宋体" w:hAnsi="宋体" w:cs="宋体"/>
          <w:highlight w:val="none"/>
        </w:rPr>
      </w:pPr>
      <w:r>
        <w:rPr>
          <w:rFonts w:hint="eastAsia" w:ascii="宋体" w:hAnsi="宋体" w:cs="宋体"/>
          <w:kern w:val="0"/>
          <w:szCs w:val="24"/>
          <w:highlight w:val="none"/>
        </w:rPr>
        <w:t>20.4 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370D7D96">
      <w:pPr>
        <w:pStyle w:val="136"/>
        <w:spacing w:before="0"/>
        <w:ind w:firstLine="0" w:firstLineChars="0"/>
        <w:rPr>
          <w:rFonts w:ascii="宋体" w:hAnsi="宋体" w:cs="宋体"/>
          <w:kern w:val="0"/>
          <w:szCs w:val="24"/>
          <w:highlight w:val="none"/>
        </w:rPr>
      </w:pPr>
    </w:p>
    <w:p w14:paraId="0949E479">
      <w:pPr>
        <w:pStyle w:val="3"/>
        <w:jc w:val="center"/>
        <w:rPr>
          <w:rFonts w:cs="宋体"/>
          <w:highlight w:val="none"/>
        </w:rPr>
      </w:pPr>
      <w:bookmarkStart w:id="21" w:name="_Toc2269"/>
      <w:r>
        <w:rPr>
          <w:rFonts w:hint="eastAsia" w:cs="宋体"/>
          <w:highlight w:val="none"/>
        </w:rPr>
        <w:t>五、评标</w:t>
      </w:r>
      <w:bookmarkEnd w:id="21"/>
    </w:p>
    <w:p w14:paraId="6A96F108">
      <w:pPr>
        <w:pStyle w:val="4"/>
        <w:rPr>
          <w:rFonts w:cs="宋体"/>
          <w:highlight w:val="none"/>
        </w:rPr>
      </w:pPr>
      <w:r>
        <w:rPr>
          <w:rFonts w:hint="eastAsia" w:cs="宋体"/>
          <w:highlight w:val="none"/>
        </w:rPr>
        <w:t>21.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详见招标文件第四部分评标办法。</w:t>
      </w:r>
    </w:p>
    <w:p w14:paraId="26FAD1C1">
      <w:pPr>
        <w:rPr>
          <w:rFonts w:ascii="宋体" w:hAnsi="宋体" w:cs="宋体"/>
          <w:highlight w:val="none"/>
        </w:rPr>
      </w:pPr>
    </w:p>
    <w:p w14:paraId="20114E85">
      <w:pPr>
        <w:pStyle w:val="3"/>
        <w:jc w:val="center"/>
        <w:rPr>
          <w:rFonts w:cs="宋体"/>
          <w:highlight w:val="none"/>
        </w:rPr>
      </w:pPr>
      <w:bookmarkStart w:id="22" w:name="_Toc1866"/>
      <w:r>
        <w:rPr>
          <w:rFonts w:hint="eastAsia" w:cs="宋体"/>
          <w:highlight w:val="none"/>
        </w:rPr>
        <w:t>六、定标</w:t>
      </w:r>
      <w:bookmarkEnd w:id="22"/>
    </w:p>
    <w:p w14:paraId="338839E4">
      <w:pPr>
        <w:pStyle w:val="4"/>
        <w:rPr>
          <w:rFonts w:cs="宋体"/>
          <w:highlight w:val="none"/>
        </w:rPr>
      </w:pPr>
      <w:r>
        <w:rPr>
          <w:rFonts w:hint="eastAsia" w:cs="宋体"/>
          <w:highlight w:val="none"/>
        </w:rPr>
        <w:t>22.确定中标人</w:t>
      </w:r>
    </w:p>
    <w:p w14:paraId="77473C58">
      <w:pPr>
        <w:widowControl/>
        <w:spacing w:line="360" w:lineRule="auto"/>
        <w:ind w:firstLine="480"/>
        <w:jc w:val="left"/>
        <w:rPr>
          <w:rFonts w:ascii="宋体" w:hAnsi="宋体" w:cs="宋体"/>
          <w:sz w:val="24"/>
          <w:highlight w:val="none"/>
        </w:rPr>
      </w:pPr>
      <w:r>
        <w:rPr>
          <w:rFonts w:hint="eastAsia" w:ascii="宋体" w:hAnsi="宋体" w:cs="宋体"/>
          <w:sz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中标人。中标、成交通知书和中标、成交结果公告应当在规定时间内同时发出。</w:t>
      </w:r>
    </w:p>
    <w:p w14:paraId="04BED3C9">
      <w:pPr>
        <w:pStyle w:val="4"/>
        <w:rPr>
          <w:rFonts w:cs="宋体"/>
          <w:highlight w:val="none"/>
        </w:rPr>
      </w:pPr>
      <w:r>
        <w:rPr>
          <w:rFonts w:hint="eastAsia" w:cs="宋体"/>
          <w:highlight w:val="none"/>
        </w:rPr>
        <w:t>23.中标通知与中标结果公告</w:t>
      </w:r>
    </w:p>
    <w:p w14:paraId="310093D0">
      <w:pPr>
        <w:widowControl/>
        <w:spacing w:line="360" w:lineRule="auto"/>
        <w:ind w:firstLine="480"/>
        <w:jc w:val="left"/>
        <w:rPr>
          <w:rFonts w:ascii="宋体" w:hAnsi="宋体" w:cs="宋体"/>
          <w:sz w:val="24"/>
          <w:highlight w:val="none"/>
        </w:rPr>
      </w:pPr>
      <w:r>
        <w:rPr>
          <w:rFonts w:hint="eastAsia" w:ascii="宋体" w:hAnsi="宋体" w:cs="宋体"/>
          <w:sz w:val="24"/>
          <w:highlight w:val="none"/>
        </w:rPr>
        <w:t>23.1 自中标人确定之日起2个工作日内，采购代理机构通过电子交易平台向中标人发出中标通知书，同时编制发布采购结果公告。采购代理机构也可以以纸质形式进行中标通知。</w:t>
      </w:r>
    </w:p>
    <w:p w14:paraId="700551F0">
      <w:pPr>
        <w:widowControl/>
        <w:spacing w:line="360" w:lineRule="auto"/>
        <w:ind w:firstLine="480"/>
        <w:jc w:val="left"/>
        <w:rPr>
          <w:rFonts w:ascii="宋体" w:hAnsi="宋体" w:cs="宋体"/>
          <w:sz w:val="24"/>
          <w:highlight w:val="none"/>
        </w:rPr>
      </w:pPr>
      <w:r>
        <w:rPr>
          <w:rFonts w:hint="eastAsia" w:ascii="宋体" w:hAnsi="宋体" w:cs="宋体"/>
          <w:sz w:val="24"/>
          <w:highlight w:val="none"/>
        </w:rPr>
        <w:t>23.2 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2AFE491">
      <w:pPr>
        <w:widowControl/>
        <w:spacing w:line="360" w:lineRule="auto"/>
        <w:ind w:firstLine="480"/>
        <w:jc w:val="left"/>
        <w:rPr>
          <w:rFonts w:ascii="宋体" w:hAnsi="宋体" w:cs="宋体"/>
          <w:sz w:val="24"/>
          <w:highlight w:val="none"/>
        </w:rPr>
      </w:pPr>
      <w:r>
        <w:rPr>
          <w:rFonts w:hint="eastAsia" w:ascii="宋体" w:hAnsi="宋体" w:cs="宋体"/>
          <w:sz w:val="24"/>
          <w:highlight w:val="none"/>
        </w:rPr>
        <w:t>23.3 公告期限为1个工作日。</w:t>
      </w:r>
    </w:p>
    <w:p w14:paraId="29200572">
      <w:pPr>
        <w:rPr>
          <w:rFonts w:ascii="宋体" w:hAnsi="宋体" w:cs="宋体"/>
          <w:highlight w:val="none"/>
        </w:rPr>
      </w:pPr>
    </w:p>
    <w:p w14:paraId="12FB11ED">
      <w:pPr>
        <w:pStyle w:val="3"/>
        <w:jc w:val="center"/>
        <w:rPr>
          <w:rFonts w:cs="宋体"/>
          <w:highlight w:val="none"/>
        </w:rPr>
      </w:pPr>
      <w:bookmarkStart w:id="23" w:name="_Toc300"/>
      <w:r>
        <w:rPr>
          <w:rFonts w:hint="eastAsia" w:cs="宋体"/>
          <w:highlight w:val="none"/>
        </w:rPr>
        <w:t>七、合同授予</w:t>
      </w:r>
      <w:bookmarkEnd w:id="23"/>
    </w:p>
    <w:p w14:paraId="5633DC7E">
      <w:pPr>
        <w:pStyle w:val="4"/>
        <w:rPr>
          <w:rFonts w:cs="宋体"/>
          <w:highlight w:val="none"/>
        </w:rPr>
      </w:pPr>
      <w:r>
        <w:rPr>
          <w:rFonts w:hint="eastAsia" w:cs="宋体"/>
          <w:highlight w:val="none"/>
        </w:rPr>
        <w:t>24.合同主要条款详见第五部分拟签订的合同文本。</w:t>
      </w:r>
    </w:p>
    <w:p w14:paraId="074CA2A6">
      <w:pPr>
        <w:pStyle w:val="4"/>
        <w:rPr>
          <w:rFonts w:cs="宋体"/>
          <w:highlight w:val="none"/>
        </w:rPr>
      </w:pPr>
      <w:r>
        <w:rPr>
          <w:rFonts w:hint="eastAsia" w:cs="宋体"/>
          <w:highlight w:val="none"/>
        </w:rPr>
        <w:t>25.合同的签订</w:t>
      </w:r>
    </w:p>
    <w:p w14:paraId="7C5BF6E4">
      <w:pPr>
        <w:widowControl/>
        <w:spacing w:line="360" w:lineRule="auto"/>
        <w:ind w:firstLine="480"/>
        <w:jc w:val="left"/>
        <w:rPr>
          <w:rFonts w:ascii="宋体" w:hAnsi="宋体" w:cs="宋体"/>
          <w:kern w:val="0"/>
          <w:sz w:val="24"/>
          <w:highlight w:val="none"/>
        </w:rPr>
      </w:pPr>
      <w:r>
        <w:rPr>
          <w:rFonts w:hint="eastAsia" w:ascii="宋体" w:hAnsi="宋体" w:cs="宋体"/>
          <w:sz w:val="24"/>
          <w:highlight w:val="none"/>
        </w:rPr>
        <w:t>25.1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19F82980">
      <w:pPr>
        <w:pStyle w:val="136"/>
        <w:snapToGrid w:val="0"/>
        <w:spacing w:before="0"/>
        <w:ind w:firstLine="480"/>
        <w:rPr>
          <w:rFonts w:ascii="宋体" w:hAnsi="宋体" w:cs="宋体"/>
          <w:kern w:val="0"/>
          <w:highlight w:val="none"/>
        </w:rPr>
      </w:pPr>
      <w:r>
        <w:rPr>
          <w:rFonts w:hint="eastAsia" w:ascii="宋体" w:hAnsi="宋体" w:cs="宋体"/>
          <w:kern w:val="0"/>
          <w:highlight w:val="none"/>
          <w:lang w:val="zh-CN"/>
        </w:rPr>
        <w:t>25.2</w:t>
      </w:r>
      <w:r>
        <w:rPr>
          <w:rFonts w:hint="eastAsia" w:ascii="宋体" w:hAnsi="宋体" w:cs="宋体"/>
          <w:kern w:val="0"/>
          <w:highlight w:val="none"/>
        </w:rPr>
        <w:t xml:space="preserve"> </w:t>
      </w:r>
      <w:r>
        <w:rPr>
          <w:rFonts w:hint="eastAsia" w:ascii="宋体" w:hAnsi="宋体" w:cs="宋体"/>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1712835F">
      <w:pPr>
        <w:pStyle w:val="136"/>
        <w:snapToGrid w:val="0"/>
        <w:spacing w:before="0"/>
        <w:ind w:firstLine="480"/>
        <w:rPr>
          <w:rFonts w:ascii="宋体" w:hAnsi="宋体" w:cs="宋体"/>
          <w:highlight w:val="none"/>
        </w:rPr>
      </w:pPr>
      <w:r>
        <w:rPr>
          <w:rFonts w:hint="eastAsia" w:ascii="宋体" w:hAnsi="宋体" w:cs="宋体"/>
          <w:highlight w:val="none"/>
        </w:rPr>
        <w:t>25.3 如签订合同并生效后，供应商无故拒绝或延期，除按照合同条款处理外，列入不良行为记录一次，并给予通报。</w:t>
      </w:r>
    </w:p>
    <w:p w14:paraId="67AFB250">
      <w:pPr>
        <w:pStyle w:val="136"/>
        <w:snapToGrid w:val="0"/>
        <w:spacing w:before="0"/>
        <w:ind w:firstLine="480"/>
        <w:rPr>
          <w:rFonts w:ascii="宋体" w:hAnsi="宋体" w:cs="宋体"/>
          <w:highlight w:val="none"/>
        </w:rPr>
      </w:pPr>
      <w:r>
        <w:rPr>
          <w:rFonts w:hint="eastAsia" w:ascii="宋体" w:hAnsi="宋体" w:cs="宋体"/>
          <w:highlight w:val="none"/>
        </w:rPr>
        <w:t>25.4 中标人拒绝与采购人签订合同的，采购人可以按照评审报告推荐的中标或者成交候选人名单排序，确定下一候选人为中标人，也可以重新开展政府采购活动。</w:t>
      </w:r>
    </w:p>
    <w:p w14:paraId="6D38873B">
      <w:pPr>
        <w:pStyle w:val="136"/>
        <w:snapToGrid w:val="0"/>
        <w:spacing w:before="0" w:after="120"/>
        <w:ind w:firstLine="480"/>
        <w:rPr>
          <w:rFonts w:ascii="宋体" w:hAnsi="宋体" w:cs="宋体"/>
          <w:highlight w:val="none"/>
        </w:rPr>
      </w:pPr>
      <w:r>
        <w:rPr>
          <w:rFonts w:hint="eastAsia" w:ascii="宋体" w:hAnsi="宋体" w:cs="宋体"/>
          <w:highlight w:val="none"/>
        </w:rPr>
        <w:t>25.5 采购合同由采购人与中标人根据招标文件、投标文件等内容通过政府采购电子交易平台在线签订，自动备案。</w:t>
      </w:r>
    </w:p>
    <w:p w14:paraId="1491CF40">
      <w:pPr>
        <w:pStyle w:val="4"/>
        <w:rPr>
          <w:rFonts w:cs="宋体"/>
          <w:highlight w:val="none"/>
        </w:rPr>
      </w:pPr>
      <w:r>
        <w:rPr>
          <w:rFonts w:hint="eastAsia" w:cs="宋体"/>
          <w:highlight w:val="none"/>
        </w:rPr>
        <w:t>26.履约保证金</w:t>
      </w:r>
    </w:p>
    <w:p w14:paraId="3BD57486">
      <w:pPr>
        <w:tabs>
          <w:tab w:val="left" w:pos="0"/>
        </w:tabs>
        <w:spacing w:line="360" w:lineRule="auto"/>
        <w:ind w:firstLine="482"/>
        <w:rPr>
          <w:rFonts w:ascii="宋体" w:hAnsi="宋体" w:cs="宋体"/>
          <w:kern w:val="0"/>
          <w:sz w:val="24"/>
          <w:highlight w:val="none"/>
        </w:rPr>
      </w:pPr>
      <w:r>
        <w:rPr>
          <w:rFonts w:hint="eastAsia" w:ascii="宋体" w:hAnsi="宋体" w:cs="宋体"/>
          <w:kern w:val="0"/>
          <w:sz w:val="24"/>
          <w:highlight w:val="none"/>
        </w:rPr>
        <w:t>拟签订的合同文本要求中标人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C7F58E3">
      <w:pPr>
        <w:tabs>
          <w:tab w:val="left" w:pos="0"/>
        </w:tabs>
        <w:spacing w:line="360" w:lineRule="auto"/>
        <w:ind w:firstLine="482"/>
        <w:rPr>
          <w:rFonts w:ascii="宋体" w:hAnsi="宋体" w:cs="宋体"/>
          <w:kern w:val="0"/>
          <w:sz w:val="24"/>
          <w:highlight w:val="none"/>
        </w:rPr>
      </w:pPr>
      <w:r>
        <w:rPr>
          <w:rFonts w:hint="eastAsia" w:ascii="宋体" w:hAnsi="宋体" w:cs="宋体"/>
          <w:kern w:val="0"/>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448528B">
      <w:pPr>
        <w:pStyle w:val="4"/>
        <w:rPr>
          <w:rFonts w:cs="宋体"/>
          <w:highlight w:val="none"/>
        </w:rPr>
      </w:pPr>
      <w:r>
        <w:rPr>
          <w:rFonts w:hint="eastAsia" w:cs="宋体"/>
          <w:highlight w:val="none"/>
        </w:rPr>
        <w:t>27.预付款</w:t>
      </w:r>
    </w:p>
    <w:p w14:paraId="243C4111">
      <w:pPr>
        <w:adjustRightInd/>
        <w:spacing w:line="360" w:lineRule="auto"/>
        <w:ind w:firstLine="480" w:firstLineChars="200"/>
        <w:rPr>
          <w:rFonts w:ascii="宋体" w:hAnsi="宋体" w:cs="宋体"/>
          <w:highlight w:val="none"/>
        </w:rPr>
      </w:pPr>
      <w:r>
        <w:rPr>
          <w:rFonts w:hint="eastAsia" w:ascii="宋体" w:hAnsi="宋体" w:cs="宋体"/>
          <w:sz w:val="24"/>
          <w:highlight w:val="none"/>
        </w:rPr>
        <w:t>采购单位应当在政府采购合同中约定预付款，对中小企业合同预付款比例原则上不低于合同金额的30％，不高于合同金额的70%；项目分年安排预算的，每年预付款比例不低于项目年度计划支付资金额的30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046DA578">
      <w:pPr>
        <w:rPr>
          <w:rFonts w:ascii="宋体" w:hAnsi="宋体" w:cs="宋体"/>
          <w:highlight w:val="none"/>
        </w:rPr>
      </w:pPr>
    </w:p>
    <w:p w14:paraId="50303D5C">
      <w:pPr>
        <w:pStyle w:val="3"/>
        <w:jc w:val="center"/>
        <w:rPr>
          <w:rFonts w:cs="宋体"/>
          <w:highlight w:val="none"/>
        </w:rPr>
      </w:pPr>
      <w:bookmarkStart w:id="24" w:name="_Toc10170"/>
      <w:r>
        <w:rPr>
          <w:rFonts w:hint="eastAsia" w:cs="宋体"/>
          <w:highlight w:val="none"/>
        </w:rPr>
        <w:t>八、电子交易活动的中止</w:t>
      </w:r>
      <w:bookmarkEnd w:id="24"/>
    </w:p>
    <w:p w14:paraId="1C59062D">
      <w:pPr>
        <w:pStyle w:val="4"/>
        <w:rPr>
          <w:rFonts w:cs="宋体"/>
          <w:highlight w:val="none"/>
        </w:rPr>
      </w:pPr>
      <w:r>
        <w:rPr>
          <w:rFonts w:hint="eastAsia" w:cs="宋体"/>
          <w:highlight w:val="none"/>
        </w:rPr>
        <w:t>28.电子交易活动的中止。</w:t>
      </w:r>
    </w:p>
    <w:p w14:paraId="3E5B6267">
      <w:pPr>
        <w:pStyle w:val="136"/>
        <w:snapToGrid w:val="0"/>
        <w:spacing w:before="0"/>
        <w:ind w:firstLine="480"/>
        <w:rPr>
          <w:rFonts w:ascii="宋体" w:hAnsi="宋体" w:cs="宋体"/>
          <w:highlight w:val="none"/>
        </w:rPr>
      </w:pP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14:paraId="5CD4F6B5">
      <w:pPr>
        <w:pStyle w:val="136"/>
        <w:snapToGrid w:val="0"/>
        <w:spacing w:before="0"/>
        <w:ind w:firstLine="480"/>
        <w:rPr>
          <w:rFonts w:ascii="宋体" w:hAnsi="宋体" w:cs="宋体"/>
          <w:highlight w:val="none"/>
        </w:rPr>
      </w:pPr>
      <w:r>
        <w:rPr>
          <w:rFonts w:hint="eastAsia" w:ascii="宋体" w:hAnsi="宋体" w:cs="宋体"/>
          <w:highlight w:val="none"/>
        </w:rPr>
        <w:t xml:space="preserve">28.1 电子交易平台发生故障而无法登录访问的； </w:t>
      </w:r>
    </w:p>
    <w:p w14:paraId="4E405D35">
      <w:pPr>
        <w:pStyle w:val="136"/>
        <w:snapToGrid w:val="0"/>
        <w:spacing w:before="0"/>
        <w:ind w:firstLine="480"/>
        <w:rPr>
          <w:rFonts w:ascii="宋体" w:hAnsi="宋体" w:cs="宋体"/>
          <w:highlight w:val="none"/>
        </w:rPr>
      </w:pPr>
      <w:r>
        <w:rPr>
          <w:rFonts w:hint="eastAsia" w:ascii="宋体" w:hAnsi="宋体" w:cs="宋体"/>
          <w:highlight w:val="none"/>
        </w:rPr>
        <w:t>28.2 电子交易平台应用或数据库出现错误，不能进行正常操作的；</w:t>
      </w:r>
    </w:p>
    <w:p w14:paraId="6A178B54">
      <w:pPr>
        <w:pStyle w:val="136"/>
        <w:snapToGrid w:val="0"/>
        <w:spacing w:before="0"/>
        <w:ind w:firstLine="480"/>
        <w:rPr>
          <w:rFonts w:ascii="宋体" w:hAnsi="宋体" w:cs="宋体"/>
          <w:highlight w:val="none"/>
        </w:rPr>
      </w:pPr>
      <w:r>
        <w:rPr>
          <w:rFonts w:hint="eastAsia" w:ascii="宋体" w:hAnsi="宋体" w:cs="宋体"/>
          <w:highlight w:val="none"/>
        </w:rPr>
        <w:t>28.3 电子交易平台发现严重安全漏洞，有潜在泄密危险的；</w:t>
      </w:r>
    </w:p>
    <w:p w14:paraId="5DBC35FC">
      <w:pPr>
        <w:pStyle w:val="136"/>
        <w:snapToGrid w:val="0"/>
        <w:spacing w:before="0"/>
        <w:ind w:firstLine="480"/>
        <w:rPr>
          <w:rFonts w:ascii="宋体" w:hAnsi="宋体" w:cs="宋体"/>
          <w:highlight w:val="none"/>
        </w:rPr>
      </w:pPr>
      <w:r>
        <w:rPr>
          <w:rFonts w:hint="eastAsia" w:ascii="宋体" w:hAnsi="宋体" w:cs="宋体"/>
          <w:highlight w:val="none"/>
        </w:rPr>
        <w:t xml:space="preserve">28.4 病毒发作导致不能进行正常操作的； </w:t>
      </w:r>
    </w:p>
    <w:p w14:paraId="6C2ACD8C">
      <w:pPr>
        <w:pStyle w:val="136"/>
        <w:snapToGrid w:val="0"/>
        <w:spacing w:before="0"/>
        <w:ind w:firstLine="480"/>
        <w:rPr>
          <w:rFonts w:ascii="宋体" w:hAnsi="宋体" w:cs="宋体"/>
          <w:highlight w:val="none"/>
        </w:rPr>
      </w:pPr>
      <w:r>
        <w:rPr>
          <w:rFonts w:hint="eastAsia" w:ascii="宋体" w:hAnsi="宋体" w:cs="宋体"/>
          <w:highlight w:val="none"/>
        </w:rPr>
        <w:t>28.5 其他无法保证电子交易的公平、公正和安全的情况。</w:t>
      </w:r>
    </w:p>
    <w:p w14:paraId="7029B5E1">
      <w:pPr>
        <w:pStyle w:val="4"/>
        <w:rPr>
          <w:rFonts w:cs="宋体"/>
          <w:highlight w:val="none"/>
        </w:rPr>
      </w:pPr>
      <w:r>
        <w:rPr>
          <w:rFonts w:hint="eastAsia" w:cs="宋体"/>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7B59CDE3">
      <w:pPr>
        <w:rPr>
          <w:rFonts w:ascii="宋体" w:hAnsi="宋体" w:cs="宋体"/>
          <w:highlight w:val="none"/>
        </w:rPr>
      </w:pPr>
    </w:p>
    <w:p w14:paraId="266EA3DE">
      <w:pPr>
        <w:pStyle w:val="3"/>
        <w:jc w:val="center"/>
        <w:rPr>
          <w:rFonts w:cs="宋体"/>
          <w:highlight w:val="none"/>
        </w:rPr>
      </w:pPr>
      <w:bookmarkStart w:id="25" w:name="_Toc23650"/>
      <w:r>
        <w:rPr>
          <w:rFonts w:hint="eastAsia" w:cs="宋体"/>
          <w:highlight w:val="none"/>
        </w:rPr>
        <w:t>九、验收</w:t>
      </w:r>
      <w:bookmarkEnd w:id="25"/>
    </w:p>
    <w:p w14:paraId="06FD70D1">
      <w:pPr>
        <w:pStyle w:val="4"/>
        <w:rPr>
          <w:rFonts w:cs="宋体"/>
          <w:highlight w:val="none"/>
        </w:rPr>
      </w:pPr>
      <w:r>
        <w:rPr>
          <w:rFonts w:hint="eastAsia" w:cs="宋体"/>
          <w:highlight w:val="none"/>
        </w:rPr>
        <w:t>30.验收</w:t>
      </w:r>
    </w:p>
    <w:p w14:paraId="50938FDF">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3A6A77">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30.2 采购人可以邀请参加本项目的其他投标人或者第三方机构参与验收。参与验收的投标人或者第三方机构的意见作为验收书的参考资料一并存档。</w:t>
      </w:r>
    </w:p>
    <w:p w14:paraId="68E15447">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rPr>
        <w:t>30.3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26079C">
      <w:pPr>
        <w:tabs>
          <w:tab w:val="left" w:pos="0"/>
        </w:tabs>
        <w:spacing w:line="360" w:lineRule="auto"/>
        <w:ind w:firstLine="480"/>
        <w:rPr>
          <w:rFonts w:ascii="宋体" w:hAnsi="宋体" w:cs="宋体"/>
          <w:sz w:val="18"/>
          <w:szCs w:val="18"/>
          <w:highlight w:val="none"/>
        </w:rPr>
      </w:pPr>
      <w:r>
        <w:rPr>
          <w:rFonts w:hint="eastAsia" w:ascii="宋体" w:hAnsi="宋体" w:cs="宋体"/>
          <w:kern w:val="0"/>
          <w:sz w:val="24"/>
          <w:highlight w:val="none"/>
        </w:rPr>
        <w:t>30.4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EB19E06">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bookmarkStart w:id="26" w:name="_Hlt75236290"/>
      <w:bookmarkEnd w:id="26"/>
      <w:bookmarkStart w:id="27" w:name="_Hlt75236011"/>
      <w:bookmarkEnd w:id="27"/>
      <w:bookmarkStart w:id="28" w:name="_Hlt75236101"/>
      <w:bookmarkEnd w:id="28"/>
      <w:bookmarkStart w:id="29" w:name="_Hlt68073093"/>
      <w:bookmarkEnd w:id="29"/>
      <w:bookmarkStart w:id="30" w:name="_Hlt68072998"/>
      <w:bookmarkEnd w:id="30"/>
      <w:bookmarkStart w:id="31" w:name="_Hlt68057669"/>
      <w:bookmarkEnd w:id="31"/>
      <w:bookmarkStart w:id="32" w:name="_Hlt68403820"/>
      <w:bookmarkEnd w:id="32"/>
      <w:bookmarkStart w:id="33" w:name="_Hlt74729768"/>
      <w:bookmarkEnd w:id="33"/>
      <w:bookmarkStart w:id="34" w:name="_Hlt74707468"/>
      <w:bookmarkEnd w:id="34"/>
      <w:bookmarkStart w:id="35" w:name="_Hlt74714665"/>
      <w:bookmarkEnd w:id="35"/>
      <w:bookmarkStart w:id="36" w:name="_Hlt68072990"/>
      <w:bookmarkEnd w:id="36"/>
      <w:bookmarkStart w:id="37" w:name="_Hlt74730295"/>
      <w:bookmarkEnd w:id="37"/>
    </w:p>
    <w:p w14:paraId="48631D36">
      <w:pPr>
        <w:pStyle w:val="2"/>
        <w:rPr>
          <w:rFonts w:ascii="宋体" w:hAnsi="宋体" w:cs="宋体"/>
          <w:highlight w:val="none"/>
        </w:rPr>
      </w:pPr>
      <w:bookmarkStart w:id="38" w:name="_Toc22177"/>
      <w:bookmarkStart w:id="39" w:name="第四部分"/>
      <w:r>
        <w:rPr>
          <w:rFonts w:hint="eastAsia" w:ascii="宋体" w:hAnsi="宋体" w:cs="宋体"/>
          <w:szCs w:val="36"/>
          <w:highlight w:val="none"/>
        </w:rPr>
        <w:t>第三部分</w:t>
      </w:r>
      <w:r>
        <w:rPr>
          <w:rFonts w:hint="eastAsia" w:ascii="宋体" w:hAnsi="宋体" w:cs="宋体"/>
          <w:highlight w:val="none"/>
        </w:rPr>
        <w:t xml:space="preserve"> 采购需求</w:t>
      </w:r>
      <w:bookmarkEnd w:id="38"/>
    </w:p>
    <w:p w14:paraId="58433052">
      <w:pPr>
        <w:pStyle w:val="4"/>
        <w:spacing w:line="360" w:lineRule="auto"/>
        <w:ind w:firstLine="0" w:firstLineChars="0"/>
        <w:jc w:val="both"/>
        <w:rPr>
          <w:rFonts w:cs="宋体"/>
          <w:szCs w:val="24"/>
          <w:highlight w:val="none"/>
          <w:lang w:val="zh-TW"/>
        </w:rPr>
      </w:pPr>
      <w:bookmarkStart w:id="40" w:name="_Toc20170"/>
      <w:r>
        <w:rPr>
          <w:rFonts w:hint="eastAsia" w:cs="宋体"/>
          <w:szCs w:val="24"/>
          <w:highlight w:val="none"/>
        </w:rPr>
        <w:t>一、</w:t>
      </w:r>
      <w:r>
        <w:rPr>
          <w:rFonts w:hint="eastAsia" w:cs="宋体"/>
          <w:szCs w:val="24"/>
          <w:highlight w:val="none"/>
          <w:lang w:val="en-US" w:eastAsia="zh-CN"/>
        </w:rPr>
        <w:t>采购清单</w:t>
      </w:r>
    </w:p>
    <w:tbl>
      <w:tblPr>
        <w:tblStyle w:val="66"/>
        <w:tblW w:w="99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8"/>
        <w:gridCol w:w="1843"/>
        <w:gridCol w:w="4635"/>
        <w:gridCol w:w="985"/>
        <w:gridCol w:w="1709"/>
      </w:tblGrid>
      <w:tr w14:paraId="55C3F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778" w:type="dxa"/>
            <w:vMerge w:val="restart"/>
            <w:tcBorders>
              <w:tl2br w:val="nil"/>
              <w:tr2bl w:val="nil"/>
            </w:tcBorders>
            <w:noWrap/>
            <w:vAlign w:val="center"/>
          </w:tcPr>
          <w:p w14:paraId="24E615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843" w:type="dxa"/>
            <w:vMerge w:val="restart"/>
            <w:tcBorders>
              <w:tl2br w:val="nil"/>
              <w:tr2bl w:val="nil"/>
            </w:tcBorders>
            <w:noWrap w:val="0"/>
            <w:vAlign w:val="center"/>
          </w:tcPr>
          <w:p w14:paraId="2A6340D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设备名称</w:t>
            </w:r>
          </w:p>
        </w:tc>
        <w:tc>
          <w:tcPr>
            <w:tcW w:w="4635" w:type="dxa"/>
            <w:vMerge w:val="restart"/>
            <w:tcBorders>
              <w:tl2br w:val="nil"/>
              <w:tr2bl w:val="nil"/>
            </w:tcBorders>
            <w:noWrap/>
            <w:vAlign w:val="center"/>
          </w:tcPr>
          <w:p w14:paraId="746526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参考型号及性能指标</w:t>
            </w:r>
          </w:p>
        </w:tc>
        <w:tc>
          <w:tcPr>
            <w:tcW w:w="985" w:type="dxa"/>
            <w:vMerge w:val="restart"/>
            <w:tcBorders>
              <w:tl2br w:val="nil"/>
              <w:tr2bl w:val="nil"/>
            </w:tcBorders>
            <w:noWrap/>
            <w:vAlign w:val="center"/>
          </w:tcPr>
          <w:p w14:paraId="330BA2B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1709" w:type="dxa"/>
            <w:vMerge w:val="restart"/>
            <w:tcBorders>
              <w:tl2br w:val="nil"/>
              <w:tr2bl w:val="nil"/>
            </w:tcBorders>
            <w:noWrap w:val="0"/>
            <w:vAlign w:val="center"/>
          </w:tcPr>
          <w:p w14:paraId="0C19C7B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6026E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778" w:type="dxa"/>
            <w:vMerge w:val="continue"/>
            <w:tcBorders>
              <w:tl2br w:val="nil"/>
              <w:tr2bl w:val="nil"/>
            </w:tcBorders>
            <w:noWrap w:val="0"/>
            <w:vAlign w:val="center"/>
          </w:tcPr>
          <w:p w14:paraId="0163F7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p>
        </w:tc>
        <w:tc>
          <w:tcPr>
            <w:tcW w:w="1843" w:type="dxa"/>
            <w:vMerge w:val="continue"/>
            <w:tcBorders>
              <w:tl2br w:val="nil"/>
              <w:tr2bl w:val="nil"/>
            </w:tcBorders>
            <w:noWrap w:val="0"/>
            <w:vAlign w:val="center"/>
          </w:tcPr>
          <w:p w14:paraId="776E8F5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1"/>
                <w:szCs w:val="21"/>
                <w:highlight w:val="none"/>
              </w:rPr>
            </w:pPr>
          </w:p>
        </w:tc>
        <w:tc>
          <w:tcPr>
            <w:tcW w:w="4635" w:type="dxa"/>
            <w:vMerge w:val="continue"/>
            <w:tcBorders>
              <w:tl2br w:val="nil"/>
              <w:tr2bl w:val="nil"/>
            </w:tcBorders>
            <w:noWrap w:val="0"/>
            <w:vAlign w:val="center"/>
          </w:tcPr>
          <w:p w14:paraId="4152073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kern w:val="0"/>
                <w:sz w:val="21"/>
                <w:szCs w:val="21"/>
                <w:highlight w:val="none"/>
              </w:rPr>
            </w:pPr>
          </w:p>
        </w:tc>
        <w:tc>
          <w:tcPr>
            <w:tcW w:w="985" w:type="dxa"/>
            <w:vMerge w:val="continue"/>
            <w:tcBorders>
              <w:tl2br w:val="nil"/>
              <w:tr2bl w:val="nil"/>
            </w:tcBorders>
            <w:noWrap w:val="0"/>
            <w:vAlign w:val="center"/>
          </w:tcPr>
          <w:p w14:paraId="1E549DC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p>
        </w:tc>
        <w:tc>
          <w:tcPr>
            <w:tcW w:w="1709" w:type="dxa"/>
            <w:vMerge w:val="continue"/>
            <w:tcBorders>
              <w:tl2br w:val="nil"/>
              <w:tr2bl w:val="nil"/>
            </w:tcBorders>
            <w:noWrap w:val="0"/>
            <w:vAlign w:val="center"/>
          </w:tcPr>
          <w:p w14:paraId="1F31585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p>
        </w:tc>
      </w:tr>
      <w:tr w14:paraId="46498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trPr>
        <w:tc>
          <w:tcPr>
            <w:tcW w:w="778" w:type="dxa"/>
            <w:tcBorders>
              <w:tl2br w:val="nil"/>
              <w:tr2bl w:val="nil"/>
            </w:tcBorders>
            <w:noWrap/>
            <w:vAlign w:val="center"/>
          </w:tcPr>
          <w:p w14:paraId="07C003A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1843" w:type="dxa"/>
            <w:tcBorders>
              <w:tl2br w:val="nil"/>
              <w:tr2bl w:val="nil"/>
            </w:tcBorders>
            <w:noWrap w:val="0"/>
            <w:vAlign w:val="center"/>
          </w:tcPr>
          <w:p w14:paraId="30614CB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中央实验台</w:t>
            </w:r>
          </w:p>
        </w:tc>
        <w:tc>
          <w:tcPr>
            <w:tcW w:w="4635" w:type="dxa"/>
            <w:tcBorders>
              <w:tl2br w:val="nil"/>
              <w:tr2bl w:val="nil"/>
            </w:tcBorders>
            <w:noWrap w:val="0"/>
            <w:vAlign w:val="center"/>
          </w:tcPr>
          <w:p w14:paraId="00E2571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中央实验台规格：≥</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m(W)*1.5m(D)*0.85m(H)；</w:t>
            </w:r>
          </w:p>
        </w:tc>
        <w:tc>
          <w:tcPr>
            <w:tcW w:w="985" w:type="dxa"/>
            <w:tcBorders>
              <w:tl2br w:val="nil"/>
              <w:tr2bl w:val="nil"/>
            </w:tcBorders>
            <w:noWrap w:val="0"/>
            <w:vAlign w:val="center"/>
          </w:tcPr>
          <w:p w14:paraId="0AC653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28</w:t>
            </w:r>
            <w:r>
              <w:rPr>
                <w:rFonts w:hint="eastAsia" w:ascii="宋体" w:hAnsi="宋体" w:cs="宋体"/>
                <w:color w:val="000000"/>
                <w:kern w:val="0"/>
                <w:sz w:val="21"/>
                <w:szCs w:val="21"/>
                <w:highlight w:val="none"/>
                <w:lang w:val="en-US" w:eastAsia="zh-CN"/>
              </w:rPr>
              <w:t>m</w:t>
            </w:r>
          </w:p>
        </w:tc>
        <w:tc>
          <w:tcPr>
            <w:tcW w:w="1709" w:type="dxa"/>
            <w:tcBorders>
              <w:tl2br w:val="nil"/>
              <w:tr2bl w:val="nil"/>
            </w:tcBorders>
            <w:noWrap w:val="0"/>
            <w:vAlign w:val="center"/>
          </w:tcPr>
          <w:p w14:paraId="07A3487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1F21F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trPr>
        <w:tc>
          <w:tcPr>
            <w:tcW w:w="778" w:type="dxa"/>
            <w:tcBorders>
              <w:tl2br w:val="nil"/>
              <w:tr2bl w:val="nil"/>
            </w:tcBorders>
            <w:noWrap/>
            <w:vAlign w:val="center"/>
          </w:tcPr>
          <w:p w14:paraId="14B5A9A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1843" w:type="dxa"/>
            <w:tcBorders>
              <w:tl2br w:val="nil"/>
              <w:tr2bl w:val="nil"/>
            </w:tcBorders>
            <w:noWrap w:val="0"/>
            <w:vAlign w:val="center"/>
          </w:tcPr>
          <w:p w14:paraId="6353698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靠边实验台</w:t>
            </w:r>
          </w:p>
        </w:tc>
        <w:tc>
          <w:tcPr>
            <w:tcW w:w="4635" w:type="dxa"/>
            <w:tcBorders>
              <w:tl2br w:val="nil"/>
              <w:tr2bl w:val="nil"/>
            </w:tcBorders>
            <w:noWrap w:val="0"/>
            <w:vAlign w:val="center"/>
          </w:tcPr>
          <w:p w14:paraId="663EC97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靠边实验台规格：≥</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 xml:space="preserve">m(W)*0.75m(D)*0.85m(H)；                                                                                                                                </w:t>
            </w:r>
          </w:p>
        </w:tc>
        <w:tc>
          <w:tcPr>
            <w:tcW w:w="985" w:type="dxa"/>
            <w:tcBorders>
              <w:tl2br w:val="nil"/>
              <w:tr2bl w:val="nil"/>
            </w:tcBorders>
            <w:noWrap w:val="0"/>
            <w:vAlign w:val="center"/>
          </w:tcPr>
          <w:p w14:paraId="3536975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14</w:t>
            </w:r>
            <w:r>
              <w:rPr>
                <w:rFonts w:hint="eastAsia" w:ascii="宋体" w:hAnsi="宋体" w:cs="宋体"/>
                <w:color w:val="000000"/>
                <w:kern w:val="0"/>
                <w:sz w:val="21"/>
                <w:szCs w:val="21"/>
                <w:highlight w:val="none"/>
                <w:lang w:val="en-US" w:eastAsia="zh-CN"/>
              </w:rPr>
              <w:t>m</w:t>
            </w:r>
          </w:p>
        </w:tc>
        <w:tc>
          <w:tcPr>
            <w:tcW w:w="1709" w:type="dxa"/>
            <w:tcBorders>
              <w:tl2br w:val="nil"/>
              <w:tr2bl w:val="nil"/>
            </w:tcBorders>
            <w:noWrap w:val="0"/>
            <w:vAlign w:val="center"/>
          </w:tcPr>
          <w:p w14:paraId="411396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7F77E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778" w:type="dxa"/>
            <w:tcBorders>
              <w:tl2br w:val="nil"/>
              <w:tr2bl w:val="nil"/>
            </w:tcBorders>
            <w:noWrap/>
            <w:vAlign w:val="center"/>
          </w:tcPr>
          <w:p w14:paraId="530E96B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1843" w:type="dxa"/>
            <w:tcBorders>
              <w:tl2br w:val="nil"/>
              <w:tr2bl w:val="nil"/>
            </w:tcBorders>
            <w:noWrap w:val="0"/>
            <w:vAlign w:val="center"/>
          </w:tcPr>
          <w:p w14:paraId="290A95E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通风柜</w:t>
            </w:r>
          </w:p>
        </w:tc>
        <w:tc>
          <w:tcPr>
            <w:tcW w:w="4635" w:type="dxa"/>
            <w:tcBorders>
              <w:tl2br w:val="nil"/>
              <w:tr2bl w:val="nil"/>
            </w:tcBorders>
            <w:noWrap w:val="0"/>
            <w:vAlign w:val="center"/>
          </w:tcPr>
          <w:p w14:paraId="208BCF4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规格：≥1500mm(W)*900mm(D)*2350mm(H)；</w:t>
            </w:r>
          </w:p>
        </w:tc>
        <w:tc>
          <w:tcPr>
            <w:tcW w:w="985" w:type="dxa"/>
            <w:tcBorders>
              <w:tl2br w:val="nil"/>
              <w:tr2bl w:val="nil"/>
            </w:tcBorders>
            <w:noWrap w:val="0"/>
            <w:vAlign w:val="center"/>
          </w:tcPr>
          <w:p w14:paraId="044DF5D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台</w:t>
            </w:r>
          </w:p>
        </w:tc>
        <w:tc>
          <w:tcPr>
            <w:tcW w:w="1709" w:type="dxa"/>
            <w:tcBorders>
              <w:tl2br w:val="nil"/>
              <w:tr2bl w:val="nil"/>
            </w:tcBorders>
            <w:noWrap w:val="0"/>
            <w:vAlign w:val="center"/>
          </w:tcPr>
          <w:p w14:paraId="37A38EF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013DD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 w:hRule="atLeast"/>
        </w:trPr>
        <w:tc>
          <w:tcPr>
            <w:tcW w:w="778" w:type="dxa"/>
            <w:tcBorders>
              <w:tl2br w:val="nil"/>
              <w:tr2bl w:val="nil"/>
            </w:tcBorders>
            <w:noWrap/>
            <w:vAlign w:val="center"/>
          </w:tcPr>
          <w:p w14:paraId="2BAC5C9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1843" w:type="dxa"/>
            <w:tcBorders>
              <w:tl2br w:val="nil"/>
              <w:tr2bl w:val="nil"/>
            </w:tcBorders>
            <w:noWrap w:val="0"/>
            <w:vAlign w:val="center"/>
          </w:tcPr>
          <w:p w14:paraId="76D9C5A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洁净工作台</w:t>
            </w:r>
          </w:p>
        </w:tc>
        <w:tc>
          <w:tcPr>
            <w:tcW w:w="4635" w:type="dxa"/>
            <w:tcBorders>
              <w:tl2br w:val="nil"/>
              <w:tr2bl w:val="nil"/>
            </w:tcBorders>
            <w:noWrap w:val="0"/>
            <w:vAlign w:val="center"/>
          </w:tcPr>
          <w:p w14:paraId="7A2771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超净台规格：双人单面超净台≥1460mm(W)*620mm(D)*1850mm(H)；</w:t>
            </w:r>
          </w:p>
        </w:tc>
        <w:tc>
          <w:tcPr>
            <w:tcW w:w="985" w:type="dxa"/>
            <w:tcBorders>
              <w:tl2br w:val="nil"/>
              <w:tr2bl w:val="nil"/>
            </w:tcBorders>
            <w:noWrap w:val="0"/>
            <w:vAlign w:val="center"/>
          </w:tcPr>
          <w:p w14:paraId="75D8154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台</w:t>
            </w:r>
          </w:p>
        </w:tc>
        <w:tc>
          <w:tcPr>
            <w:tcW w:w="1709" w:type="dxa"/>
            <w:tcBorders>
              <w:tl2br w:val="nil"/>
              <w:tr2bl w:val="nil"/>
            </w:tcBorders>
            <w:noWrap w:val="0"/>
            <w:vAlign w:val="center"/>
          </w:tcPr>
          <w:p w14:paraId="5681563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2615A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7DB6FDE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1843" w:type="dxa"/>
            <w:tcBorders>
              <w:tl2br w:val="nil"/>
              <w:tr2bl w:val="nil"/>
            </w:tcBorders>
            <w:noWrap w:val="0"/>
            <w:vAlign w:val="center"/>
          </w:tcPr>
          <w:p w14:paraId="6591D79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美式双面试剂架</w:t>
            </w:r>
          </w:p>
        </w:tc>
        <w:tc>
          <w:tcPr>
            <w:tcW w:w="4635" w:type="dxa"/>
            <w:tcBorders>
              <w:tl2br w:val="nil"/>
              <w:tr2bl w:val="nil"/>
            </w:tcBorders>
            <w:noWrap w:val="0"/>
            <w:vAlign w:val="center"/>
          </w:tcPr>
          <w:p w14:paraId="4A6E03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m(W)*0.3m(D)*</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m(H)；</w:t>
            </w:r>
          </w:p>
        </w:tc>
        <w:tc>
          <w:tcPr>
            <w:tcW w:w="985" w:type="dxa"/>
            <w:tcBorders>
              <w:tl2br w:val="nil"/>
              <w:tr2bl w:val="nil"/>
            </w:tcBorders>
            <w:noWrap w:val="0"/>
            <w:vAlign w:val="center"/>
          </w:tcPr>
          <w:p w14:paraId="3E8532E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28</w:t>
            </w:r>
            <w:r>
              <w:rPr>
                <w:rFonts w:hint="eastAsia" w:ascii="宋体" w:hAnsi="宋体" w:cs="宋体"/>
                <w:color w:val="000000"/>
                <w:kern w:val="0"/>
                <w:sz w:val="21"/>
                <w:szCs w:val="21"/>
                <w:highlight w:val="none"/>
                <w:lang w:val="en-US" w:eastAsia="zh-CN"/>
              </w:rPr>
              <w:t>m</w:t>
            </w:r>
          </w:p>
        </w:tc>
        <w:tc>
          <w:tcPr>
            <w:tcW w:w="1709" w:type="dxa"/>
            <w:tcBorders>
              <w:tl2br w:val="nil"/>
              <w:tr2bl w:val="nil"/>
            </w:tcBorders>
            <w:noWrap w:val="0"/>
            <w:vAlign w:val="center"/>
          </w:tcPr>
          <w:p w14:paraId="4DC0D04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434CF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68469E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1843" w:type="dxa"/>
            <w:tcBorders>
              <w:tl2br w:val="nil"/>
              <w:tr2bl w:val="nil"/>
            </w:tcBorders>
            <w:noWrap w:val="0"/>
            <w:vAlign w:val="center"/>
          </w:tcPr>
          <w:p w14:paraId="2EE6D8B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吊柜</w:t>
            </w:r>
          </w:p>
        </w:tc>
        <w:tc>
          <w:tcPr>
            <w:tcW w:w="4635" w:type="dxa"/>
            <w:tcBorders>
              <w:tl2br w:val="nil"/>
              <w:tr2bl w:val="nil"/>
            </w:tcBorders>
            <w:noWrap w:val="0"/>
            <w:vAlign w:val="center"/>
          </w:tcPr>
          <w:p w14:paraId="7346DDA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m(W)*0.3m(D)*6m(H)；</w:t>
            </w:r>
          </w:p>
        </w:tc>
        <w:tc>
          <w:tcPr>
            <w:tcW w:w="985" w:type="dxa"/>
            <w:tcBorders>
              <w:tl2br w:val="nil"/>
              <w:tr2bl w:val="nil"/>
            </w:tcBorders>
            <w:noWrap w:val="0"/>
            <w:vAlign w:val="center"/>
          </w:tcPr>
          <w:p w14:paraId="190069D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50.5</w:t>
            </w:r>
            <w:r>
              <w:rPr>
                <w:rFonts w:hint="eastAsia" w:ascii="宋体" w:hAnsi="宋体" w:cs="宋体"/>
                <w:color w:val="000000"/>
                <w:kern w:val="0"/>
                <w:sz w:val="21"/>
                <w:szCs w:val="21"/>
                <w:highlight w:val="none"/>
                <w:lang w:val="en-US" w:eastAsia="zh-CN"/>
              </w:rPr>
              <w:t>m</w:t>
            </w:r>
          </w:p>
        </w:tc>
        <w:tc>
          <w:tcPr>
            <w:tcW w:w="1709" w:type="dxa"/>
            <w:tcBorders>
              <w:tl2br w:val="nil"/>
              <w:tr2bl w:val="nil"/>
            </w:tcBorders>
            <w:noWrap w:val="0"/>
            <w:vAlign w:val="center"/>
          </w:tcPr>
          <w:p w14:paraId="4CC6D6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23D5E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7BCE11F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1843" w:type="dxa"/>
            <w:tcBorders>
              <w:tl2br w:val="nil"/>
              <w:tr2bl w:val="nil"/>
            </w:tcBorders>
            <w:noWrap w:val="0"/>
            <w:vAlign w:val="center"/>
          </w:tcPr>
          <w:p w14:paraId="50FF48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PP水槽</w:t>
            </w:r>
          </w:p>
        </w:tc>
        <w:tc>
          <w:tcPr>
            <w:tcW w:w="4635" w:type="dxa"/>
            <w:tcBorders>
              <w:tl2br w:val="nil"/>
              <w:tr2bl w:val="nil"/>
            </w:tcBorders>
            <w:noWrap w:val="0"/>
            <w:vAlign w:val="center"/>
          </w:tcPr>
          <w:p w14:paraId="28EFDAB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规格：≥550mm*450mm*310mm；</w:t>
            </w:r>
          </w:p>
        </w:tc>
        <w:tc>
          <w:tcPr>
            <w:tcW w:w="985" w:type="dxa"/>
            <w:tcBorders>
              <w:tl2br w:val="nil"/>
              <w:tr2bl w:val="nil"/>
            </w:tcBorders>
            <w:noWrap w:val="0"/>
            <w:vAlign w:val="center"/>
          </w:tcPr>
          <w:p w14:paraId="5230613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1215C2A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14D01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8" w:hRule="atLeast"/>
        </w:trPr>
        <w:tc>
          <w:tcPr>
            <w:tcW w:w="778" w:type="dxa"/>
            <w:tcBorders>
              <w:tl2br w:val="nil"/>
              <w:tr2bl w:val="nil"/>
            </w:tcBorders>
            <w:noWrap/>
            <w:vAlign w:val="center"/>
          </w:tcPr>
          <w:p w14:paraId="5661C0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1843" w:type="dxa"/>
            <w:tcBorders>
              <w:tl2br w:val="nil"/>
              <w:tr2bl w:val="nil"/>
            </w:tcBorders>
            <w:noWrap w:val="0"/>
            <w:vAlign w:val="center"/>
          </w:tcPr>
          <w:p w14:paraId="1F441C6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三口水龙头</w:t>
            </w:r>
          </w:p>
        </w:tc>
        <w:tc>
          <w:tcPr>
            <w:tcW w:w="4635" w:type="dxa"/>
            <w:tcBorders>
              <w:tl2br w:val="nil"/>
              <w:tr2bl w:val="nil"/>
            </w:tcBorders>
            <w:noWrap w:val="0"/>
            <w:vAlign w:val="center"/>
          </w:tcPr>
          <w:p w14:paraId="066435F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三口水龙头；</w:t>
            </w:r>
          </w:p>
        </w:tc>
        <w:tc>
          <w:tcPr>
            <w:tcW w:w="985" w:type="dxa"/>
            <w:tcBorders>
              <w:tl2br w:val="nil"/>
              <w:tr2bl w:val="nil"/>
            </w:tcBorders>
            <w:noWrap w:val="0"/>
            <w:vAlign w:val="center"/>
          </w:tcPr>
          <w:p w14:paraId="51C0DD1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11</w:t>
            </w:r>
            <w:r>
              <w:rPr>
                <w:rFonts w:hint="eastAsia" w:ascii="宋体" w:hAnsi="宋体" w:cs="宋体"/>
                <w:color w:val="000000"/>
                <w:kern w:val="0"/>
                <w:sz w:val="21"/>
                <w:szCs w:val="21"/>
                <w:highlight w:val="none"/>
                <w:lang w:val="en-US" w:eastAsia="zh-CN"/>
              </w:rPr>
              <w:t>个</w:t>
            </w:r>
          </w:p>
        </w:tc>
        <w:tc>
          <w:tcPr>
            <w:tcW w:w="1709" w:type="dxa"/>
            <w:tcBorders>
              <w:tl2br w:val="nil"/>
              <w:tr2bl w:val="nil"/>
            </w:tcBorders>
            <w:noWrap w:val="0"/>
            <w:vAlign w:val="center"/>
          </w:tcPr>
          <w:p w14:paraId="415B30A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5CCB1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trPr>
        <w:tc>
          <w:tcPr>
            <w:tcW w:w="778" w:type="dxa"/>
            <w:tcBorders>
              <w:tl2br w:val="nil"/>
              <w:tr2bl w:val="nil"/>
            </w:tcBorders>
            <w:noWrap/>
            <w:vAlign w:val="center"/>
          </w:tcPr>
          <w:p w14:paraId="7F8974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1843" w:type="dxa"/>
            <w:tcBorders>
              <w:tl2br w:val="nil"/>
              <w:tr2bl w:val="nil"/>
            </w:tcBorders>
            <w:noWrap w:val="0"/>
            <w:vAlign w:val="center"/>
          </w:tcPr>
          <w:p w14:paraId="4F4FAE4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单头洗眼器</w:t>
            </w:r>
          </w:p>
        </w:tc>
        <w:tc>
          <w:tcPr>
            <w:tcW w:w="4635" w:type="dxa"/>
            <w:tcBorders>
              <w:tl2br w:val="nil"/>
              <w:tr2bl w:val="nil"/>
            </w:tcBorders>
            <w:noWrap w:val="0"/>
            <w:vAlign w:val="center"/>
          </w:tcPr>
          <w:p w14:paraId="14CC15C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单头洗眼器；</w:t>
            </w:r>
          </w:p>
        </w:tc>
        <w:tc>
          <w:tcPr>
            <w:tcW w:w="985" w:type="dxa"/>
            <w:tcBorders>
              <w:tl2br w:val="nil"/>
              <w:tr2bl w:val="nil"/>
            </w:tcBorders>
            <w:noWrap w:val="0"/>
            <w:vAlign w:val="center"/>
          </w:tcPr>
          <w:p w14:paraId="16B2AA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5</w:t>
            </w:r>
            <w:r>
              <w:rPr>
                <w:rFonts w:hint="eastAsia" w:ascii="宋体" w:hAnsi="宋体" w:cs="宋体"/>
                <w:color w:val="000000"/>
                <w:kern w:val="0"/>
                <w:sz w:val="21"/>
                <w:szCs w:val="21"/>
                <w:highlight w:val="none"/>
                <w:lang w:val="en-US" w:eastAsia="zh-CN"/>
              </w:rPr>
              <w:t>个</w:t>
            </w:r>
          </w:p>
        </w:tc>
        <w:tc>
          <w:tcPr>
            <w:tcW w:w="1709" w:type="dxa"/>
            <w:tcBorders>
              <w:tl2br w:val="nil"/>
              <w:tr2bl w:val="nil"/>
            </w:tcBorders>
            <w:noWrap w:val="0"/>
            <w:vAlign w:val="center"/>
          </w:tcPr>
          <w:p w14:paraId="18DF2D0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4E140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48A77D7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1843" w:type="dxa"/>
            <w:tcBorders>
              <w:tl2br w:val="nil"/>
              <w:tr2bl w:val="nil"/>
            </w:tcBorders>
            <w:noWrap w:val="0"/>
            <w:vAlign w:val="center"/>
          </w:tcPr>
          <w:p w14:paraId="291FED9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滴水架</w:t>
            </w:r>
          </w:p>
        </w:tc>
        <w:tc>
          <w:tcPr>
            <w:tcW w:w="4635" w:type="dxa"/>
            <w:tcBorders>
              <w:tl2br w:val="nil"/>
              <w:tr2bl w:val="nil"/>
            </w:tcBorders>
            <w:noWrap w:val="0"/>
            <w:vAlign w:val="center"/>
          </w:tcPr>
          <w:p w14:paraId="4BEBE06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规格：450mm*90mm*580mm；</w:t>
            </w:r>
          </w:p>
        </w:tc>
        <w:tc>
          <w:tcPr>
            <w:tcW w:w="985" w:type="dxa"/>
            <w:tcBorders>
              <w:tl2br w:val="nil"/>
              <w:tr2bl w:val="nil"/>
            </w:tcBorders>
            <w:noWrap w:val="0"/>
            <w:vAlign w:val="center"/>
          </w:tcPr>
          <w:p w14:paraId="014C4DA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613128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6236F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atLeast"/>
        </w:trPr>
        <w:tc>
          <w:tcPr>
            <w:tcW w:w="778" w:type="dxa"/>
            <w:tcBorders>
              <w:tl2br w:val="nil"/>
              <w:tr2bl w:val="nil"/>
            </w:tcBorders>
            <w:noWrap/>
            <w:vAlign w:val="center"/>
          </w:tcPr>
          <w:p w14:paraId="1D4C1B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1843" w:type="dxa"/>
            <w:tcBorders>
              <w:tl2br w:val="nil"/>
              <w:tr2bl w:val="nil"/>
            </w:tcBorders>
            <w:noWrap w:val="0"/>
            <w:vAlign w:val="center"/>
          </w:tcPr>
          <w:p w14:paraId="050402D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防水隔断</w:t>
            </w:r>
          </w:p>
        </w:tc>
        <w:tc>
          <w:tcPr>
            <w:tcW w:w="4635" w:type="dxa"/>
            <w:tcBorders>
              <w:tl2br w:val="nil"/>
              <w:tr2bl w:val="nil"/>
            </w:tcBorders>
            <w:noWrap w:val="0"/>
            <w:vAlign w:val="center"/>
          </w:tcPr>
          <w:p w14:paraId="49640F4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铝合金材质防水隔断；</w:t>
            </w:r>
          </w:p>
        </w:tc>
        <w:tc>
          <w:tcPr>
            <w:tcW w:w="985" w:type="dxa"/>
            <w:tcBorders>
              <w:tl2br w:val="nil"/>
              <w:tr2bl w:val="nil"/>
            </w:tcBorders>
            <w:noWrap w:val="0"/>
            <w:vAlign w:val="center"/>
          </w:tcPr>
          <w:p w14:paraId="6AA8FF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21.42</w:t>
            </w:r>
            <w:r>
              <w:rPr>
                <w:rFonts w:hint="eastAsia" w:ascii="宋体" w:hAnsi="宋体" w:cs="宋体"/>
                <w:color w:val="000000"/>
                <w:kern w:val="0"/>
                <w:sz w:val="21"/>
                <w:szCs w:val="21"/>
                <w:highlight w:val="none"/>
                <w:lang w:val="en-US" w:eastAsia="zh-CN"/>
              </w:rPr>
              <w:t>平方米</w:t>
            </w:r>
          </w:p>
        </w:tc>
        <w:tc>
          <w:tcPr>
            <w:tcW w:w="1709" w:type="dxa"/>
            <w:tcBorders>
              <w:tl2br w:val="nil"/>
              <w:tr2bl w:val="nil"/>
            </w:tcBorders>
            <w:noWrap w:val="0"/>
            <w:vAlign w:val="center"/>
          </w:tcPr>
          <w:p w14:paraId="0B2C27C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6575C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60BFB48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1843" w:type="dxa"/>
            <w:tcBorders>
              <w:tl2br w:val="nil"/>
              <w:tr2bl w:val="nil"/>
            </w:tcBorders>
            <w:noWrap w:val="0"/>
            <w:vAlign w:val="center"/>
          </w:tcPr>
          <w:p w14:paraId="08EBD04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污水处理系统</w:t>
            </w:r>
          </w:p>
        </w:tc>
        <w:tc>
          <w:tcPr>
            <w:tcW w:w="4635" w:type="dxa"/>
            <w:tcBorders>
              <w:tl2br w:val="nil"/>
              <w:tr2bl w:val="nil"/>
            </w:tcBorders>
            <w:noWrap w:val="0"/>
            <w:vAlign w:val="center"/>
          </w:tcPr>
          <w:p w14:paraId="5E34BA4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用于污水收集及提升至排放总管；</w:t>
            </w:r>
          </w:p>
        </w:tc>
        <w:tc>
          <w:tcPr>
            <w:tcW w:w="985" w:type="dxa"/>
            <w:tcBorders>
              <w:tl2br w:val="nil"/>
              <w:tr2bl w:val="nil"/>
            </w:tcBorders>
            <w:noWrap w:val="0"/>
            <w:vAlign w:val="center"/>
          </w:tcPr>
          <w:p w14:paraId="3277962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746122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72328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ign w:val="center"/>
          </w:tcPr>
          <w:p w14:paraId="0CD1DF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w:t>
            </w:r>
          </w:p>
        </w:tc>
        <w:tc>
          <w:tcPr>
            <w:tcW w:w="1843" w:type="dxa"/>
            <w:tcBorders>
              <w:tl2br w:val="nil"/>
              <w:tr2bl w:val="nil"/>
            </w:tcBorders>
            <w:noWrap w:val="0"/>
            <w:vAlign w:val="center"/>
          </w:tcPr>
          <w:p w14:paraId="46520CC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排风系统</w:t>
            </w:r>
          </w:p>
        </w:tc>
        <w:tc>
          <w:tcPr>
            <w:tcW w:w="4635" w:type="dxa"/>
            <w:tcBorders>
              <w:tl2br w:val="nil"/>
              <w:tr2bl w:val="nil"/>
            </w:tcBorders>
            <w:noWrap w:val="0"/>
            <w:vAlign w:val="center"/>
          </w:tcPr>
          <w:p w14:paraId="3614F71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F4-72型-No.4.5A玻璃钢离心排风机；</w:t>
            </w:r>
          </w:p>
        </w:tc>
        <w:tc>
          <w:tcPr>
            <w:tcW w:w="985" w:type="dxa"/>
            <w:tcBorders>
              <w:tl2br w:val="nil"/>
              <w:tr2bl w:val="nil"/>
            </w:tcBorders>
            <w:noWrap w:val="0"/>
            <w:vAlign w:val="center"/>
          </w:tcPr>
          <w:p w14:paraId="3CA1068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6D65FAD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56826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0"/>
            <w:vAlign w:val="center"/>
          </w:tcPr>
          <w:p w14:paraId="7950314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1843" w:type="dxa"/>
            <w:tcBorders>
              <w:tl2br w:val="nil"/>
              <w:tr2bl w:val="nil"/>
            </w:tcBorders>
            <w:noWrap w:val="0"/>
            <w:vAlign w:val="center"/>
          </w:tcPr>
          <w:p w14:paraId="19E48F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实验用电气系统</w:t>
            </w:r>
          </w:p>
        </w:tc>
        <w:tc>
          <w:tcPr>
            <w:tcW w:w="4635" w:type="dxa"/>
            <w:tcBorders>
              <w:tl2br w:val="nil"/>
              <w:tr2bl w:val="nil"/>
            </w:tcBorders>
            <w:noWrap w:val="0"/>
            <w:vAlign w:val="center"/>
          </w:tcPr>
          <w:p w14:paraId="0CEB584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实验设备专用电气线路；</w:t>
            </w:r>
          </w:p>
        </w:tc>
        <w:tc>
          <w:tcPr>
            <w:tcW w:w="985" w:type="dxa"/>
            <w:tcBorders>
              <w:tl2br w:val="nil"/>
              <w:tr2bl w:val="nil"/>
            </w:tcBorders>
            <w:noWrap w:val="0"/>
            <w:vAlign w:val="center"/>
          </w:tcPr>
          <w:p w14:paraId="33951C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45EC18B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6CA41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0"/>
            <w:vAlign w:val="center"/>
          </w:tcPr>
          <w:p w14:paraId="18706A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w:t>
            </w:r>
          </w:p>
        </w:tc>
        <w:tc>
          <w:tcPr>
            <w:tcW w:w="1843" w:type="dxa"/>
            <w:tcBorders>
              <w:tl2br w:val="nil"/>
              <w:tr2bl w:val="nil"/>
            </w:tcBorders>
            <w:noWrap w:val="0"/>
            <w:vAlign w:val="center"/>
          </w:tcPr>
          <w:p w14:paraId="392CAF3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废气处理系统</w:t>
            </w:r>
          </w:p>
        </w:tc>
        <w:tc>
          <w:tcPr>
            <w:tcW w:w="4635" w:type="dxa"/>
            <w:tcBorders>
              <w:tl2br w:val="nil"/>
              <w:tr2bl w:val="nil"/>
            </w:tcBorders>
            <w:noWrap w:val="0"/>
            <w:vAlign w:val="center"/>
          </w:tcPr>
          <w:p w14:paraId="0C37907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规格：处理量≥5000cmh；</w:t>
            </w:r>
          </w:p>
        </w:tc>
        <w:tc>
          <w:tcPr>
            <w:tcW w:w="985" w:type="dxa"/>
            <w:tcBorders>
              <w:tl2br w:val="nil"/>
              <w:tr2bl w:val="nil"/>
            </w:tcBorders>
            <w:noWrap w:val="0"/>
            <w:vAlign w:val="center"/>
          </w:tcPr>
          <w:p w14:paraId="728CFA7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4B413C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3474D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0"/>
            <w:vAlign w:val="center"/>
          </w:tcPr>
          <w:p w14:paraId="0EF6D77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16</w:t>
            </w:r>
          </w:p>
        </w:tc>
        <w:tc>
          <w:tcPr>
            <w:tcW w:w="1843" w:type="dxa"/>
            <w:tcBorders>
              <w:tl2br w:val="nil"/>
              <w:tr2bl w:val="nil"/>
            </w:tcBorders>
            <w:noWrap w:val="0"/>
            <w:vAlign w:val="center"/>
          </w:tcPr>
          <w:p w14:paraId="6B6CC13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VAV控制系统</w:t>
            </w:r>
          </w:p>
        </w:tc>
        <w:tc>
          <w:tcPr>
            <w:tcW w:w="4635" w:type="dxa"/>
            <w:tcBorders>
              <w:tl2br w:val="nil"/>
              <w:tr2bl w:val="nil"/>
            </w:tcBorders>
            <w:noWrap w:val="0"/>
            <w:vAlign w:val="center"/>
          </w:tcPr>
          <w:p w14:paraId="43771B5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变风量控制系统,含变频柜；</w:t>
            </w:r>
          </w:p>
        </w:tc>
        <w:tc>
          <w:tcPr>
            <w:tcW w:w="985" w:type="dxa"/>
            <w:tcBorders>
              <w:tl2br w:val="nil"/>
              <w:tr2bl w:val="nil"/>
            </w:tcBorders>
            <w:noWrap w:val="0"/>
            <w:vAlign w:val="center"/>
          </w:tcPr>
          <w:p w14:paraId="729275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7297939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2A8E3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 w:hRule="atLeast"/>
        </w:trPr>
        <w:tc>
          <w:tcPr>
            <w:tcW w:w="778" w:type="dxa"/>
            <w:tcBorders>
              <w:tl2br w:val="nil"/>
              <w:tr2bl w:val="nil"/>
            </w:tcBorders>
            <w:noWrap w:val="0"/>
            <w:vAlign w:val="center"/>
          </w:tcPr>
          <w:p w14:paraId="58FA0D9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17</w:t>
            </w:r>
          </w:p>
        </w:tc>
        <w:tc>
          <w:tcPr>
            <w:tcW w:w="1843" w:type="dxa"/>
            <w:tcBorders>
              <w:tl2br w:val="nil"/>
              <w:tr2bl w:val="nil"/>
            </w:tcBorders>
            <w:noWrap w:val="0"/>
            <w:vAlign w:val="center"/>
          </w:tcPr>
          <w:p w14:paraId="4CC13B3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危化品储存柜</w:t>
            </w:r>
          </w:p>
        </w:tc>
        <w:tc>
          <w:tcPr>
            <w:tcW w:w="4635" w:type="dxa"/>
            <w:tcBorders>
              <w:tl2br w:val="nil"/>
              <w:tr2bl w:val="nil"/>
            </w:tcBorders>
            <w:noWrap w:val="0"/>
            <w:vAlign w:val="center"/>
          </w:tcPr>
          <w:p w14:paraId="2F7367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危化品智能储存柜；</w:t>
            </w:r>
          </w:p>
        </w:tc>
        <w:tc>
          <w:tcPr>
            <w:tcW w:w="985" w:type="dxa"/>
            <w:tcBorders>
              <w:tl2br w:val="nil"/>
              <w:tr2bl w:val="nil"/>
            </w:tcBorders>
            <w:noWrap w:val="0"/>
            <w:vAlign w:val="center"/>
          </w:tcPr>
          <w:p w14:paraId="767CEC7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00F8C44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r w14:paraId="5D025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 w:hRule="atLeast"/>
        </w:trPr>
        <w:tc>
          <w:tcPr>
            <w:tcW w:w="778" w:type="dxa"/>
            <w:tcBorders>
              <w:tl2br w:val="nil"/>
              <w:tr2bl w:val="nil"/>
            </w:tcBorders>
            <w:noWrap w:val="0"/>
            <w:vAlign w:val="center"/>
          </w:tcPr>
          <w:p w14:paraId="13503C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18</w:t>
            </w:r>
          </w:p>
        </w:tc>
        <w:tc>
          <w:tcPr>
            <w:tcW w:w="1843" w:type="dxa"/>
            <w:tcBorders>
              <w:tl2br w:val="nil"/>
              <w:tr2bl w:val="nil"/>
            </w:tcBorders>
            <w:noWrap w:val="0"/>
            <w:vAlign w:val="center"/>
          </w:tcPr>
          <w:p w14:paraId="1D0C64C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落地式紧急冲淋器</w:t>
            </w:r>
          </w:p>
        </w:tc>
        <w:tc>
          <w:tcPr>
            <w:tcW w:w="4635" w:type="dxa"/>
            <w:tcBorders>
              <w:tl2br w:val="nil"/>
              <w:tr2bl w:val="nil"/>
            </w:tcBorders>
            <w:noWrap w:val="0"/>
            <w:vAlign w:val="center"/>
          </w:tcPr>
          <w:p w14:paraId="1CCF913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落地式紧急冲淋器，（不锈钢）；</w:t>
            </w:r>
          </w:p>
        </w:tc>
        <w:tc>
          <w:tcPr>
            <w:tcW w:w="985" w:type="dxa"/>
            <w:tcBorders>
              <w:tl2br w:val="nil"/>
              <w:tr2bl w:val="nil"/>
            </w:tcBorders>
            <w:noWrap w:val="0"/>
            <w:vAlign w:val="center"/>
          </w:tcPr>
          <w:p w14:paraId="63CAC7A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1</w:t>
            </w:r>
            <w:r>
              <w:rPr>
                <w:rFonts w:hint="eastAsia" w:ascii="宋体" w:hAnsi="宋体" w:cs="宋体"/>
                <w:color w:val="000000"/>
                <w:kern w:val="0"/>
                <w:sz w:val="21"/>
                <w:szCs w:val="21"/>
                <w:highlight w:val="none"/>
                <w:lang w:val="en-US" w:eastAsia="zh-CN"/>
              </w:rPr>
              <w:t>套</w:t>
            </w:r>
          </w:p>
        </w:tc>
        <w:tc>
          <w:tcPr>
            <w:tcW w:w="1709" w:type="dxa"/>
            <w:tcBorders>
              <w:tl2br w:val="nil"/>
              <w:tr2bl w:val="nil"/>
            </w:tcBorders>
            <w:noWrap w:val="0"/>
            <w:vAlign w:val="center"/>
          </w:tcPr>
          <w:p w14:paraId="19E956F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详见技术参数表</w:t>
            </w:r>
          </w:p>
        </w:tc>
      </w:tr>
    </w:tbl>
    <w:p w14:paraId="1AC0EF5B">
      <w:pPr>
        <w:spacing w:line="560" w:lineRule="exact"/>
        <w:ind w:firstLine="240" w:firstLineChars="100"/>
        <w:rPr>
          <w:rFonts w:asciiTheme="minorEastAsia" w:hAnsiTheme="minorEastAsia" w:eastAsiaTheme="minorEastAsia" w:cstheme="minorEastAsia"/>
          <w:sz w:val="24"/>
          <w:highlight w:val="none"/>
        </w:rPr>
      </w:pPr>
    </w:p>
    <w:bookmarkEnd w:id="40"/>
    <w:p w14:paraId="4AE7FAEF">
      <w:pPr>
        <w:pStyle w:val="4"/>
        <w:numPr>
          <w:ilvl w:val="0"/>
          <w:numId w:val="0"/>
        </w:numPr>
        <w:spacing w:line="300" w:lineRule="auto"/>
        <w:ind w:firstLine="0" w:firstLineChars="0"/>
        <w:jc w:val="left"/>
        <w:rPr>
          <w:rFonts w:hint="default" w:cs="宋体"/>
          <w:szCs w:val="24"/>
          <w:highlight w:val="none"/>
          <w:lang w:val="en-US" w:eastAsia="zh-CN"/>
        </w:rPr>
      </w:pPr>
      <w:r>
        <w:rPr>
          <w:rFonts w:hint="eastAsia" w:cs="宋体"/>
          <w:szCs w:val="24"/>
          <w:highlight w:val="none"/>
          <w:lang w:val="en-US" w:eastAsia="zh-CN"/>
        </w:rPr>
        <w:t>二、技术参数表</w:t>
      </w:r>
    </w:p>
    <w:tbl>
      <w:tblPr>
        <w:tblStyle w:val="6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09"/>
        <w:gridCol w:w="7952"/>
      </w:tblGrid>
      <w:tr w14:paraId="2960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33C885E">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序号</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797D42C">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名称</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14BF2C1E">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技术参数</w:t>
            </w:r>
          </w:p>
        </w:tc>
      </w:tr>
      <w:tr w14:paraId="11AD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816215D">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6847C25">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中央实验台、靠边实验台、美式双面试剂架</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42A135A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中央实验台、靠边实验台</w:t>
            </w:r>
          </w:p>
          <w:p w14:paraId="39744CFB">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kern w:val="0"/>
                <w:sz w:val="21"/>
                <w:szCs w:val="21"/>
                <w:highlight w:val="none"/>
                <w:lang w:bidi="ar"/>
              </w:rPr>
            </w:pPr>
            <w:r>
              <w:rPr>
                <w:rFonts w:hint="eastAsia" w:ascii="宋体" w:hAnsi="宋体" w:eastAsia="宋体" w:cs="宋体"/>
                <w:bCs/>
                <w:sz w:val="21"/>
                <w:szCs w:val="21"/>
                <w:highlight w:val="none"/>
              </w:rPr>
              <w:t>1.1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全钢结构实验台：中央实验台规格</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w:t>
            </w:r>
            <w:r>
              <w:rPr>
                <w:rFonts w:hint="eastAsia" w:ascii="宋体" w:hAnsi="宋体" w:cs="宋体"/>
                <w:bCs/>
                <w:color w:val="000000"/>
                <w:kern w:val="0"/>
                <w:sz w:val="21"/>
                <w:szCs w:val="21"/>
                <w:highlight w:val="none"/>
                <w:lang w:val="en-US" w:eastAsia="zh-CN" w:bidi="ar"/>
              </w:rPr>
              <w:t>1</w:t>
            </w:r>
            <w:r>
              <w:rPr>
                <w:rFonts w:hint="eastAsia" w:ascii="宋体" w:hAnsi="宋体" w:eastAsia="宋体" w:cs="宋体"/>
                <w:bCs/>
                <w:color w:val="000000"/>
                <w:kern w:val="0"/>
                <w:sz w:val="21"/>
                <w:szCs w:val="21"/>
                <w:highlight w:val="none"/>
                <w:lang w:bidi="ar"/>
              </w:rPr>
              <w:t>m(W)*1.5m(D)*0.85m(H)；</w:t>
            </w:r>
            <w:r>
              <w:rPr>
                <w:rFonts w:hint="eastAsia" w:ascii="宋体" w:hAnsi="宋体" w:eastAsia="宋体" w:cs="宋体"/>
                <w:bCs/>
                <w:sz w:val="21"/>
                <w:szCs w:val="21"/>
                <w:highlight w:val="none"/>
              </w:rPr>
              <w:t>靠边实验台规格：≥</w:t>
            </w:r>
            <w:r>
              <w:rPr>
                <w:rFonts w:hint="eastAsia" w:ascii="宋体" w:hAnsi="宋体" w:cs="宋体"/>
                <w:bCs/>
                <w:color w:val="000000"/>
                <w:kern w:val="0"/>
                <w:sz w:val="21"/>
                <w:szCs w:val="21"/>
                <w:highlight w:val="none"/>
                <w:lang w:val="en-US" w:eastAsia="zh-CN" w:bidi="ar"/>
              </w:rPr>
              <w:t>1</w:t>
            </w:r>
            <w:r>
              <w:rPr>
                <w:rFonts w:hint="eastAsia" w:ascii="宋体" w:hAnsi="宋体" w:eastAsia="宋体" w:cs="宋体"/>
                <w:bCs/>
                <w:color w:val="000000"/>
                <w:kern w:val="0"/>
                <w:sz w:val="21"/>
                <w:szCs w:val="21"/>
                <w:highlight w:val="none"/>
                <w:lang w:bidi="ar"/>
              </w:rPr>
              <w:t>m(W)*0.75m(D)*0.85m(H)；</w:t>
            </w:r>
          </w:p>
          <w:p w14:paraId="61D46A70">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1.1.1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全钢落地柜体：采用≥1.2mm全钢材质结构，加工材料为优质低碳冷轧钢板，钢材基本厚度须达到或优于1.2mm，柜体底部安装调整脚； </w:t>
            </w:r>
          </w:p>
          <w:p w14:paraId="536C3ABD">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1.1.2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地脚：采用不锈钢螺丝、尼龙罩盖、橡胶底座组合结构，可自由调节高度为0～30mm；</w:t>
            </w:r>
          </w:p>
          <w:p w14:paraId="7DC3C170">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全钢柜体技术标准</w:t>
            </w:r>
          </w:p>
          <w:p w14:paraId="65AA4071">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1.2.1</w:t>
            </w:r>
            <w:r>
              <w:rPr>
                <w:rFonts w:hint="eastAsia" w:ascii="宋体" w:hAnsi="宋体" w:eastAsia="宋体" w:cs="宋体"/>
                <w:bCs/>
                <w:sz w:val="21"/>
                <w:szCs w:val="21"/>
                <w:highlight w:val="none"/>
                <w:lang w:eastAsia="zh-CN"/>
              </w:rPr>
              <w:t>、</w:t>
            </w:r>
            <w:r>
              <w:rPr>
                <w:rFonts w:hint="eastAsia" w:ascii="宋体" w:hAnsi="宋体" w:eastAsia="宋体" w:cs="宋体"/>
                <w:bCs/>
                <w:color w:val="000000"/>
                <w:sz w:val="21"/>
                <w:szCs w:val="21"/>
                <w:highlight w:val="none"/>
              </w:rPr>
              <w:t>★</w:t>
            </w:r>
            <w:r>
              <w:rPr>
                <w:rFonts w:hint="eastAsia" w:ascii="宋体" w:hAnsi="宋体" w:eastAsia="宋体" w:cs="宋体"/>
                <w:bCs/>
                <w:sz w:val="21"/>
                <w:szCs w:val="21"/>
                <w:highlight w:val="none"/>
              </w:rPr>
              <w:t>依据GB/T 10357.1-2024检测，水平静载荷试验≥600N，主桌面垂直静载荷试验≥1250N</w:t>
            </w:r>
            <w:r>
              <w:rPr>
                <w:rFonts w:hint="eastAsia" w:ascii="宋体" w:hAnsi="宋体" w:eastAsia="宋体" w:cs="宋体"/>
                <w:bCs/>
                <w:sz w:val="21"/>
                <w:szCs w:val="21"/>
                <w:highlight w:val="none"/>
                <w:lang w:eastAsia="zh-CN"/>
              </w:rPr>
              <w:t>；</w:t>
            </w:r>
          </w:p>
          <w:p w14:paraId="6CF579EB">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1.2.2、</w:t>
            </w:r>
            <w:r>
              <w:rPr>
                <w:rFonts w:hint="eastAsia" w:ascii="宋体" w:hAnsi="宋体" w:eastAsia="宋体" w:cs="宋体"/>
                <w:bCs/>
                <w:color w:val="000000"/>
                <w:sz w:val="21"/>
                <w:szCs w:val="21"/>
                <w:highlight w:val="none"/>
              </w:rPr>
              <w:t>★</w:t>
            </w:r>
            <w:r>
              <w:rPr>
                <w:rFonts w:hint="eastAsia" w:ascii="宋体" w:hAnsi="宋体" w:eastAsia="宋体" w:cs="宋体"/>
                <w:bCs/>
                <w:sz w:val="21"/>
                <w:szCs w:val="21"/>
                <w:highlight w:val="none"/>
              </w:rPr>
              <w:t>依据 GB/T 10357.5-2023 规定进行检测，搁板弯曲试验≥2.0kg/dm2，搁板支撑件强度试验高度＞300mm，顶板和底板静载荷试验≥1000N，开门水平加载试验≥80N，开门猛关试验≥4kg，开门耐久性试验≥50000次循环，推拉构件的猛关试验≥0.65 kg/dm3</w:t>
            </w:r>
            <w:r>
              <w:rPr>
                <w:rFonts w:hint="eastAsia" w:ascii="宋体" w:hAnsi="宋体" w:eastAsia="宋体" w:cs="宋体"/>
                <w:bCs/>
                <w:sz w:val="21"/>
                <w:szCs w:val="21"/>
                <w:highlight w:val="none"/>
                <w:lang w:eastAsia="zh-CN"/>
              </w:rPr>
              <w:t>；</w:t>
            </w:r>
          </w:p>
          <w:p w14:paraId="5AACBF8B">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1.2.3、</w:t>
            </w:r>
            <w:r>
              <w:rPr>
                <w:rFonts w:hint="eastAsia" w:ascii="宋体" w:hAnsi="宋体" w:eastAsia="宋体" w:cs="宋体"/>
                <w:bCs/>
                <w:color w:val="000000"/>
                <w:sz w:val="21"/>
                <w:szCs w:val="21"/>
                <w:highlight w:val="none"/>
              </w:rPr>
              <w:t>★</w:t>
            </w:r>
            <w:r>
              <w:rPr>
                <w:rFonts w:hint="eastAsia" w:ascii="宋体" w:hAnsi="宋体" w:eastAsia="宋体" w:cs="宋体"/>
                <w:bCs/>
                <w:sz w:val="21"/>
                <w:szCs w:val="21"/>
                <w:highlight w:val="none"/>
              </w:rPr>
              <w:t>依据GB/T 10125-2021规定进行检测，24h乙酸盐雾测试结果10级</w:t>
            </w:r>
            <w:r>
              <w:rPr>
                <w:rFonts w:hint="eastAsia" w:ascii="宋体" w:hAnsi="宋体" w:eastAsia="宋体" w:cs="宋体"/>
                <w:bCs/>
                <w:sz w:val="21"/>
                <w:szCs w:val="21"/>
                <w:highlight w:val="none"/>
                <w:lang w:eastAsia="zh-CN"/>
              </w:rPr>
              <w:t>；</w:t>
            </w:r>
          </w:p>
          <w:p w14:paraId="3C19CD7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1.2.4、</w:t>
            </w:r>
            <w:r>
              <w:rPr>
                <w:rFonts w:hint="eastAsia" w:ascii="宋体" w:hAnsi="宋体" w:eastAsia="宋体" w:cs="宋体"/>
                <w:bCs/>
                <w:color w:val="000000"/>
                <w:sz w:val="21"/>
                <w:szCs w:val="21"/>
                <w:highlight w:val="none"/>
              </w:rPr>
              <w:t>★</w:t>
            </w:r>
            <w:r>
              <w:rPr>
                <w:rFonts w:hint="eastAsia" w:ascii="宋体" w:hAnsi="宋体" w:eastAsia="宋体" w:cs="宋体"/>
                <w:bCs/>
                <w:sz w:val="21"/>
                <w:szCs w:val="21"/>
                <w:highlight w:val="none"/>
              </w:rPr>
              <w:t>依据GB 18584-2024规定进行检测，安全性能：其中铅、汞、硒、钡、砷可迁移有害元素检测结果应为未检出，甲醛释放量检测结果值≤0.08mg/m3、苯≤0.06mg/m3、甲苯≤0.15mg/m3、二甲苯≤0.20mg/m3、tvoc≤0.50mg/m3。</w:t>
            </w:r>
          </w:p>
          <w:p w14:paraId="3173583E">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实验台面：台面要求耐化学腐蚀性能优越，抗刮痕；必须采用≥12.7mm厚度的优质耐腐蚀实芯耐蚀理化板，边缘背边加工带止水槽，打磨，呈弧型。台面应保持水平，拼接台面应保持在一个平面内。台面与柜体之间应连接稳固，台面不能脱落或跷起，且全面满足以下技术指标</w:t>
            </w:r>
            <w:r>
              <w:rPr>
                <w:rFonts w:hint="eastAsia" w:ascii="宋体" w:hAnsi="宋体" w:eastAsia="宋体" w:cs="宋体"/>
                <w:bCs/>
                <w:color w:val="000000"/>
                <w:sz w:val="21"/>
                <w:szCs w:val="21"/>
                <w:highlight w:val="none"/>
                <w:lang w:eastAsia="zh-CN"/>
              </w:rPr>
              <w:t>；</w:t>
            </w:r>
          </w:p>
          <w:p w14:paraId="55E0540D">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★化学全面性：提供具有CMA或CNAS认证标志</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rPr>
              <w:t>检测单位</w:t>
            </w:r>
            <w:r>
              <w:rPr>
                <w:rFonts w:hint="eastAsia" w:ascii="宋体" w:hAnsi="宋体" w:eastAsia="宋体" w:cs="宋体"/>
                <w:bCs/>
                <w:sz w:val="21"/>
                <w:szCs w:val="21"/>
                <w:highlight w:val="none"/>
              </w:rPr>
              <w:t xml:space="preserve">出具的检测报告扫描件或复印件加盖投标人公章作为产品技术证明文件，参照GB/T17657-2022及进行化学性能测试，通过实验室常用化学试剂浓度且在室温24h测试条件下覆盖及不覆盖玻板进行测试，其中测试项目包括无水甲醇、无水乙醇、正己烷、凡士林、盐酸37%、硝酸65%、硫酸98%、氢氧化钠40%、过氧化氢30%、氢氟酸40%、氨水28%等77项及以上，检验结果均为“无明显变化”，分级结果为“5级”； </w:t>
            </w:r>
          </w:p>
          <w:p w14:paraId="1CBB62C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★环保性能：甲醛释放量按GB/T 39600-2021检测标准，甲醛释放量检验结果要求≤0.020mg/m3；提供具有CMA或CNAS认证标志的检测单位出具的化学物排放测试报告扫描件或复印件加盖投标人公章作为产品技术证明文件，且参照01350-2017 《用环境舱测试与评估室内材料挥发性有机化合物释放的标准方法》ISO16000-9-2006《室内空气第9部分：建筑产品和家具释放挥发性有机化合物的测定 释放试验室法》检测，包含TVOC释放检测值≤0.068mg/m³，苯及二甲苯未检出；并具备产品碳足迹相关认证； </w:t>
            </w:r>
          </w:p>
          <w:p w14:paraId="1469521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★需要提供具有CMA或CNAS认证标志的检测单位出具的检测报告扫描件或复印件加盖投标人公章作为产品技术证明文件，燃烧性</w:t>
            </w:r>
            <w:r>
              <w:rPr>
                <w:rFonts w:hint="eastAsia" w:ascii="宋体" w:hAnsi="宋体" w:eastAsia="宋体" w:cs="宋体"/>
                <w:bCs/>
                <w:color w:val="000000"/>
                <w:sz w:val="21"/>
                <w:szCs w:val="21"/>
                <w:highlight w:val="none"/>
              </w:rPr>
              <w:t>能符合GB8624-2012标准中 B1级，烟气毒性等级达到ZA1级， 可燃性60s内焰尖高度≤50mm</w:t>
            </w:r>
            <w:r>
              <w:rPr>
                <w:rFonts w:hint="eastAsia" w:ascii="宋体" w:hAnsi="宋体" w:eastAsia="宋体" w:cs="宋体"/>
                <w:bCs/>
                <w:sz w:val="21"/>
                <w:szCs w:val="21"/>
                <w:highlight w:val="none"/>
              </w:rPr>
              <w:t xml:space="preserve">； </w:t>
            </w:r>
          </w:p>
          <w:p w14:paraId="797F4D63">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★抗菌性能：依据JIS Z 2801:2010</w:t>
            </w:r>
            <w:r>
              <w:rPr>
                <w:rFonts w:hint="eastAsia" w:ascii="宋体" w:hAnsi="宋体" w:eastAsia="宋体" w:cs="宋体"/>
                <w:bCs/>
                <w:sz w:val="21"/>
                <w:szCs w:val="21"/>
                <w:highlight w:val="none"/>
              </w:rPr>
              <w:t xml:space="preserve">检测标准检测，提供具有CMA或CNAS认证标志的第三方检测机构出具的检测报告扫描件或复印件加盖投标人公章作为产品技术证明文件，检测包括以下菌种：大肠杆菌、肺炎克雷伯氏菌、金黄色葡萄球菌、表皮葡萄球菌、宋氏志贺氏菌，5种菌种的检测结果抗菌率均≥99%，其中金黄色葡萄球菌、大肠杆菌的抗菌活性值均≥5； </w:t>
            </w:r>
          </w:p>
          <w:p w14:paraId="06D4904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.5</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★物理性能：符合GB/T17657-2013或GB/T7911-2013中技术要求，提供具有CMA或CNAS认证标志的检测单位出具的检测报告扫描件或复印件加盖投标人公章作为产品技术证明文件 抽样检验，外观质量、厚度、长度、宽度、平整度、边缘直度、直角度、耐光色牢度、尺寸稳定性、耐磨、耐沸水、耐干热、耐污染、耐香烟灼烧、抗拉强度、耐龟裂、抗大球冲击、耐湿热、耐水蒸气、耐划痕、弯曲强度、弯曲弹性模量共计22种检测项目结果合格，其中1）弯曲强度≥142MPa，2）弯曲弹性模量≥16480MPa，3）耐磨性能≥1150转，4）抗拉强度≥78MPa</w:t>
            </w:r>
            <w:r>
              <w:rPr>
                <w:rFonts w:hint="eastAsia" w:ascii="宋体" w:hAnsi="宋体" w:eastAsia="宋体" w:cs="宋体"/>
                <w:bCs/>
                <w:sz w:val="21"/>
                <w:szCs w:val="21"/>
                <w:highlight w:val="none"/>
                <w:lang w:eastAsia="zh-CN"/>
              </w:rPr>
              <w:t>；</w:t>
            </w:r>
          </w:p>
          <w:p w14:paraId="4D7FF35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.6</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★耐黄变色牢度：通过GB/T17657-2022标准测试，提供具有CMA或CNAS认证标志的检测单位出具的检测报告扫描件或复印件加盖投标人公章作为产品技术证明文件，检测结果为灰色样卡5级； </w:t>
            </w:r>
          </w:p>
          <w:p w14:paraId="152E07E4">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.7</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★材料放射性核素限量经GB6566-2010标准检测，内照射指数Ira和外照射指数Iγ均＜0.1，检验结果合格。提供具有CMA</w:t>
            </w:r>
            <w:r>
              <w:rPr>
                <w:rFonts w:hint="eastAsia" w:ascii="宋体" w:hAnsi="宋体" w:eastAsia="宋体" w:cs="宋体"/>
                <w:bCs/>
                <w:sz w:val="21"/>
                <w:szCs w:val="21"/>
                <w:highlight w:val="none"/>
              </w:rPr>
              <w:t>或CNAS认证标志的检测单位出具的检测报告复印件</w:t>
            </w:r>
            <w:r>
              <w:rPr>
                <w:rFonts w:hint="eastAsia" w:ascii="宋体" w:hAnsi="宋体" w:eastAsia="宋体" w:cs="宋体"/>
                <w:bCs/>
                <w:color w:val="000000"/>
                <w:sz w:val="21"/>
                <w:szCs w:val="21"/>
                <w:highlight w:val="none"/>
              </w:rPr>
              <w:t>并加盖投标人公章</w:t>
            </w:r>
            <w:r>
              <w:rPr>
                <w:rFonts w:hint="eastAsia" w:ascii="宋体" w:hAnsi="宋体" w:eastAsia="宋体" w:cs="宋体"/>
                <w:bCs/>
                <w:sz w:val="21"/>
                <w:szCs w:val="21"/>
                <w:highlight w:val="none"/>
              </w:rPr>
              <w:t>作为产品技术</w:t>
            </w:r>
            <w:r>
              <w:rPr>
                <w:rFonts w:hint="eastAsia" w:ascii="宋体" w:hAnsi="宋体" w:eastAsia="宋体" w:cs="宋体"/>
                <w:bCs/>
                <w:sz w:val="21"/>
                <w:szCs w:val="21"/>
                <w:highlight w:val="none"/>
              </w:rPr>
              <w:t>证明文件。</w:t>
            </w:r>
          </w:p>
          <w:p w14:paraId="3B889DD3">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五金及配件 </w:t>
            </w:r>
          </w:p>
          <w:p w14:paraId="30FA408E">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合页：采用符合本项目门板荷重要求的编号304(及以上)不锈钢材质合页；需要提供第三方检测机构出具的关于实验室钢制柜体不锈钢合页满足腐蚀性能测试的检测报告（ 40%硝酸溶液浓度下腐蚀速率R≤ 0.08mm/a；75%硫酸溶液浓度下腐蚀速率R≤0.3mm/a；40%氢氧化钠溶液浓度下腐蚀速率R≤0.1mm/a；30%过氧化钠溶液浓度下腐蚀速率R≤0.1mm/a）； </w:t>
            </w:r>
          </w:p>
          <w:p w14:paraId="0546811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 xml:space="preserve">抽屉/门板把手：柜体拉手均采用编号304(及以上)不锈钢明装式C型拉手，以方便底柜拉动挪位时操作；需要提供第三方检测机构出具的关于实验室钢制柜体不锈钢门把手满足腐蚀性能测试的检测报告（40%硝酸溶液浓度下腐蚀速率R≤0.3mm/a；75%硫酸溶液浓度下腐蚀速率R≤0.05mm/a；40%氢氧化钠溶液浓度下腐蚀速率R≤1mm/a；10%盐酸溶液浓度下腐蚀速率R≤0.8mm/a）； </w:t>
            </w:r>
          </w:p>
          <w:p w14:paraId="39F9C0AE">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4</w:t>
            </w: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抽屉导轨：采用符合本项目抽屉荷重要求的厚1.5mm(及以上)钢制高承载导轨，表面经环氧树脂粉末静电喷涂烤漆工艺处理。 </w:t>
            </w:r>
          </w:p>
          <w:p w14:paraId="587982B0">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全钢结构工艺要求 </w:t>
            </w:r>
          </w:p>
          <w:p w14:paraId="38E0CFD0">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1.5.1、</w:t>
            </w:r>
            <w:r>
              <w:rPr>
                <w:rFonts w:hint="eastAsia" w:ascii="宋体" w:hAnsi="宋体" w:eastAsia="宋体" w:cs="宋体"/>
                <w:bCs/>
                <w:color w:val="000000"/>
                <w:sz w:val="21"/>
                <w:szCs w:val="21"/>
                <w:highlight w:val="none"/>
              </w:rPr>
              <w:t xml:space="preserve">框架：框架单元均须为完整独立的落地式或活动式结构，落地式框架可以单独站立或多单元组合使用；框架高度(依据设备清单及相关说明所示配置)；配置选项一(落地框架式实验台用，含调整脚及台面厚度)：为850mm(±3%)；落地式水槽台(含调整脚及台面厚度)：与所配套的落地框架式实验台/仪器台相同;所有框架式实验台/仪器台的结构设计强度需确保稳固不倾倒；所有非不锈钢材质框架矩形钢管开口处应装设可拆装的塑料材质封口盖，不得直接以封焊方式封口，以确保钢材喷涂预处理时钢管内部的处理效果；所有配置活动底柜的框架底部后横梁正面需装设橡胶材质缓冲垫； </w:t>
            </w:r>
          </w:p>
          <w:p w14:paraId="6F66EBF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1.5.2、</w:t>
            </w:r>
            <w:r>
              <w:rPr>
                <w:rFonts w:hint="eastAsia" w:ascii="宋体" w:hAnsi="宋体" w:eastAsia="宋体" w:cs="宋体"/>
                <w:bCs/>
                <w:color w:val="000000"/>
                <w:sz w:val="21"/>
                <w:szCs w:val="21"/>
                <w:highlight w:val="none"/>
              </w:rPr>
              <w:t xml:space="preserve">装饰封板：所有框架后侧的水电布管空间(服务通道)均应以可拆装式钢制装饰封板封闭遮盖，例如于钢制框架的后侧、中央台背对背框架中间空档的外露端口外侧、边台框架与墙面间空档的外露端口外侧、不靠墙的仪器台框架后侧等；封板的材质、表面处理等须与框架相同，不得在现场直接以其它材料加工制作装饰封板；所有装饰封板为可拆装式设计，其组装螺丝应以孔塞遮蔽不可外露； </w:t>
            </w:r>
          </w:p>
          <w:p w14:paraId="03F3E8A1">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1.5.3、</w:t>
            </w:r>
            <w:r>
              <w:rPr>
                <w:rFonts w:hint="eastAsia" w:ascii="宋体" w:hAnsi="宋体" w:eastAsia="宋体" w:cs="宋体"/>
                <w:bCs/>
                <w:color w:val="000000"/>
                <w:sz w:val="21"/>
                <w:szCs w:val="21"/>
                <w:highlight w:val="none"/>
              </w:rPr>
              <w:t xml:space="preserve">每个落地固定式框架单元须配备4个不锈钢螺杆调整脚，以支撑框架及调节水平，框架底部离地板距离应不少于10mm以隔离地面潮气； </w:t>
            </w:r>
          </w:p>
          <w:p w14:paraId="280C241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1.5.4、</w:t>
            </w:r>
            <w:r>
              <w:rPr>
                <w:rFonts w:hint="eastAsia" w:ascii="宋体" w:hAnsi="宋体" w:eastAsia="宋体" w:cs="宋体"/>
                <w:bCs/>
                <w:color w:val="000000"/>
                <w:sz w:val="21"/>
                <w:szCs w:val="21"/>
                <w:highlight w:val="none"/>
              </w:rPr>
              <w:t xml:space="preserve">钢制抽屉：抽屉面板为双层结构，内外面均经环氧树脂粉末静电喷涂烤漆工艺处理，夹层内具消音材料；抽屉底板和四面抽墙须为单片钢板一体弯折成形制作，弯折接合处焊接；抽屉于适当位置安装缓冲垫，以避免关合时与柜体钢板硬性碰撞；抽屉能抽出至少330mm；不需使用另外的工具即可将整个抽屉拆卸取下； </w:t>
            </w:r>
          </w:p>
          <w:p w14:paraId="7A431E9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1.5.5、</w:t>
            </w:r>
            <w:r>
              <w:rPr>
                <w:rFonts w:hint="eastAsia" w:ascii="宋体" w:hAnsi="宋体" w:eastAsia="宋体" w:cs="宋体"/>
                <w:bCs/>
                <w:color w:val="000000"/>
                <w:sz w:val="21"/>
                <w:szCs w:val="21"/>
                <w:highlight w:val="none"/>
              </w:rPr>
              <w:t xml:space="preserve">钢制门板：门板为双层结构，内外面均经环氧树脂粉末静电喷涂烤漆工艺处理，夹层内具消音材料；门板于适当位置安装门扣组及缓冲垫，以避免关合时与柜体钢板硬性碰撞；门板能开关顺畅达180度； </w:t>
            </w:r>
          </w:p>
          <w:p w14:paraId="315C944A">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1.5.6、</w:t>
            </w:r>
            <w:r>
              <w:rPr>
                <w:rFonts w:hint="eastAsia" w:ascii="宋体" w:hAnsi="宋体" w:eastAsia="宋体" w:cs="宋体"/>
                <w:bCs/>
                <w:color w:val="000000"/>
                <w:sz w:val="21"/>
                <w:szCs w:val="21"/>
                <w:highlight w:val="none"/>
              </w:rPr>
              <w:t>活动层板：层板边缘应平顺不割手；层板上下调节间距每格应小于20mm；层板数量：每个底柜设活动层板一只。</w:t>
            </w:r>
          </w:p>
          <w:p w14:paraId="4BC8EFCB">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美式双面试剂架，试剂架规格：≥</w:t>
            </w:r>
            <w:r>
              <w:rPr>
                <w:rFonts w:hint="eastAsia" w:ascii="宋体" w:hAnsi="宋体" w:cs="宋体"/>
                <w:bCs/>
                <w:color w:val="auto"/>
                <w:kern w:val="0"/>
                <w:sz w:val="21"/>
                <w:szCs w:val="21"/>
                <w:highlight w:val="none"/>
                <w:lang w:val="en-US" w:eastAsia="zh-CN" w:bidi="ar"/>
              </w:rPr>
              <w:t>1</w:t>
            </w:r>
            <w:r>
              <w:rPr>
                <w:rFonts w:hint="eastAsia" w:ascii="宋体" w:hAnsi="宋体" w:eastAsia="宋体" w:cs="宋体"/>
                <w:bCs/>
                <w:color w:val="000000"/>
                <w:kern w:val="0"/>
                <w:sz w:val="21"/>
                <w:szCs w:val="21"/>
                <w:highlight w:val="none"/>
                <w:lang w:bidi="ar"/>
              </w:rPr>
              <w:t>m(W)*0.3</w:t>
            </w:r>
            <w:r>
              <w:rPr>
                <w:rFonts w:hint="eastAsia" w:ascii="宋体" w:hAnsi="宋体" w:eastAsia="宋体" w:cs="宋体"/>
                <w:bCs/>
                <w:color w:val="000000"/>
                <w:kern w:val="0"/>
                <w:sz w:val="21"/>
                <w:szCs w:val="21"/>
                <w:highlight w:val="none"/>
                <w:lang w:bidi="ar"/>
              </w:rPr>
              <w:t>m(D)*</w:t>
            </w:r>
            <w:r>
              <w:rPr>
                <w:rFonts w:hint="eastAsia" w:ascii="宋体" w:hAnsi="宋体" w:eastAsia="宋体" w:cs="宋体"/>
                <w:bCs/>
                <w:color w:val="000000"/>
                <w:kern w:val="0"/>
                <w:sz w:val="21"/>
                <w:szCs w:val="21"/>
                <w:highlight w:val="none"/>
                <w:lang w:val="en-US" w:eastAsia="zh-CN" w:bidi="ar"/>
              </w:rPr>
              <w:t>1</w:t>
            </w:r>
            <w:r>
              <w:rPr>
                <w:rFonts w:hint="eastAsia" w:ascii="宋体" w:hAnsi="宋体" w:eastAsia="宋体" w:cs="宋体"/>
                <w:bCs/>
                <w:color w:val="000000"/>
                <w:kern w:val="0"/>
                <w:sz w:val="21"/>
                <w:szCs w:val="21"/>
                <w:highlight w:val="none"/>
                <w:lang w:bidi="ar"/>
              </w:rPr>
              <w:t>m(H)</w:t>
            </w:r>
          </w:p>
          <w:p w14:paraId="64CA1BF5">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试剂架材料要求 </w:t>
            </w:r>
          </w:p>
          <w:p w14:paraId="503C396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2.1.1、</w:t>
            </w:r>
            <w:r>
              <w:rPr>
                <w:rFonts w:hint="eastAsia" w:ascii="宋体" w:hAnsi="宋体" w:eastAsia="宋体" w:cs="宋体"/>
                <w:bCs/>
                <w:color w:val="000000"/>
                <w:sz w:val="21"/>
                <w:szCs w:val="21"/>
                <w:highlight w:val="none"/>
              </w:rPr>
              <w:t>菱形试剂架立柱：a.采用全钢材质结构，加工材料为优质低碳冷轧钢板；b 钢材基本厚度须达到或优于1.2mm</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09AA1E4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2.1.2、</w:t>
            </w:r>
            <w:r>
              <w:rPr>
                <w:rFonts w:hint="eastAsia" w:ascii="宋体" w:hAnsi="宋体" w:eastAsia="宋体" w:cs="宋体"/>
                <w:bCs/>
                <w:color w:val="000000"/>
                <w:sz w:val="21"/>
                <w:szCs w:val="21"/>
                <w:highlight w:val="none"/>
              </w:rPr>
              <w:t>试剂架层板：a.钢制托臂：≥</w:t>
            </w:r>
            <w:r>
              <w:rPr>
                <w:rFonts w:hint="eastAsia" w:ascii="宋体" w:hAnsi="宋体" w:eastAsia="宋体" w:cs="宋体"/>
                <w:bCs/>
                <w:color w:val="000000"/>
                <w:sz w:val="21"/>
                <w:szCs w:val="21"/>
                <w:highlight w:val="none"/>
                <w:lang w:val="en-US" w:eastAsia="zh-CN"/>
              </w:rPr>
              <w:t>150</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150</w:t>
            </w:r>
            <w:r>
              <w:rPr>
                <w:rFonts w:hint="eastAsia" w:ascii="宋体" w:hAnsi="宋体" w:eastAsia="宋体" w:cs="宋体"/>
                <w:bCs/>
                <w:color w:val="000000"/>
                <w:sz w:val="21"/>
                <w:szCs w:val="21"/>
                <w:highlight w:val="none"/>
              </w:rPr>
              <w:t xml:space="preserve">mm菱形立柱，配置单面型或双面型两种式样以方便中央台及边台使用试剂架；双层钢玻，层板采用钢制层板加钢化玻璃且层板可上下调节高度，采用1.2mm厚优质冷轧钢板折弯成型，环氧树脂粉末静电喷涂，附着力高、表面硬度耐腐蚀性强，试剂架根据操作面可分为独立两部分。支柱可配水、气考克，操作方便。b.层板外侧上缘采用圆弧或斜边不刮手处理；c.层板护栏：下活动层板其上正面外缘均须加设有编号304(及以上)不锈钢材质制作的护栏或者玻璃纤维护栏。护栏须具有适当支撑，横跨间不得有下垂变形情况。 </w:t>
            </w:r>
          </w:p>
          <w:p w14:paraId="320AF4E2">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试剂架结构工艺要求 </w:t>
            </w:r>
          </w:p>
          <w:p w14:paraId="45F96C7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2.2.1、</w:t>
            </w:r>
            <w:r>
              <w:rPr>
                <w:rFonts w:hint="eastAsia" w:ascii="宋体" w:hAnsi="宋体" w:eastAsia="宋体" w:cs="宋体"/>
                <w:bCs/>
                <w:color w:val="000000"/>
                <w:sz w:val="21"/>
                <w:szCs w:val="21"/>
                <w:highlight w:val="none"/>
              </w:rPr>
              <w:t>采用台面安装式设计，以方便配置增减拆装；</w:t>
            </w:r>
          </w:p>
          <w:p w14:paraId="2A6B9106">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2.2.2、</w:t>
            </w:r>
            <w:r>
              <w:rPr>
                <w:rFonts w:hint="eastAsia" w:ascii="宋体" w:hAnsi="宋体" w:eastAsia="宋体" w:cs="宋体"/>
                <w:bCs/>
                <w:color w:val="000000"/>
                <w:sz w:val="21"/>
                <w:szCs w:val="21"/>
                <w:highlight w:val="none"/>
              </w:rPr>
              <w:t xml:space="preserve">试剂架立柱具整排挂孔供活动层板悬挂用，层板上下调节间距每格应小于30mm； </w:t>
            </w:r>
          </w:p>
          <w:p w14:paraId="1D788B8D">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lang w:val="en-US" w:eastAsia="zh-CN"/>
              </w:rPr>
              <w:t>2.2.3、</w:t>
            </w:r>
            <w:r>
              <w:rPr>
                <w:rFonts w:hint="eastAsia" w:ascii="宋体" w:hAnsi="宋体" w:eastAsia="宋体" w:cs="宋体"/>
                <w:bCs/>
                <w:color w:val="000000"/>
                <w:sz w:val="21"/>
                <w:szCs w:val="21"/>
                <w:highlight w:val="none"/>
              </w:rPr>
              <w:t>试剂架分上下</w:t>
            </w:r>
            <w:r>
              <w:rPr>
                <w:rFonts w:hint="eastAsia" w:ascii="宋体" w:hAnsi="宋体" w:eastAsia="宋体" w:cs="宋体"/>
                <w:bCs/>
                <w:color w:val="000000"/>
                <w:sz w:val="21"/>
                <w:szCs w:val="21"/>
                <w:highlight w:val="none"/>
                <w:lang w:val="en-US" w:eastAsia="zh-CN"/>
              </w:rPr>
              <w:t>3</w:t>
            </w:r>
            <w:r>
              <w:rPr>
                <w:rFonts w:hint="eastAsia" w:ascii="宋体" w:hAnsi="宋体" w:eastAsia="宋体" w:cs="宋体"/>
                <w:bCs/>
                <w:color w:val="000000"/>
                <w:sz w:val="21"/>
                <w:szCs w:val="21"/>
                <w:highlight w:val="none"/>
              </w:rPr>
              <w:t>层，层板为高低可调活动式；试剂架应合理设计且整齐美观，两立柱间层板跨距不得大于1500mm；试剂架层板结构荷重加载强度性能同实验室等级钢制试验台柜设备搁板静载试验要求；下活动钢制层板边缘应平顺不割手；试剂架立柱内侧应按要求安装仪器设备用辅助设施。</w:t>
            </w:r>
          </w:p>
        </w:tc>
      </w:tr>
      <w:tr w14:paraId="2DBD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EE128CC">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1B7E6F20">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台式通风柜</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78489D38">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总体要求</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kern w:val="0"/>
                <w:sz w:val="21"/>
                <w:szCs w:val="21"/>
                <w:highlight w:val="none"/>
              </w:rPr>
              <w:t>台式通风柜包含通风柜主体及排风辅助配件</w:t>
            </w:r>
          </w:p>
          <w:p w14:paraId="207AA91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kern w:val="0"/>
                <w:sz w:val="21"/>
                <w:szCs w:val="21"/>
                <w:highlight w:val="none"/>
                <w:lang w:bidi="ar"/>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通风柜规格：</w:t>
            </w:r>
            <w:r>
              <w:rPr>
                <w:rFonts w:hint="eastAsia" w:ascii="宋体" w:hAnsi="宋体" w:eastAsia="宋体" w:cs="宋体"/>
                <w:bCs/>
                <w:color w:val="000000"/>
                <w:kern w:val="0"/>
                <w:sz w:val="21"/>
                <w:szCs w:val="21"/>
                <w:highlight w:val="none"/>
                <w:lang w:bidi="ar"/>
              </w:rPr>
              <w:t>≥1500mm(W)*900mm(D)*2350mm(H)；</w:t>
            </w:r>
          </w:p>
          <w:p w14:paraId="1837BD3D">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通</w:t>
            </w:r>
            <w:r>
              <w:rPr>
                <w:rFonts w:hint="eastAsia" w:ascii="宋体" w:hAnsi="宋体" w:eastAsia="宋体" w:cs="宋体"/>
                <w:bCs/>
                <w:color w:val="000000"/>
                <w:sz w:val="21"/>
                <w:szCs w:val="21"/>
                <w:highlight w:val="none"/>
              </w:rPr>
              <w:t>风柜整体包含上柜与底柜两部分。上柜用于实验开展，下柜用于物品的存储。上柜包含可视调节门，服务水气阀，插座，工作台面等。下柜包含柜体,门板,可调隔板等，坚固耐用,具有耐腐蚀功能,方便维护</w:t>
            </w:r>
            <w:r>
              <w:rPr>
                <w:rFonts w:hint="eastAsia" w:ascii="宋体" w:hAnsi="宋体" w:eastAsia="宋体" w:cs="宋体"/>
                <w:bCs/>
                <w:color w:val="000000"/>
                <w:sz w:val="21"/>
                <w:szCs w:val="21"/>
                <w:highlight w:val="none"/>
                <w:lang w:eastAsia="zh-CN"/>
              </w:rPr>
              <w:t>；</w:t>
            </w:r>
          </w:p>
          <w:p w14:paraId="45F4C13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主体支撑采用全钢材料，内腔为抗腐蚀内衬材料，两侧板内部空间可布置公用设备管道、配件等</w:t>
            </w:r>
            <w:r>
              <w:rPr>
                <w:rFonts w:hint="eastAsia" w:ascii="宋体" w:hAnsi="宋体" w:eastAsia="宋体" w:cs="宋体"/>
                <w:bCs/>
                <w:color w:val="000000"/>
                <w:sz w:val="21"/>
                <w:szCs w:val="21"/>
                <w:highlight w:val="none"/>
                <w:lang w:eastAsia="zh-CN"/>
              </w:rPr>
              <w:t>；</w:t>
            </w:r>
          </w:p>
          <w:p w14:paraId="0B3A6364">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为方便后期产品维修维护便捷，产品上柜面板具备可快速拆卸结构，方便检修维护等</w:t>
            </w:r>
            <w:r>
              <w:rPr>
                <w:rFonts w:hint="eastAsia" w:ascii="宋体" w:hAnsi="宋体" w:eastAsia="宋体" w:cs="宋体"/>
                <w:bCs/>
                <w:color w:val="000000"/>
                <w:sz w:val="21"/>
                <w:szCs w:val="21"/>
                <w:highlight w:val="none"/>
                <w:lang w:eastAsia="zh-CN"/>
              </w:rPr>
              <w:t>；</w:t>
            </w:r>
          </w:p>
          <w:p w14:paraId="65ACC00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所有金属表面必须喷涂处理，涂层厚度≥50μm，平整光滑，不允许有喷涂层脱落、鼓泡、凹陷、压痕以及表面划伤、麻点、裂痕、崩角和刃口等</w:t>
            </w:r>
            <w:r>
              <w:rPr>
                <w:rFonts w:hint="eastAsia" w:ascii="宋体" w:hAnsi="宋体" w:eastAsia="宋体" w:cs="宋体"/>
                <w:bCs/>
                <w:color w:val="000000"/>
                <w:sz w:val="21"/>
                <w:szCs w:val="21"/>
                <w:highlight w:val="none"/>
                <w:lang w:eastAsia="zh-CN"/>
              </w:rPr>
              <w:t>；</w:t>
            </w:r>
          </w:p>
          <w:p w14:paraId="2A83C2AB">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6</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预处理：脱脂、水洗、酸洗、水洗中和、磷化、水洗等过程或纳米陶化前处理技术。</w:t>
            </w:r>
          </w:p>
          <w:p w14:paraId="3344121D">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7</w:t>
            </w:r>
            <w:r>
              <w:rPr>
                <w:rFonts w:hint="eastAsia" w:ascii="宋体" w:hAnsi="宋体" w:eastAsia="宋体" w:cs="宋体"/>
                <w:bCs/>
                <w:color w:val="000000"/>
                <w:sz w:val="21"/>
                <w:szCs w:val="21"/>
                <w:highlight w:val="none"/>
                <w:lang w:eastAsia="zh-CN"/>
              </w:rPr>
              <w:t>、</w:t>
            </w:r>
            <w:r>
              <w:rPr>
                <w:rFonts w:hint="eastAsia" w:ascii="宋体" w:hAnsi="宋体" w:eastAsia="宋体" w:cs="宋体"/>
                <w:bCs/>
                <w:sz w:val="21"/>
                <w:szCs w:val="21"/>
                <w:highlight w:val="none"/>
              </w:rPr>
              <w:t>★</w:t>
            </w:r>
            <w:r>
              <w:rPr>
                <w:rFonts w:hint="eastAsia" w:ascii="宋体" w:hAnsi="宋体" w:eastAsia="宋体" w:cs="宋体"/>
                <w:bCs/>
                <w:color w:val="000000"/>
                <w:sz w:val="21"/>
                <w:szCs w:val="21"/>
                <w:highlight w:val="none"/>
              </w:rPr>
              <w:t>喷涂后的金属表面涂层性能试验、耐化学性能试验，能达到如下性能：提供第三方机构出具的合格检测报告复印件并加盖投标人公章（检测报告必</w:t>
            </w:r>
            <w:r>
              <w:rPr>
                <w:rFonts w:hint="eastAsia" w:ascii="宋体" w:hAnsi="宋体" w:eastAsia="宋体" w:cs="宋体"/>
                <w:bCs/>
                <w:color w:val="000000"/>
                <w:sz w:val="21"/>
                <w:szCs w:val="21"/>
                <w:highlight w:val="none"/>
              </w:rPr>
              <w:t>须具有CMA或CNAS资质章）</w:t>
            </w:r>
          </w:p>
          <w:p w14:paraId="0931AA32">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7.1、</w:t>
            </w:r>
            <w:r>
              <w:rPr>
                <w:rFonts w:hint="eastAsia" w:ascii="宋体" w:hAnsi="宋体" w:eastAsia="宋体" w:cs="宋体"/>
                <w:bCs/>
                <w:color w:val="000000"/>
                <w:sz w:val="21"/>
                <w:szCs w:val="21"/>
                <w:highlight w:val="none"/>
              </w:rPr>
              <w:t>化学试剂痕迹试验：试验方法SEFA 8M-2020，耐指定的49种化学试剂，漆面结果是等级3的情况不应多于4个</w:t>
            </w:r>
            <w:r>
              <w:rPr>
                <w:rFonts w:hint="eastAsia" w:ascii="宋体" w:hAnsi="宋体" w:eastAsia="宋体" w:cs="宋体"/>
                <w:bCs/>
                <w:color w:val="000000"/>
                <w:sz w:val="21"/>
                <w:szCs w:val="21"/>
                <w:highlight w:val="none"/>
                <w:lang w:eastAsia="zh-CN"/>
              </w:rPr>
              <w:t>；</w:t>
            </w:r>
          </w:p>
          <w:p w14:paraId="58B66E2B">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7.2、</w:t>
            </w:r>
            <w:r>
              <w:rPr>
                <w:rFonts w:hint="eastAsia" w:ascii="宋体" w:hAnsi="宋体" w:eastAsia="宋体" w:cs="宋体"/>
                <w:bCs/>
                <w:color w:val="000000"/>
                <w:sz w:val="21"/>
                <w:szCs w:val="21"/>
                <w:highlight w:val="none"/>
              </w:rPr>
              <w:t>热水试验：试验方法SEFA 8M-2020，试验样板呈 45 度角放置，用 190℉至 205℉（88℃-96℃）的热水以每分钟不超过 6 盎司（177.44 毫升）的流速稳定流过漆面持续 5 分钟。冷却并擦干后，表面涂层应无热水导致的可见影响</w:t>
            </w:r>
            <w:r>
              <w:rPr>
                <w:rFonts w:hint="eastAsia" w:ascii="宋体" w:hAnsi="宋体" w:eastAsia="宋体" w:cs="宋体"/>
                <w:bCs/>
                <w:color w:val="000000"/>
                <w:sz w:val="21"/>
                <w:szCs w:val="21"/>
                <w:highlight w:val="none"/>
                <w:lang w:eastAsia="zh-CN"/>
              </w:rPr>
              <w:t>；</w:t>
            </w:r>
          </w:p>
          <w:p w14:paraId="136998B3">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7.3、</w:t>
            </w:r>
            <w:r>
              <w:rPr>
                <w:rFonts w:hint="eastAsia" w:ascii="宋体" w:hAnsi="宋体" w:eastAsia="宋体" w:cs="宋体"/>
                <w:bCs/>
                <w:color w:val="000000"/>
                <w:sz w:val="21"/>
                <w:szCs w:val="21"/>
                <w:highlight w:val="none"/>
              </w:rPr>
              <w:t>冲击试验：试验方法SEFA 8M-2020，试验样板放置于平整的水泥地板上，将一个重 ≥1 磅，直径约 2 英寸的实心钢球从≥12 英寸高度自由跌落至试验样板上。涂层表面不会因冲击留下任何可见的裂缝或龟裂</w:t>
            </w:r>
            <w:r>
              <w:rPr>
                <w:rFonts w:hint="eastAsia" w:ascii="宋体" w:hAnsi="宋体" w:eastAsia="宋体" w:cs="宋体"/>
                <w:bCs/>
                <w:color w:val="000000"/>
                <w:sz w:val="21"/>
                <w:szCs w:val="21"/>
                <w:highlight w:val="none"/>
                <w:lang w:eastAsia="zh-CN"/>
              </w:rPr>
              <w:t>；</w:t>
            </w:r>
          </w:p>
          <w:p w14:paraId="5A9E649A">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7.4、</w:t>
            </w:r>
            <w:r>
              <w:rPr>
                <w:rFonts w:hint="eastAsia" w:ascii="宋体" w:hAnsi="宋体" w:eastAsia="宋体" w:cs="宋体"/>
                <w:bCs/>
                <w:color w:val="000000"/>
                <w:sz w:val="21"/>
                <w:szCs w:val="21"/>
                <w:highlight w:val="none"/>
              </w:rPr>
              <w:t>油漆附着力：试验方法SEFA 8M-2020，用美工刀或百格刀划出 2 组各 6 条平行线</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间隔 2 毫米，两组相交成直角，形成一个 25个方框的网格。划痕的深度应刚好穿过涂层，但不触及基材。用软刷在网格上轻轻地刷，然后在网格上方覆盖测试专用胶带，再用铅笔一端的橡皮用力地擦胶带，保证接触良好。迅速将胶带向后拉开，尽可能成 180 度角。表面涂层完整度为 4B 级别或更高（95%或更多的网格区域）</w:t>
            </w:r>
            <w:r>
              <w:rPr>
                <w:rFonts w:hint="eastAsia" w:ascii="宋体" w:hAnsi="宋体" w:eastAsia="宋体" w:cs="宋体"/>
                <w:bCs/>
                <w:color w:val="000000"/>
                <w:sz w:val="21"/>
                <w:szCs w:val="21"/>
                <w:highlight w:val="none"/>
                <w:lang w:eastAsia="zh-CN"/>
              </w:rPr>
              <w:t>；</w:t>
            </w:r>
          </w:p>
          <w:p w14:paraId="5617ECCC">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7.5、</w:t>
            </w:r>
            <w:r>
              <w:rPr>
                <w:rFonts w:hint="eastAsia" w:ascii="宋体" w:hAnsi="宋体" w:eastAsia="宋体" w:cs="宋体"/>
                <w:bCs/>
                <w:color w:val="000000"/>
                <w:sz w:val="21"/>
                <w:szCs w:val="21"/>
                <w:highlight w:val="none"/>
              </w:rPr>
              <w:t>油漆硬度：试验方法SEFA 8M-2020，将测试样板一角成 45°角剪断，刮去涂层，暴露出原材料金属边缘。削去铅笔的一头，漏出 6mm 笔芯。用砂纸将铅笔笔芯打磨至平滑且截面呈圆形。削去铅笔的另一端，将铅笔木头的一半削去 13mm。将铅笔安装到硬度计上，使基板及铅笔的顶部连接到万用表上。将硬度计放在测试样板表面上，向前推进 13mm，将铅笔旋转 90°，在第一次测试的任意一侧重复进行三次测试，测试总数共计 4 次，且每次用掉铅笔芯应在不同象限内。表面涂层应能承受 4H 铅笔摩擦而没有穿透到基材且未形成完整的回路</w:t>
            </w:r>
            <w:r>
              <w:rPr>
                <w:rFonts w:hint="eastAsia" w:ascii="宋体" w:hAnsi="宋体" w:eastAsia="宋体" w:cs="宋体"/>
                <w:bCs/>
                <w:color w:val="000000"/>
                <w:sz w:val="21"/>
                <w:szCs w:val="21"/>
                <w:highlight w:val="none"/>
                <w:lang w:eastAsia="zh-CN"/>
              </w:rPr>
              <w:t>；</w:t>
            </w:r>
          </w:p>
          <w:p w14:paraId="7F4250E1">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7.6、</w:t>
            </w:r>
            <w:r>
              <w:rPr>
                <w:rFonts w:hint="eastAsia" w:ascii="宋体" w:hAnsi="宋体" w:eastAsia="宋体" w:cs="宋体"/>
                <w:bCs/>
                <w:color w:val="000000"/>
                <w:sz w:val="21"/>
                <w:szCs w:val="21"/>
                <w:highlight w:val="none"/>
              </w:rPr>
              <w:t>防潮性能：试验方法ISO 6270-1，温度100华氏度，测试时间≥</w:t>
            </w:r>
            <w:r>
              <w:rPr>
                <w:rFonts w:hint="eastAsia" w:ascii="宋体" w:hAnsi="宋体" w:cs="宋体"/>
                <w:bCs/>
                <w:color w:val="000000"/>
                <w:sz w:val="21"/>
                <w:szCs w:val="21"/>
                <w:highlight w:val="none"/>
                <w:lang w:val="en-US" w:eastAsia="zh-CN"/>
              </w:rPr>
              <w:t>1</w:t>
            </w:r>
            <w:r>
              <w:rPr>
                <w:rFonts w:hint="eastAsia" w:ascii="宋体" w:hAnsi="宋体" w:eastAsia="宋体" w:cs="宋体"/>
                <w:bCs/>
                <w:color w:val="000000"/>
                <w:sz w:val="21"/>
                <w:szCs w:val="21"/>
                <w:highlight w:val="none"/>
              </w:rPr>
              <w:t>00h，涂</w:t>
            </w:r>
            <w:r>
              <w:rPr>
                <w:rFonts w:hint="eastAsia" w:ascii="宋体" w:hAnsi="宋体" w:eastAsia="宋体" w:cs="宋体"/>
                <w:bCs/>
                <w:color w:val="000000"/>
                <w:sz w:val="21"/>
                <w:szCs w:val="21"/>
                <w:highlight w:val="none"/>
              </w:rPr>
              <w:t>层无明显变化</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g)盐雾试验：检测依据ISO 9227，试验时间≥300h，外观无明显变化</w:t>
            </w:r>
            <w:r>
              <w:rPr>
                <w:rFonts w:hint="eastAsia" w:ascii="宋体" w:hAnsi="宋体" w:eastAsia="宋体" w:cs="宋体"/>
                <w:bCs/>
                <w:color w:val="000000"/>
                <w:sz w:val="21"/>
                <w:szCs w:val="21"/>
                <w:highlight w:val="none"/>
                <w:lang w:eastAsia="zh-CN"/>
              </w:rPr>
              <w:t>；</w:t>
            </w:r>
          </w:p>
          <w:p w14:paraId="1B36F68F">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7.7、</w:t>
            </w:r>
            <w:r>
              <w:rPr>
                <w:rFonts w:hint="eastAsia" w:ascii="宋体" w:hAnsi="宋体" w:eastAsia="宋体" w:cs="宋体"/>
                <w:bCs/>
                <w:color w:val="000000"/>
                <w:sz w:val="21"/>
                <w:szCs w:val="21"/>
                <w:highlight w:val="none"/>
              </w:rPr>
              <w:t>耐磨试验：检测方法ASTM D4060，（CS-10，100r/500g），质量损失≤5mg</w:t>
            </w:r>
            <w:r>
              <w:rPr>
                <w:rFonts w:hint="eastAsia" w:ascii="宋体" w:hAnsi="宋体" w:eastAsia="宋体" w:cs="宋体"/>
                <w:bCs/>
                <w:color w:val="000000"/>
                <w:sz w:val="21"/>
                <w:szCs w:val="21"/>
                <w:highlight w:val="none"/>
                <w:lang w:eastAsia="zh-CN"/>
              </w:rPr>
              <w:t>；</w:t>
            </w:r>
          </w:p>
          <w:p w14:paraId="0E0698CF">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7.8、</w:t>
            </w:r>
            <w:r>
              <w:rPr>
                <w:rFonts w:hint="eastAsia" w:ascii="宋体" w:hAnsi="宋体" w:eastAsia="宋体" w:cs="宋体"/>
                <w:bCs/>
                <w:color w:val="000000"/>
                <w:sz w:val="21"/>
                <w:szCs w:val="21"/>
                <w:highlight w:val="none"/>
              </w:rPr>
              <w:t>所有钣金部件不得于安装现场焊接加工，以避免破坏表面环氧树脂涂层。</w:t>
            </w:r>
          </w:p>
          <w:p w14:paraId="76BE2BFD">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8、</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 xml:space="preserve">性能技术要求： </w:t>
            </w:r>
          </w:p>
          <w:p w14:paraId="4C94B2BB">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8.1、</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通</w:t>
            </w:r>
            <w:r>
              <w:rPr>
                <w:rFonts w:hint="eastAsia" w:ascii="宋体" w:hAnsi="宋体" w:eastAsia="宋体" w:cs="宋体"/>
                <w:bCs/>
                <w:color w:val="000000"/>
                <w:sz w:val="21"/>
                <w:szCs w:val="21"/>
                <w:highlight w:val="none"/>
              </w:rPr>
              <w:t>风柜设计面风速0.3m/s±10%，符合ASHRAE 110</w:t>
            </w:r>
            <w:r>
              <w:rPr>
                <w:rFonts w:hint="eastAsia" w:ascii="宋体" w:hAnsi="宋体" w:eastAsia="宋体" w:cs="宋体"/>
                <w:bCs/>
                <w:color w:val="000000"/>
                <w:sz w:val="21"/>
                <w:szCs w:val="21"/>
                <w:highlight w:val="none"/>
              </w:rPr>
              <w:t>-2016标准 提供第三方机构出具的合格检测报告复印件并加盖投标人公章（检测报告</w:t>
            </w:r>
            <w:r>
              <w:rPr>
                <w:rFonts w:hint="eastAsia" w:ascii="宋体" w:hAnsi="宋体" w:eastAsia="宋体" w:cs="宋体"/>
                <w:bCs/>
                <w:color w:val="000000"/>
                <w:sz w:val="21"/>
                <w:szCs w:val="21"/>
                <w:highlight w:val="none"/>
              </w:rPr>
              <w:t>必须具有CMA或CNAS资质章）</w:t>
            </w:r>
          </w:p>
          <w:p w14:paraId="544E506C">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AM检测报告必须至少包含以下测试项目，并满足要求的技术指标：</w:t>
            </w:r>
          </w:p>
          <w:p w14:paraId="7A9A580D">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面风速：其最大值、最小值与算术平均值偏差≤±15%</w:t>
            </w:r>
          </w:p>
          <w:p w14:paraId="768C2693">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可视化－小烟雾：无可见外溢或逃逸；</w:t>
            </w:r>
          </w:p>
          <w:p w14:paraId="05E97B65">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可视化－大烟雾：无可见外溢或逃逸；</w:t>
            </w:r>
          </w:p>
          <w:p w14:paraId="62B86D4C">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示踪气体浓度：泄漏浓度平均值不得大于0.05ppm；</w:t>
            </w:r>
          </w:p>
          <w:p w14:paraId="1C6988AA">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视窗移动影响：泄漏浓度平均值不得大于0.05ppm；</w:t>
            </w:r>
          </w:p>
          <w:p w14:paraId="496AD47D">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周边扫描：泄漏浓度平均值不得大于0.05ppm；</w:t>
            </w:r>
          </w:p>
          <w:p w14:paraId="764A827F">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9、</w:t>
            </w:r>
            <w:r>
              <w:rPr>
                <w:rFonts w:hint="eastAsia" w:ascii="宋体" w:hAnsi="宋体" w:eastAsia="宋体" w:cs="宋体"/>
                <w:bCs/>
                <w:color w:val="000000"/>
                <w:sz w:val="21"/>
                <w:szCs w:val="21"/>
                <w:highlight w:val="none"/>
              </w:rPr>
              <w:t>内衬板/导流板</w:t>
            </w:r>
            <w:r>
              <w:rPr>
                <w:rFonts w:hint="eastAsia" w:ascii="宋体" w:hAnsi="宋体" w:eastAsia="宋体" w:cs="宋体"/>
                <w:bCs/>
                <w:color w:val="000000"/>
                <w:sz w:val="21"/>
                <w:szCs w:val="21"/>
                <w:highlight w:val="none"/>
                <w:lang w:val="en-US" w:eastAsia="zh-CN"/>
              </w:rPr>
              <w:t>/灯具</w:t>
            </w:r>
            <w:r>
              <w:rPr>
                <w:rFonts w:hint="eastAsia" w:ascii="宋体" w:hAnsi="宋体" w:eastAsia="宋体" w:cs="宋体"/>
                <w:bCs/>
                <w:color w:val="000000"/>
                <w:sz w:val="21"/>
                <w:szCs w:val="21"/>
                <w:highlight w:val="none"/>
              </w:rPr>
              <w:t>:；</w:t>
            </w:r>
          </w:p>
          <w:p w14:paraId="31843B5F">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9.1、</w:t>
            </w:r>
            <w:r>
              <w:rPr>
                <w:rFonts w:hint="eastAsia" w:ascii="宋体" w:hAnsi="宋体" w:eastAsia="宋体" w:cs="宋体"/>
                <w:bCs/>
                <w:color w:val="000000"/>
                <w:sz w:val="21"/>
                <w:szCs w:val="21"/>
                <w:highlight w:val="none"/>
              </w:rPr>
              <w:t>导流板通过防腐塑料材质固定件固定，用户可以不需使用工具轻易的将导流板拆卸清洗，固定件同时具备安装蒸馏架功能。</w:t>
            </w:r>
          </w:p>
          <w:p w14:paraId="34C5F32A">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9.2、</w:t>
            </w:r>
            <w:r>
              <w:rPr>
                <w:rFonts w:hint="eastAsia" w:ascii="宋体" w:hAnsi="宋体" w:eastAsia="宋体" w:cs="宋体"/>
                <w:bCs/>
                <w:color w:val="000000"/>
                <w:sz w:val="21"/>
                <w:szCs w:val="21"/>
                <w:highlight w:val="none"/>
              </w:rPr>
              <w:t>内部顶板装有LED节能灯，灯光光线柔和，无频闪、快速启动类型。</w:t>
            </w:r>
          </w:p>
          <w:p w14:paraId="0EDFC077">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10、</w:t>
            </w:r>
            <w:r>
              <w:rPr>
                <w:rFonts w:hint="eastAsia" w:ascii="宋体" w:hAnsi="宋体" w:eastAsia="宋体" w:cs="宋体"/>
                <w:bCs/>
                <w:color w:val="000000"/>
                <w:sz w:val="21"/>
                <w:szCs w:val="21"/>
                <w:highlight w:val="none"/>
              </w:rPr>
              <w:t>调节门玻璃采用不低于5mm厚的钢化玻璃，可保证万一破碎时不会伤及人员，移门最大开启高度不得低于720mm，移门开启/关闭轻便灵活，无卡阻，并可在任意位置停止留，调节门的关闭有橡胶缓冲装置；调节门拉手和调节门同宽，为减小进风阻力，使气流顺畅进入</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内，调节门拉手使用专用铝合金型材经环氧树脂喷涂制成。</w:t>
            </w:r>
          </w:p>
          <w:p w14:paraId="2949A9EE">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10.1、</w:t>
            </w:r>
            <w:r>
              <w:rPr>
                <w:rFonts w:hint="eastAsia" w:ascii="宋体" w:hAnsi="宋体" w:eastAsia="宋体" w:cs="宋体"/>
                <w:bCs/>
                <w:color w:val="000000"/>
                <w:sz w:val="21"/>
                <w:szCs w:val="21"/>
                <w:highlight w:val="none"/>
              </w:rPr>
              <w:t>调节门滑动装置使用防腐蚀的塑料材质，增加耐腐性,调节门开关时更加顺畅和安静</w:t>
            </w:r>
            <w:r>
              <w:rPr>
                <w:rFonts w:hint="eastAsia" w:ascii="宋体" w:hAnsi="宋体" w:eastAsia="宋体" w:cs="宋体"/>
                <w:bCs/>
                <w:color w:val="000000"/>
                <w:sz w:val="21"/>
                <w:szCs w:val="21"/>
                <w:highlight w:val="none"/>
                <w:lang w:eastAsia="zh-CN"/>
              </w:rPr>
              <w:t>；</w:t>
            </w:r>
          </w:p>
          <w:p w14:paraId="3C7613FF">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10.2、</w:t>
            </w:r>
            <w:r>
              <w:rPr>
                <w:rFonts w:hint="eastAsia" w:ascii="宋体" w:hAnsi="宋体" w:eastAsia="宋体" w:cs="宋体"/>
                <w:bCs/>
                <w:color w:val="000000"/>
                <w:sz w:val="21"/>
                <w:szCs w:val="21"/>
                <w:highlight w:val="none"/>
              </w:rPr>
              <w:t>平衡系统采用无金属外露同步带形式，耐腐蚀、易维护、性能稳定，有足够的承重能力并保证防腐蚀，避免金属暴露产品长期使用在实验室恶劣环境中造成的腐蚀。平衡系统可以保证调节门不倾斜，并且可用一只手轻松操控升、降调节门，并可停留在任意高度而不下滑</w:t>
            </w:r>
            <w:r>
              <w:rPr>
                <w:rFonts w:hint="eastAsia" w:ascii="宋体" w:hAnsi="宋体" w:eastAsia="宋体" w:cs="宋体"/>
                <w:bCs/>
                <w:color w:val="000000"/>
                <w:sz w:val="21"/>
                <w:szCs w:val="21"/>
                <w:highlight w:val="none"/>
                <w:lang w:eastAsia="zh-CN"/>
              </w:rPr>
              <w:t>；</w:t>
            </w:r>
          </w:p>
          <w:p w14:paraId="3DF97AF7">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10.3、</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的拉门启动、关闭应轻便灵活，在开关行程范围内无卡阻，并可在任意位置停留</w:t>
            </w:r>
            <w:r>
              <w:rPr>
                <w:rFonts w:hint="eastAsia" w:ascii="宋体" w:hAnsi="宋体" w:eastAsia="宋体" w:cs="宋体"/>
                <w:bCs/>
                <w:color w:val="000000"/>
                <w:sz w:val="21"/>
                <w:szCs w:val="21"/>
                <w:highlight w:val="none"/>
                <w:lang w:eastAsia="zh-CN"/>
              </w:rPr>
              <w:t>；</w:t>
            </w:r>
          </w:p>
          <w:p w14:paraId="1DA909A2">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12、</w:t>
            </w:r>
            <w:r>
              <w:rPr>
                <w:rFonts w:hint="eastAsia" w:ascii="宋体" w:hAnsi="宋体" w:eastAsia="宋体" w:cs="宋体"/>
                <w:bCs/>
                <w:color w:val="000000"/>
                <w:sz w:val="21"/>
                <w:szCs w:val="21"/>
                <w:highlight w:val="none"/>
              </w:rPr>
              <w:t>电气设施安装在</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的前立柱上，同时安装有漏电保护装置，不少于4 个220V、10A插座</w:t>
            </w:r>
            <w:r>
              <w:rPr>
                <w:rFonts w:hint="eastAsia" w:ascii="宋体" w:hAnsi="宋体" w:eastAsia="宋体" w:cs="宋体"/>
                <w:bCs/>
                <w:color w:val="000000"/>
                <w:sz w:val="21"/>
                <w:szCs w:val="21"/>
                <w:highlight w:val="none"/>
                <w:lang w:eastAsia="zh-CN"/>
              </w:rPr>
              <w:t>；</w:t>
            </w:r>
          </w:p>
          <w:p w14:paraId="72D5FB58">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13、</w:t>
            </w:r>
            <w:r>
              <w:rPr>
                <w:rFonts w:hint="eastAsia" w:ascii="宋体" w:hAnsi="宋体" w:eastAsia="宋体" w:cs="宋体"/>
                <w:bCs/>
                <w:color w:val="000000"/>
                <w:sz w:val="21"/>
                <w:szCs w:val="21"/>
                <w:highlight w:val="none"/>
              </w:rPr>
              <w:t>底柜柜体：为落地型全钢制柜体设计，除有特别说明者外，底柜后方应具备容易拆装的活动背板，并可根据需求设计排风结构，满足临时存放药品的需求；根据需要也可配置框架支撑结构，底柜可选配安全柜或废液收集柜(废液收集柜需配置有PP托盘，托盘并可轻易拉出)</w:t>
            </w:r>
            <w:r>
              <w:rPr>
                <w:rFonts w:hint="eastAsia" w:ascii="宋体" w:hAnsi="宋体" w:eastAsia="宋体" w:cs="宋体"/>
                <w:bCs/>
                <w:color w:val="000000"/>
                <w:sz w:val="21"/>
                <w:szCs w:val="21"/>
                <w:highlight w:val="none"/>
                <w:lang w:eastAsia="zh-CN"/>
              </w:rPr>
              <w:t>；</w:t>
            </w:r>
          </w:p>
          <w:p w14:paraId="2A1A8E1E">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14、</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eastAsia="zh-CN"/>
              </w:rPr>
              <w:t>通风柜</w:t>
            </w:r>
            <w:r>
              <w:rPr>
                <w:rFonts w:hint="eastAsia" w:ascii="宋体" w:hAnsi="宋体" w:eastAsia="宋体" w:cs="宋体"/>
                <w:bCs/>
                <w:color w:val="000000"/>
                <w:sz w:val="21"/>
                <w:szCs w:val="21"/>
                <w:highlight w:val="none"/>
              </w:rPr>
              <w:t>的阻力不大于70Pa；提供第三方检测机构出具的合格检测报告复印件并加盖</w:t>
            </w:r>
            <w:r>
              <w:rPr>
                <w:rFonts w:hint="eastAsia" w:ascii="宋体" w:hAnsi="宋体" w:cs="宋体"/>
                <w:bCs/>
                <w:color w:val="000000"/>
                <w:sz w:val="21"/>
                <w:szCs w:val="21"/>
                <w:highlight w:val="none"/>
                <w:lang w:val="en-US" w:eastAsia="zh-CN"/>
              </w:rPr>
              <w:t>投标人</w:t>
            </w:r>
            <w:r>
              <w:rPr>
                <w:rFonts w:hint="eastAsia" w:ascii="宋体" w:hAnsi="宋体" w:eastAsia="宋体" w:cs="宋体"/>
                <w:bCs/>
                <w:color w:val="000000"/>
                <w:sz w:val="21"/>
                <w:szCs w:val="21"/>
                <w:highlight w:val="none"/>
              </w:rPr>
              <w:t>公章</w:t>
            </w:r>
            <w:r>
              <w:rPr>
                <w:rFonts w:hint="eastAsia" w:ascii="宋体" w:hAnsi="宋体" w:eastAsia="宋体" w:cs="宋体"/>
                <w:bCs/>
                <w:color w:val="000000"/>
                <w:sz w:val="21"/>
                <w:szCs w:val="21"/>
                <w:highlight w:val="none"/>
                <w:lang w:eastAsia="zh-CN"/>
              </w:rPr>
              <w:t>；</w:t>
            </w:r>
          </w:p>
          <w:p w14:paraId="4914A103">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15、</w:t>
            </w:r>
            <w:r>
              <w:rPr>
                <w:rFonts w:hint="eastAsia" w:ascii="宋体" w:hAnsi="宋体" w:eastAsia="宋体" w:cs="宋体"/>
                <w:bCs/>
                <w:color w:val="000000"/>
                <w:sz w:val="21"/>
                <w:szCs w:val="21"/>
                <w:highlight w:val="none"/>
              </w:rPr>
              <w:t>通风柜工作台面</w:t>
            </w:r>
            <w:r>
              <w:rPr>
                <w:rFonts w:hint="eastAsia" w:ascii="宋体" w:hAnsi="宋体" w:eastAsia="宋体" w:cs="宋体"/>
                <w:bCs/>
                <w:color w:val="000000"/>
                <w:sz w:val="21"/>
                <w:szCs w:val="21"/>
                <w:highlight w:val="none"/>
                <w:lang w:eastAsia="zh-CN"/>
              </w:rPr>
              <w:t>：</w:t>
            </w:r>
          </w:p>
          <w:p w14:paraId="425CEA5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采用≥25mm厚一体实芯黑胚体实验室工业陶瓷板台面，整个台面一体高温烧制成型，总厚度25mm,防止有害液体外溢（不能采用拼接或者后期加厚方式加工），台面耐强腐蚀，耐高温，耐磨，便于清洁。为确保产品的稳定性，需满足以下技术参数</w:t>
            </w:r>
            <w:r>
              <w:rPr>
                <w:rFonts w:hint="eastAsia" w:ascii="宋体" w:hAnsi="宋体" w:eastAsia="宋体" w:cs="宋体"/>
                <w:bCs/>
                <w:color w:val="000000"/>
                <w:sz w:val="21"/>
                <w:szCs w:val="21"/>
                <w:highlight w:val="none"/>
                <w:lang w:eastAsia="zh-CN"/>
              </w:rPr>
              <w:t>；</w:t>
            </w:r>
          </w:p>
          <w:p w14:paraId="3FFBC79A">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color w:val="000000"/>
                <w:sz w:val="21"/>
                <w:szCs w:val="21"/>
                <w:highlight w:val="none"/>
                <w:lang w:val="en-US" w:eastAsia="zh-CN"/>
              </w:rPr>
              <w:t>15.1、</w:t>
            </w:r>
            <w:r>
              <w:rPr>
                <w:rFonts w:hint="eastAsia" w:ascii="宋体" w:hAnsi="宋体" w:eastAsia="宋体" w:cs="宋体"/>
                <w:bCs/>
                <w:color w:val="000000"/>
                <w:sz w:val="21"/>
                <w:szCs w:val="21"/>
                <w:highlight w:val="none"/>
              </w:rPr>
              <w:t>★陶瓷台面耐污染性能要求：台面表面耐腐蚀及耐污染要求满足 GB/T 24820-2024 标准，台面开孔截面耐腐蚀和耐污染满足 GB/T24820-2024 标准。表面和截面试</w:t>
            </w:r>
            <w:r>
              <w:rPr>
                <w:rFonts w:hint="eastAsia" w:ascii="宋体" w:hAnsi="宋体" w:eastAsia="宋体" w:cs="宋体"/>
                <w:bCs/>
                <w:sz w:val="21"/>
                <w:szCs w:val="21"/>
                <w:highlight w:val="none"/>
              </w:rPr>
              <w:t>验后正面和截面无明显变化，实测结果优于4级。提供具有CMA或CNAS认证标志的检测单位出具的检测报告扫描件或复印件加盖投标人公章作为产品技术证明文件</w:t>
            </w:r>
            <w:r>
              <w:rPr>
                <w:rFonts w:hint="eastAsia" w:ascii="宋体" w:hAnsi="宋体" w:eastAsia="宋体" w:cs="宋体"/>
                <w:bCs/>
                <w:sz w:val="21"/>
                <w:szCs w:val="21"/>
                <w:highlight w:val="none"/>
                <w:lang w:eastAsia="zh-CN"/>
              </w:rPr>
              <w:t>；</w:t>
            </w:r>
          </w:p>
          <w:p w14:paraId="197C8231">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15.2、</w:t>
            </w:r>
            <w:r>
              <w:rPr>
                <w:rFonts w:hint="eastAsia" w:ascii="宋体" w:hAnsi="宋体" w:eastAsia="宋体" w:cs="宋体"/>
                <w:bCs/>
                <w:sz w:val="21"/>
                <w:szCs w:val="21"/>
                <w:highlight w:val="none"/>
              </w:rPr>
              <w:t>★陶瓷台面光泽度性能要求：参照GB/T 9754-2007检测标准，检测样品为一体实芯黑色坯体陶瓷板，检测结果为≥30GU；提供具有CMA或CNAS认证标志的第三方检测报告扫描件或复印件加盖投标人公章作为产品技术证明文件</w:t>
            </w:r>
            <w:r>
              <w:rPr>
                <w:rFonts w:hint="eastAsia" w:ascii="宋体" w:hAnsi="宋体" w:eastAsia="宋体" w:cs="宋体"/>
                <w:bCs/>
                <w:sz w:val="21"/>
                <w:szCs w:val="21"/>
                <w:highlight w:val="none"/>
                <w:lang w:eastAsia="zh-CN"/>
              </w:rPr>
              <w:t>；</w:t>
            </w:r>
          </w:p>
          <w:p w14:paraId="39F07E9C">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15.3、</w:t>
            </w:r>
            <w:r>
              <w:rPr>
                <w:rFonts w:hint="eastAsia" w:ascii="宋体" w:hAnsi="宋体" w:eastAsia="宋体" w:cs="宋体"/>
                <w:bCs/>
                <w:sz w:val="21"/>
                <w:szCs w:val="21"/>
                <w:highlight w:val="none"/>
              </w:rPr>
              <w:t>★陶瓷台面耐光色牢度性能要求：参照GB/T17657-2022检测标准，要求对样品进行不低于12h的测试，检测结果≥4-5级,提供具有CMA或CNAS认证标志的第三方检测报告扫描件或复印件加盖投标人公章作为产品技术证明文件</w:t>
            </w:r>
            <w:r>
              <w:rPr>
                <w:rFonts w:hint="eastAsia" w:ascii="宋体" w:hAnsi="宋体" w:eastAsia="宋体" w:cs="宋体"/>
                <w:bCs/>
                <w:sz w:val="21"/>
                <w:szCs w:val="21"/>
                <w:highlight w:val="none"/>
                <w:lang w:eastAsia="zh-CN"/>
              </w:rPr>
              <w:t>；</w:t>
            </w:r>
          </w:p>
          <w:p w14:paraId="26038C5B">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15.4、</w:t>
            </w:r>
            <w:r>
              <w:rPr>
                <w:rFonts w:hint="eastAsia" w:ascii="宋体" w:hAnsi="宋体" w:eastAsia="宋体" w:cs="宋体"/>
                <w:bCs/>
                <w:sz w:val="21"/>
                <w:szCs w:val="21"/>
                <w:highlight w:val="none"/>
              </w:rPr>
              <w:t>★陶瓷台面吸水率性能要求：参照GB/T4100-2015检测标准，检验依据参照GB/T3810.3-2016，平均值为≤0.02%,最大值为≤0.02%，提供具有CMA或CNAS认证标志的检测单位出具的检测报告扫描件或复印件加盖投标人公章作为产品技术证明文件</w:t>
            </w:r>
            <w:r>
              <w:rPr>
                <w:rFonts w:hint="eastAsia" w:ascii="宋体" w:hAnsi="宋体" w:eastAsia="宋体" w:cs="宋体"/>
                <w:bCs/>
                <w:sz w:val="21"/>
                <w:szCs w:val="21"/>
                <w:highlight w:val="none"/>
                <w:lang w:eastAsia="zh-CN"/>
              </w:rPr>
              <w:t>；</w:t>
            </w:r>
          </w:p>
          <w:p w14:paraId="019D5887">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15.5、</w:t>
            </w:r>
            <w:r>
              <w:rPr>
                <w:rFonts w:hint="eastAsia" w:ascii="宋体" w:hAnsi="宋体" w:eastAsia="宋体" w:cs="宋体"/>
                <w:bCs/>
                <w:sz w:val="21"/>
                <w:szCs w:val="21"/>
                <w:highlight w:val="none"/>
              </w:rPr>
              <w:t>★陶瓷台面耐高温性能要求：参照GB/T17657-2022、GB/T24820-2024、QB/T5589-2021检测依据，标准要求：（120±3）℃，2h，无裂纹；检测结果符合标准要求，提供具有CMA或CNAS认证标志的第三方检测报告扫描件或复印件加盖投标人公章作为产品技术证明文件</w:t>
            </w:r>
            <w:r>
              <w:rPr>
                <w:rFonts w:hint="eastAsia" w:ascii="宋体" w:hAnsi="宋体" w:eastAsia="宋体" w:cs="宋体"/>
                <w:bCs/>
                <w:sz w:val="21"/>
                <w:szCs w:val="21"/>
                <w:highlight w:val="none"/>
                <w:lang w:eastAsia="zh-CN"/>
              </w:rPr>
              <w:t>；</w:t>
            </w:r>
          </w:p>
          <w:p w14:paraId="0D6BBA62">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15.6、</w:t>
            </w:r>
            <w:r>
              <w:rPr>
                <w:rFonts w:hint="eastAsia" w:ascii="宋体" w:hAnsi="宋体" w:eastAsia="宋体" w:cs="宋体"/>
                <w:bCs/>
                <w:sz w:val="21"/>
                <w:szCs w:val="21"/>
                <w:highlight w:val="none"/>
              </w:rPr>
              <w:t>★陶瓷台面釉面和坯体工艺要求：依据T/CIQA10-2020检测标准，标准要求：样品外观显见五面坯体，表面为釉面烧成颜色，样品敲碎后无空洞，无直径2mm以上气泡，无杂色，为一体实芯坯体，样品釉面与坯体之间无脱层，釉面与坯体呈一体结构，釉面为烧成颜色（非坯体颜色），检测结果：符合，提供具有CMA或CNAS认证标志的检测单位出具的检测报告扫描件或复印件加盖投标人公章作为产品技术证明文件</w:t>
            </w:r>
            <w:r>
              <w:rPr>
                <w:rFonts w:hint="eastAsia" w:ascii="宋体" w:hAnsi="宋体" w:eastAsia="宋体" w:cs="宋体"/>
                <w:bCs/>
                <w:sz w:val="21"/>
                <w:szCs w:val="21"/>
                <w:highlight w:val="none"/>
                <w:lang w:eastAsia="zh-CN"/>
              </w:rPr>
              <w:t>；</w:t>
            </w:r>
          </w:p>
          <w:p w14:paraId="55D72E9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15.7、</w:t>
            </w:r>
            <w:r>
              <w:rPr>
                <w:rFonts w:hint="eastAsia" w:ascii="宋体" w:hAnsi="宋体" w:eastAsia="宋体" w:cs="宋体"/>
                <w:bCs/>
                <w:sz w:val="21"/>
                <w:szCs w:val="21"/>
                <w:highlight w:val="none"/>
              </w:rPr>
              <w:t>★陶瓷台面放射性核素限量性能要求：参照GB 6566-2010检测标准，检测结果为:内照≤0.4,外照≤0.9。放射比活度（Bq/kg)：镭-226:85.9、钍-232:120.3、钾-40:944.9，提供具有CMA或CNAS认证标志的第三方检测报告扫描件或复印件加盖投标人公章作为产品技术证明文件</w:t>
            </w:r>
            <w:r>
              <w:rPr>
                <w:rFonts w:hint="eastAsia" w:ascii="宋体" w:hAnsi="宋体" w:eastAsia="宋体" w:cs="宋体"/>
                <w:bCs/>
                <w:sz w:val="21"/>
                <w:szCs w:val="21"/>
                <w:highlight w:val="none"/>
                <w:lang w:eastAsia="zh-CN"/>
              </w:rPr>
              <w:t>；</w:t>
            </w:r>
          </w:p>
          <w:p w14:paraId="69DEF410">
            <w:pPr>
              <w:keepNext w:val="0"/>
              <w:keepLines w:val="0"/>
              <w:pageBreakBefore w:val="0"/>
              <w:kinsoku/>
              <w:overflowPunct/>
              <w:topLinePunct w:val="0"/>
              <w:bidi w:val="0"/>
              <w:adjustRightInd w:val="0"/>
              <w:snapToGrid w:val="0"/>
              <w:spacing w:line="360" w:lineRule="auto"/>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15.8、</w:t>
            </w:r>
            <w:r>
              <w:rPr>
                <w:rFonts w:hint="eastAsia" w:ascii="宋体" w:hAnsi="宋体" w:eastAsia="宋体" w:cs="宋体"/>
                <w:bCs/>
                <w:sz w:val="21"/>
                <w:szCs w:val="21"/>
                <w:highlight w:val="none"/>
              </w:rPr>
              <w:t>★通风柜配套陶瓷水杯性能要求：采用实验室专用陶瓷水杯:水杯尺寸：≥260mm*150mm*210mm,水杯表面耐污染性能：依据GB/T17657-2022检测标准，检测样品为陶瓷水杯，检测内容至少包含：高氯酸72%、盐酸37%、硝酸65%、氢氧化钠40%、硫酸98%、王水等多种试剂，接触时长为48h,检测结果为5级无明显变化；物理性能：采用实验室专用陶瓷水杯，燃烧性能A（A1）测试：参照GB 8624-2012（GB/T 5464-2010、GB/T 14402-2007），对陶瓷水杯进行燃烧性能A（A1）级测试，检测结果必须符合A1要求，提供具有CMA或CNAS认证标志的检测单位出具的检测报告扫描件或复印件加盖投标人公章作为产品技术证明文件。</w:t>
            </w:r>
          </w:p>
        </w:tc>
      </w:tr>
      <w:tr w14:paraId="75AB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014C578">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D5F71D4">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洁净工作台</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6344B8B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1、技术参数</w:t>
            </w:r>
          </w:p>
          <w:p w14:paraId="2C280AC9">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外部尺寸:≥1460mm×620mm×1850mm；</w:t>
            </w:r>
          </w:p>
          <w:p w14:paraId="3FAFAF1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内部尺寸≥1335mm ×530mm×650mm；</w:t>
            </w:r>
          </w:p>
          <w:p w14:paraId="34522EEE">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1.3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过滤器尺寸：≥1300mm×450mm×69mm；</w:t>
            </w:r>
          </w:p>
          <w:p w14:paraId="32977389">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1.4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额定功率：≤750 W；</w:t>
            </w:r>
          </w:p>
          <w:p w14:paraId="0A24C788">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1.5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气流流速：0.30～0.45m/s；</w:t>
            </w:r>
          </w:p>
          <w:p w14:paraId="4C65284D">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1.6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紫外灯功率：≥40W；</w:t>
            </w:r>
          </w:p>
          <w:p w14:paraId="4AD9BDE8">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1.7</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LED日光灯功率：≥16W；</w:t>
            </w:r>
          </w:p>
          <w:p w14:paraId="4376162E">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1.8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前窗玻璃最大开口高度：≥400mm；</w:t>
            </w:r>
          </w:p>
          <w:p w14:paraId="31543724">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1.9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前窗玻璃开口安全操作高度：200-350mm；</w:t>
            </w:r>
          </w:p>
          <w:p w14:paraId="4E1C3206">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1.10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噪音≤65dB(A)；</w:t>
            </w:r>
          </w:p>
          <w:p w14:paraId="3A046162">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1.11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风机规格：转速:2460 RPM，流量：750 m³/h，功率≥90W；</w:t>
            </w:r>
          </w:p>
          <w:p w14:paraId="0D98A1E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1.12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产品安全性：菌落数≤0.5CFU/30min；</w:t>
            </w:r>
          </w:p>
          <w:p w14:paraId="011B80F3">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1.13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照明：≥300lx；</w:t>
            </w:r>
          </w:p>
          <w:p w14:paraId="14051143">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 xml:space="preserve">1.14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洁净等级：ISO5级（ISO Class5）</w:t>
            </w:r>
            <w:r>
              <w:rPr>
                <w:rFonts w:hint="eastAsia" w:ascii="宋体" w:hAnsi="宋体" w:eastAsia="宋体" w:cs="宋体"/>
                <w:bCs/>
                <w:color w:val="000000"/>
                <w:sz w:val="21"/>
                <w:szCs w:val="21"/>
                <w:highlight w:val="none"/>
                <w:lang w:eastAsia="zh-CN"/>
              </w:rPr>
              <w:t>。</w:t>
            </w:r>
          </w:p>
          <w:p w14:paraId="5A8F7361">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2、结构特点</w:t>
            </w:r>
          </w:p>
          <w:p w14:paraId="14B668F8">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2.1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洁净台分类：垂直层流、单面操作；</w:t>
            </w:r>
          </w:p>
          <w:p w14:paraId="3AC92206">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2.2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过滤效率:过滤器均采用无隔板高效过滤器，对直径0.3μm颗粒过滤效率为99.995%；</w:t>
            </w:r>
          </w:p>
          <w:p w14:paraId="3EADC392">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2.3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具有预过滤器，能够有效拦截大的颗粒物及杂质，有效延长高效过滤器的使用寿命；</w:t>
            </w:r>
          </w:p>
          <w:p w14:paraId="2F6A2A36">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2.4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工作区台面选用优质304不锈钢材质，美观、易清理、耐腐蚀；</w:t>
            </w:r>
          </w:p>
          <w:p w14:paraId="13F36128">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2.5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箱体采用优质冷轧钢板静电喷涂，美观、稳定性好；</w:t>
            </w:r>
          </w:p>
          <w:p w14:paraId="12538615">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2.6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控制面板采用轻触式开关，按键由风机键、照明键、紫外键、电源键、插座键、风量减小键、风量增大键组成，易于操作；显示屏显示内容有：风机的风速、显示时间、紫外灯的工作时间、过滤器的工作时间；</w:t>
            </w:r>
          </w:p>
          <w:p w14:paraId="47CD9159">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2.7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洁净台前视窗是采用5mm厚钢化玻璃的手动视窗，玻璃门-配重结构，上下开启灵活方便，行程范围内任意高度悬停；</w:t>
            </w:r>
          </w:p>
          <w:p w14:paraId="689F046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2.8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紫外灯与风机、日光灯互锁功能，即当风机、日光灯工作时，紫外灯无法开启，保护操作人员；</w:t>
            </w:r>
          </w:p>
          <w:p w14:paraId="1F60CE40">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2.9 </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具有紫外灯、风机预约定时功能；</w:t>
            </w:r>
          </w:p>
          <w:p w14:paraId="1A2475A2">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2.10</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具有压力单位转换功能，进行PA和m/s之间的单位切换；</w:t>
            </w:r>
          </w:p>
          <w:p w14:paraId="577FAE9F">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紫外灯延时5S开启，保护操作人员安全；</w:t>
            </w:r>
          </w:p>
          <w:p w14:paraId="7B611AA0">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完善的报警系统：</w:t>
            </w:r>
          </w:p>
          <w:p w14:paraId="28B50130">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2.12.1、</w:t>
            </w:r>
            <w:r>
              <w:rPr>
                <w:rFonts w:hint="eastAsia" w:ascii="宋体" w:hAnsi="宋体" w:eastAsia="宋体" w:cs="宋体"/>
                <w:bCs/>
                <w:color w:val="000000"/>
                <w:sz w:val="21"/>
                <w:szCs w:val="21"/>
                <w:highlight w:val="none"/>
              </w:rPr>
              <w:t>设置前窗开口安全高度，在低于或高于安全高度时报警，保证设备使用时性能稳定；</w:t>
            </w:r>
          </w:p>
          <w:p w14:paraId="0AC726A2">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2.12.2、</w:t>
            </w:r>
            <w:r>
              <w:rPr>
                <w:rFonts w:hint="eastAsia" w:ascii="宋体" w:hAnsi="宋体" w:eastAsia="宋体" w:cs="宋体"/>
                <w:bCs/>
                <w:color w:val="000000"/>
                <w:sz w:val="21"/>
                <w:szCs w:val="21"/>
                <w:highlight w:val="none"/>
              </w:rPr>
              <w:t>过滤器压力超高报警：当过滤器的阻力变大时报警；</w:t>
            </w:r>
          </w:p>
          <w:p w14:paraId="12B5D2A4">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2.12.3、</w:t>
            </w:r>
            <w:r>
              <w:rPr>
                <w:rFonts w:hint="eastAsia" w:ascii="宋体" w:hAnsi="宋体" w:eastAsia="宋体" w:cs="宋体"/>
                <w:bCs/>
                <w:color w:val="000000"/>
                <w:sz w:val="21"/>
                <w:szCs w:val="21"/>
                <w:highlight w:val="none"/>
              </w:rPr>
              <w:t>过滤器失效更换报警：当过滤器寿命使用到期后，会有过滤器更换报警；</w:t>
            </w:r>
          </w:p>
          <w:p w14:paraId="5F946E6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lang w:val="en-US" w:eastAsia="zh-CN"/>
              </w:rPr>
              <w:t>2.12.4、</w:t>
            </w:r>
            <w:r>
              <w:rPr>
                <w:rFonts w:hint="eastAsia" w:ascii="宋体" w:hAnsi="宋体" w:eastAsia="宋体" w:cs="宋体"/>
                <w:bCs/>
                <w:color w:val="000000"/>
                <w:sz w:val="21"/>
                <w:szCs w:val="21"/>
                <w:highlight w:val="none"/>
              </w:rPr>
              <w:t>风速报警：当洁净台的气流波动低于标称值的20%时报警</w:t>
            </w:r>
            <w:r>
              <w:rPr>
                <w:rFonts w:hint="eastAsia" w:ascii="宋体" w:hAnsi="宋体" w:eastAsia="宋体" w:cs="宋体"/>
                <w:bCs/>
                <w:color w:val="000000"/>
                <w:sz w:val="21"/>
                <w:szCs w:val="21"/>
                <w:highlight w:val="none"/>
                <w:lang w:eastAsia="zh-CN"/>
              </w:rPr>
              <w:t>。</w:t>
            </w:r>
          </w:p>
          <w:p w14:paraId="5BC04072">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2.13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福马脚轮设计，方便柜体移动与固定</w:t>
            </w:r>
            <w:r>
              <w:rPr>
                <w:rFonts w:hint="eastAsia" w:ascii="宋体" w:hAnsi="宋体" w:eastAsia="宋体" w:cs="宋体"/>
                <w:bCs/>
                <w:color w:val="000000"/>
                <w:sz w:val="21"/>
                <w:szCs w:val="21"/>
                <w:highlight w:val="none"/>
                <w:lang w:eastAsia="zh-CN"/>
              </w:rPr>
              <w:t>；</w:t>
            </w:r>
          </w:p>
          <w:p w14:paraId="78789B0B">
            <w:pPr>
              <w:keepNext w:val="0"/>
              <w:keepLines w:val="0"/>
              <w:pageBreakBefore w:val="0"/>
              <w:widowControl/>
              <w:kinsoku/>
              <w:overflowPunct/>
              <w:topLinePunct w:val="0"/>
              <w:bidi w:val="0"/>
              <w:adjustRightInd w:val="0"/>
              <w:snapToGrid w:val="0"/>
              <w:spacing w:line="360" w:lineRule="auto"/>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具有医疗器械注册证。</w:t>
            </w:r>
          </w:p>
        </w:tc>
      </w:tr>
      <w:tr w14:paraId="1BB3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DDD2307">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4</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69A25DC">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吊柜</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23FAC11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全钢结构柜体</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吊柜规格： </w:t>
            </w:r>
            <w:r>
              <w:rPr>
                <w:rFonts w:hint="eastAsia" w:ascii="宋体" w:hAnsi="宋体" w:eastAsia="宋体" w:cs="宋体"/>
                <w:bCs/>
                <w:color w:val="000000"/>
                <w:kern w:val="0"/>
                <w:sz w:val="21"/>
                <w:szCs w:val="21"/>
                <w:highlight w:val="none"/>
                <w:lang w:bidi="ar"/>
              </w:rPr>
              <w:t>≥"X"m(W)*0.3m(D)*6m(H)；</w:t>
            </w:r>
          </w:p>
          <w:p w14:paraId="1F028584">
            <w:pPr>
              <w:keepNext w:val="0"/>
              <w:keepLines w:val="0"/>
              <w:pageBreakBefore w:val="0"/>
              <w:widowControl/>
              <w:tabs>
                <w:tab w:val="left" w:pos="0"/>
              </w:tabs>
              <w:kinsoku/>
              <w:overflowPunct/>
              <w:topLinePunct w:val="0"/>
              <w:bidi w:val="0"/>
              <w:adjustRightInd w:val="0"/>
              <w:snapToGrid w:val="0"/>
              <w:spacing w:line="360" w:lineRule="auto"/>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 xml:space="preserve">1.1柜体：采用1.2mm全钢材质结构，加工材料为优质低碳冷轧钢板，钢材基本厚度须达到或优于1.2mm，带挂架； </w:t>
            </w:r>
          </w:p>
          <w:p w14:paraId="117EA046">
            <w:pPr>
              <w:keepNext w:val="0"/>
              <w:keepLines w:val="0"/>
              <w:pageBreakBefore w:val="0"/>
              <w:widowControl/>
              <w:tabs>
                <w:tab w:val="left" w:pos="0"/>
              </w:tabs>
              <w:kinsoku/>
              <w:overflowPunct/>
              <w:topLinePunct w:val="0"/>
              <w:bidi w:val="0"/>
              <w:adjustRightInd w:val="0"/>
              <w:snapToGrid w:val="0"/>
              <w:spacing w:line="360" w:lineRule="auto"/>
              <w:textAlignment w:val="baseline"/>
              <w:rPr>
                <w:rFonts w:hint="eastAsia" w:ascii="宋体" w:hAnsi="宋体" w:eastAsia="宋体" w:cs="宋体"/>
                <w:bCs/>
                <w:snapToGrid w:val="0"/>
                <w:kern w:val="0"/>
                <w:sz w:val="21"/>
                <w:szCs w:val="21"/>
                <w:highlight w:val="none"/>
              </w:rPr>
            </w:pPr>
            <w:r>
              <w:rPr>
                <w:rFonts w:hint="eastAsia" w:ascii="宋体" w:hAnsi="宋体" w:eastAsia="宋体" w:cs="宋体"/>
                <w:bCs/>
                <w:snapToGrid w:val="0"/>
                <w:kern w:val="0"/>
                <w:sz w:val="21"/>
                <w:szCs w:val="21"/>
                <w:highlight w:val="none"/>
              </w:rPr>
              <w:t>1.2</w:t>
            </w:r>
            <w:r>
              <w:rPr>
                <w:rFonts w:hint="eastAsia" w:ascii="宋体" w:hAnsi="宋体" w:eastAsia="宋体" w:cs="宋体"/>
                <w:bCs/>
                <w:snapToGrid w:val="0"/>
                <w:kern w:val="0"/>
                <w:sz w:val="21"/>
                <w:szCs w:val="21"/>
                <w:highlight w:val="none"/>
                <w:lang w:eastAsia="zh-CN"/>
              </w:rPr>
              <w:t>、</w:t>
            </w:r>
            <w:r>
              <w:rPr>
                <w:rFonts w:hint="eastAsia" w:ascii="宋体" w:hAnsi="宋体" w:eastAsia="宋体" w:cs="宋体"/>
                <w:bCs/>
                <w:snapToGrid w:val="0"/>
                <w:kern w:val="0"/>
                <w:sz w:val="21"/>
                <w:szCs w:val="21"/>
                <w:highlight w:val="none"/>
              </w:rPr>
              <w:t>钢制门板：门板为双层结构，内外面均经环氧树脂粉末静电喷涂烤漆工艺处理，夹层内具消音材料；门板于适当位置安装门扣组及缓冲垫，以避免关合时与柜体钢板硬性碰撞；门板能开关顺畅达180度；</w:t>
            </w:r>
          </w:p>
          <w:p w14:paraId="56973A2D">
            <w:pPr>
              <w:keepNext w:val="0"/>
              <w:keepLines w:val="0"/>
              <w:pageBreakBefore w:val="0"/>
              <w:widowControl/>
              <w:tabs>
                <w:tab w:val="left" w:pos="0"/>
              </w:tabs>
              <w:kinsoku/>
              <w:overflowPunct/>
              <w:topLinePunct w:val="0"/>
              <w:bidi w:val="0"/>
              <w:adjustRightInd w:val="0"/>
              <w:snapToGrid w:val="0"/>
              <w:spacing w:line="360" w:lineRule="auto"/>
              <w:textAlignment w:val="baseline"/>
              <w:rPr>
                <w:rFonts w:hint="eastAsia" w:ascii="宋体" w:hAnsi="宋体" w:eastAsia="宋体" w:cs="宋体"/>
                <w:bCs/>
                <w:snapToGrid w:val="0"/>
                <w:kern w:val="0"/>
                <w:sz w:val="21"/>
                <w:szCs w:val="21"/>
                <w:highlight w:val="none"/>
                <w:lang w:eastAsia="zh-CN"/>
              </w:rPr>
            </w:pPr>
            <w:r>
              <w:rPr>
                <w:rFonts w:hint="eastAsia" w:ascii="宋体" w:hAnsi="宋体" w:eastAsia="宋体" w:cs="宋体"/>
                <w:bCs/>
                <w:snapToGrid w:val="0"/>
                <w:kern w:val="0"/>
                <w:sz w:val="21"/>
                <w:szCs w:val="21"/>
                <w:highlight w:val="none"/>
              </w:rPr>
              <w:t>1.3</w:t>
            </w:r>
            <w:r>
              <w:rPr>
                <w:rFonts w:hint="eastAsia" w:ascii="宋体" w:hAnsi="宋体" w:eastAsia="宋体" w:cs="宋体"/>
                <w:bCs/>
                <w:snapToGrid w:val="0"/>
                <w:kern w:val="0"/>
                <w:sz w:val="21"/>
                <w:szCs w:val="21"/>
                <w:highlight w:val="none"/>
                <w:lang w:eastAsia="zh-CN"/>
              </w:rPr>
              <w:t>、</w:t>
            </w:r>
            <w:r>
              <w:rPr>
                <w:rFonts w:hint="eastAsia" w:ascii="宋体" w:hAnsi="宋体" w:eastAsia="宋体" w:cs="宋体"/>
                <w:bCs/>
                <w:snapToGrid w:val="0"/>
                <w:kern w:val="0"/>
                <w:sz w:val="21"/>
                <w:szCs w:val="21"/>
                <w:highlight w:val="none"/>
              </w:rPr>
              <w:t>活动层板：层板边缘应平顺不割手；层板上下调节间距每格应小于20mm；层板数量：每个柜设活动层板一只</w:t>
            </w:r>
            <w:r>
              <w:rPr>
                <w:rFonts w:hint="eastAsia" w:ascii="宋体" w:hAnsi="宋体" w:eastAsia="宋体" w:cs="宋体"/>
                <w:bCs/>
                <w:snapToGrid w:val="0"/>
                <w:kern w:val="0"/>
                <w:sz w:val="21"/>
                <w:szCs w:val="21"/>
                <w:highlight w:val="none"/>
                <w:lang w:eastAsia="zh-CN"/>
              </w:rPr>
              <w:t>；</w:t>
            </w:r>
          </w:p>
          <w:p w14:paraId="45863F2D">
            <w:pPr>
              <w:keepNext w:val="0"/>
              <w:keepLines w:val="0"/>
              <w:pageBreakBefore w:val="0"/>
              <w:widowControl/>
              <w:tabs>
                <w:tab w:val="left" w:pos="0"/>
              </w:tabs>
              <w:kinsoku/>
              <w:overflowPunct/>
              <w:topLinePunct w:val="0"/>
              <w:bidi w:val="0"/>
              <w:adjustRightInd w:val="0"/>
              <w:snapToGrid w:val="0"/>
              <w:spacing w:line="360" w:lineRule="auto"/>
              <w:textAlignment w:val="baseline"/>
              <w:rPr>
                <w:rFonts w:hint="eastAsia" w:ascii="宋体" w:hAnsi="宋体" w:eastAsia="宋体" w:cs="宋体"/>
                <w:bCs/>
                <w:snapToGrid w:val="0"/>
                <w:kern w:val="0"/>
                <w:sz w:val="21"/>
                <w:szCs w:val="21"/>
                <w:highlight w:val="none"/>
                <w:lang w:eastAsia="zh-CN"/>
              </w:rPr>
            </w:pPr>
            <w:r>
              <w:rPr>
                <w:rFonts w:hint="eastAsia" w:ascii="宋体" w:hAnsi="宋体" w:eastAsia="宋体" w:cs="宋体"/>
                <w:bCs/>
                <w:snapToGrid w:val="0"/>
                <w:kern w:val="0"/>
                <w:sz w:val="21"/>
                <w:szCs w:val="21"/>
                <w:highlight w:val="none"/>
              </w:rPr>
              <w:t>1.4</w:t>
            </w:r>
            <w:r>
              <w:rPr>
                <w:rFonts w:hint="eastAsia" w:ascii="宋体" w:hAnsi="宋体" w:eastAsia="宋体" w:cs="宋体"/>
                <w:bCs/>
                <w:snapToGrid w:val="0"/>
                <w:kern w:val="0"/>
                <w:sz w:val="21"/>
                <w:szCs w:val="21"/>
                <w:highlight w:val="none"/>
                <w:lang w:eastAsia="zh-CN"/>
              </w:rPr>
              <w:t>、</w:t>
            </w:r>
            <w:r>
              <w:rPr>
                <w:rFonts w:hint="eastAsia" w:ascii="宋体" w:hAnsi="宋体" w:eastAsia="宋体" w:cs="宋体"/>
                <w:bCs/>
                <w:snapToGrid w:val="0"/>
                <w:kern w:val="0"/>
                <w:sz w:val="21"/>
                <w:szCs w:val="21"/>
                <w:highlight w:val="none"/>
              </w:rPr>
              <w:t>其他：五金配件及工艺要求参照全钢结构实验台</w:t>
            </w:r>
            <w:r>
              <w:rPr>
                <w:rFonts w:hint="eastAsia" w:ascii="宋体" w:hAnsi="宋体" w:eastAsia="宋体" w:cs="宋体"/>
                <w:bCs/>
                <w:snapToGrid w:val="0"/>
                <w:kern w:val="0"/>
                <w:sz w:val="21"/>
                <w:szCs w:val="21"/>
                <w:highlight w:val="none"/>
                <w:lang w:eastAsia="zh-CN"/>
              </w:rPr>
              <w:t>；</w:t>
            </w:r>
          </w:p>
          <w:p w14:paraId="36704276">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snapToGrid w:val="0"/>
                <w:kern w:val="0"/>
                <w:sz w:val="21"/>
                <w:szCs w:val="21"/>
                <w:highlight w:val="none"/>
              </w:rPr>
              <w:t>1.5</w:t>
            </w:r>
            <w:r>
              <w:rPr>
                <w:rFonts w:hint="eastAsia" w:ascii="宋体" w:hAnsi="宋体" w:eastAsia="宋体" w:cs="宋体"/>
                <w:bCs/>
                <w:snapToGrid w:val="0"/>
                <w:kern w:val="0"/>
                <w:sz w:val="21"/>
                <w:szCs w:val="21"/>
                <w:highlight w:val="none"/>
                <w:lang w:eastAsia="zh-CN"/>
              </w:rPr>
              <w:t>、</w:t>
            </w:r>
            <w:r>
              <w:rPr>
                <w:rFonts w:hint="eastAsia" w:ascii="宋体" w:hAnsi="宋体" w:eastAsia="宋体" w:cs="宋体"/>
                <w:bCs/>
                <w:snapToGrid w:val="0"/>
                <w:kern w:val="0"/>
                <w:sz w:val="21"/>
                <w:szCs w:val="21"/>
                <w:highlight w:val="none"/>
              </w:rPr>
              <w:t>吊柜安装：在原实验上安装吊柜或新装吊柜，由于墙体原因，吊柜不能吊挂于墙体上，需要拆解原钢木或全钢实验台，将钢架换成可吊挂吊柜的高脚钢架或在全钢实验台上重新延伸出吊挂钢架，吊柜重量集中于吊挂钢架上。</w:t>
            </w:r>
          </w:p>
        </w:tc>
      </w:tr>
      <w:tr w14:paraId="5391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428162B">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5</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14D96A2E">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 xml:space="preserve">PP水槽、三口水龙头、单头洗眼器、滴水架、落地式紧急冲淋器 </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60450145">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PP水槽</w:t>
            </w:r>
          </w:p>
          <w:p w14:paraId="5771C09A">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PP水槽、PP特大水槽：作为实验室重要的配件与水龙头搭配，用于实验室器具的盥洗。水槽边沿平整，契合台面。水槽需自带溢水功能，可防止在实验过程中无人看管时水漫过台面的情况。水槽材质为防腐蚀材质。主要搭配 PP 存水器，防止虹吸现象</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3DA22681">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材质：采用高密度PP新料注塑成型，耐腐蚀耐酸碱；稳定性强，并具弹性、韧性，不易老化耐划</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61048C32">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厚度：根据强度要求设计厚度为5mm-8mm</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0A39CCB6">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附件：高密度PP去水；含阻水盖、PP提笼</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7D87F867">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耐化学性：经试剂10%醋酸。10%NaOH,15%次氯酸钠，饱和NaCL溶液， 70%乙醇分别试验，经试验后表面应无永久腐蚀或变形。其中外观及其承载能力的检测也都符合要求。 </w:t>
            </w:r>
          </w:p>
          <w:p w14:paraId="14303FD5">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三口水龙头</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实验专用龙头等给水装置须采用优质产品，并符合以下要求：  </w:t>
            </w:r>
          </w:p>
          <w:p w14:paraId="0699207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符合GB 25501-2010水嘴用水效率限定值及用水效率等级标准</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290CD47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主体材料：直管：采用ø26*1.2 mm管径的H63铜管制造。臂管：采用ø22*1.2mm 管径的H63铜管制造。鹅颈弯管：采用ø19 *1.0mm管径的H63铜管制造，可360°旋转。涂层:高亮度环氧树脂涂层,耐腐蚀、耐热,防紫外线辐射， 陶瓷阀芯:90°旋转,使用寿命开关50万次,静态最大耐压10bar，符合GB18145- 2014标准，开关旋钮:高密度PP,人体工学设计,手感舒适</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197DCAC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2.3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实验室三口化验水龙头：主体加厚纯铜制作，涂层经亚光环氧树脂耐酸</w:t>
            </w:r>
            <w:r>
              <w:rPr>
                <w:rFonts w:hint="eastAsia" w:ascii="宋体" w:hAnsi="宋体" w:eastAsia="宋体" w:cs="宋体"/>
                <w:bCs/>
                <w:color w:val="000000"/>
                <w:sz w:val="21"/>
                <w:szCs w:val="21"/>
                <w:highlight w:val="none"/>
                <w:lang w:eastAsia="zh-CN"/>
              </w:rPr>
              <w:t>；</w:t>
            </w:r>
          </w:p>
          <w:p w14:paraId="701A54A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碱粉末涂料热固处理，防紫外线辐射，防酸碱、耐腐蚀，开关采用精密陶瓷阀心、耐磨、耐腐蚀，开关寿命要求可达50万次，静态最大耐压2.5MPa,鹅颈出水管可360度旋转，水嘴密封性能符合国家相关标准,水龙头总整高度555MM，主管直径26MM，弯头直径22MM，鹅颈管直径19MM,重量≥1700g</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6F7DC57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给排水管路：实验室只提供一个给水、一个排水点，供应商需根据现场情况自行布设给排水管路，给水管采用PP-R-20mm以上管路带各型阀门，给水管需要从天花吊顶内部通过实验台水电容箱功能柱（水电容箱功能柱不另行单独报价）引至用水点，排水采用PP-R-75mm以上管路。</w:t>
            </w:r>
          </w:p>
          <w:p w14:paraId="780E84C9">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单头洗眼器</w:t>
            </w:r>
          </w:p>
          <w:p w14:paraId="244B4D03">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主体:加厚铜质H59-1； </w:t>
            </w:r>
          </w:p>
          <w:p w14:paraId="554EF923">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洗眼喷头:加厚铜质环氧树脂涂层外加软性橡胶,出水经缓压处理呈泡沫状水柱,防止冲伤眼睛</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 </w:t>
            </w:r>
          </w:p>
          <w:p w14:paraId="008575D7">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莲蓬头护罩：Φ70橡胶质护杯，以避免紧急使用时瞬间接触眼部造成碰撞二次伤害； </w:t>
            </w:r>
          </w:p>
          <w:p w14:paraId="6DB87F4A">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防尘盖:PP材质,平常可防尘，使用时可随时被水冲开，并降低突然时短暂的高水压，防止冲伤眼睛，防尘盖有连接于护罩可防尘脱落。使用时自动被水冲开； </w:t>
            </w:r>
          </w:p>
          <w:p w14:paraId="1E626A50">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水流锁定开关:水流开启,水流锁定功能一次完成,方便使用； </w:t>
            </w:r>
          </w:p>
          <w:p w14:paraId="4CA83A35">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3.6</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控水阀:止逆阀,其阀门可自动关闭； </w:t>
            </w:r>
          </w:p>
          <w:p w14:paraId="150A9F52">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3.7</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前置过滤器：配有小型前置过滤器主要的去除管道所产生的沉淀杂质和细菌、微生物残骸、铁锈、沙泥等大于5微米以上的颗粒杂质，避免眼睛及人体肌肤受到伤害； </w:t>
            </w:r>
          </w:p>
          <w:p w14:paraId="580F6F39">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3.8</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 xml:space="preserve">供水软管:长度1.5米,软性PVC管外覆不锈钢网,外层包裹PE管,有效防止生锈、渗漏； </w:t>
            </w:r>
          </w:p>
          <w:p w14:paraId="42EDAC28">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滴水架</w:t>
            </w:r>
          </w:p>
          <w:p w14:paraId="7F3D7F0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lang w:eastAsia="zh-CN"/>
              </w:rPr>
            </w:pPr>
            <w:r>
              <w:rPr>
                <w:rFonts w:hint="eastAsia" w:ascii="宋体" w:hAnsi="宋体" w:eastAsia="宋体" w:cs="宋体"/>
                <w:bCs/>
                <w:color w:val="000000"/>
                <w:sz w:val="21"/>
                <w:szCs w:val="21"/>
                <w:highlight w:val="none"/>
              </w:rPr>
              <w:t>全PP结构一体成型滴水架，聚丙烯PP加厚材质，PP棒≥30支，安装方式，可挂可立，带排水软管</w:t>
            </w:r>
            <w:r>
              <w:rPr>
                <w:rFonts w:hint="eastAsia" w:ascii="宋体" w:hAnsi="宋体" w:eastAsia="宋体" w:cs="宋体"/>
                <w:bCs/>
                <w:color w:val="000000"/>
                <w:sz w:val="21"/>
                <w:szCs w:val="21"/>
                <w:highlight w:val="none"/>
                <w:lang w:eastAsia="zh-CN"/>
              </w:rPr>
              <w:t>；</w:t>
            </w:r>
          </w:p>
          <w:p w14:paraId="5AB3DE6B">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紧急冲淋器 落地式紧急冲淋器，（不锈钢结构）</w:t>
            </w:r>
          </w:p>
          <w:p w14:paraId="49766E89">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主体：SUS304#不锈钢；</w:t>
            </w:r>
          </w:p>
          <w:p w14:paraId="3A123E3D">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地面安装型：洗眼、洗脸及全身冲淋于一体。淋身器为连杆式拉动开关；洗眼器为手动推板开关并附脚踏开关；</w:t>
            </w:r>
          </w:p>
          <w:p w14:paraId="0C1F1DC5">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5.1</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冲淋器高度：≥2100 mm±20 mm；洗眼高度：≥1030 mm±20 mm；</w:t>
            </w:r>
          </w:p>
          <w:p w14:paraId="649C0921">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5.2</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冲淋盘：可提供下方冲淋区全面的水柱覆盖面；</w:t>
            </w:r>
          </w:p>
          <w:p w14:paraId="35D81C8F">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5.3</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rPr>
              <w:t>洗眼器：双口洗眼器，气泡式出口莲蓬头设计，ABS喷头带Ф70橡胶防尘盖，平时防尘，使用时可随时被水冲开，降低突然打开时暂时的高水压，防止冲伤眼睛。防尘盖链条与护杯连接，以防脱落。</w:t>
            </w:r>
          </w:p>
        </w:tc>
      </w:tr>
      <w:tr w14:paraId="764F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54826E38">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6</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38E889C">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防水隔断</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5DA2A0B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铝合金材质防水隔断</w:t>
            </w:r>
          </w:p>
          <w:p w14:paraId="3C82ECE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 xml:space="preserve"> 70系列铝合金隔断，白色，单层钢化玻璃，铝材厚度≥1.4mm,表面处理：氟碳喷涂或电泳工艺，耐盐雾≥48小时</w:t>
            </w:r>
            <w:r>
              <w:rPr>
                <w:rFonts w:hint="eastAsia" w:ascii="宋体" w:hAnsi="宋体" w:eastAsia="宋体" w:cs="宋体"/>
                <w:bCs/>
                <w:snapToGrid w:val="0"/>
                <w:color w:val="000000"/>
                <w:sz w:val="21"/>
                <w:szCs w:val="21"/>
                <w:highlight w:val="none"/>
                <w:lang w:eastAsia="zh-CN"/>
              </w:rPr>
              <w:t>；</w:t>
            </w:r>
          </w:p>
          <w:p w14:paraId="529B853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钢化玻璃可见光透射比≥0.75</w:t>
            </w:r>
            <w:r>
              <w:rPr>
                <w:rFonts w:hint="eastAsia" w:ascii="宋体" w:hAnsi="宋体" w:eastAsia="宋体" w:cs="宋体"/>
                <w:bCs/>
                <w:snapToGrid w:val="0"/>
                <w:color w:val="000000"/>
                <w:sz w:val="21"/>
                <w:szCs w:val="21"/>
                <w:highlight w:val="none"/>
                <w:lang w:eastAsia="zh-CN"/>
              </w:rPr>
              <w:t>；</w:t>
            </w:r>
          </w:p>
          <w:p w14:paraId="35C9F27A">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color w:val="000000"/>
                <w:sz w:val="21"/>
                <w:szCs w:val="21"/>
                <w:highlight w:val="none"/>
              </w:rPr>
            </w:pPr>
            <w:r>
              <w:rPr>
                <w:rFonts w:hint="eastAsia" w:ascii="宋体" w:hAnsi="宋体" w:eastAsia="宋体" w:cs="宋体"/>
                <w:bCs/>
                <w:snapToGrid w:val="0"/>
                <w:color w:val="000000"/>
                <w:sz w:val="21"/>
                <w:szCs w:val="21"/>
                <w:highlight w:val="none"/>
              </w:rPr>
              <w:t>1.3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防水密封处理:框架㐏墙体间隙采用弹性材料填充，外口嵌硅酮耐候胶。</w:t>
            </w:r>
          </w:p>
        </w:tc>
      </w:tr>
      <w:tr w14:paraId="470C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63275DF8">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7</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5810BAA0">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污水处理系统</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2EDD04B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用于污水收集及提升至排放总管：日</w:t>
            </w:r>
            <w:r>
              <w:rPr>
                <w:rFonts w:hint="eastAsia" w:ascii="宋体" w:hAnsi="宋体" w:eastAsia="宋体" w:cs="宋体"/>
                <w:bCs/>
                <w:snapToGrid w:val="0"/>
                <w:color w:val="000000"/>
                <w:sz w:val="21"/>
                <w:szCs w:val="21"/>
                <w:highlight w:val="none"/>
                <w:lang w:val="en-US" w:eastAsia="zh-CN"/>
              </w:rPr>
              <w:t>排放</w:t>
            </w:r>
            <w:r>
              <w:rPr>
                <w:rFonts w:hint="eastAsia" w:ascii="宋体" w:hAnsi="宋体" w:eastAsia="宋体" w:cs="宋体"/>
                <w:bCs/>
                <w:snapToGrid w:val="0"/>
                <w:color w:val="000000"/>
                <w:sz w:val="21"/>
                <w:szCs w:val="21"/>
                <w:highlight w:val="none"/>
              </w:rPr>
              <w:t>量≥2000L</w:t>
            </w:r>
          </w:p>
          <w:p w14:paraId="2A00E36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通过液位传感器自动控制进水泵及设备运行；</w:t>
            </w:r>
          </w:p>
          <w:p w14:paraId="0C1DB878">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PP材质污水收集池；</w:t>
            </w:r>
          </w:p>
          <w:p w14:paraId="43ABD05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PP一体耐腐蚀水泵，一用一备</w:t>
            </w:r>
            <w:r>
              <w:rPr>
                <w:rFonts w:hint="eastAsia" w:ascii="宋体" w:hAnsi="宋体" w:eastAsia="宋体" w:cs="宋体"/>
                <w:bCs/>
                <w:snapToGrid w:val="0"/>
                <w:color w:val="000000"/>
                <w:sz w:val="21"/>
                <w:szCs w:val="21"/>
                <w:highlight w:val="none"/>
                <w:lang w:eastAsia="zh-CN"/>
              </w:rPr>
              <w:t>。</w:t>
            </w:r>
          </w:p>
          <w:p w14:paraId="71AA4E0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配件要求：包含给排水管道等辅助配件，含管道安装</w:t>
            </w:r>
            <w:r>
              <w:rPr>
                <w:rFonts w:hint="eastAsia" w:ascii="宋体" w:hAnsi="宋体" w:eastAsia="宋体" w:cs="宋体"/>
                <w:bCs/>
                <w:snapToGrid w:val="0"/>
                <w:color w:val="000000"/>
                <w:sz w:val="21"/>
                <w:szCs w:val="21"/>
                <w:highlight w:val="none"/>
                <w:lang w:eastAsia="zh-CN"/>
              </w:rPr>
              <w:t>；</w:t>
            </w:r>
          </w:p>
          <w:p w14:paraId="2359B37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给排水管道等辅助配件</w:t>
            </w:r>
          </w:p>
          <w:p w14:paraId="04382FE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2.1.1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 xml:space="preserve"> PP-R管，数量：DN50=49m；DN75=35m；DN32=18m；DN25=20m；DN20=70m，含外墙开孔人工机械费用，含管道保温，含安装辅材</w:t>
            </w:r>
            <w:r>
              <w:rPr>
                <w:rFonts w:hint="eastAsia" w:ascii="宋体" w:hAnsi="宋体" w:eastAsia="宋体" w:cs="宋体"/>
                <w:bCs/>
                <w:snapToGrid w:val="0"/>
                <w:color w:val="000000"/>
                <w:sz w:val="21"/>
                <w:szCs w:val="21"/>
                <w:highlight w:val="none"/>
                <w:lang w:eastAsia="zh-CN"/>
              </w:rPr>
              <w:t>；</w:t>
            </w:r>
          </w:p>
          <w:p w14:paraId="225E5DAA">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 xml:space="preserve">2.1.2 </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PP-R球阀，数量：DN32=2只；DN20=17只</w:t>
            </w:r>
            <w:r>
              <w:rPr>
                <w:rFonts w:hint="eastAsia" w:ascii="宋体" w:hAnsi="宋体" w:eastAsia="宋体" w:cs="宋体"/>
                <w:bCs/>
                <w:snapToGrid w:val="0"/>
                <w:color w:val="000000"/>
                <w:sz w:val="21"/>
                <w:szCs w:val="21"/>
                <w:highlight w:val="none"/>
                <w:lang w:eastAsia="zh-CN"/>
              </w:rPr>
              <w:t>；</w:t>
            </w:r>
          </w:p>
          <w:p w14:paraId="6FE72CDF">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 xml:space="preserve">2.1.3 </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直径≥20mm金属网软管，数量：19条。</w:t>
            </w:r>
          </w:p>
        </w:tc>
      </w:tr>
      <w:tr w14:paraId="696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B2B00F3">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8</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D457286">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排风系统</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447F719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风机及管路：玻璃钢离心风机1台,排风量:MAX5270CMH；PVC/PP排风管30平方，风管厚度、制作、安装参</w:t>
            </w:r>
            <w:r>
              <w:rPr>
                <w:rFonts w:hint="eastAsia" w:ascii="宋体" w:hAnsi="宋体" w:eastAsia="宋体" w:cs="宋体"/>
                <w:bCs/>
                <w:snapToGrid w:val="0"/>
                <w:color w:val="000000"/>
                <w:sz w:val="21"/>
                <w:szCs w:val="21"/>
                <w:highlight w:val="none"/>
              </w:rPr>
              <w:t>考现行国标，PP变风量阀1套；风机软连接1套</w:t>
            </w:r>
            <w:r>
              <w:rPr>
                <w:rFonts w:hint="eastAsia" w:ascii="宋体" w:hAnsi="宋体" w:eastAsia="宋体" w:cs="宋体"/>
                <w:bCs/>
                <w:snapToGrid w:val="0"/>
                <w:color w:val="000000"/>
                <w:sz w:val="21"/>
                <w:szCs w:val="21"/>
                <w:highlight w:val="none"/>
                <w:lang w:eastAsia="zh-CN"/>
              </w:rPr>
              <w:t>；</w:t>
            </w:r>
          </w:p>
          <w:p w14:paraId="745FA29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风机选型:</w:t>
            </w:r>
            <w:r>
              <w:rPr>
                <w:rFonts w:hint="eastAsia" w:ascii="宋体" w:hAnsi="宋体" w:eastAsia="宋体" w:cs="宋体"/>
                <w:bCs/>
                <w:snapToGrid w:val="0"/>
                <w:color w:val="000000"/>
                <w:sz w:val="21"/>
                <w:szCs w:val="21"/>
                <w:highlight w:val="none"/>
                <w:lang w:val="en-US" w:eastAsia="zh-CN"/>
              </w:rPr>
              <w:t>≥</w:t>
            </w:r>
            <w:r>
              <w:rPr>
                <w:rFonts w:hint="eastAsia" w:ascii="宋体" w:hAnsi="宋体" w:eastAsia="宋体" w:cs="宋体"/>
                <w:bCs/>
                <w:snapToGrid w:val="0"/>
                <w:color w:val="000000"/>
                <w:sz w:val="21"/>
                <w:szCs w:val="21"/>
                <w:highlight w:val="none"/>
              </w:rPr>
              <w:t>F4-72型-No.4.5A玻璃钢离心排风机,排风量:2840-5270CMH,全压:628-410PA,1450RPM,380</w:t>
            </w:r>
            <w:r>
              <w:rPr>
                <w:rFonts w:hint="eastAsia" w:ascii="宋体" w:hAnsi="宋体" w:eastAsia="宋体" w:cs="宋体"/>
                <w:bCs/>
                <w:snapToGrid w:val="0"/>
                <w:color w:val="000000"/>
                <w:sz w:val="21"/>
                <w:szCs w:val="21"/>
                <w:highlight w:val="none"/>
              </w:rPr>
              <w:t>V-1.5Kw，变频电机；</w:t>
            </w:r>
          </w:p>
          <w:p w14:paraId="16B7DA2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风机控制系统：系统采用VAV控制，节能和降噪；</w:t>
            </w:r>
          </w:p>
          <w:p w14:paraId="06B2BFA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风机节能产品试验：风机满足排风量、全压的要求。风机节能试验报告结果符合要求，全压偏差实验结果±5%，风机效率节能评价值≥84</w:t>
            </w:r>
            <w:r>
              <w:rPr>
                <w:rFonts w:hint="eastAsia" w:ascii="宋体" w:hAnsi="宋体" w:eastAsia="宋体" w:cs="宋体"/>
                <w:bCs/>
                <w:snapToGrid w:val="0"/>
                <w:color w:val="000000"/>
                <w:sz w:val="21"/>
                <w:szCs w:val="21"/>
                <w:highlight w:val="none"/>
                <w:lang w:eastAsia="zh-CN"/>
              </w:rPr>
              <w:t>；</w:t>
            </w:r>
          </w:p>
          <w:p w14:paraId="0F26B16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1.4</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整体性能：风机选用耐酸碱腐蚀的玻璃钢变频离心风机，风机性能曲线优良，满足风量、风压要求。防爆耐酸碱腐蚀的玻璃钢变频离心风机其整体应为玻离纤维耐酸碱树脂（FRP）制作，其叶轮为翼型离心式。FRP耐酸碱（乙烯基脂树脂+无碱玻璃纤维）树脂制作（操作温度低于80度），乙烯基脂树脂采用国产优质品牌产品、无碱玻璃纤维采用国产优质品牌产品；轴心材质：45#钢（玻璃钢包覆或环氧树脂喷漆）;机架材质：Q235+EPOXY防锈；风机所有紧固件需采用SUS304作预埋防止腐蚀，外部裸露部分需采用螺帽套结构（避免松动）；轴承选用优质品牌轴承；轴承座：机油冷却式（可选用油品标号“15W/40”）；鼓风机底部配置减震平台及排水清理装置、风机的转子要便于检查清理；转子动平衡</w:t>
            </w:r>
            <w:r>
              <w:rPr>
                <w:rFonts w:hint="eastAsia" w:ascii="宋体" w:hAnsi="宋体" w:eastAsia="宋体" w:cs="宋体"/>
                <w:bCs/>
                <w:snapToGrid w:val="0"/>
                <w:color w:val="000000"/>
                <w:sz w:val="21"/>
                <w:szCs w:val="21"/>
                <w:highlight w:val="none"/>
                <w:lang w:eastAsia="zh-CN"/>
              </w:rPr>
              <w:t>；</w:t>
            </w:r>
          </w:p>
          <w:p w14:paraId="2A8B3A4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1.5</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风机结构稳定：风机整体结构紧凑、噪声低、耐腐蚀、耐高温、强度高、使用寿命长；运行效率高、高效区平坦、性能稳定可靠，风速、风量稳定</w:t>
            </w:r>
            <w:r>
              <w:rPr>
                <w:rFonts w:hint="eastAsia" w:ascii="宋体" w:hAnsi="宋体" w:eastAsia="宋体" w:cs="宋体"/>
                <w:bCs/>
                <w:snapToGrid w:val="0"/>
                <w:color w:val="000000"/>
                <w:sz w:val="21"/>
                <w:szCs w:val="21"/>
                <w:highlight w:val="none"/>
                <w:lang w:eastAsia="zh-CN"/>
              </w:rPr>
              <w:t>；</w:t>
            </w:r>
          </w:p>
          <w:p w14:paraId="75A57086">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1.6</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风机配置电机性能：风机配置的电机防水、防尘、变频、使用寿命长等条件，电机应采用优质品牌电机</w:t>
            </w:r>
            <w:r>
              <w:rPr>
                <w:rFonts w:hint="eastAsia" w:ascii="宋体" w:hAnsi="宋体" w:eastAsia="宋体" w:cs="宋体"/>
                <w:bCs/>
                <w:snapToGrid w:val="0"/>
                <w:color w:val="000000"/>
                <w:sz w:val="21"/>
                <w:szCs w:val="21"/>
                <w:highlight w:val="none"/>
                <w:lang w:eastAsia="zh-CN"/>
              </w:rPr>
              <w:t>；</w:t>
            </w:r>
          </w:p>
          <w:p w14:paraId="7C8FD46A">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1.7</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每台排风机可独立操作及运行</w:t>
            </w:r>
            <w:r>
              <w:rPr>
                <w:rFonts w:hint="eastAsia" w:ascii="宋体" w:hAnsi="宋体" w:eastAsia="宋体" w:cs="宋体"/>
                <w:bCs/>
                <w:snapToGrid w:val="0"/>
                <w:color w:val="000000"/>
                <w:sz w:val="21"/>
                <w:szCs w:val="21"/>
                <w:highlight w:val="none"/>
                <w:lang w:eastAsia="zh-CN"/>
              </w:rPr>
              <w:t>；</w:t>
            </w:r>
          </w:p>
          <w:p w14:paraId="449EAD0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1.8</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消声器：根据风量配置相应消声器</w:t>
            </w:r>
            <w:r>
              <w:rPr>
                <w:rFonts w:hint="eastAsia" w:ascii="宋体" w:hAnsi="宋体" w:eastAsia="宋体" w:cs="宋体"/>
                <w:bCs/>
                <w:snapToGrid w:val="0"/>
                <w:color w:val="000000"/>
                <w:sz w:val="21"/>
                <w:szCs w:val="21"/>
                <w:highlight w:val="none"/>
                <w:lang w:eastAsia="zh-CN"/>
              </w:rPr>
              <w:t>；</w:t>
            </w:r>
          </w:p>
          <w:p w14:paraId="6A07F89C">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napToGrid w:val="0"/>
                <w:color w:val="000000"/>
                <w:sz w:val="21"/>
                <w:szCs w:val="21"/>
                <w:highlight w:val="none"/>
              </w:rPr>
              <w:t>1.9</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风管：风管室外外立面安装，安装后需要根据校内要求喷涂外墙颜色至真石漆。</w:t>
            </w:r>
          </w:p>
        </w:tc>
      </w:tr>
      <w:tr w14:paraId="0A12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1305EFFE">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9</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52016F4">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实验用电气系统</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1F9582A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电箱（壳体）</w:t>
            </w:r>
          </w:p>
          <w:p w14:paraId="734FE3D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功能：小型配电箱是组装低压终端电器，用于楼宇照明、配电和动力的专用箱体。技术参数：额定电压：400VAC、额定电流：160A 、防护等级：IP40 、绝缘等级：II</w:t>
            </w:r>
            <w:r>
              <w:rPr>
                <w:rFonts w:hint="eastAsia" w:ascii="宋体" w:hAnsi="宋体" w:eastAsia="宋体" w:cs="宋体"/>
                <w:bCs/>
                <w:snapToGrid w:val="0"/>
                <w:color w:val="000000"/>
                <w:sz w:val="21"/>
                <w:szCs w:val="21"/>
                <w:highlight w:val="none"/>
                <w:lang w:eastAsia="zh-CN"/>
              </w:rPr>
              <w:t>；</w:t>
            </w:r>
          </w:p>
          <w:p w14:paraId="0F5F750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断路器</w:t>
            </w:r>
          </w:p>
          <w:p w14:paraId="0238414C">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断路器要求该产品空气开关绝缘电压为600V至800V,额定电流为10A至100A.用来分配电能和保护线路以及电源设备免受过载,短路,欠电压等故障的技术</w:t>
            </w:r>
            <w:r>
              <w:rPr>
                <w:rFonts w:hint="eastAsia" w:ascii="宋体" w:hAnsi="宋体" w:eastAsia="宋体" w:cs="宋体"/>
                <w:bCs/>
                <w:snapToGrid w:val="0"/>
                <w:color w:val="000000"/>
                <w:sz w:val="21"/>
                <w:szCs w:val="21"/>
                <w:highlight w:val="none"/>
                <w:lang w:eastAsia="zh-CN"/>
              </w:rPr>
              <w:t>；</w:t>
            </w:r>
          </w:p>
          <w:p w14:paraId="0FDA844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电线、电缆</w:t>
            </w:r>
          </w:p>
          <w:p w14:paraId="0C881C6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电线、电缆使用的是6～35kV交联聚乙烯绝缘阻燃电力电缆（ZR-BV、ZR-YJV、WDZ-YJV），为国家优质产品</w:t>
            </w:r>
            <w:r>
              <w:rPr>
                <w:rFonts w:hint="eastAsia" w:ascii="宋体" w:hAnsi="宋体" w:eastAsia="宋体" w:cs="宋体"/>
                <w:bCs/>
                <w:snapToGrid w:val="0"/>
                <w:color w:val="000000"/>
                <w:sz w:val="21"/>
                <w:szCs w:val="21"/>
                <w:highlight w:val="none"/>
                <w:lang w:eastAsia="zh-CN"/>
              </w:rPr>
              <w:t>；</w:t>
            </w:r>
          </w:p>
          <w:p w14:paraId="5A80691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4</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穿线槽、管</w:t>
            </w:r>
          </w:p>
          <w:p w14:paraId="18545450">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采用电线的护套管与PVC线槽，采用的PVC护套管、PVC线槽具有耐高温、不易断裂和老化、使用寿命长、耐腐蚀、易连接等优点，安装施工方便，工程造价低</w:t>
            </w:r>
            <w:r>
              <w:rPr>
                <w:rFonts w:hint="eastAsia" w:ascii="宋体" w:hAnsi="宋体" w:eastAsia="宋体" w:cs="宋体"/>
                <w:bCs/>
                <w:snapToGrid w:val="0"/>
                <w:color w:val="000000"/>
                <w:sz w:val="21"/>
                <w:szCs w:val="21"/>
                <w:highlight w:val="none"/>
                <w:lang w:eastAsia="zh-CN"/>
              </w:rPr>
              <w:t>；</w:t>
            </w:r>
          </w:p>
          <w:p w14:paraId="359D891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5</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86型暗装10A插座=88个，含暗装开槽修复费用。材料、施工均需符合现行国家标准；</w:t>
            </w:r>
          </w:p>
          <w:p w14:paraId="66E5B46D">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napToGrid w:val="0"/>
                <w:color w:val="000000"/>
                <w:sz w:val="21"/>
                <w:szCs w:val="21"/>
                <w:highlight w:val="none"/>
              </w:rPr>
              <w:t>6</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三角型线槽7套。</w:t>
            </w:r>
            <w:r>
              <w:rPr>
                <w:rFonts w:hint="eastAsia" w:ascii="宋体" w:hAnsi="宋体" w:eastAsia="宋体" w:cs="宋体"/>
                <w:bCs/>
                <w:sz w:val="21"/>
                <w:szCs w:val="21"/>
                <w:highlight w:val="none"/>
              </w:rPr>
              <w:t xml:space="preserve">3.1三角形线槽材料要求 </w:t>
            </w:r>
          </w:p>
          <w:p w14:paraId="4BB56901">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6.1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采用全钢材质结构，加工材料为优质低碳冷轧钢板，钢材基本厚度须达到或优于1.2mm；</w:t>
            </w:r>
          </w:p>
          <w:p w14:paraId="77BB2E2C">
            <w:pPr>
              <w:keepNext w:val="0"/>
              <w:keepLines w:val="0"/>
              <w:pageBreakBefore w:val="0"/>
              <w:widowControl/>
              <w:tabs>
                <w:tab w:val="left" w:pos="0"/>
              </w:tabs>
              <w:kinsoku/>
              <w:overflowPunct/>
              <w:topLinePunct w:val="0"/>
              <w:bidi w:val="0"/>
              <w:adjustRightInd w:val="0"/>
              <w:snapToGrid w:val="0"/>
              <w:spacing w:line="360" w:lineRule="auto"/>
              <w:jc w:val="left"/>
              <w:textAlignment w:val="baseline"/>
              <w:rPr>
                <w:rFonts w:hint="eastAsia" w:ascii="宋体" w:hAnsi="宋体" w:eastAsia="宋体" w:cs="宋体"/>
                <w:bCs/>
                <w:sz w:val="21"/>
                <w:szCs w:val="21"/>
                <w:highlight w:val="none"/>
              </w:rPr>
            </w:pPr>
            <w:r>
              <w:rPr>
                <w:rFonts w:hint="eastAsia" w:ascii="宋体" w:hAnsi="宋体" w:eastAsia="宋体" w:cs="宋体"/>
                <w:bCs/>
                <w:sz w:val="21"/>
                <w:szCs w:val="21"/>
                <w:highlight w:val="none"/>
              </w:rPr>
              <w:t>6.2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三角形线槽结构工艺要求：每个带2只5孔10A插座，含房间配电箱引至插座盒电源线路，单相3线制，每只插座电源线ZRBV-450/750V-3×2.5mm</w:t>
            </w:r>
            <w:r>
              <w:rPr>
                <w:rFonts w:hint="eastAsia" w:ascii="宋体" w:hAnsi="宋体" w:eastAsia="宋体" w:cs="宋体"/>
                <w:bCs/>
                <w:sz w:val="21"/>
                <w:szCs w:val="21"/>
                <w:highlight w:val="none"/>
                <w:vertAlign w:val="superscript"/>
              </w:rPr>
              <w:t>2</w:t>
            </w:r>
            <w:r>
              <w:rPr>
                <w:rFonts w:hint="eastAsia" w:ascii="宋体" w:hAnsi="宋体" w:eastAsia="宋体" w:cs="宋体"/>
                <w:bCs/>
                <w:sz w:val="21"/>
                <w:szCs w:val="21"/>
                <w:highlight w:val="none"/>
              </w:rPr>
              <w:t>；电源线需要从天花吊顶内部/墙面通过实验台水电容箱功能柱（水电容箱功能柱不另行单独报价）引至电源插座。</w:t>
            </w:r>
          </w:p>
          <w:p w14:paraId="5CE51175">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napToGrid w:val="0"/>
                <w:color w:val="000000"/>
                <w:sz w:val="21"/>
                <w:szCs w:val="21"/>
                <w:highlight w:val="none"/>
              </w:rPr>
              <w:t>7</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电线电缆：ZRBV2.5m㎡=1800m，ZRBV4m㎡=900m，ZRBV6m㎡=300m，ZRYJV5*10m㎡=100m，ZRYJV4*4m㎡=40m，含暗装开槽修复费用。</w:t>
            </w:r>
          </w:p>
        </w:tc>
      </w:tr>
      <w:tr w14:paraId="61E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33001444">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10</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1900AFE1">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废气处理系统</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7B8E10B6">
            <w:pPr>
              <w:keepNext w:val="0"/>
              <w:keepLines w:val="0"/>
              <w:pageBreakBefore w:val="0"/>
              <w:numPr>
                <w:ilvl w:val="0"/>
                <w:numId w:val="1"/>
              </w:numPr>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rPr>
              <w:t>卧式干湿双联废气处理系统：由箱体和装填在箱体内的吸附单元组成，水喷淋+吸附箱选择不同填料可以处理多种不同废气，主要包括三大类:一、酸性废气和酸雾(例如:N02、H2S04、HCL、HF等)；二、,碱性废气(例如:NH3等)；三、有机废气和臭味(例如:苯类、类、醇类、醚类、酊类)等</w:t>
            </w:r>
            <w:r>
              <w:rPr>
                <w:rFonts w:hint="eastAsia" w:ascii="宋体" w:hAnsi="宋体" w:eastAsia="宋体" w:cs="宋体"/>
                <w:bCs/>
                <w:color w:val="000000"/>
                <w:kern w:val="0"/>
                <w:sz w:val="21"/>
                <w:szCs w:val="21"/>
                <w:highlight w:val="none"/>
                <w:lang w:eastAsia="zh-CN"/>
              </w:rPr>
              <w:t>；</w:t>
            </w:r>
          </w:p>
          <w:p w14:paraId="10268EC4">
            <w:pPr>
              <w:keepNext w:val="0"/>
              <w:keepLines w:val="0"/>
              <w:pageBreakBefore w:val="0"/>
              <w:numPr>
                <w:ilvl w:val="0"/>
                <w:numId w:val="0"/>
              </w:numPr>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rPr>
              <w:t>2</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整体材质</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米灰色(米黄色)PP板，具有抗紫外线、耐老化、耐强酸、强碱与抗腐蚀的特性</w:t>
            </w:r>
            <w:r>
              <w:rPr>
                <w:rFonts w:hint="eastAsia" w:ascii="宋体" w:hAnsi="宋体" w:eastAsia="宋体" w:cs="宋体"/>
                <w:bCs/>
                <w:color w:val="000000"/>
                <w:kern w:val="0"/>
                <w:sz w:val="21"/>
                <w:szCs w:val="21"/>
                <w:highlight w:val="none"/>
                <w:lang w:eastAsia="zh-CN"/>
              </w:rPr>
              <w:t>；</w:t>
            </w:r>
          </w:p>
          <w:p w14:paraId="297C0C32">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吸附箱性能要求</w:t>
            </w:r>
          </w:p>
          <w:p w14:paraId="73DDDF01">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3.1、</w:t>
            </w:r>
            <w:r>
              <w:rPr>
                <w:rFonts w:hint="eastAsia" w:ascii="宋体" w:hAnsi="宋体" w:eastAsia="宋体" w:cs="宋体"/>
                <w:bCs/>
                <w:color w:val="000000"/>
                <w:kern w:val="0"/>
                <w:sz w:val="21"/>
                <w:szCs w:val="21"/>
                <w:highlight w:val="none"/>
              </w:rPr>
              <w:t>吸附效率高,能力强</w:t>
            </w:r>
            <w:r>
              <w:rPr>
                <w:rFonts w:hint="eastAsia" w:ascii="宋体" w:hAnsi="宋体" w:eastAsia="宋体" w:cs="宋体"/>
                <w:bCs/>
                <w:color w:val="000000"/>
                <w:kern w:val="0"/>
                <w:sz w:val="21"/>
                <w:szCs w:val="21"/>
                <w:highlight w:val="none"/>
                <w:lang w:eastAsia="zh-CN"/>
              </w:rPr>
              <w:t>；</w:t>
            </w:r>
          </w:p>
          <w:p w14:paraId="14234EB3">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3.2、</w:t>
            </w:r>
            <w:r>
              <w:rPr>
                <w:rFonts w:hint="eastAsia" w:ascii="宋体" w:hAnsi="宋体" w:eastAsia="宋体" w:cs="宋体"/>
                <w:bCs/>
                <w:color w:val="000000"/>
                <w:kern w:val="0"/>
                <w:sz w:val="21"/>
                <w:szCs w:val="21"/>
                <w:highlight w:val="none"/>
              </w:rPr>
              <w:t>设备构造紧凑，占地面积小，维护管理简单方便，运转成本低</w:t>
            </w:r>
            <w:r>
              <w:rPr>
                <w:rFonts w:hint="eastAsia" w:ascii="宋体" w:hAnsi="宋体" w:eastAsia="宋体" w:cs="宋体"/>
                <w:bCs/>
                <w:color w:val="000000"/>
                <w:kern w:val="0"/>
                <w:sz w:val="21"/>
                <w:szCs w:val="21"/>
                <w:highlight w:val="none"/>
                <w:lang w:eastAsia="zh-CN"/>
              </w:rPr>
              <w:t>；</w:t>
            </w:r>
          </w:p>
          <w:p w14:paraId="6D5846A7">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3.3、</w:t>
            </w:r>
            <w:r>
              <w:rPr>
                <w:rFonts w:hint="eastAsia" w:ascii="宋体" w:hAnsi="宋体" w:eastAsia="宋体" w:cs="宋体"/>
                <w:bCs/>
                <w:color w:val="000000"/>
                <w:kern w:val="0"/>
                <w:sz w:val="21"/>
                <w:szCs w:val="21"/>
                <w:highlight w:val="none"/>
              </w:rPr>
              <w:t>能够同时处理多种混合有机废气</w:t>
            </w:r>
            <w:r>
              <w:rPr>
                <w:rFonts w:hint="eastAsia" w:ascii="宋体" w:hAnsi="宋体" w:eastAsia="宋体" w:cs="宋体"/>
                <w:bCs/>
                <w:color w:val="000000"/>
                <w:kern w:val="0"/>
                <w:sz w:val="21"/>
                <w:szCs w:val="21"/>
                <w:highlight w:val="none"/>
                <w:lang w:eastAsia="zh-CN"/>
              </w:rPr>
              <w:t>；</w:t>
            </w:r>
          </w:p>
          <w:p w14:paraId="25A4AE2B">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3.4、</w:t>
            </w:r>
            <w:r>
              <w:rPr>
                <w:rFonts w:hint="eastAsia" w:ascii="宋体" w:hAnsi="宋体" w:eastAsia="宋体" w:cs="宋体"/>
                <w:bCs/>
                <w:color w:val="000000"/>
                <w:kern w:val="0"/>
                <w:sz w:val="21"/>
                <w:szCs w:val="21"/>
                <w:highlight w:val="none"/>
              </w:rPr>
              <w:t>采用自动化控制运转设计，操作简易、安全</w:t>
            </w:r>
            <w:r>
              <w:rPr>
                <w:rFonts w:hint="eastAsia" w:ascii="宋体" w:hAnsi="宋体" w:eastAsia="宋体" w:cs="宋体"/>
                <w:bCs/>
                <w:color w:val="000000"/>
                <w:kern w:val="0"/>
                <w:sz w:val="21"/>
                <w:szCs w:val="21"/>
                <w:highlight w:val="none"/>
                <w:lang w:eastAsia="zh-CN"/>
              </w:rPr>
              <w:t>；</w:t>
            </w:r>
          </w:p>
          <w:p w14:paraId="69E335AE">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3.5、</w:t>
            </w:r>
            <w:r>
              <w:rPr>
                <w:rFonts w:hint="eastAsia" w:ascii="宋体" w:hAnsi="宋体" w:eastAsia="宋体" w:cs="宋体"/>
                <w:bCs/>
                <w:color w:val="000000"/>
                <w:kern w:val="0"/>
                <w:sz w:val="21"/>
                <w:szCs w:val="21"/>
                <w:highlight w:val="none"/>
              </w:rPr>
              <w:t>全密闭型，室内外皆可使用</w:t>
            </w:r>
            <w:r>
              <w:rPr>
                <w:rFonts w:hint="eastAsia" w:ascii="宋体" w:hAnsi="宋体" w:eastAsia="宋体" w:cs="宋体"/>
                <w:bCs/>
                <w:color w:val="000000"/>
                <w:kern w:val="0"/>
                <w:sz w:val="21"/>
                <w:szCs w:val="21"/>
                <w:highlight w:val="none"/>
                <w:lang w:eastAsia="zh-CN"/>
              </w:rPr>
              <w:t>；</w:t>
            </w:r>
          </w:p>
          <w:p w14:paraId="588EC637">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lang w:val="en-US" w:eastAsia="zh-CN"/>
              </w:rPr>
              <w:t>3.6、</w:t>
            </w:r>
            <w:r>
              <w:rPr>
                <w:rFonts w:hint="eastAsia" w:ascii="宋体" w:hAnsi="宋体" w:eastAsia="宋体" w:cs="宋体"/>
                <w:bCs/>
                <w:color w:val="000000"/>
                <w:kern w:val="0"/>
                <w:sz w:val="21"/>
                <w:szCs w:val="21"/>
                <w:highlight w:val="none"/>
              </w:rPr>
              <w:t>抗老化强,耐腐蚀</w:t>
            </w:r>
            <w:r>
              <w:rPr>
                <w:rFonts w:hint="eastAsia" w:ascii="宋体" w:hAnsi="宋体" w:eastAsia="宋体" w:cs="宋体"/>
                <w:bCs/>
                <w:color w:val="000000"/>
                <w:kern w:val="0"/>
                <w:sz w:val="21"/>
                <w:szCs w:val="21"/>
                <w:highlight w:val="none"/>
                <w:lang w:eastAsia="zh-CN"/>
              </w:rPr>
              <w:t>；</w:t>
            </w:r>
          </w:p>
          <w:p w14:paraId="5211B922">
            <w:pPr>
              <w:keepNext w:val="0"/>
              <w:keepLines w:val="0"/>
              <w:pageBreakBefore w:val="0"/>
              <w:kinsoku/>
              <w:overflowPunct/>
              <w:topLinePunct w:val="0"/>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color w:val="000000"/>
                <w:kern w:val="0"/>
                <w:sz w:val="21"/>
                <w:szCs w:val="21"/>
                <w:highlight w:val="none"/>
                <w:lang w:val="en-US" w:eastAsia="zh-CN"/>
              </w:rPr>
              <w:t>3.7、</w:t>
            </w:r>
            <w:r>
              <w:rPr>
                <w:rFonts w:hint="eastAsia" w:ascii="宋体" w:hAnsi="宋体" w:eastAsia="宋体" w:cs="宋体"/>
                <w:bCs/>
                <w:color w:val="000000"/>
                <w:kern w:val="0"/>
                <w:sz w:val="21"/>
                <w:szCs w:val="21"/>
                <w:highlight w:val="none"/>
              </w:rPr>
              <w:t>水喷淋水泵一用一备。</w:t>
            </w:r>
          </w:p>
          <w:p w14:paraId="7A95B028">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3</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 xml:space="preserve"> PP吸附箱填料</w:t>
            </w:r>
          </w:p>
          <w:p w14:paraId="4EEF75A6">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lang w:eastAsia="zh-CN"/>
              </w:rPr>
            </w:pPr>
            <w:r>
              <w:rPr>
                <w:rFonts w:hint="eastAsia" w:ascii="宋体" w:hAnsi="宋体" w:eastAsia="宋体" w:cs="宋体"/>
                <w:bCs/>
                <w:color w:val="000000"/>
                <w:kern w:val="0"/>
                <w:sz w:val="21"/>
                <w:szCs w:val="21"/>
                <w:highlight w:val="none"/>
              </w:rPr>
              <w:t>活性炭吸咐箱</w:t>
            </w:r>
            <w:r>
              <w:rPr>
                <w:rFonts w:hint="eastAsia" w:ascii="宋体" w:hAnsi="宋体" w:eastAsia="宋体" w:cs="宋体"/>
                <w:bCs/>
                <w:color w:val="000000"/>
                <w:kern w:val="0"/>
                <w:sz w:val="21"/>
                <w:szCs w:val="21"/>
                <w:highlight w:val="none"/>
                <w:lang w:eastAsia="zh-CN"/>
              </w:rPr>
              <w:t>；</w:t>
            </w:r>
          </w:p>
          <w:p w14:paraId="5696437D">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4、</w:t>
            </w:r>
            <w:r>
              <w:rPr>
                <w:rFonts w:hint="eastAsia" w:ascii="宋体" w:hAnsi="宋体" w:eastAsia="宋体" w:cs="宋体"/>
                <w:bCs/>
                <w:color w:val="000000"/>
                <w:kern w:val="0"/>
                <w:sz w:val="21"/>
                <w:szCs w:val="21"/>
                <w:highlight w:val="none"/>
              </w:rPr>
              <w:t xml:space="preserve"> PP活性碳吸咐箱填料耗材更换</w:t>
            </w:r>
          </w:p>
          <w:p w14:paraId="25F5F8CC">
            <w:pPr>
              <w:keepNext w:val="0"/>
              <w:keepLines w:val="0"/>
              <w:pageBreakBefore w:val="0"/>
              <w:kinsoku/>
              <w:overflowPunct/>
              <w:topLinePunct w:val="0"/>
              <w:bidi w:val="0"/>
              <w:adjustRightInd w:val="0"/>
              <w:snapToGrid w:val="0"/>
              <w:spacing w:line="360" w:lineRule="auto"/>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报价包含5年内PP活性碳吸咐箱内活性碳按“半年/次”更换费用</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 xml:space="preserve"> </w:t>
            </w:r>
          </w:p>
        </w:tc>
      </w:tr>
      <w:tr w14:paraId="356A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200E4D23">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11</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11AFA2C">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VAV控制系统</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71808C5E">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通风柜变风量控制系统技术方案</w:t>
            </w:r>
          </w:p>
          <w:p w14:paraId="1A88C426">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系统总体要求</w:t>
            </w:r>
          </w:p>
          <w:p w14:paraId="40450DF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 xml:space="preserve">通风柜的操作面开启区域，平均面风速达到：0.5M/S±15%，符合国家标准《JG/T222-2007》要求； </w:t>
            </w:r>
          </w:p>
          <w:p w14:paraId="45C9F680">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 xml:space="preserve">面风速控制系统持续地监测通风柜实际排风量，根据视窗高度计算出视窗开口面积对应的排风量，当排风管道压力变化或视窗高度发生变化时,系统快速反应，且响应及稳定时间为≤3S； </w:t>
            </w:r>
          </w:p>
          <w:p w14:paraId="6945E85C">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1.1.3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每个通风柜的顶部的变风量排风阀，应选用快速反应蝶阀，还应考虑到防腐、气密性及结构强度要求，所用的阀门应为模压一体成型PPs材质碟阀，带硅胶气密环确保高气密性，带文丘里效应流量检测段精确测量排风量；为保证系统长期稳定和抗化学物质腐蚀，阀体内不能有电子元器件、电线及金属等易腐蚀部件；</w:t>
            </w:r>
          </w:p>
          <w:p w14:paraId="663DF23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系统配件要求</w:t>
            </w:r>
          </w:p>
          <w:p w14:paraId="58C66F2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2.1</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变风量蝶阀</w:t>
            </w:r>
          </w:p>
          <w:p w14:paraId="0E44B07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2.1.1、</w:t>
            </w:r>
            <w:r>
              <w:rPr>
                <w:rFonts w:hint="eastAsia" w:ascii="宋体" w:hAnsi="宋体" w:eastAsia="宋体" w:cs="宋体"/>
                <w:bCs/>
                <w:snapToGrid w:val="0"/>
                <w:color w:val="000000"/>
                <w:sz w:val="21"/>
                <w:szCs w:val="21"/>
                <w:highlight w:val="none"/>
              </w:rPr>
              <w:t>变风量蝶阀需采用优质品牌的产品，应是针对化学实验室的特殊要求设计的快速变风量调节阀。变风量阀应具有快速反应能力，气密性高，采用PPs材质，具备高度防腐、防火等众多特性。直径250mm或315mm，模压一体成型确保高强度及耐用性，精确控制风量；</w:t>
            </w:r>
          </w:p>
          <w:p w14:paraId="38FC11E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2.1.2、</w:t>
            </w:r>
            <w:r>
              <w:rPr>
                <w:rFonts w:hint="eastAsia" w:ascii="宋体" w:hAnsi="宋体" w:eastAsia="宋体" w:cs="宋体"/>
                <w:bCs/>
                <w:snapToGrid w:val="0"/>
                <w:color w:val="000000"/>
                <w:sz w:val="21"/>
                <w:szCs w:val="21"/>
                <w:highlight w:val="none"/>
              </w:rPr>
              <w:t>执行器驱动方式：高速电动执行器全行程≤2.5秒，必须采用国际知名品牌执行器；</w:t>
            </w:r>
          </w:p>
          <w:p w14:paraId="57D7A48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2.1.3、</w:t>
            </w:r>
            <w:r>
              <w:rPr>
                <w:rFonts w:hint="eastAsia" w:ascii="宋体" w:hAnsi="宋体" w:eastAsia="宋体" w:cs="宋体"/>
                <w:bCs/>
                <w:snapToGrid w:val="0"/>
                <w:color w:val="000000"/>
                <w:sz w:val="21"/>
                <w:szCs w:val="21"/>
                <w:highlight w:val="none"/>
              </w:rPr>
              <w:t xml:space="preserve">执行器控制模块自带反馈微处理器实现高稳定性； </w:t>
            </w:r>
          </w:p>
          <w:p w14:paraId="29D87C5D">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2.1.4、</w:t>
            </w:r>
            <w:r>
              <w:rPr>
                <w:rFonts w:hint="eastAsia" w:ascii="宋体" w:hAnsi="宋体" w:eastAsia="宋体" w:cs="宋体"/>
                <w:bCs/>
                <w:snapToGrid w:val="0"/>
                <w:color w:val="000000"/>
                <w:sz w:val="21"/>
                <w:szCs w:val="21"/>
                <w:highlight w:val="none"/>
              </w:rPr>
              <w:t>轴杆与阀体连接处采用低阻尼材料自润滑联接，最大限度减小执行器阻力。为了提高更强的防腐能力，与废气接触部分不允许有任何金属部件；</w:t>
            </w:r>
          </w:p>
          <w:p w14:paraId="13CE691E">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2.2</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流量传感器</w:t>
            </w:r>
          </w:p>
          <w:p w14:paraId="0C74A77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2.2.1、</w:t>
            </w:r>
            <w:r>
              <w:rPr>
                <w:rFonts w:hint="eastAsia" w:ascii="宋体" w:hAnsi="宋体" w:eastAsia="宋体" w:cs="宋体"/>
                <w:bCs/>
                <w:snapToGrid w:val="0"/>
                <w:color w:val="000000"/>
                <w:sz w:val="21"/>
                <w:szCs w:val="21"/>
                <w:highlight w:val="none"/>
              </w:rPr>
              <w:t>为保证通风柜的平均面风速准确，不能使用单点的面风速传感器测量值代表平均面风速的测量方式，必须采用管道实测风量和需求风量对比从而计算平均面风速；</w:t>
            </w:r>
          </w:p>
          <w:p w14:paraId="63B07BB9">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2.2.2、</w:t>
            </w:r>
            <w:r>
              <w:rPr>
                <w:rFonts w:hint="eastAsia" w:ascii="宋体" w:hAnsi="宋体" w:eastAsia="宋体" w:cs="宋体"/>
                <w:bCs/>
                <w:snapToGrid w:val="0"/>
                <w:color w:val="000000"/>
                <w:sz w:val="21"/>
                <w:szCs w:val="21"/>
                <w:highlight w:val="none"/>
              </w:rPr>
              <w:t>流量传感器必须采用国产高端品牌；</w:t>
            </w:r>
          </w:p>
          <w:p w14:paraId="1A3F06D4">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2.2.3、</w:t>
            </w:r>
            <w:r>
              <w:rPr>
                <w:rFonts w:hint="eastAsia" w:ascii="宋体" w:hAnsi="宋体" w:eastAsia="宋体" w:cs="宋体"/>
                <w:bCs/>
                <w:snapToGrid w:val="0"/>
                <w:color w:val="000000"/>
                <w:sz w:val="21"/>
                <w:szCs w:val="21"/>
                <w:highlight w:val="none"/>
              </w:rPr>
              <w:t>传感器应有基准校核，不会因为温度变化或长期使用发生漂移，避免定期校核，从而降低维护的复杂性；</w:t>
            </w:r>
          </w:p>
          <w:p w14:paraId="4337D940">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2.2.4、</w:t>
            </w:r>
            <w:r>
              <w:rPr>
                <w:rFonts w:hint="eastAsia" w:ascii="宋体" w:hAnsi="宋体" w:eastAsia="宋体" w:cs="宋体"/>
                <w:bCs/>
                <w:snapToGrid w:val="0"/>
                <w:color w:val="000000"/>
                <w:sz w:val="21"/>
                <w:szCs w:val="21"/>
                <w:highlight w:val="none"/>
              </w:rPr>
              <w:t>流量检测装置安装在管道内，传感器安装在风管外用气管连接，且高于检测装置位置防止液体倒流，实际测量通风柜排风量，量程100-2000CMH；精度±1%FS；</w:t>
            </w:r>
          </w:p>
          <w:p w14:paraId="30C5140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lang w:val="en-US" w:eastAsia="zh-CN"/>
              </w:rPr>
              <w:t>2.2.5、</w:t>
            </w:r>
            <w:r>
              <w:rPr>
                <w:rFonts w:hint="eastAsia" w:ascii="宋体" w:hAnsi="宋体" w:eastAsia="宋体" w:cs="宋体"/>
                <w:bCs/>
                <w:snapToGrid w:val="0"/>
                <w:color w:val="000000"/>
                <w:sz w:val="21"/>
                <w:szCs w:val="21"/>
                <w:highlight w:val="none"/>
              </w:rPr>
              <w:t>传感器安装应适用于各种不同通风柜类型</w:t>
            </w:r>
            <w:r>
              <w:rPr>
                <w:rFonts w:hint="eastAsia" w:ascii="宋体" w:hAnsi="宋体" w:eastAsia="宋体" w:cs="宋体"/>
                <w:bCs/>
                <w:snapToGrid w:val="0"/>
                <w:color w:val="000000"/>
                <w:sz w:val="21"/>
                <w:szCs w:val="21"/>
                <w:highlight w:val="none"/>
                <w:lang w:eastAsia="zh-CN"/>
              </w:rPr>
              <w:t>。</w:t>
            </w:r>
          </w:p>
          <w:p w14:paraId="1C2081F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2.3</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位移传感器</w:t>
            </w:r>
          </w:p>
          <w:p w14:paraId="2E30C170">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2.3.1、</w:t>
            </w:r>
            <w:r>
              <w:rPr>
                <w:rFonts w:hint="eastAsia" w:ascii="宋体" w:hAnsi="宋体" w:eastAsia="宋体" w:cs="宋体"/>
                <w:bCs/>
                <w:snapToGrid w:val="0"/>
                <w:color w:val="000000"/>
                <w:sz w:val="21"/>
                <w:szCs w:val="21"/>
                <w:highlight w:val="none"/>
              </w:rPr>
              <w:t>控制系统必须采用视窗位移传感器以确保控制系统动作可靠性；</w:t>
            </w:r>
          </w:p>
          <w:p w14:paraId="7231F99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2.3.2、</w:t>
            </w:r>
            <w:r>
              <w:rPr>
                <w:rFonts w:hint="eastAsia" w:ascii="宋体" w:hAnsi="宋体" w:eastAsia="宋体" w:cs="宋体"/>
                <w:bCs/>
                <w:snapToGrid w:val="0"/>
                <w:color w:val="000000"/>
                <w:sz w:val="21"/>
                <w:szCs w:val="21"/>
                <w:highlight w:val="none"/>
              </w:rPr>
              <w:t>高精度电位器带一条包塑不锈钢拉索（钢索直径不小于0.6mm），拉索直连到调节门或者其配重上；</w:t>
            </w:r>
          </w:p>
          <w:p w14:paraId="5E72899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lang w:val="en-US" w:eastAsia="zh-CN"/>
              </w:rPr>
              <w:t>2.3.3、</w:t>
            </w:r>
            <w:r>
              <w:rPr>
                <w:rFonts w:hint="eastAsia" w:ascii="宋体" w:hAnsi="宋体" w:eastAsia="宋体" w:cs="宋体"/>
                <w:bCs/>
                <w:snapToGrid w:val="0"/>
                <w:color w:val="000000"/>
                <w:sz w:val="21"/>
                <w:szCs w:val="21"/>
                <w:highlight w:val="none"/>
              </w:rPr>
              <w:t>安装方式：固定支架或螺纹安装</w:t>
            </w:r>
            <w:r>
              <w:rPr>
                <w:rFonts w:hint="eastAsia" w:ascii="宋体" w:hAnsi="宋体" w:eastAsia="宋体" w:cs="宋体"/>
                <w:bCs/>
                <w:snapToGrid w:val="0"/>
                <w:color w:val="000000"/>
                <w:sz w:val="21"/>
                <w:szCs w:val="21"/>
                <w:highlight w:val="none"/>
                <w:lang w:eastAsia="zh-CN"/>
              </w:rPr>
              <w:t>。</w:t>
            </w:r>
          </w:p>
          <w:p w14:paraId="777E262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2.4</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变频器：采用正弦波PWM控制方式的变频器，低速额定转矩输出，超静音稳定运行；内置PID功能可以方便地实现PID闭环控制，也可以采用数字化可编程方式运行</w:t>
            </w:r>
            <w:r>
              <w:rPr>
                <w:rFonts w:hint="eastAsia" w:ascii="宋体" w:hAnsi="宋体" w:eastAsia="宋体" w:cs="宋体"/>
                <w:bCs/>
                <w:snapToGrid w:val="0"/>
                <w:color w:val="000000"/>
                <w:sz w:val="21"/>
                <w:szCs w:val="21"/>
                <w:highlight w:val="none"/>
                <w:lang w:eastAsia="zh-CN"/>
              </w:rPr>
              <w:t>；</w:t>
            </w:r>
          </w:p>
          <w:p w14:paraId="6307D060">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rPr>
              <w:t>2.5</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PLC：修改变频器的功能参数，控制变频器启动停止，监视其运行状态，实现实时保护，高可靠运行，并显示简明的故障诊断信息，帮助用户确定故障原因，节能运行，可以最大限度地提高电机功率因数和电机效率；</w:t>
            </w:r>
          </w:p>
          <w:p w14:paraId="4F7A17EC">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lang w:eastAsia="zh-CN"/>
              </w:rPr>
            </w:pPr>
            <w:r>
              <w:rPr>
                <w:rFonts w:hint="eastAsia" w:ascii="宋体" w:hAnsi="宋体" w:eastAsia="宋体" w:cs="宋体"/>
                <w:bCs/>
                <w:snapToGrid w:val="0"/>
                <w:color w:val="000000"/>
                <w:sz w:val="21"/>
                <w:szCs w:val="21"/>
                <w:highlight w:val="none"/>
              </w:rPr>
              <w:t>2.6</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噪声控制，本项目设备运行噪声低于65DB</w:t>
            </w:r>
            <w:r>
              <w:rPr>
                <w:rFonts w:hint="eastAsia" w:ascii="宋体" w:hAnsi="宋体" w:eastAsia="宋体" w:cs="宋体"/>
                <w:bCs/>
                <w:snapToGrid w:val="0"/>
                <w:color w:val="000000"/>
                <w:sz w:val="21"/>
                <w:szCs w:val="21"/>
                <w:highlight w:val="none"/>
                <w:lang w:eastAsia="zh-CN"/>
              </w:rPr>
              <w:t>；</w:t>
            </w:r>
          </w:p>
          <w:p w14:paraId="0074093B">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napToGrid w:val="0"/>
                <w:color w:val="000000"/>
                <w:sz w:val="21"/>
                <w:szCs w:val="21"/>
                <w:highlight w:val="none"/>
              </w:rPr>
              <w:t>2.7</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rPr>
              <w:t>含电源线缆敷设。</w:t>
            </w:r>
          </w:p>
        </w:tc>
      </w:tr>
      <w:tr w14:paraId="68D7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14:paraId="48928198">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12</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A3BD524">
            <w:pPr>
              <w:keepNext w:val="0"/>
              <w:keepLines w:val="0"/>
              <w:pageBreakBefore w:val="0"/>
              <w:kinsoku/>
              <w:overflowPunct/>
              <w:topLinePunct w:val="0"/>
              <w:bidi w:val="0"/>
              <w:adjustRightInd w:val="0"/>
              <w:snapToGrid w:val="0"/>
              <w:spacing w:line="300" w:lineRule="auto"/>
              <w:jc w:val="center"/>
              <w:textAlignment w:val="baseline"/>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危化品储存柜</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66D4A22A">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1、</w:t>
            </w:r>
            <w:r>
              <w:rPr>
                <w:rFonts w:hint="eastAsia" w:ascii="宋体" w:hAnsi="宋体" w:eastAsia="宋体" w:cs="宋体"/>
                <w:bCs/>
                <w:snapToGrid w:val="0"/>
                <w:color w:val="000000"/>
                <w:sz w:val="21"/>
                <w:szCs w:val="21"/>
                <w:highlight w:val="none"/>
              </w:rPr>
              <w:t>智能化物联网设计，集成称重天平、标签打印机、扫码器、RFID读卡器、人脸识别、视频监控，对需储存的试剂容器数据进行读取，以实现实时库存监控和管理。提供人脸识别、读卡识别、密码、指纹等多种身份识别方式供用户选择，并与控制系统进行数据交换，实现有效的人员授权管理；</w:t>
            </w:r>
          </w:p>
          <w:p w14:paraId="3E8ED2EE">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2、</w:t>
            </w:r>
            <w:r>
              <w:rPr>
                <w:rFonts w:hint="eastAsia" w:ascii="宋体" w:hAnsi="宋体" w:eastAsia="宋体" w:cs="宋体"/>
                <w:bCs/>
                <w:snapToGrid w:val="0"/>
                <w:color w:val="000000"/>
                <w:sz w:val="21"/>
                <w:szCs w:val="21"/>
                <w:highlight w:val="none"/>
              </w:rPr>
              <w:t>柜体标配双层钢板结构，双面喷涂防腐保护，隐藏式风道设计，安全阻燃，配独立通风模组，定时定量控制排风，搭载TVOC、温湿度监控模组，实时监测工作状态。柜体融合传统文化设计，磁吸标签设计标记柜内物资种类，方便实验人员识别。电子锁组配合双人双锁模式管控，通过组合式操控平台设置一人一柜或一人多柜权限，强化综合安全性能，自动生成电子台账，实时管控库房使用安全；</w:t>
            </w:r>
          </w:p>
          <w:p w14:paraId="1AAE68A7">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3、</w:t>
            </w:r>
            <w:r>
              <w:rPr>
                <w:rFonts w:hint="eastAsia" w:ascii="宋体" w:hAnsi="宋体" w:eastAsia="宋体" w:cs="宋体"/>
                <w:bCs/>
                <w:snapToGrid w:val="0"/>
                <w:color w:val="000000"/>
                <w:sz w:val="21"/>
                <w:szCs w:val="21"/>
                <w:highlight w:val="none"/>
              </w:rPr>
              <w:t>防火性能：柜体填充具有保温隔热作用的防火材料，检测报告中需体现检测过程中防火柜内热电偶位置图、炉内温度/时间曲线图、热电偶温升/时间曲线图、检测前后样品比对照片等；</w:t>
            </w:r>
          </w:p>
          <w:p w14:paraId="3DD71D5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4、</w:t>
            </w:r>
            <w:r>
              <w:rPr>
                <w:rFonts w:hint="eastAsia" w:ascii="宋体" w:hAnsi="宋体" w:eastAsia="宋体" w:cs="宋体"/>
                <w:bCs/>
                <w:snapToGrid w:val="0"/>
                <w:color w:val="000000"/>
                <w:sz w:val="21"/>
                <w:szCs w:val="21"/>
                <w:highlight w:val="none"/>
              </w:rPr>
              <w:t>配有易制毒、易制爆、剧毒品等管制类危险化学品名录及MSDS查询功能，危险化学品名录MSDS信息包括但不限于：化学品信息、成分/组成信息、危险性概述、急救措施、消防措施、泄漏应急处理、个体防护等信息；</w:t>
            </w:r>
          </w:p>
          <w:p w14:paraId="2F230BC1">
            <w:pPr>
              <w:keepNext w:val="0"/>
              <w:keepLines w:val="0"/>
              <w:pageBreakBefore w:val="0"/>
              <w:kinsoku/>
              <w:overflowPunct/>
              <w:topLinePunct w:val="0"/>
              <w:autoSpaceDE w:val="0"/>
              <w:autoSpaceDN w:val="0"/>
              <w:bidi w:val="0"/>
              <w:adjustRightInd w:val="0"/>
              <w:snapToGrid w:val="0"/>
              <w:spacing w:line="360" w:lineRule="auto"/>
              <w:rPr>
                <w:rFonts w:hint="eastAsia" w:ascii="宋体" w:hAnsi="宋体" w:eastAsia="宋体" w:cs="宋体"/>
                <w:bCs/>
                <w:snapToGrid w:val="0"/>
                <w:color w:val="000000"/>
                <w:sz w:val="21"/>
                <w:szCs w:val="21"/>
                <w:highlight w:val="none"/>
              </w:rPr>
            </w:pPr>
            <w:r>
              <w:rPr>
                <w:rFonts w:hint="eastAsia" w:ascii="宋体" w:hAnsi="宋体" w:eastAsia="宋体" w:cs="宋体"/>
                <w:bCs/>
                <w:snapToGrid w:val="0"/>
                <w:color w:val="000000"/>
                <w:sz w:val="21"/>
                <w:szCs w:val="21"/>
                <w:highlight w:val="none"/>
                <w:lang w:val="en-US" w:eastAsia="zh-CN"/>
              </w:rPr>
              <w:t>5、</w:t>
            </w:r>
            <w:r>
              <w:rPr>
                <w:rFonts w:hint="eastAsia" w:ascii="宋体" w:hAnsi="宋体" w:eastAsia="宋体" w:cs="宋体"/>
                <w:bCs/>
                <w:snapToGrid w:val="0"/>
                <w:color w:val="000000"/>
                <w:sz w:val="21"/>
                <w:szCs w:val="21"/>
                <w:highlight w:val="none"/>
              </w:rPr>
              <w:t>设备具备开放端口功能，可以接入其他信息管理系统</w:t>
            </w:r>
            <w:r>
              <w:rPr>
                <w:rFonts w:hint="eastAsia" w:ascii="宋体" w:hAnsi="宋体" w:eastAsia="宋体" w:cs="宋体"/>
                <w:bCs/>
                <w:snapToGrid w:val="0"/>
                <w:color w:val="000000"/>
                <w:sz w:val="21"/>
                <w:szCs w:val="21"/>
                <w:highlight w:val="none"/>
                <w:lang w:eastAsia="zh-CN"/>
              </w:rPr>
              <w:t>，</w:t>
            </w:r>
            <w:r>
              <w:rPr>
                <w:rFonts w:hint="eastAsia" w:ascii="宋体" w:hAnsi="宋体" w:eastAsia="宋体" w:cs="宋体"/>
                <w:bCs/>
                <w:snapToGrid w:val="0"/>
                <w:color w:val="000000"/>
                <w:sz w:val="21"/>
                <w:szCs w:val="21"/>
                <w:highlight w:val="none"/>
                <w:lang w:val="en-US" w:eastAsia="zh-CN"/>
              </w:rPr>
              <w:t>所有信息需要与原有库房系统连接交换，含调式匹配</w:t>
            </w:r>
            <w:r>
              <w:rPr>
                <w:rFonts w:hint="eastAsia" w:ascii="宋体" w:hAnsi="宋体" w:eastAsia="宋体" w:cs="宋体"/>
                <w:bCs/>
                <w:snapToGrid w:val="0"/>
                <w:color w:val="000000"/>
                <w:sz w:val="21"/>
                <w:szCs w:val="21"/>
                <w:highlight w:val="none"/>
              </w:rPr>
              <w:t>。</w:t>
            </w:r>
          </w:p>
        </w:tc>
      </w:tr>
    </w:tbl>
    <w:p w14:paraId="32F1F7CE">
      <w:pPr>
        <w:pStyle w:val="4"/>
        <w:numPr>
          <w:ilvl w:val="0"/>
          <w:numId w:val="0"/>
        </w:numPr>
        <w:spacing w:line="300" w:lineRule="auto"/>
        <w:ind w:firstLine="0" w:firstLineChars="0"/>
        <w:jc w:val="left"/>
        <w:rPr>
          <w:rFonts w:hint="default" w:cs="宋体"/>
          <w:szCs w:val="24"/>
          <w:highlight w:val="none"/>
          <w:lang w:val="en-US" w:eastAsia="zh-CN"/>
        </w:rPr>
      </w:pPr>
      <w:r>
        <w:rPr>
          <w:rFonts w:hint="eastAsia" w:cs="宋体"/>
          <w:szCs w:val="24"/>
          <w:highlight w:val="none"/>
          <w:lang w:val="en-US" w:eastAsia="zh-CN"/>
        </w:rPr>
        <w:t>三、样品要求</w:t>
      </w:r>
    </w:p>
    <w:p w14:paraId="346FE508">
      <w:pPr>
        <w:pStyle w:val="26"/>
        <w:snapToGrid w:val="0"/>
        <w:spacing w:line="360" w:lineRule="auto"/>
        <w:rPr>
          <w:rFonts w:hint="eastAsia" w:cs="宋体"/>
          <w:color w:val="auto"/>
          <w:highlight w:val="none"/>
        </w:rPr>
      </w:pPr>
      <w:r>
        <w:rPr>
          <w:rFonts w:hint="eastAsia" w:cs="宋体"/>
          <w:color w:val="auto"/>
          <w:highlight w:val="none"/>
        </w:rPr>
        <w:t>1.样品清单</w:t>
      </w:r>
    </w:p>
    <w:tbl>
      <w:tblPr>
        <w:tblStyle w:val="66"/>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277"/>
        <w:gridCol w:w="3233"/>
        <w:gridCol w:w="1191"/>
        <w:gridCol w:w="2367"/>
      </w:tblGrid>
      <w:tr w14:paraId="165B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56" w:type="dxa"/>
            <w:shd w:val="clear" w:color="auto" w:fill="auto"/>
            <w:vAlign w:val="center"/>
          </w:tcPr>
          <w:p w14:paraId="4F3DFD46">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序号</w:t>
            </w:r>
          </w:p>
        </w:tc>
        <w:tc>
          <w:tcPr>
            <w:tcW w:w="2277" w:type="dxa"/>
            <w:shd w:val="clear" w:color="auto" w:fill="auto"/>
            <w:vAlign w:val="center"/>
          </w:tcPr>
          <w:p w14:paraId="0A71D04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样品名称</w:t>
            </w:r>
          </w:p>
        </w:tc>
        <w:tc>
          <w:tcPr>
            <w:tcW w:w="3233" w:type="dxa"/>
            <w:shd w:val="clear" w:color="auto" w:fill="auto"/>
            <w:vAlign w:val="center"/>
          </w:tcPr>
          <w:p w14:paraId="481A5FC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规格</w:t>
            </w:r>
          </w:p>
        </w:tc>
        <w:tc>
          <w:tcPr>
            <w:tcW w:w="1191" w:type="dxa"/>
            <w:shd w:val="clear" w:color="auto" w:fill="auto"/>
            <w:vAlign w:val="center"/>
          </w:tcPr>
          <w:p w14:paraId="19E4EF4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数量</w:t>
            </w:r>
          </w:p>
        </w:tc>
        <w:tc>
          <w:tcPr>
            <w:tcW w:w="2367" w:type="dxa"/>
            <w:shd w:val="clear" w:color="auto" w:fill="auto"/>
            <w:vAlign w:val="center"/>
          </w:tcPr>
          <w:p w14:paraId="5A9D27CE">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技术参数要求</w:t>
            </w:r>
          </w:p>
        </w:tc>
      </w:tr>
      <w:tr w14:paraId="0C1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6" w:type="dxa"/>
            <w:shd w:val="clear" w:color="auto" w:fill="auto"/>
            <w:vAlign w:val="center"/>
          </w:tcPr>
          <w:p w14:paraId="665FFFF9">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277" w:type="dxa"/>
            <w:shd w:val="clear" w:color="auto" w:fill="auto"/>
            <w:vAlign w:val="center"/>
          </w:tcPr>
          <w:p w14:paraId="2AB8072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Cs/>
                <w:snapToGrid w:val="0"/>
                <w:color w:val="000000"/>
                <w:sz w:val="21"/>
                <w:szCs w:val="21"/>
                <w:highlight w:val="none"/>
              </w:rPr>
              <w:t>实验台实芯理化板台面小样</w:t>
            </w:r>
          </w:p>
        </w:tc>
        <w:tc>
          <w:tcPr>
            <w:tcW w:w="3233" w:type="dxa"/>
            <w:shd w:val="clear" w:color="auto" w:fill="auto"/>
            <w:vAlign w:val="center"/>
          </w:tcPr>
          <w:p w14:paraId="19BB0BF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snapToGrid w:val="0"/>
                <w:color w:val="000000"/>
                <w:sz w:val="21"/>
                <w:szCs w:val="21"/>
                <w:highlight w:val="none"/>
              </w:rPr>
              <w:t>厚度≥12.7mm</w:t>
            </w:r>
          </w:p>
        </w:tc>
        <w:tc>
          <w:tcPr>
            <w:tcW w:w="1191" w:type="dxa"/>
            <w:shd w:val="clear" w:color="auto" w:fill="auto"/>
            <w:vAlign w:val="center"/>
          </w:tcPr>
          <w:p w14:paraId="163258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1块</w:t>
            </w:r>
          </w:p>
        </w:tc>
        <w:tc>
          <w:tcPr>
            <w:tcW w:w="2367" w:type="dxa"/>
            <w:vMerge w:val="restart"/>
            <w:shd w:val="clear" w:color="auto" w:fill="auto"/>
            <w:vAlign w:val="center"/>
          </w:tcPr>
          <w:p w14:paraId="23E3F416">
            <w:pPr>
              <w:widowControl/>
              <w:jc w:val="center"/>
              <w:textAlignment w:val="top"/>
              <w:rPr>
                <w:rFonts w:hint="default" w:eastAsia="宋体"/>
                <w:color w:val="auto"/>
                <w:highlight w:val="none"/>
                <w:lang w:val="en-US" w:eastAsia="zh-CN"/>
              </w:rPr>
            </w:pPr>
            <w:r>
              <w:rPr>
                <w:rFonts w:hint="eastAsia" w:ascii="宋体" w:hAnsi="宋体" w:cs="宋体"/>
                <w:color w:val="auto"/>
                <w:szCs w:val="21"/>
                <w:highlight w:val="none"/>
                <w:lang w:val="en-US" w:eastAsia="zh-CN"/>
              </w:rPr>
              <w:t>满足</w:t>
            </w:r>
            <w:r>
              <w:rPr>
                <w:rFonts w:hint="eastAsia" w:ascii="宋体" w:hAnsi="宋体" w:cs="宋体"/>
                <w:color w:val="auto"/>
                <w:szCs w:val="21"/>
                <w:highlight w:val="none"/>
              </w:rPr>
              <w:t>“</w:t>
            </w:r>
            <w:r>
              <w:rPr>
                <w:rFonts w:hint="eastAsia" w:ascii="宋体" w:hAnsi="宋体" w:cs="宋体"/>
                <w:color w:val="auto"/>
                <w:szCs w:val="36"/>
                <w:highlight w:val="none"/>
              </w:rPr>
              <w:t>第三部分</w:t>
            </w:r>
            <w:r>
              <w:rPr>
                <w:rFonts w:hint="eastAsia" w:ascii="宋体" w:hAnsi="宋体" w:cs="宋体"/>
                <w:color w:val="auto"/>
                <w:highlight w:val="none"/>
              </w:rPr>
              <w:t xml:space="preserve"> 采购需</w:t>
            </w:r>
            <w:r>
              <w:rPr>
                <w:rFonts w:hint="eastAsia" w:ascii="宋体" w:hAnsi="宋体" w:cs="宋体"/>
                <w:color w:val="auto"/>
                <w:szCs w:val="36"/>
                <w:highlight w:val="none"/>
              </w:rPr>
              <w:t>求：</w:t>
            </w:r>
            <w:r>
              <w:rPr>
                <w:rFonts w:hint="eastAsia" w:ascii="宋体" w:hAnsi="宋体" w:cs="宋体"/>
                <w:color w:val="auto"/>
                <w:szCs w:val="36"/>
                <w:highlight w:val="none"/>
                <w:lang w:val="en-US" w:eastAsia="zh-CN"/>
              </w:rPr>
              <w:t>二</w:t>
            </w:r>
            <w:r>
              <w:rPr>
                <w:rFonts w:hint="eastAsia" w:ascii="宋体" w:hAnsi="宋体" w:cs="宋体"/>
                <w:color w:val="auto"/>
                <w:szCs w:val="36"/>
                <w:highlight w:val="none"/>
              </w:rPr>
              <w:t>、技术</w:t>
            </w:r>
            <w:r>
              <w:rPr>
                <w:rFonts w:hint="eastAsia" w:ascii="宋体" w:hAnsi="宋体" w:cs="宋体"/>
                <w:color w:val="auto"/>
                <w:szCs w:val="36"/>
                <w:highlight w:val="none"/>
                <w:lang w:val="en-US" w:eastAsia="zh-CN"/>
              </w:rPr>
              <w:t>参数表”</w:t>
            </w:r>
          </w:p>
        </w:tc>
      </w:tr>
      <w:tr w14:paraId="2B9D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6" w:type="dxa"/>
            <w:shd w:val="clear" w:color="auto" w:fill="auto"/>
            <w:vAlign w:val="center"/>
          </w:tcPr>
          <w:p w14:paraId="67B88A8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277" w:type="dxa"/>
            <w:shd w:val="clear" w:color="auto" w:fill="auto"/>
            <w:vAlign w:val="center"/>
          </w:tcPr>
          <w:p w14:paraId="2270535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Cs/>
                <w:snapToGrid w:val="0"/>
                <w:color w:val="000000"/>
                <w:sz w:val="21"/>
                <w:szCs w:val="21"/>
                <w:highlight w:val="none"/>
              </w:rPr>
              <w:t>通风柜陶瓷板台面小样</w:t>
            </w:r>
          </w:p>
        </w:tc>
        <w:tc>
          <w:tcPr>
            <w:tcW w:w="3233" w:type="dxa"/>
            <w:shd w:val="clear" w:color="auto" w:fill="auto"/>
            <w:vAlign w:val="center"/>
          </w:tcPr>
          <w:p w14:paraId="77A38CE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snapToGrid w:val="0"/>
                <w:color w:val="000000"/>
                <w:sz w:val="21"/>
                <w:szCs w:val="21"/>
                <w:highlight w:val="none"/>
              </w:rPr>
              <w:t>厚度≥25mm</w:t>
            </w:r>
          </w:p>
        </w:tc>
        <w:tc>
          <w:tcPr>
            <w:tcW w:w="1191" w:type="dxa"/>
            <w:shd w:val="clear" w:color="auto" w:fill="auto"/>
            <w:vAlign w:val="center"/>
          </w:tcPr>
          <w:p w14:paraId="3B7EE2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1块</w:t>
            </w:r>
          </w:p>
        </w:tc>
        <w:tc>
          <w:tcPr>
            <w:tcW w:w="2367" w:type="dxa"/>
            <w:vMerge w:val="continue"/>
            <w:shd w:val="clear" w:color="auto" w:fill="auto"/>
            <w:vAlign w:val="center"/>
          </w:tcPr>
          <w:p w14:paraId="5D7D3639">
            <w:pPr>
              <w:widowControl/>
              <w:jc w:val="center"/>
              <w:textAlignment w:val="top"/>
              <w:rPr>
                <w:rFonts w:hint="eastAsia" w:ascii="宋体" w:hAnsi="宋体" w:eastAsia="宋体" w:cs="宋体"/>
                <w:color w:val="auto"/>
                <w:sz w:val="24"/>
                <w:highlight w:val="none"/>
              </w:rPr>
            </w:pPr>
          </w:p>
        </w:tc>
      </w:tr>
      <w:tr w14:paraId="798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56" w:type="dxa"/>
            <w:shd w:val="clear" w:color="auto" w:fill="auto"/>
            <w:vAlign w:val="center"/>
          </w:tcPr>
          <w:p w14:paraId="7B6751A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277" w:type="dxa"/>
            <w:shd w:val="clear" w:color="auto" w:fill="auto"/>
            <w:vAlign w:val="center"/>
          </w:tcPr>
          <w:p w14:paraId="4CEC7BE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snapToGrid w:val="0"/>
                <w:color w:val="000000"/>
                <w:sz w:val="21"/>
                <w:szCs w:val="21"/>
                <w:highlight w:val="none"/>
              </w:rPr>
              <w:t>三口水龙头</w:t>
            </w:r>
          </w:p>
        </w:tc>
        <w:tc>
          <w:tcPr>
            <w:tcW w:w="3233" w:type="dxa"/>
            <w:shd w:val="clear" w:color="auto" w:fill="auto"/>
            <w:vAlign w:val="center"/>
          </w:tcPr>
          <w:p w14:paraId="26F1345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val="en-US" w:eastAsia="zh-CN"/>
              </w:rPr>
              <w:t>满足</w:t>
            </w:r>
            <w:r>
              <w:rPr>
                <w:rFonts w:hint="eastAsia" w:ascii="宋体" w:hAnsi="宋体" w:cs="宋体"/>
                <w:color w:val="auto"/>
                <w:szCs w:val="21"/>
                <w:highlight w:val="none"/>
              </w:rPr>
              <w:t>“</w:t>
            </w:r>
            <w:r>
              <w:rPr>
                <w:rFonts w:hint="eastAsia" w:ascii="宋体" w:hAnsi="宋体" w:cs="宋体"/>
                <w:color w:val="auto"/>
                <w:szCs w:val="36"/>
                <w:highlight w:val="none"/>
              </w:rPr>
              <w:t>第三部分</w:t>
            </w:r>
            <w:r>
              <w:rPr>
                <w:rFonts w:hint="eastAsia" w:ascii="宋体" w:hAnsi="宋体" w:cs="宋体"/>
                <w:color w:val="auto"/>
                <w:highlight w:val="none"/>
              </w:rPr>
              <w:t xml:space="preserve"> 采购需</w:t>
            </w:r>
            <w:r>
              <w:rPr>
                <w:rFonts w:hint="eastAsia" w:ascii="宋体" w:hAnsi="宋体" w:cs="宋体"/>
                <w:color w:val="auto"/>
                <w:szCs w:val="36"/>
                <w:highlight w:val="none"/>
              </w:rPr>
              <w:t>求：</w:t>
            </w:r>
            <w:r>
              <w:rPr>
                <w:rFonts w:hint="eastAsia" w:ascii="宋体" w:hAnsi="宋体" w:cs="宋体"/>
                <w:color w:val="auto"/>
                <w:szCs w:val="36"/>
                <w:highlight w:val="none"/>
                <w:lang w:val="en-US" w:eastAsia="zh-CN"/>
              </w:rPr>
              <w:t>二</w:t>
            </w:r>
            <w:r>
              <w:rPr>
                <w:rFonts w:hint="eastAsia" w:ascii="宋体" w:hAnsi="宋体" w:cs="宋体"/>
                <w:color w:val="auto"/>
                <w:szCs w:val="36"/>
                <w:highlight w:val="none"/>
              </w:rPr>
              <w:t>、技术</w:t>
            </w:r>
            <w:r>
              <w:rPr>
                <w:rFonts w:hint="eastAsia" w:ascii="宋体" w:hAnsi="宋体" w:cs="宋体"/>
                <w:color w:val="auto"/>
                <w:szCs w:val="36"/>
                <w:highlight w:val="none"/>
                <w:lang w:val="en-US" w:eastAsia="zh-CN"/>
              </w:rPr>
              <w:t>参数表”</w:t>
            </w:r>
          </w:p>
        </w:tc>
        <w:tc>
          <w:tcPr>
            <w:tcW w:w="1191" w:type="dxa"/>
            <w:shd w:val="clear" w:color="auto" w:fill="auto"/>
            <w:vAlign w:val="center"/>
          </w:tcPr>
          <w:p w14:paraId="35017E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1个</w:t>
            </w:r>
          </w:p>
        </w:tc>
        <w:tc>
          <w:tcPr>
            <w:tcW w:w="2367" w:type="dxa"/>
            <w:vMerge w:val="continue"/>
            <w:shd w:val="clear" w:color="auto" w:fill="auto"/>
            <w:vAlign w:val="center"/>
          </w:tcPr>
          <w:p w14:paraId="0248C2F7">
            <w:pPr>
              <w:widowControl/>
              <w:jc w:val="center"/>
              <w:textAlignment w:val="top"/>
              <w:rPr>
                <w:rFonts w:hint="eastAsia" w:ascii="宋体" w:hAnsi="宋体" w:eastAsia="宋体" w:cs="宋体"/>
                <w:color w:val="auto"/>
                <w:sz w:val="24"/>
                <w:highlight w:val="none"/>
              </w:rPr>
            </w:pPr>
          </w:p>
        </w:tc>
      </w:tr>
      <w:tr w14:paraId="66E6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6" w:type="dxa"/>
            <w:shd w:val="clear" w:color="auto" w:fill="auto"/>
            <w:vAlign w:val="center"/>
          </w:tcPr>
          <w:p w14:paraId="5D802295">
            <w:pPr>
              <w:keepNext w:val="0"/>
              <w:keepLines w:val="0"/>
              <w:widowControl/>
              <w:suppressLineNumbers w:val="0"/>
              <w:jc w:val="center"/>
              <w:textAlignment w:val="center"/>
              <w:rPr>
                <w:rFonts w:hint="default" w:ascii="宋体" w:hAnsi="宋体" w:cs="宋体"/>
                <w:color w:val="auto"/>
                <w:kern w:val="0"/>
                <w:szCs w:val="21"/>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277" w:type="dxa"/>
            <w:shd w:val="clear" w:color="auto" w:fill="auto"/>
            <w:vAlign w:val="center"/>
          </w:tcPr>
          <w:p w14:paraId="49F8081E">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Cs/>
                <w:snapToGrid w:val="0"/>
                <w:color w:val="000000"/>
                <w:sz w:val="21"/>
                <w:szCs w:val="21"/>
                <w:highlight w:val="none"/>
              </w:rPr>
              <w:t>PP水槽</w:t>
            </w:r>
          </w:p>
        </w:tc>
        <w:tc>
          <w:tcPr>
            <w:tcW w:w="3233" w:type="dxa"/>
            <w:shd w:val="clear" w:color="auto" w:fill="auto"/>
            <w:vAlign w:val="center"/>
          </w:tcPr>
          <w:p w14:paraId="035C50B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000000"/>
                <w:kern w:val="0"/>
                <w:sz w:val="21"/>
                <w:szCs w:val="21"/>
                <w:highlight w:val="none"/>
              </w:rPr>
              <w:t>满足“第三部分 采购需求：二、技术参数表”</w:t>
            </w:r>
          </w:p>
        </w:tc>
        <w:tc>
          <w:tcPr>
            <w:tcW w:w="1191" w:type="dxa"/>
            <w:shd w:val="clear" w:color="auto" w:fill="auto"/>
            <w:vAlign w:val="center"/>
          </w:tcPr>
          <w:p w14:paraId="1E3E4A69">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1套</w:t>
            </w:r>
          </w:p>
        </w:tc>
        <w:tc>
          <w:tcPr>
            <w:tcW w:w="2367" w:type="dxa"/>
            <w:vMerge w:val="continue"/>
            <w:shd w:val="clear" w:color="auto" w:fill="auto"/>
            <w:vAlign w:val="center"/>
          </w:tcPr>
          <w:p w14:paraId="5978F77E">
            <w:pPr>
              <w:widowControl/>
              <w:jc w:val="center"/>
              <w:textAlignment w:val="top"/>
              <w:rPr>
                <w:rFonts w:hint="eastAsia" w:ascii="宋体" w:hAnsi="宋体" w:eastAsia="宋体" w:cs="宋体"/>
                <w:color w:val="auto"/>
                <w:sz w:val="24"/>
                <w:highlight w:val="none"/>
              </w:rPr>
            </w:pPr>
          </w:p>
        </w:tc>
      </w:tr>
      <w:tr w14:paraId="02C9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6" w:type="dxa"/>
            <w:shd w:val="clear" w:color="auto" w:fill="auto"/>
            <w:vAlign w:val="center"/>
          </w:tcPr>
          <w:p w14:paraId="042E2AC7">
            <w:pPr>
              <w:widowControl/>
              <w:jc w:val="center"/>
              <w:textAlignment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2277" w:type="dxa"/>
            <w:shd w:val="clear" w:color="auto" w:fill="auto"/>
            <w:vAlign w:val="center"/>
          </w:tcPr>
          <w:p w14:paraId="40BD3B2D">
            <w:pPr>
              <w:widowControl/>
              <w:jc w:val="center"/>
              <w:textAlignment w:val="center"/>
              <w:rPr>
                <w:rFonts w:hint="eastAsia" w:ascii="宋体" w:hAnsi="宋体" w:cs="宋体"/>
                <w:color w:val="auto"/>
                <w:kern w:val="0"/>
                <w:sz w:val="21"/>
                <w:szCs w:val="21"/>
                <w:highlight w:val="none"/>
                <w:lang w:val="en-US" w:eastAsia="zh-CN"/>
              </w:rPr>
            </w:pPr>
            <w:r>
              <w:rPr>
                <w:rFonts w:hint="eastAsia" w:ascii="宋体" w:hAnsi="宋体" w:eastAsia="宋体" w:cs="宋体"/>
                <w:bCs/>
                <w:snapToGrid w:val="0"/>
                <w:color w:val="000000"/>
                <w:sz w:val="21"/>
                <w:szCs w:val="21"/>
                <w:highlight w:val="none"/>
              </w:rPr>
              <w:t>五金配件小样</w:t>
            </w:r>
          </w:p>
        </w:tc>
        <w:tc>
          <w:tcPr>
            <w:tcW w:w="3233" w:type="dxa"/>
            <w:shd w:val="clear" w:color="auto" w:fill="auto"/>
            <w:vAlign w:val="center"/>
          </w:tcPr>
          <w:p w14:paraId="587DB28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铰链、合页、拉手、电线电缆、三节滑轨、螺丝</w:t>
            </w:r>
          </w:p>
        </w:tc>
        <w:tc>
          <w:tcPr>
            <w:tcW w:w="1191" w:type="dxa"/>
            <w:shd w:val="clear" w:color="auto" w:fill="auto"/>
            <w:vAlign w:val="center"/>
          </w:tcPr>
          <w:p w14:paraId="20DCC3A5">
            <w:pPr>
              <w:widowControl/>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1套</w:t>
            </w:r>
          </w:p>
        </w:tc>
        <w:tc>
          <w:tcPr>
            <w:tcW w:w="2367" w:type="dxa"/>
            <w:vMerge w:val="continue"/>
            <w:shd w:val="clear" w:color="auto" w:fill="auto"/>
            <w:vAlign w:val="center"/>
          </w:tcPr>
          <w:p w14:paraId="2EACF548">
            <w:pPr>
              <w:widowControl/>
              <w:jc w:val="center"/>
              <w:textAlignment w:val="top"/>
              <w:rPr>
                <w:rFonts w:hint="eastAsia" w:ascii="宋体" w:hAnsi="宋体" w:eastAsia="宋体" w:cs="宋体"/>
                <w:color w:val="auto"/>
                <w:sz w:val="24"/>
                <w:highlight w:val="none"/>
              </w:rPr>
            </w:pPr>
          </w:p>
        </w:tc>
      </w:tr>
      <w:tr w14:paraId="6407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6" w:type="dxa"/>
            <w:shd w:val="clear" w:color="auto" w:fill="auto"/>
            <w:vAlign w:val="center"/>
          </w:tcPr>
          <w:p w14:paraId="26BEF526">
            <w:pPr>
              <w:widowControl/>
              <w:jc w:val="center"/>
              <w:textAlignment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277" w:type="dxa"/>
            <w:shd w:val="clear" w:color="auto" w:fill="auto"/>
            <w:vAlign w:val="center"/>
          </w:tcPr>
          <w:p w14:paraId="69C0B557">
            <w:pPr>
              <w:widowControl/>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宋体" w:hAnsi="宋体" w:eastAsia="宋体" w:cs="宋体"/>
                <w:bCs/>
                <w:snapToGrid w:val="0"/>
                <w:color w:val="000000"/>
                <w:sz w:val="21"/>
                <w:szCs w:val="21"/>
                <w:highlight w:val="none"/>
              </w:rPr>
              <w:t>靠边实验台一张</w:t>
            </w:r>
          </w:p>
        </w:tc>
        <w:tc>
          <w:tcPr>
            <w:tcW w:w="3233" w:type="dxa"/>
            <w:shd w:val="clear" w:color="auto" w:fill="auto"/>
            <w:vAlign w:val="center"/>
          </w:tcPr>
          <w:p w14:paraId="67910A7B">
            <w:pPr>
              <w:keepNext w:val="0"/>
              <w:keepLines w:val="0"/>
              <w:widowControl/>
              <w:suppressLineNumbers w:val="0"/>
              <w:jc w:val="center"/>
              <w:textAlignment w:val="center"/>
              <w:rPr>
                <w:rFonts w:hint="eastAsia" w:eastAsia="宋体" w:asciiTheme="minorEastAsia" w:hAnsiTheme="minorEastAsia" w:cstheme="minorEastAsia"/>
                <w:i w:val="0"/>
                <w:iCs w:val="0"/>
                <w:color w:val="auto"/>
                <w:kern w:val="0"/>
                <w:sz w:val="24"/>
                <w:szCs w:val="24"/>
                <w:highlight w:val="none"/>
                <w:u w:val="none"/>
                <w:lang w:val="en-US" w:eastAsia="zh-CN" w:bidi="ar"/>
              </w:rPr>
            </w:pPr>
            <w:r>
              <w:rPr>
                <w:rFonts w:hint="eastAsia" w:ascii="宋体" w:hAnsi="宋体" w:eastAsia="宋体" w:cs="宋体"/>
                <w:bCs/>
                <w:snapToGrid w:val="0"/>
                <w:color w:val="000000"/>
                <w:sz w:val="21"/>
                <w:szCs w:val="21"/>
                <w:highlight w:val="none"/>
              </w:rPr>
              <w:t>规格不限</w:t>
            </w:r>
          </w:p>
        </w:tc>
        <w:tc>
          <w:tcPr>
            <w:tcW w:w="1191" w:type="dxa"/>
            <w:shd w:val="clear" w:color="auto" w:fill="auto"/>
            <w:vAlign w:val="center"/>
          </w:tcPr>
          <w:p w14:paraId="2ECA663D">
            <w:pPr>
              <w:widowControl/>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1张</w:t>
            </w:r>
          </w:p>
        </w:tc>
        <w:tc>
          <w:tcPr>
            <w:tcW w:w="2367" w:type="dxa"/>
            <w:vMerge w:val="continue"/>
            <w:shd w:val="clear" w:color="auto" w:fill="auto"/>
            <w:vAlign w:val="center"/>
          </w:tcPr>
          <w:p w14:paraId="148AEDD5">
            <w:pPr>
              <w:widowControl/>
              <w:jc w:val="center"/>
              <w:textAlignment w:val="top"/>
              <w:rPr>
                <w:rFonts w:hint="eastAsia" w:ascii="宋体" w:hAnsi="宋体" w:eastAsia="宋体" w:cs="宋体"/>
                <w:color w:val="auto"/>
                <w:sz w:val="24"/>
                <w:highlight w:val="none"/>
              </w:rPr>
            </w:pPr>
          </w:p>
        </w:tc>
      </w:tr>
    </w:tbl>
    <w:p w14:paraId="4418337E">
      <w:pPr>
        <w:snapToGrid w:val="0"/>
        <w:spacing w:line="360" w:lineRule="auto"/>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注：样品中不得出现投标人的名称、商标</w:t>
      </w:r>
      <w:r>
        <w:rPr>
          <w:rFonts w:hint="eastAsia" w:ascii="宋体" w:hAnsi="宋体" w:cs="宋体"/>
          <w:color w:val="auto"/>
          <w:sz w:val="24"/>
          <w:szCs w:val="32"/>
          <w:highlight w:val="none"/>
          <w:lang w:eastAsia="zh-CN"/>
        </w:rPr>
        <w:t>。</w:t>
      </w:r>
    </w:p>
    <w:p w14:paraId="706EE8E7">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2.样品递交方式：供应商自行运送到指定的地点。</w:t>
      </w:r>
    </w:p>
    <w:p w14:paraId="10A7A8F3">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3.样品递交时间：202</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rPr>
        <w:t>年</w:t>
      </w:r>
      <w:r>
        <w:rPr>
          <w:rFonts w:hint="eastAsia" w:ascii="宋体" w:hAnsi="宋体" w:cs="宋体"/>
          <w:color w:val="auto"/>
          <w:sz w:val="24"/>
          <w:szCs w:val="32"/>
          <w:highlight w:val="none"/>
          <w:lang w:val="en-US" w:eastAsia="zh-CN"/>
        </w:rPr>
        <w:t>5月21日9点30分</w:t>
      </w:r>
      <w:r>
        <w:rPr>
          <w:rFonts w:hint="eastAsia" w:ascii="宋体" w:hAnsi="宋体" w:cs="宋体"/>
          <w:color w:val="auto"/>
          <w:sz w:val="24"/>
          <w:szCs w:val="32"/>
          <w:highlight w:val="none"/>
        </w:rPr>
        <w:t>00秒（北京时间）前。</w:t>
      </w:r>
    </w:p>
    <w:p w14:paraId="3B9150E5">
      <w:pPr>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4.样品递交地点：</w:t>
      </w:r>
      <w:r>
        <w:rPr>
          <w:rFonts w:hint="eastAsia" w:ascii="宋体" w:hAnsi="宋体" w:cs="宋体"/>
          <w:color w:val="auto"/>
          <w:sz w:val="24"/>
          <w:szCs w:val="32"/>
          <w:highlight w:val="none"/>
          <w:lang w:val="en-US" w:eastAsia="zh-CN"/>
        </w:rPr>
        <w:t xml:space="preserve">浙江省舟山市定海区城东街道昌洲大道玉兰桥72号楼1楼 </w:t>
      </w:r>
      <w:r>
        <w:rPr>
          <w:rFonts w:hint="eastAsia" w:ascii="宋体" w:hAnsi="宋体" w:cs="宋体"/>
          <w:color w:val="auto"/>
          <w:sz w:val="24"/>
          <w:szCs w:val="32"/>
          <w:highlight w:val="none"/>
        </w:rPr>
        <w:t>，联系人：吴工，联系电话：17815506260。</w:t>
      </w:r>
      <w:bookmarkStart w:id="426" w:name="_GoBack"/>
      <w:bookmarkEnd w:id="426"/>
    </w:p>
    <w:p w14:paraId="4E1EF9CE">
      <w:pPr>
        <w:snapToGrid w:val="0"/>
        <w:spacing w:line="360" w:lineRule="auto"/>
        <w:ind w:firstLine="480" w:firstLineChars="200"/>
        <w:rPr>
          <w:rFonts w:hint="eastAsia" w:ascii="宋体" w:hAnsi="宋体" w:eastAsia="宋体" w:cs="宋体"/>
          <w:color w:val="auto"/>
          <w:sz w:val="24"/>
          <w:szCs w:val="32"/>
          <w:highlight w:val="none"/>
        </w:rPr>
      </w:pPr>
      <w:r>
        <w:rPr>
          <w:rFonts w:hint="eastAsia" w:ascii="宋体" w:hAnsi="宋体" w:cs="宋体"/>
          <w:color w:val="auto"/>
          <w:sz w:val="24"/>
          <w:szCs w:val="32"/>
          <w:highlight w:val="none"/>
        </w:rPr>
        <w:t>5.未中标单位样品的退还处理方式：由未中标单</w:t>
      </w:r>
      <w:r>
        <w:rPr>
          <w:rFonts w:hint="eastAsia" w:ascii="宋体" w:hAnsi="宋体" w:eastAsia="宋体" w:cs="宋体"/>
          <w:color w:val="auto"/>
          <w:sz w:val="24"/>
          <w:szCs w:val="32"/>
          <w:highlight w:val="none"/>
        </w:rPr>
        <w:t>位在开标结束后当天内自行撤回，采购人和代理机构不负责样品保管。逾期未取回的，采购人、代理机构不负保管义务；对于中标人提供的样品，采购人将进行保管、封存，并作为履约验收的参考。</w:t>
      </w:r>
    </w:p>
    <w:p w14:paraId="24DE5637">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6.制作、运输、安装和保管样品所发生的一切费用由投标人自理，其中样品存放场地占用费800元/</w:t>
      </w:r>
      <w:r>
        <w:rPr>
          <w:rFonts w:hint="eastAsia" w:ascii="宋体" w:hAnsi="宋体" w:eastAsia="宋体" w:cs="宋体"/>
          <w:color w:val="auto"/>
          <w:sz w:val="24"/>
          <w:szCs w:val="32"/>
          <w:highlight w:val="none"/>
          <w:lang w:val="en-US" w:eastAsia="zh-CN"/>
        </w:rPr>
        <w:t>间/</w:t>
      </w:r>
      <w:r>
        <w:rPr>
          <w:rFonts w:hint="eastAsia" w:ascii="宋体" w:hAnsi="宋体" w:eastAsia="宋体" w:cs="宋体"/>
          <w:color w:val="auto"/>
          <w:sz w:val="24"/>
          <w:szCs w:val="32"/>
          <w:highlight w:val="none"/>
        </w:rPr>
        <w:t>半天</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具体按实际场地使用情况进行结算</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，由每个半天（以每日中午12：00为半天划分界限）内同时存放样品的供应商分摊，</w:t>
      </w:r>
      <w:r>
        <w:rPr>
          <w:rFonts w:hint="eastAsia" w:ascii="宋体" w:hAnsi="宋体" w:eastAsia="宋体" w:cs="宋体"/>
          <w:color w:val="auto"/>
          <w:sz w:val="24"/>
          <w:szCs w:val="32"/>
          <w:highlight w:val="none"/>
          <w:lang w:val="en-US" w:eastAsia="zh-CN"/>
        </w:rPr>
        <w:t>在取回样品时由</w:t>
      </w:r>
      <w:r>
        <w:rPr>
          <w:rFonts w:hint="eastAsia" w:ascii="宋体" w:hAnsi="宋体" w:eastAsia="宋体" w:cs="宋体"/>
          <w:color w:val="auto"/>
          <w:sz w:val="24"/>
          <w:szCs w:val="32"/>
          <w:highlight w:val="none"/>
        </w:rPr>
        <w:t>代理公司代为收取。</w:t>
      </w:r>
    </w:p>
    <w:p w14:paraId="1BD8E982">
      <w:pPr>
        <w:pStyle w:val="4"/>
        <w:numPr>
          <w:ilvl w:val="0"/>
          <w:numId w:val="0"/>
        </w:numPr>
        <w:spacing w:line="300" w:lineRule="auto"/>
        <w:ind w:firstLine="0" w:firstLineChars="0"/>
        <w:jc w:val="left"/>
        <w:rPr>
          <w:rFonts w:cs="宋体"/>
          <w:szCs w:val="24"/>
          <w:highlight w:val="none"/>
          <w:lang w:val="zh-TW"/>
        </w:rPr>
      </w:pPr>
      <w:r>
        <w:rPr>
          <w:rFonts w:hint="eastAsia" w:cs="宋体"/>
          <w:szCs w:val="24"/>
          <w:highlight w:val="none"/>
          <w:lang w:val="en-US" w:eastAsia="zh-CN"/>
        </w:rPr>
        <w:t>四、</w:t>
      </w:r>
      <w:r>
        <w:rPr>
          <w:rFonts w:hint="eastAsia" w:cs="宋体"/>
          <w:szCs w:val="24"/>
          <w:highlight w:val="none"/>
          <w:lang w:val="zh-TW"/>
        </w:rPr>
        <w:t>商务要求</w:t>
      </w:r>
    </w:p>
    <w:p w14:paraId="5E62DF7F">
      <w:pPr>
        <w:pStyle w:val="4"/>
        <w:ind w:firstLine="480"/>
        <w:rPr>
          <w:rFonts w:cs="宋体"/>
          <w:b/>
          <w:bCs/>
          <w:highlight w:val="none"/>
          <w:lang w:val="zh-TW"/>
        </w:rPr>
      </w:pPr>
      <w:r>
        <w:rPr>
          <w:rFonts w:hint="eastAsia" w:cs="宋体"/>
          <w:b/>
          <w:bCs/>
          <w:highlight w:val="none"/>
          <w:lang w:val="zh-TW"/>
        </w:rPr>
        <w:t>（一）交货时间</w:t>
      </w:r>
    </w:p>
    <w:p w14:paraId="5BFFDFF7">
      <w:pPr>
        <w:snapToGrid w:val="0"/>
        <w:spacing w:line="360" w:lineRule="auto"/>
        <w:ind w:firstLineChars="200"/>
        <w:rPr>
          <w:rFonts w:hint="eastAsia" w:ascii="宋体" w:hAnsi="宋体" w:cs="宋体"/>
          <w:sz w:val="24"/>
          <w:highlight w:val="none"/>
          <w:lang w:val="zh-TW"/>
        </w:rPr>
      </w:pPr>
      <w:r>
        <w:rPr>
          <w:rFonts w:hint="eastAsia" w:ascii="宋体" w:hAnsi="宋体" w:cs="宋体"/>
          <w:sz w:val="24"/>
          <w:highlight w:val="none"/>
        </w:rPr>
        <w:t>合同签订后60天完工，最迟2026年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日前完成交</w:t>
      </w:r>
      <w:r>
        <w:rPr>
          <w:rFonts w:hint="eastAsia" w:ascii="宋体" w:hAnsi="宋体" w:cs="宋体"/>
          <w:sz w:val="24"/>
          <w:highlight w:val="none"/>
        </w:rPr>
        <w:t>货、改造；如因</w:t>
      </w:r>
      <w:r>
        <w:rPr>
          <w:rFonts w:hint="eastAsia" w:ascii="宋体" w:hAnsi="宋体" w:cs="宋体"/>
          <w:sz w:val="24"/>
          <w:highlight w:val="none"/>
          <w:lang w:val="en-US" w:eastAsia="zh-CN"/>
        </w:rPr>
        <w:t>中标人</w:t>
      </w:r>
      <w:r>
        <w:rPr>
          <w:rFonts w:hint="eastAsia" w:ascii="宋体" w:hAnsi="宋体" w:cs="宋体"/>
          <w:sz w:val="24"/>
          <w:highlight w:val="none"/>
        </w:rPr>
        <w:t>责任而造成的延期而产生的费用由</w:t>
      </w:r>
      <w:r>
        <w:rPr>
          <w:rFonts w:hint="eastAsia" w:ascii="宋体" w:hAnsi="宋体" w:cs="宋体"/>
          <w:sz w:val="24"/>
          <w:highlight w:val="none"/>
          <w:lang w:val="en-US" w:eastAsia="zh-CN"/>
        </w:rPr>
        <w:t>中标人</w:t>
      </w:r>
      <w:r>
        <w:rPr>
          <w:rFonts w:hint="eastAsia" w:ascii="宋体" w:hAnsi="宋体" w:cs="宋体"/>
          <w:sz w:val="24"/>
          <w:highlight w:val="none"/>
        </w:rPr>
        <w:t>负担。</w:t>
      </w:r>
    </w:p>
    <w:p w14:paraId="0BA65C5A">
      <w:pPr>
        <w:pStyle w:val="4"/>
        <w:ind w:firstLine="480"/>
        <w:rPr>
          <w:rFonts w:cs="宋体"/>
          <w:b/>
          <w:bCs/>
          <w:highlight w:val="none"/>
          <w:lang w:val="zh-TW"/>
        </w:rPr>
      </w:pPr>
      <w:r>
        <w:rPr>
          <w:rFonts w:hint="eastAsia" w:cs="宋体"/>
          <w:b/>
          <w:bCs/>
          <w:highlight w:val="none"/>
          <w:lang w:val="zh-TW"/>
        </w:rPr>
        <w:t>（二）交付地点</w:t>
      </w:r>
    </w:p>
    <w:p w14:paraId="4AF6F2D0">
      <w:pPr>
        <w:snapToGrid w:val="0"/>
        <w:spacing w:line="360" w:lineRule="auto"/>
        <w:ind w:firstLine="480"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eastAsia="zh-CN"/>
        </w:rPr>
        <w:t>采购人</w:t>
      </w:r>
      <w:r>
        <w:rPr>
          <w:rFonts w:hint="eastAsia" w:ascii="宋体" w:hAnsi="宋体" w:cs="宋体"/>
          <w:b w:val="0"/>
          <w:bCs w:val="0"/>
          <w:sz w:val="24"/>
          <w:highlight w:val="none"/>
          <w:lang w:val="zh-TW"/>
        </w:rPr>
        <w:t>指定地点。</w:t>
      </w:r>
    </w:p>
    <w:p w14:paraId="0696757D">
      <w:pPr>
        <w:pStyle w:val="4"/>
        <w:ind w:firstLine="480"/>
        <w:rPr>
          <w:rFonts w:cs="宋体"/>
          <w:b/>
          <w:bCs/>
          <w:highlight w:val="none"/>
          <w:lang w:val="zh-TW"/>
        </w:rPr>
      </w:pPr>
      <w:r>
        <w:rPr>
          <w:rFonts w:hint="eastAsia" w:cs="宋体"/>
          <w:b/>
          <w:bCs/>
          <w:highlight w:val="none"/>
          <w:lang w:val="zh-TW"/>
        </w:rPr>
        <w:t>（三）履约保证金</w:t>
      </w:r>
    </w:p>
    <w:p w14:paraId="23A71D92">
      <w:pPr>
        <w:ind w:firstLineChars="200"/>
        <w:rPr>
          <w:rFonts w:hint="eastAsia" w:ascii="宋体" w:hAnsi="宋体" w:cs="宋体"/>
          <w:b w:val="0"/>
          <w:bCs w:val="0"/>
          <w:sz w:val="24"/>
          <w:highlight w:val="none"/>
          <w:lang w:val="zh-TW" w:eastAsia="zh-CN"/>
        </w:rPr>
      </w:pPr>
      <w:r>
        <w:rPr>
          <w:rFonts w:hint="eastAsia" w:ascii="宋体" w:hAnsi="宋体" w:cs="宋体"/>
          <w:b w:val="0"/>
          <w:bCs w:val="0"/>
          <w:sz w:val="24"/>
          <w:highlight w:val="none"/>
          <w:lang w:val="zh-TW" w:eastAsia="zh-CN"/>
        </w:rPr>
        <w:t>无。</w:t>
      </w:r>
    </w:p>
    <w:p w14:paraId="752EF23D">
      <w:pPr>
        <w:pStyle w:val="4"/>
        <w:ind w:firstLine="480"/>
        <w:rPr>
          <w:rFonts w:cs="宋体"/>
          <w:b/>
          <w:bCs/>
          <w:highlight w:val="none"/>
          <w:lang w:val="zh-TW"/>
        </w:rPr>
      </w:pPr>
      <w:r>
        <w:rPr>
          <w:rFonts w:hint="eastAsia" w:cs="宋体"/>
          <w:b/>
          <w:bCs/>
          <w:highlight w:val="none"/>
          <w:lang w:val="zh-TW"/>
        </w:rPr>
        <w:t>（四）售后服务要求</w:t>
      </w:r>
    </w:p>
    <w:p w14:paraId="42C4F7E9">
      <w:pPr>
        <w:snapToGrid w:val="0"/>
        <w:spacing w:line="360" w:lineRule="auto"/>
        <w:ind w:firstLineChars="200"/>
        <w:rPr>
          <w:rFonts w:hint="eastAsia" w:ascii="宋体" w:hAnsi="宋体" w:eastAsia="宋体" w:cs="宋体"/>
          <w:b w:val="0"/>
          <w:bCs w:val="0"/>
          <w:sz w:val="24"/>
          <w:highlight w:val="none"/>
          <w:lang w:val="zh-TW" w:eastAsia="zh-CN"/>
        </w:rPr>
      </w:pPr>
      <w:r>
        <w:rPr>
          <w:rFonts w:hint="eastAsia" w:ascii="宋体" w:hAnsi="宋体" w:cs="宋体"/>
          <w:b w:val="0"/>
          <w:bCs w:val="0"/>
          <w:sz w:val="24"/>
          <w:highlight w:val="none"/>
          <w:lang w:val="zh-TW"/>
        </w:rPr>
        <w:t>1.质量保证期（或保修期）：自合同签订生效，设备安装调试完毕并经</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lang w:val="zh-TW"/>
        </w:rPr>
        <w:t>验收合格之日起整体项目免费质保3年。质保期内上门对损坏的设备进行安装、更换、调试，包括配件费、材料费、人工费等全部免费。质保期内被免费更换的零部件质量保证期再延续3年</w:t>
      </w:r>
      <w:r>
        <w:rPr>
          <w:rFonts w:hint="eastAsia" w:ascii="宋体" w:hAnsi="宋体" w:cs="宋体"/>
          <w:b w:val="0"/>
          <w:bCs w:val="0"/>
          <w:sz w:val="24"/>
          <w:highlight w:val="none"/>
          <w:lang w:val="zh-TW" w:eastAsia="zh-CN"/>
        </w:rPr>
        <w:t>。</w:t>
      </w:r>
    </w:p>
    <w:p w14:paraId="4B8F970F">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2.售后服务的响应速度要求：免费维护或更换缺陷部件的时间为</w:t>
      </w:r>
      <w:r>
        <w:rPr>
          <w:rFonts w:hint="eastAsia" w:ascii="宋体" w:hAnsi="宋体" w:cs="宋体"/>
          <w:b w:val="0"/>
          <w:bCs w:val="0"/>
          <w:sz w:val="24"/>
          <w:highlight w:val="none"/>
          <w:lang w:val="en-US" w:eastAsia="zh-CN"/>
        </w:rPr>
        <w:t>中标人</w:t>
      </w:r>
      <w:r>
        <w:rPr>
          <w:rFonts w:hint="eastAsia" w:ascii="宋体" w:hAnsi="宋体" w:cs="宋体"/>
          <w:b w:val="0"/>
          <w:bCs w:val="0"/>
          <w:sz w:val="24"/>
          <w:highlight w:val="none"/>
          <w:lang w:val="zh-TW"/>
        </w:rPr>
        <w:t>收到</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lang w:val="zh-TW"/>
        </w:rPr>
        <w:t>通知后 2 小时内响应，24小时内到达现场。</w:t>
      </w:r>
    </w:p>
    <w:p w14:paraId="0C04305F">
      <w:pPr>
        <w:snapToGrid w:val="0"/>
        <w:spacing w:line="360" w:lineRule="auto"/>
        <w:ind w:firstLineChars="200"/>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3.投标人投标时必须根据所投标的设备清单，列出设备（国产单价大于5万元的）主要维修用零配件清单及价格，此价格作为中标人质保期后维修更换零</w:t>
      </w:r>
      <w:r>
        <w:rPr>
          <w:rFonts w:hint="eastAsia" w:ascii="宋体" w:hAnsi="宋体" w:cs="宋体"/>
          <w:b w:val="0"/>
          <w:bCs w:val="0"/>
          <w:sz w:val="24"/>
          <w:highlight w:val="none"/>
          <w:lang w:val="en-US" w:eastAsia="zh-CN"/>
        </w:rPr>
        <w:t>配件收费的依据；如遇后期市场价格变动，则按变动后的价格由采购人、中标人双方提供价格变动证明后协商执行。</w:t>
      </w:r>
    </w:p>
    <w:p w14:paraId="347E7DC6">
      <w:pPr>
        <w:pStyle w:val="4"/>
        <w:ind w:firstLine="480"/>
        <w:rPr>
          <w:rFonts w:hint="eastAsia" w:cs="宋体"/>
          <w:b/>
          <w:bCs/>
          <w:highlight w:val="none"/>
          <w:lang w:val="zh-TW"/>
        </w:rPr>
      </w:pPr>
      <w:r>
        <w:rPr>
          <w:rFonts w:hint="eastAsia" w:cs="宋体"/>
          <w:b/>
          <w:bCs/>
          <w:highlight w:val="none"/>
          <w:lang w:val="zh-TW"/>
        </w:rPr>
        <w:t>（五）付款方式</w:t>
      </w:r>
    </w:p>
    <w:p w14:paraId="19816CDB">
      <w:pPr>
        <w:snapToGrid w:val="0"/>
        <w:spacing w:line="360" w:lineRule="auto"/>
        <w:ind w:firstLineChars="200"/>
        <w:rPr>
          <w:rFonts w:hint="eastAsia" w:ascii="宋体" w:hAnsi="宋体" w:cs="宋体"/>
          <w:b w:val="0"/>
          <w:bCs w:val="0"/>
          <w:sz w:val="24"/>
          <w:highlight w:val="none"/>
          <w:lang w:val="zh-TW"/>
        </w:rPr>
      </w:pPr>
      <w:r>
        <w:rPr>
          <w:rFonts w:hint="eastAsia" w:ascii="宋体" w:hAnsi="宋体" w:eastAsia="宋体" w:cs="宋体"/>
          <w:bCs/>
          <w:sz w:val="24"/>
          <w:highlight w:val="none"/>
          <w:lang w:val="zh-CN"/>
        </w:rPr>
        <w:t>合同生效并具备实施条件后7个工作日内</w:t>
      </w:r>
      <w:r>
        <w:rPr>
          <w:rFonts w:hint="eastAsia" w:ascii="宋体" w:hAnsi="宋体" w:cs="宋体"/>
          <w:b w:val="0"/>
          <w:bCs w:val="0"/>
          <w:sz w:val="24"/>
          <w:highlight w:val="none"/>
          <w:lang w:val="zh-TW"/>
        </w:rPr>
        <w:t>，支付合同总金额的40%；到货后，设备安装调试完毕并经需方验收合格后7个工作日</w:t>
      </w:r>
      <w:r>
        <w:rPr>
          <w:rFonts w:hint="eastAsia" w:ascii="宋体" w:hAnsi="宋体" w:cs="宋体"/>
          <w:b w:val="0"/>
          <w:bCs w:val="0"/>
          <w:sz w:val="24"/>
          <w:highlight w:val="none"/>
          <w:lang w:val="en-US" w:eastAsia="zh-CN"/>
        </w:rPr>
        <w:t>内</w:t>
      </w:r>
      <w:r>
        <w:rPr>
          <w:rFonts w:hint="eastAsia" w:ascii="宋体" w:hAnsi="宋体" w:cs="宋体"/>
          <w:b w:val="0"/>
          <w:bCs w:val="0"/>
          <w:sz w:val="24"/>
          <w:highlight w:val="none"/>
          <w:lang w:val="zh-TW"/>
        </w:rPr>
        <w:t>付清货款。</w:t>
      </w:r>
    </w:p>
    <w:p w14:paraId="350ECC7E">
      <w:pPr>
        <w:pStyle w:val="4"/>
        <w:ind w:firstLine="480"/>
        <w:rPr>
          <w:rFonts w:cs="宋体"/>
          <w:b/>
          <w:bCs/>
          <w:highlight w:val="none"/>
          <w:lang w:val="zh-TW"/>
        </w:rPr>
      </w:pPr>
      <w:r>
        <w:rPr>
          <w:rFonts w:hint="eastAsia" w:cs="宋体"/>
          <w:b/>
          <w:bCs/>
          <w:highlight w:val="none"/>
          <w:lang w:val="zh-TW"/>
        </w:rPr>
        <w:t>（六）项目验收</w:t>
      </w:r>
    </w:p>
    <w:p w14:paraId="2173668C">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1.设备调试后，按确认后的验收大纲及验收标准或相应的国家标准，</w:t>
      </w:r>
      <w:r>
        <w:rPr>
          <w:rFonts w:hint="eastAsia" w:ascii="宋体" w:hAnsi="宋体" w:cs="宋体"/>
          <w:b w:val="0"/>
          <w:bCs w:val="0"/>
          <w:sz w:val="24"/>
          <w:highlight w:val="none"/>
          <w:lang w:val="en-US" w:eastAsia="zh-CN"/>
        </w:rPr>
        <w:t>采购人</w:t>
      </w:r>
      <w:r>
        <w:rPr>
          <w:rFonts w:hint="eastAsia" w:ascii="宋体" w:hAnsi="宋体" w:cs="宋体"/>
          <w:b w:val="0"/>
          <w:bCs w:val="0"/>
          <w:sz w:val="24"/>
          <w:highlight w:val="none"/>
          <w:lang w:val="zh-TW"/>
        </w:rPr>
        <w:t>和</w:t>
      </w:r>
      <w:r>
        <w:rPr>
          <w:rFonts w:hint="eastAsia" w:ascii="宋体" w:hAnsi="宋体" w:cs="宋体"/>
          <w:b w:val="0"/>
          <w:bCs w:val="0"/>
          <w:sz w:val="24"/>
          <w:highlight w:val="none"/>
          <w:lang w:val="en-US" w:eastAsia="zh-CN"/>
        </w:rPr>
        <w:t>中标人</w:t>
      </w:r>
      <w:r>
        <w:rPr>
          <w:rFonts w:hint="eastAsia" w:ascii="宋体" w:hAnsi="宋体" w:cs="宋体"/>
          <w:b w:val="0"/>
          <w:bCs w:val="0"/>
          <w:sz w:val="24"/>
          <w:highlight w:val="none"/>
          <w:lang w:val="zh-TW"/>
        </w:rPr>
        <w:t>共同对设备进行验收，达到验收标准后，双方共同签署设备验收合格报告后投入使用。</w:t>
      </w:r>
    </w:p>
    <w:p w14:paraId="48AFA95C">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2.如中标人委托国内代理（或其他机构）负责安装或配合安装，应在签约时指明，但中标人仍要对合同货物及其安装质量负全部责任。</w:t>
      </w:r>
    </w:p>
    <w:p w14:paraId="4F328FE4">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en-US" w:eastAsia="zh-CN"/>
        </w:rPr>
        <w:t>3</w:t>
      </w:r>
      <w:r>
        <w:rPr>
          <w:rFonts w:hint="eastAsia" w:ascii="宋体" w:hAnsi="宋体" w:cs="宋体"/>
          <w:b w:val="0"/>
          <w:bCs w:val="0"/>
          <w:sz w:val="24"/>
          <w:highlight w:val="none"/>
          <w:lang w:val="zh-TW"/>
        </w:rPr>
        <w:t>.其它验收费用由中标人承担。</w:t>
      </w:r>
    </w:p>
    <w:p w14:paraId="5FC240FB">
      <w:pPr>
        <w:pStyle w:val="4"/>
        <w:ind w:firstLine="480"/>
        <w:rPr>
          <w:rFonts w:cs="宋体"/>
          <w:b/>
          <w:bCs/>
          <w:highlight w:val="none"/>
          <w:lang w:val="zh-TW"/>
        </w:rPr>
      </w:pPr>
      <w:r>
        <w:rPr>
          <w:rFonts w:hint="eastAsia" w:cs="宋体"/>
          <w:b/>
          <w:bCs/>
          <w:highlight w:val="none"/>
          <w:lang w:val="zh-TW"/>
        </w:rPr>
        <w:t>（七）安装调试、培训</w:t>
      </w:r>
    </w:p>
    <w:p w14:paraId="7B2521FC">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1.安装调试：</w:t>
      </w:r>
    </w:p>
    <w:p w14:paraId="6D8B5CDB">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1.1 安装地点：采购人指定地点。</w:t>
      </w:r>
    </w:p>
    <w:p w14:paraId="7D31C984">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1.2 安装标准：符合我国国家有关技术规范要求和技术标准，所有的软件和硬件必须保证同时安装到位。</w:t>
      </w:r>
    </w:p>
    <w:p w14:paraId="1CA3EB31">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1.3 中标人免费提供合同货物的安装服务。</w:t>
      </w:r>
    </w:p>
    <w:p w14:paraId="56A740DD">
      <w:pPr>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1.4 中标人在投标文件中应提供安装调试计划、对安装场地和环境的要求。</w:t>
      </w:r>
    </w:p>
    <w:p w14:paraId="7D13F344">
      <w:pPr>
        <w:pStyle w:val="4"/>
        <w:ind w:firstLine="480"/>
        <w:rPr>
          <w:rFonts w:cs="宋体"/>
          <w:b/>
          <w:bCs/>
          <w:highlight w:val="none"/>
          <w:lang w:val="zh-TW"/>
        </w:rPr>
      </w:pPr>
      <w:r>
        <w:rPr>
          <w:rFonts w:hint="eastAsia" w:cs="宋体"/>
          <w:b/>
          <w:bCs/>
          <w:highlight w:val="none"/>
          <w:lang w:val="zh-TW"/>
        </w:rPr>
        <w:t>（八）合同履行</w:t>
      </w:r>
    </w:p>
    <w:p w14:paraId="20609F92">
      <w:pPr>
        <w:tabs>
          <w:tab w:val="left" w:pos="900"/>
        </w:tabs>
        <w:snapToGrid w:val="0"/>
        <w:spacing w:line="360" w:lineRule="auto"/>
        <w:ind w:firstLineChars="200"/>
        <w:rPr>
          <w:rFonts w:hint="eastAsia" w:ascii="宋体" w:hAnsi="宋体" w:cs="宋体"/>
          <w:b w:val="0"/>
          <w:bCs w:val="0"/>
          <w:sz w:val="24"/>
          <w:highlight w:val="none"/>
          <w:lang w:val="zh-TW"/>
        </w:rPr>
      </w:pPr>
      <w:r>
        <w:rPr>
          <w:rFonts w:hint="eastAsia" w:ascii="宋体" w:hAnsi="宋体" w:cs="宋体"/>
          <w:b w:val="0"/>
          <w:bCs w:val="0"/>
          <w:sz w:val="24"/>
          <w:highlight w:val="none"/>
          <w:lang w:val="zh-TW"/>
        </w:rPr>
        <w:t>必须由投标主体履行合同。</w:t>
      </w:r>
    </w:p>
    <w:p w14:paraId="64DD6632">
      <w:pPr>
        <w:tabs>
          <w:tab w:val="left" w:pos="900"/>
        </w:tabs>
        <w:snapToGrid w:val="0"/>
        <w:spacing w:line="360" w:lineRule="auto"/>
        <w:ind w:firstLineChars="200"/>
        <w:rPr>
          <w:rFonts w:hint="eastAsia" w:ascii="宋体" w:hAnsi="宋体" w:cs="宋体"/>
          <w:b w:val="0"/>
          <w:bCs w:val="0"/>
          <w:sz w:val="24"/>
          <w:highlight w:val="none"/>
          <w:lang w:val="zh-TW"/>
        </w:rPr>
        <w:sectPr>
          <w:pgSz w:w="11906" w:h="16838"/>
          <w:pgMar w:top="1440" w:right="1080" w:bottom="1440" w:left="1080" w:header="851" w:footer="851" w:gutter="0"/>
          <w:cols w:space="720" w:num="1"/>
          <w:docGrid w:linePitch="312" w:charSpace="0"/>
        </w:sectPr>
      </w:pPr>
    </w:p>
    <w:p w14:paraId="12337AE5">
      <w:pPr>
        <w:pStyle w:val="4"/>
        <w:numPr>
          <w:ilvl w:val="0"/>
          <w:numId w:val="0"/>
        </w:numPr>
        <w:spacing w:line="300" w:lineRule="auto"/>
        <w:jc w:val="left"/>
        <w:rPr>
          <w:rFonts w:hint="eastAsia" w:cs="宋体"/>
          <w:szCs w:val="24"/>
          <w:highlight w:val="none"/>
          <w:lang w:val="en-US" w:eastAsia="zh-CN"/>
        </w:rPr>
      </w:pPr>
      <w:r>
        <w:rPr>
          <w:rFonts w:hint="eastAsia" w:cs="宋体"/>
          <w:szCs w:val="24"/>
          <w:highlight w:val="none"/>
          <w:lang w:val="en-US" w:eastAsia="zh-CN"/>
        </w:rPr>
        <w:t>五、相关图纸</w:t>
      </w:r>
    </w:p>
    <w:p w14:paraId="2D45C978">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eastAsia="仿宋_GB2312" w:cs="Times New Roman"/>
          <w:b/>
          <w:bCs/>
          <w:kern w:val="0"/>
          <w:sz w:val="28"/>
          <w:szCs w:val="28"/>
          <w:highlight w:val="none"/>
          <w:u w:val="single"/>
          <w:lang w:val="en-US" w:eastAsia="zh-CN"/>
        </w:rPr>
      </w:pPr>
      <w:r>
        <w:rPr>
          <w:rFonts w:hint="eastAsia" w:eastAsia="仿宋_GB2312" w:cs="Times New Roman"/>
          <w:b/>
          <w:bCs/>
          <w:kern w:val="0"/>
          <w:sz w:val="28"/>
          <w:szCs w:val="28"/>
          <w:highlight w:val="none"/>
          <w:u w:val="single"/>
          <w:lang w:val="en-US" w:eastAsia="zh-CN"/>
        </w:rPr>
        <w:t>附图一:中央实验台</w:t>
      </w:r>
    </w:p>
    <w:p w14:paraId="3E7664C1">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仿宋_GB2312" w:eastAsia="仿宋_GB2312"/>
          <w:kern w:val="0"/>
          <w:szCs w:val="21"/>
          <w:highlight w:val="none"/>
        </w:rPr>
      </w:pPr>
      <w:r>
        <w:rPr>
          <w:highlight w:val="none"/>
        </w:rPr>
        <w:drawing>
          <wp:inline distT="0" distB="0" distL="114300" distR="114300">
            <wp:extent cx="4012565" cy="3127375"/>
            <wp:effectExtent l="0" t="0" r="635" b="9525"/>
            <wp:docPr id="4" name="图片 2" descr="ae46a943138fd5023442544738653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ae46a943138fd5023442544738653d8"/>
                    <pic:cNvPicPr>
                      <a:picLocks noChangeAspect="1"/>
                    </pic:cNvPicPr>
                  </pic:nvPicPr>
                  <pic:blipFill>
                    <a:blip r:embed="rId22"/>
                    <a:stretch>
                      <a:fillRect/>
                    </a:stretch>
                  </pic:blipFill>
                  <pic:spPr>
                    <a:xfrm>
                      <a:off x="0" y="0"/>
                      <a:ext cx="4012565" cy="3127375"/>
                    </a:xfrm>
                    <a:prstGeom prst="rect">
                      <a:avLst/>
                    </a:prstGeom>
                    <a:noFill/>
                    <a:ln>
                      <a:noFill/>
                    </a:ln>
                  </pic:spPr>
                </pic:pic>
              </a:graphicData>
            </a:graphic>
          </wp:inline>
        </w:drawing>
      </w:r>
    </w:p>
    <w:p w14:paraId="260FA01E">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仿宋_GB2312" w:eastAsia="仿宋_GB2312"/>
          <w:kern w:val="0"/>
          <w:szCs w:val="21"/>
          <w:highlight w:val="none"/>
        </w:rPr>
      </w:pPr>
    </w:p>
    <w:p w14:paraId="631C0515">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eastAsia="仿宋_GB2312" w:cs="Times New Roman"/>
          <w:b/>
          <w:bCs/>
          <w:kern w:val="0"/>
          <w:sz w:val="28"/>
          <w:szCs w:val="28"/>
          <w:highlight w:val="none"/>
          <w:u w:val="single"/>
          <w:lang w:val="en-US" w:eastAsia="zh-CN"/>
        </w:rPr>
      </w:pPr>
      <w:r>
        <w:rPr>
          <w:rFonts w:hint="eastAsia" w:eastAsia="仿宋_GB2312" w:cs="Times New Roman"/>
          <w:b/>
          <w:bCs/>
          <w:kern w:val="0"/>
          <w:sz w:val="28"/>
          <w:szCs w:val="28"/>
          <w:highlight w:val="none"/>
          <w:u w:val="single"/>
          <w:lang w:val="en-US" w:eastAsia="zh-CN"/>
        </w:rPr>
        <w:t>附图二:靠边边台</w:t>
      </w:r>
    </w:p>
    <w:p w14:paraId="6CCBE87D">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ascii="仿宋_GB2312" w:eastAsia="仿宋_GB2312"/>
          <w:kern w:val="0"/>
          <w:szCs w:val="21"/>
          <w:highlight w:val="none"/>
        </w:rPr>
      </w:pPr>
      <w:r>
        <w:rPr>
          <w:rFonts w:ascii="仿宋_GB2312" w:eastAsia="仿宋_GB2312"/>
          <w:kern w:val="0"/>
          <w:szCs w:val="21"/>
          <w:highlight w:val="none"/>
        </w:rPr>
        <w:drawing>
          <wp:inline distT="0" distB="0" distL="114300" distR="114300">
            <wp:extent cx="4352290" cy="3868420"/>
            <wp:effectExtent l="0" t="0" r="3810" b="5080"/>
            <wp:docPr id="5" name="图片 1" descr="ec2b950059e79390b68999049ccc1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ec2b950059e79390b68999049ccc19f"/>
                    <pic:cNvPicPr>
                      <a:picLocks noChangeAspect="1"/>
                    </pic:cNvPicPr>
                  </pic:nvPicPr>
                  <pic:blipFill>
                    <a:blip r:embed="rId23"/>
                    <a:stretch>
                      <a:fillRect/>
                    </a:stretch>
                  </pic:blipFill>
                  <pic:spPr>
                    <a:xfrm>
                      <a:off x="0" y="0"/>
                      <a:ext cx="4352290" cy="3868420"/>
                    </a:xfrm>
                    <a:prstGeom prst="rect">
                      <a:avLst/>
                    </a:prstGeom>
                    <a:noFill/>
                    <a:ln>
                      <a:noFill/>
                    </a:ln>
                  </pic:spPr>
                </pic:pic>
              </a:graphicData>
            </a:graphic>
          </wp:inline>
        </w:drawing>
      </w:r>
    </w:p>
    <w:p w14:paraId="38B9A056">
      <w:pPr>
        <w:keepNext w:val="0"/>
        <w:keepLines w:val="0"/>
        <w:pageBreakBefore w:val="0"/>
        <w:widowControl w:val="0"/>
        <w:kinsoku/>
        <w:wordWrap/>
        <w:overflowPunct/>
        <w:topLinePunct w:val="0"/>
        <w:autoSpaceDE/>
        <w:autoSpaceDN/>
        <w:bidi w:val="0"/>
        <w:adjustRightInd w:val="0"/>
        <w:ind w:firstLine="0" w:firstLineChars="0"/>
        <w:jc w:val="center"/>
        <w:textAlignment w:val="auto"/>
        <w:rPr>
          <w:rFonts w:hint="eastAsia" w:eastAsia="仿宋_GB2312" w:cs="Times New Roman"/>
          <w:b/>
          <w:bCs/>
          <w:kern w:val="0"/>
          <w:sz w:val="28"/>
          <w:szCs w:val="28"/>
          <w:highlight w:val="none"/>
          <w:u w:val="single"/>
          <w:lang w:val="en-US" w:eastAsia="zh-CN"/>
        </w:rPr>
      </w:pPr>
      <w:r>
        <w:rPr>
          <w:rFonts w:ascii="仿宋_GB2312" w:eastAsia="仿宋_GB2312"/>
          <w:kern w:val="0"/>
          <w:szCs w:val="21"/>
          <w:highlight w:val="none"/>
        </w:rPr>
        <w:br w:type="page"/>
      </w:r>
      <w:r>
        <w:rPr>
          <w:rFonts w:hint="eastAsia" w:eastAsia="仿宋_GB2312" w:cs="Times New Roman"/>
          <w:b/>
          <w:bCs/>
          <w:kern w:val="0"/>
          <w:sz w:val="28"/>
          <w:szCs w:val="28"/>
          <w:highlight w:val="none"/>
          <w:u w:val="single"/>
          <w:lang w:val="en-US" w:eastAsia="zh-CN"/>
        </w:rPr>
        <w:t>附图三:平面图</w:t>
      </w:r>
    </w:p>
    <w:p w14:paraId="74039282">
      <w:pPr>
        <w:keepNext w:val="0"/>
        <w:keepLines w:val="0"/>
        <w:pageBreakBefore w:val="0"/>
        <w:widowControl w:val="0"/>
        <w:numPr>
          <w:ilvl w:val="0"/>
          <w:numId w:val="0"/>
        </w:numPr>
        <w:kinsoku/>
        <w:wordWrap/>
        <w:overflowPunct/>
        <w:topLinePunct w:val="0"/>
        <w:autoSpaceDE/>
        <w:autoSpaceDN/>
        <w:bidi w:val="0"/>
        <w:adjustRightInd w:val="0"/>
        <w:ind w:firstLine="0" w:firstLineChars="0"/>
        <w:jc w:val="center"/>
        <w:textAlignment w:val="auto"/>
        <w:rPr>
          <w:rFonts w:hint="default"/>
          <w:highlight w:val="none"/>
          <w:lang w:val="en-US" w:eastAsia="zh-CN"/>
        </w:rPr>
      </w:pPr>
      <w:r>
        <w:rPr>
          <w:highlight w:val="none"/>
        </w:rPr>
        <w:drawing>
          <wp:inline distT="0" distB="0" distL="114300" distR="114300">
            <wp:extent cx="5906135" cy="8348345"/>
            <wp:effectExtent l="0" t="0" r="12065" b="8255"/>
            <wp:docPr id="6" name="图片 2" descr="一层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一层_1"/>
                    <pic:cNvPicPr>
                      <a:picLocks noChangeAspect="1"/>
                    </pic:cNvPicPr>
                  </pic:nvPicPr>
                  <pic:blipFill>
                    <a:blip r:embed="rId24"/>
                    <a:stretch>
                      <a:fillRect/>
                    </a:stretch>
                  </pic:blipFill>
                  <pic:spPr>
                    <a:xfrm>
                      <a:off x="0" y="0"/>
                      <a:ext cx="5906135" cy="8348345"/>
                    </a:xfrm>
                    <a:prstGeom prst="rect">
                      <a:avLst/>
                    </a:prstGeom>
                    <a:noFill/>
                    <a:ln>
                      <a:noFill/>
                    </a:ln>
                  </pic:spPr>
                </pic:pic>
              </a:graphicData>
            </a:graphic>
          </wp:inline>
        </w:drawing>
      </w:r>
    </w:p>
    <w:p w14:paraId="69DCDDB6">
      <w:pPr>
        <w:tabs>
          <w:tab w:val="left" w:pos="900"/>
        </w:tabs>
        <w:snapToGrid w:val="0"/>
        <w:spacing w:line="360" w:lineRule="auto"/>
        <w:ind w:firstLineChars="0"/>
        <w:jc w:val="center"/>
        <w:rPr>
          <w:rFonts w:hint="eastAsia" w:ascii="宋体" w:hAnsi="宋体" w:cs="宋体"/>
          <w:b w:val="0"/>
          <w:bCs w:val="0"/>
          <w:sz w:val="24"/>
          <w:highlight w:val="none"/>
          <w:lang w:val="zh-TW"/>
        </w:rPr>
        <w:sectPr>
          <w:pgSz w:w="11906" w:h="16838"/>
          <w:pgMar w:top="1440" w:right="1080" w:bottom="1440" w:left="1080" w:header="851" w:footer="851" w:gutter="0"/>
          <w:cols w:space="720" w:num="1"/>
          <w:docGrid w:linePitch="312" w:charSpace="0"/>
        </w:sectPr>
      </w:pPr>
    </w:p>
    <w:p w14:paraId="7FB12AFC">
      <w:pPr>
        <w:pStyle w:val="2"/>
        <w:rPr>
          <w:rFonts w:ascii="宋体" w:hAnsi="宋体" w:cs="宋体"/>
          <w:szCs w:val="36"/>
          <w:highlight w:val="none"/>
        </w:rPr>
      </w:pPr>
      <w:bookmarkStart w:id="41" w:name="_Toc184308093"/>
      <w:bookmarkEnd w:id="41"/>
      <w:bookmarkStart w:id="42" w:name="_Toc184314473"/>
      <w:bookmarkEnd w:id="42"/>
      <w:bookmarkStart w:id="43" w:name="_Toc184310342"/>
      <w:bookmarkEnd w:id="43"/>
      <w:bookmarkStart w:id="44" w:name="_Toc184312070"/>
      <w:bookmarkEnd w:id="44"/>
      <w:bookmarkStart w:id="45" w:name="_Toc184308106"/>
      <w:bookmarkEnd w:id="45"/>
      <w:bookmarkStart w:id="46" w:name="_Toc184312088"/>
      <w:bookmarkEnd w:id="46"/>
      <w:bookmarkStart w:id="47" w:name="_Toc184312082"/>
      <w:bookmarkEnd w:id="47"/>
      <w:bookmarkStart w:id="48" w:name="_Toc184314420"/>
      <w:bookmarkEnd w:id="48"/>
      <w:bookmarkStart w:id="49" w:name="_Toc184314441"/>
      <w:bookmarkEnd w:id="49"/>
      <w:bookmarkStart w:id="50" w:name="_Toc184312099"/>
      <w:bookmarkEnd w:id="50"/>
      <w:bookmarkStart w:id="51" w:name="_Toc184312077"/>
      <w:bookmarkEnd w:id="51"/>
      <w:bookmarkStart w:id="52" w:name="_Toc184313254"/>
      <w:bookmarkEnd w:id="52"/>
      <w:bookmarkStart w:id="53" w:name="_Toc184313257"/>
      <w:bookmarkEnd w:id="53"/>
      <w:bookmarkStart w:id="54" w:name="_Toc184312132"/>
      <w:bookmarkEnd w:id="54"/>
      <w:bookmarkStart w:id="55" w:name="_Toc184312139"/>
      <w:bookmarkEnd w:id="55"/>
      <w:bookmarkStart w:id="56" w:name="_Toc184310325"/>
      <w:bookmarkEnd w:id="56"/>
      <w:bookmarkStart w:id="57" w:name="_Toc184314426"/>
      <w:bookmarkEnd w:id="57"/>
      <w:bookmarkStart w:id="58" w:name="_Toc184314475"/>
      <w:bookmarkEnd w:id="58"/>
      <w:bookmarkStart w:id="59" w:name="_Toc184312101"/>
      <w:bookmarkEnd w:id="59"/>
      <w:bookmarkStart w:id="60" w:name="_Toc184308058"/>
      <w:bookmarkEnd w:id="60"/>
      <w:bookmarkStart w:id="61" w:name="_Toc184308046"/>
      <w:bookmarkEnd w:id="61"/>
      <w:bookmarkStart w:id="62" w:name="_Toc184310295"/>
      <w:bookmarkEnd w:id="62"/>
      <w:bookmarkStart w:id="63" w:name="_Toc184314471"/>
      <w:bookmarkEnd w:id="63"/>
      <w:bookmarkStart w:id="64" w:name="_Toc184314415"/>
      <w:bookmarkEnd w:id="64"/>
      <w:bookmarkStart w:id="65" w:name="_Toc184312090"/>
      <w:bookmarkEnd w:id="65"/>
      <w:bookmarkStart w:id="66" w:name="_Toc184310288"/>
      <w:bookmarkEnd w:id="66"/>
      <w:bookmarkStart w:id="67" w:name="_Toc184308105"/>
      <w:bookmarkEnd w:id="67"/>
      <w:bookmarkStart w:id="68" w:name="_Toc184313279"/>
      <w:bookmarkEnd w:id="68"/>
      <w:bookmarkStart w:id="69" w:name="_Toc184312100"/>
      <w:bookmarkEnd w:id="69"/>
      <w:bookmarkStart w:id="70" w:name="_Toc184312081"/>
      <w:bookmarkEnd w:id="70"/>
      <w:bookmarkStart w:id="71" w:name="_Toc184308082"/>
      <w:bookmarkEnd w:id="71"/>
      <w:bookmarkStart w:id="72" w:name="_Toc184310318"/>
      <w:bookmarkEnd w:id="72"/>
      <w:bookmarkStart w:id="73" w:name="_Toc184308043"/>
      <w:bookmarkEnd w:id="73"/>
      <w:bookmarkStart w:id="74" w:name="_Toc184313304"/>
      <w:bookmarkEnd w:id="74"/>
      <w:bookmarkStart w:id="75" w:name="_Toc184310308"/>
      <w:bookmarkEnd w:id="75"/>
      <w:bookmarkStart w:id="76" w:name="_Toc184312120"/>
      <w:bookmarkEnd w:id="76"/>
      <w:bookmarkStart w:id="77" w:name="_Toc184308073"/>
      <w:bookmarkEnd w:id="77"/>
      <w:bookmarkStart w:id="78" w:name="_Toc184314423"/>
      <w:bookmarkEnd w:id="78"/>
      <w:bookmarkStart w:id="79" w:name="_Toc184310327"/>
      <w:bookmarkEnd w:id="79"/>
      <w:bookmarkStart w:id="80" w:name="_Toc184314442"/>
      <w:bookmarkEnd w:id="80"/>
      <w:bookmarkStart w:id="81" w:name="_Toc184313284"/>
      <w:bookmarkEnd w:id="81"/>
      <w:bookmarkStart w:id="82" w:name="_Toc184313238"/>
      <w:bookmarkEnd w:id="82"/>
      <w:bookmarkStart w:id="83" w:name="_Toc184310293"/>
      <w:bookmarkEnd w:id="83"/>
      <w:bookmarkStart w:id="84" w:name="_Toc184313300"/>
      <w:bookmarkEnd w:id="84"/>
      <w:bookmarkStart w:id="85" w:name="_Toc184308039"/>
      <w:bookmarkEnd w:id="85"/>
      <w:bookmarkStart w:id="86" w:name="_Toc184310274"/>
      <w:bookmarkEnd w:id="86"/>
      <w:bookmarkStart w:id="87" w:name="_Toc184308057"/>
      <w:bookmarkEnd w:id="87"/>
      <w:bookmarkStart w:id="88" w:name="_Toc184313275"/>
      <w:bookmarkEnd w:id="88"/>
      <w:bookmarkStart w:id="89" w:name="_Toc184314432"/>
      <w:bookmarkEnd w:id="89"/>
      <w:bookmarkStart w:id="90" w:name="_Toc184313299"/>
      <w:bookmarkEnd w:id="90"/>
      <w:bookmarkStart w:id="91" w:name="_Toc184314474"/>
      <w:bookmarkEnd w:id="91"/>
      <w:bookmarkStart w:id="92" w:name="_Toc184314477"/>
      <w:bookmarkEnd w:id="92"/>
      <w:bookmarkStart w:id="93" w:name="_Toc184313286"/>
      <w:bookmarkEnd w:id="93"/>
      <w:bookmarkStart w:id="94" w:name="_Toc184313273"/>
      <w:bookmarkEnd w:id="94"/>
      <w:bookmarkStart w:id="95" w:name="_Toc184313267"/>
      <w:bookmarkEnd w:id="95"/>
      <w:bookmarkStart w:id="96" w:name="_Toc184314469"/>
      <w:bookmarkEnd w:id="96"/>
      <w:bookmarkStart w:id="97" w:name="_Toc184310300"/>
      <w:bookmarkEnd w:id="97"/>
      <w:bookmarkStart w:id="98" w:name="_Toc184308099"/>
      <w:bookmarkEnd w:id="98"/>
      <w:bookmarkStart w:id="99" w:name="_Toc184314434"/>
      <w:bookmarkEnd w:id="99"/>
      <w:bookmarkStart w:id="100" w:name="_Toc184312119"/>
      <w:bookmarkEnd w:id="100"/>
      <w:bookmarkStart w:id="101" w:name="_Toc184314428"/>
      <w:bookmarkEnd w:id="101"/>
      <w:bookmarkStart w:id="102" w:name="_Toc184310336"/>
      <w:bookmarkEnd w:id="102"/>
      <w:bookmarkStart w:id="103" w:name="_Toc184312089"/>
      <w:bookmarkEnd w:id="103"/>
      <w:bookmarkStart w:id="104" w:name="_Toc184308060"/>
      <w:bookmarkEnd w:id="104"/>
      <w:bookmarkStart w:id="105" w:name="_Toc184312073"/>
      <w:bookmarkEnd w:id="105"/>
      <w:bookmarkStart w:id="106" w:name="_Toc184308090"/>
      <w:bookmarkEnd w:id="106"/>
      <w:bookmarkStart w:id="107" w:name="_Toc184310313"/>
      <w:bookmarkEnd w:id="107"/>
      <w:bookmarkStart w:id="108" w:name="_Toc184313289"/>
      <w:bookmarkEnd w:id="108"/>
      <w:bookmarkStart w:id="109" w:name="_Toc184314417"/>
      <w:bookmarkEnd w:id="109"/>
      <w:bookmarkStart w:id="110" w:name="_Toc184314437"/>
      <w:bookmarkEnd w:id="110"/>
      <w:bookmarkStart w:id="111" w:name="_Toc184312138"/>
      <w:bookmarkEnd w:id="111"/>
      <w:bookmarkStart w:id="112" w:name="_Toc184314439"/>
      <w:bookmarkEnd w:id="112"/>
      <w:bookmarkStart w:id="113" w:name="_Toc184308064"/>
      <w:bookmarkEnd w:id="113"/>
      <w:bookmarkStart w:id="114" w:name="_Toc184308094"/>
      <w:bookmarkEnd w:id="114"/>
      <w:bookmarkStart w:id="115" w:name="_Toc184308067"/>
      <w:bookmarkEnd w:id="115"/>
      <w:bookmarkStart w:id="116" w:name="_Toc184313266"/>
      <w:bookmarkEnd w:id="116"/>
      <w:bookmarkStart w:id="117" w:name="_Toc184312072"/>
      <w:bookmarkEnd w:id="117"/>
      <w:bookmarkStart w:id="118" w:name="_Toc184308078"/>
      <w:bookmarkEnd w:id="118"/>
      <w:bookmarkStart w:id="119" w:name="_Toc184314482"/>
      <w:bookmarkEnd w:id="119"/>
      <w:bookmarkStart w:id="120" w:name="_Toc184308055"/>
      <w:bookmarkEnd w:id="120"/>
      <w:bookmarkStart w:id="121" w:name="_Toc184308096"/>
      <w:bookmarkEnd w:id="121"/>
      <w:bookmarkStart w:id="122" w:name="_Toc184308107"/>
      <w:bookmarkEnd w:id="122"/>
      <w:bookmarkStart w:id="123" w:name="_Toc184313274"/>
      <w:bookmarkEnd w:id="123"/>
      <w:bookmarkStart w:id="124" w:name="_Toc184310297"/>
      <w:bookmarkEnd w:id="124"/>
      <w:bookmarkStart w:id="125" w:name="_Toc184308088"/>
      <w:bookmarkEnd w:id="125"/>
      <w:bookmarkStart w:id="126" w:name="_Toc184308051"/>
      <w:bookmarkEnd w:id="126"/>
      <w:bookmarkStart w:id="127" w:name="_Toc184308040"/>
      <w:bookmarkEnd w:id="127"/>
      <w:bookmarkStart w:id="128" w:name="_Toc184308037"/>
      <w:bookmarkEnd w:id="128"/>
      <w:bookmarkStart w:id="129" w:name="_Toc184314438"/>
      <w:bookmarkEnd w:id="129"/>
      <w:bookmarkStart w:id="130" w:name="_Toc184308038"/>
      <w:bookmarkEnd w:id="130"/>
      <w:bookmarkStart w:id="131" w:name="_Toc184314443"/>
      <w:bookmarkEnd w:id="131"/>
      <w:bookmarkStart w:id="132" w:name="_Toc184314452"/>
      <w:bookmarkEnd w:id="132"/>
      <w:bookmarkStart w:id="133" w:name="_Toc184310279"/>
      <w:bookmarkEnd w:id="133"/>
      <w:bookmarkStart w:id="134" w:name="_Toc184313276"/>
      <w:bookmarkEnd w:id="134"/>
      <w:bookmarkStart w:id="135" w:name="_Toc184312129"/>
      <w:bookmarkEnd w:id="135"/>
      <w:bookmarkStart w:id="136" w:name="_Toc184308072"/>
      <w:bookmarkEnd w:id="136"/>
      <w:bookmarkStart w:id="137" w:name="_Toc184312105"/>
      <w:bookmarkEnd w:id="137"/>
      <w:bookmarkStart w:id="138" w:name="_Toc184312113"/>
      <w:bookmarkEnd w:id="138"/>
      <w:bookmarkStart w:id="139" w:name="_Toc184313294"/>
      <w:bookmarkEnd w:id="139"/>
      <w:bookmarkStart w:id="140" w:name="_Toc184308066"/>
      <w:bookmarkEnd w:id="140"/>
      <w:bookmarkStart w:id="141" w:name="_Toc184313268"/>
      <w:bookmarkEnd w:id="141"/>
      <w:bookmarkStart w:id="142" w:name="_Toc184314435"/>
      <w:bookmarkEnd w:id="142"/>
      <w:bookmarkStart w:id="143" w:name="_Toc184314431"/>
      <w:bookmarkEnd w:id="143"/>
      <w:bookmarkStart w:id="144" w:name="_Toc184312083"/>
      <w:bookmarkEnd w:id="144"/>
      <w:bookmarkStart w:id="145" w:name="_Toc184308068"/>
      <w:bookmarkEnd w:id="145"/>
      <w:bookmarkStart w:id="146" w:name="_Toc184310340"/>
      <w:bookmarkEnd w:id="146"/>
      <w:bookmarkStart w:id="147" w:name="_Toc184312104"/>
      <w:bookmarkEnd w:id="147"/>
      <w:bookmarkStart w:id="148" w:name="_Toc184310294"/>
      <w:bookmarkEnd w:id="148"/>
      <w:bookmarkStart w:id="149" w:name="_Toc184308049"/>
      <w:bookmarkEnd w:id="149"/>
      <w:bookmarkStart w:id="150" w:name="_Toc184312125"/>
      <w:bookmarkEnd w:id="150"/>
      <w:bookmarkStart w:id="151" w:name="_Toc184314451"/>
      <w:bookmarkEnd w:id="151"/>
      <w:bookmarkStart w:id="152" w:name="_Toc184308052"/>
      <w:bookmarkEnd w:id="152"/>
      <w:bookmarkStart w:id="153" w:name="_Toc184313293"/>
      <w:bookmarkEnd w:id="153"/>
      <w:bookmarkStart w:id="154" w:name="_Toc184312121"/>
      <w:bookmarkEnd w:id="154"/>
      <w:bookmarkStart w:id="155" w:name="_Toc184310280"/>
      <w:bookmarkEnd w:id="155"/>
      <w:bookmarkStart w:id="156" w:name="_Toc184312126"/>
      <w:bookmarkEnd w:id="156"/>
      <w:bookmarkStart w:id="157" w:name="_Toc184312135"/>
      <w:bookmarkEnd w:id="157"/>
      <w:bookmarkStart w:id="158" w:name="_Toc184312093"/>
      <w:bookmarkEnd w:id="158"/>
      <w:bookmarkStart w:id="159" w:name="_Toc184314450"/>
      <w:bookmarkEnd w:id="159"/>
      <w:bookmarkStart w:id="160" w:name="_Toc184310306"/>
      <w:bookmarkEnd w:id="160"/>
      <w:bookmarkStart w:id="161" w:name="_Toc184313287"/>
      <w:bookmarkEnd w:id="161"/>
      <w:bookmarkStart w:id="162" w:name="_Toc184308045"/>
      <w:bookmarkEnd w:id="162"/>
      <w:bookmarkStart w:id="163" w:name="_Toc184313283"/>
      <w:bookmarkEnd w:id="163"/>
      <w:bookmarkStart w:id="164" w:name="_Toc184314448"/>
      <w:bookmarkEnd w:id="164"/>
      <w:bookmarkStart w:id="165" w:name="_Toc184310331"/>
      <w:bookmarkEnd w:id="165"/>
      <w:bookmarkStart w:id="166" w:name="_Toc184308062"/>
      <w:bookmarkEnd w:id="166"/>
      <w:bookmarkStart w:id="167" w:name="_Toc184308061"/>
      <w:bookmarkEnd w:id="167"/>
      <w:bookmarkStart w:id="168" w:name="_Toc184313259"/>
      <w:bookmarkEnd w:id="168"/>
      <w:bookmarkStart w:id="169" w:name="_Toc184313292"/>
      <w:bookmarkEnd w:id="169"/>
      <w:bookmarkStart w:id="170" w:name="_Toc184314418"/>
      <w:bookmarkEnd w:id="170"/>
      <w:bookmarkStart w:id="171" w:name="_Toc184308050"/>
      <w:bookmarkEnd w:id="171"/>
      <w:bookmarkStart w:id="172" w:name="_Toc184314478"/>
      <w:bookmarkEnd w:id="172"/>
      <w:bookmarkStart w:id="173" w:name="_Toc184314470"/>
      <w:bookmarkEnd w:id="173"/>
      <w:bookmarkStart w:id="174" w:name="_Toc184308103"/>
      <w:bookmarkEnd w:id="174"/>
      <w:bookmarkStart w:id="175" w:name="_Toc184308101"/>
      <w:bookmarkEnd w:id="175"/>
      <w:bookmarkStart w:id="176" w:name="_Toc184313301"/>
      <w:bookmarkEnd w:id="176"/>
      <w:bookmarkStart w:id="177" w:name="_Toc184310317"/>
      <w:bookmarkEnd w:id="177"/>
      <w:bookmarkStart w:id="178" w:name="_Toc184313271"/>
      <w:bookmarkEnd w:id="178"/>
      <w:bookmarkStart w:id="179" w:name="_Toc184314425"/>
      <w:bookmarkEnd w:id="179"/>
      <w:bookmarkStart w:id="180" w:name="_Toc184308041"/>
      <w:bookmarkEnd w:id="180"/>
      <w:bookmarkStart w:id="181" w:name="_Toc184308104"/>
      <w:bookmarkEnd w:id="181"/>
      <w:bookmarkStart w:id="182" w:name="_Toc184312116"/>
      <w:bookmarkEnd w:id="182"/>
      <w:bookmarkStart w:id="183" w:name="_Toc184312091"/>
      <w:bookmarkEnd w:id="183"/>
      <w:bookmarkStart w:id="184" w:name="_Toc184312109"/>
      <w:bookmarkEnd w:id="184"/>
      <w:bookmarkStart w:id="185" w:name="_Toc184314419"/>
      <w:bookmarkEnd w:id="185"/>
      <w:bookmarkStart w:id="186" w:name="_Toc184312108"/>
      <w:bookmarkEnd w:id="186"/>
      <w:bookmarkStart w:id="187" w:name="_Toc184310328"/>
      <w:bookmarkEnd w:id="187"/>
      <w:bookmarkStart w:id="188" w:name="_Toc184314459"/>
      <w:bookmarkEnd w:id="188"/>
      <w:bookmarkStart w:id="189" w:name="_Toc184313258"/>
      <w:bookmarkEnd w:id="189"/>
      <w:bookmarkStart w:id="190" w:name="_Toc184310330"/>
      <w:bookmarkEnd w:id="190"/>
      <w:bookmarkStart w:id="191" w:name="_Toc184312092"/>
      <w:bookmarkEnd w:id="191"/>
      <w:bookmarkStart w:id="192" w:name="_Toc184314436"/>
      <w:bookmarkEnd w:id="192"/>
      <w:bookmarkStart w:id="193" w:name="_Toc184312112"/>
      <w:bookmarkEnd w:id="193"/>
      <w:bookmarkStart w:id="194" w:name="_Toc184314411"/>
      <w:bookmarkEnd w:id="194"/>
      <w:bookmarkStart w:id="195" w:name="_Toc184314422"/>
      <w:bookmarkEnd w:id="195"/>
      <w:bookmarkStart w:id="196" w:name="_Toc184310289"/>
      <w:bookmarkEnd w:id="196"/>
      <w:bookmarkStart w:id="197" w:name="_Toc184313247"/>
      <w:bookmarkEnd w:id="197"/>
      <w:bookmarkStart w:id="198" w:name="_Toc184314464"/>
      <w:bookmarkEnd w:id="198"/>
      <w:bookmarkStart w:id="199" w:name="_Toc184308108"/>
      <w:bookmarkEnd w:id="199"/>
      <w:bookmarkStart w:id="200" w:name="_Toc184308070"/>
      <w:bookmarkEnd w:id="200"/>
      <w:bookmarkStart w:id="201" w:name="_Toc184308069"/>
      <w:bookmarkEnd w:id="201"/>
      <w:bookmarkStart w:id="202" w:name="_Toc184313263"/>
      <w:bookmarkEnd w:id="202"/>
      <w:bookmarkStart w:id="203" w:name="_Toc184312086"/>
      <w:bookmarkEnd w:id="203"/>
      <w:bookmarkStart w:id="204" w:name="_Toc184312085"/>
      <w:bookmarkEnd w:id="204"/>
      <w:bookmarkStart w:id="205" w:name="_Toc184313305"/>
      <w:bookmarkEnd w:id="205"/>
      <w:bookmarkStart w:id="206" w:name="_Toc184313243"/>
      <w:bookmarkEnd w:id="206"/>
      <w:bookmarkStart w:id="207" w:name="_Toc184313281"/>
      <w:bookmarkEnd w:id="207"/>
      <w:bookmarkStart w:id="208" w:name="_Toc184308097"/>
      <w:bookmarkEnd w:id="208"/>
      <w:bookmarkStart w:id="209" w:name="_Toc184313303"/>
      <w:bookmarkEnd w:id="209"/>
      <w:bookmarkStart w:id="210" w:name="_Toc184310284"/>
      <w:bookmarkEnd w:id="210"/>
      <w:bookmarkStart w:id="211" w:name="_Toc184314463"/>
      <w:bookmarkEnd w:id="211"/>
      <w:bookmarkStart w:id="212" w:name="_Toc184310307"/>
      <w:bookmarkEnd w:id="212"/>
      <w:bookmarkStart w:id="213" w:name="_Toc184312094"/>
      <w:bookmarkEnd w:id="213"/>
      <w:bookmarkStart w:id="214" w:name="_Toc184308056"/>
      <w:bookmarkEnd w:id="214"/>
      <w:bookmarkStart w:id="215" w:name="_Toc184314446"/>
      <w:bookmarkEnd w:id="215"/>
      <w:bookmarkStart w:id="216" w:name="_Toc184313245"/>
      <w:bookmarkEnd w:id="216"/>
      <w:bookmarkStart w:id="217" w:name="_Toc184308085"/>
      <w:bookmarkEnd w:id="217"/>
      <w:bookmarkStart w:id="218" w:name="_Toc184313253"/>
      <w:bookmarkEnd w:id="218"/>
      <w:bookmarkStart w:id="219" w:name="_Toc184314421"/>
      <w:bookmarkEnd w:id="219"/>
      <w:bookmarkStart w:id="220" w:name="_Toc184310305"/>
      <w:bookmarkEnd w:id="220"/>
      <w:bookmarkStart w:id="221" w:name="_Toc184312068"/>
      <w:bookmarkEnd w:id="221"/>
      <w:bookmarkStart w:id="222" w:name="_Toc184312130"/>
      <w:bookmarkEnd w:id="222"/>
      <w:bookmarkStart w:id="223" w:name="_Toc184308083"/>
      <w:bookmarkEnd w:id="223"/>
      <w:bookmarkStart w:id="224" w:name="_Toc184314476"/>
      <w:bookmarkEnd w:id="224"/>
      <w:bookmarkStart w:id="225" w:name="_Toc184314455"/>
      <w:bookmarkEnd w:id="225"/>
      <w:bookmarkStart w:id="226" w:name="_Toc184313260"/>
      <w:bookmarkEnd w:id="226"/>
      <w:bookmarkStart w:id="227" w:name="_Toc184313249"/>
      <w:bookmarkEnd w:id="227"/>
      <w:bookmarkStart w:id="228" w:name="_Toc184314433"/>
      <w:bookmarkEnd w:id="228"/>
      <w:bookmarkStart w:id="229" w:name="_Toc184313252"/>
      <w:bookmarkEnd w:id="229"/>
      <w:bookmarkStart w:id="230" w:name="_Toc184310277"/>
      <w:bookmarkEnd w:id="230"/>
      <w:bookmarkStart w:id="231" w:name="_Toc184310285"/>
      <w:bookmarkEnd w:id="231"/>
      <w:bookmarkStart w:id="232" w:name="_Toc184308053"/>
      <w:bookmarkEnd w:id="232"/>
      <w:bookmarkStart w:id="233" w:name="_Toc184314410"/>
      <w:bookmarkEnd w:id="233"/>
      <w:bookmarkStart w:id="234" w:name="_Toc184310329"/>
      <w:bookmarkEnd w:id="234"/>
      <w:bookmarkStart w:id="235" w:name="_Toc184310299"/>
      <w:bookmarkEnd w:id="235"/>
      <w:bookmarkStart w:id="236" w:name="_Toc184314447"/>
      <w:bookmarkEnd w:id="236"/>
      <w:bookmarkStart w:id="237" w:name="_Toc184313265"/>
      <w:bookmarkEnd w:id="237"/>
      <w:bookmarkStart w:id="238" w:name="_Toc184313270"/>
      <w:bookmarkEnd w:id="238"/>
      <w:bookmarkStart w:id="239" w:name="_Toc184308098"/>
      <w:bookmarkEnd w:id="239"/>
      <w:bookmarkStart w:id="240" w:name="_Toc184313250"/>
      <w:bookmarkEnd w:id="240"/>
      <w:bookmarkStart w:id="241" w:name="_Toc184313239"/>
      <w:bookmarkEnd w:id="241"/>
      <w:bookmarkStart w:id="242" w:name="_Toc184312103"/>
      <w:bookmarkEnd w:id="242"/>
      <w:bookmarkStart w:id="243" w:name="_Toc184310344"/>
      <w:bookmarkEnd w:id="243"/>
      <w:bookmarkStart w:id="244" w:name="_Toc184308065"/>
      <w:bookmarkEnd w:id="244"/>
      <w:bookmarkStart w:id="245" w:name="_Toc184312136"/>
      <w:bookmarkEnd w:id="245"/>
      <w:bookmarkStart w:id="246" w:name="_Toc184313240"/>
      <w:bookmarkEnd w:id="246"/>
      <w:bookmarkStart w:id="247" w:name="_Toc184313298"/>
      <w:bookmarkEnd w:id="247"/>
      <w:bookmarkStart w:id="248" w:name="_Toc184308044"/>
      <w:bookmarkEnd w:id="248"/>
      <w:bookmarkStart w:id="249" w:name="_Toc184312131"/>
      <w:bookmarkEnd w:id="249"/>
      <w:bookmarkStart w:id="250" w:name="_Toc184310283"/>
      <w:bookmarkEnd w:id="250"/>
      <w:bookmarkStart w:id="251" w:name="_Toc184314461"/>
      <w:bookmarkEnd w:id="251"/>
      <w:bookmarkStart w:id="252" w:name="_Toc184312128"/>
      <w:bookmarkEnd w:id="252"/>
      <w:bookmarkStart w:id="253" w:name="_Toc184310324"/>
      <w:bookmarkEnd w:id="253"/>
      <w:bookmarkStart w:id="254" w:name="_Toc184313282"/>
      <w:bookmarkEnd w:id="254"/>
      <w:bookmarkStart w:id="255" w:name="_Toc184308092"/>
      <w:bookmarkEnd w:id="255"/>
      <w:bookmarkStart w:id="256" w:name="_Toc184312095"/>
      <w:bookmarkEnd w:id="256"/>
      <w:bookmarkStart w:id="257" w:name="_Toc184308076"/>
      <w:bookmarkEnd w:id="257"/>
      <w:bookmarkStart w:id="258" w:name="_Toc184312110"/>
      <w:bookmarkEnd w:id="258"/>
      <w:bookmarkStart w:id="259" w:name="_Toc184308063"/>
      <w:bookmarkEnd w:id="259"/>
      <w:bookmarkStart w:id="260" w:name="_Toc184310298"/>
      <w:bookmarkEnd w:id="260"/>
      <w:bookmarkStart w:id="261" w:name="_Toc184312084"/>
      <w:bookmarkEnd w:id="261"/>
      <w:bookmarkStart w:id="262" w:name="_Toc184310292"/>
      <w:bookmarkEnd w:id="262"/>
      <w:bookmarkStart w:id="263" w:name="_Toc184312078"/>
      <w:bookmarkEnd w:id="263"/>
      <w:bookmarkStart w:id="264" w:name="_Toc184314412"/>
      <w:bookmarkEnd w:id="264"/>
      <w:bookmarkStart w:id="265" w:name="_Toc184313272"/>
      <w:bookmarkEnd w:id="265"/>
      <w:bookmarkStart w:id="266" w:name="_Toc184310272"/>
      <w:bookmarkEnd w:id="266"/>
      <w:bookmarkStart w:id="267" w:name="_Toc184310281"/>
      <w:bookmarkEnd w:id="267"/>
      <w:bookmarkStart w:id="268" w:name="_Toc184310334"/>
      <w:bookmarkEnd w:id="268"/>
      <w:bookmarkStart w:id="269" w:name="_Toc184310332"/>
      <w:bookmarkEnd w:id="269"/>
      <w:bookmarkStart w:id="270" w:name="_Toc184310275"/>
      <w:bookmarkEnd w:id="270"/>
      <w:bookmarkStart w:id="271" w:name="_Toc184313248"/>
      <w:bookmarkEnd w:id="271"/>
      <w:bookmarkStart w:id="272" w:name="_Toc184312102"/>
      <w:bookmarkEnd w:id="272"/>
      <w:bookmarkStart w:id="273" w:name="_Toc184312097"/>
      <w:bookmarkEnd w:id="273"/>
      <w:bookmarkStart w:id="274" w:name="_Toc184310314"/>
      <w:bookmarkEnd w:id="274"/>
      <w:bookmarkStart w:id="275" w:name="_Toc184312069"/>
      <w:bookmarkEnd w:id="275"/>
      <w:bookmarkStart w:id="276" w:name="_Toc184314430"/>
      <w:bookmarkEnd w:id="276"/>
      <w:bookmarkStart w:id="277" w:name="_Toc184314466"/>
      <w:bookmarkEnd w:id="277"/>
      <w:bookmarkStart w:id="278" w:name="_Toc184308081"/>
      <w:bookmarkEnd w:id="278"/>
      <w:bookmarkStart w:id="279" w:name="_Toc184314424"/>
      <w:bookmarkEnd w:id="279"/>
      <w:bookmarkStart w:id="280" w:name="_Toc184312127"/>
      <w:bookmarkEnd w:id="280"/>
      <w:bookmarkStart w:id="281" w:name="_Toc184314472"/>
      <w:bookmarkEnd w:id="281"/>
      <w:bookmarkStart w:id="282" w:name="_Toc184314456"/>
      <w:bookmarkEnd w:id="282"/>
      <w:bookmarkStart w:id="283" w:name="_Toc184312124"/>
      <w:bookmarkEnd w:id="283"/>
      <w:bookmarkStart w:id="284" w:name="_Toc184313269"/>
      <w:bookmarkEnd w:id="284"/>
      <w:bookmarkStart w:id="285" w:name="_Toc184308074"/>
      <w:bookmarkEnd w:id="285"/>
      <w:bookmarkStart w:id="286" w:name="_Toc184310326"/>
      <w:bookmarkEnd w:id="286"/>
      <w:bookmarkStart w:id="287" w:name="_Toc184308091"/>
      <w:bookmarkEnd w:id="287"/>
      <w:bookmarkStart w:id="288" w:name="_Toc184308075"/>
      <w:bookmarkEnd w:id="288"/>
      <w:bookmarkStart w:id="289" w:name="_Toc184312134"/>
      <w:bookmarkEnd w:id="289"/>
      <w:bookmarkStart w:id="290" w:name="_Toc184308054"/>
      <w:bookmarkEnd w:id="290"/>
      <w:bookmarkStart w:id="291" w:name="_Toc184312098"/>
      <w:bookmarkEnd w:id="291"/>
      <w:bookmarkStart w:id="292" w:name="_Toc184308079"/>
      <w:bookmarkEnd w:id="292"/>
      <w:bookmarkStart w:id="293" w:name="_Toc184312075"/>
      <w:bookmarkEnd w:id="293"/>
      <w:bookmarkStart w:id="294" w:name="_Toc184310282"/>
      <w:bookmarkEnd w:id="294"/>
      <w:bookmarkStart w:id="295" w:name="_Toc184312076"/>
      <w:bookmarkEnd w:id="295"/>
      <w:bookmarkStart w:id="296" w:name="_Toc184310316"/>
      <w:bookmarkEnd w:id="296"/>
      <w:bookmarkStart w:id="297" w:name="_Toc184313242"/>
      <w:bookmarkEnd w:id="297"/>
      <w:bookmarkStart w:id="298" w:name="_Toc184314479"/>
      <w:bookmarkEnd w:id="298"/>
      <w:bookmarkStart w:id="299" w:name="_Toc184314468"/>
      <w:bookmarkEnd w:id="299"/>
      <w:bookmarkStart w:id="300" w:name="_Toc184310320"/>
      <w:bookmarkEnd w:id="300"/>
      <w:bookmarkStart w:id="301" w:name="_Toc184313255"/>
      <w:bookmarkEnd w:id="301"/>
      <w:bookmarkStart w:id="302" w:name="_Toc184313296"/>
      <w:bookmarkEnd w:id="302"/>
      <w:bookmarkStart w:id="303" w:name="_Toc184312067"/>
      <w:bookmarkEnd w:id="303"/>
      <w:bookmarkStart w:id="304" w:name="_Toc184308071"/>
      <w:bookmarkEnd w:id="304"/>
      <w:bookmarkStart w:id="305" w:name="_Toc184308102"/>
      <w:bookmarkEnd w:id="305"/>
      <w:bookmarkStart w:id="306" w:name="_Toc184313306"/>
      <w:bookmarkEnd w:id="306"/>
      <w:bookmarkStart w:id="307" w:name="_Toc184314481"/>
      <w:bookmarkEnd w:id="307"/>
      <w:bookmarkStart w:id="308" w:name="_Toc184310311"/>
      <w:bookmarkEnd w:id="308"/>
      <w:bookmarkStart w:id="309" w:name="_Toc184313251"/>
      <w:bookmarkEnd w:id="309"/>
      <w:bookmarkStart w:id="310" w:name="_Toc184314457"/>
      <w:bookmarkEnd w:id="310"/>
      <w:bookmarkStart w:id="311" w:name="_Toc184312080"/>
      <w:bookmarkEnd w:id="311"/>
      <w:bookmarkStart w:id="312" w:name="_Toc184308087"/>
      <w:bookmarkEnd w:id="312"/>
      <w:bookmarkStart w:id="313" w:name="_Toc184314444"/>
      <w:bookmarkEnd w:id="313"/>
      <w:bookmarkStart w:id="314" w:name="_Toc184314465"/>
      <w:bookmarkEnd w:id="314"/>
      <w:bookmarkStart w:id="315" w:name="_Toc184313246"/>
      <w:bookmarkEnd w:id="315"/>
      <w:bookmarkStart w:id="316" w:name="_Toc184313241"/>
      <w:bookmarkEnd w:id="316"/>
      <w:bookmarkStart w:id="317" w:name="_Toc184312123"/>
      <w:bookmarkEnd w:id="317"/>
      <w:bookmarkStart w:id="318" w:name="_Toc184314413"/>
      <w:bookmarkEnd w:id="318"/>
      <w:bookmarkStart w:id="319" w:name="_Toc184314440"/>
      <w:bookmarkEnd w:id="319"/>
      <w:bookmarkStart w:id="320" w:name="_Toc184312115"/>
      <w:bookmarkEnd w:id="320"/>
      <w:bookmarkStart w:id="321" w:name="_Toc184314458"/>
      <w:bookmarkEnd w:id="321"/>
      <w:bookmarkStart w:id="322" w:name="_Toc184313297"/>
      <w:bookmarkEnd w:id="322"/>
      <w:bookmarkStart w:id="323" w:name="_Toc184310302"/>
      <w:bookmarkEnd w:id="323"/>
      <w:bookmarkStart w:id="324" w:name="_Toc184310303"/>
      <w:bookmarkEnd w:id="324"/>
      <w:bookmarkStart w:id="325" w:name="_Toc184310291"/>
      <w:bookmarkEnd w:id="325"/>
      <w:bookmarkStart w:id="326" w:name="_Toc184312096"/>
      <w:bookmarkEnd w:id="326"/>
      <w:bookmarkStart w:id="327" w:name="_Toc184312087"/>
      <w:bookmarkEnd w:id="327"/>
      <w:bookmarkStart w:id="328" w:name="_Toc184308084"/>
      <w:bookmarkEnd w:id="328"/>
      <w:bookmarkStart w:id="329" w:name="_Toc184313291"/>
      <w:bookmarkEnd w:id="329"/>
      <w:bookmarkStart w:id="330" w:name="_Toc184313290"/>
      <w:bookmarkEnd w:id="330"/>
      <w:bookmarkStart w:id="331" w:name="_Toc184314453"/>
      <w:bookmarkEnd w:id="331"/>
      <w:bookmarkStart w:id="332" w:name="_Toc184308100"/>
      <w:bookmarkEnd w:id="332"/>
      <w:bookmarkStart w:id="333" w:name="_Toc184308059"/>
      <w:bookmarkEnd w:id="333"/>
      <w:bookmarkStart w:id="334" w:name="_Toc184313288"/>
      <w:bookmarkEnd w:id="334"/>
      <w:bookmarkStart w:id="335" w:name="_Toc184314462"/>
      <w:bookmarkEnd w:id="335"/>
      <w:bookmarkStart w:id="336" w:name="_Toc184310315"/>
      <w:bookmarkEnd w:id="336"/>
      <w:bookmarkStart w:id="337" w:name="_Toc184312106"/>
      <w:bookmarkEnd w:id="337"/>
      <w:bookmarkStart w:id="338" w:name="_Toc184312079"/>
      <w:bookmarkEnd w:id="338"/>
      <w:bookmarkStart w:id="339" w:name="_Toc184310296"/>
      <w:bookmarkEnd w:id="339"/>
      <w:bookmarkStart w:id="340" w:name="_Toc184312118"/>
      <w:bookmarkEnd w:id="340"/>
      <w:bookmarkStart w:id="341" w:name="_Toc184310286"/>
      <w:bookmarkEnd w:id="341"/>
      <w:bookmarkStart w:id="342" w:name="_Toc184310304"/>
      <w:bookmarkEnd w:id="342"/>
      <w:bookmarkStart w:id="343" w:name="_Toc184312137"/>
      <w:bookmarkEnd w:id="343"/>
      <w:bookmarkStart w:id="344" w:name="_Toc184310301"/>
      <w:bookmarkEnd w:id="344"/>
      <w:bookmarkStart w:id="345" w:name="_Toc184312122"/>
      <w:bookmarkEnd w:id="345"/>
      <w:bookmarkStart w:id="346" w:name="_Toc184313280"/>
      <w:bookmarkEnd w:id="346"/>
      <w:bookmarkStart w:id="347" w:name="_Toc184310343"/>
      <w:bookmarkEnd w:id="347"/>
      <w:bookmarkStart w:id="348" w:name="_Toc184308042"/>
      <w:bookmarkEnd w:id="348"/>
      <w:bookmarkStart w:id="349" w:name="_Toc184310338"/>
      <w:bookmarkEnd w:id="349"/>
      <w:bookmarkStart w:id="350" w:name="_Toc184313278"/>
      <w:bookmarkEnd w:id="350"/>
      <w:bookmarkStart w:id="351" w:name="_Toc184314427"/>
      <w:bookmarkEnd w:id="351"/>
      <w:bookmarkStart w:id="352" w:name="_Toc184314467"/>
      <w:bookmarkEnd w:id="352"/>
      <w:bookmarkStart w:id="353" w:name="_Toc184312133"/>
      <w:bookmarkEnd w:id="353"/>
      <w:bookmarkStart w:id="354" w:name="_Toc184313244"/>
      <w:bookmarkEnd w:id="354"/>
      <w:bookmarkStart w:id="355" w:name="_Toc184314414"/>
      <w:bookmarkEnd w:id="355"/>
      <w:bookmarkStart w:id="356" w:name="_Toc184308048"/>
      <w:bookmarkEnd w:id="356"/>
      <w:bookmarkStart w:id="357" w:name="_Toc184308036"/>
      <w:bookmarkEnd w:id="357"/>
      <w:bookmarkStart w:id="358" w:name="_Toc184310310"/>
      <w:bookmarkEnd w:id="358"/>
      <w:bookmarkStart w:id="359" w:name="_Toc184308095"/>
      <w:bookmarkEnd w:id="359"/>
      <w:bookmarkStart w:id="360" w:name="_Toc184310339"/>
      <w:bookmarkEnd w:id="360"/>
      <w:bookmarkStart w:id="361" w:name="_Toc184310309"/>
      <w:bookmarkEnd w:id="361"/>
      <w:bookmarkStart w:id="362" w:name="_Toc184313256"/>
      <w:bookmarkEnd w:id="362"/>
      <w:bookmarkStart w:id="363" w:name="_Toc184312107"/>
      <w:bookmarkEnd w:id="363"/>
      <w:bookmarkStart w:id="364" w:name="_Toc184308077"/>
      <w:bookmarkEnd w:id="364"/>
      <w:bookmarkStart w:id="365" w:name="_Toc184310321"/>
      <w:bookmarkEnd w:id="365"/>
      <w:bookmarkStart w:id="366" w:name="_Toc184308089"/>
      <w:bookmarkEnd w:id="366"/>
      <w:bookmarkStart w:id="367" w:name="_Toc184313307"/>
      <w:bookmarkEnd w:id="367"/>
      <w:bookmarkStart w:id="368" w:name="_Toc184314454"/>
      <w:bookmarkEnd w:id="368"/>
      <w:bookmarkStart w:id="369" w:name="_Toc184308086"/>
      <w:bookmarkEnd w:id="369"/>
      <w:bookmarkStart w:id="370" w:name="_Toc184314480"/>
      <w:bookmarkEnd w:id="370"/>
      <w:bookmarkStart w:id="371" w:name="_Toc184312114"/>
      <w:bookmarkEnd w:id="371"/>
      <w:bookmarkStart w:id="372" w:name="_Toc184310333"/>
      <w:bookmarkEnd w:id="372"/>
      <w:bookmarkStart w:id="373" w:name="_Toc184313310"/>
      <w:bookmarkEnd w:id="373"/>
      <w:bookmarkStart w:id="374" w:name="_Toc184310276"/>
      <w:bookmarkEnd w:id="374"/>
      <w:bookmarkStart w:id="375" w:name="_Toc184310319"/>
      <w:bookmarkEnd w:id="375"/>
      <w:bookmarkStart w:id="376" w:name="_Toc184314460"/>
      <w:bookmarkEnd w:id="376"/>
      <w:bookmarkStart w:id="377" w:name="_Toc184313264"/>
      <w:bookmarkEnd w:id="377"/>
      <w:bookmarkStart w:id="378" w:name="_Toc184313277"/>
      <w:bookmarkEnd w:id="378"/>
      <w:bookmarkStart w:id="379" w:name="_Toc184308047"/>
      <w:bookmarkEnd w:id="379"/>
      <w:bookmarkStart w:id="380" w:name="_Toc184310290"/>
      <w:bookmarkEnd w:id="380"/>
      <w:bookmarkStart w:id="381" w:name="_Toc184313295"/>
      <w:bookmarkEnd w:id="381"/>
      <w:bookmarkStart w:id="382" w:name="_Toc184313262"/>
      <w:bookmarkEnd w:id="382"/>
      <w:bookmarkStart w:id="383" w:name="_Toc184314449"/>
      <w:bookmarkEnd w:id="383"/>
      <w:bookmarkStart w:id="384" w:name="_Toc184310335"/>
      <w:bookmarkEnd w:id="384"/>
      <w:bookmarkStart w:id="385" w:name="_Toc184313308"/>
      <w:bookmarkEnd w:id="385"/>
      <w:bookmarkStart w:id="386" w:name="_Toc184310323"/>
      <w:bookmarkEnd w:id="386"/>
      <w:bookmarkStart w:id="387" w:name="_Toc184313309"/>
      <w:bookmarkEnd w:id="387"/>
      <w:bookmarkStart w:id="388" w:name="_Toc184313261"/>
      <w:bookmarkEnd w:id="388"/>
      <w:bookmarkStart w:id="389" w:name="_Toc184312074"/>
      <w:bookmarkEnd w:id="389"/>
      <w:bookmarkStart w:id="390" w:name="_Toc184312071"/>
      <w:bookmarkEnd w:id="390"/>
      <w:bookmarkStart w:id="391" w:name="_Toc184314429"/>
      <w:bookmarkEnd w:id="391"/>
      <w:bookmarkStart w:id="392" w:name="_Toc184310278"/>
      <w:bookmarkEnd w:id="392"/>
      <w:bookmarkStart w:id="393" w:name="_Toc184312117"/>
      <w:bookmarkEnd w:id="393"/>
      <w:bookmarkStart w:id="394" w:name="_Toc184310287"/>
      <w:bookmarkEnd w:id="394"/>
      <w:bookmarkStart w:id="395" w:name="_Toc184308080"/>
      <w:bookmarkEnd w:id="395"/>
      <w:bookmarkStart w:id="396" w:name="_Toc184310312"/>
      <w:bookmarkEnd w:id="396"/>
      <w:bookmarkStart w:id="397" w:name="_Toc184310337"/>
      <w:bookmarkEnd w:id="397"/>
      <w:bookmarkStart w:id="398" w:name="_Toc184310273"/>
      <w:bookmarkEnd w:id="398"/>
      <w:bookmarkStart w:id="399" w:name="_Toc184314445"/>
      <w:bookmarkEnd w:id="399"/>
      <w:bookmarkStart w:id="400" w:name="_Toc184312111"/>
      <w:bookmarkEnd w:id="400"/>
      <w:bookmarkStart w:id="401" w:name="_Toc184310341"/>
      <w:bookmarkEnd w:id="401"/>
      <w:bookmarkStart w:id="402" w:name="_Toc184313302"/>
      <w:bookmarkEnd w:id="402"/>
      <w:bookmarkStart w:id="403" w:name="_Toc184310322"/>
      <w:bookmarkEnd w:id="403"/>
      <w:bookmarkStart w:id="404" w:name="_Toc184314416"/>
      <w:bookmarkEnd w:id="404"/>
      <w:bookmarkStart w:id="405" w:name="_Toc184313285"/>
      <w:bookmarkEnd w:id="405"/>
      <w:bookmarkStart w:id="406" w:name="_Toc3291"/>
      <w:bookmarkStart w:id="407" w:name="_Hlk206592840"/>
      <w:r>
        <w:rPr>
          <w:rFonts w:hint="eastAsia" w:ascii="宋体" w:hAnsi="宋体" w:cs="宋体"/>
          <w:szCs w:val="36"/>
          <w:highlight w:val="none"/>
        </w:rPr>
        <w:t>第四部分 评标办法</w:t>
      </w:r>
      <w:bookmarkEnd w:id="406"/>
    </w:p>
    <w:p w14:paraId="0579C993">
      <w:pPr>
        <w:pStyle w:val="3"/>
        <w:rPr>
          <w:rFonts w:cs="宋体"/>
          <w:highlight w:val="none"/>
        </w:rPr>
      </w:pPr>
      <w:bookmarkStart w:id="408" w:name="_Toc20512"/>
      <w:r>
        <w:rPr>
          <w:rFonts w:hint="eastAsia" w:cs="宋体"/>
          <w:highlight w:val="none"/>
        </w:rPr>
        <w:t>一、评标方法</w:t>
      </w:r>
      <w:bookmarkEnd w:id="408"/>
    </w:p>
    <w:p w14:paraId="4C42BE2B">
      <w:pPr>
        <w:adjustRightInd/>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0463D87A">
      <w:pPr>
        <w:pStyle w:val="3"/>
        <w:rPr>
          <w:rFonts w:cs="宋体"/>
          <w:highlight w:val="none"/>
          <w:lang w:val="en-US"/>
        </w:rPr>
      </w:pPr>
      <w:bookmarkStart w:id="409" w:name="_Toc9975"/>
      <w:r>
        <w:rPr>
          <w:rFonts w:hint="eastAsia" w:cs="宋体"/>
          <w:highlight w:val="none"/>
          <w:lang w:val="en-US"/>
        </w:rPr>
        <w:t>二、评审标准</w:t>
      </w:r>
      <w:bookmarkEnd w:id="409"/>
    </w:p>
    <w:p w14:paraId="48BC2923">
      <w:pPr>
        <w:snapToGrid w:val="0"/>
        <w:spacing w:line="360" w:lineRule="auto"/>
        <w:ind w:firstLine="482" w:firstLineChars="200"/>
        <w:rPr>
          <w:rFonts w:ascii="宋体" w:hAnsi="宋体" w:cs="宋体"/>
          <w:b/>
          <w:sz w:val="24"/>
          <w:highlight w:val="none"/>
        </w:rPr>
      </w:pPr>
      <w:r>
        <w:rPr>
          <w:rFonts w:hint="eastAsia" w:ascii="宋体" w:hAnsi="宋体" w:cs="宋体"/>
          <w:b/>
          <w:bCs/>
          <w:sz w:val="24"/>
          <w:highlight w:val="none"/>
        </w:rPr>
        <w:t>（一）商务技术部分</w:t>
      </w:r>
      <w:r>
        <w:rPr>
          <w:rFonts w:hint="eastAsia" w:ascii="宋体" w:hAnsi="宋体" w:cs="宋体"/>
          <w:b/>
          <w:sz w:val="24"/>
          <w:highlight w:val="none"/>
        </w:rPr>
        <w:t>（70分）</w:t>
      </w:r>
    </w:p>
    <w:tbl>
      <w:tblPr>
        <w:tblStyle w:val="66"/>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43"/>
        <w:gridCol w:w="7424"/>
      </w:tblGrid>
      <w:tr w14:paraId="194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Align w:val="center"/>
          </w:tcPr>
          <w:p w14:paraId="26D26EEA">
            <w:pPr>
              <w:adjustRightInd w:val="0"/>
              <w:snapToGrid w:val="0"/>
              <w:spacing w:line="288" w:lineRule="auto"/>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评审因素</w:t>
            </w:r>
          </w:p>
        </w:tc>
        <w:tc>
          <w:tcPr>
            <w:tcW w:w="743" w:type="dxa"/>
            <w:vAlign w:val="center"/>
          </w:tcPr>
          <w:p w14:paraId="565F0AF5">
            <w:pPr>
              <w:adjustRightInd w:val="0"/>
              <w:snapToGrid w:val="0"/>
              <w:spacing w:line="288" w:lineRule="auto"/>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分值</w:t>
            </w:r>
          </w:p>
        </w:tc>
        <w:tc>
          <w:tcPr>
            <w:tcW w:w="7424" w:type="dxa"/>
            <w:vAlign w:val="center"/>
          </w:tcPr>
          <w:p w14:paraId="6FC2BB67">
            <w:pPr>
              <w:adjustRightInd w:val="0"/>
              <w:snapToGrid w:val="0"/>
              <w:spacing w:line="288" w:lineRule="auto"/>
              <w:jc w:val="center"/>
              <w:rPr>
                <w:rFonts w:ascii="宋体" w:hAnsi="宋体" w:eastAsia="宋体" w:cs="Times New Roman"/>
                <w:b/>
                <w:bCs/>
                <w:sz w:val="24"/>
                <w:szCs w:val="24"/>
                <w:highlight w:val="none"/>
              </w:rPr>
            </w:pPr>
            <w:r>
              <w:rPr>
                <w:rFonts w:ascii="宋体" w:hAnsi="宋体" w:eastAsia="宋体" w:cs="Times New Roman"/>
                <w:b/>
                <w:bCs/>
                <w:sz w:val="24"/>
                <w:szCs w:val="24"/>
                <w:highlight w:val="none"/>
              </w:rPr>
              <w:t>评分标准</w:t>
            </w:r>
          </w:p>
        </w:tc>
      </w:tr>
      <w:tr w14:paraId="2168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55" w:type="dxa"/>
            <w:gridSpan w:val="3"/>
            <w:vAlign w:val="center"/>
          </w:tcPr>
          <w:p w14:paraId="52DCEA00">
            <w:pPr>
              <w:adjustRightInd w:val="0"/>
              <w:snapToGrid w:val="0"/>
              <w:spacing w:line="288" w:lineRule="auto"/>
              <w:jc w:val="center"/>
              <w:rPr>
                <w:rFonts w:ascii="宋体" w:hAnsi="宋体" w:eastAsia="宋体" w:cs="Times New Roman"/>
                <w:b/>
                <w:bCs/>
                <w:sz w:val="24"/>
                <w:szCs w:val="24"/>
                <w:highlight w:val="none"/>
              </w:rPr>
            </w:pPr>
            <w:r>
              <w:rPr>
                <w:rFonts w:ascii="宋体" w:hAnsi="宋体" w:eastAsia="宋体" w:cs="Times New Roman"/>
                <w:b/>
                <w:bCs/>
                <w:sz w:val="24"/>
                <w:szCs w:val="24"/>
                <w:highlight w:val="none"/>
              </w:rPr>
              <w:t>商务分</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7</w:t>
            </w:r>
            <w:r>
              <w:rPr>
                <w:rFonts w:hint="eastAsia" w:ascii="宋体" w:hAnsi="宋体" w:eastAsia="宋体" w:cs="Times New Roman"/>
                <w:b/>
                <w:bCs/>
                <w:sz w:val="24"/>
                <w:szCs w:val="24"/>
                <w:highlight w:val="none"/>
              </w:rPr>
              <w:t>）</w:t>
            </w:r>
          </w:p>
        </w:tc>
      </w:tr>
      <w:tr w14:paraId="20DB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Align w:val="center"/>
          </w:tcPr>
          <w:p w14:paraId="140F04D7">
            <w:pPr>
              <w:adjustRightInd w:val="0"/>
              <w:snapToGrid w:val="0"/>
              <w:spacing w:line="288"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业绩</w:t>
            </w:r>
          </w:p>
        </w:tc>
        <w:tc>
          <w:tcPr>
            <w:tcW w:w="743" w:type="dxa"/>
            <w:vAlign w:val="center"/>
          </w:tcPr>
          <w:p w14:paraId="27AB55FE">
            <w:pPr>
              <w:adjustRightInd w:val="0"/>
              <w:snapToGrid w:val="0"/>
              <w:spacing w:line="288" w:lineRule="auto"/>
              <w:jc w:val="center"/>
              <w:rPr>
                <w:rFonts w:hint="eastAsia" w:ascii="宋体" w:hAnsi="宋体" w:cs="宋体" w:eastAsiaTheme="minorEastAsia"/>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7424" w:type="dxa"/>
            <w:vAlign w:val="center"/>
          </w:tcPr>
          <w:p w14:paraId="119808E6">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【客观分】</w:t>
            </w:r>
          </w:p>
          <w:p w14:paraId="33C5C650">
            <w:pPr>
              <w:adjustRightInd w:val="0"/>
              <w:snapToGrid w:val="0"/>
              <w:spacing w:line="288" w:lineRule="auto"/>
              <w:ind w:left="240" w:hanging="240" w:hangingChars="100"/>
              <w:jc w:val="left"/>
              <w:rPr>
                <w:rFonts w:ascii="宋体" w:hAnsi="宋体" w:eastAsia="宋体" w:cs="宋体"/>
                <w:sz w:val="24"/>
                <w:szCs w:val="24"/>
                <w:highlight w:val="none"/>
              </w:rPr>
            </w:pPr>
            <w:r>
              <w:rPr>
                <w:rFonts w:hint="eastAsia" w:ascii="宋体" w:hAnsi="宋体" w:eastAsia="宋体" w:cs="宋体"/>
                <w:sz w:val="24"/>
                <w:szCs w:val="24"/>
                <w:highlight w:val="none"/>
              </w:rPr>
              <w:t>投标人自20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年1月1日以来（以合同签订时间为准）同类</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业绩（以提供的合同扫描件为准）：每提供1份合同业绩得</w:t>
            </w:r>
            <w:r>
              <w:rPr>
                <w:rFonts w:ascii="宋体" w:hAnsi="宋体" w:eastAsia="宋体" w:cs="宋体"/>
                <w:sz w:val="24"/>
                <w:szCs w:val="24"/>
                <w:highlight w:val="none"/>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34A4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shd w:val="clear" w:color="auto" w:fill="auto"/>
            <w:vAlign w:val="center"/>
          </w:tcPr>
          <w:p w14:paraId="05E87350">
            <w:pPr>
              <w:adjustRightInd w:val="0"/>
              <w:snapToGrid w:val="0"/>
              <w:spacing w:line="288" w:lineRule="auto"/>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证书</w:t>
            </w:r>
          </w:p>
        </w:tc>
        <w:tc>
          <w:tcPr>
            <w:tcW w:w="743" w:type="dxa"/>
            <w:shd w:val="clear" w:color="auto" w:fill="auto"/>
            <w:vAlign w:val="center"/>
          </w:tcPr>
          <w:p w14:paraId="0A05F969">
            <w:pPr>
              <w:adjustRightInd w:val="0"/>
              <w:snapToGrid w:val="0"/>
              <w:spacing w:line="288"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3</w:t>
            </w:r>
          </w:p>
        </w:tc>
        <w:tc>
          <w:tcPr>
            <w:tcW w:w="7424" w:type="dxa"/>
            <w:vAlign w:val="center"/>
          </w:tcPr>
          <w:p w14:paraId="25217557">
            <w:pPr>
              <w:adjustRightInd w:val="0"/>
              <w:snapToGrid w:val="0"/>
              <w:spacing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【客观分】</w:t>
            </w:r>
          </w:p>
          <w:p w14:paraId="013C3EE3">
            <w:pPr>
              <w:adjustRightInd w:val="0"/>
              <w:snapToGrid w:val="0"/>
              <w:spacing w:line="288"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投标人或核心产品生产厂家具备有效的质量管理体系认证证书、</w:t>
            </w:r>
            <w:r>
              <w:rPr>
                <w:rFonts w:hint="eastAsia" w:ascii="宋体" w:hAnsi="宋体" w:eastAsia="宋体" w:cs="宋体"/>
                <w:sz w:val="24"/>
                <w:szCs w:val="24"/>
                <w:highlight w:val="none"/>
              </w:rPr>
              <w:t>环境管理体系认证证书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职业健康安全管理体系认证证书</w:t>
            </w:r>
            <w:r>
              <w:rPr>
                <w:rFonts w:hint="eastAsia" w:ascii="宋体" w:hAnsi="宋体" w:eastAsia="宋体" w:cs="宋体"/>
                <w:sz w:val="24"/>
                <w:szCs w:val="24"/>
                <w:highlight w:val="none"/>
                <w:lang w:val="en-US" w:eastAsia="zh-CN"/>
              </w:rPr>
              <w:t>的每份认证得1分。最高得3分。</w:t>
            </w:r>
          </w:p>
          <w:p w14:paraId="71B321A1">
            <w:pPr>
              <w:adjustRightInd w:val="0"/>
              <w:snapToGrid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（证明材料：须提供有效期内证书复印件及国家认证认可监督管理委员会官网（http://www.cnca.gov.cn/）查询截图，否则不得分）</w:t>
            </w:r>
          </w:p>
        </w:tc>
      </w:tr>
      <w:tr w14:paraId="2CD9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Align w:val="center"/>
          </w:tcPr>
          <w:p w14:paraId="74895E87">
            <w:pPr>
              <w:adjustRightInd w:val="0"/>
              <w:snapToGrid w:val="0"/>
              <w:spacing w:line="288"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政策功能</w:t>
            </w:r>
          </w:p>
        </w:tc>
        <w:tc>
          <w:tcPr>
            <w:tcW w:w="743" w:type="dxa"/>
            <w:vAlign w:val="center"/>
          </w:tcPr>
          <w:p w14:paraId="278229DD">
            <w:pPr>
              <w:adjustRightInd w:val="0"/>
              <w:snapToGrid w:val="0"/>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w:t>
            </w:r>
          </w:p>
        </w:tc>
        <w:tc>
          <w:tcPr>
            <w:tcW w:w="7424" w:type="dxa"/>
            <w:vAlign w:val="center"/>
          </w:tcPr>
          <w:p w14:paraId="07F45DA6">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【客观分】</w:t>
            </w:r>
          </w:p>
          <w:p w14:paraId="1822C5A8">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投标产品属于品目清单范围且提供国家确定的认证机构出具的有效的节能产品认证证书（扫描件）的得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最高得0.5分</w:t>
            </w:r>
            <w:r>
              <w:rPr>
                <w:rFonts w:hint="eastAsia" w:ascii="宋体" w:hAnsi="宋体" w:eastAsia="宋体" w:cs="宋体"/>
                <w:sz w:val="24"/>
                <w:szCs w:val="24"/>
                <w:highlight w:val="none"/>
              </w:rPr>
              <w:t>；</w:t>
            </w:r>
          </w:p>
          <w:p w14:paraId="0AF5A14D">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投标产品属于品目清单范围且提供国家确定的认证机构出具的有效的环境标志产品认证证书（扫描件）的得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最高得0.5分</w:t>
            </w:r>
            <w:r>
              <w:rPr>
                <w:rFonts w:hint="eastAsia" w:ascii="宋体" w:hAnsi="宋体" w:eastAsia="宋体" w:cs="宋体"/>
                <w:sz w:val="24"/>
                <w:szCs w:val="24"/>
                <w:highlight w:val="none"/>
              </w:rPr>
              <w:t>；</w:t>
            </w:r>
          </w:p>
          <w:p w14:paraId="5D3E5626">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注：政府强制采购的节能产品的除外。</w:t>
            </w:r>
          </w:p>
        </w:tc>
      </w:tr>
      <w:tr w14:paraId="4C14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55" w:type="dxa"/>
            <w:gridSpan w:val="3"/>
            <w:vAlign w:val="center"/>
          </w:tcPr>
          <w:p w14:paraId="58AFEF93">
            <w:pPr>
              <w:adjustRightInd w:val="0"/>
              <w:snapToGrid w:val="0"/>
              <w:spacing w:line="288" w:lineRule="auto"/>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技术</w:t>
            </w:r>
            <w:r>
              <w:rPr>
                <w:rFonts w:ascii="宋体" w:hAnsi="宋体" w:eastAsia="宋体" w:cs="Times New Roman"/>
                <w:b/>
                <w:bCs/>
                <w:sz w:val="24"/>
                <w:szCs w:val="24"/>
                <w:highlight w:val="none"/>
              </w:rPr>
              <w:t>分</w:t>
            </w:r>
            <w:r>
              <w:rPr>
                <w:rFonts w:hint="eastAsia" w:ascii="宋体" w:hAnsi="宋体" w:eastAsia="宋体" w:cs="Times New Roman"/>
                <w:b/>
                <w:bCs/>
                <w:sz w:val="24"/>
                <w:szCs w:val="24"/>
                <w:highlight w:val="none"/>
              </w:rPr>
              <w:t>（6</w:t>
            </w:r>
            <w:r>
              <w:rPr>
                <w:rFonts w:hint="eastAsia" w:ascii="宋体" w:hAnsi="宋体" w:eastAsia="宋体" w:cs="Times New Roman"/>
                <w:b/>
                <w:bCs/>
                <w:sz w:val="24"/>
                <w:szCs w:val="24"/>
                <w:highlight w:val="none"/>
                <w:lang w:val="en-US" w:eastAsia="zh-CN"/>
              </w:rPr>
              <w:t>3</w:t>
            </w:r>
            <w:r>
              <w:rPr>
                <w:rFonts w:hint="eastAsia" w:ascii="宋体" w:hAnsi="宋体" w:eastAsia="宋体" w:cs="Times New Roman"/>
                <w:b/>
                <w:bCs/>
                <w:sz w:val="24"/>
                <w:szCs w:val="24"/>
                <w:highlight w:val="none"/>
              </w:rPr>
              <w:t>）</w:t>
            </w:r>
          </w:p>
        </w:tc>
      </w:tr>
      <w:tr w14:paraId="7702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Align w:val="center"/>
          </w:tcPr>
          <w:p w14:paraId="700982AC">
            <w:pPr>
              <w:adjustRightInd w:val="0"/>
              <w:snapToGrid w:val="0"/>
              <w:spacing w:line="288"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技术响应程度</w:t>
            </w:r>
          </w:p>
        </w:tc>
        <w:tc>
          <w:tcPr>
            <w:tcW w:w="743" w:type="dxa"/>
            <w:vAlign w:val="center"/>
          </w:tcPr>
          <w:p w14:paraId="25E615EF">
            <w:pPr>
              <w:adjustRightInd w:val="0"/>
              <w:snapToGrid w:val="0"/>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21</w:t>
            </w:r>
          </w:p>
        </w:tc>
        <w:tc>
          <w:tcPr>
            <w:tcW w:w="7424" w:type="dxa"/>
            <w:vAlign w:val="center"/>
          </w:tcPr>
          <w:p w14:paraId="112FD076">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【客观分】</w:t>
            </w:r>
          </w:p>
          <w:p w14:paraId="7C266260">
            <w:pPr>
              <w:adjustRightInd w:val="0"/>
              <w:snapToGrid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由评委根据投标人提供的设备配置方案和投标响应情况等进行综合评议，产品的基本功能、技术指标与需求的吻合程度和偏差情况（除▲以外）：包括投标产品的详细配置、主要技术参数、随机软件等，是否能够满足招标文件要求。全部满足或明显优于招标文件要求得</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分；标注“★”的为重要条款，投标产品技术条款低于采购需求中重要条款要求（负偏离）的每条扣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分，其它一般技术条款低于技术要求（负偏离）的每条扣2分，扣完为止。</w:t>
            </w:r>
          </w:p>
          <w:p w14:paraId="546DF1BD">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注：商务技术偏离表技术要求中响应规格与技术资料不一致的（或要求提供证明材料但未提供的）经评标委员会讨论后可被认定为负偏离。</w:t>
            </w:r>
          </w:p>
        </w:tc>
      </w:tr>
      <w:tr w14:paraId="0850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207CCF8E">
            <w:pPr>
              <w:adjustRightInd w:val="0"/>
              <w:snapToGrid w:val="0"/>
              <w:spacing w:line="288" w:lineRule="auto"/>
              <w:jc w:val="center"/>
              <w:rPr>
                <w:rFonts w:ascii="宋体" w:hAnsi="宋体" w:eastAsia="宋体" w:cs="宋体"/>
                <w:b/>
                <w:bCs/>
                <w:sz w:val="24"/>
                <w:szCs w:val="24"/>
                <w:highlight w:val="none"/>
              </w:rPr>
            </w:pPr>
            <w:r>
              <w:rPr>
                <w:rFonts w:hint="eastAsia" w:ascii="宋体" w:hAnsi="宋体" w:eastAsia="宋体" w:cs="Times New Roman"/>
                <w:b/>
                <w:bCs/>
                <w:sz w:val="24"/>
                <w:szCs w:val="24"/>
                <w:highlight w:val="none"/>
              </w:rPr>
              <w:t>项目实施方案</w:t>
            </w:r>
          </w:p>
        </w:tc>
        <w:tc>
          <w:tcPr>
            <w:tcW w:w="743" w:type="dxa"/>
            <w:tcBorders>
              <w:top w:val="single" w:color="auto" w:sz="4" w:space="0"/>
              <w:left w:val="single" w:color="auto" w:sz="4" w:space="0"/>
              <w:bottom w:val="single" w:color="auto" w:sz="4" w:space="0"/>
              <w:right w:val="single" w:color="auto" w:sz="4" w:space="0"/>
            </w:tcBorders>
            <w:vAlign w:val="center"/>
          </w:tcPr>
          <w:p w14:paraId="66226ADB">
            <w:pPr>
              <w:adjustRightInd w:val="0"/>
              <w:snapToGrid w:val="0"/>
              <w:spacing w:line="288"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5</w:t>
            </w:r>
          </w:p>
        </w:tc>
        <w:tc>
          <w:tcPr>
            <w:tcW w:w="7424" w:type="dxa"/>
            <w:tcBorders>
              <w:top w:val="single" w:color="auto" w:sz="4" w:space="0"/>
              <w:left w:val="single" w:color="auto" w:sz="4" w:space="0"/>
              <w:bottom w:val="single" w:color="auto" w:sz="4" w:space="0"/>
              <w:right w:val="single" w:color="auto" w:sz="4" w:space="0"/>
            </w:tcBorders>
            <w:vAlign w:val="center"/>
          </w:tcPr>
          <w:p w14:paraId="75D55DA5">
            <w:pPr>
              <w:adjustRightInd w:val="0"/>
              <w:snapToGrid w:val="0"/>
              <w:spacing w:line="288" w:lineRule="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【主观分】</w:t>
            </w:r>
          </w:p>
          <w:p w14:paraId="72BE61B2">
            <w:pPr>
              <w:adjustRightInd w:val="0"/>
              <w:snapToGrid w:val="0"/>
              <w:spacing w:line="288" w:lineRule="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投标人针对本项目的总体实施方案的特点、难点、重点描述的准确性及相对应的措施，要求方案的功能实现以及方案配置的合理性、先进性。（评分范围：0，1，2，3，4，5）</w:t>
            </w:r>
          </w:p>
        </w:tc>
      </w:tr>
      <w:tr w14:paraId="7856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515A5478">
            <w:pPr>
              <w:pStyle w:val="24"/>
              <w:snapToGrid w:val="0"/>
              <w:spacing w:line="360" w:lineRule="auto"/>
              <w:jc w:val="center"/>
              <w:rPr>
                <w:rFonts w:hint="eastAsia" w:asciiTheme="majorEastAsia" w:hAnsiTheme="majorEastAsia" w:eastAsiaTheme="majorEastAsia" w:cstheme="majorEastAsia"/>
                <w:b/>
                <w:bCs/>
                <w:color w:val="auto"/>
                <w:sz w:val="24"/>
                <w:szCs w:val="24"/>
                <w:highlight w:val="none"/>
                <w:lang w:val="en-US" w:eastAsia="zh-CN" w:bidi="ar-SA"/>
              </w:rPr>
            </w:pPr>
            <w:r>
              <w:rPr>
                <w:rFonts w:hint="eastAsia" w:asciiTheme="majorEastAsia" w:hAnsiTheme="majorEastAsia" w:eastAsiaTheme="majorEastAsia" w:cstheme="majorEastAsia"/>
                <w:b/>
                <w:bCs/>
                <w:color w:val="auto"/>
                <w:spacing w:val="-6"/>
                <w:highlight w:val="none"/>
              </w:rPr>
              <w:t>质量保证措施</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6001BF7F">
            <w:pPr>
              <w:adjustRightInd w:val="0"/>
              <w:snapToGrid w:val="0"/>
              <w:spacing w:line="288"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5</w:t>
            </w:r>
          </w:p>
        </w:tc>
        <w:tc>
          <w:tcPr>
            <w:tcW w:w="7424" w:type="dxa"/>
            <w:tcBorders>
              <w:top w:val="single" w:color="auto" w:sz="4" w:space="0"/>
              <w:left w:val="single" w:color="auto" w:sz="4" w:space="0"/>
              <w:bottom w:val="single" w:color="auto" w:sz="4" w:space="0"/>
              <w:right w:val="single" w:color="auto" w:sz="4" w:space="0"/>
            </w:tcBorders>
            <w:shd w:val="clear" w:color="auto" w:fill="auto"/>
            <w:vAlign w:val="center"/>
          </w:tcPr>
          <w:p w14:paraId="327CE0FF">
            <w:pPr>
              <w:adjustRightInd w:val="0"/>
              <w:snapToGrid w:val="0"/>
              <w:spacing w:line="288" w:lineRule="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【主观分】</w:t>
            </w:r>
          </w:p>
          <w:p w14:paraId="371276BA">
            <w:pPr>
              <w:adjustRightInd w:val="0"/>
              <w:snapToGrid w:val="0"/>
              <w:spacing w:line="288" w:lineRule="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是否具有严密的质量监控措施和先进的质量检测设施；是否建立定期巡检制度和设备运行情况报告制度，定期出具巡检和设备运行情况报告；是否建立服务档案和解决方案资料库等。以及整体措施方案是否合理、可行（评分范围：0，1，2，3，4，5）</w:t>
            </w:r>
          </w:p>
        </w:tc>
      </w:tr>
      <w:tr w14:paraId="5FBE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58475581">
            <w:pPr>
              <w:adjustRightInd w:val="0"/>
              <w:snapToGrid w:val="0"/>
              <w:spacing w:line="288" w:lineRule="auto"/>
              <w:jc w:val="center"/>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项目深化设计方案</w:t>
            </w:r>
          </w:p>
        </w:tc>
        <w:tc>
          <w:tcPr>
            <w:tcW w:w="743" w:type="dxa"/>
            <w:tcBorders>
              <w:top w:val="single" w:color="auto" w:sz="4" w:space="0"/>
              <w:left w:val="single" w:color="auto" w:sz="4" w:space="0"/>
              <w:bottom w:val="single" w:color="auto" w:sz="4" w:space="0"/>
              <w:right w:val="single" w:color="auto" w:sz="4" w:space="0"/>
            </w:tcBorders>
            <w:vAlign w:val="center"/>
          </w:tcPr>
          <w:p w14:paraId="7631CCAB">
            <w:pPr>
              <w:adjustRightInd w:val="0"/>
              <w:snapToGrid w:val="0"/>
              <w:spacing w:line="288"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7424" w:type="dxa"/>
            <w:tcBorders>
              <w:top w:val="single" w:color="auto" w:sz="4" w:space="0"/>
              <w:left w:val="single" w:color="auto" w:sz="4" w:space="0"/>
              <w:bottom w:val="single" w:color="auto" w:sz="4" w:space="0"/>
              <w:right w:val="single" w:color="auto" w:sz="4" w:space="0"/>
            </w:tcBorders>
            <w:vAlign w:val="center"/>
          </w:tcPr>
          <w:p w14:paraId="39AD9534">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【主观分】</w:t>
            </w:r>
          </w:p>
          <w:p w14:paraId="604C440F">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可结合图纸情况进行深化设计，实验室只提供一个给水、一个排水点，供应商根据现场情况自行布设给排水管路，整体规划方案应符合使用要求；图纸应完整、明确、满足项目实际需要，有利于项目执行，具备可行性及合理性。（评分范围：0，1，2，3，4，5）</w:t>
            </w:r>
          </w:p>
        </w:tc>
      </w:tr>
      <w:tr w14:paraId="260A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3F987C90">
            <w:pPr>
              <w:adjustRightInd w:val="0"/>
              <w:snapToGrid w:val="0"/>
              <w:spacing w:line="288" w:lineRule="auto"/>
              <w:jc w:val="center"/>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运输方案</w:t>
            </w:r>
          </w:p>
        </w:tc>
        <w:tc>
          <w:tcPr>
            <w:tcW w:w="743" w:type="dxa"/>
            <w:tcBorders>
              <w:top w:val="single" w:color="auto" w:sz="4" w:space="0"/>
              <w:left w:val="single" w:color="auto" w:sz="4" w:space="0"/>
              <w:bottom w:val="single" w:color="auto" w:sz="4" w:space="0"/>
              <w:right w:val="single" w:color="auto" w:sz="4" w:space="0"/>
            </w:tcBorders>
            <w:vAlign w:val="center"/>
          </w:tcPr>
          <w:p w14:paraId="277A1473">
            <w:pPr>
              <w:adjustRightInd w:val="0"/>
              <w:snapToGrid w:val="0"/>
              <w:spacing w:line="288"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424" w:type="dxa"/>
            <w:tcBorders>
              <w:top w:val="single" w:color="auto" w:sz="4" w:space="0"/>
              <w:left w:val="single" w:color="auto" w:sz="4" w:space="0"/>
              <w:bottom w:val="single" w:color="auto" w:sz="4" w:space="0"/>
              <w:right w:val="single" w:color="auto" w:sz="4" w:space="0"/>
            </w:tcBorders>
            <w:vAlign w:val="center"/>
          </w:tcPr>
          <w:p w14:paraId="32D1D637">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【主观分】</w:t>
            </w:r>
          </w:p>
          <w:p w14:paraId="6F05D500">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运输方案保障措施有效、方案严密的最高得3分；措施及方案存在欠缺、影响或者可能影响供货期的，酌情扣分；（评分范围：0，1，2，3）</w:t>
            </w:r>
          </w:p>
        </w:tc>
      </w:tr>
      <w:tr w14:paraId="2193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232F283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ascii="宋体" w:hAnsi="宋体" w:eastAsia="宋体" w:cs="Times New Roman"/>
                <w:b/>
                <w:bCs/>
                <w:sz w:val="24"/>
                <w:szCs w:val="24"/>
                <w:highlight w:val="none"/>
              </w:rPr>
            </w:pPr>
            <w:r>
              <w:rPr>
                <w:rFonts w:hint="eastAsia" w:ascii="宋体" w:hAnsi="宋体" w:eastAsia="宋体" w:cs="宋体"/>
                <w:b/>
                <w:bCs/>
                <w:sz w:val="24"/>
                <w:szCs w:val="24"/>
                <w:highlight w:val="none"/>
                <w:lang w:val="en-US" w:eastAsia="zh-CN"/>
              </w:rPr>
              <w:t>安装调试</w:t>
            </w:r>
          </w:p>
        </w:tc>
        <w:tc>
          <w:tcPr>
            <w:tcW w:w="743" w:type="dxa"/>
            <w:tcBorders>
              <w:top w:val="single" w:color="auto" w:sz="4" w:space="0"/>
              <w:left w:val="single" w:color="auto" w:sz="4" w:space="0"/>
              <w:bottom w:val="single" w:color="auto" w:sz="4" w:space="0"/>
              <w:right w:val="single" w:color="auto" w:sz="4" w:space="0"/>
            </w:tcBorders>
            <w:vAlign w:val="center"/>
          </w:tcPr>
          <w:p w14:paraId="34FCB8DE">
            <w:pPr>
              <w:keepNext w:val="0"/>
              <w:keepLines w:val="0"/>
              <w:widowControl/>
              <w:suppressLineNumbers w:val="0"/>
              <w:jc w:val="center"/>
              <w:textAlignment w:val="center"/>
              <w:rPr>
                <w:rFonts w:ascii="宋体" w:hAnsi="宋体" w:eastAsia="宋体" w:cs="宋体"/>
                <w:b/>
                <w:bCs/>
                <w:sz w:val="24"/>
                <w:szCs w:val="24"/>
                <w:highlight w:val="none"/>
              </w:rPr>
            </w:pPr>
            <w:r>
              <w:rPr>
                <w:rFonts w:hint="eastAsia" w:ascii="宋体" w:hAnsi="宋体" w:cs="宋体"/>
                <w:b/>
                <w:i w:val="0"/>
                <w:color w:val="000000"/>
                <w:kern w:val="0"/>
                <w:sz w:val="24"/>
                <w:szCs w:val="24"/>
                <w:highlight w:val="none"/>
                <w:u w:val="none"/>
                <w:lang w:val="en-US" w:eastAsia="zh-CN" w:bidi="ar"/>
              </w:rPr>
              <w:t>3</w:t>
            </w:r>
          </w:p>
        </w:tc>
        <w:tc>
          <w:tcPr>
            <w:tcW w:w="7424" w:type="dxa"/>
            <w:tcBorders>
              <w:top w:val="single" w:color="auto" w:sz="4" w:space="0"/>
              <w:left w:val="single" w:color="auto" w:sz="4" w:space="0"/>
              <w:bottom w:val="single" w:color="auto" w:sz="4" w:space="0"/>
              <w:right w:val="single" w:color="auto" w:sz="4" w:space="0"/>
            </w:tcBorders>
            <w:vAlign w:val="center"/>
          </w:tcPr>
          <w:p w14:paraId="073ABD27">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【主观分】</w:t>
            </w:r>
          </w:p>
          <w:p w14:paraId="45788AFB">
            <w:pPr>
              <w:adjustRightInd w:val="0"/>
              <w:snapToGrid w:val="0"/>
              <w:spacing w:line="288"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安装、调试方法或方案的详细完整度、合理可行性。（评分范围：0，1，2，3）</w:t>
            </w:r>
          </w:p>
        </w:tc>
      </w:tr>
      <w:tr w14:paraId="67D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755C27A0">
            <w:pPr>
              <w:adjustRightInd w:val="0"/>
              <w:snapToGrid w:val="0"/>
              <w:spacing w:line="288" w:lineRule="auto"/>
              <w:jc w:val="center"/>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培训方案</w:t>
            </w:r>
          </w:p>
        </w:tc>
        <w:tc>
          <w:tcPr>
            <w:tcW w:w="743" w:type="dxa"/>
            <w:tcBorders>
              <w:top w:val="single" w:color="auto" w:sz="4" w:space="0"/>
              <w:left w:val="single" w:color="auto" w:sz="4" w:space="0"/>
              <w:bottom w:val="single" w:color="auto" w:sz="4" w:space="0"/>
              <w:right w:val="single" w:color="auto" w:sz="4" w:space="0"/>
            </w:tcBorders>
            <w:vAlign w:val="center"/>
          </w:tcPr>
          <w:p w14:paraId="0C04C169">
            <w:pPr>
              <w:adjustRightInd w:val="0"/>
              <w:snapToGrid w:val="0"/>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7424" w:type="dxa"/>
            <w:tcBorders>
              <w:top w:val="single" w:color="auto" w:sz="4" w:space="0"/>
              <w:left w:val="single" w:color="auto" w:sz="4" w:space="0"/>
              <w:bottom w:val="single" w:color="auto" w:sz="4" w:space="0"/>
              <w:right w:val="single" w:color="auto" w:sz="4" w:space="0"/>
            </w:tcBorders>
          </w:tcPr>
          <w:p w14:paraId="0AA9503A">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【主观分】</w:t>
            </w:r>
          </w:p>
          <w:p w14:paraId="3B509158">
            <w:pPr>
              <w:adjustRightInd w:val="0"/>
              <w:snapToGrid w:val="0"/>
              <w:spacing w:line="288"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投标人针对本项目提供的培训方案、计划的可行性及合理性。要求方案内容包含但不限于培训师资、培训课程、培训时间、培训方式等内容。（评分范围：0，1，2，3）</w:t>
            </w:r>
          </w:p>
        </w:tc>
      </w:tr>
      <w:tr w14:paraId="05A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vAlign w:val="center"/>
          </w:tcPr>
          <w:p w14:paraId="3ED332BE">
            <w:pPr>
              <w:adjustRightInd w:val="0"/>
              <w:snapToGrid w:val="0"/>
              <w:spacing w:line="288"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售后服务</w:t>
            </w:r>
          </w:p>
        </w:tc>
        <w:tc>
          <w:tcPr>
            <w:tcW w:w="743" w:type="dxa"/>
            <w:tcBorders>
              <w:top w:val="single" w:color="auto" w:sz="4" w:space="0"/>
              <w:left w:val="single" w:color="auto" w:sz="4" w:space="0"/>
              <w:bottom w:val="single" w:color="auto" w:sz="4" w:space="0"/>
              <w:right w:val="single" w:color="auto" w:sz="4" w:space="0"/>
            </w:tcBorders>
            <w:vAlign w:val="center"/>
          </w:tcPr>
          <w:p w14:paraId="28C0A7AA">
            <w:pPr>
              <w:adjustRightInd w:val="0"/>
              <w:snapToGrid w:val="0"/>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7424" w:type="dxa"/>
            <w:tcBorders>
              <w:top w:val="single" w:color="auto" w:sz="4" w:space="0"/>
              <w:left w:val="single" w:color="auto" w:sz="4" w:space="0"/>
              <w:bottom w:val="single" w:color="auto" w:sz="4" w:space="0"/>
              <w:right w:val="single" w:color="auto" w:sz="4" w:space="0"/>
            </w:tcBorders>
            <w:vAlign w:val="center"/>
          </w:tcPr>
          <w:p w14:paraId="30574CE6">
            <w:pPr>
              <w:adjustRightInd w:val="0"/>
              <w:snapToGrid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p w14:paraId="1350F9AD">
            <w:pPr>
              <w:adjustRightInd w:val="0"/>
              <w:snapToGrid w:val="0"/>
              <w:spacing w:line="288" w:lineRule="auto"/>
              <w:rPr>
                <w:rFonts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投标人承诺的售后服务方案完善、售后服务机构的能及时响应采购人上门服务需求。要求</w:t>
            </w:r>
            <w:r>
              <w:rPr>
                <w:rFonts w:hint="eastAsia" w:ascii="宋体" w:hAnsi="宋体" w:eastAsia="宋体" w:cs="宋体"/>
                <w:color w:val="auto"/>
                <w:kern w:val="0"/>
                <w:sz w:val="24"/>
                <w:szCs w:val="24"/>
                <w:highlight w:val="none"/>
                <w:lang w:val="en-US" w:eastAsia="zh-CN" w:bidi="ar"/>
              </w:rPr>
              <w:t>方案详实、合理可行、可操作性强。</w:t>
            </w:r>
            <w:r>
              <w:rPr>
                <w:rFonts w:hint="eastAsia" w:ascii="宋体" w:hAnsi="宋体" w:eastAsia="宋体" w:cs="宋体"/>
                <w:color w:val="auto"/>
                <w:kern w:val="0"/>
                <w:sz w:val="24"/>
                <w:szCs w:val="24"/>
                <w:highlight w:val="none"/>
                <w:lang w:val="en-US" w:eastAsia="zh-CN"/>
              </w:rPr>
              <w:t>（评分范围：0，1，2，3）</w:t>
            </w:r>
          </w:p>
        </w:tc>
      </w:tr>
      <w:tr w14:paraId="7502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tcBorders>
              <w:top w:val="single" w:color="auto" w:sz="4" w:space="0"/>
              <w:left w:val="single" w:color="auto" w:sz="4" w:space="0"/>
              <w:bottom w:val="single" w:color="auto" w:sz="4" w:space="0"/>
              <w:right w:val="single" w:color="auto" w:sz="4" w:space="0"/>
            </w:tcBorders>
            <w:shd w:val="clear" w:color="auto" w:fill="auto"/>
            <w:vAlign w:val="center"/>
          </w:tcPr>
          <w:p w14:paraId="41647F4C">
            <w:pPr>
              <w:adjustRightInd w:val="0"/>
              <w:snapToGrid w:val="0"/>
              <w:spacing w:line="288"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配件耗材</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35C906E">
            <w:pPr>
              <w:adjustRightInd w:val="0"/>
              <w:snapToGrid w:val="0"/>
              <w:spacing w:line="288"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5</w:t>
            </w:r>
          </w:p>
        </w:tc>
        <w:tc>
          <w:tcPr>
            <w:tcW w:w="7424" w:type="dxa"/>
            <w:tcBorders>
              <w:top w:val="single" w:color="auto" w:sz="4" w:space="0"/>
              <w:left w:val="single" w:color="auto" w:sz="4" w:space="0"/>
              <w:bottom w:val="single" w:color="auto" w:sz="4" w:space="0"/>
              <w:right w:val="single" w:color="auto" w:sz="4" w:space="0"/>
            </w:tcBorders>
            <w:shd w:val="clear" w:color="auto" w:fill="auto"/>
            <w:vAlign w:val="center"/>
          </w:tcPr>
          <w:p w14:paraId="51765583">
            <w:pPr>
              <w:adjustRightInd w:val="0"/>
              <w:snapToGrid w:val="0"/>
              <w:spacing w:line="28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【主观分】</w:t>
            </w:r>
          </w:p>
          <w:p w14:paraId="176D8538">
            <w:pPr>
              <w:adjustRightInd w:val="0"/>
              <w:snapToGrid w:val="0"/>
              <w:spacing w:line="288" w:lineRule="auto"/>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rPr>
              <w:t>产品相关配件、附件、备品备件及耗材的准备和保障措施、消耗水平和成本</w:t>
            </w:r>
            <w:r>
              <w:rPr>
                <w:rFonts w:hint="eastAsia" w:ascii="宋体" w:hAnsi="宋体" w:eastAsia="宋体" w:cs="宋体"/>
                <w:sz w:val="24"/>
                <w:szCs w:val="24"/>
                <w:highlight w:val="none"/>
                <w:lang w:val="en-US" w:eastAsia="zh-CN"/>
              </w:rPr>
              <w:t>方案，</w:t>
            </w:r>
            <w:r>
              <w:rPr>
                <w:rFonts w:hint="eastAsia" w:ascii="宋体" w:hAnsi="宋体" w:eastAsia="宋体" w:cs="宋体"/>
                <w:bCs/>
                <w:color w:val="auto"/>
                <w:sz w:val="24"/>
                <w:szCs w:val="24"/>
                <w:highlight w:val="none"/>
                <w:lang w:val="en-US" w:eastAsia="zh-CN"/>
              </w:rPr>
              <w:t>投标人承诺的</w:t>
            </w:r>
            <w:r>
              <w:rPr>
                <w:rFonts w:hint="eastAsia" w:ascii="宋体" w:hAnsi="宋体" w:eastAsia="宋体" w:cs="宋体"/>
                <w:bCs/>
                <w:color w:val="auto"/>
                <w:sz w:val="24"/>
                <w:szCs w:val="24"/>
                <w:highlight w:val="none"/>
              </w:rPr>
              <w:t>备品备件的提供及优惠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包括但不限于</w:t>
            </w:r>
            <w:r>
              <w:rPr>
                <w:rFonts w:hint="eastAsia" w:ascii="宋体" w:hAnsi="宋体" w:eastAsia="宋体" w:cs="宋体"/>
                <w:bCs/>
                <w:color w:val="auto"/>
                <w:sz w:val="24"/>
                <w:szCs w:val="24"/>
                <w:highlight w:val="none"/>
              </w:rPr>
              <w:t>备品备件清单以及质保期外备品备件费用收取的价格和人工费用</w:t>
            </w:r>
            <w:r>
              <w:rPr>
                <w:rFonts w:hint="eastAsia" w:ascii="宋体" w:hAnsi="宋体" w:eastAsia="宋体" w:cs="宋体"/>
                <w:bCs/>
                <w:color w:val="auto"/>
                <w:sz w:val="24"/>
                <w:szCs w:val="24"/>
                <w:highlight w:val="none"/>
                <w:lang w:val="en-US" w:eastAsia="zh-CN"/>
              </w:rPr>
              <w:t>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投标人需在投标文件中列明</w:t>
            </w:r>
            <w:r>
              <w:rPr>
                <w:rFonts w:hint="eastAsia" w:ascii="宋体" w:hAnsi="宋体" w:cs="宋体"/>
                <w:b w:val="0"/>
                <w:bCs w:val="0"/>
                <w:sz w:val="24"/>
                <w:highlight w:val="none"/>
                <w:lang w:val="en-US" w:eastAsia="zh-CN"/>
              </w:rPr>
              <w:t>主要维修用零配件清单及价格（格式自拟），否则本项不得分</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（评分范围：0，1，2，3，4，5）</w:t>
            </w:r>
          </w:p>
        </w:tc>
      </w:tr>
      <w:tr w14:paraId="2185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Merge w:val="restart"/>
            <w:tcBorders>
              <w:top w:val="single" w:color="auto" w:sz="4" w:space="0"/>
              <w:left w:val="single" w:color="auto" w:sz="4" w:space="0"/>
              <w:right w:val="single" w:color="auto" w:sz="4" w:space="0"/>
            </w:tcBorders>
            <w:shd w:val="clear" w:color="auto" w:fill="auto"/>
            <w:vAlign w:val="center"/>
          </w:tcPr>
          <w:p w14:paraId="66C6AE54">
            <w:pPr>
              <w:adjustRightInd w:val="0"/>
              <w:snapToGrid w:val="0"/>
              <w:spacing w:line="288" w:lineRule="auto"/>
              <w:jc w:val="center"/>
              <w:rPr>
                <w:rFonts w:hint="eastAsia" w:ascii="宋体" w:hAnsi="宋体" w:eastAsia="宋体" w:cs="Times New Roman"/>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样品</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1E5B7672">
            <w:pPr>
              <w:adjustRightInd w:val="0"/>
              <w:snapToGrid w:val="0"/>
              <w:spacing w:line="288" w:lineRule="auto"/>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w:t>
            </w:r>
          </w:p>
        </w:tc>
        <w:tc>
          <w:tcPr>
            <w:tcW w:w="7424" w:type="dxa"/>
            <w:tcBorders>
              <w:top w:val="single" w:color="auto" w:sz="4" w:space="0"/>
              <w:left w:val="single" w:color="auto" w:sz="4" w:space="0"/>
              <w:bottom w:val="single" w:color="auto" w:sz="4" w:space="0"/>
              <w:right w:val="single" w:color="auto" w:sz="4" w:space="0"/>
            </w:tcBorders>
            <w:shd w:val="clear" w:color="auto" w:fill="auto"/>
            <w:vAlign w:val="center"/>
          </w:tcPr>
          <w:p w14:paraId="51E58D32">
            <w:pPr>
              <w:adjustRightInd w:val="0"/>
              <w:snapToGrid w:val="0"/>
              <w:spacing w:line="288" w:lineRule="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【主观分】</w:t>
            </w:r>
          </w:p>
          <w:p w14:paraId="645E7559">
            <w:pPr>
              <w:adjustRightInd w:val="0"/>
              <w:snapToGrid w:val="0"/>
              <w:spacing w:line="288" w:lineRule="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外观质量及整体结构美观性、安全性、牢固程度。</w:t>
            </w:r>
            <w:r>
              <w:rPr>
                <w:rFonts w:hint="eastAsia" w:ascii="宋体" w:hAnsi="宋体" w:eastAsia="宋体" w:cs="宋体"/>
                <w:color w:val="auto"/>
                <w:kern w:val="0"/>
                <w:sz w:val="24"/>
                <w:szCs w:val="24"/>
                <w:highlight w:val="none"/>
                <w:lang w:val="en-US" w:eastAsia="zh-CN"/>
              </w:rPr>
              <w:t>（评分范围：0，1，2，3，4，5）</w:t>
            </w:r>
          </w:p>
        </w:tc>
      </w:tr>
      <w:tr w14:paraId="1A5E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88" w:type="dxa"/>
            <w:vMerge w:val="continue"/>
            <w:tcBorders>
              <w:left w:val="single" w:color="auto" w:sz="4" w:space="0"/>
              <w:bottom w:val="single" w:color="auto" w:sz="4" w:space="0"/>
              <w:right w:val="single" w:color="auto" w:sz="4" w:space="0"/>
            </w:tcBorders>
            <w:shd w:val="clear" w:color="auto" w:fill="auto"/>
            <w:vAlign w:val="center"/>
          </w:tcPr>
          <w:p w14:paraId="3BBD35BE">
            <w:pPr>
              <w:adjustRightInd w:val="0"/>
              <w:snapToGrid w:val="0"/>
              <w:spacing w:line="288" w:lineRule="auto"/>
              <w:jc w:val="center"/>
              <w:rPr>
                <w:rFonts w:hint="eastAsia" w:ascii="宋体" w:hAnsi="宋体" w:eastAsia="宋体" w:cs="宋体"/>
                <w:b/>
                <w:bCs/>
                <w:sz w:val="24"/>
                <w:szCs w:val="24"/>
                <w:highlight w:val="none"/>
                <w:lang w:val="en-US" w:eastAsia="zh-CN"/>
              </w:rPr>
            </w:pP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14:paraId="7FDCB21E">
            <w:pPr>
              <w:adjustRightInd w:val="0"/>
              <w:snapToGrid w:val="0"/>
              <w:spacing w:line="288" w:lineRule="auto"/>
              <w:jc w:val="center"/>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w:t>
            </w:r>
          </w:p>
        </w:tc>
        <w:tc>
          <w:tcPr>
            <w:tcW w:w="7424" w:type="dxa"/>
            <w:tcBorders>
              <w:top w:val="single" w:color="auto" w:sz="4" w:space="0"/>
              <w:left w:val="single" w:color="auto" w:sz="4" w:space="0"/>
              <w:bottom w:val="single" w:color="auto" w:sz="4" w:space="0"/>
              <w:right w:val="single" w:color="auto" w:sz="4" w:space="0"/>
            </w:tcBorders>
            <w:shd w:val="clear" w:color="auto" w:fill="auto"/>
            <w:vAlign w:val="center"/>
          </w:tcPr>
          <w:p w14:paraId="14C5091F">
            <w:pPr>
              <w:adjustRightInd w:val="0"/>
              <w:snapToGrid w:val="0"/>
              <w:spacing w:line="288" w:lineRule="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【主观分】</w:t>
            </w:r>
          </w:p>
          <w:p w14:paraId="7E127372">
            <w:pPr>
              <w:adjustRightInd w:val="0"/>
              <w:snapToGrid w:val="0"/>
              <w:spacing w:line="288" w:lineRule="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结合处缝隙、配件结合处紧密程度、铰链、滑轨等部件灵活程度</w:t>
            </w:r>
            <w:r>
              <w:rPr>
                <w:rFonts w:hint="eastAsia" w:ascii="宋体" w:hAnsi="宋体" w:eastAsia="宋体" w:cs="宋体"/>
                <w:color w:val="auto"/>
                <w:kern w:val="0"/>
                <w:sz w:val="24"/>
                <w:szCs w:val="24"/>
                <w:highlight w:val="none"/>
                <w:lang w:val="en-US" w:eastAsia="zh-CN"/>
              </w:rPr>
              <w:t>（评分范围：0，1，2，3，4，5）</w:t>
            </w:r>
          </w:p>
        </w:tc>
      </w:tr>
    </w:tbl>
    <w:p w14:paraId="0CA49241">
      <w:pPr>
        <w:pStyle w:val="65"/>
        <w:ind w:firstLineChars="100"/>
        <w:rPr>
          <w:highlight w:val="none"/>
        </w:rPr>
      </w:pPr>
    </w:p>
    <w:p w14:paraId="005F39A4">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（二）价格部分（30分）</w:t>
      </w:r>
    </w:p>
    <w:p w14:paraId="1BBFD47A">
      <w:pPr>
        <w:pStyle w:val="26"/>
        <w:spacing w:line="360" w:lineRule="auto"/>
        <w:rPr>
          <w:rFonts w:cs="宋体"/>
          <w:bCs/>
          <w:highlight w:val="none"/>
        </w:rPr>
      </w:pPr>
      <w:r>
        <w:rPr>
          <w:rFonts w:hint="eastAsia" w:cs="宋体"/>
          <w:bCs/>
          <w:highlight w:val="none"/>
        </w:rPr>
        <w:t>价格分采用低价优先法计算，即满足采购文件要求且报价最低的报价为评审基准价，其价格分为满分。其他投标人的价格分按照下列公式计算：</w:t>
      </w:r>
    </w:p>
    <w:p w14:paraId="2364935E">
      <w:pPr>
        <w:pStyle w:val="26"/>
        <w:spacing w:line="360" w:lineRule="auto"/>
        <w:rPr>
          <w:rFonts w:cs="宋体"/>
          <w:bCs/>
          <w:highlight w:val="none"/>
        </w:rPr>
      </w:pPr>
      <w:r>
        <w:rPr>
          <w:rFonts w:hint="eastAsia" w:cs="宋体"/>
          <w:bCs/>
          <w:highlight w:val="none"/>
        </w:rPr>
        <w:t>价格分=（评审基准价/报价）×30%×100</w:t>
      </w:r>
    </w:p>
    <w:p w14:paraId="420B35D4">
      <w:pPr>
        <w:pStyle w:val="26"/>
        <w:spacing w:line="360" w:lineRule="auto"/>
        <w:rPr>
          <w:rFonts w:cs="宋体"/>
          <w:bCs/>
          <w:highlight w:val="none"/>
        </w:rPr>
      </w:pPr>
      <w:r>
        <w:rPr>
          <w:rFonts w:hint="eastAsia" w:cs="宋体"/>
          <w:bCs/>
          <w:highlight w:val="none"/>
        </w:rPr>
        <w:t>如评标委员会认为投标人的报价明显低于其他通过符合性审查投标人的报价，有可能影响产品质量或者不能诚信履约的，可要求其在评标现场合理的时间内提供书面说明，必要时提交相关证明材料；投标人不能证明其报价合理性的，评标委员会可将其作为无效投标处理。</w:t>
      </w:r>
    </w:p>
    <w:p w14:paraId="00CF1518">
      <w:pPr>
        <w:pStyle w:val="26"/>
        <w:spacing w:line="360" w:lineRule="auto"/>
        <w:rPr>
          <w:rFonts w:cs="宋体"/>
          <w:bCs/>
          <w:highlight w:val="none"/>
        </w:rPr>
      </w:pPr>
      <w:r>
        <w:rPr>
          <w:rFonts w:hint="eastAsia" w:cs="宋体"/>
          <w:bCs/>
          <w:highlight w:val="none"/>
        </w:rPr>
        <w:t>评标过程中，不得去掉报价中的最高报价和最低报价。</w:t>
      </w:r>
    </w:p>
    <w:p w14:paraId="3CBE812F">
      <w:pPr>
        <w:pStyle w:val="26"/>
        <w:spacing w:line="360" w:lineRule="auto"/>
        <w:rPr>
          <w:rFonts w:cs="宋体"/>
          <w:bCs/>
          <w:highlight w:val="none"/>
        </w:rPr>
      </w:pPr>
      <w:r>
        <w:rPr>
          <w:rFonts w:hint="eastAsia" w:cs="宋体"/>
          <w:bCs/>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p w14:paraId="1AC3348C">
      <w:pPr>
        <w:pStyle w:val="55"/>
        <w:rPr>
          <w:rFonts w:cs="仿宋_GB2312" w:asciiTheme="minorEastAsia" w:hAnsiTheme="minorEastAsia" w:eastAsiaTheme="minorEastAsia"/>
          <w:highlight w:val="none"/>
        </w:rPr>
      </w:pPr>
      <w:r>
        <w:rPr>
          <w:rFonts w:hint="eastAsia" w:ascii="宋体" w:hAnsi="宋体" w:cs="宋体"/>
          <w:bCs/>
          <w:highlight w:val="none"/>
        </w:rPr>
        <w:t>对于</w:t>
      </w:r>
      <w:r>
        <w:rPr>
          <w:rFonts w:hint="eastAsia" w:cs="仿宋_GB2312" w:asciiTheme="minorEastAsia" w:hAnsiTheme="minorEastAsia" w:eastAsiaTheme="minorEastAsia"/>
          <w:highlight w:val="none"/>
        </w:rPr>
        <w:t>政府采购活动中既有本国产品又有非本国产品参与竞争的，依法对本国产品的报价给予20%的价格扣除，用扣除后的价格参与评审。</w:t>
      </w:r>
      <w:r>
        <w:rPr>
          <w:rFonts w:hint="eastAsia" w:cs="仿宋_GB2312" w:asciiTheme="minorEastAsia" w:hAnsiTheme="minorEastAsia" w:eastAsiaTheme="minorEastAsia"/>
          <w:sz w:val="21"/>
          <w:szCs w:val="21"/>
          <w:highlight w:val="none"/>
        </w:rPr>
        <w:t>当采购项目或者采购包中含有多种产品，供应商为该采购项目或者采购包提供的符合本国产品标准的产品成本之和占该供应商提供的全部产品成本之和的比例达到80%以上时</w:t>
      </w:r>
      <w:r>
        <w:rPr>
          <w:rFonts w:hint="eastAsia" w:cs="仿宋_GB2312" w:asciiTheme="minorEastAsia" w:hAnsiTheme="minorEastAsia" w:eastAsiaTheme="minorEastAsia"/>
          <w:highlight w:val="none"/>
        </w:rPr>
        <w:t>，依法对该供应商提供的全部产品给予价格评审优惠，即对该供应商提供的全部产品的总报价给予20%的价格扣除，用扣除后的价格参与评审。</w:t>
      </w:r>
    </w:p>
    <w:p w14:paraId="29935AFD">
      <w:pPr>
        <w:pStyle w:val="26"/>
        <w:spacing w:line="360" w:lineRule="auto"/>
        <w:rPr>
          <w:rFonts w:cs="宋体"/>
          <w:bCs/>
          <w:highlight w:val="none"/>
        </w:rPr>
      </w:pPr>
      <w:r>
        <w:rPr>
          <w:rFonts w:hint="eastAsia" w:cs="仿宋_GB2312" w:asciiTheme="minorEastAsia" w:hAnsiTheme="minorEastAsia" w:eastAsiaTheme="minorEastAsia"/>
          <w:szCs w:val="20"/>
          <w:highlight w:val="none"/>
        </w:rPr>
        <w:t>说明：</w:t>
      </w:r>
      <w:r>
        <w:rPr>
          <w:rFonts w:hint="eastAsia" w:cs="仿宋_GB2312" w:asciiTheme="minorEastAsia" w:hAnsiTheme="minorEastAsia" w:eastAsiaTheme="minorEastAsia"/>
          <w:highlight w:val="none"/>
        </w:rPr>
        <w:t>本国产品除了享受20%的价格扣除外，还可以叠加小微企业的价格扣除优惠即商品报价*（小微企业扣除率+本国产品扣除率）</w:t>
      </w:r>
    </w:p>
    <w:p w14:paraId="2A845BFC">
      <w:pPr>
        <w:pStyle w:val="3"/>
        <w:rPr>
          <w:rFonts w:cs="宋体"/>
          <w:highlight w:val="none"/>
        </w:rPr>
      </w:pPr>
      <w:bookmarkStart w:id="410" w:name="_Toc14639"/>
      <w:r>
        <w:rPr>
          <w:rFonts w:hint="eastAsia" w:cs="宋体"/>
          <w:highlight w:val="none"/>
        </w:rPr>
        <w:t>三、评标程序</w:t>
      </w:r>
      <w:bookmarkEnd w:id="410"/>
    </w:p>
    <w:p w14:paraId="2C1E7523">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3.1 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73451714">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21567641">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3.3 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3861D62E">
      <w:pPr>
        <w:spacing w:line="360" w:lineRule="auto"/>
        <w:ind w:firstLine="482" w:firstLineChars="200"/>
        <w:rPr>
          <w:rFonts w:ascii="宋体" w:hAnsi="宋体" w:cs="宋体"/>
          <w:b/>
          <w:kern w:val="0"/>
          <w:sz w:val="24"/>
          <w:highlight w:val="none"/>
        </w:rPr>
      </w:pPr>
      <w:r>
        <w:rPr>
          <w:rFonts w:hint="eastAsia" w:ascii="宋体" w:hAnsi="宋体" w:cs="宋体"/>
          <w:b/>
          <w:kern w:val="0"/>
          <w:sz w:val="24"/>
          <w:highlight w:val="none"/>
        </w:rPr>
        <w:t>3.4 报价评审。</w:t>
      </w:r>
    </w:p>
    <w:p w14:paraId="23A9CB94">
      <w:pPr>
        <w:pStyle w:val="136"/>
        <w:spacing w:before="0"/>
        <w:ind w:firstLine="480"/>
        <w:rPr>
          <w:rFonts w:ascii="宋体" w:hAnsi="宋体" w:cs="宋体"/>
          <w:kern w:val="0"/>
          <w:highlight w:val="none"/>
        </w:rPr>
      </w:pPr>
      <w:r>
        <w:rPr>
          <w:rFonts w:hint="eastAsia" w:ascii="宋体" w:hAnsi="宋体" w:cs="宋体"/>
          <w:kern w:val="0"/>
          <w:highlight w:val="none"/>
        </w:rPr>
        <w:t>3.4.1 投标文件报价出现前后不一致的，按照下列规定修正：</w:t>
      </w:r>
    </w:p>
    <w:p w14:paraId="6B7E243D">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3.4.1.1 投标文件中开标一览表(报价表)内容与投标文件中相应内容不一致的，以开标一览表(报价表)为准;</w:t>
      </w:r>
    </w:p>
    <w:p w14:paraId="1C65999E">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3.4.1.2 大写金额和小写金额不一致的，以大写金额为准;</w:t>
      </w:r>
    </w:p>
    <w:p w14:paraId="22E357C1">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3.4.1.3 单价金额小数点或者百分比有明显错位的，以开标一览表的总价为准，并修改单价;</w:t>
      </w:r>
    </w:p>
    <w:p w14:paraId="41126B06">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3.4.1.4 总价金额与按单价汇总金额不一致的，以单价金额计算结果为准。</w:t>
      </w:r>
    </w:p>
    <w:p w14:paraId="2E311AFF">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3.4.1.5 同时出现两种以上不一致的，按照3.4.1规定的顺序修正。修正后的报价按照财政部第87号令 《政府采购货物和服务招标投标管理办法》第五十一条第二款的规定经投标人确认后产生约束力。</w:t>
      </w:r>
    </w:p>
    <w:p w14:paraId="0BB71778">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3.4.2 投标文件出现不是唯一的、有选择性投标报价的，投标无效。</w:t>
      </w:r>
    </w:p>
    <w:p w14:paraId="6DB412A7">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3.4.3 投标报价超过招标文件中规定的预算金额或者最高限价的，投标无效。</w:t>
      </w:r>
    </w:p>
    <w:p w14:paraId="11377E30">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53A4806F">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3.4.5 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ED41925">
      <w:pPr>
        <w:pStyle w:val="55"/>
        <w:rPr>
          <w:rFonts w:cs="仿宋_GB2312" w:asciiTheme="minorEastAsia" w:hAnsiTheme="minorEastAsia" w:eastAsiaTheme="minorEastAsia"/>
          <w:highlight w:val="none"/>
        </w:rPr>
      </w:pPr>
      <w:r>
        <w:rPr>
          <w:rFonts w:hint="eastAsia" w:ascii="宋体" w:hAnsi="宋体" w:cs="宋体"/>
          <w:kern w:val="0"/>
          <w:szCs w:val="24"/>
          <w:highlight w:val="none"/>
        </w:rPr>
        <w:t xml:space="preserve">3.4.6 </w:t>
      </w:r>
      <w:r>
        <w:rPr>
          <w:rFonts w:hint="eastAsia" w:ascii="宋体" w:hAnsi="宋体" w:cs="宋体"/>
          <w:bCs/>
          <w:highlight w:val="none"/>
        </w:rPr>
        <w:t>对于</w:t>
      </w:r>
      <w:r>
        <w:rPr>
          <w:rFonts w:hint="eastAsia" w:cs="仿宋_GB2312" w:asciiTheme="minorEastAsia" w:hAnsiTheme="minorEastAsia" w:eastAsiaTheme="minorEastAsia"/>
          <w:highlight w:val="none"/>
        </w:rPr>
        <w:t>政府采购活动中既有本国产品又有非本国产品参与竞争的，依法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0B3CB3">
      <w:pPr>
        <w:pStyle w:val="26"/>
        <w:spacing w:line="360" w:lineRule="auto"/>
        <w:rPr>
          <w:rFonts w:cs="宋体"/>
          <w:bCs/>
          <w:highlight w:val="none"/>
        </w:rPr>
      </w:pPr>
      <w:r>
        <w:rPr>
          <w:rFonts w:hint="eastAsia" w:cs="仿宋_GB2312" w:asciiTheme="minorEastAsia" w:hAnsiTheme="minorEastAsia" w:eastAsiaTheme="minorEastAsia"/>
          <w:szCs w:val="20"/>
          <w:highlight w:val="none"/>
        </w:rPr>
        <w:t>说明：</w:t>
      </w:r>
      <w:r>
        <w:rPr>
          <w:rFonts w:hint="eastAsia" w:cs="仿宋_GB2312" w:asciiTheme="minorEastAsia" w:hAnsiTheme="minorEastAsia" w:eastAsiaTheme="minorEastAsia"/>
          <w:highlight w:val="none"/>
        </w:rPr>
        <w:t>本国产品除了享受20%的价格扣除外，还可以叠加小微企业的价格扣除优惠即商品报价*（小微企业扣除率+本国产品扣除率）</w:t>
      </w:r>
    </w:p>
    <w:p w14:paraId="12D61078">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3.4.7 评审中出现下列情形之一的，</w:t>
      </w:r>
      <w:r>
        <w:rPr>
          <w:rFonts w:hint="eastAsia" w:ascii="宋体" w:hAnsi="宋体" w:cs="宋体"/>
          <w:kern w:val="0"/>
          <w:szCs w:val="24"/>
          <w:highlight w:val="none"/>
          <w:lang w:eastAsia="zh-CN"/>
        </w:rPr>
        <w:t>评标委员会</w:t>
      </w:r>
      <w:r>
        <w:rPr>
          <w:rFonts w:hint="eastAsia" w:ascii="宋体" w:hAnsi="宋体" w:cs="宋体"/>
          <w:kern w:val="0"/>
          <w:szCs w:val="24"/>
          <w:highlight w:val="none"/>
        </w:rPr>
        <w:t>应当启动异常低价投标(响应)审查程序：</w:t>
      </w:r>
    </w:p>
    <w:p w14:paraId="0D15A517">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1.投标(响应)报价低于全部通过符合性审查供应商投标(响应)报价平均值50%的，即投标(响应)报价&lt;全部通过符合性审查供应商投标(响应)报价平均值×50%;</w:t>
      </w:r>
    </w:p>
    <w:p w14:paraId="14A60886">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2.投标(响应)报价低于通过符合性审查的次低报价供应商投标(响应)报价50%的，即投标(响应)报价&lt;通过符合性审查的次低报价供应商投标(响应)报价×50%;</w:t>
      </w:r>
    </w:p>
    <w:p w14:paraId="16480389">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3.投标(响应)报价低于采购项目最高限价45%的，即投标(响应)报价&lt;采购项目最高限价×45%;</w:t>
      </w:r>
    </w:p>
    <w:p w14:paraId="157401D2">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4.</w:t>
      </w:r>
      <w:r>
        <w:rPr>
          <w:rFonts w:hint="eastAsia" w:ascii="宋体" w:hAnsi="宋体" w:cs="宋体"/>
          <w:kern w:val="0"/>
          <w:szCs w:val="24"/>
          <w:highlight w:val="none"/>
          <w:lang w:eastAsia="zh-CN"/>
        </w:rPr>
        <w:t>评标委员会</w:t>
      </w:r>
      <w:r>
        <w:rPr>
          <w:rFonts w:hint="eastAsia" w:ascii="宋体" w:hAnsi="宋体" w:cs="宋体"/>
          <w:kern w:val="0"/>
          <w:szCs w:val="24"/>
          <w:highlight w:val="none"/>
        </w:rPr>
        <w:t>基于专业判断，认为供应商报价过低，有可能影响产品质量或者不能诚信履约的其他情形。</w:t>
      </w:r>
    </w:p>
    <w:p w14:paraId="6F972BB6">
      <w:pPr>
        <w:pStyle w:val="136"/>
        <w:spacing w:before="0"/>
        <w:ind w:firstLine="480"/>
        <w:rPr>
          <w:rFonts w:ascii="宋体" w:hAnsi="宋体" w:cs="宋体"/>
          <w:kern w:val="0"/>
          <w:szCs w:val="24"/>
          <w:highlight w:val="none"/>
        </w:rPr>
      </w:pPr>
      <w:r>
        <w:rPr>
          <w:rFonts w:hint="eastAsia" w:ascii="宋体" w:hAnsi="宋体" w:cs="宋体"/>
          <w:kern w:val="0"/>
          <w:szCs w:val="24"/>
          <w:highlight w:val="none"/>
        </w:rPr>
        <w:t>3.4.8</w:t>
      </w:r>
      <w:r>
        <w:rPr>
          <w:rFonts w:hint="eastAsia" w:ascii="宋体" w:hAnsi="宋体" w:cs="宋体"/>
          <w:kern w:val="0"/>
          <w:szCs w:val="24"/>
          <w:highlight w:val="none"/>
          <w:lang w:eastAsia="zh-CN"/>
        </w:rPr>
        <w:t>评标委员会</w:t>
      </w:r>
      <w:r>
        <w:rPr>
          <w:rFonts w:hint="eastAsia" w:ascii="宋体" w:hAnsi="宋体" w:cs="宋体"/>
          <w:kern w:val="0"/>
          <w:szCs w:val="24"/>
          <w:highlight w:val="none"/>
        </w:rPr>
        <w:t>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322035BE">
      <w:pPr>
        <w:pStyle w:val="136"/>
        <w:spacing w:before="0"/>
        <w:ind w:firstLine="480"/>
        <w:rPr>
          <w:rFonts w:ascii="宋体" w:hAnsi="宋体" w:cs="宋体"/>
          <w:kern w:val="0"/>
          <w:szCs w:val="24"/>
          <w:highlight w:val="none"/>
        </w:rPr>
      </w:pPr>
      <w:r>
        <w:rPr>
          <w:rFonts w:hint="eastAsia" w:ascii="宋体" w:hAnsi="宋体" w:cs="宋体"/>
          <w:kern w:val="0"/>
          <w:szCs w:val="24"/>
          <w:highlight w:val="none"/>
          <w:lang w:eastAsia="zh-CN"/>
        </w:rPr>
        <w:t>评标委员会</w:t>
      </w:r>
      <w:r>
        <w:rPr>
          <w:rFonts w:hint="eastAsia" w:ascii="宋体" w:hAnsi="宋体" w:cs="宋体"/>
          <w:kern w:val="0"/>
          <w:szCs w:val="24"/>
          <w:highlight w:val="none"/>
        </w:rPr>
        <w:t>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w:t>
      </w:r>
      <w:r>
        <w:rPr>
          <w:rFonts w:hint="eastAsia" w:ascii="宋体" w:hAnsi="宋体" w:cs="宋体"/>
          <w:kern w:val="0"/>
          <w:szCs w:val="24"/>
          <w:highlight w:val="none"/>
          <w:lang w:eastAsia="zh-CN"/>
        </w:rPr>
        <w:t>评标委员会</w:t>
      </w:r>
      <w:r>
        <w:rPr>
          <w:rFonts w:hint="eastAsia" w:ascii="宋体" w:hAnsi="宋体" w:cs="宋体"/>
          <w:kern w:val="0"/>
          <w:szCs w:val="24"/>
          <w:highlight w:val="none"/>
        </w:rPr>
        <w:t>应当将其作为无效投标处理。</w:t>
      </w:r>
    </w:p>
    <w:p w14:paraId="790C621C">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 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09CA45C">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A6ED7F2">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3.6 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D28823B">
      <w:pPr>
        <w:widowControl/>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14:paraId="2BBED419">
      <w:pPr>
        <w:pStyle w:val="136"/>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 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C39260B">
      <w:pPr>
        <w:pStyle w:val="26"/>
        <w:spacing w:line="360" w:lineRule="auto"/>
        <w:ind w:left="954" w:leftChars="226" w:hanging="479" w:firstLineChars="0"/>
        <w:rPr>
          <w:rFonts w:cs="宋体"/>
          <w:szCs w:val="21"/>
          <w:highlight w:val="none"/>
        </w:rPr>
      </w:pPr>
      <w:r>
        <w:rPr>
          <w:rFonts w:hint="eastAsia" w:cs="宋体"/>
          <w:b/>
          <w:kern w:val="0"/>
          <w:highlight w:val="none"/>
        </w:rPr>
        <w:t>4.2 投标无效。</w:t>
      </w:r>
      <w:r>
        <w:rPr>
          <w:rFonts w:hint="eastAsia" w:cs="宋体"/>
          <w:szCs w:val="21"/>
          <w:highlight w:val="none"/>
        </w:rPr>
        <w:t>有下列情形之一的，投标无效：</w:t>
      </w:r>
    </w:p>
    <w:p w14:paraId="7B5358E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 投标人不具备招标文件中规定的资格要求的（投标人未提供有效的资格文件的，视为投标人不具备招标文件中规定的资格要求）；</w:t>
      </w:r>
    </w:p>
    <w:p w14:paraId="2AE58792">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 投标文件未按照招标文件要求签署、盖章的；</w:t>
      </w:r>
    </w:p>
    <w:p w14:paraId="3C57543B">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 采购人拟采购的产品属于政府强制采购的节能产品品目清单范围的，投标人相应的投标产品未获得国家确定的认证机构出具的、处于有效期之内的节能产品认证证书的；</w:t>
      </w:r>
    </w:p>
    <w:p w14:paraId="0640325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 投标文件含有采购人不能接受的附加条件的；</w:t>
      </w:r>
    </w:p>
    <w:p w14:paraId="10E1B56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 投标文件中承诺的投标有效期少于招标文件中载明的投标有效期的；</w:t>
      </w:r>
    </w:p>
    <w:p w14:paraId="277C2DA5">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4.2.6 投标文件出现不是唯一的、有选择性投标报价的;</w:t>
      </w:r>
    </w:p>
    <w:p w14:paraId="0553CD4D">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 投标报价超过招标文件中规定的预算金额或者最高限价的;</w:t>
      </w:r>
    </w:p>
    <w:p w14:paraId="09446D6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4.2.8 </w:t>
      </w:r>
      <w:r>
        <w:rPr>
          <w:rFonts w:hint="eastAsia" w:ascii="宋体" w:hAnsi="宋体" w:cs="宋体"/>
          <w:kern w:val="0"/>
          <w:sz w:val="24"/>
          <w:highlight w:val="none"/>
          <w:lang w:eastAsia="zh-CN"/>
        </w:rPr>
        <w:t>评标委员会</w:t>
      </w:r>
      <w:r>
        <w:rPr>
          <w:rFonts w:hint="eastAsia" w:ascii="宋体" w:hAnsi="宋体" w:cs="宋体"/>
          <w:kern w:val="0"/>
          <w:sz w:val="24"/>
          <w:highlight w:val="none"/>
        </w:rPr>
        <w:t>启动异常低价投标审查后，投标人不能提供书面说明、证明材料，或者提供的书面说明、证明材料不能证明其报价合理性的;</w:t>
      </w:r>
    </w:p>
    <w:p w14:paraId="614A08A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4.2.9 投标人对根据修正原则修正后的报价不确认的；</w:t>
      </w:r>
    </w:p>
    <w:p w14:paraId="3B1DE42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 投标人提供虚假材料投标的；</w:t>
      </w:r>
    </w:p>
    <w:p w14:paraId="45E7BB6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4.2.11 投标人有恶意串通、妨碍其他投标人的竞争行为、损害采购人或者其他投标人的合法权益情形的。除政府采购法律法规规章规定的属于恶意串通、视为串通投标情形外，在不影响公平竞争的前提下，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B62B78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4.2.12 投标人仅提交备份投标文件，未在电子交易平台传输递交投标文件的，投标无效；</w:t>
      </w:r>
    </w:p>
    <w:p w14:paraId="0770CCD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4.2.13 投标文件不满足招标文件的其它实质性要求的；</w:t>
      </w:r>
    </w:p>
    <w:p w14:paraId="1FBE38C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4.2.14 法律、法规、规章（适用本市的）及省级以上规范性文件（适用本市的）规定的其他无效情形。</w:t>
      </w:r>
    </w:p>
    <w:p w14:paraId="6ED10DF5">
      <w:pPr>
        <w:pStyle w:val="26"/>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1BC06A3">
      <w:pPr>
        <w:pStyle w:val="26"/>
        <w:snapToGrid w:val="0"/>
        <w:spacing w:line="360" w:lineRule="auto"/>
        <w:rPr>
          <w:rFonts w:cs="宋体"/>
          <w:highlight w:val="none"/>
        </w:rPr>
      </w:pPr>
      <w:r>
        <w:rPr>
          <w:rFonts w:hint="eastAsia" w:cs="宋体"/>
          <w:highlight w:val="none"/>
        </w:rPr>
        <w:t>5.1 符合专业条件的供应商或者对招标文件作实质响应的供应商不足3家的；</w:t>
      </w:r>
    </w:p>
    <w:p w14:paraId="3670887E">
      <w:pPr>
        <w:pStyle w:val="26"/>
        <w:snapToGrid w:val="0"/>
        <w:spacing w:line="360" w:lineRule="auto"/>
        <w:rPr>
          <w:rFonts w:cs="宋体"/>
          <w:highlight w:val="none"/>
        </w:rPr>
      </w:pPr>
      <w:r>
        <w:rPr>
          <w:rFonts w:hint="eastAsia" w:cs="宋体"/>
          <w:highlight w:val="none"/>
        </w:rPr>
        <w:t>5.2 出现影响采购公正的违法、违规行为的；</w:t>
      </w:r>
    </w:p>
    <w:p w14:paraId="1B9280FC">
      <w:pPr>
        <w:pStyle w:val="26"/>
        <w:snapToGrid w:val="0"/>
        <w:spacing w:line="360" w:lineRule="auto"/>
        <w:rPr>
          <w:rFonts w:cs="宋体"/>
          <w:highlight w:val="none"/>
        </w:rPr>
      </w:pPr>
      <w:r>
        <w:rPr>
          <w:rFonts w:hint="eastAsia" w:cs="宋体"/>
          <w:highlight w:val="none"/>
        </w:rPr>
        <w:t>5.3 投标人的报价均超过了采购预算，采购人不能支付的；</w:t>
      </w:r>
    </w:p>
    <w:p w14:paraId="5F106F9B">
      <w:pPr>
        <w:pStyle w:val="26"/>
        <w:snapToGrid w:val="0"/>
        <w:spacing w:line="360" w:lineRule="auto"/>
        <w:rPr>
          <w:rFonts w:cs="宋体"/>
          <w:highlight w:val="none"/>
        </w:rPr>
      </w:pPr>
      <w:r>
        <w:rPr>
          <w:rFonts w:hint="eastAsia" w:cs="宋体"/>
          <w:highlight w:val="none"/>
        </w:rPr>
        <w:t>5.4 因重大变故，采购任务取消的。</w:t>
      </w:r>
    </w:p>
    <w:p w14:paraId="65449C1C">
      <w:pPr>
        <w:pStyle w:val="26"/>
        <w:snapToGrid w:val="0"/>
        <w:spacing w:line="360" w:lineRule="auto"/>
        <w:rPr>
          <w:rFonts w:cs="宋体"/>
          <w:highlight w:val="none"/>
        </w:rPr>
      </w:pPr>
      <w:r>
        <w:rPr>
          <w:rFonts w:hint="eastAsia" w:cs="宋体"/>
          <w:highlight w:val="none"/>
        </w:rPr>
        <w:t>废标后，采购代理机构应当将废标理由通知所有投标人。</w:t>
      </w:r>
    </w:p>
    <w:p w14:paraId="6CA07441">
      <w:pPr>
        <w:pStyle w:val="26"/>
        <w:snapToGrid w:val="0"/>
        <w:spacing w:line="360" w:lineRule="auto"/>
        <w:ind w:firstLine="472" w:firstLineChars="196"/>
        <w:rPr>
          <w:rFonts w:cs="宋体"/>
          <w:b/>
          <w:highlight w:val="none"/>
        </w:rPr>
      </w:pPr>
      <w:r>
        <w:rPr>
          <w:rFonts w:hint="eastAsia" w:cs="宋体"/>
          <w:b/>
          <w:highlight w:val="none"/>
        </w:rPr>
        <w:t>6.修改招标文件，重新组织采购活动。</w:t>
      </w:r>
      <w:r>
        <w:rPr>
          <w:rFonts w:hint="eastAsia" w:cs="宋体"/>
          <w:bCs/>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6662D8D">
      <w:pPr>
        <w:pStyle w:val="26"/>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3E88B22C">
      <w:pPr>
        <w:pStyle w:val="26"/>
        <w:snapToGrid w:val="0"/>
        <w:spacing w:line="360" w:lineRule="auto"/>
        <w:rPr>
          <w:rFonts w:cs="宋体"/>
          <w:highlight w:val="none"/>
        </w:rPr>
      </w:pPr>
      <w:r>
        <w:rPr>
          <w:rFonts w:hint="eastAsia" w:cs="宋体"/>
          <w:highlight w:val="none"/>
        </w:rPr>
        <w:t>7.1 未确定中标人的，终止本次政府采购活动，重新开展政府采购活动。</w:t>
      </w:r>
    </w:p>
    <w:p w14:paraId="0135B502">
      <w:pPr>
        <w:pStyle w:val="26"/>
        <w:snapToGrid w:val="0"/>
        <w:spacing w:line="360" w:lineRule="auto"/>
        <w:rPr>
          <w:rFonts w:cs="宋体"/>
          <w:highlight w:val="none"/>
        </w:rPr>
      </w:pPr>
      <w:r>
        <w:rPr>
          <w:rFonts w:hint="eastAsia" w:cs="宋体"/>
          <w:highlight w:val="none"/>
        </w:rPr>
        <w:t>7.2 已确定中标人但尚未签订政府采购合同的，中标结果无效，从合格的中标候选人中另行确定中标人；没有合格的中标候选人的，重新开展政府采购活动。</w:t>
      </w:r>
    </w:p>
    <w:p w14:paraId="68B2D5E5">
      <w:pPr>
        <w:pStyle w:val="26"/>
        <w:snapToGrid w:val="0"/>
        <w:spacing w:line="360" w:lineRule="auto"/>
        <w:rPr>
          <w:rFonts w:cs="宋体"/>
          <w:highlight w:val="none"/>
        </w:rPr>
      </w:pPr>
      <w:r>
        <w:rPr>
          <w:rFonts w:hint="eastAsia" w:cs="宋体"/>
          <w:highlight w:val="none"/>
        </w:rPr>
        <w:t>7.3 政府采购合同已签订但尚未履行的，撤销合同，从合格的中标候选人中另行确定中标人；没有合格的中标候选人的，重新开展政府采购活动。</w:t>
      </w:r>
    </w:p>
    <w:p w14:paraId="1DA87AE3">
      <w:pPr>
        <w:pStyle w:val="26"/>
        <w:snapToGrid w:val="0"/>
        <w:spacing w:line="360" w:lineRule="auto"/>
        <w:rPr>
          <w:rFonts w:cs="宋体"/>
          <w:highlight w:val="none"/>
        </w:rPr>
      </w:pPr>
      <w:r>
        <w:rPr>
          <w:rFonts w:hint="eastAsia" w:cs="宋体"/>
          <w:highlight w:val="none"/>
        </w:rPr>
        <w:t>7.4 政府采购合同已经履行，给采购人、供应商造成损失的，由责任人承担赔偿责任。</w:t>
      </w:r>
    </w:p>
    <w:bookmarkEnd w:id="39"/>
    <w:p w14:paraId="1BCDD007">
      <w:pPr>
        <w:pStyle w:val="26"/>
        <w:snapToGrid w:val="0"/>
        <w:spacing w:line="360" w:lineRule="auto"/>
        <w:rPr>
          <w:rFonts w:cs="宋体"/>
          <w:highlight w:val="none"/>
        </w:rPr>
        <w:sectPr>
          <w:footerReference r:id="rId8" w:type="default"/>
          <w:pgSz w:w="11907" w:h="16840"/>
          <w:pgMar w:top="1440" w:right="1080" w:bottom="1440" w:left="1080" w:header="851" w:footer="851" w:gutter="0"/>
          <w:cols w:space="720" w:num="1"/>
        </w:sectPr>
      </w:pPr>
      <w:r>
        <w:rPr>
          <w:rFonts w:hint="eastAsia" w:cs="宋体"/>
          <w:highlight w:val="none"/>
        </w:rPr>
        <w:t>7.5 政府采购当事人有其他违反政府采购法或者政府采购法实施条例等法律法规规定的行为，经改正后仍然影响或者可能影响中标结果或者依法被认定为中标无效的，依照7.1-7.4规定处理。</w:t>
      </w:r>
    </w:p>
    <w:bookmarkEnd w:id="407"/>
    <w:p w14:paraId="05251E71">
      <w:pPr>
        <w:pStyle w:val="2"/>
        <w:rPr>
          <w:rFonts w:ascii="宋体" w:hAnsi="宋体" w:cs="宋体"/>
          <w:highlight w:val="none"/>
        </w:rPr>
      </w:pPr>
      <w:bookmarkStart w:id="411" w:name="_Toc5183"/>
      <w:bookmarkStart w:id="412" w:name="_Toc86217003"/>
      <w:bookmarkStart w:id="413" w:name="第五部分"/>
      <w:r>
        <w:rPr>
          <w:rFonts w:hint="eastAsia" w:ascii="宋体" w:hAnsi="宋体" w:cs="宋体"/>
          <w:highlight w:val="none"/>
        </w:rPr>
        <w:t>第五部分 拟签订的合同文本</w:t>
      </w:r>
      <w:bookmarkEnd w:id="411"/>
    </w:p>
    <w:p w14:paraId="7CD5F6A8">
      <w:pPr>
        <w:pStyle w:val="34"/>
        <w:snapToGrid w:val="0"/>
        <w:spacing w:line="460" w:lineRule="exact"/>
        <w:rPr>
          <w:rFonts w:hAnsi="宋体" w:cs="宋体"/>
          <w:highlight w:val="none"/>
        </w:rPr>
      </w:pPr>
      <w:r>
        <w:rPr>
          <w:rFonts w:hint="eastAsia" w:hAnsi="宋体" w:cs="宋体"/>
          <w:highlight w:val="none"/>
        </w:rPr>
        <w:t>项目名称：                                     项目编号：</w:t>
      </w:r>
    </w:p>
    <w:p w14:paraId="67A4E359">
      <w:pPr>
        <w:pStyle w:val="34"/>
        <w:snapToGrid w:val="0"/>
        <w:spacing w:line="460" w:lineRule="exact"/>
        <w:rPr>
          <w:rFonts w:hAnsi="宋体" w:cs="宋体"/>
          <w:highlight w:val="none"/>
        </w:rPr>
      </w:pPr>
      <w:r>
        <w:rPr>
          <w:rFonts w:hint="eastAsia" w:hAnsi="宋体" w:cs="宋体"/>
          <w:highlight w:val="none"/>
        </w:rPr>
        <w:t>甲方：（买方）</w:t>
      </w:r>
    </w:p>
    <w:p w14:paraId="4FDD90F0">
      <w:pPr>
        <w:pStyle w:val="34"/>
        <w:snapToGrid w:val="0"/>
        <w:spacing w:line="460" w:lineRule="exact"/>
        <w:rPr>
          <w:rFonts w:hAnsi="宋体" w:cs="宋体"/>
          <w:highlight w:val="none"/>
        </w:rPr>
      </w:pPr>
      <w:r>
        <w:rPr>
          <w:rFonts w:hint="eastAsia" w:hAnsi="宋体" w:cs="宋体"/>
          <w:highlight w:val="none"/>
        </w:rPr>
        <w:t>乙方：（卖方）</w:t>
      </w:r>
    </w:p>
    <w:p w14:paraId="1428ED04">
      <w:pPr>
        <w:pStyle w:val="34"/>
        <w:snapToGrid w:val="0"/>
        <w:spacing w:line="460" w:lineRule="exact"/>
        <w:rPr>
          <w:rFonts w:hAnsi="宋体" w:cs="宋体"/>
          <w:highlight w:val="none"/>
        </w:rPr>
      </w:pPr>
      <w:r>
        <w:rPr>
          <w:rFonts w:hint="eastAsia" w:hAnsi="宋体" w:cs="宋体"/>
          <w:highlight w:val="none"/>
        </w:rPr>
        <w:t xml:space="preserve">甲、乙双方根据 </w:t>
      </w:r>
      <w:r>
        <w:rPr>
          <w:rFonts w:hint="eastAsia" w:hAnsi="宋体" w:cs="宋体"/>
          <w:highlight w:val="none"/>
          <w:u w:val="single"/>
        </w:rPr>
        <w:t xml:space="preserve">                                         </w:t>
      </w:r>
      <w:r>
        <w:rPr>
          <w:rFonts w:hint="eastAsia" w:hAnsi="宋体" w:cs="宋体"/>
          <w:highlight w:val="none"/>
        </w:rPr>
        <w:t>的结果，签署本合同。</w:t>
      </w:r>
    </w:p>
    <w:p w14:paraId="4F46EC79">
      <w:pPr>
        <w:pStyle w:val="34"/>
        <w:snapToGrid w:val="0"/>
        <w:spacing w:line="460" w:lineRule="exact"/>
        <w:rPr>
          <w:rFonts w:hAnsi="宋体" w:cs="宋体"/>
          <w:highlight w:val="none"/>
        </w:rPr>
      </w:pPr>
      <w:r>
        <w:rPr>
          <w:rFonts w:hint="eastAsia" w:hAnsi="宋体" w:cs="宋体"/>
          <w:highlight w:val="none"/>
        </w:rPr>
        <w:t>一、项目内容</w:t>
      </w:r>
    </w:p>
    <w:p w14:paraId="7B271421">
      <w:pPr>
        <w:pStyle w:val="57"/>
        <w:rPr>
          <w:rFonts w:ascii="宋体" w:hAnsi="宋体" w:cs="宋体"/>
          <w:highlight w:val="none"/>
        </w:rPr>
      </w:pPr>
    </w:p>
    <w:p w14:paraId="6110BF5F">
      <w:pPr>
        <w:pStyle w:val="34"/>
        <w:snapToGrid w:val="0"/>
        <w:spacing w:line="460" w:lineRule="exact"/>
        <w:rPr>
          <w:rFonts w:hAnsi="宋体" w:cs="宋体"/>
          <w:highlight w:val="none"/>
        </w:rPr>
      </w:pPr>
      <w:r>
        <w:rPr>
          <w:rFonts w:hint="eastAsia" w:hAnsi="宋体" w:cs="宋体"/>
          <w:highlight w:val="none"/>
        </w:rPr>
        <w:t>二、合同金额</w:t>
      </w:r>
    </w:p>
    <w:p w14:paraId="5AD463C9">
      <w:pPr>
        <w:pStyle w:val="34"/>
        <w:snapToGrid w:val="0"/>
        <w:spacing w:line="460" w:lineRule="exact"/>
        <w:rPr>
          <w:rFonts w:hAnsi="宋体" w:cs="宋体"/>
          <w:highlight w:val="none"/>
        </w:rPr>
      </w:pPr>
      <w:r>
        <w:rPr>
          <w:rFonts w:hint="eastAsia" w:hAnsi="宋体" w:cs="宋体"/>
          <w:highlight w:val="none"/>
        </w:rPr>
        <w:t>本合同金额为（大写）：_______________________________元（￥__________元）人</w:t>
      </w:r>
    </w:p>
    <w:p w14:paraId="6E647673">
      <w:pPr>
        <w:pStyle w:val="34"/>
        <w:snapToGrid w:val="0"/>
        <w:spacing w:line="460" w:lineRule="exact"/>
        <w:rPr>
          <w:rFonts w:hAnsi="宋体" w:cs="宋体"/>
          <w:highlight w:val="none"/>
        </w:rPr>
      </w:pPr>
      <w:r>
        <w:rPr>
          <w:rFonts w:hint="eastAsia" w:hAnsi="宋体" w:cs="宋体"/>
          <w:highlight w:val="none"/>
        </w:rPr>
        <w:t>三、技术资料</w:t>
      </w:r>
    </w:p>
    <w:p w14:paraId="6C2517CF">
      <w:pPr>
        <w:pStyle w:val="34"/>
        <w:snapToGrid w:val="0"/>
        <w:spacing w:line="460" w:lineRule="exact"/>
        <w:ind w:left="359" w:hanging="359" w:hangingChars="171"/>
        <w:rPr>
          <w:rFonts w:hAnsi="宋体" w:cs="宋体"/>
          <w:highlight w:val="none"/>
        </w:rPr>
      </w:pPr>
      <w:r>
        <w:rPr>
          <w:rFonts w:hint="eastAsia" w:hAnsi="宋体" w:cs="宋体"/>
          <w:highlight w:val="none"/>
        </w:rPr>
        <w:t>1.乙方应按招标文件规定的时间向甲方提供有关技术资料。</w:t>
      </w:r>
    </w:p>
    <w:p w14:paraId="48233402">
      <w:pPr>
        <w:pStyle w:val="34"/>
        <w:snapToGrid w:val="0"/>
        <w:spacing w:line="460" w:lineRule="exact"/>
        <w:rPr>
          <w:rFonts w:hAnsi="宋体" w:cs="宋体"/>
          <w:highlight w:val="none"/>
        </w:rPr>
      </w:pPr>
      <w:r>
        <w:rPr>
          <w:rFonts w:hint="eastAsia" w:hAnsi="宋体" w:cs="宋体"/>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6F1B53F">
      <w:pPr>
        <w:pStyle w:val="34"/>
        <w:snapToGrid w:val="0"/>
        <w:spacing w:line="460" w:lineRule="exact"/>
        <w:ind w:left="359" w:hanging="359" w:hangingChars="171"/>
        <w:rPr>
          <w:rFonts w:hAnsi="宋体" w:cs="宋体"/>
          <w:highlight w:val="none"/>
        </w:rPr>
      </w:pPr>
      <w:r>
        <w:rPr>
          <w:rFonts w:hint="eastAsia" w:hAnsi="宋体" w:cs="宋体"/>
          <w:highlight w:val="none"/>
        </w:rPr>
        <w:t>四、知识产权</w:t>
      </w:r>
    </w:p>
    <w:p w14:paraId="40C4AAD3">
      <w:pPr>
        <w:pStyle w:val="34"/>
        <w:snapToGrid w:val="0"/>
        <w:spacing w:line="460" w:lineRule="exact"/>
        <w:ind w:left="359" w:hanging="359" w:hangingChars="171"/>
        <w:rPr>
          <w:rFonts w:hAnsi="宋体" w:cs="宋体"/>
          <w:bCs/>
          <w:highlight w:val="none"/>
        </w:rPr>
      </w:pPr>
      <w:r>
        <w:rPr>
          <w:rFonts w:hint="eastAsia" w:hAnsi="宋体" w:cs="宋体"/>
          <w:highlight w:val="none"/>
        </w:rPr>
        <w:t>乙方应保证提供服务过程中不会侵犯任何第三方的知识产权</w:t>
      </w:r>
      <w:r>
        <w:rPr>
          <w:rFonts w:hint="eastAsia" w:hAnsi="宋体" w:cs="宋体"/>
          <w:bCs/>
          <w:highlight w:val="none"/>
        </w:rPr>
        <w:t>。</w:t>
      </w:r>
    </w:p>
    <w:p w14:paraId="26FC2274">
      <w:pPr>
        <w:pStyle w:val="34"/>
        <w:snapToGrid w:val="0"/>
        <w:spacing w:line="460" w:lineRule="exact"/>
        <w:ind w:left="357" w:hanging="357" w:hangingChars="170"/>
        <w:rPr>
          <w:rFonts w:hAnsi="宋体" w:cs="宋体"/>
          <w:highlight w:val="none"/>
        </w:rPr>
      </w:pPr>
      <w:r>
        <w:rPr>
          <w:rFonts w:hint="eastAsia" w:hAnsi="宋体" w:cs="宋体"/>
          <w:highlight w:val="none"/>
        </w:rPr>
        <w:t>五、履约保证金</w:t>
      </w:r>
    </w:p>
    <w:p w14:paraId="1B321530">
      <w:pPr>
        <w:pStyle w:val="34"/>
        <w:snapToGrid w:val="0"/>
        <w:spacing w:line="460" w:lineRule="exact"/>
        <w:ind w:left="357" w:hanging="357" w:hangingChars="170"/>
        <w:rPr>
          <w:rFonts w:hAnsi="宋体" w:cs="宋体"/>
          <w:highlight w:val="none"/>
        </w:rPr>
      </w:pPr>
      <w:r>
        <w:rPr>
          <w:rFonts w:hint="eastAsia" w:hAnsi="宋体" w:cs="宋体"/>
          <w:highlight w:val="none"/>
        </w:rPr>
        <w:t>乙方交纳人民币</w:t>
      </w:r>
      <w:r>
        <w:rPr>
          <w:rFonts w:hint="eastAsia" w:hAnsi="宋体" w:cs="宋体"/>
          <w:highlight w:val="none"/>
          <w:u w:val="single"/>
        </w:rPr>
        <w:t xml:space="preserve">  </w:t>
      </w:r>
      <w:r>
        <w:rPr>
          <w:rFonts w:hint="eastAsia" w:hAnsi="宋体" w:cs="宋体"/>
          <w:highlight w:val="none"/>
        </w:rPr>
        <w:t>元作为本合同的履约保证金。</w:t>
      </w:r>
    </w:p>
    <w:p w14:paraId="5A1EE217">
      <w:pPr>
        <w:snapToGrid w:val="0"/>
        <w:spacing w:line="460" w:lineRule="exact"/>
        <w:rPr>
          <w:rFonts w:ascii="宋体" w:hAnsi="宋体" w:cs="宋体"/>
          <w:szCs w:val="21"/>
          <w:highlight w:val="none"/>
        </w:rPr>
      </w:pPr>
      <w:r>
        <w:rPr>
          <w:rFonts w:hint="eastAsia" w:ascii="宋体" w:hAnsi="宋体" w:cs="宋体"/>
          <w:szCs w:val="21"/>
          <w:highlight w:val="none"/>
        </w:rPr>
        <w:t>六、转包或分包</w:t>
      </w:r>
    </w:p>
    <w:p w14:paraId="3C01AF14">
      <w:pPr>
        <w:snapToGrid w:val="0"/>
        <w:spacing w:line="460" w:lineRule="exact"/>
        <w:rPr>
          <w:rFonts w:ascii="宋体" w:hAnsi="宋体" w:cs="宋体"/>
          <w:szCs w:val="21"/>
          <w:highlight w:val="none"/>
        </w:rPr>
      </w:pPr>
      <w:r>
        <w:rPr>
          <w:rFonts w:hint="eastAsia" w:ascii="宋体" w:hAnsi="宋体" w:cs="宋体"/>
          <w:szCs w:val="21"/>
          <w:highlight w:val="none"/>
        </w:rPr>
        <w:t>1.本合同范围的服务，应由乙方直接供应，不得转让他人供应；</w:t>
      </w:r>
    </w:p>
    <w:p w14:paraId="1929C174">
      <w:pPr>
        <w:snapToGrid w:val="0"/>
        <w:spacing w:line="460" w:lineRule="exact"/>
        <w:rPr>
          <w:rFonts w:ascii="宋体" w:hAnsi="宋体" w:cs="宋体"/>
          <w:szCs w:val="21"/>
          <w:highlight w:val="none"/>
        </w:rPr>
      </w:pPr>
      <w:r>
        <w:rPr>
          <w:rFonts w:hint="eastAsia" w:ascii="宋体" w:hAnsi="宋体" w:cs="宋体"/>
          <w:szCs w:val="21"/>
          <w:highlight w:val="none"/>
        </w:rPr>
        <w:t>2.除非得到甲方的书面同意，乙方不得将本合同范围的服务全部或部分分包给他人供应；</w:t>
      </w:r>
    </w:p>
    <w:p w14:paraId="04D6D3BE">
      <w:pPr>
        <w:snapToGrid w:val="0"/>
        <w:spacing w:line="460" w:lineRule="exact"/>
        <w:rPr>
          <w:rFonts w:ascii="宋体" w:hAnsi="宋体" w:cs="宋体"/>
          <w:szCs w:val="21"/>
          <w:highlight w:val="none"/>
        </w:rPr>
      </w:pPr>
      <w:r>
        <w:rPr>
          <w:rFonts w:hint="eastAsia" w:ascii="宋体" w:hAnsi="宋体" w:cs="宋体"/>
          <w:szCs w:val="21"/>
          <w:highlight w:val="none"/>
        </w:rPr>
        <w:t>3.如有转让和未经甲方同意的分包行为，甲方有权解除合同，没收履约保证金并追究乙方的违约责任。</w:t>
      </w:r>
    </w:p>
    <w:p w14:paraId="48FCCD56">
      <w:pPr>
        <w:pStyle w:val="34"/>
        <w:snapToGrid w:val="0"/>
        <w:spacing w:line="460" w:lineRule="exact"/>
        <w:rPr>
          <w:rFonts w:hAnsi="宋体" w:cs="宋体"/>
          <w:highlight w:val="none"/>
        </w:rPr>
      </w:pPr>
      <w:r>
        <w:rPr>
          <w:rFonts w:hint="eastAsia" w:hAnsi="宋体" w:cs="宋体"/>
          <w:highlight w:val="none"/>
        </w:rPr>
        <w:t>七、合同履行时间、履行方式及履行地点</w:t>
      </w:r>
    </w:p>
    <w:p w14:paraId="4AFBCF9E">
      <w:pPr>
        <w:pStyle w:val="34"/>
        <w:snapToGrid w:val="0"/>
        <w:spacing w:line="460" w:lineRule="exact"/>
        <w:rPr>
          <w:rFonts w:hAnsi="宋体" w:cs="宋体"/>
          <w:bCs/>
          <w:highlight w:val="none"/>
        </w:rPr>
      </w:pPr>
      <w:r>
        <w:rPr>
          <w:rFonts w:hint="eastAsia" w:hAnsi="宋体" w:cs="宋体"/>
          <w:bCs/>
          <w:highlight w:val="none"/>
        </w:rPr>
        <w:t xml:space="preserve">1. </w:t>
      </w:r>
      <w:r>
        <w:rPr>
          <w:rFonts w:hint="eastAsia" w:hAnsi="宋体" w:cs="宋体"/>
          <w:highlight w:val="none"/>
        </w:rPr>
        <w:t>履行时间</w:t>
      </w:r>
      <w:r>
        <w:rPr>
          <w:rFonts w:hint="eastAsia" w:hAnsi="宋体" w:cs="宋体"/>
          <w:bCs/>
          <w:highlight w:val="none"/>
        </w:rPr>
        <w:t>：</w:t>
      </w:r>
    </w:p>
    <w:p w14:paraId="66931EA5">
      <w:pPr>
        <w:pStyle w:val="34"/>
        <w:snapToGrid w:val="0"/>
        <w:spacing w:line="460" w:lineRule="exact"/>
        <w:rPr>
          <w:rFonts w:hAnsi="宋体" w:cs="宋体"/>
          <w:bCs/>
          <w:highlight w:val="none"/>
        </w:rPr>
      </w:pPr>
      <w:r>
        <w:rPr>
          <w:rFonts w:hint="eastAsia" w:hAnsi="宋体" w:cs="宋体"/>
          <w:bCs/>
          <w:highlight w:val="none"/>
        </w:rPr>
        <w:t xml:space="preserve">2. </w:t>
      </w:r>
      <w:r>
        <w:rPr>
          <w:rFonts w:hint="eastAsia" w:hAnsi="宋体" w:cs="宋体"/>
          <w:highlight w:val="none"/>
        </w:rPr>
        <w:t>履行方式</w:t>
      </w:r>
      <w:r>
        <w:rPr>
          <w:rFonts w:hint="eastAsia" w:hAnsi="宋体" w:cs="宋体"/>
          <w:bCs/>
          <w:highlight w:val="none"/>
        </w:rPr>
        <w:t>：</w:t>
      </w:r>
    </w:p>
    <w:p w14:paraId="570409FB">
      <w:pPr>
        <w:pStyle w:val="34"/>
        <w:snapToGrid w:val="0"/>
        <w:spacing w:line="460" w:lineRule="exact"/>
        <w:rPr>
          <w:rFonts w:hAnsi="宋体" w:cs="宋体"/>
          <w:bCs/>
          <w:highlight w:val="none"/>
        </w:rPr>
      </w:pPr>
      <w:r>
        <w:rPr>
          <w:rFonts w:hint="eastAsia" w:hAnsi="宋体" w:cs="宋体"/>
          <w:bCs/>
          <w:highlight w:val="none"/>
        </w:rPr>
        <w:t xml:space="preserve">3. </w:t>
      </w:r>
      <w:r>
        <w:rPr>
          <w:rFonts w:hint="eastAsia" w:hAnsi="宋体" w:cs="宋体"/>
          <w:highlight w:val="none"/>
        </w:rPr>
        <w:t>履行地点</w:t>
      </w:r>
      <w:r>
        <w:rPr>
          <w:rFonts w:hint="eastAsia" w:hAnsi="宋体" w:cs="宋体"/>
          <w:bCs/>
          <w:highlight w:val="none"/>
        </w:rPr>
        <w:t>：</w:t>
      </w:r>
    </w:p>
    <w:p w14:paraId="5B3D44EF">
      <w:pPr>
        <w:pStyle w:val="34"/>
        <w:snapToGrid w:val="0"/>
        <w:spacing w:line="460" w:lineRule="exact"/>
        <w:rPr>
          <w:rFonts w:hAnsi="宋体" w:cs="宋体"/>
          <w:highlight w:val="none"/>
        </w:rPr>
      </w:pPr>
      <w:r>
        <w:rPr>
          <w:rFonts w:hint="eastAsia" w:hAnsi="宋体" w:cs="宋体"/>
          <w:highlight w:val="none"/>
        </w:rPr>
        <w:t>八、款项支付</w:t>
      </w:r>
    </w:p>
    <w:p w14:paraId="46C37287">
      <w:pPr>
        <w:pStyle w:val="34"/>
        <w:snapToGrid w:val="0"/>
        <w:spacing w:line="460" w:lineRule="exact"/>
        <w:ind w:firstLine="315" w:firstLineChars="150"/>
        <w:rPr>
          <w:rFonts w:hAnsi="宋体" w:cs="宋体"/>
          <w:bCs/>
          <w:highlight w:val="none"/>
        </w:rPr>
      </w:pPr>
      <w:r>
        <w:rPr>
          <w:rFonts w:hint="eastAsia" w:hAnsi="宋体" w:cs="宋体"/>
          <w:bCs/>
          <w:highlight w:val="none"/>
        </w:rPr>
        <w:t xml:space="preserve"> 付款方式：</w:t>
      </w:r>
    </w:p>
    <w:p w14:paraId="4F5A9706">
      <w:pPr>
        <w:snapToGrid w:val="0"/>
        <w:spacing w:line="460" w:lineRule="exact"/>
        <w:rPr>
          <w:rFonts w:ascii="宋体" w:hAnsi="宋体" w:cs="宋体"/>
          <w:szCs w:val="21"/>
          <w:highlight w:val="none"/>
        </w:rPr>
      </w:pPr>
      <w:r>
        <w:rPr>
          <w:rFonts w:hint="eastAsia" w:ascii="宋体" w:hAnsi="宋体" w:cs="宋体"/>
          <w:szCs w:val="21"/>
          <w:highlight w:val="none"/>
        </w:rPr>
        <w:t>九、税费</w:t>
      </w:r>
    </w:p>
    <w:p w14:paraId="2D7D206E">
      <w:pPr>
        <w:snapToGrid w:val="0"/>
        <w:spacing w:line="460" w:lineRule="exact"/>
        <w:rPr>
          <w:rFonts w:ascii="宋体" w:hAnsi="宋体" w:cs="宋体"/>
          <w:szCs w:val="21"/>
          <w:highlight w:val="none"/>
        </w:rPr>
      </w:pPr>
      <w:r>
        <w:rPr>
          <w:rFonts w:hint="eastAsia" w:ascii="宋体" w:hAnsi="宋体" w:cs="宋体"/>
          <w:szCs w:val="21"/>
          <w:highlight w:val="none"/>
        </w:rPr>
        <w:t>本合同执行中相关的一切税费均由乙方负担。</w:t>
      </w:r>
    </w:p>
    <w:p w14:paraId="56BE161B">
      <w:pPr>
        <w:pStyle w:val="34"/>
        <w:snapToGrid w:val="0"/>
        <w:spacing w:line="460" w:lineRule="exact"/>
        <w:ind w:left="359" w:hanging="359" w:hangingChars="171"/>
        <w:rPr>
          <w:rFonts w:hAnsi="宋体" w:cs="宋体"/>
          <w:highlight w:val="none"/>
        </w:rPr>
      </w:pPr>
      <w:r>
        <w:rPr>
          <w:rFonts w:hint="eastAsia" w:hAnsi="宋体" w:cs="宋体"/>
          <w:highlight w:val="none"/>
        </w:rPr>
        <w:t>十、质量保证及后续服务</w:t>
      </w:r>
    </w:p>
    <w:p w14:paraId="002D0374">
      <w:pPr>
        <w:pStyle w:val="34"/>
        <w:snapToGrid w:val="0"/>
        <w:spacing w:line="460" w:lineRule="exact"/>
        <w:ind w:left="359" w:hanging="359" w:hangingChars="171"/>
        <w:rPr>
          <w:rFonts w:hAnsi="宋体" w:cs="宋体"/>
          <w:highlight w:val="none"/>
        </w:rPr>
      </w:pPr>
      <w:r>
        <w:rPr>
          <w:rFonts w:hint="eastAsia" w:hAnsi="宋体" w:cs="宋体"/>
          <w:highlight w:val="none"/>
        </w:rPr>
        <w:t>1． 乙方应按招标文件规定向甲方提供服务。</w:t>
      </w:r>
    </w:p>
    <w:p w14:paraId="2B28DDC2">
      <w:pPr>
        <w:pStyle w:val="34"/>
        <w:snapToGrid w:val="0"/>
        <w:spacing w:line="460" w:lineRule="exact"/>
        <w:ind w:left="420" w:hanging="420" w:hangingChars="200"/>
        <w:rPr>
          <w:rFonts w:hAnsi="宋体" w:cs="宋体"/>
          <w:highlight w:val="none"/>
        </w:rPr>
      </w:pPr>
      <w:r>
        <w:rPr>
          <w:rFonts w:hint="eastAsia" w:hAnsi="宋体" w:cs="宋体"/>
          <w:highlight w:val="none"/>
        </w:rPr>
        <w:t>2． 乙方提供的服务成果在服务质量保证期内发生故障，乙方应负责免费提供后续服务。对达不到要求者，根据实际情况，经双方协商，可按以下办法处理：</w:t>
      </w:r>
    </w:p>
    <w:p w14:paraId="72C54F77">
      <w:pPr>
        <w:pStyle w:val="34"/>
        <w:snapToGrid w:val="0"/>
        <w:spacing w:line="460" w:lineRule="exact"/>
        <w:ind w:firstLine="420"/>
        <w:rPr>
          <w:rFonts w:hAnsi="宋体" w:cs="宋体"/>
          <w:highlight w:val="none"/>
        </w:rPr>
      </w:pPr>
      <w:r>
        <w:rPr>
          <w:rFonts w:hint="eastAsia" w:hAnsi="宋体" w:cs="宋体"/>
          <w:highlight w:val="none"/>
        </w:rPr>
        <w:t>⑴重做：由乙方承担所发生的全部费用。</w:t>
      </w:r>
    </w:p>
    <w:p w14:paraId="4C468997">
      <w:pPr>
        <w:pStyle w:val="34"/>
        <w:snapToGrid w:val="0"/>
        <w:spacing w:line="460" w:lineRule="exact"/>
        <w:ind w:firstLine="420"/>
        <w:rPr>
          <w:rFonts w:hAnsi="宋体" w:cs="宋体"/>
          <w:highlight w:val="none"/>
        </w:rPr>
      </w:pPr>
      <w:r>
        <w:rPr>
          <w:rFonts w:hint="eastAsia" w:hAnsi="宋体" w:cs="宋体"/>
          <w:highlight w:val="none"/>
        </w:rPr>
        <w:t>⑵贬值处理：由甲乙双方合议定价。</w:t>
      </w:r>
    </w:p>
    <w:p w14:paraId="10A6A571">
      <w:pPr>
        <w:pStyle w:val="34"/>
        <w:snapToGrid w:val="0"/>
        <w:spacing w:line="460" w:lineRule="exact"/>
        <w:ind w:left="420" w:leftChars="200"/>
        <w:rPr>
          <w:rFonts w:hAnsi="宋体" w:cs="宋体"/>
          <w:highlight w:val="none"/>
        </w:rPr>
      </w:pPr>
      <w:r>
        <w:rPr>
          <w:rFonts w:hint="eastAsia" w:hAnsi="宋体" w:cs="宋体"/>
          <w:highlight w:val="none"/>
        </w:rPr>
        <w:t>⑶解除合同。</w:t>
      </w:r>
    </w:p>
    <w:p w14:paraId="295DC730">
      <w:pPr>
        <w:pStyle w:val="34"/>
        <w:snapToGrid w:val="0"/>
        <w:spacing w:line="460" w:lineRule="exact"/>
        <w:rPr>
          <w:rFonts w:hAnsi="宋体" w:cs="宋体"/>
          <w:highlight w:val="none"/>
        </w:rPr>
      </w:pPr>
      <w:r>
        <w:rPr>
          <w:rFonts w:hint="eastAsia" w:hAnsi="宋体" w:cs="宋体"/>
          <w:highlight w:val="none"/>
        </w:rPr>
        <w:t>3．如在使用过程中发生问题，乙方在接到甲方通知后在48小时内到达甲方现场。</w:t>
      </w:r>
    </w:p>
    <w:p w14:paraId="0E0C2163">
      <w:pPr>
        <w:pStyle w:val="34"/>
        <w:snapToGrid w:val="0"/>
        <w:spacing w:line="460" w:lineRule="exact"/>
        <w:rPr>
          <w:rFonts w:hAnsi="宋体" w:cs="宋体"/>
          <w:highlight w:val="none"/>
        </w:rPr>
      </w:pPr>
      <w:r>
        <w:rPr>
          <w:rFonts w:hint="eastAsia" w:hAnsi="宋体" w:cs="宋体"/>
          <w:highlight w:val="none"/>
        </w:rPr>
        <w:t>4．在服务质量保证期内，乙方应对出现的质量及安全问题负责处理解决并承担一切费用。</w:t>
      </w:r>
    </w:p>
    <w:p w14:paraId="4B4EB5AE">
      <w:pPr>
        <w:pStyle w:val="34"/>
        <w:snapToGrid w:val="0"/>
        <w:spacing w:line="460" w:lineRule="exact"/>
        <w:rPr>
          <w:rFonts w:hAnsi="宋体" w:cs="宋体"/>
          <w:highlight w:val="none"/>
        </w:rPr>
      </w:pPr>
      <w:r>
        <w:rPr>
          <w:rFonts w:hint="eastAsia" w:hAnsi="宋体" w:cs="宋体"/>
          <w:highlight w:val="none"/>
        </w:rPr>
        <w:t>5．合同到期后，根据学校预算安排和采购需求，视供应商服务质量，可续签一年。</w:t>
      </w:r>
    </w:p>
    <w:p w14:paraId="12CB9341">
      <w:pPr>
        <w:pStyle w:val="34"/>
        <w:snapToGrid w:val="0"/>
        <w:spacing w:line="460" w:lineRule="exact"/>
        <w:rPr>
          <w:rFonts w:hAnsi="宋体" w:cs="宋体"/>
          <w:highlight w:val="none"/>
        </w:rPr>
      </w:pPr>
      <w:r>
        <w:rPr>
          <w:rFonts w:hint="eastAsia" w:hAnsi="宋体" w:cs="宋体"/>
          <w:highlight w:val="none"/>
        </w:rPr>
        <w:t>十一、违约责任</w:t>
      </w:r>
    </w:p>
    <w:p w14:paraId="098D3D5C">
      <w:pPr>
        <w:pStyle w:val="34"/>
        <w:snapToGrid w:val="0"/>
        <w:spacing w:line="460" w:lineRule="exact"/>
        <w:ind w:left="359" w:hanging="359" w:hangingChars="171"/>
        <w:rPr>
          <w:rFonts w:hAnsi="宋体" w:cs="宋体"/>
          <w:highlight w:val="none"/>
        </w:rPr>
      </w:pPr>
      <w:r>
        <w:rPr>
          <w:rFonts w:hint="eastAsia" w:hAnsi="宋体" w:cs="宋体"/>
          <w:highlight w:val="none"/>
        </w:rPr>
        <w:t>1．甲方无正当理由拒收接受服务的，甲方向乙方偿付合同款项百分之五作为违约金。</w:t>
      </w:r>
    </w:p>
    <w:p w14:paraId="79947E96">
      <w:pPr>
        <w:pStyle w:val="34"/>
        <w:snapToGrid w:val="0"/>
        <w:spacing w:line="460" w:lineRule="exact"/>
        <w:rPr>
          <w:rFonts w:hAnsi="宋体" w:cs="宋体"/>
          <w:highlight w:val="none"/>
        </w:rPr>
      </w:pPr>
      <w:r>
        <w:rPr>
          <w:rFonts w:hint="eastAsia" w:hAnsi="宋体" w:cs="宋体"/>
          <w:highlight w:val="none"/>
        </w:rPr>
        <w:t>2．甲方无故逾期验收和办理款项支付手续的,甲方应按逾期付款总额每日万分之五向乙方支付违约金。</w:t>
      </w:r>
    </w:p>
    <w:p w14:paraId="167B88F5">
      <w:pPr>
        <w:pStyle w:val="34"/>
        <w:snapToGrid w:val="0"/>
        <w:spacing w:line="460" w:lineRule="exact"/>
        <w:rPr>
          <w:rFonts w:hint="eastAsia" w:hAnsi="宋体" w:cs="宋体"/>
          <w:highlight w:val="none"/>
        </w:rPr>
      </w:pPr>
      <w:r>
        <w:rPr>
          <w:rFonts w:hint="eastAsia" w:hAnsi="宋体" w:cs="宋体"/>
          <w:highlight w:val="none"/>
        </w:rPr>
        <w:t>3．</w:t>
      </w:r>
      <w:r>
        <w:rPr>
          <w:rFonts w:hint="eastAsia" w:hAnsi="宋体" w:cs="宋体"/>
          <w:highlight w:val="none"/>
          <w:lang w:val="en-US" w:eastAsia="zh-CN"/>
        </w:rPr>
        <w:t>乙方</w:t>
      </w:r>
      <w:r>
        <w:rPr>
          <w:rFonts w:hint="eastAsia" w:hAnsi="宋体" w:cs="宋体"/>
          <w:highlight w:val="none"/>
        </w:rPr>
        <w:t>逾期履行合同的，自逾期之日起，向</w:t>
      </w:r>
      <w:r>
        <w:rPr>
          <w:rFonts w:hint="eastAsia" w:hAnsi="宋体" w:cs="宋体"/>
          <w:highlight w:val="none"/>
          <w:lang w:val="en-US" w:eastAsia="zh-CN"/>
        </w:rPr>
        <w:t>甲方</w:t>
      </w:r>
      <w:r>
        <w:rPr>
          <w:rFonts w:hint="eastAsia" w:hAnsi="宋体" w:cs="宋体"/>
          <w:highlight w:val="none"/>
        </w:rPr>
        <w:t>每日偿付合同总价千分之二的滞纳金；</w:t>
      </w:r>
      <w:r>
        <w:rPr>
          <w:rFonts w:hint="eastAsia" w:hAnsi="宋体" w:cs="宋体"/>
          <w:highlight w:val="none"/>
          <w:lang w:val="en-US" w:eastAsia="zh-CN"/>
        </w:rPr>
        <w:t>乙方</w:t>
      </w:r>
      <w:r>
        <w:rPr>
          <w:rFonts w:hint="eastAsia" w:hAnsi="宋体" w:cs="宋体"/>
          <w:highlight w:val="none"/>
        </w:rPr>
        <w:t>逾期10日不能交货的，视为</w:t>
      </w:r>
      <w:r>
        <w:rPr>
          <w:rFonts w:hint="eastAsia" w:hAnsi="宋体" w:cs="宋体"/>
          <w:highlight w:val="none"/>
          <w:lang w:val="en-US" w:eastAsia="zh-CN"/>
        </w:rPr>
        <w:t>乙方</w:t>
      </w:r>
      <w:r>
        <w:rPr>
          <w:rFonts w:hint="eastAsia" w:hAnsi="宋体" w:cs="宋体"/>
          <w:highlight w:val="none"/>
        </w:rPr>
        <w:t>不能交货，</w:t>
      </w:r>
      <w:r>
        <w:rPr>
          <w:rFonts w:hint="eastAsia" w:hAnsi="宋体" w:cs="宋体"/>
          <w:highlight w:val="none"/>
          <w:lang w:val="en-US" w:eastAsia="zh-CN"/>
        </w:rPr>
        <w:t>甲方</w:t>
      </w:r>
      <w:r>
        <w:rPr>
          <w:rFonts w:hint="eastAsia" w:hAnsi="宋体" w:cs="宋体"/>
          <w:highlight w:val="none"/>
        </w:rPr>
        <w:t>有权解除合同，中</w:t>
      </w:r>
      <w:r>
        <w:rPr>
          <w:rFonts w:hint="eastAsia" w:hAnsi="宋体" w:cs="宋体"/>
          <w:highlight w:val="none"/>
          <w:lang w:val="en-US" w:eastAsia="zh-CN"/>
        </w:rPr>
        <w:t>乙方</w:t>
      </w:r>
      <w:r>
        <w:rPr>
          <w:rFonts w:hint="eastAsia" w:hAnsi="宋体" w:cs="宋体"/>
          <w:highlight w:val="none"/>
        </w:rPr>
        <w:t>应承担违约责任，应向</w:t>
      </w:r>
      <w:r>
        <w:rPr>
          <w:rFonts w:hint="eastAsia" w:hAnsi="宋体" w:cs="宋体"/>
          <w:highlight w:val="none"/>
          <w:lang w:val="en-US" w:eastAsia="zh-CN"/>
        </w:rPr>
        <w:t>甲方</w:t>
      </w:r>
      <w:r>
        <w:rPr>
          <w:rFonts w:hint="eastAsia" w:hAnsi="宋体" w:cs="宋体"/>
          <w:highlight w:val="none"/>
        </w:rPr>
        <w:t>支付合同总价百分之十的违约金。</w:t>
      </w:r>
    </w:p>
    <w:p w14:paraId="7FFE1D23">
      <w:pPr>
        <w:pStyle w:val="34"/>
        <w:snapToGrid w:val="0"/>
        <w:spacing w:line="460" w:lineRule="exact"/>
        <w:rPr>
          <w:rFonts w:hAnsi="宋体" w:cs="宋体"/>
          <w:highlight w:val="none"/>
        </w:rPr>
      </w:pPr>
      <w:r>
        <w:rPr>
          <w:rFonts w:hint="eastAsia" w:hAnsi="宋体" w:cs="宋体"/>
          <w:highlight w:val="none"/>
        </w:rPr>
        <w:t>2、中标后</w:t>
      </w:r>
      <w:r>
        <w:rPr>
          <w:rFonts w:hint="eastAsia" w:hAnsi="宋体" w:cs="宋体"/>
          <w:highlight w:val="none"/>
          <w:lang w:val="en-US" w:eastAsia="zh-CN"/>
        </w:rPr>
        <w:t>乙方</w:t>
      </w:r>
      <w:r>
        <w:rPr>
          <w:rFonts w:hint="eastAsia" w:hAnsi="宋体" w:cs="宋体"/>
          <w:highlight w:val="none"/>
        </w:rPr>
        <w:t>撤回投标或拒绝签订合同的，给</w:t>
      </w:r>
      <w:r>
        <w:rPr>
          <w:rFonts w:hint="eastAsia" w:hAnsi="宋体" w:cs="宋体"/>
          <w:highlight w:val="none"/>
          <w:lang w:val="en-US" w:eastAsia="zh-CN"/>
        </w:rPr>
        <w:t>甲方</w:t>
      </w:r>
      <w:r>
        <w:rPr>
          <w:rFonts w:hint="eastAsia" w:hAnsi="宋体" w:cs="宋体"/>
          <w:highlight w:val="none"/>
        </w:rPr>
        <w:t>造成的损失、招标过程产生的费用，由</w:t>
      </w:r>
      <w:r>
        <w:rPr>
          <w:rFonts w:hint="eastAsia" w:hAnsi="宋体" w:cs="宋体"/>
          <w:highlight w:val="none"/>
          <w:lang w:val="en-US" w:eastAsia="zh-CN"/>
        </w:rPr>
        <w:t>乙方</w:t>
      </w:r>
      <w:r>
        <w:rPr>
          <w:rFonts w:hint="eastAsia" w:hAnsi="宋体" w:cs="宋体"/>
          <w:highlight w:val="none"/>
        </w:rPr>
        <w:t xml:space="preserve">承担。 </w:t>
      </w:r>
    </w:p>
    <w:p w14:paraId="252238D0">
      <w:pPr>
        <w:pStyle w:val="34"/>
        <w:snapToGrid w:val="0"/>
        <w:spacing w:line="460" w:lineRule="exact"/>
        <w:rPr>
          <w:rFonts w:hAnsi="宋体" w:cs="宋体"/>
          <w:highlight w:val="none"/>
        </w:rPr>
      </w:pPr>
      <w:r>
        <w:rPr>
          <w:rFonts w:hint="eastAsia" w:hAnsi="宋体" w:cs="宋体"/>
          <w:highlight w:val="none"/>
        </w:rPr>
        <w:t>十二、不可抗力事件处理</w:t>
      </w:r>
    </w:p>
    <w:p w14:paraId="50F60EF8">
      <w:pPr>
        <w:pStyle w:val="34"/>
        <w:snapToGrid w:val="0"/>
        <w:spacing w:line="460" w:lineRule="exact"/>
        <w:rPr>
          <w:rFonts w:hAnsi="宋体" w:cs="宋体"/>
          <w:highlight w:val="none"/>
        </w:rPr>
      </w:pPr>
      <w:r>
        <w:rPr>
          <w:rFonts w:hint="eastAsia" w:hAnsi="宋体" w:cs="宋体"/>
          <w:highlight w:val="none"/>
        </w:rPr>
        <w:t>1．在合同有效期内，任何一方因不可抗力事件导致不能履行合同，则合同履行期可延长，其延长期与不可抗力影响期相同。</w:t>
      </w:r>
    </w:p>
    <w:p w14:paraId="123C4045">
      <w:pPr>
        <w:pStyle w:val="34"/>
        <w:snapToGrid w:val="0"/>
        <w:spacing w:line="460" w:lineRule="exact"/>
        <w:rPr>
          <w:rFonts w:hAnsi="宋体" w:cs="宋体"/>
          <w:highlight w:val="none"/>
        </w:rPr>
      </w:pPr>
      <w:r>
        <w:rPr>
          <w:rFonts w:hint="eastAsia" w:hAnsi="宋体" w:cs="宋体"/>
          <w:highlight w:val="none"/>
        </w:rPr>
        <w:t>2．不可抗力事件发生后，应立即通知对方，并寄送有关权威机构出具的证明。</w:t>
      </w:r>
    </w:p>
    <w:p w14:paraId="2278186E">
      <w:pPr>
        <w:pStyle w:val="34"/>
        <w:snapToGrid w:val="0"/>
        <w:spacing w:line="460" w:lineRule="exact"/>
        <w:rPr>
          <w:rFonts w:hAnsi="宋体" w:cs="宋体"/>
          <w:highlight w:val="none"/>
        </w:rPr>
      </w:pPr>
      <w:r>
        <w:rPr>
          <w:rFonts w:hint="eastAsia" w:hAnsi="宋体" w:cs="宋体"/>
          <w:highlight w:val="none"/>
        </w:rPr>
        <w:t>3．不可抗力事件延续120天以上，双方应通过友好协商，确定是否继续履行合同。</w:t>
      </w:r>
    </w:p>
    <w:p w14:paraId="6496EBFB">
      <w:pPr>
        <w:pStyle w:val="34"/>
        <w:snapToGrid w:val="0"/>
        <w:spacing w:line="460" w:lineRule="exact"/>
        <w:rPr>
          <w:rFonts w:hAnsi="宋体" w:cs="宋体"/>
          <w:highlight w:val="none"/>
        </w:rPr>
      </w:pPr>
      <w:r>
        <w:rPr>
          <w:rFonts w:hint="eastAsia" w:hAnsi="宋体" w:cs="宋体"/>
          <w:highlight w:val="none"/>
        </w:rPr>
        <w:t>十三、诉讼</w:t>
      </w:r>
    </w:p>
    <w:p w14:paraId="4E31D74B">
      <w:pPr>
        <w:pStyle w:val="34"/>
        <w:snapToGrid w:val="0"/>
        <w:spacing w:line="460" w:lineRule="exact"/>
        <w:ind w:firstLine="420" w:firstLineChars="200"/>
        <w:rPr>
          <w:rFonts w:hAnsi="宋体" w:cs="宋体"/>
          <w:highlight w:val="none"/>
        </w:rPr>
      </w:pPr>
      <w:r>
        <w:rPr>
          <w:rFonts w:hint="eastAsia" w:hAnsi="宋体" w:cs="宋体"/>
          <w:highlight w:val="none"/>
        </w:rPr>
        <w:t>双方在执行合同中所发生的一切争议，应通过协商解决。如协商不成，可向甲方所在地法院起诉。</w:t>
      </w:r>
    </w:p>
    <w:p w14:paraId="110EF3D6">
      <w:pPr>
        <w:pStyle w:val="34"/>
        <w:snapToGrid w:val="0"/>
        <w:spacing w:line="460" w:lineRule="exact"/>
        <w:rPr>
          <w:rFonts w:hAnsi="宋体" w:cs="宋体"/>
          <w:highlight w:val="none"/>
        </w:rPr>
      </w:pPr>
      <w:r>
        <w:rPr>
          <w:rFonts w:hint="eastAsia" w:hAnsi="宋体" w:cs="宋体"/>
          <w:highlight w:val="none"/>
        </w:rPr>
        <w:t>十四、合同生效及其它</w:t>
      </w:r>
    </w:p>
    <w:p w14:paraId="034982B4">
      <w:pPr>
        <w:pStyle w:val="34"/>
        <w:snapToGrid w:val="0"/>
        <w:spacing w:line="460" w:lineRule="exact"/>
        <w:rPr>
          <w:rFonts w:hAnsi="宋体" w:cs="宋体"/>
          <w:highlight w:val="none"/>
        </w:rPr>
      </w:pPr>
      <w:r>
        <w:rPr>
          <w:rFonts w:hint="eastAsia" w:hAnsi="宋体" w:cs="宋体"/>
          <w:highlight w:val="none"/>
        </w:rPr>
        <w:t>1．合同经双方法定代表人或授权代表签字并加盖单位公章后生效。</w:t>
      </w:r>
    </w:p>
    <w:p w14:paraId="1D0FC163">
      <w:pPr>
        <w:pStyle w:val="34"/>
        <w:snapToGrid w:val="0"/>
        <w:spacing w:line="460" w:lineRule="exact"/>
        <w:rPr>
          <w:rFonts w:hAnsi="宋体" w:cs="宋体"/>
          <w:highlight w:val="none"/>
        </w:rPr>
      </w:pPr>
      <w:r>
        <w:rPr>
          <w:rFonts w:hint="eastAsia" w:hAnsi="宋体" w:cs="宋体"/>
          <w:highlight w:val="none"/>
        </w:rPr>
        <w:t>2．合同执行中涉及采购资金和采购内容修改或补充的，须经财政部门审批，并签书面补充协议报政府采购监督管理部门备案，方可作为主合同不可分割的一部分。</w:t>
      </w:r>
    </w:p>
    <w:p w14:paraId="5B17FB8C">
      <w:pPr>
        <w:pStyle w:val="34"/>
        <w:snapToGrid w:val="0"/>
        <w:spacing w:line="460" w:lineRule="exact"/>
        <w:ind w:left="420" w:hanging="420" w:hangingChars="200"/>
        <w:rPr>
          <w:rFonts w:hAnsi="宋体" w:cs="宋体"/>
          <w:highlight w:val="none"/>
        </w:rPr>
      </w:pPr>
      <w:r>
        <w:rPr>
          <w:rFonts w:hint="eastAsia" w:hAnsi="宋体" w:cs="宋体"/>
          <w:highlight w:val="none"/>
        </w:rPr>
        <w:t>3．本合同未尽事宜，遵照《民法典》有关条文执行。</w:t>
      </w:r>
    </w:p>
    <w:p w14:paraId="32F552A3">
      <w:pPr>
        <w:pStyle w:val="34"/>
        <w:snapToGrid w:val="0"/>
        <w:spacing w:line="460" w:lineRule="exact"/>
        <w:rPr>
          <w:rFonts w:hAnsi="宋体" w:cs="宋体"/>
          <w:highlight w:val="none"/>
        </w:rPr>
      </w:pPr>
      <w:r>
        <w:rPr>
          <w:rFonts w:hint="eastAsia" w:hAnsi="宋体" w:cs="宋体"/>
          <w:highlight w:val="none"/>
        </w:rPr>
        <w:t>4．本合同正本一式肆份，具有同等法律效力，甲乙双方各执贰份。</w:t>
      </w:r>
    </w:p>
    <w:p w14:paraId="18BE47F6">
      <w:pPr>
        <w:pStyle w:val="34"/>
        <w:snapToGrid w:val="0"/>
        <w:spacing w:line="460" w:lineRule="exact"/>
        <w:ind w:left="420" w:hanging="420" w:hangingChars="200"/>
        <w:rPr>
          <w:rFonts w:hAnsi="宋体" w:cs="宋体"/>
          <w:highlight w:val="none"/>
        </w:rPr>
      </w:pPr>
      <w:r>
        <w:rPr>
          <w:rFonts w:hint="eastAsia" w:hAnsi="宋体" w:cs="宋体"/>
          <w:highlight w:val="none"/>
        </w:rPr>
        <w:t xml:space="preserve"> </w:t>
      </w:r>
    </w:p>
    <w:p w14:paraId="02E92CF6">
      <w:pPr>
        <w:pStyle w:val="34"/>
        <w:snapToGrid w:val="0"/>
        <w:spacing w:line="460" w:lineRule="exact"/>
        <w:ind w:left="424" w:leftChars="52" w:hanging="315" w:hangingChars="150"/>
        <w:rPr>
          <w:rFonts w:hAnsi="宋体" w:cs="宋体"/>
          <w:highlight w:val="none"/>
        </w:rPr>
      </w:pPr>
      <w:r>
        <w:rPr>
          <w:rFonts w:hint="eastAsia" w:hAnsi="宋体" w:cs="宋体"/>
          <w:highlight w:val="none"/>
        </w:rPr>
        <w:t xml:space="preserve"> 甲方：                                   乙方： </w:t>
      </w:r>
    </w:p>
    <w:p w14:paraId="614634A9">
      <w:pPr>
        <w:pStyle w:val="34"/>
        <w:snapToGrid w:val="0"/>
        <w:spacing w:line="460" w:lineRule="exact"/>
        <w:rPr>
          <w:rFonts w:hAnsi="宋体" w:cs="宋体"/>
          <w:highlight w:val="none"/>
        </w:rPr>
      </w:pPr>
      <w:r>
        <w:rPr>
          <w:rFonts w:hint="eastAsia" w:hAnsi="宋体" w:cs="宋体"/>
          <w:highlight w:val="none"/>
        </w:rPr>
        <w:t xml:space="preserve">  地址：                                   地址： </w:t>
      </w:r>
    </w:p>
    <w:p w14:paraId="1DAD8CAF">
      <w:pPr>
        <w:pStyle w:val="34"/>
        <w:snapToGrid w:val="0"/>
        <w:spacing w:line="460" w:lineRule="exact"/>
        <w:rPr>
          <w:rFonts w:hAnsi="宋体" w:cs="宋体"/>
          <w:highlight w:val="none"/>
        </w:rPr>
      </w:pPr>
      <w:r>
        <w:rPr>
          <w:rFonts w:hint="eastAsia" w:hAnsi="宋体" w:cs="宋体"/>
          <w:highlight w:val="none"/>
        </w:rPr>
        <w:t xml:space="preserve">  法定（授权）代表人：                     法定（授权）代表人：</w:t>
      </w:r>
    </w:p>
    <w:p w14:paraId="1376CE8A">
      <w:pPr>
        <w:pStyle w:val="34"/>
        <w:snapToGrid w:val="0"/>
        <w:spacing w:line="460" w:lineRule="exact"/>
        <w:rPr>
          <w:rFonts w:hAnsi="宋体" w:cs="宋体"/>
          <w:highlight w:val="none"/>
        </w:rPr>
      </w:pPr>
      <w:r>
        <w:rPr>
          <w:rFonts w:hint="eastAsia" w:hAnsi="宋体" w:cs="宋体"/>
          <w:highlight w:val="none"/>
        </w:rPr>
        <w:t xml:space="preserve">  签字日期：      年  月  日              签字日期：      年  月  日</w:t>
      </w:r>
    </w:p>
    <w:p w14:paraId="16E6E9C1">
      <w:pPr>
        <w:spacing w:line="360" w:lineRule="auto"/>
        <w:ind w:firstLine="6240" w:firstLineChars="3000"/>
        <w:rPr>
          <w:rFonts w:ascii="宋体" w:hAnsi="宋体" w:cs="宋体"/>
          <w:spacing w:val="-16"/>
          <w:sz w:val="24"/>
          <w:highlight w:val="none"/>
        </w:rPr>
      </w:pPr>
    </w:p>
    <w:p w14:paraId="3C1B723F">
      <w:pPr>
        <w:pStyle w:val="24"/>
        <w:spacing w:line="360" w:lineRule="auto"/>
        <w:rPr>
          <w:rFonts w:ascii="宋体" w:hAnsi="宋体" w:eastAsia="宋体" w:cs="宋体"/>
          <w:color w:val="auto"/>
          <w:highlight w:val="none"/>
        </w:rPr>
        <w:sectPr>
          <w:pgSz w:w="11906" w:h="16838"/>
          <w:pgMar w:top="1247" w:right="1304" w:bottom="1020" w:left="1304" w:header="720" w:footer="720" w:gutter="0"/>
          <w:cols w:space="720" w:num="1"/>
          <w:docGrid w:linePitch="286" w:charSpace="0"/>
        </w:sectPr>
      </w:pPr>
    </w:p>
    <w:bookmarkEnd w:id="412"/>
    <w:bookmarkEnd w:id="413"/>
    <w:p w14:paraId="7F505B4C">
      <w:pPr>
        <w:pStyle w:val="2"/>
        <w:rPr>
          <w:rFonts w:ascii="宋体" w:hAnsi="宋体" w:cs="宋体"/>
          <w:highlight w:val="none"/>
        </w:rPr>
      </w:pPr>
      <w:bookmarkStart w:id="414" w:name="_Toc3090"/>
      <w:r>
        <w:rPr>
          <w:rFonts w:hint="eastAsia" w:ascii="宋体" w:hAnsi="宋体" w:cs="宋体"/>
          <w:highlight w:val="none"/>
        </w:rPr>
        <w:t>第六部分 应提交的有关格式范例</w:t>
      </w:r>
      <w:bookmarkEnd w:id="414"/>
    </w:p>
    <w:p w14:paraId="5CDFB1C7">
      <w:pPr>
        <w:rPr>
          <w:rFonts w:ascii="宋体" w:hAnsi="宋体" w:cs="宋体"/>
          <w:highlight w:val="none"/>
        </w:rPr>
      </w:pPr>
    </w:p>
    <w:p w14:paraId="4B7B2C43">
      <w:pPr>
        <w:pStyle w:val="65"/>
        <w:ind w:firstLine="420"/>
        <w:rPr>
          <w:rFonts w:cs="宋体"/>
          <w:highlight w:val="none"/>
        </w:rPr>
      </w:pPr>
    </w:p>
    <w:p w14:paraId="7CF6040E">
      <w:pPr>
        <w:pStyle w:val="3"/>
        <w:rPr>
          <w:rFonts w:cs="宋体"/>
          <w:highlight w:val="none"/>
        </w:rPr>
      </w:pPr>
      <w:bookmarkStart w:id="415" w:name="_Toc3841"/>
      <w:r>
        <w:rPr>
          <w:rFonts w:hint="eastAsia" w:cs="宋体"/>
          <w:highlight w:val="none"/>
        </w:rPr>
        <w:t>资格文件部分</w:t>
      </w:r>
      <w:bookmarkEnd w:id="415"/>
    </w:p>
    <w:p w14:paraId="31DBA7FB">
      <w:pPr>
        <w:rPr>
          <w:rFonts w:ascii="宋体" w:hAnsi="宋体" w:cs="宋体"/>
          <w:highlight w:val="none"/>
        </w:rPr>
      </w:pPr>
    </w:p>
    <w:p w14:paraId="70C13377">
      <w:p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目录</w:t>
      </w:r>
    </w:p>
    <w:p w14:paraId="676742F4">
      <w:pPr>
        <w:rPr>
          <w:rFonts w:ascii="宋体" w:hAnsi="宋体" w:cs="宋体"/>
          <w:highlight w:val="none"/>
        </w:rPr>
      </w:pPr>
    </w:p>
    <w:p w14:paraId="4E1BE70B">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14:paraId="7D46341A">
      <w:pPr>
        <w:snapToGrid w:val="0"/>
        <w:spacing w:line="360" w:lineRule="auto"/>
        <w:rPr>
          <w:rFonts w:ascii="宋体" w:hAnsi="宋体" w:cs="宋体"/>
          <w:sz w:val="24"/>
          <w:highlight w:val="none"/>
        </w:rPr>
      </w:pPr>
      <w:r>
        <w:rPr>
          <w:rFonts w:hint="eastAsia" w:ascii="宋体" w:hAnsi="宋体" w:cs="宋体"/>
          <w:kern w:val="28"/>
          <w:sz w:val="24"/>
          <w:szCs w:val="20"/>
          <w:highlight w:val="none"/>
        </w:rPr>
        <w:t>（2）联合协议</w:t>
      </w:r>
      <w:r>
        <w:rPr>
          <w:rFonts w:hint="eastAsia" w:ascii="宋体" w:hAnsi="宋体" w:cs="宋体"/>
          <w:sz w:val="24"/>
          <w:highlight w:val="none"/>
        </w:rPr>
        <w:t>………………………………………………………………………（页码）</w:t>
      </w:r>
    </w:p>
    <w:p w14:paraId="0B538023">
      <w:pPr>
        <w:snapToGrid w:val="0"/>
        <w:spacing w:line="360" w:lineRule="auto"/>
        <w:rPr>
          <w:rFonts w:ascii="宋体" w:hAnsi="宋体" w:cs="宋体"/>
          <w:sz w:val="24"/>
          <w:highlight w:val="none"/>
        </w:rPr>
      </w:pPr>
      <w:r>
        <w:rPr>
          <w:rFonts w:hint="eastAsia" w:ascii="宋体" w:hAnsi="宋体" w:cs="宋体"/>
          <w:sz w:val="24"/>
          <w:highlight w:val="none"/>
        </w:rPr>
        <w:t>（3）落实政府采购政策需满足的资格要求………………………………………（页码）</w:t>
      </w:r>
    </w:p>
    <w:p w14:paraId="3B982814">
      <w:pPr>
        <w:snapToGrid w:val="0"/>
        <w:spacing w:line="360" w:lineRule="auto"/>
        <w:rPr>
          <w:rFonts w:ascii="宋体" w:hAnsi="宋体" w:cs="宋体"/>
          <w:sz w:val="24"/>
          <w:highlight w:val="none"/>
        </w:rPr>
      </w:pPr>
      <w:r>
        <w:rPr>
          <w:rFonts w:hint="eastAsia" w:ascii="宋体" w:hAnsi="宋体" w:cs="宋体"/>
          <w:sz w:val="24"/>
          <w:highlight w:val="none"/>
        </w:rPr>
        <w:t>（4）本项目的特定资格要求………………………………………………………（页码）</w:t>
      </w:r>
    </w:p>
    <w:p w14:paraId="7D3BC396">
      <w:pPr>
        <w:snapToGrid w:val="0"/>
        <w:spacing w:line="360" w:lineRule="auto"/>
        <w:rPr>
          <w:rFonts w:ascii="宋体" w:hAnsi="宋体" w:cs="宋体"/>
          <w:sz w:val="24"/>
          <w:highlight w:val="none"/>
        </w:rPr>
      </w:pPr>
      <w:r>
        <w:rPr>
          <w:rFonts w:hint="eastAsia" w:ascii="宋体" w:hAnsi="宋体" w:cs="宋体"/>
          <w:sz w:val="24"/>
          <w:highlight w:val="none"/>
        </w:rPr>
        <w:t>（5）营业执照………………………………………………………………………（页码）</w:t>
      </w:r>
    </w:p>
    <w:p w14:paraId="28E18A63">
      <w:pPr>
        <w:snapToGrid w:val="0"/>
        <w:spacing w:line="360" w:lineRule="auto"/>
        <w:ind w:firstLine="480" w:firstLineChars="200"/>
        <w:rPr>
          <w:rFonts w:ascii="宋体" w:hAnsi="宋体" w:cs="宋体"/>
          <w:sz w:val="24"/>
          <w:highlight w:val="none"/>
        </w:rPr>
      </w:pPr>
    </w:p>
    <w:p w14:paraId="39784957">
      <w:pPr>
        <w:spacing w:line="360" w:lineRule="auto"/>
        <w:ind w:firstLine="480" w:firstLineChars="200"/>
        <w:rPr>
          <w:rFonts w:ascii="宋体" w:hAnsi="宋体" w:cs="宋体"/>
          <w:sz w:val="24"/>
          <w:highlight w:val="none"/>
        </w:rPr>
      </w:pPr>
    </w:p>
    <w:p w14:paraId="1D9CA8AE">
      <w:pPr>
        <w:snapToGrid w:val="0"/>
        <w:spacing w:line="360" w:lineRule="auto"/>
        <w:ind w:right="480"/>
        <w:jc w:val="center"/>
        <w:rPr>
          <w:rFonts w:ascii="宋体" w:hAnsi="宋体" w:cs="宋体"/>
          <w:kern w:val="0"/>
          <w:sz w:val="24"/>
          <w:highlight w:val="none"/>
        </w:rPr>
      </w:pPr>
      <w:r>
        <w:rPr>
          <w:rFonts w:hint="eastAsia" w:ascii="宋体" w:hAnsi="宋体" w:cs="宋体"/>
          <w:kern w:val="0"/>
          <w:sz w:val="24"/>
          <w:highlight w:val="none"/>
        </w:rPr>
        <w:br w:type="page"/>
      </w:r>
    </w:p>
    <w:p w14:paraId="3E3319C2">
      <w:pPr>
        <w:snapToGrid w:val="0"/>
        <w:spacing w:line="360" w:lineRule="auto"/>
        <w:ind w:right="480"/>
        <w:jc w:val="center"/>
        <w:rPr>
          <w:rFonts w:ascii="宋体" w:hAnsi="宋体" w:cs="宋体"/>
          <w:kern w:val="0"/>
          <w:sz w:val="24"/>
          <w:highlight w:val="none"/>
        </w:rPr>
      </w:pPr>
    </w:p>
    <w:p w14:paraId="03D92148">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一、 符合参加政府采购活动应当具备的一般条件的承诺函</w:t>
      </w:r>
    </w:p>
    <w:p w14:paraId="39C41F0D">
      <w:pPr>
        <w:snapToGrid w:val="0"/>
        <w:spacing w:line="360" w:lineRule="auto"/>
        <w:rPr>
          <w:rFonts w:ascii="宋体" w:hAnsi="宋体" w:cs="宋体"/>
          <w:sz w:val="24"/>
          <w:highlight w:val="none"/>
        </w:rPr>
      </w:pPr>
      <w:r>
        <w:rPr>
          <w:rFonts w:hint="eastAsia" w:ascii="宋体" w:hAnsi="宋体" w:cs="宋体"/>
          <w:sz w:val="24"/>
          <w:highlight w:val="none"/>
        </w:rPr>
        <w:t>浙江海洋大学、浙江科佳工程咨询有限公司：</w:t>
      </w:r>
    </w:p>
    <w:p w14:paraId="1D41124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我方参与</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【招标编号：XXXXXXXX】政府采购活动，郑重承诺：</w:t>
      </w:r>
    </w:p>
    <w:p w14:paraId="5248F072">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6551683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14:paraId="46B7E46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693AB9F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39EB4EF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47077F1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694CA88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1DB052C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017510E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17EB49F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3B790F0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78018D5A">
      <w:pPr>
        <w:snapToGrid w:val="0"/>
        <w:spacing w:line="360" w:lineRule="auto"/>
        <w:ind w:firstLine="5520" w:firstLineChars="2300"/>
        <w:rPr>
          <w:rFonts w:ascii="宋体" w:hAnsi="宋体" w:cs="宋体"/>
          <w:kern w:val="0"/>
          <w:sz w:val="24"/>
          <w:highlight w:val="none"/>
          <w:lang w:val="zh-CN"/>
        </w:rPr>
      </w:pPr>
    </w:p>
    <w:p w14:paraId="6912FB97">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232CF032">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1EECD17E">
      <w:pPr>
        <w:snapToGrid w:val="0"/>
        <w:spacing w:line="360" w:lineRule="auto"/>
        <w:ind w:right="480"/>
        <w:jc w:val="center"/>
        <w:rPr>
          <w:rFonts w:ascii="宋体" w:hAnsi="宋体" w:cs="宋体"/>
          <w:b/>
          <w:kern w:val="0"/>
          <w:sz w:val="32"/>
          <w:szCs w:val="32"/>
          <w:highlight w:val="none"/>
        </w:rPr>
      </w:pPr>
    </w:p>
    <w:p w14:paraId="34205F87">
      <w:pPr>
        <w:snapToGrid w:val="0"/>
        <w:spacing w:line="360" w:lineRule="auto"/>
        <w:ind w:right="480"/>
        <w:jc w:val="center"/>
        <w:rPr>
          <w:rFonts w:ascii="宋体" w:hAnsi="宋体" w:cs="宋体"/>
          <w:b/>
          <w:kern w:val="0"/>
          <w:sz w:val="32"/>
          <w:szCs w:val="32"/>
          <w:highlight w:val="none"/>
        </w:rPr>
      </w:pPr>
    </w:p>
    <w:p w14:paraId="4F0BFF1F">
      <w:pPr>
        <w:snapToGrid w:val="0"/>
        <w:spacing w:line="360" w:lineRule="auto"/>
        <w:ind w:right="480"/>
        <w:jc w:val="center"/>
        <w:rPr>
          <w:rFonts w:ascii="宋体" w:hAnsi="宋体" w:cs="宋体"/>
          <w:b/>
          <w:kern w:val="0"/>
          <w:sz w:val="32"/>
          <w:szCs w:val="32"/>
          <w:highlight w:val="none"/>
        </w:rPr>
      </w:pPr>
    </w:p>
    <w:p w14:paraId="0792F1EE">
      <w:pPr>
        <w:rPr>
          <w:rFonts w:ascii="宋体" w:hAnsi="宋体" w:cs="宋体"/>
          <w:highlight w:val="none"/>
        </w:rPr>
      </w:pPr>
    </w:p>
    <w:p w14:paraId="3582C7CC">
      <w:pPr>
        <w:snapToGrid w:val="0"/>
        <w:spacing w:line="360" w:lineRule="auto"/>
        <w:ind w:right="480"/>
        <w:jc w:val="center"/>
        <w:rPr>
          <w:rFonts w:ascii="宋体" w:hAnsi="宋体" w:cs="宋体"/>
          <w:b/>
          <w:kern w:val="0"/>
          <w:sz w:val="32"/>
          <w:szCs w:val="32"/>
          <w:highlight w:val="none"/>
        </w:rPr>
      </w:pPr>
    </w:p>
    <w:p w14:paraId="070D8E25">
      <w:pPr>
        <w:snapToGrid w:val="0"/>
        <w:spacing w:line="360" w:lineRule="auto"/>
        <w:ind w:right="480"/>
        <w:jc w:val="center"/>
        <w:rPr>
          <w:rFonts w:ascii="宋体" w:hAnsi="宋体" w:cs="宋体"/>
          <w:b/>
          <w:kern w:val="0"/>
          <w:sz w:val="32"/>
          <w:szCs w:val="32"/>
          <w:highlight w:val="none"/>
        </w:rPr>
      </w:pPr>
    </w:p>
    <w:p w14:paraId="3E7D6272">
      <w:pPr>
        <w:widowControl/>
        <w:spacing w:line="360" w:lineRule="auto"/>
        <w:ind w:firstLine="643" w:firstLineChars="200"/>
        <w:jc w:val="center"/>
        <w:rPr>
          <w:rFonts w:ascii="宋体" w:hAnsi="宋体" w:cs="宋体"/>
          <w:b/>
          <w:kern w:val="0"/>
          <w:sz w:val="32"/>
          <w:szCs w:val="32"/>
          <w:highlight w:val="none"/>
        </w:rPr>
      </w:pPr>
    </w:p>
    <w:p w14:paraId="4DE5474B">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二、联合协议（如果有）</w:t>
      </w:r>
    </w:p>
    <w:p w14:paraId="70464049">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14:paraId="10AEECB5">
      <w:pPr>
        <w:snapToGrid w:val="0"/>
        <w:spacing w:line="360" w:lineRule="auto"/>
        <w:ind w:right="480"/>
        <w:jc w:val="center"/>
        <w:rPr>
          <w:rFonts w:ascii="宋体" w:hAnsi="宋体" w:cs="宋体"/>
          <w:b/>
          <w:kern w:val="0"/>
          <w:sz w:val="32"/>
          <w:szCs w:val="32"/>
          <w:highlight w:val="none"/>
        </w:rPr>
      </w:pPr>
    </w:p>
    <w:p w14:paraId="1320C4FA">
      <w:pPr>
        <w:snapToGrid w:val="0"/>
        <w:spacing w:line="360" w:lineRule="auto"/>
        <w:ind w:right="480"/>
        <w:jc w:val="center"/>
        <w:rPr>
          <w:rFonts w:ascii="宋体" w:hAnsi="宋体" w:cs="宋体"/>
          <w:b/>
          <w:kern w:val="0"/>
          <w:sz w:val="32"/>
          <w:szCs w:val="32"/>
          <w:highlight w:val="none"/>
        </w:rPr>
      </w:pPr>
    </w:p>
    <w:p w14:paraId="6AEEF490">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14:paraId="631D5AC5">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59BE1E38">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 xml:space="preserve">.专门面向中小企业，货物全部由符合政策要求的中小企业（或小微企业）制造的，提供相应的中小企业声明函（附件7）。 </w:t>
      </w:r>
    </w:p>
    <w:p w14:paraId="00306D9F">
      <w:pPr>
        <w:widowControl/>
        <w:spacing w:line="360" w:lineRule="auto"/>
        <w:ind w:firstLine="480"/>
        <w:jc w:val="left"/>
        <w:rPr>
          <w:rFonts w:ascii="宋体" w:hAnsi="宋体" w:cs="宋体"/>
          <w:sz w:val="24"/>
          <w:highlight w:val="none"/>
        </w:rPr>
      </w:pPr>
    </w:p>
    <w:p w14:paraId="0C331B08">
      <w:pPr>
        <w:widowControl/>
        <w:spacing w:line="360" w:lineRule="auto"/>
        <w:ind w:firstLine="472" w:firstLineChars="196"/>
        <w:jc w:val="left"/>
        <w:rPr>
          <w:rFonts w:ascii="宋体" w:hAnsi="宋体" w:cs="宋体"/>
          <w:sz w:val="24"/>
          <w:highlight w:val="none"/>
        </w:rPr>
      </w:pPr>
      <w:r>
        <w:rPr>
          <w:rFonts w:hint="eastAsia" w:ascii="宋体" w:hAnsi="宋体" w:cs="宋体"/>
          <w:b/>
          <w:sz w:val="24"/>
          <w:highlight w:val="none"/>
        </w:rPr>
        <w:t>B.</w:t>
      </w:r>
      <w:r>
        <w:rPr>
          <w:rFonts w:hint="eastAsia" w:ascii="宋体" w:hAnsi="宋体" w:cs="宋体"/>
          <w:sz w:val="24"/>
          <w:highlight w:val="none"/>
        </w:rPr>
        <w:t>要求以联合体形式参加的，提供联合协议（附件5）和中小企业声明函（附件7），联合协议中中小企业合同金额应当达到招标公告载明的比例；如果供应商本身提供所有标的均由中小企业制造的，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视同符合了资格条件，无需再与其他中小企业组成联合体参加政府采购活动，无需提供联合协议。</w:t>
      </w:r>
    </w:p>
    <w:p w14:paraId="6E7EEB78">
      <w:pPr>
        <w:snapToGrid w:val="0"/>
        <w:spacing w:before="50" w:after="50" w:line="360" w:lineRule="auto"/>
        <w:jc w:val="center"/>
        <w:rPr>
          <w:rFonts w:ascii="宋体" w:hAnsi="宋体" w:cs="宋体"/>
          <w:sz w:val="24"/>
          <w:highlight w:val="none"/>
        </w:rPr>
      </w:pPr>
      <w:r>
        <w:rPr>
          <w:rFonts w:hint="eastAsia" w:ascii="宋体" w:hAnsi="宋体" w:cs="宋体"/>
          <w:b/>
          <w:sz w:val="24"/>
          <w:highlight w:val="none"/>
        </w:rPr>
        <w:t xml:space="preserve">    </w:t>
      </w:r>
    </w:p>
    <w:p w14:paraId="38DF683F">
      <w:pPr>
        <w:spacing w:line="360" w:lineRule="auto"/>
        <w:ind w:firstLine="482" w:firstLineChars="200"/>
        <w:rPr>
          <w:rFonts w:ascii="宋体" w:hAnsi="宋体" w:cs="宋体"/>
          <w:sz w:val="24"/>
          <w:highlight w:val="none"/>
        </w:rPr>
      </w:pPr>
      <w:r>
        <w:rPr>
          <w:rFonts w:hint="eastAsia" w:ascii="宋体" w:hAnsi="宋体" w:cs="宋体"/>
          <w:b/>
          <w:sz w:val="24"/>
          <w:highlight w:val="none"/>
        </w:rPr>
        <w:t>C、</w:t>
      </w:r>
      <w:r>
        <w:rPr>
          <w:rFonts w:hint="eastAsia" w:ascii="宋体" w:hAnsi="宋体" w:cs="宋体"/>
          <w:sz w:val="24"/>
          <w:highlight w:val="none"/>
        </w:rPr>
        <w:t>要求合同分包的，提供分包意向协议（附件6）和中小企业声明函（附件7），分包意向协议中中小企业合同金额应当达到招标公告载明的比例；如果供应商本身提供所有标的均由中小企业制造的，</w:t>
      </w:r>
      <w:r>
        <w:rPr>
          <w:rFonts w:hint="eastAsia" w:ascii="宋体" w:hAnsi="宋体" w:cs="宋体"/>
          <w:spacing w:val="8"/>
          <w:kern w:val="0"/>
          <w:sz w:val="24"/>
          <w:highlight w:val="none"/>
        </w:rPr>
        <w:t>并相应达到了前述比例要求，</w:t>
      </w:r>
      <w:r>
        <w:rPr>
          <w:rFonts w:hint="eastAsia" w:ascii="宋体" w:hAnsi="宋体" w:cs="宋体"/>
          <w:sz w:val="24"/>
          <w:highlight w:val="none"/>
        </w:rPr>
        <w:t>视同符合了资格条件，无需再向中小企业分包，无需提供分包意向协议。</w:t>
      </w:r>
    </w:p>
    <w:p w14:paraId="506584E6">
      <w:pPr>
        <w:widowControl/>
        <w:spacing w:line="360" w:lineRule="auto"/>
        <w:ind w:left="150"/>
        <w:jc w:val="center"/>
        <w:rPr>
          <w:rFonts w:ascii="宋体" w:hAnsi="宋体" w:cs="宋体"/>
          <w:b/>
          <w:kern w:val="0"/>
          <w:sz w:val="32"/>
          <w:szCs w:val="32"/>
          <w:highlight w:val="none"/>
        </w:rPr>
      </w:pPr>
    </w:p>
    <w:p w14:paraId="5DB10A48">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w:t>
      </w:r>
    </w:p>
    <w:p w14:paraId="050BA7FD">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14:paraId="1BAE6AB2">
      <w:pPr>
        <w:rPr>
          <w:rFonts w:ascii="宋体" w:hAnsi="宋体" w:cs="宋体"/>
          <w:highlight w:val="none"/>
        </w:rPr>
      </w:pPr>
    </w:p>
    <w:p w14:paraId="40BFB156">
      <w:pPr>
        <w:widowControl/>
        <w:adjustRightInd/>
        <w:jc w:val="left"/>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4A0065D7">
      <w:pPr>
        <w:pStyle w:val="3"/>
        <w:rPr>
          <w:rFonts w:cs="宋体"/>
          <w:highlight w:val="none"/>
        </w:rPr>
      </w:pPr>
      <w:bookmarkStart w:id="416" w:name="_Toc30381"/>
      <w:r>
        <w:rPr>
          <w:rFonts w:hint="eastAsia" w:cs="宋体"/>
          <w:highlight w:val="none"/>
        </w:rPr>
        <w:t>商务技术文件部分</w:t>
      </w:r>
      <w:bookmarkEnd w:id="416"/>
    </w:p>
    <w:p w14:paraId="135BB1CD">
      <w:p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目录</w:t>
      </w:r>
    </w:p>
    <w:p w14:paraId="4BEA3BB3">
      <w:pPr>
        <w:snapToGrid w:val="0"/>
        <w:spacing w:line="360" w:lineRule="auto"/>
        <w:ind w:left="479" w:leftChars="228"/>
        <w:rPr>
          <w:rFonts w:ascii="宋体" w:hAnsi="宋体" w:cs="宋体"/>
          <w:sz w:val="24"/>
          <w:highlight w:val="none"/>
        </w:rPr>
      </w:pPr>
      <w:r>
        <w:rPr>
          <w:rFonts w:hint="eastAsia" w:ascii="宋体" w:hAnsi="宋体" w:cs="宋体"/>
          <w:sz w:val="24"/>
          <w:highlight w:val="none"/>
        </w:rPr>
        <w:t>（1）投标函……………………………………………………………………………（页码）</w:t>
      </w:r>
    </w:p>
    <w:p w14:paraId="50EFB593">
      <w:pPr>
        <w:snapToGrid w:val="0"/>
        <w:spacing w:line="360" w:lineRule="auto"/>
        <w:ind w:left="479" w:leftChars="228"/>
        <w:rPr>
          <w:rFonts w:ascii="宋体" w:hAnsi="宋体" w:cs="宋体"/>
          <w:sz w:val="24"/>
          <w:highlight w:val="none"/>
        </w:rPr>
      </w:pPr>
      <w:r>
        <w:rPr>
          <w:rFonts w:hint="eastAsia" w:ascii="宋体" w:hAnsi="宋体" w:cs="宋体"/>
          <w:sz w:val="24"/>
          <w:highlight w:val="none"/>
        </w:rPr>
        <w:t>（2）授权委托书或法定代表人（单位负责人、自然人本人）身份证明…………（页码）</w:t>
      </w:r>
    </w:p>
    <w:p w14:paraId="16BEA5D0">
      <w:pPr>
        <w:snapToGrid w:val="0"/>
        <w:spacing w:line="360" w:lineRule="auto"/>
        <w:ind w:left="479" w:leftChars="228"/>
        <w:rPr>
          <w:rFonts w:ascii="宋体" w:hAnsi="宋体" w:cs="宋体"/>
          <w:sz w:val="24"/>
          <w:highlight w:val="none"/>
        </w:rPr>
      </w:pPr>
      <w:r>
        <w:rPr>
          <w:rFonts w:hint="eastAsia" w:ascii="宋体" w:hAnsi="宋体" w:cs="宋体"/>
          <w:sz w:val="24"/>
          <w:highlight w:val="none"/>
        </w:rPr>
        <w:t>（3）分包意向协议……………………………………………………………………（页码）</w:t>
      </w:r>
    </w:p>
    <w:p w14:paraId="65AD81D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（4）符合性审查资料…………………………………………………………………（页码）</w:t>
      </w:r>
    </w:p>
    <w:p w14:paraId="3E63A23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（5）评标标准相应的商务技术资料…………………………………………………（页码</w:t>
      </w:r>
    </w:p>
    <w:p w14:paraId="49F05FA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（6）投标标的清单……………………………………………………………………（页码）</w:t>
      </w:r>
    </w:p>
    <w:p w14:paraId="60F1AE7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（7）商务技术偏离表…………………………………………………………………（页码）</w:t>
      </w:r>
    </w:p>
    <w:p w14:paraId="34A2DE1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sz w:val="24"/>
          <w:highlight w:val="none"/>
        </w:rPr>
        <w:t>………………………………………………（页码）</w:t>
      </w:r>
    </w:p>
    <w:p w14:paraId="2663447D">
      <w:pPr>
        <w:snapToGrid w:val="0"/>
        <w:spacing w:line="360" w:lineRule="auto"/>
        <w:ind w:firstLine="480" w:firstLineChars="200"/>
        <w:rPr>
          <w:rFonts w:ascii="宋体" w:hAnsi="宋体" w:cs="宋体"/>
          <w:sz w:val="24"/>
          <w:highlight w:val="none"/>
          <w:lang w:val="zh-CN"/>
        </w:rPr>
      </w:pPr>
    </w:p>
    <w:p w14:paraId="0F39F89F">
      <w:pPr>
        <w:snapToGrid w:val="0"/>
        <w:spacing w:line="360" w:lineRule="auto"/>
        <w:jc w:val="center"/>
        <w:rPr>
          <w:rFonts w:ascii="宋体" w:hAnsi="宋体" w:cs="宋体"/>
          <w:b/>
          <w:kern w:val="0"/>
          <w:sz w:val="32"/>
          <w:szCs w:val="32"/>
          <w:highlight w:val="none"/>
          <w:lang w:val="zh-CN"/>
        </w:rPr>
      </w:pPr>
    </w:p>
    <w:p w14:paraId="6859447D">
      <w:pPr>
        <w:snapToGrid w:val="0"/>
        <w:spacing w:line="360" w:lineRule="auto"/>
        <w:jc w:val="center"/>
        <w:rPr>
          <w:rFonts w:ascii="宋体" w:hAnsi="宋体" w:cs="宋体"/>
          <w:b/>
          <w:kern w:val="0"/>
          <w:sz w:val="32"/>
          <w:szCs w:val="32"/>
          <w:highlight w:val="none"/>
          <w:lang w:val="zh-CN"/>
        </w:rPr>
      </w:pPr>
    </w:p>
    <w:p w14:paraId="18FF30A5">
      <w:pPr>
        <w:snapToGrid w:val="0"/>
        <w:spacing w:line="360" w:lineRule="auto"/>
        <w:jc w:val="center"/>
        <w:rPr>
          <w:rFonts w:ascii="宋体" w:hAnsi="宋体" w:cs="宋体"/>
          <w:b/>
          <w:kern w:val="0"/>
          <w:sz w:val="32"/>
          <w:szCs w:val="32"/>
          <w:highlight w:val="none"/>
          <w:lang w:val="zh-CN"/>
        </w:rPr>
      </w:pPr>
    </w:p>
    <w:p w14:paraId="70C926D0">
      <w:pPr>
        <w:rPr>
          <w:rFonts w:ascii="宋体" w:hAnsi="宋体" w:cs="宋体"/>
          <w:highlight w:val="none"/>
          <w:lang w:val="zh-CN"/>
        </w:rPr>
      </w:pPr>
    </w:p>
    <w:p w14:paraId="066C6DC5">
      <w:pPr>
        <w:rPr>
          <w:rFonts w:ascii="宋体" w:hAnsi="宋体" w:cs="宋体"/>
          <w:highlight w:val="none"/>
        </w:rPr>
      </w:pPr>
    </w:p>
    <w:p w14:paraId="1AD990E6">
      <w:pPr>
        <w:rPr>
          <w:rFonts w:ascii="宋体" w:hAnsi="宋体" w:cs="宋体"/>
          <w:highlight w:val="none"/>
        </w:rPr>
      </w:pPr>
    </w:p>
    <w:p w14:paraId="3642F2DB">
      <w:pPr>
        <w:rPr>
          <w:rFonts w:ascii="宋体" w:hAnsi="宋体" w:cs="宋体"/>
          <w:highlight w:val="none"/>
        </w:rPr>
      </w:pPr>
    </w:p>
    <w:p w14:paraId="42C175FF">
      <w:pPr>
        <w:rPr>
          <w:rFonts w:ascii="宋体" w:hAnsi="宋体" w:cs="宋体"/>
          <w:highlight w:val="none"/>
        </w:rPr>
      </w:pPr>
    </w:p>
    <w:p w14:paraId="6DB888CD">
      <w:pPr>
        <w:rPr>
          <w:rFonts w:ascii="宋体" w:hAnsi="宋体" w:cs="宋体"/>
          <w:highlight w:val="none"/>
        </w:rPr>
      </w:pPr>
    </w:p>
    <w:p w14:paraId="7D7D2DE2">
      <w:pPr>
        <w:rPr>
          <w:rFonts w:ascii="宋体" w:hAnsi="宋体" w:cs="宋体"/>
          <w:highlight w:val="none"/>
        </w:rPr>
      </w:pPr>
    </w:p>
    <w:p w14:paraId="64C4D794">
      <w:pPr>
        <w:rPr>
          <w:rFonts w:ascii="宋体" w:hAnsi="宋体" w:cs="宋体"/>
          <w:highlight w:val="none"/>
        </w:rPr>
      </w:pPr>
    </w:p>
    <w:p w14:paraId="5E759252">
      <w:pPr>
        <w:rPr>
          <w:rFonts w:ascii="宋体" w:hAnsi="宋体" w:cs="宋体"/>
          <w:highlight w:val="none"/>
        </w:rPr>
      </w:pPr>
    </w:p>
    <w:p w14:paraId="1F5E3E39">
      <w:pPr>
        <w:rPr>
          <w:rFonts w:ascii="宋体" w:hAnsi="宋体" w:cs="宋体"/>
          <w:highlight w:val="none"/>
        </w:rPr>
      </w:pPr>
    </w:p>
    <w:p w14:paraId="076240BA">
      <w:pPr>
        <w:rPr>
          <w:rFonts w:ascii="宋体" w:hAnsi="宋体" w:cs="宋体"/>
          <w:highlight w:val="none"/>
        </w:rPr>
      </w:pPr>
    </w:p>
    <w:p w14:paraId="026626EA">
      <w:pPr>
        <w:widowControl/>
        <w:adjustRightInd/>
        <w:jc w:val="left"/>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AF1379A">
      <w:pPr>
        <w:snapToGrid w:val="0"/>
        <w:spacing w:line="360" w:lineRule="auto"/>
        <w:ind w:firstLine="3855" w:firstLineChars="120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4171A7D6">
      <w:pPr>
        <w:snapToGrid w:val="0"/>
        <w:spacing w:line="360" w:lineRule="auto"/>
        <w:rPr>
          <w:rFonts w:ascii="宋体" w:hAnsi="宋体" w:cs="宋体"/>
          <w:sz w:val="24"/>
          <w:highlight w:val="none"/>
        </w:rPr>
      </w:pPr>
      <w:r>
        <w:rPr>
          <w:rFonts w:hint="eastAsia" w:ascii="宋体" w:hAnsi="宋体" w:cs="宋体"/>
          <w:sz w:val="24"/>
          <w:highlight w:val="none"/>
        </w:rPr>
        <w:t>浙江海洋大学、浙江科佳工程咨询有限公司：</w:t>
      </w:r>
    </w:p>
    <w:p w14:paraId="2CC7D42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【招标编号：XXXXXXXX】招标的有关活动，并对此项目进行投标。为此：</w:t>
      </w:r>
    </w:p>
    <w:p w14:paraId="153C0977">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14:paraId="36C2590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14:paraId="1CB6B2BC">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2.1资格文件：</w:t>
      </w:r>
    </w:p>
    <w:p w14:paraId="7C61D9B8">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2.1.1承诺函；</w:t>
      </w:r>
    </w:p>
    <w:p w14:paraId="0C6DFE8E">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2.1.2</w:t>
      </w:r>
      <w:r>
        <w:rPr>
          <w:rFonts w:hint="eastAsia" w:ascii="宋体" w:hAnsi="宋体" w:cs="宋体"/>
          <w:kern w:val="28"/>
          <w:sz w:val="24"/>
          <w:szCs w:val="20"/>
          <w:highlight w:val="none"/>
        </w:rPr>
        <w:t>联合协议（如果有)；</w:t>
      </w:r>
    </w:p>
    <w:p w14:paraId="4BB072EA">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2.1.3落实政府采购政策需满足的资格要求</w:t>
      </w:r>
      <w:r>
        <w:rPr>
          <w:rFonts w:hint="eastAsia" w:ascii="宋体" w:hAnsi="宋体" w:cs="宋体"/>
          <w:kern w:val="28"/>
          <w:sz w:val="24"/>
          <w:szCs w:val="20"/>
          <w:highlight w:val="none"/>
        </w:rPr>
        <w:t>（如果有）</w:t>
      </w:r>
      <w:r>
        <w:rPr>
          <w:rFonts w:hint="eastAsia" w:ascii="宋体" w:hAnsi="宋体" w:cs="宋体"/>
          <w:sz w:val="24"/>
          <w:highlight w:val="none"/>
        </w:rPr>
        <w:t>；</w:t>
      </w:r>
    </w:p>
    <w:p w14:paraId="792B742E">
      <w:pPr>
        <w:snapToGrid w:val="0"/>
        <w:spacing w:line="360" w:lineRule="auto"/>
        <w:ind w:left="420" w:leftChars="200" w:firstLine="480" w:firstLineChars="200"/>
        <w:rPr>
          <w:rFonts w:ascii="宋体" w:hAnsi="宋体" w:cs="宋体"/>
          <w:kern w:val="28"/>
          <w:sz w:val="24"/>
          <w:szCs w:val="20"/>
          <w:highlight w:val="none"/>
        </w:rPr>
      </w:pPr>
      <w:r>
        <w:rPr>
          <w:rFonts w:hint="eastAsia" w:ascii="宋体" w:hAnsi="宋体" w:cs="宋体"/>
          <w:sz w:val="24"/>
          <w:highlight w:val="none"/>
        </w:rPr>
        <w:t>2.1.4本项目的特定资格要求</w:t>
      </w:r>
      <w:r>
        <w:rPr>
          <w:rFonts w:hint="eastAsia" w:ascii="宋体" w:hAnsi="宋体" w:cs="宋体"/>
          <w:kern w:val="28"/>
          <w:sz w:val="24"/>
          <w:szCs w:val="20"/>
          <w:highlight w:val="none"/>
        </w:rPr>
        <w:t>（如果有）；</w:t>
      </w:r>
    </w:p>
    <w:p w14:paraId="6721C271">
      <w:pPr>
        <w:snapToGrid w:val="0"/>
        <w:spacing w:line="360" w:lineRule="auto"/>
        <w:ind w:left="420" w:leftChars="200" w:firstLine="480" w:firstLineChars="200"/>
        <w:rPr>
          <w:rFonts w:ascii="宋体" w:hAnsi="宋体" w:cs="宋体"/>
          <w:sz w:val="24"/>
          <w:highlight w:val="none"/>
        </w:rPr>
      </w:pPr>
      <w:r>
        <w:rPr>
          <w:rFonts w:hint="eastAsia" w:ascii="宋体" w:hAnsi="宋体" w:cs="宋体"/>
          <w:kern w:val="28"/>
          <w:sz w:val="24"/>
          <w:szCs w:val="20"/>
          <w:highlight w:val="none"/>
        </w:rPr>
        <w:t>2.1.5营业执照</w:t>
      </w:r>
      <w:r>
        <w:rPr>
          <w:rFonts w:hint="eastAsia" w:ascii="宋体" w:hAnsi="宋体" w:cs="宋体"/>
          <w:sz w:val="24"/>
          <w:highlight w:val="none"/>
        </w:rPr>
        <w:t>。</w:t>
      </w:r>
    </w:p>
    <w:p w14:paraId="677ACCDA">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4E011048">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14:paraId="029B0351">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2.2.2授权委托书或法定代表人（单位负责人）身份证明；</w:t>
      </w:r>
    </w:p>
    <w:p w14:paraId="3AA5B363">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2.2.3分包意向协议</w:t>
      </w:r>
      <w:r>
        <w:rPr>
          <w:rFonts w:hint="eastAsia" w:ascii="宋体" w:hAnsi="宋体" w:cs="宋体"/>
          <w:kern w:val="28"/>
          <w:sz w:val="24"/>
          <w:szCs w:val="20"/>
          <w:highlight w:val="none"/>
        </w:rPr>
        <w:t>（如果有）</w:t>
      </w:r>
      <w:r>
        <w:rPr>
          <w:rFonts w:hint="eastAsia" w:ascii="宋体" w:hAnsi="宋体" w:cs="宋体"/>
          <w:sz w:val="24"/>
          <w:highlight w:val="none"/>
        </w:rPr>
        <w:t>；</w:t>
      </w:r>
    </w:p>
    <w:p w14:paraId="0952C199">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2.2.4符合性审查资料；</w:t>
      </w:r>
    </w:p>
    <w:p w14:paraId="75788F3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2.2.5评标标准相应的商务技术资料；</w:t>
      </w:r>
    </w:p>
    <w:p w14:paraId="6776CB3C">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2.2.6投标标的清单；</w:t>
      </w:r>
    </w:p>
    <w:p w14:paraId="654C5C2A">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2.2.7商务技术偏离表；</w:t>
      </w:r>
    </w:p>
    <w:p w14:paraId="6FA0CA0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8</w:t>
      </w:r>
      <w:r>
        <w:rPr>
          <w:rFonts w:hint="eastAsia" w:ascii="宋体" w:hAnsi="宋体" w:cs="宋体"/>
          <w:sz w:val="24"/>
          <w:highlight w:val="none"/>
          <w:lang w:val="zh-CN"/>
        </w:rPr>
        <w:t>政府采购供应商廉洁自律承诺书</w:t>
      </w:r>
      <w:r>
        <w:rPr>
          <w:rFonts w:hint="eastAsia" w:ascii="宋体" w:hAnsi="宋体" w:cs="宋体"/>
          <w:sz w:val="24"/>
          <w:highlight w:val="none"/>
        </w:rPr>
        <w:t>。</w:t>
      </w:r>
    </w:p>
    <w:p w14:paraId="67FE7F68">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2A450FD9">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14:paraId="1C07E1B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2.3.2中小企业声明函（如果有）；</w:t>
      </w:r>
    </w:p>
    <w:p w14:paraId="1997C74A">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2.3.3关于符合本国产品标准的声明函。</w:t>
      </w:r>
    </w:p>
    <w:p w14:paraId="1EB91A0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3、我方承诺除商务技术偏离表列出的偏离外，我方响应招标文件的全部要求。</w:t>
      </w:r>
    </w:p>
    <w:p w14:paraId="27A1E674">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7348C78A">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32858B74">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14DE202D">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14:paraId="68EF0914">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5596DA82">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5、其他补充说明: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5FE74C41">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4130AE9F">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60BFFD3">
      <w:pPr>
        <w:snapToGrid w:val="0"/>
        <w:spacing w:line="360" w:lineRule="auto"/>
        <w:ind w:left="420" w:leftChars="200" w:firstLine="4200" w:firstLineChars="1750"/>
        <w:rPr>
          <w:rFonts w:ascii="宋体" w:hAnsi="宋体" w:cs="宋体"/>
          <w:kern w:val="0"/>
          <w:sz w:val="24"/>
          <w:highlight w:val="none"/>
          <w:u w:val="single"/>
        </w:rPr>
      </w:pPr>
    </w:p>
    <w:p w14:paraId="11DB4C6D">
      <w:pPr>
        <w:spacing w:line="360" w:lineRule="auto"/>
        <w:ind w:right="420"/>
        <w:rPr>
          <w:rFonts w:ascii="宋体" w:hAnsi="宋体" w:cs="宋体"/>
          <w:sz w:val="24"/>
          <w:highlight w:val="none"/>
        </w:rPr>
        <w:sectPr>
          <w:headerReference r:id="rId10" w:type="first"/>
          <w:footerReference r:id="rId12" w:type="first"/>
          <w:headerReference r:id="rId9" w:type="default"/>
          <w:footerReference r:id="rId11" w:type="default"/>
          <w:pgSz w:w="11906" w:h="16838"/>
          <w:pgMar w:top="1440" w:right="1080" w:bottom="1440" w:left="1080" w:header="851" w:footer="992" w:gutter="0"/>
          <w:cols w:space="720" w:num="1"/>
          <w:titlePg/>
          <w:docGrid w:linePitch="312" w:charSpace="0"/>
        </w:sectPr>
      </w:pPr>
      <w:r>
        <w:rPr>
          <w:rFonts w:hint="eastAsia" w:ascii="宋体" w:hAnsi="宋体" w:cs="宋体"/>
          <w:sz w:val="24"/>
          <w:highlight w:val="none"/>
        </w:rPr>
        <w:t>注：按本格式和要求提供。</w:t>
      </w:r>
    </w:p>
    <w:p w14:paraId="4F465B1F">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0005DD53">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14:paraId="56AEF222">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44DB4463">
      <w:pPr>
        <w:snapToGrid w:val="0"/>
        <w:spacing w:line="360" w:lineRule="auto"/>
        <w:rPr>
          <w:rFonts w:ascii="宋体" w:hAnsi="宋体" w:cs="宋体"/>
          <w:kern w:val="0"/>
          <w:sz w:val="24"/>
          <w:highlight w:val="none"/>
        </w:rPr>
      </w:pPr>
      <w:r>
        <w:rPr>
          <w:rFonts w:hint="eastAsia" w:ascii="宋体" w:hAnsi="宋体" w:cs="宋体"/>
          <w:sz w:val="24"/>
          <w:highlight w:val="none"/>
        </w:rPr>
        <w:t>浙江海洋大学、浙江科佳工程咨询有限公司</w:t>
      </w:r>
      <w:r>
        <w:rPr>
          <w:rFonts w:hint="eastAsia" w:ascii="宋体" w:hAnsi="宋体" w:cs="宋体"/>
          <w:kern w:val="0"/>
          <w:sz w:val="24"/>
          <w:highlight w:val="none"/>
          <w:lang w:val="zh-CN"/>
        </w:rPr>
        <w:t>：</w:t>
      </w:r>
    </w:p>
    <w:p w14:paraId="78E9D250">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w:t>
      </w:r>
      <w:r>
        <w:rPr>
          <w:rFonts w:hint="eastAsia" w:ascii="宋体" w:hAnsi="宋体" w:cs="宋体"/>
          <w:kern w:val="0"/>
          <w:sz w:val="24"/>
          <w:highlight w:val="none"/>
          <w:lang w:val="zh-CN"/>
        </w:rPr>
        <w:t>政府采购投标的一切事项，其法律后果由我方承担。</w:t>
      </w:r>
    </w:p>
    <w:p w14:paraId="764FEEA0">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58CBE6F8">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21C9489D">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14:paraId="4A9A1EDA">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2FBB8DA5">
      <w:pPr>
        <w:snapToGrid w:val="0"/>
        <w:spacing w:line="360" w:lineRule="auto"/>
        <w:rPr>
          <w:rFonts w:ascii="宋体" w:hAnsi="宋体" w:cs="宋体"/>
          <w:sz w:val="24"/>
          <w:highlight w:val="none"/>
        </w:rPr>
      </w:pPr>
    </w:p>
    <w:p w14:paraId="20BA9035">
      <w:pPr>
        <w:snapToGrid w:val="0"/>
        <w:spacing w:line="360" w:lineRule="auto"/>
        <w:rPr>
          <w:rFonts w:ascii="宋体" w:hAnsi="宋体" w:cs="宋体"/>
          <w:sz w:val="24"/>
          <w:highlight w:val="none"/>
        </w:rPr>
      </w:pPr>
    </w:p>
    <w:p w14:paraId="7E079F21">
      <w:pPr>
        <w:snapToGrid w:val="0"/>
        <w:spacing w:line="360" w:lineRule="auto"/>
        <w:rPr>
          <w:rFonts w:ascii="宋体" w:hAnsi="宋体" w:cs="宋体"/>
          <w:sz w:val="24"/>
          <w:highlight w:val="none"/>
        </w:rPr>
      </w:pPr>
    </w:p>
    <w:p w14:paraId="7AFE924F">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A71268E">
      <w:pPr>
        <w:snapToGrid w:val="0"/>
        <w:spacing w:line="360" w:lineRule="auto"/>
        <w:rPr>
          <w:rFonts w:ascii="宋体" w:hAnsi="宋体" w:cs="宋体"/>
          <w:kern w:val="0"/>
          <w:sz w:val="24"/>
          <w:highlight w:val="none"/>
        </w:rPr>
      </w:pPr>
      <w:r>
        <w:rPr>
          <w:rFonts w:hint="eastAsia" w:ascii="宋体" w:hAnsi="宋体" w:cs="宋体"/>
          <w:sz w:val="24"/>
          <w:highlight w:val="none"/>
        </w:rPr>
        <w:t>浙江海洋大学、浙江科佳工程咨询有限公司</w:t>
      </w:r>
      <w:r>
        <w:rPr>
          <w:rFonts w:hint="eastAsia" w:ascii="宋体" w:hAnsi="宋体" w:cs="宋体"/>
          <w:kern w:val="0"/>
          <w:sz w:val="24"/>
          <w:highlight w:val="none"/>
          <w:lang w:val="zh-CN"/>
        </w:rPr>
        <w:t>：</w:t>
      </w:r>
    </w:p>
    <w:p w14:paraId="3BB671C2">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w:t>
      </w:r>
      <w:r>
        <w:rPr>
          <w:rFonts w:hint="eastAsia" w:ascii="宋体" w:hAnsi="宋体" w:cs="宋体"/>
          <w:kern w:val="0"/>
          <w:sz w:val="24"/>
          <w:highlight w:val="none"/>
          <w:lang w:val="zh-CN"/>
        </w:rPr>
        <w:t>政府采购投标的一切事项，其法律后果由我方承担。</w:t>
      </w:r>
    </w:p>
    <w:p w14:paraId="688F5D4C">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4B0D699C">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1FFC2826">
      <w:pPr>
        <w:jc w:val="center"/>
        <w:rPr>
          <w:rFonts w:ascii="宋体" w:hAnsi="宋体" w:cs="宋体"/>
          <w:b/>
          <w:kern w:val="0"/>
          <w:sz w:val="32"/>
          <w:szCs w:val="32"/>
          <w:highlight w:val="none"/>
        </w:rPr>
      </w:pPr>
    </w:p>
    <w:p w14:paraId="1A1197B7">
      <w:pPr>
        <w:jc w:val="center"/>
        <w:rPr>
          <w:rFonts w:ascii="宋体" w:hAnsi="宋体" w:cs="宋体"/>
          <w:b/>
          <w:kern w:val="0"/>
          <w:sz w:val="32"/>
          <w:szCs w:val="32"/>
          <w:highlight w:val="none"/>
        </w:rPr>
      </w:pPr>
    </w:p>
    <w:p w14:paraId="397EB40E">
      <w:pPr>
        <w:jc w:val="center"/>
        <w:rPr>
          <w:rFonts w:ascii="宋体" w:hAnsi="宋体" w:cs="宋体"/>
          <w:b/>
          <w:kern w:val="0"/>
          <w:sz w:val="32"/>
          <w:szCs w:val="32"/>
          <w:highlight w:val="none"/>
        </w:rPr>
      </w:pPr>
    </w:p>
    <w:p w14:paraId="54936793">
      <w:pPr>
        <w:rPr>
          <w:rFonts w:ascii="宋体" w:hAnsi="宋体" w:cs="宋体"/>
          <w:highlight w:val="none"/>
        </w:rPr>
      </w:pPr>
    </w:p>
    <w:p w14:paraId="0A9E8DB5">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64B3E040">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5B3F1A64">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7FD449F6">
      <w:pPr>
        <w:snapToGrid w:val="0"/>
        <w:spacing w:line="360" w:lineRule="auto"/>
        <w:rPr>
          <w:rFonts w:ascii="宋体" w:hAnsi="宋体" w:cs="宋体"/>
          <w:kern w:val="0"/>
          <w:sz w:val="24"/>
          <w:highlight w:val="none"/>
          <w:lang w:val="zh-CN"/>
        </w:rPr>
        <w:sectPr>
          <w:pgSz w:w="11906" w:h="16838"/>
          <w:pgMar w:top="1440" w:right="1080" w:bottom="1440" w:left="1080" w:header="851" w:footer="992" w:gutter="0"/>
          <w:cols w:space="720" w:num="1"/>
          <w:titlePg/>
          <w:docGrid w:linePitch="312" w:charSpace="0"/>
        </w:sectPr>
      </w:pPr>
      <w:r>
        <w:rPr>
          <w:rFonts w:hint="eastAsia" w:ascii="宋体" w:hAnsi="宋体" w:cs="宋体"/>
          <w:kern w:val="0"/>
          <w:sz w:val="24"/>
          <w:highlight w:val="none"/>
          <w:lang w:val="zh-CN"/>
        </w:rPr>
        <w:t xml:space="preserve">                                               日期：  年  月   日</w:t>
      </w:r>
    </w:p>
    <w:p w14:paraId="3FB6347B">
      <w:pPr>
        <w:pStyle w:val="65"/>
        <w:ind w:firstLine="420"/>
        <w:rPr>
          <w:rFonts w:cs="宋体"/>
          <w:highlight w:val="none"/>
          <w:lang w:val="zh-CN"/>
        </w:rPr>
      </w:pPr>
    </w:p>
    <w:p w14:paraId="7226CE31">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25F05048">
      <w:pPr>
        <w:pStyle w:val="153"/>
        <w:spacing w:line="360" w:lineRule="auto"/>
        <w:rPr>
          <w:rFonts w:hAnsi="宋体" w:cs="宋体"/>
          <w:bCs/>
          <w:sz w:val="24"/>
          <w:highlight w:val="none"/>
        </w:rPr>
      </w:pPr>
      <w:r>
        <w:rPr>
          <w:rFonts w:hint="eastAsia" w:hAnsi="宋体" w:cs="宋体"/>
          <w:bCs/>
          <w:sz w:val="24"/>
          <w:highlight w:val="none"/>
        </w:rPr>
        <w:t>身份证件扫描件：</w:t>
      </w:r>
    </w:p>
    <w:tbl>
      <w:tblPr>
        <w:tblStyle w:val="6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4F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6CC97C8">
            <w:pPr>
              <w:pStyle w:val="153"/>
              <w:adjustRightInd w:val="0"/>
              <w:spacing w:line="360" w:lineRule="auto"/>
              <w:rPr>
                <w:rFonts w:hAnsi="宋体" w:cs="宋体"/>
                <w:bCs/>
                <w:sz w:val="24"/>
                <w:highlight w:val="none"/>
              </w:rPr>
            </w:pPr>
            <w:r>
              <w:rPr>
                <w:rFonts w:hint="eastAsia" w:hAnsi="宋体" w:cs="宋体"/>
                <w:bCs/>
                <w:sz w:val="24"/>
                <w:highlight w:val="none"/>
              </w:rPr>
              <w:t>正面：                                 反面：</w:t>
            </w:r>
          </w:p>
          <w:p w14:paraId="2BA6503F">
            <w:pPr>
              <w:pStyle w:val="153"/>
              <w:adjustRightInd w:val="0"/>
              <w:spacing w:line="360" w:lineRule="auto"/>
              <w:rPr>
                <w:rFonts w:hAnsi="宋体" w:cs="宋体"/>
                <w:bCs/>
                <w:sz w:val="24"/>
                <w:highlight w:val="none"/>
              </w:rPr>
            </w:pPr>
          </w:p>
        </w:tc>
      </w:tr>
    </w:tbl>
    <w:p w14:paraId="73D28E23">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433CC4D2">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641D6C15">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BB304BC">
      <w:pPr>
        <w:jc w:val="center"/>
        <w:rPr>
          <w:rFonts w:ascii="宋体" w:hAnsi="宋体" w:cs="宋体"/>
          <w:b/>
          <w:kern w:val="0"/>
          <w:sz w:val="32"/>
          <w:szCs w:val="32"/>
          <w:highlight w:val="none"/>
        </w:rPr>
      </w:pPr>
    </w:p>
    <w:p w14:paraId="4FB6A79F">
      <w:pPr>
        <w:jc w:val="center"/>
        <w:rPr>
          <w:rFonts w:ascii="宋体" w:hAnsi="宋体" w:cs="宋体"/>
          <w:b/>
          <w:kern w:val="0"/>
          <w:sz w:val="32"/>
          <w:szCs w:val="32"/>
          <w:highlight w:val="none"/>
        </w:rPr>
      </w:pPr>
    </w:p>
    <w:p w14:paraId="4B1766E6">
      <w:pPr>
        <w:jc w:val="center"/>
        <w:rPr>
          <w:rFonts w:ascii="宋体" w:hAnsi="宋体" w:cs="宋体"/>
          <w:b/>
          <w:kern w:val="0"/>
          <w:sz w:val="32"/>
          <w:szCs w:val="32"/>
          <w:highlight w:val="none"/>
        </w:rPr>
      </w:pPr>
    </w:p>
    <w:p w14:paraId="1A8A810C">
      <w:pPr>
        <w:jc w:val="center"/>
        <w:rPr>
          <w:rFonts w:ascii="宋体" w:hAnsi="宋体" w:cs="宋体"/>
          <w:b/>
          <w:kern w:val="0"/>
          <w:sz w:val="32"/>
          <w:szCs w:val="32"/>
          <w:highlight w:val="none"/>
        </w:rPr>
      </w:pPr>
    </w:p>
    <w:p w14:paraId="4B7E1C62">
      <w:pPr>
        <w:jc w:val="center"/>
        <w:rPr>
          <w:rFonts w:ascii="宋体" w:hAnsi="宋体" w:cs="宋体"/>
          <w:b/>
          <w:kern w:val="0"/>
          <w:sz w:val="32"/>
          <w:szCs w:val="32"/>
          <w:highlight w:val="none"/>
        </w:rPr>
      </w:pPr>
    </w:p>
    <w:p w14:paraId="02017D81">
      <w:pPr>
        <w:jc w:val="center"/>
        <w:rPr>
          <w:rFonts w:ascii="宋体" w:hAnsi="宋体" w:cs="宋体"/>
          <w:b/>
          <w:kern w:val="0"/>
          <w:sz w:val="32"/>
          <w:szCs w:val="32"/>
          <w:highlight w:val="none"/>
        </w:rPr>
      </w:pPr>
    </w:p>
    <w:p w14:paraId="5759EE6A">
      <w:pPr>
        <w:jc w:val="center"/>
        <w:rPr>
          <w:rFonts w:ascii="宋体" w:hAnsi="宋体" w:cs="宋体"/>
          <w:b/>
          <w:kern w:val="0"/>
          <w:sz w:val="32"/>
          <w:szCs w:val="32"/>
          <w:highlight w:val="none"/>
        </w:rPr>
      </w:pPr>
    </w:p>
    <w:p w14:paraId="5D97F102">
      <w:pPr>
        <w:jc w:val="center"/>
        <w:rPr>
          <w:rFonts w:ascii="宋体" w:hAnsi="宋体" w:cs="宋体"/>
          <w:b/>
          <w:kern w:val="0"/>
          <w:sz w:val="32"/>
          <w:szCs w:val="32"/>
          <w:highlight w:val="none"/>
        </w:rPr>
      </w:pPr>
    </w:p>
    <w:p w14:paraId="3B0D06EB">
      <w:pPr>
        <w:jc w:val="center"/>
        <w:rPr>
          <w:rFonts w:ascii="宋体" w:hAnsi="宋体" w:cs="宋体"/>
          <w:b/>
          <w:kern w:val="0"/>
          <w:sz w:val="32"/>
          <w:szCs w:val="32"/>
          <w:highlight w:val="none"/>
        </w:rPr>
      </w:pPr>
    </w:p>
    <w:p w14:paraId="7EBF6BD0">
      <w:pPr>
        <w:jc w:val="center"/>
        <w:rPr>
          <w:rFonts w:ascii="宋体" w:hAnsi="宋体" w:cs="宋体"/>
          <w:b/>
          <w:kern w:val="0"/>
          <w:sz w:val="32"/>
          <w:szCs w:val="32"/>
          <w:highlight w:val="none"/>
        </w:rPr>
      </w:pPr>
    </w:p>
    <w:p w14:paraId="248CB3F8">
      <w:pPr>
        <w:snapToGrid w:val="0"/>
        <w:spacing w:line="360" w:lineRule="auto"/>
        <w:ind w:right="480"/>
        <w:rPr>
          <w:rFonts w:ascii="宋体" w:hAnsi="宋体" w:cs="宋体"/>
          <w:b/>
          <w:kern w:val="0"/>
          <w:sz w:val="32"/>
          <w:szCs w:val="32"/>
          <w:highlight w:val="none"/>
        </w:rPr>
        <w:sectPr>
          <w:pgSz w:w="11906" w:h="16838"/>
          <w:pgMar w:top="1440" w:right="1080" w:bottom="1440" w:left="1080" w:header="851" w:footer="992" w:gutter="0"/>
          <w:cols w:space="720" w:num="1"/>
          <w:titlePg/>
          <w:docGrid w:linePitch="312" w:charSpace="0"/>
        </w:sectPr>
      </w:pPr>
    </w:p>
    <w:p w14:paraId="0EB1C53E">
      <w:pPr>
        <w:snapToGrid w:val="0"/>
        <w:spacing w:line="360" w:lineRule="auto"/>
        <w:jc w:val="center"/>
        <w:rPr>
          <w:rFonts w:ascii="宋体" w:hAnsi="宋体" w:cs="宋体"/>
          <w:b/>
          <w:kern w:val="0"/>
          <w:sz w:val="32"/>
          <w:szCs w:val="32"/>
          <w:highlight w:val="none"/>
        </w:rPr>
      </w:pPr>
    </w:p>
    <w:p w14:paraId="343A6C59">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三、分包意向协议（如果有）</w:t>
      </w:r>
    </w:p>
    <w:p w14:paraId="45FB638F">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中标后以分包方式履行合同的，提供分包意向协议(附件6)；采购人不同意分包或者投标人中标后不以分包方式履行合同的，则不需要提供。</w:t>
      </w:r>
      <w:r>
        <w:rPr>
          <w:rFonts w:hint="eastAsia" w:ascii="宋体" w:hAnsi="宋体" w:cs="宋体"/>
          <w:sz w:val="24"/>
          <w:highlight w:val="none"/>
        </w:rPr>
        <w:t>]</w:t>
      </w:r>
    </w:p>
    <w:p w14:paraId="67089F44">
      <w:pPr>
        <w:snapToGrid w:val="0"/>
        <w:spacing w:line="360" w:lineRule="auto"/>
        <w:rPr>
          <w:rFonts w:ascii="宋体" w:hAnsi="宋体" w:cs="宋体"/>
          <w:kern w:val="0"/>
          <w:sz w:val="24"/>
          <w:highlight w:val="none"/>
        </w:rPr>
      </w:pPr>
    </w:p>
    <w:p w14:paraId="2AC77F90">
      <w:pPr>
        <w:rPr>
          <w:rFonts w:ascii="宋体" w:hAnsi="宋体" w:cs="宋体"/>
          <w:highlight w:val="none"/>
        </w:rPr>
      </w:pPr>
    </w:p>
    <w:p w14:paraId="2E8922D6">
      <w:pPr>
        <w:rPr>
          <w:rFonts w:ascii="宋体" w:hAnsi="宋体" w:cs="宋体"/>
          <w:highlight w:val="none"/>
        </w:rPr>
      </w:pPr>
    </w:p>
    <w:p w14:paraId="1FA5EF31">
      <w:pPr>
        <w:rPr>
          <w:rFonts w:ascii="宋体" w:hAnsi="宋体" w:cs="宋体"/>
          <w:highlight w:val="none"/>
        </w:rPr>
      </w:pPr>
    </w:p>
    <w:p w14:paraId="29B5CAF9">
      <w:pPr>
        <w:rPr>
          <w:rFonts w:ascii="宋体" w:hAnsi="宋体" w:cs="宋体"/>
          <w:highlight w:val="none"/>
        </w:rPr>
      </w:pPr>
    </w:p>
    <w:p w14:paraId="75E57373">
      <w:pPr>
        <w:jc w:val="center"/>
        <w:rPr>
          <w:rFonts w:ascii="宋体" w:hAnsi="宋体" w:cs="宋体"/>
          <w:b/>
          <w:kern w:val="0"/>
          <w:sz w:val="32"/>
          <w:szCs w:val="32"/>
          <w:highlight w:val="none"/>
        </w:rPr>
      </w:pPr>
    </w:p>
    <w:p w14:paraId="18DA0D29">
      <w:pPr>
        <w:jc w:val="center"/>
        <w:rPr>
          <w:rFonts w:ascii="宋体" w:hAnsi="宋体" w:cs="宋体"/>
          <w:b/>
          <w:kern w:val="0"/>
          <w:sz w:val="32"/>
          <w:szCs w:val="32"/>
          <w:highlight w:val="none"/>
        </w:rPr>
      </w:pPr>
      <w:r>
        <w:rPr>
          <w:rFonts w:hint="eastAsia" w:ascii="宋体" w:hAnsi="宋体" w:cs="宋体"/>
          <w:b/>
          <w:kern w:val="0"/>
          <w:sz w:val="32"/>
          <w:szCs w:val="32"/>
          <w:highlight w:val="none"/>
        </w:rPr>
        <w:t>四、符合性审查资料</w:t>
      </w:r>
    </w:p>
    <w:p w14:paraId="32C14AB0">
      <w:pPr>
        <w:jc w:val="center"/>
        <w:rPr>
          <w:rFonts w:ascii="宋体" w:hAnsi="宋体" w:cs="宋体"/>
          <w:b/>
          <w:kern w:val="0"/>
          <w:sz w:val="32"/>
          <w:szCs w:val="32"/>
          <w:highlight w:val="none"/>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559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00BE8BC">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991" w:type="dxa"/>
            <w:vAlign w:val="center"/>
          </w:tcPr>
          <w:p w14:paraId="78607F24">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62B9385B">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511D21E6">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14:paraId="3DFA48D6">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14:paraId="1688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2FF68E">
            <w:pPr>
              <w:jc w:val="center"/>
              <w:rPr>
                <w:rFonts w:ascii="宋体" w:hAnsi="宋体" w:cs="宋体"/>
                <w:sz w:val="24"/>
                <w:highlight w:val="none"/>
              </w:rPr>
            </w:pPr>
            <w:r>
              <w:rPr>
                <w:rFonts w:hint="eastAsia" w:ascii="宋体" w:hAnsi="宋体" w:cs="宋体"/>
                <w:sz w:val="24"/>
                <w:highlight w:val="none"/>
              </w:rPr>
              <w:t>1</w:t>
            </w:r>
          </w:p>
        </w:tc>
        <w:tc>
          <w:tcPr>
            <w:tcW w:w="4991" w:type="dxa"/>
          </w:tcPr>
          <w:p w14:paraId="2C99C885">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18A66513">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14:paraId="79EADDD9">
            <w:pPr>
              <w:rPr>
                <w:rFonts w:ascii="宋体" w:hAnsi="宋体" w:cs="宋体"/>
                <w:sz w:val="24"/>
                <w:highlight w:val="none"/>
              </w:rPr>
            </w:pPr>
          </w:p>
          <w:p w14:paraId="6A0C5028">
            <w:pPr>
              <w:rPr>
                <w:rFonts w:ascii="宋体" w:hAnsi="宋体" w:cs="宋体"/>
                <w:sz w:val="24"/>
                <w:highlight w:val="none"/>
              </w:rPr>
            </w:pPr>
            <w:r>
              <w:rPr>
                <w:rFonts w:hint="eastAsia" w:ascii="宋体" w:hAnsi="宋体" w:cs="宋体"/>
                <w:sz w:val="24"/>
                <w:highlight w:val="none"/>
              </w:rPr>
              <w:t>见投标文件</w:t>
            </w:r>
          </w:p>
          <w:p w14:paraId="1BD39D8C">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61E4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E14066">
            <w:pPr>
              <w:jc w:val="center"/>
              <w:rPr>
                <w:rFonts w:ascii="宋体" w:hAnsi="宋体" w:cs="宋体"/>
                <w:sz w:val="24"/>
                <w:highlight w:val="none"/>
              </w:rPr>
            </w:pPr>
            <w:r>
              <w:rPr>
                <w:rFonts w:hint="eastAsia" w:ascii="宋体" w:hAnsi="宋体" w:cs="宋体"/>
                <w:sz w:val="24"/>
                <w:highlight w:val="none"/>
              </w:rPr>
              <w:t>2</w:t>
            </w:r>
          </w:p>
        </w:tc>
        <w:tc>
          <w:tcPr>
            <w:tcW w:w="4991" w:type="dxa"/>
          </w:tcPr>
          <w:p w14:paraId="1F5C84D1">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4AEA87A1">
            <w:pPr>
              <w:rPr>
                <w:rFonts w:ascii="宋体" w:hAnsi="宋体" w:cs="宋体"/>
                <w:sz w:val="24"/>
                <w:highlight w:val="none"/>
              </w:rPr>
            </w:pPr>
            <w:r>
              <w:rPr>
                <w:rFonts w:hint="eastAsia" w:ascii="宋体" w:hAnsi="宋体" w:cs="宋体"/>
                <w:sz w:val="24"/>
                <w:highlight w:val="none"/>
              </w:rPr>
              <w:t>投标函</w:t>
            </w:r>
          </w:p>
        </w:tc>
        <w:tc>
          <w:tcPr>
            <w:tcW w:w="1418" w:type="dxa"/>
          </w:tcPr>
          <w:p w14:paraId="0EF4C6CF">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21E7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98DFFEB">
            <w:pPr>
              <w:jc w:val="center"/>
              <w:rPr>
                <w:rFonts w:ascii="宋体" w:hAnsi="宋体" w:cs="宋体"/>
                <w:sz w:val="24"/>
                <w:highlight w:val="none"/>
              </w:rPr>
            </w:pPr>
            <w:r>
              <w:rPr>
                <w:rFonts w:hint="eastAsia" w:ascii="宋体" w:hAnsi="宋体" w:cs="宋体"/>
                <w:sz w:val="24"/>
                <w:highlight w:val="none"/>
              </w:rPr>
              <w:t>3</w:t>
            </w:r>
          </w:p>
        </w:tc>
        <w:tc>
          <w:tcPr>
            <w:tcW w:w="4991" w:type="dxa"/>
          </w:tcPr>
          <w:p w14:paraId="3123B813">
            <w:pPr>
              <w:spacing w:line="360" w:lineRule="auto"/>
              <w:rPr>
                <w:rFonts w:ascii="宋体" w:hAnsi="宋体" w:cs="宋体"/>
                <w:sz w:val="24"/>
                <w:highlight w:val="none"/>
              </w:rPr>
            </w:pPr>
            <w:r>
              <w:rPr>
                <w:rFonts w:hint="eastAsia" w:ascii="宋体" w:hAnsi="宋体" w:cs="宋体"/>
                <w:sz w:val="24"/>
                <w:highlight w:val="none"/>
              </w:rPr>
              <w:t>投标文件满足招标文件的其它实质性要求。</w:t>
            </w:r>
          </w:p>
        </w:tc>
        <w:tc>
          <w:tcPr>
            <w:tcW w:w="2551" w:type="dxa"/>
            <w:vAlign w:val="center"/>
          </w:tcPr>
          <w:p w14:paraId="18F210D2">
            <w:pPr>
              <w:rPr>
                <w:rFonts w:ascii="宋体" w:hAnsi="宋体" w:cs="宋体"/>
                <w:sz w:val="24"/>
                <w:highlight w:val="none"/>
              </w:rPr>
            </w:pPr>
            <w:r>
              <w:rPr>
                <w:rFonts w:hint="eastAsia" w:ascii="宋体" w:hAnsi="宋体" w:cs="宋体"/>
                <w:kern w:val="0"/>
                <w:sz w:val="24"/>
                <w:highlight w:val="none"/>
              </w:rPr>
              <w:t>招标文件其它实质性要求相应的材料（“▲” 系指实质性要求条款，招标文件无其它实质性要求的，无需提供）</w:t>
            </w:r>
          </w:p>
        </w:tc>
        <w:tc>
          <w:tcPr>
            <w:tcW w:w="1418" w:type="dxa"/>
          </w:tcPr>
          <w:p w14:paraId="012F5259">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14:paraId="5F49B9D8">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44F243AE">
      <w:pPr>
        <w:jc w:val="center"/>
        <w:rPr>
          <w:rFonts w:ascii="宋体" w:hAnsi="宋体" w:cs="宋体"/>
          <w:b/>
          <w:kern w:val="0"/>
          <w:sz w:val="32"/>
          <w:szCs w:val="32"/>
          <w:highlight w:val="none"/>
        </w:rPr>
      </w:pPr>
    </w:p>
    <w:p w14:paraId="47DE1DF5">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14:paraId="2400262C">
      <w:pPr>
        <w:jc w:val="center"/>
        <w:rPr>
          <w:rFonts w:ascii="宋体" w:hAnsi="宋体" w:cs="宋体"/>
          <w:b/>
          <w:kern w:val="0"/>
          <w:sz w:val="32"/>
          <w:szCs w:val="32"/>
          <w:highlight w:val="none"/>
        </w:rPr>
      </w:pPr>
    </w:p>
    <w:p w14:paraId="6D8CD870">
      <w:pPr>
        <w:jc w:val="center"/>
        <w:rPr>
          <w:rFonts w:ascii="宋体" w:hAnsi="宋体" w:cs="宋体"/>
          <w:b/>
          <w:kern w:val="0"/>
          <w:sz w:val="32"/>
          <w:szCs w:val="32"/>
          <w:highlight w:val="none"/>
        </w:rPr>
      </w:pPr>
    </w:p>
    <w:p w14:paraId="2B08129B">
      <w:pPr>
        <w:jc w:val="center"/>
        <w:rPr>
          <w:rFonts w:ascii="宋体" w:hAnsi="宋体" w:cs="宋体"/>
          <w:b/>
          <w:kern w:val="0"/>
          <w:sz w:val="32"/>
          <w:szCs w:val="32"/>
          <w:highlight w:val="none"/>
        </w:rPr>
      </w:pPr>
    </w:p>
    <w:p w14:paraId="2007C4FC">
      <w:pPr>
        <w:jc w:val="center"/>
        <w:rPr>
          <w:rFonts w:ascii="宋体" w:hAnsi="宋体" w:cs="宋体"/>
          <w:b/>
          <w:kern w:val="0"/>
          <w:sz w:val="32"/>
          <w:szCs w:val="32"/>
          <w:highlight w:val="none"/>
        </w:rPr>
      </w:pPr>
    </w:p>
    <w:p w14:paraId="4D2DECD2">
      <w:pPr>
        <w:widowControl/>
        <w:adjustRightInd/>
        <w:jc w:val="left"/>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70433110">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14:paraId="3AB74A68">
      <w:pPr>
        <w:snapToGrid w:val="0"/>
        <w:spacing w:line="360" w:lineRule="auto"/>
        <w:jc w:val="left"/>
        <w:rPr>
          <w:rFonts w:ascii="宋体" w:hAnsi="宋体" w:cs="宋体"/>
          <w:b/>
          <w:sz w:val="24"/>
          <w:highlight w:val="none"/>
        </w:rPr>
      </w:pPr>
    </w:p>
    <w:p w14:paraId="477020EC">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（按招标文件第四部分评标办法提供资料。）</w:t>
      </w:r>
    </w:p>
    <w:p w14:paraId="5B089DA4">
      <w:pPr>
        <w:jc w:val="center"/>
        <w:rPr>
          <w:rFonts w:ascii="宋体" w:hAnsi="宋体" w:cs="宋体"/>
          <w:b/>
          <w:kern w:val="0"/>
          <w:sz w:val="32"/>
          <w:szCs w:val="32"/>
          <w:highlight w:val="none"/>
        </w:rPr>
      </w:pPr>
    </w:p>
    <w:p w14:paraId="019B9B35">
      <w:pPr>
        <w:jc w:val="center"/>
        <w:rPr>
          <w:rFonts w:ascii="宋体" w:hAnsi="宋体" w:cs="宋体"/>
          <w:b/>
          <w:kern w:val="0"/>
          <w:sz w:val="32"/>
          <w:szCs w:val="32"/>
          <w:highlight w:val="none"/>
        </w:rPr>
      </w:pPr>
    </w:p>
    <w:p w14:paraId="14E9E69D">
      <w:pPr>
        <w:jc w:val="center"/>
        <w:rPr>
          <w:rFonts w:ascii="宋体" w:hAnsi="宋体" w:cs="宋体"/>
          <w:b/>
          <w:kern w:val="0"/>
          <w:sz w:val="32"/>
          <w:szCs w:val="32"/>
          <w:highlight w:val="none"/>
        </w:rPr>
      </w:pPr>
    </w:p>
    <w:p w14:paraId="19638F99">
      <w:pPr>
        <w:jc w:val="center"/>
        <w:rPr>
          <w:rFonts w:ascii="宋体" w:hAnsi="宋体" w:cs="宋体"/>
          <w:b/>
          <w:kern w:val="0"/>
          <w:sz w:val="32"/>
          <w:szCs w:val="32"/>
          <w:highlight w:val="none"/>
        </w:rPr>
      </w:pPr>
      <w:r>
        <w:rPr>
          <w:rFonts w:hint="eastAsia" w:ascii="宋体" w:hAnsi="宋体" w:cs="宋体"/>
          <w:b/>
          <w:kern w:val="0"/>
          <w:sz w:val="32"/>
          <w:szCs w:val="32"/>
          <w:highlight w:val="none"/>
        </w:rPr>
        <w:t>六、投标标的清单</w:t>
      </w:r>
    </w:p>
    <w:p w14:paraId="381EE161">
      <w:pPr>
        <w:rPr>
          <w:rFonts w:ascii="宋体" w:hAnsi="宋体" w:cs="宋体"/>
          <w:highlight w:val="none"/>
        </w:rPr>
      </w:pPr>
    </w:p>
    <w:tbl>
      <w:tblPr>
        <w:tblStyle w:val="66"/>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26"/>
        <w:gridCol w:w="1244"/>
        <w:gridCol w:w="1405"/>
        <w:gridCol w:w="3097"/>
        <w:gridCol w:w="1865"/>
      </w:tblGrid>
      <w:tr w14:paraId="0B66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302BA7F7">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526" w:type="dxa"/>
            <w:tcBorders>
              <w:top w:val="single" w:color="auto" w:sz="4" w:space="0"/>
              <w:left w:val="single" w:color="auto" w:sz="4" w:space="0"/>
              <w:bottom w:val="single" w:color="auto" w:sz="4" w:space="0"/>
              <w:right w:val="single" w:color="auto" w:sz="4" w:space="0"/>
            </w:tcBorders>
            <w:vAlign w:val="center"/>
          </w:tcPr>
          <w:p w14:paraId="3629E878">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244" w:type="dxa"/>
            <w:tcBorders>
              <w:top w:val="single" w:color="auto" w:sz="4" w:space="0"/>
              <w:left w:val="single" w:color="auto" w:sz="4" w:space="0"/>
              <w:bottom w:val="single" w:color="auto" w:sz="4" w:space="0"/>
              <w:right w:val="single" w:color="auto" w:sz="4" w:space="0"/>
            </w:tcBorders>
          </w:tcPr>
          <w:p w14:paraId="00A6422F">
            <w:pPr>
              <w:spacing w:line="360" w:lineRule="auto"/>
              <w:jc w:val="center"/>
              <w:rPr>
                <w:rFonts w:ascii="宋体" w:hAnsi="宋体" w:cs="宋体"/>
                <w:b/>
                <w:sz w:val="24"/>
                <w:highlight w:val="none"/>
              </w:rPr>
            </w:pPr>
          </w:p>
          <w:p w14:paraId="145A3E72">
            <w:pPr>
              <w:spacing w:line="360" w:lineRule="auto"/>
              <w:jc w:val="center"/>
              <w:rPr>
                <w:rFonts w:ascii="宋体" w:hAnsi="宋体" w:cs="宋体"/>
                <w:b/>
                <w:sz w:val="24"/>
                <w:highlight w:val="none"/>
              </w:rPr>
            </w:pPr>
            <w:r>
              <w:rPr>
                <w:rFonts w:hint="eastAsia" w:ascii="宋体" w:hAnsi="宋体" w:cs="宋体"/>
                <w:b/>
                <w:sz w:val="24"/>
                <w:highlight w:val="none"/>
              </w:rPr>
              <w:t>品牌（如果有）</w:t>
            </w:r>
          </w:p>
        </w:tc>
        <w:tc>
          <w:tcPr>
            <w:tcW w:w="1405" w:type="dxa"/>
            <w:tcBorders>
              <w:top w:val="single" w:color="auto" w:sz="4" w:space="0"/>
              <w:left w:val="single" w:color="auto" w:sz="4" w:space="0"/>
              <w:bottom w:val="single" w:color="auto" w:sz="4" w:space="0"/>
              <w:right w:val="single" w:color="auto" w:sz="4" w:space="0"/>
            </w:tcBorders>
            <w:vAlign w:val="center"/>
          </w:tcPr>
          <w:p w14:paraId="623812CC">
            <w:pPr>
              <w:spacing w:line="360" w:lineRule="auto"/>
              <w:jc w:val="center"/>
              <w:rPr>
                <w:rFonts w:ascii="宋体" w:hAnsi="宋体" w:cs="宋体"/>
                <w:b/>
                <w:sz w:val="24"/>
                <w:highlight w:val="none"/>
              </w:rPr>
            </w:pPr>
            <w:r>
              <w:rPr>
                <w:rFonts w:hint="eastAsia" w:ascii="宋体" w:hAnsi="宋体" w:cs="宋体"/>
                <w:b/>
                <w:sz w:val="24"/>
                <w:highlight w:val="none"/>
              </w:rPr>
              <w:t>规格型号</w:t>
            </w:r>
          </w:p>
        </w:tc>
        <w:tc>
          <w:tcPr>
            <w:tcW w:w="3097" w:type="dxa"/>
            <w:tcBorders>
              <w:top w:val="single" w:color="auto" w:sz="4" w:space="0"/>
              <w:left w:val="single" w:color="auto" w:sz="4" w:space="0"/>
              <w:bottom w:val="single" w:color="auto" w:sz="4" w:space="0"/>
              <w:right w:val="single" w:color="auto" w:sz="4" w:space="0"/>
            </w:tcBorders>
            <w:vAlign w:val="center"/>
          </w:tcPr>
          <w:p w14:paraId="674F0477">
            <w:pPr>
              <w:spacing w:line="360" w:lineRule="auto"/>
              <w:jc w:val="center"/>
              <w:rPr>
                <w:rFonts w:ascii="宋体" w:hAnsi="宋体" w:cs="宋体"/>
                <w:b/>
                <w:sz w:val="24"/>
                <w:highlight w:val="none"/>
              </w:rPr>
            </w:pPr>
            <w:r>
              <w:rPr>
                <w:rFonts w:hint="eastAsia" w:ascii="宋体" w:hAnsi="宋体" w:cs="宋体"/>
                <w:b/>
                <w:sz w:val="24"/>
                <w:highlight w:val="none"/>
              </w:rPr>
              <w:t>数量</w:t>
            </w:r>
          </w:p>
        </w:tc>
        <w:tc>
          <w:tcPr>
            <w:tcW w:w="1865" w:type="dxa"/>
            <w:tcBorders>
              <w:top w:val="single" w:color="auto" w:sz="4" w:space="0"/>
              <w:left w:val="single" w:color="auto" w:sz="4" w:space="0"/>
              <w:bottom w:val="single" w:color="auto" w:sz="4" w:space="0"/>
              <w:right w:val="single" w:color="auto" w:sz="4" w:space="0"/>
            </w:tcBorders>
            <w:vAlign w:val="center"/>
          </w:tcPr>
          <w:p w14:paraId="31D717D9">
            <w:pPr>
              <w:spacing w:line="360" w:lineRule="auto"/>
              <w:jc w:val="center"/>
              <w:rPr>
                <w:rFonts w:ascii="宋体" w:hAnsi="宋体" w:cs="宋体"/>
                <w:b/>
                <w:sz w:val="24"/>
                <w:highlight w:val="none"/>
              </w:rPr>
            </w:pPr>
            <w:r>
              <w:rPr>
                <w:rFonts w:hint="eastAsia" w:ascii="宋体" w:hAnsi="宋体" w:cs="宋体"/>
                <w:b/>
                <w:sz w:val="24"/>
                <w:highlight w:val="none"/>
              </w:rPr>
              <w:t>备注</w:t>
            </w:r>
          </w:p>
        </w:tc>
      </w:tr>
      <w:tr w14:paraId="10E6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03AE3081">
            <w:pPr>
              <w:spacing w:line="360" w:lineRule="auto"/>
              <w:jc w:val="center"/>
              <w:rPr>
                <w:rFonts w:ascii="宋体" w:hAnsi="宋体" w:cs="宋体"/>
                <w:sz w:val="24"/>
                <w:highlight w:val="none"/>
              </w:rPr>
            </w:pPr>
            <w:r>
              <w:rPr>
                <w:rFonts w:hint="eastAsia" w:ascii="宋体" w:hAnsi="宋体" w:cs="宋体"/>
                <w:sz w:val="24"/>
                <w:highlight w:val="none"/>
              </w:rPr>
              <w:t>1</w:t>
            </w:r>
          </w:p>
        </w:tc>
        <w:tc>
          <w:tcPr>
            <w:tcW w:w="1526" w:type="dxa"/>
            <w:tcBorders>
              <w:top w:val="single" w:color="auto" w:sz="4" w:space="0"/>
              <w:left w:val="single" w:color="auto" w:sz="4" w:space="0"/>
              <w:bottom w:val="single" w:color="auto" w:sz="4" w:space="0"/>
              <w:right w:val="single" w:color="auto" w:sz="4" w:space="0"/>
            </w:tcBorders>
            <w:vAlign w:val="center"/>
          </w:tcPr>
          <w:p w14:paraId="62CF6145">
            <w:pPr>
              <w:snapToGrid w:val="0"/>
              <w:spacing w:line="360" w:lineRule="auto"/>
              <w:jc w:val="center"/>
              <w:rPr>
                <w:rFonts w:ascii="宋体" w:hAnsi="宋体" w:cs="宋体"/>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2C927ED6">
            <w:pPr>
              <w:snapToGrid w:val="0"/>
              <w:spacing w:line="360" w:lineRule="auto"/>
              <w:jc w:val="center"/>
              <w:rPr>
                <w:rFonts w:ascii="宋体" w:hAnsi="宋体" w:cs="宋体"/>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14:paraId="2E89CADC">
            <w:pPr>
              <w:snapToGrid w:val="0"/>
              <w:spacing w:line="360" w:lineRule="auto"/>
              <w:jc w:val="center"/>
              <w:rPr>
                <w:rFonts w:ascii="宋体" w:hAnsi="宋体" w:cs="宋体"/>
                <w:sz w:val="24"/>
                <w:highlight w:val="none"/>
              </w:rPr>
            </w:pPr>
          </w:p>
        </w:tc>
        <w:tc>
          <w:tcPr>
            <w:tcW w:w="3097" w:type="dxa"/>
            <w:tcBorders>
              <w:top w:val="single" w:color="auto" w:sz="4" w:space="0"/>
              <w:left w:val="single" w:color="auto" w:sz="4" w:space="0"/>
              <w:bottom w:val="single" w:color="auto" w:sz="4" w:space="0"/>
              <w:right w:val="single" w:color="auto" w:sz="4" w:space="0"/>
            </w:tcBorders>
            <w:vAlign w:val="center"/>
          </w:tcPr>
          <w:p w14:paraId="64151F13">
            <w:pPr>
              <w:spacing w:line="360" w:lineRule="auto"/>
              <w:jc w:val="center"/>
              <w:rPr>
                <w:rFonts w:ascii="宋体" w:hAnsi="宋体" w:cs="宋体"/>
                <w:sz w:val="24"/>
                <w:highlight w:val="none"/>
              </w:rPr>
            </w:pPr>
          </w:p>
        </w:tc>
        <w:tc>
          <w:tcPr>
            <w:tcW w:w="1865" w:type="dxa"/>
            <w:tcBorders>
              <w:top w:val="single" w:color="auto" w:sz="4" w:space="0"/>
              <w:left w:val="single" w:color="auto" w:sz="4" w:space="0"/>
              <w:bottom w:val="single" w:color="auto" w:sz="4" w:space="0"/>
              <w:right w:val="single" w:color="auto" w:sz="4" w:space="0"/>
            </w:tcBorders>
            <w:vAlign w:val="center"/>
          </w:tcPr>
          <w:p w14:paraId="055D329B">
            <w:pPr>
              <w:spacing w:line="360" w:lineRule="auto"/>
              <w:jc w:val="center"/>
              <w:rPr>
                <w:rFonts w:ascii="宋体" w:hAnsi="宋体" w:cs="宋体"/>
                <w:sz w:val="24"/>
                <w:highlight w:val="none"/>
              </w:rPr>
            </w:pPr>
          </w:p>
        </w:tc>
      </w:tr>
      <w:tr w14:paraId="3833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6D5F12FC">
            <w:pPr>
              <w:spacing w:line="360" w:lineRule="auto"/>
              <w:jc w:val="center"/>
              <w:rPr>
                <w:rFonts w:ascii="宋体" w:hAnsi="宋体" w:cs="宋体"/>
                <w:sz w:val="24"/>
                <w:highlight w:val="none"/>
              </w:rPr>
            </w:pPr>
            <w:r>
              <w:rPr>
                <w:rFonts w:hint="eastAsia" w:ascii="宋体" w:hAnsi="宋体" w:cs="宋体"/>
                <w:sz w:val="24"/>
                <w:highlight w:val="none"/>
              </w:rPr>
              <w:t>2</w:t>
            </w:r>
          </w:p>
        </w:tc>
        <w:tc>
          <w:tcPr>
            <w:tcW w:w="1526" w:type="dxa"/>
            <w:tcBorders>
              <w:top w:val="single" w:color="auto" w:sz="4" w:space="0"/>
              <w:left w:val="single" w:color="auto" w:sz="4" w:space="0"/>
              <w:bottom w:val="single" w:color="auto" w:sz="4" w:space="0"/>
              <w:right w:val="single" w:color="auto" w:sz="4" w:space="0"/>
            </w:tcBorders>
            <w:vAlign w:val="center"/>
          </w:tcPr>
          <w:p w14:paraId="5055E6DE">
            <w:pPr>
              <w:snapToGrid w:val="0"/>
              <w:spacing w:line="360" w:lineRule="auto"/>
              <w:jc w:val="center"/>
              <w:rPr>
                <w:rFonts w:ascii="宋体" w:hAnsi="宋体" w:cs="宋体"/>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60E77DBC">
            <w:pPr>
              <w:snapToGrid w:val="0"/>
              <w:spacing w:line="360" w:lineRule="auto"/>
              <w:jc w:val="center"/>
              <w:rPr>
                <w:rFonts w:ascii="宋体" w:hAnsi="宋体" w:cs="宋体"/>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14:paraId="052ED3E9">
            <w:pPr>
              <w:snapToGrid w:val="0"/>
              <w:spacing w:line="360" w:lineRule="auto"/>
              <w:jc w:val="center"/>
              <w:rPr>
                <w:rFonts w:ascii="宋体" w:hAnsi="宋体" w:cs="宋体"/>
                <w:sz w:val="24"/>
                <w:highlight w:val="none"/>
              </w:rPr>
            </w:pPr>
          </w:p>
        </w:tc>
        <w:tc>
          <w:tcPr>
            <w:tcW w:w="3097" w:type="dxa"/>
            <w:tcBorders>
              <w:top w:val="single" w:color="auto" w:sz="4" w:space="0"/>
              <w:left w:val="single" w:color="auto" w:sz="4" w:space="0"/>
              <w:bottom w:val="single" w:color="auto" w:sz="4" w:space="0"/>
              <w:right w:val="single" w:color="auto" w:sz="4" w:space="0"/>
            </w:tcBorders>
            <w:vAlign w:val="center"/>
          </w:tcPr>
          <w:p w14:paraId="497C9040">
            <w:pPr>
              <w:spacing w:line="360" w:lineRule="auto"/>
              <w:jc w:val="center"/>
              <w:rPr>
                <w:rFonts w:ascii="宋体" w:hAnsi="宋体" w:cs="宋体"/>
                <w:sz w:val="24"/>
                <w:highlight w:val="none"/>
              </w:rPr>
            </w:pPr>
          </w:p>
        </w:tc>
        <w:tc>
          <w:tcPr>
            <w:tcW w:w="1865" w:type="dxa"/>
            <w:tcBorders>
              <w:top w:val="single" w:color="auto" w:sz="4" w:space="0"/>
              <w:left w:val="single" w:color="auto" w:sz="4" w:space="0"/>
              <w:bottom w:val="single" w:color="auto" w:sz="4" w:space="0"/>
              <w:right w:val="single" w:color="auto" w:sz="4" w:space="0"/>
            </w:tcBorders>
            <w:vAlign w:val="center"/>
          </w:tcPr>
          <w:p w14:paraId="200CE411">
            <w:pPr>
              <w:spacing w:line="360" w:lineRule="auto"/>
              <w:jc w:val="center"/>
              <w:rPr>
                <w:rFonts w:ascii="宋体" w:hAnsi="宋体" w:cs="宋体"/>
                <w:sz w:val="24"/>
                <w:highlight w:val="none"/>
              </w:rPr>
            </w:pPr>
          </w:p>
        </w:tc>
      </w:tr>
      <w:tr w14:paraId="4938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0BAEE8B8">
            <w:pPr>
              <w:spacing w:line="360" w:lineRule="auto"/>
              <w:jc w:val="center"/>
              <w:rPr>
                <w:rFonts w:ascii="宋体" w:hAnsi="宋体" w:cs="宋体"/>
                <w:sz w:val="24"/>
                <w:highlight w:val="none"/>
              </w:rPr>
            </w:pPr>
            <w:r>
              <w:rPr>
                <w:rFonts w:hint="eastAsia" w:ascii="宋体" w:hAnsi="宋体" w:cs="宋体"/>
                <w:sz w:val="24"/>
                <w:highlight w:val="none"/>
              </w:rPr>
              <w:t>……</w:t>
            </w:r>
          </w:p>
        </w:tc>
        <w:tc>
          <w:tcPr>
            <w:tcW w:w="1526" w:type="dxa"/>
            <w:tcBorders>
              <w:top w:val="single" w:color="auto" w:sz="4" w:space="0"/>
              <w:left w:val="single" w:color="auto" w:sz="4" w:space="0"/>
              <w:bottom w:val="single" w:color="auto" w:sz="4" w:space="0"/>
              <w:right w:val="single" w:color="auto" w:sz="4" w:space="0"/>
            </w:tcBorders>
            <w:vAlign w:val="center"/>
          </w:tcPr>
          <w:p w14:paraId="6B54204E">
            <w:pPr>
              <w:snapToGrid w:val="0"/>
              <w:spacing w:line="360" w:lineRule="auto"/>
              <w:jc w:val="center"/>
              <w:rPr>
                <w:rFonts w:ascii="宋体" w:hAnsi="宋体" w:cs="宋体"/>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14:paraId="669834EC">
            <w:pPr>
              <w:snapToGrid w:val="0"/>
              <w:spacing w:line="360" w:lineRule="auto"/>
              <w:jc w:val="center"/>
              <w:rPr>
                <w:rFonts w:ascii="宋体" w:hAnsi="宋体" w:cs="宋体"/>
                <w:sz w:val="24"/>
                <w:highlight w:val="none"/>
              </w:rPr>
            </w:pPr>
          </w:p>
        </w:tc>
        <w:tc>
          <w:tcPr>
            <w:tcW w:w="1405" w:type="dxa"/>
            <w:tcBorders>
              <w:top w:val="single" w:color="auto" w:sz="4" w:space="0"/>
              <w:left w:val="single" w:color="auto" w:sz="4" w:space="0"/>
              <w:bottom w:val="single" w:color="auto" w:sz="4" w:space="0"/>
              <w:right w:val="single" w:color="auto" w:sz="4" w:space="0"/>
            </w:tcBorders>
            <w:vAlign w:val="center"/>
          </w:tcPr>
          <w:p w14:paraId="66A2BF97">
            <w:pPr>
              <w:snapToGrid w:val="0"/>
              <w:spacing w:line="360" w:lineRule="auto"/>
              <w:jc w:val="center"/>
              <w:rPr>
                <w:rFonts w:ascii="宋体" w:hAnsi="宋体" w:cs="宋体"/>
                <w:sz w:val="24"/>
                <w:highlight w:val="none"/>
              </w:rPr>
            </w:pPr>
          </w:p>
        </w:tc>
        <w:tc>
          <w:tcPr>
            <w:tcW w:w="3097" w:type="dxa"/>
            <w:tcBorders>
              <w:top w:val="single" w:color="auto" w:sz="4" w:space="0"/>
              <w:left w:val="single" w:color="auto" w:sz="4" w:space="0"/>
              <w:bottom w:val="single" w:color="auto" w:sz="4" w:space="0"/>
              <w:right w:val="single" w:color="auto" w:sz="4" w:space="0"/>
            </w:tcBorders>
            <w:vAlign w:val="center"/>
          </w:tcPr>
          <w:p w14:paraId="61637AA0">
            <w:pPr>
              <w:spacing w:line="360" w:lineRule="auto"/>
              <w:jc w:val="center"/>
              <w:rPr>
                <w:rFonts w:ascii="宋体" w:hAnsi="宋体" w:cs="宋体"/>
                <w:sz w:val="24"/>
                <w:highlight w:val="none"/>
              </w:rPr>
            </w:pPr>
          </w:p>
        </w:tc>
        <w:tc>
          <w:tcPr>
            <w:tcW w:w="1865" w:type="dxa"/>
            <w:tcBorders>
              <w:top w:val="single" w:color="auto" w:sz="4" w:space="0"/>
              <w:left w:val="single" w:color="auto" w:sz="4" w:space="0"/>
              <w:bottom w:val="single" w:color="auto" w:sz="4" w:space="0"/>
              <w:right w:val="single" w:color="auto" w:sz="4" w:space="0"/>
            </w:tcBorders>
            <w:vAlign w:val="center"/>
          </w:tcPr>
          <w:p w14:paraId="02FD0C6D">
            <w:pPr>
              <w:spacing w:line="360" w:lineRule="auto"/>
              <w:jc w:val="center"/>
              <w:rPr>
                <w:rFonts w:ascii="宋体" w:hAnsi="宋体" w:cs="宋体"/>
                <w:sz w:val="24"/>
                <w:highlight w:val="none"/>
              </w:rPr>
            </w:pPr>
          </w:p>
        </w:tc>
      </w:tr>
    </w:tbl>
    <w:p w14:paraId="34AC7437">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7A5E41F">
      <w:pPr>
        <w:jc w:val="center"/>
        <w:rPr>
          <w:rFonts w:ascii="宋体" w:hAnsi="宋体" w:cs="宋体"/>
          <w:b/>
          <w:kern w:val="0"/>
          <w:sz w:val="32"/>
          <w:szCs w:val="32"/>
          <w:highlight w:val="none"/>
        </w:rPr>
      </w:pPr>
    </w:p>
    <w:p w14:paraId="2339FDEC">
      <w:pPr>
        <w:jc w:val="center"/>
        <w:rPr>
          <w:rFonts w:ascii="宋体" w:hAnsi="宋体" w:cs="宋体"/>
          <w:b/>
          <w:kern w:val="0"/>
          <w:sz w:val="32"/>
          <w:szCs w:val="32"/>
          <w:highlight w:val="none"/>
        </w:rPr>
      </w:pPr>
    </w:p>
    <w:p w14:paraId="5C7F4233">
      <w:pPr>
        <w:numPr>
          <w:ilvl w:val="0"/>
          <w:numId w:val="2"/>
        </w:numPr>
        <w:jc w:val="center"/>
        <w:rPr>
          <w:rFonts w:ascii="宋体" w:hAnsi="宋体" w:cs="宋体"/>
          <w:b/>
          <w:kern w:val="0"/>
          <w:sz w:val="32"/>
          <w:szCs w:val="32"/>
          <w:highlight w:val="none"/>
        </w:rPr>
      </w:pPr>
      <w:r>
        <w:rPr>
          <w:rFonts w:hint="eastAsia" w:ascii="宋体" w:hAnsi="宋体" w:cs="宋体"/>
          <w:b/>
          <w:kern w:val="0"/>
          <w:sz w:val="32"/>
          <w:szCs w:val="32"/>
          <w:highlight w:val="none"/>
        </w:rPr>
        <w:t>商务技术偏离表</w:t>
      </w:r>
    </w:p>
    <w:p w14:paraId="7D94DA8C">
      <w:pPr>
        <w:rPr>
          <w:rFonts w:ascii="宋体" w:hAnsi="宋体" w:cs="宋体"/>
          <w:highlight w:val="none"/>
        </w:rPr>
      </w:pPr>
    </w:p>
    <w:tbl>
      <w:tblPr>
        <w:tblStyle w:val="67"/>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875"/>
        <w:gridCol w:w="3732"/>
        <w:gridCol w:w="1343"/>
      </w:tblGrid>
      <w:tr w14:paraId="42BF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7785667">
            <w:pPr>
              <w:jc w:val="center"/>
              <w:rPr>
                <w:rFonts w:ascii="宋体" w:hAnsi="宋体" w:cs="宋体"/>
                <w:b/>
                <w:bCs/>
                <w:sz w:val="24"/>
                <w:highlight w:val="none"/>
              </w:rPr>
            </w:pPr>
            <w:r>
              <w:rPr>
                <w:rFonts w:hint="eastAsia" w:ascii="宋体" w:hAnsi="宋体" w:cs="宋体"/>
                <w:b/>
                <w:bCs/>
                <w:sz w:val="24"/>
                <w:highlight w:val="none"/>
              </w:rPr>
              <w:t>序号</w:t>
            </w:r>
          </w:p>
        </w:tc>
        <w:tc>
          <w:tcPr>
            <w:tcW w:w="3875" w:type="dxa"/>
          </w:tcPr>
          <w:p w14:paraId="6C5D6673">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732" w:type="dxa"/>
          </w:tcPr>
          <w:p w14:paraId="508E5F79">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343" w:type="dxa"/>
          </w:tcPr>
          <w:p w14:paraId="0721C3C4">
            <w:pPr>
              <w:jc w:val="center"/>
              <w:rPr>
                <w:rFonts w:ascii="宋体" w:hAnsi="宋体" w:cs="宋体"/>
                <w:b/>
                <w:bCs/>
                <w:sz w:val="24"/>
                <w:highlight w:val="none"/>
              </w:rPr>
            </w:pPr>
            <w:r>
              <w:rPr>
                <w:rFonts w:hint="eastAsia" w:ascii="宋体" w:hAnsi="宋体" w:cs="宋体"/>
                <w:b/>
                <w:bCs/>
                <w:sz w:val="24"/>
                <w:highlight w:val="none"/>
              </w:rPr>
              <w:t>偏离说明</w:t>
            </w:r>
          </w:p>
        </w:tc>
      </w:tr>
      <w:tr w14:paraId="3DAA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683B1DD">
            <w:pPr>
              <w:jc w:val="center"/>
              <w:rPr>
                <w:rFonts w:ascii="宋体" w:hAnsi="宋体" w:cs="宋体"/>
                <w:kern w:val="0"/>
                <w:sz w:val="24"/>
                <w:highlight w:val="none"/>
              </w:rPr>
            </w:pPr>
            <w:r>
              <w:rPr>
                <w:rFonts w:hint="eastAsia" w:ascii="宋体" w:hAnsi="宋体" w:cs="宋体"/>
                <w:kern w:val="0"/>
                <w:sz w:val="24"/>
                <w:highlight w:val="none"/>
              </w:rPr>
              <w:t>1</w:t>
            </w:r>
          </w:p>
        </w:tc>
        <w:tc>
          <w:tcPr>
            <w:tcW w:w="3875" w:type="dxa"/>
          </w:tcPr>
          <w:p w14:paraId="6D62EA79">
            <w:pPr>
              <w:jc w:val="center"/>
              <w:rPr>
                <w:rFonts w:ascii="宋体" w:hAnsi="宋体" w:cs="宋体"/>
                <w:b/>
                <w:kern w:val="0"/>
                <w:sz w:val="32"/>
                <w:szCs w:val="32"/>
                <w:highlight w:val="none"/>
              </w:rPr>
            </w:pPr>
          </w:p>
        </w:tc>
        <w:tc>
          <w:tcPr>
            <w:tcW w:w="3732" w:type="dxa"/>
          </w:tcPr>
          <w:p w14:paraId="1611FF8F">
            <w:pPr>
              <w:jc w:val="center"/>
              <w:rPr>
                <w:rFonts w:ascii="宋体" w:hAnsi="宋体" w:cs="宋体"/>
                <w:b/>
                <w:kern w:val="0"/>
                <w:sz w:val="32"/>
                <w:szCs w:val="32"/>
                <w:highlight w:val="none"/>
              </w:rPr>
            </w:pPr>
          </w:p>
        </w:tc>
        <w:tc>
          <w:tcPr>
            <w:tcW w:w="1343" w:type="dxa"/>
          </w:tcPr>
          <w:p w14:paraId="692FC487">
            <w:pPr>
              <w:jc w:val="center"/>
              <w:rPr>
                <w:rFonts w:ascii="宋体" w:hAnsi="宋体" w:cs="宋体"/>
                <w:b/>
                <w:kern w:val="0"/>
                <w:sz w:val="32"/>
                <w:szCs w:val="32"/>
                <w:highlight w:val="none"/>
              </w:rPr>
            </w:pPr>
          </w:p>
        </w:tc>
      </w:tr>
      <w:tr w14:paraId="36C2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5B77669">
            <w:pPr>
              <w:jc w:val="center"/>
              <w:rPr>
                <w:rFonts w:ascii="宋体" w:hAnsi="宋体" w:cs="宋体"/>
                <w:kern w:val="0"/>
                <w:sz w:val="24"/>
                <w:highlight w:val="none"/>
              </w:rPr>
            </w:pPr>
            <w:r>
              <w:rPr>
                <w:rFonts w:hint="eastAsia" w:ascii="宋体" w:hAnsi="宋体" w:cs="宋体"/>
                <w:kern w:val="0"/>
                <w:sz w:val="24"/>
                <w:highlight w:val="none"/>
              </w:rPr>
              <w:t>2</w:t>
            </w:r>
          </w:p>
        </w:tc>
        <w:tc>
          <w:tcPr>
            <w:tcW w:w="3875" w:type="dxa"/>
          </w:tcPr>
          <w:p w14:paraId="7767EC43">
            <w:pPr>
              <w:jc w:val="center"/>
              <w:rPr>
                <w:rFonts w:ascii="宋体" w:hAnsi="宋体" w:cs="宋体"/>
                <w:b/>
                <w:kern w:val="0"/>
                <w:sz w:val="32"/>
                <w:szCs w:val="32"/>
                <w:highlight w:val="none"/>
              </w:rPr>
            </w:pPr>
          </w:p>
        </w:tc>
        <w:tc>
          <w:tcPr>
            <w:tcW w:w="3732" w:type="dxa"/>
          </w:tcPr>
          <w:p w14:paraId="14CE54F0">
            <w:pPr>
              <w:jc w:val="center"/>
              <w:rPr>
                <w:rFonts w:ascii="宋体" w:hAnsi="宋体" w:cs="宋体"/>
                <w:b/>
                <w:kern w:val="0"/>
                <w:sz w:val="32"/>
                <w:szCs w:val="32"/>
                <w:highlight w:val="none"/>
              </w:rPr>
            </w:pPr>
          </w:p>
        </w:tc>
        <w:tc>
          <w:tcPr>
            <w:tcW w:w="1343" w:type="dxa"/>
          </w:tcPr>
          <w:p w14:paraId="5D162E8E">
            <w:pPr>
              <w:jc w:val="center"/>
              <w:rPr>
                <w:rFonts w:ascii="宋体" w:hAnsi="宋体" w:cs="宋体"/>
                <w:b/>
                <w:kern w:val="0"/>
                <w:sz w:val="32"/>
                <w:szCs w:val="32"/>
                <w:highlight w:val="none"/>
              </w:rPr>
            </w:pPr>
          </w:p>
        </w:tc>
      </w:tr>
      <w:tr w14:paraId="60DB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B02F99D">
            <w:pPr>
              <w:jc w:val="center"/>
              <w:rPr>
                <w:rFonts w:ascii="宋体" w:hAnsi="宋体" w:cs="宋体"/>
                <w:kern w:val="0"/>
                <w:sz w:val="24"/>
                <w:highlight w:val="none"/>
              </w:rPr>
            </w:pPr>
            <w:r>
              <w:rPr>
                <w:rFonts w:hint="eastAsia" w:ascii="宋体" w:hAnsi="宋体" w:cs="宋体"/>
                <w:kern w:val="0"/>
                <w:sz w:val="24"/>
                <w:highlight w:val="none"/>
              </w:rPr>
              <w:t>……</w:t>
            </w:r>
          </w:p>
        </w:tc>
        <w:tc>
          <w:tcPr>
            <w:tcW w:w="3875" w:type="dxa"/>
          </w:tcPr>
          <w:p w14:paraId="0303386F">
            <w:pPr>
              <w:jc w:val="center"/>
              <w:rPr>
                <w:rFonts w:ascii="宋体" w:hAnsi="宋体" w:cs="宋体"/>
                <w:b/>
                <w:kern w:val="0"/>
                <w:sz w:val="32"/>
                <w:szCs w:val="32"/>
                <w:highlight w:val="none"/>
              </w:rPr>
            </w:pPr>
          </w:p>
        </w:tc>
        <w:tc>
          <w:tcPr>
            <w:tcW w:w="3732" w:type="dxa"/>
          </w:tcPr>
          <w:p w14:paraId="1E5D56C1">
            <w:pPr>
              <w:jc w:val="center"/>
              <w:rPr>
                <w:rFonts w:ascii="宋体" w:hAnsi="宋体" w:cs="宋体"/>
                <w:b/>
                <w:kern w:val="0"/>
                <w:sz w:val="32"/>
                <w:szCs w:val="32"/>
                <w:highlight w:val="none"/>
              </w:rPr>
            </w:pPr>
          </w:p>
        </w:tc>
        <w:tc>
          <w:tcPr>
            <w:tcW w:w="1343" w:type="dxa"/>
          </w:tcPr>
          <w:p w14:paraId="4488FF30">
            <w:pPr>
              <w:jc w:val="center"/>
              <w:rPr>
                <w:rFonts w:ascii="宋体" w:hAnsi="宋体" w:cs="宋体"/>
                <w:b/>
                <w:kern w:val="0"/>
                <w:sz w:val="32"/>
                <w:szCs w:val="32"/>
                <w:highlight w:val="none"/>
              </w:rPr>
            </w:pPr>
          </w:p>
        </w:tc>
      </w:tr>
    </w:tbl>
    <w:p w14:paraId="0417564E">
      <w:pPr>
        <w:jc w:val="left"/>
        <w:rPr>
          <w:rFonts w:ascii="宋体" w:hAnsi="宋体" w:cs="宋体"/>
          <w:kern w:val="0"/>
          <w:sz w:val="24"/>
          <w:highlight w:val="none"/>
        </w:rPr>
      </w:pPr>
      <w:r>
        <w:rPr>
          <w:rFonts w:hint="eastAsia" w:ascii="宋体" w:hAnsi="宋体" w:cs="宋体"/>
          <w:kern w:val="0"/>
          <w:sz w:val="24"/>
          <w:highlight w:val="none"/>
        </w:rPr>
        <w:t>投标人保证：除商务技术偏离表列出的偏离外，投标人响应招标文件的全部要求</w:t>
      </w:r>
    </w:p>
    <w:p w14:paraId="76780C0F">
      <w:pPr>
        <w:jc w:val="center"/>
        <w:rPr>
          <w:rFonts w:ascii="宋体" w:hAnsi="宋体" w:cs="宋体"/>
          <w:b/>
          <w:kern w:val="0"/>
          <w:sz w:val="32"/>
          <w:szCs w:val="32"/>
          <w:highlight w:val="none"/>
        </w:rPr>
      </w:pPr>
    </w:p>
    <w:p w14:paraId="3DFF0016">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3547039">
      <w:pPr>
        <w:ind w:firstLine="1911" w:firstLineChars="595"/>
        <w:rPr>
          <w:rFonts w:ascii="宋体" w:hAnsi="宋体" w:cs="宋体"/>
          <w:b/>
          <w:bCs/>
          <w:sz w:val="32"/>
          <w:szCs w:val="32"/>
          <w:highlight w:val="none"/>
        </w:rPr>
      </w:pPr>
    </w:p>
    <w:p w14:paraId="3EC9EE1B">
      <w:pPr>
        <w:ind w:firstLine="1911" w:firstLineChars="595"/>
        <w:rPr>
          <w:rFonts w:ascii="宋体" w:hAnsi="宋体" w:cs="宋体"/>
          <w:b/>
          <w:bCs/>
          <w:sz w:val="32"/>
          <w:szCs w:val="32"/>
          <w:highlight w:val="none"/>
        </w:rPr>
      </w:pPr>
    </w:p>
    <w:p w14:paraId="15D10DB2">
      <w:pPr>
        <w:ind w:firstLine="1911" w:firstLineChars="595"/>
        <w:rPr>
          <w:rFonts w:ascii="宋体" w:hAnsi="宋体" w:cs="宋体"/>
          <w:b/>
          <w:bCs/>
          <w:sz w:val="32"/>
          <w:szCs w:val="32"/>
          <w:highlight w:val="none"/>
        </w:rPr>
      </w:pPr>
    </w:p>
    <w:p w14:paraId="16822857">
      <w:pPr>
        <w:ind w:firstLine="1911" w:firstLineChars="595"/>
        <w:rPr>
          <w:rFonts w:ascii="宋体" w:hAnsi="宋体" w:cs="宋体"/>
          <w:b/>
          <w:bCs/>
          <w:sz w:val="32"/>
          <w:szCs w:val="32"/>
          <w:highlight w:val="none"/>
        </w:rPr>
      </w:pPr>
    </w:p>
    <w:p w14:paraId="4942D448">
      <w:pPr>
        <w:ind w:firstLine="1911" w:firstLineChars="595"/>
        <w:rPr>
          <w:rFonts w:ascii="宋体" w:hAnsi="宋体" w:cs="宋体"/>
          <w:b/>
          <w:bCs/>
          <w:sz w:val="32"/>
          <w:szCs w:val="32"/>
          <w:highlight w:val="none"/>
        </w:rPr>
      </w:pPr>
    </w:p>
    <w:p w14:paraId="110BABEA">
      <w:pPr>
        <w:widowControl/>
        <w:adjustRightInd/>
        <w:jc w:val="left"/>
        <w:rPr>
          <w:rFonts w:ascii="宋体" w:hAnsi="宋体" w:cs="宋体"/>
          <w:b/>
          <w:bCs/>
          <w:sz w:val="32"/>
          <w:szCs w:val="32"/>
          <w:highlight w:val="none"/>
        </w:rPr>
      </w:pPr>
      <w:r>
        <w:rPr>
          <w:rFonts w:hint="eastAsia" w:ascii="宋体" w:hAnsi="宋体" w:cs="宋体"/>
          <w:b/>
          <w:bCs/>
          <w:sz w:val="32"/>
          <w:szCs w:val="32"/>
          <w:highlight w:val="none"/>
        </w:rPr>
        <w:br w:type="page"/>
      </w:r>
    </w:p>
    <w:p w14:paraId="4CF39EC8">
      <w:pPr>
        <w:ind w:firstLine="1911" w:firstLineChars="595"/>
        <w:rPr>
          <w:rFonts w:ascii="宋体" w:hAnsi="宋体" w:cs="宋体"/>
          <w:b/>
          <w:bCs/>
          <w:sz w:val="32"/>
          <w:szCs w:val="32"/>
          <w:highlight w:val="none"/>
        </w:rPr>
      </w:pPr>
    </w:p>
    <w:p w14:paraId="4BEE0422">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rPr>
        <w:t>八</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3F20515A">
      <w:pPr>
        <w:snapToGrid w:val="0"/>
        <w:spacing w:line="360" w:lineRule="auto"/>
        <w:rPr>
          <w:rFonts w:ascii="宋体" w:hAnsi="宋体" w:cs="宋体"/>
          <w:sz w:val="24"/>
          <w:highlight w:val="none"/>
        </w:rPr>
      </w:pPr>
    </w:p>
    <w:p w14:paraId="0AAF6BBD">
      <w:pPr>
        <w:snapToGrid w:val="0"/>
        <w:spacing w:line="360" w:lineRule="auto"/>
        <w:rPr>
          <w:rFonts w:ascii="宋体" w:hAnsi="宋体" w:cs="宋体"/>
          <w:kern w:val="0"/>
          <w:sz w:val="24"/>
          <w:highlight w:val="none"/>
        </w:rPr>
      </w:pPr>
      <w:r>
        <w:rPr>
          <w:rFonts w:hint="eastAsia" w:ascii="宋体" w:hAnsi="宋体" w:cs="宋体"/>
          <w:sz w:val="24"/>
          <w:highlight w:val="none"/>
        </w:rPr>
        <w:t>浙江海洋大学、浙江科佳工程咨询有限公司</w:t>
      </w:r>
      <w:r>
        <w:rPr>
          <w:rFonts w:hint="eastAsia" w:ascii="宋体" w:hAnsi="宋体" w:cs="宋体"/>
          <w:kern w:val="0"/>
          <w:sz w:val="24"/>
          <w:highlight w:val="none"/>
          <w:lang w:val="zh-CN"/>
        </w:rPr>
        <w:t>：</w:t>
      </w:r>
    </w:p>
    <w:p w14:paraId="51205B71">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1DA3D2F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617ECA3C">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5E3AA9E8">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52C4FD9E">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1EEB0339">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14:paraId="2A3BCF69">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14:paraId="5B97BA74">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14:paraId="10BBFEA6">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1107446D">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3E5780BE">
      <w:pPr>
        <w:autoSpaceDE w:val="0"/>
        <w:autoSpaceDN w:val="0"/>
        <w:spacing w:line="360" w:lineRule="auto"/>
        <w:ind w:left="2"/>
        <w:jc w:val="left"/>
        <w:rPr>
          <w:rFonts w:ascii="宋体" w:hAnsi="宋体" w:cs="宋体"/>
          <w:kern w:val="0"/>
          <w:sz w:val="24"/>
          <w:highlight w:val="none"/>
          <w:lang w:val="zh-CN"/>
        </w:rPr>
      </w:pPr>
    </w:p>
    <w:p w14:paraId="4E8B32B9">
      <w:pPr>
        <w:autoSpaceDE w:val="0"/>
        <w:autoSpaceDN w:val="0"/>
        <w:spacing w:line="360" w:lineRule="auto"/>
        <w:ind w:left="2"/>
        <w:jc w:val="left"/>
        <w:rPr>
          <w:rFonts w:ascii="宋体" w:hAnsi="宋体" w:cs="宋体"/>
          <w:kern w:val="0"/>
          <w:sz w:val="24"/>
          <w:highlight w:val="none"/>
          <w:lang w:val="zh-CN"/>
        </w:rPr>
      </w:pPr>
    </w:p>
    <w:p w14:paraId="551EA292">
      <w:pPr>
        <w:autoSpaceDE w:val="0"/>
        <w:autoSpaceDN w:val="0"/>
        <w:spacing w:line="360" w:lineRule="auto"/>
        <w:ind w:left="2"/>
        <w:jc w:val="left"/>
        <w:rPr>
          <w:rFonts w:ascii="宋体" w:hAnsi="宋体" w:cs="宋体"/>
          <w:kern w:val="0"/>
          <w:sz w:val="24"/>
          <w:highlight w:val="none"/>
          <w:lang w:val="zh-CN"/>
        </w:rPr>
      </w:pPr>
    </w:p>
    <w:p w14:paraId="27E9479A">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4EE03FF7">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306E93A9">
      <w:pPr>
        <w:spacing w:line="360" w:lineRule="auto"/>
        <w:jc w:val="center"/>
        <w:rPr>
          <w:rFonts w:ascii="宋体" w:hAnsi="宋体" w:cs="宋体"/>
          <w:b/>
          <w:bCs/>
          <w:sz w:val="24"/>
          <w:highlight w:val="none"/>
        </w:rPr>
      </w:pPr>
    </w:p>
    <w:p w14:paraId="24B07A1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1D366C43">
      <w:pPr>
        <w:rPr>
          <w:rFonts w:ascii="宋体" w:hAnsi="宋体" w:cs="宋体"/>
          <w:b/>
          <w:bCs/>
          <w:sz w:val="24"/>
          <w:highlight w:val="none"/>
        </w:rPr>
      </w:pPr>
      <w:r>
        <w:rPr>
          <w:rFonts w:hint="eastAsia" w:ascii="宋体" w:hAnsi="宋体" w:cs="宋体"/>
          <w:b/>
          <w:bCs/>
          <w:sz w:val="24"/>
          <w:highlight w:val="none"/>
        </w:rPr>
        <w:br w:type="page"/>
      </w:r>
    </w:p>
    <w:p w14:paraId="072BFC8F">
      <w:pPr>
        <w:pStyle w:val="3"/>
        <w:rPr>
          <w:rFonts w:cs="宋体"/>
          <w:highlight w:val="none"/>
        </w:rPr>
      </w:pPr>
      <w:bookmarkStart w:id="417" w:name="_Toc7986"/>
      <w:r>
        <w:rPr>
          <w:rFonts w:hint="eastAsia" w:cs="宋体"/>
          <w:highlight w:val="none"/>
        </w:rPr>
        <w:t>报价文件部分</w:t>
      </w:r>
      <w:bookmarkEnd w:id="417"/>
    </w:p>
    <w:p w14:paraId="0128D9FE">
      <w:pPr>
        <w:rPr>
          <w:rFonts w:ascii="宋体" w:hAnsi="宋体" w:cs="宋体"/>
          <w:highlight w:val="none"/>
        </w:rPr>
      </w:pPr>
    </w:p>
    <w:p w14:paraId="2250D9DF">
      <w:p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目录</w:t>
      </w:r>
    </w:p>
    <w:p w14:paraId="0817733A">
      <w:pPr>
        <w:rPr>
          <w:rFonts w:ascii="宋体" w:hAnsi="宋体" w:cs="宋体"/>
          <w:highlight w:val="none"/>
        </w:rPr>
      </w:pPr>
    </w:p>
    <w:p w14:paraId="2FB269C0">
      <w:pPr>
        <w:snapToGrid w:val="0"/>
        <w:spacing w:line="360" w:lineRule="auto"/>
        <w:rPr>
          <w:rFonts w:ascii="宋体" w:hAnsi="宋体" w:cs="宋体"/>
          <w:sz w:val="24"/>
          <w:highlight w:val="none"/>
        </w:rPr>
      </w:pPr>
      <w:r>
        <w:rPr>
          <w:rFonts w:hint="eastAsia" w:ascii="宋体" w:hAnsi="宋体" w:cs="宋体"/>
          <w:sz w:val="24"/>
          <w:highlight w:val="none"/>
        </w:rPr>
        <w:t>（1）开标一览表（报价表）…………………………………………………………（页码）</w:t>
      </w:r>
    </w:p>
    <w:p w14:paraId="201A53E8">
      <w:pPr>
        <w:snapToGrid w:val="0"/>
        <w:spacing w:line="360" w:lineRule="auto"/>
        <w:rPr>
          <w:rFonts w:ascii="宋体" w:hAnsi="宋体" w:cs="宋体"/>
          <w:sz w:val="24"/>
          <w:highlight w:val="none"/>
        </w:rPr>
      </w:pPr>
      <w:r>
        <w:rPr>
          <w:rFonts w:hint="eastAsia" w:ascii="宋体" w:hAnsi="宋体" w:cs="宋体"/>
          <w:sz w:val="24"/>
          <w:highlight w:val="none"/>
        </w:rPr>
        <w:t>（2）中小企业声明函…………………………………………………………………（页码）</w:t>
      </w:r>
    </w:p>
    <w:p w14:paraId="4751E71C">
      <w:pPr>
        <w:snapToGrid w:val="0"/>
        <w:spacing w:line="360" w:lineRule="auto"/>
        <w:rPr>
          <w:rFonts w:ascii="宋体" w:hAnsi="宋体" w:cs="宋体"/>
          <w:sz w:val="24"/>
          <w:highlight w:val="none"/>
        </w:rPr>
      </w:pPr>
      <w:r>
        <w:rPr>
          <w:rFonts w:hint="eastAsia" w:ascii="宋体" w:hAnsi="宋体" w:cs="宋体"/>
          <w:sz w:val="24"/>
          <w:highlight w:val="none"/>
        </w:rPr>
        <w:t>（3）关于符合本国产品标准的声明函………………………………………………（页码）</w:t>
      </w:r>
    </w:p>
    <w:p w14:paraId="44132C04">
      <w:pPr>
        <w:snapToGrid w:val="0"/>
        <w:spacing w:line="360" w:lineRule="auto"/>
        <w:ind w:right="480"/>
        <w:jc w:val="center"/>
        <w:rPr>
          <w:rFonts w:ascii="宋体" w:hAnsi="宋体" w:cs="宋体"/>
          <w:b/>
          <w:kern w:val="0"/>
          <w:sz w:val="32"/>
          <w:szCs w:val="32"/>
          <w:highlight w:val="none"/>
        </w:rPr>
      </w:pPr>
    </w:p>
    <w:p w14:paraId="1D513E55">
      <w:pPr>
        <w:snapToGrid w:val="0"/>
        <w:spacing w:line="360" w:lineRule="auto"/>
        <w:ind w:right="480"/>
        <w:jc w:val="center"/>
        <w:rPr>
          <w:rFonts w:ascii="宋体" w:hAnsi="宋体" w:cs="宋体"/>
          <w:b/>
          <w:kern w:val="0"/>
          <w:sz w:val="32"/>
          <w:szCs w:val="32"/>
          <w:highlight w:val="none"/>
        </w:rPr>
      </w:pPr>
    </w:p>
    <w:p w14:paraId="6F5E81EB">
      <w:pPr>
        <w:snapToGrid w:val="0"/>
        <w:spacing w:line="360" w:lineRule="auto"/>
        <w:ind w:right="480"/>
        <w:jc w:val="center"/>
        <w:rPr>
          <w:rFonts w:ascii="宋体" w:hAnsi="宋体" w:cs="宋体"/>
          <w:b/>
          <w:kern w:val="0"/>
          <w:sz w:val="32"/>
          <w:szCs w:val="32"/>
          <w:highlight w:val="none"/>
        </w:rPr>
      </w:pPr>
    </w:p>
    <w:p w14:paraId="6EE92771">
      <w:pPr>
        <w:snapToGrid w:val="0"/>
        <w:spacing w:line="360" w:lineRule="auto"/>
        <w:ind w:right="480"/>
        <w:jc w:val="center"/>
        <w:rPr>
          <w:rFonts w:ascii="宋体" w:hAnsi="宋体" w:cs="宋体"/>
          <w:b/>
          <w:kern w:val="0"/>
          <w:sz w:val="32"/>
          <w:szCs w:val="32"/>
          <w:highlight w:val="none"/>
        </w:rPr>
      </w:pPr>
    </w:p>
    <w:p w14:paraId="62AFE531">
      <w:pPr>
        <w:snapToGrid w:val="0"/>
        <w:spacing w:line="360" w:lineRule="auto"/>
        <w:ind w:right="480"/>
        <w:jc w:val="center"/>
        <w:rPr>
          <w:rFonts w:ascii="宋体" w:hAnsi="宋体" w:cs="宋体"/>
          <w:b/>
          <w:kern w:val="0"/>
          <w:sz w:val="32"/>
          <w:szCs w:val="32"/>
          <w:highlight w:val="none"/>
        </w:rPr>
      </w:pPr>
    </w:p>
    <w:p w14:paraId="7C54829D">
      <w:pPr>
        <w:snapToGrid w:val="0"/>
        <w:spacing w:line="360" w:lineRule="auto"/>
        <w:ind w:right="480"/>
        <w:jc w:val="center"/>
        <w:rPr>
          <w:rFonts w:ascii="宋体" w:hAnsi="宋体" w:cs="宋体"/>
          <w:b/>
          <w:kern w:val="0"/>
          <w:sz w:val="32"/>
          <w:szCs w:val="32"/>
          <w:highlight w:val="none"/>
        </w:rPr>
      </w:pPr>
    </w:p>
    <w:p w14:paraId="09683A93">
      <w:pPr>
        <w:snapToGrid w:val="0"/>
        <w:spacing w:line="360" w:lineRule="auto"/>
        <w:ind w:right="480"/>
        <w:jc w:val="center"/>
        <w:rPr>
          <w:rFonts w:ascii="宋体" w:hAnsi="宋体" w:cs="宋体"/>
          <w:b/>
          <w:kern w:val="0"/>
          <w:sz w:val="32"/>
          <w:szCs w:val="32"/>
          <w:highlight w:val="none"/>
        </w:rPr>
      </w:pPr>
    </w:p>
    <w:p w14:paraId="161F8F14">
      <w:pPr>
        <w:snapToGrid w:val="0"/>
        <w:spacing w:line="360" w:lineRule="auto"/>
        <w:ind w:right="480"/>
        <w:jc w:val="center"/>
        <w:rPr>
          <w:rFonts w:ascii="宋体" w:hAnsi="宋体" w:cs="宋体"/>
          <w:b/>
          <w:kern w:val="0"/>
          <w:sz w:val="32"/>
          <w:szCs w:val="32"/>
          <w:highlight w:val="none"/>
        </w:rPr>
      </w:pPr>
    </w:p>
    <w:p w14:paraId="18B92BDC">
      <w:pPr>
        <w:snapToGrid w:val="0"/>
        <w:spacing w:line="360" w:lineRule="auto"/>
        <w:ind w:right="480"/>
        <w:jc w:val="center"/>
        <w:rPr>
          <w:rFonts w:ascii="宋体" w:hAnsi="宋体" w:cs="宋体"/>
          <w:b/>
          <w:kern w:val="0"/>
          <w:sz w:val="32"/>
          <w:szCs w:val="32"/>
          <w:highlight w:val="none"/>
        </w:rPr>
      </w:pPr>
    </w:p>
    <w:p w14:paraId="7089C5A0">
      <w:pPr>
        <w:snapToGrid w:val="0"/>
        <w:spacing w:line="360" w:lineRule="auto"/>
        <w:ind w:right="480"/>
        <w:jc w:val="center"/>
        <w:rPr>
          <w:rFonts w:ascii="宋体" w:hAnsi="宋体" w:cs="宋体"/>
          <w:b/>
          <w:kern w:val="0"/>
          <w:sz w:val="32"/>
          <w:szCs w:val="32"/>
          <w:highlight w:val="none"/>
        </w:rPr>
      </w:pPr>
    </w:p>
    <w:p w14:paraId="04E67001">
      <w:pPr>
        <w:snapToGrid w:val="0"/>
        <w:spacing w:line="360" w:lineRule="auto"/>
        <w:ind w:right="480"/>
        <w:jc w:val="center"/>
        <w:rPr>
          <w:rFonts w:ascii="宋体" w:hAnsi="宋体" w:cs="宋体"/>
          <w:b/>
          <w:kern w:val="0"/>
          <w:sz w:val="32"/>
          <w:szCs w:val="32"/>
          <w:highlight w:val="none"/>
        </w:rPr>
      </w:pPr>
    </w:p>
    <w:p w14:paraId="6F1036D3">
      <w:pPr>
        <w:snapToGrid w:val="0"/>
        <w:spacing w:line="360" w:lineRule="auto"/>
        <w:ind w:right="480"/>
        <w:jc w:val="center"/>
        <w:rPr>
          <w:rFonts w:ascii="宋体" w:hAnsi="宋体" w:cs="宋体"/>
          <w:b/>
          <w:kern w:val="0"/>
          <w:sz w:val="32"/>
          <w:szCs w:val="32"/>
          <w:highlight w:val="none"/>
        </w:rPr>
      </w:pPr>
    </w:p>
    <w:p w14:paraId="24798962">
      <w:pPr>
        <w:snapToGrid w:val="0"/>
        <w:spacing w:line="360" w:lineRule="auto"/>
        <w:ind w:right="480"/>
        <w:jc w:val="center"/>
        <w:rPr>
          <w:rFonts w:ascii="宋体" w:hAnsi="宋体" w:cs="宋体"/>
          <w:b/>
          <w:kern w:val="0"/>
          <w:sz w:val="32"/>
          <w:szCs w:val="32"/>
          <w:highlight w:val="none"/>
        </w:rPr>
      </w:pPr>
    </w:p>
    <w:p w14:paraId="75939EB4">
      <w:pPr>
        <w:snapToGrid w:val="0"/>
        <w:spacing w:line="360" w:lineRule="auto"/>
        <w:ind w:right="480"/>
        <w:jc w:val="center"/>
        <w:rPr>
          <w:rFonts w:ascii="宋体" w:hAnsi="宋体" w:cs="宋体"/>
          <w:b/>
          <w:kern w:val="0"/>
          <w:sz w:val="32"/>
          <w:szCs w:val="32"/>
          <w:highlight w:val="none"/>
        </w:rPr>
      </w:pPr>
    </w:p>
    <w:p w14:paraId="4BEA1D17">
      <w:pPr>
        <w:snapToGrid w:val="0"/>
        <w:spacing w:line="360" w:lineRule="auto"/>
        <w:ind w:right="480"/>
        <w:jc w:val="center"/>
        <w:rPr>
          <w:rFonts w:ascii="宋体" w:hAnsi="宋体" w:cs="宋体"/>
          <w:b/>
          <w:kern w:val="0"/>
          <w:sz w:val="32"/>
          <w:szCs w:val="32"/>
          <w:highlight w:val="none"/>
        </w:rPr>
      </w:pPr>
    </w:p>
    <w:p w14:paraId="43C6FAE7">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4" w:type="first"/>
          <w:footerReference r:id="rId16" w:type="first"/>
          <w:headerReference r:id="rId13" w:type="default"/>
          <w:footerReference r:id="rId15" w:type="default"/>
          <w:pgSz w:w="11906" w:h="16838"/>
          <w:pgMar w:top="1440" w:right="1080" w:bottom="1440" w:left="1080" w:header="851" w:footer="992" w:gutter="0"/>
          <w:cols w:space="720" w:num="1"/>
          <w:titlePg/>
          <w:docGrid w:linePitch="312" w:charSpace="0"/>
        </w:sectPr>
      </w:pPr>
    </w:p>
    <w:p w14:paraId="2DBAAF90">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387E3428">
      <w:pPr>
        <w:snapToGrid w:val="0"/>
        <w:spacing w:line="360" w:lineRule="auto"/>
        <w:rPr>
          <w:rFonts w:ascii="宋体" w:hAnsi="宋体" w:cs="宋体"/>
          <w:kern w:val="0"/>
          <w:sz w:val="24"/>
          <w:highlight w:val="none"/>
        </w:rPr>
      </w:pPr>
      <w:r>
        <w:rPr>
          <w:rFonts w:hint="eastAsia" w:ascii="宋体" w:hAnsi="宋体" w:cs="宋体"/>
          <w:sz w:val="24"/>
          <w:highlight w:val="none"/>
        </w:rPr>
        <w:t>浙江海洋大学、浙江科佳工程咨询有限公司</w:t>
      </w:r>
      <w:r>
        <w:rPr>
          <w:rFonts w:hint="eastAsia" w:ascii="宋体" w:hAnsi="宋体" w:cs="宋体"/>
          <w:kern w:val="0"/>
          <w:sz w:val="24"/>
          <w:highlight w:val="none"/>
          <w:lang w:val="zh-CN"/>
        </w:rPr>
        <w:t>：</w:t>
      </w:r>
    </w:p>
    <w:p w14:paraId="20629E7F">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lang w:eastAsia="zh-CN"/>
        </w:rPr>
        <w:t>比萨学院实验室设备采购</w:t>
      </w:r>
      <w:r>
        <w:rPr>
          <w:rFonts w:hint="eastAsia" w:ascii="宋体" w:hAnsi="宋体" w:cs="宋体"/>
          <w:kern w:val="0"/>
          <w:sz w:val="24"/>
          <w:highlight w:val="none"/>
          <w:lang w:val="zh-CN"/>
        </w:rPr>
        <w:t>【招标编号：</w:t>
      </w:r>
      <w:r>
        <w:rPr>
          <w:rFonts w:hint="eastAsia" w:ascii="宋体" w:hAnsi="宋体" w:cs="宋体"/>
          <w:sz w:val="24"/>
          <w:highlight w:val="none"/>
        </w:rPr>
        <w:t>XXXXXXXX】标项___的实施</w:t>
      </w:r>
      <w:r>
        <w:rPr>
          <w:rFonts w:hint="eastAsia" w:ascii="宋体" w:hAnsi="宋体" w:cs="宋体"/>
          <w:kern w:val="0"/>
          <w:sz w:val="24"/>
          <w:highlight w:val="none"/>
          <w:lang w:val="zh-CN"/>
        </w:rPr>
        <w:t>。</w:t>
      </w:r>
    </w:p>
    <w:p w14:paraId="1460F636">
      <w:pPr>
        <w:spacing w:line="360" w:lineRule="auto"/>
        <w:ind w:left="240"/>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6"/>
        <w:tblW w:w="14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74DC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noWrap w:val="0"/>
            <w:vAlign w:val="center"/>
          </w:tcPr>
          <w:p w14:paraId="67DDC785">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7" w:type="dxa"/>
            <w:noWrap w:val="0"/>
            <w:vAlign w:val="center"/>
          </w:tcPr>
          <w:p w14:paraId="3872C23C">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843" w:type="dxa"/>
            <w:noWrap w:val="0"/>
            <w:vAlign w:val="top"/>
          </w:tcPr>
          <w:p w14:paraId="5A82AC3A">
            <w:pPr>
              <w:shd w:val="clear" w:color="auto" w:fill="auto"/>
              <w:spacing w:line="360" w:lineRule="auto"/>
              <w:ind w:leftChars="0"/>
              <w:jc w:val="center"/>
              <w:rPr>
                <w:rFonts w:hint="eastAsia" w:ascii="宋体" w:hAnsi="宋体" w:eastAsia="宋体" w:cs="宋体"/>
                <w:b/>
                <w:color w:val="auto"/>
                <w:sz w:val="24"/>
                <w:szCs w:val="24"/>
                <w:highlight w:val="none"/>
              </w:rPr>
            </w:pPr>
          </w:p>
          <w:p w14:paraId="09259B49">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品牌（如果有）</w:t>
            </w:r>
          </w:p>
        </w:tc>
        <w:tc>
          <w:tcPr>
            <w:tcW w:w="3118" w:type="dxa"/>
            <w:noWrap w:val="0"/>
            <w:vAlign w:val="center"/>
          </w:tcPr>
          <w:p w14:paraId="76290B04">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993" w:type="dxa"/>
            <w:noWrap w:val="0"/>
            <w:vAlign w:val="center"/>
          </w:tcPr>
          <w:p w14:paraId="4AEAFBAB">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559" w:type="dxa"/>
            <w:noWrap w:val="0"/>
            <w:vAlign w:val="center"/>
          </w:tcPr>
          <w:p w14:paraId="2A213861">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984" w:type="dxa"/>
            <w:noWrap w:val="0"/>
            <w:vAlign w:val="center"/>
          </w:tcPr>
          <w:p w14:paraId="2D8B350E">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3119" w:type="dxa"/>
            <w:noWrap w:val="0"/>
            <w:vAlign w:val="center"/>
          </w:tcPr>
          <w:p w14:paraId="1A12777B">
            <w:pPr>
              <w:shd w:val="clear" w:color="auto" w:fill="auto"/>
              <w:spacing w:line="360" w:lineRule="auto"/>
              <w:ind w:leftChars="0"/>
              <w:jc w:val="center"/>
              <w:rPr>
                <w:rFonts w:hint="eastAsia" w:ascii="宋体" w:hAnsi="宋体" w:eastAsia="宋体" w:cs="宋体"/>
                <w:b/>
                <w:color w:val="auto"/>
                <w:sz w:val="24"/>
                <w:szCs w:val="24"/>
                <w:highlight w:val="none"/>
              </w:rPr>
            </w:pPr>
          </w:p>
          <w:p w14:paraId="4265395A">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备注（如果有）</w:t>
            </w:r>
          </w:p>
          <w:p w14:paraId="23DCA837">
            <w:pPr>
              <w:shd w:val="clear" w:color="auto" w:fill="auto"/>
              <w:spacing w:line="360" w:lineRule="auto"/>
              <w:ind w:leftChars="0"/>
              <w:jc w:val="center"/>
              <w:rPr>
                <w:rFonts w:hint="eastAsia" w:ascii="宋体" w:hAnsi="宋体" w:eastAsia="宋体" w:cs="宋体"/>
                <w:b/>
                <w:color w:val="auto"/>
                <w:sz w:val="24"/>
                <w:szCs w:val="24"/>
                <w:highlight w:val="none"/>
              </w:rPr>
            </w:pPr>
          </w:p>
        </w:tc>
      </w:tr>
      <w:tr w14:paraId="2400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noWrap w:val="0"/>
            <w:vAlign w:val="center"/>
          </w:tcPr>
          <w:p w14:paraId="05A49C5F">
            <w:pPr>
              <w:shd w:val="clear" w:color="auto" w:fill="auto"/>
              <w:spacing w:line="360" w:lineRule="auto"/>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7" w:type="dxa"/>
            <w:noWrap w:val="0"/>
            <w:vAlign w:val="center"/>
          </w:tcPr>
          <w:p w14:paraId="7185B64A">
            <w:pPr>
              <w:shd w:val="clear" w:color="auto" w:fill="auto"/>
              <w:snapToGrid w:val="0"/>
              <w:spacing w:line="360" w:lineRule="auto"/>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w:t>
            </w:r>
          </w:p>
        </w:tc>
        <w:tc>
          <w:tcPr>
            <w:tcW w:w="1843" w:type="dxa"/>
            <w:noWrap w:val="0"/>
            <w:vAlign w:val="center"/>
          </w:tcPr>
          <w:p w14:paraId="310DF6D3">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3118" w:type="dxa"/>
            <w:noWrap w:val="0"/>
            <w:vAlign w:val="center"/>
          </w:tcPr>
          <w:p w14:paraId="01D0EFE4">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993" w:type="dxa"/>
            <w:noWrap w:val="0"/>
            <w:vAlign w:val="center"/>
          </w:tcPr>
          <w:p w14:paraId="2DDF96C9">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559" w:type="dxa"/>
            <w:noWrap w:val="0"/>
            <w:vAlign w:val="center"/>
          </w:tcPr>
          <w:p w14:paraId="6DADAF34">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984" w:type="dxa"/>
            <w:noWrap w:val="0"/>
            <w:vAlign w:val="center"/>
          </w:tcPr>
          <w:p w14:paraId="6FEB5439">
            <w:pPr>
              <w:shd w:val="clear" w:color="auto" w:fill="auto"/>
              <w:spacing w:line="360" w:lineRule="auto"/>
              <w:ind w:leftChars="0"/>
              <w:jc w:val="center"/>
              <w:rPr>
                <w:rFonts w:hint="eastAsia" w:ascii="宋体" w:hAnsi="宋体" w:eastAsia="宋体" w:cs="宋体"/>
                <w:color w:val="auto"/>
                <w:sz w:val="24"/>
                <w:szCs w:val="24"/>
                <w:highlight w:val="none"/>
              </w:rPr>
            </w:pPr>
          </w:p>
        </w:tc>
        <w:tc>
          <w:tcPr>
            <w:tcW w:w="3119" w:type="dxa"/>
            <w:noWrap w:val="0"/>
            <w:vAlign w:val="center"/>
          </w:tcPr>
          <w:p w14:paraId="726E70C5">
            <w:pPr>
              <w:shd w:val="clear" w:color="auto" w:fill="auto"/>
              <w:spacing w:line="360" w:lineRule="auto"/>
              <w:ind w:leftChars="0"/>
              <w:jc w:val="center"/>
              <w:rPr>
                <w:rFonts w:hint="eastAsia" w:ascii="宋体" w:hAnsi="宋体" w:eastAsia="宋体" w:cs="宋体"/>
                <w:color w:val="auto"/>
                <w:sz w:val="24"/>
                <w:szCs w:val="24"/>
                <w:highlight w:val="none"/>
              </w:rPr>
            </w:pPr>
          </w:p>
        </w:tc>
      </w:tr>
      <w:tr w14:paraId="1BF5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3F057279">
            <w:pPr>
              <w:shd w:val="clear" w:color="auto" w:fill="auto"/>
              <w:spacing w:line="360" w:lineRule="auto"/>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7" w:type="dxa"/>
            <w:noWrap w:val="0"/>
            <w:vAlign w:val="center"/>
          </w:tcPr>
          <w:p w14:paraId="396BE134">
            <w:pPr>
              <w:shd w:val="clear" w:color="auto" w:fill="auto"/>
              <w:snapToGrid w:val="0"/>
              <w:spacing w:line="360" w:lineRule="auto"/>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w:t>
            </w:r>
          </w:p>
        </w:tc>
        <w:tc>
          <w:tcPr>
            <w:tcW w:w="1843" w:type="dxa"/>
            <w:noWrap w:val="0"/>
            <w:vAlign w:val="center"/>
          </w:tcPr>
          <w:p w14:paraId="4ED868D1">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3118" w:type="dxa"/>
            <w:noWrap w:val="0"/>
            <w:vAlign w:val="center"/>
          </w:tcPr>
          <w:p w14:paraId="38ABF3AF">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993" w:type="dxa"/>
            <w:noWrap w:val="0"/>
            <w:vAlign w:val="center"/>
          </w:tcPr>
          <w:p w14:paraId="1A329EA2">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559" w:type="dxa"/>
            <w:noWrap w:val="0"/>
            <w:vAlign w:val="center"/>
          </w:tcPr>
          <w:p w14:paraId="154050C9">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984" w:type="dxa"/>
            <w:noWrap w:val="0"/>
            <w:vAlign w:val="center"/>
          </w:tcPr>
          <w:p w14:paraId="46C6D06F">
            <w:pPr>
              <w:shd w:val="clear" w:color="auto" w:fill="auto"/>
              <w:spacing w:line="360" w:lineRule="auto"/>
              <w:ind w:leftChars="0"/>
              <w:jc w:val="center"/>
              <w:rPr>
                <w:rFonts w:hint="eastAsia" w:ascii="宋体" w:hAnsi="宋体" w:eastAsia="宋体" w:cs="宋体"/>
                <w:color w:val="auto"/>
                <w:sz w:val="24"/>
                <w:szCs w:val="24"/>
                <w:highlight w:val="none"/>
              </w:rPr>
            </w:pPr>
          </w:p>
        </w:tc>
        <w:tc>
          <w:tcPr>
            <w:tcW w:w="3119" w:type="dxa"/>
            <w:noWrap w:val="0"/>
            <w:vAlign w:val="center"/>
          </w:tcPr>
          <w:p w14:paraId="27B7FF11">
            <w:pPr>
              <w:shd w:val="clear" w:color="auto" w:fill="auto"/>
              <w:spacing w:line="360" w:lineRule="auto"/>
              <w:ind w:leftChars="0"/>
              <w:jc w:val="center"/>
              <w:rPr>
                <w:rFonts w:hint="eastAsia" w:ascii="宋体" w:hAnsi="宋体" w:eastAsia="宋体" w:cs="宋体"/>
                <w:color w:val="auto"/>
                <w:sz w:val="24"/>
                <w:szCs w:val="24"/>
                <w:highlight w:val="none"/>
              </w:rPr>
            </w:pPr>
          </w:p>
        </w:tc>
      </w:tr>
      <w:tr w14:paraId="4CF8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2DDF6E25">
            <w:pPr>
              <w:shd w:val="clear" w:color="auto" w:fill="auto"/>
              <w:spacing w:line="360" w:lineRule="auto"/>
              <w:ind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17" w:type="dxa"/>
            <w:noWrap w:val="0"/>
            <w:vAlign w:val="center"/>
          </w:tcPr>
          <w:p w14:paraId="0D58BEBD">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843" w:type="dxa"/>
            <w:noWrap w:val="0"/>
            <w:vAlign w:val="center"/>
          </w:tcPr>
          <w:p w14:paraId="4868F0FF">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3118" w:type="dxa"/>
            <w:noWrap w:val="0"/>
            <w:vAlign w:val="center"/>
          </w:tcPr>
          <w:p w14:paraId="445A95F3">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993" w:type="dxa"/>
            <w:noWrap w:val="0"/>
            <w:vAlign w:val="center"/>
          </w:tcPr>
          <w:p w14:paraId="3B8C7FA2">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559" w:type="dxa"/>
            <w:noWrap w:val="0"/>
            <w:vAlign w:val="center"/>
          </w:tcPr>
          <w:p w14:paraId="494335C6">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984" w:type="dxa"/>
            <w:noWrap w:val="0"/>
            <w:vAlign w:val="center"/>
          </w:tcPr>
          <w:p w14:paraId="1972A954">
            <w:pPr>
              <w:shd w:val="clear" w:color="auto" w:fill="auto"/>
              <w:spacing w:line="360" w:lineRule="auto"/>
              <w:ind w:leftChars="0"/>
              <w:jc w:val="center"/>
              <w:rPr>
                <w:rFonts w:hint="eastAsia" w:ascii="宋体" w:hAnsi="宋体" w:eastAsia="宋体" w:cs="宋体"/>
                <w:color w:val="auto"/>
                <w:sz w:val="24"/>
                <w:szCs w:val="24"/>
                <w:highlight w:val="none"/>
              </w:rPr>
            </w:pPr>
          </w:p>
        </w:tc>
        <w:tc>
          <w:tcPr>
            <w:tcW w:w="3119" w:type="dxa"/>
            <w:noWrap w:val="0"/>
            <w:vAlign w:val="center"/>
          </w:tcPr>
          <w:p w14:paraId="31D08204">
            <w:pPr>
              <w:shd w:val="clear" w:color="auto" w:fill="auto"/>
              <w:spacing w:line="360" w:lineRule="auto"/>
              <w:ind w:leftChars="0"/>
              <w:jc w:val="center"/>
              <w:rPr>
                <w:rFonts w:hint="eastAsia" w:ascii="宋体" w:hAnsi="宋体" w:eastAsia="宋体" w:cs="宋体"/>
                <w:color w:val="auto"/>
                <w:sz w:val="24"/>
                <w:szCs w:val="24"/>
                <w:highlight w:val="none"/>
              </w:rPr>
            </w:pPr>
          </w:p>
        </w:tc>
      </w:tr>
      <w:tr w14:paraId="5D1C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162E3F94">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417" w:type="dxa"/>
            <w:noWrap w:val="0"/>
            <w:vAlign w:val="center"/>
          </w:tcPr>
          <w:p w14:paraId="5DA6AEB4">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843" w:type="dxa"/>
            <w:noWrap w:val="0"/>
            <w:vAlign w:val="center"/>
          </w:tcPr>
          <w:p w14:paraId="0726ED7A">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3118" w:type="dxa"/>
            <w:noWrap w:val="0"/>
            <w:vAlign w:val="center"/>
          </w:tcPr>
          <w:p w14:paraId="0944FF74">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993" w:type="dxa"/>
            <w:noWrap w:val="0"/>
            <w:vAlign w:val="center"/>
          </w:tcPr>
          <w:p w14:paraId="505E086E">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559" w:type="dxa"/>
            <w:noWrap w:val="0"/>
            <w:vAlign w:val="center"/>
          </w:tcPr>
          <w:p w14:paraId="638F7251">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984" w:type="dxa"/>
            <w:noWrap w:val="0"/>
            <w:vAlign w:val="center"/>
          </w:tcPr>
          <w:p w14:paraId="7CB9C599">
            <w:pPr>
              <w:shd w:val="clear" w:color="auto" w:fill="auto"/>
              <w:spacing w:line="360" w:lineRule="auto"/>
              <w:ind w:leftChars="0"/>
              <w:jc w:val="center"/>
              <w:rPr>
                <w:rFonts w:hint="eastAsia" w:ascii="宋体" w:hAnsi="宋体" w:eastAsia="宋体" w:cs="宋体"/>
                <w:color w:val="auto"/>
                <w:sz w:val="24"/>
                <w:szCs w:val="24"/>
                <w:highlight w:val="none"/>
              </w:rPr>
            </w:pPr>
          </w:p>
        </w:tc>
        <w:tc>
          <w:tcPr>
            <w:tcW w:w="3119" w:type="dxa"/>
            <w:noWrap w:val="0"/>
            <w:vAlign w:val="center"/>
          </w:tcPr>
          <w:p w14:paraId="660DE26E">
            <w:pPr>
              <w:shd w:val="clear" w:color="auto" w:fill="auto"/>
              <w:spacing w:line="360" w:lineRule="auto"/>
              <w:ind w:leftChars="0"/>
              <w:jc w:val="center"/>
              <w:rPr>
                <w:rFonts w:hint="eastAsia" w:ascii="宋体" w:hAnsi="宋体" w:eastAsia="宋体" w:cs="宋体"/>
                <w:color w:val="auto"/>
                <w:sz w:val="24"/>
                <w:szCs w:val="24"/>
                <w:highlight w:val="none"/>
              </w:rPr>
            </w:pPr>
          </w:p>
        </w:tc>
      </w:tr>
      <w:tr w14:paraId="04A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noWrap w:val="0"/>
            <w:vAlign w:val="center"/>
          </w:tcPr>
          <w:p w14:paraId="366AA092">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417" w:type="dxa"/>
            <w:noWrap w:val="0"/>
            <w:vAlign w:val="center"/>
          </w:tcPr>
          <w:p w14:paraId="6382FC1C">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843" w:type="dxa"/>
            <w:noWrap w:val="0"/>
            <w:vAlign w:val="center"/>
          </w:tcPr>
          <w:p w14:paraId="615CAA82">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3118" w:type="dxa"/>
            <w:noWrap w:val="0"/>
            <w:vAlign w:val="center"/>
          </w:tcPr>
          <w:p w14:paraId="1FDD35F6">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993" w:type="dxa"/>
            <w:noWrap w:val="0"/>
            <w:vAlign w:val="center"/>
          </w:tcPr>
          <w:p w14:paraId="28D11595">
            <w:pPr>
              <w:shd w:val="clear" w:color="auto" w:fill="auto"/>
              <w:snapToGrid w:val="0"/>
              <w:spacing w:line="360" w:lineRule="auto"/>
              <w:ind w:leftChars="0"/>
              <w:jc w:val="center"/>
              <w:rPr>
                <w:rFonts w:hint="eastAsia" w:ascii="宋体" w:hAnsi="宋体" w:eastAsia="宋体" w:cs="宋体"/>
                <w:color w:val="auto"/>
                <w:sz w:val="24"/>
                <w:szCs w:val="24"/>
                <w:highlight w:val="none"/>
              </w:rPr>
            </w:pPr>
          </w:p>
        </w:tc>
        <w:tc>
          <w:tcPr>
            <w:tcW w:w="1559" w:type="dxa"/>
            <w:noWrap w:val="0"/>
            <w:vAlign w:val="center"/>
          </w:tcPr>
          <w:p w14:paraId="68406260">
            <w:pPr>
              <w:shd w:val="clear" w:color="auto" w:fill="auto"/>
              <w:spacing w:line="360" w:lineRule="auto"/>
              <w:ind w:leftChars="0"/>
              <w:jc w:val="center"/>
              <w:rPr>
                <w:rFonts w:hint="eastAsia" w:ascii="宋体" w:hAnsi="宋体" w:eastAsia="宋体" w:cs="宋体"/>
                <w:color w:val="auto"/>
                <w:sz w:val="24"/>
                <w:szCs w:val="24"/>
                <w:highlight w:val="none"/>
              </w:rPr>
            </w:pPr>
          </w:p>
        </w:tc>
        <w:tc>
          <w:tcPr>
            <w:tcW w:w="1984" w:type="dxa"/>
            <w:noWrap w:val="0"/>
            <w:vAlign w:val="center"/>
          </w:tcPr>
          <w:p w14:paraId="4ABFCC61">
            <w:pPr>
              <w:shd w:val="clear" w:color="auto" w:fill="auto"/>
              <w:spacing w:line="360" w:lineRule="auto"/>
              <w:ind w:leftChars="0"/>
              <w:jc w:val="center"/>
              <w:rPr>
                <w:rFonts w:hint="eastAsia" w:ascii="宋体" w:hAnsi="宋体" w:eastAsia="宋体" w:cs="宋体"/>
                <w:color w:val="auto"/>
                <w:sz w:val="24"/>
                <w:szCs w:val="24"/>
                <w:highlight w:val="none"/>
              </w:rPr>
            </w:pPr>
          </w:p>
        </w:tc>
        <w:tc>
          <w:tcPr>
            <w:tcW w:w="3119" w:type="dxa"/>
            <w:noWrap w:val="0"/>
            <w:vAlign w:val="center"/>
          </w:tcPr>
          <w:p w14:paraId="1B0F8D2F">
            <w:pPr>
              <w:shd w:val="clear" w:color="auto" w:fill="auto"/>
              <w:spacing w:line="360" w:lineRule="auto"/>
              <w:ind w:leftChars="0"/>
              <w:jc w:val="center"/>
              <w:rPr>
                <w:rFonts w:hint="eastAsia" w:ascii="宋体" w:hAnsi="宋体" w:eastAsia="宋体" w:cs="宋体"/>
                <w:color w:val="auto"/>
                <w:sz w:val="24"/>
                <w:szCs w:val="24"/>
                <w:highlight w:val="none"/>
              </w:rPr>
            </w:pPr>
          </w:p>
        </w:tc>
      </w:tr>
      <w:tr w14:paraId="242C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noWrap w:val="0"/>
            <w:vAlign w:val="center"/>
          </w:tcPr>
          <w:p w14:paraId="35D58DAF">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投标报价（小写）</w:t>
            </w:r>
          </w:p>
        </w:tc>
        <w:tc>
          <w:tcPr>
            <w:tcW w:w="7655" w:type="dxa"/>
            <w:gridSpan w:val="4"/>
            <w:noWrap w:val="0"/>
            <w:vAlign w:val="center"/>
          </w:tcPr>
          <w:p w14:paraId="417AC50A">
            <w:pPr>
              <w:shd w:val="clear" w:color="auto" w:fill="auto"/>
              <w:spacing w:line="360" w:lineRule="auto"/>
              <w:ind w:leftChars="0"/>
              <w:jc w:val="center"/>
              <w:rPr>
                <w:rFonts w:hint="eastAsia" w:ascii="宋体" w:hAnsi="宋体" w:eastAsia="宋体" w:cs="宋体"/>
                <w:color w:val="auto"/>
                <w:sz w:val="24"/>
                <w:szCs w:val="24"/>
                <w:highlight w:val="none"/>
              </w:rPr>
            </w:pPr>
          </w:p>
        </w:tc>
      </w:tr>
      <w:tr w14:paraId="3BAC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noWrap w:val="0"/>
            <w:vAlign w:val="center"/>
          </w:tcPr>
          <w:p w14:paraId="58CDA099">
            <w:pPr>
              <w:shd w:val="clear" w:color="auto" w:fill="auto"/>
              <w:spacing w:line="360" w:lineRule="auto"/>
              <w:ind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投标报价（大写）</w:t>
            </w:r>
          </w:p>
        </w:tc>
        <w:tc>
          <w:tcPr>
            <w:tcW w:w="7655" w:type="dxa"/>
            <w:gridSpan w:val="4"/>
            <w:noWrap w:val="0"/>
            <w:vAlign w:val="center"/>
          </w:tcPr>
          <w:p w14:paraId="6F7427AA">
            <w:pPr>
              <w:shd w:val="clear" w:color="auto" w:fill="auto"/>
              <w:spacing w:line="360" w:lineRule="auto"/>
              <w:ind w:leftChars="0"/>
              <w:jc w:val="center"/>
              <w:rPr>
                <w:rFonts w:hint="eastAsia" w:ascii="宋体" w:hAnsi="宋体" w:eastAsia="宋体" w:cs="宋体"/>
                <w:color w:val="auto"/>
                <w:sz w:val="24"/>
                <w:szCs w:val="24"/>
                <w:highlight w:val="none"/>
              </w:rPr>
            </w:pPr>
          </w:p>
        </w:tc>
      </w:tr>
    </w:tbl>
    <w:p w14:paraId="4953C012">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14:paraId="7263C199">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1、投标人需按本表格式填写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kern w:val="0"/>
          <w:sz w:val="24"/>
          <w:highlight w:val="none"/>
          <w:lang w:val="zh-CN"/>
        </w:rPr>
        <w:t>。</w:t>
      </w:r>
    </w:p>
    <w:p w14:paraId="531BC11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采购人将以合同形式有偿取得货物或服务，不接受投标人给予的赠品、回扣或者与采购无关的其他商品、服务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b/>
          <w:kern w:val="0"/>
          <w:sz w:val="24"/>
          <w:highlight w:val="none"/>
          <w:lang w:val="zh-CN"/>
        </w:rPr>
        <w:t>；采购内容未包含在《开标一览表（报价表）》名称栏中，投标人不能作出合理解释的，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14:paraId="58FA4E6F">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3、特别提示：采购代理机构将对项目名称和项目编号，中标人名称、地址和中标金额，主要中标标的名称、品牌（如果有）、规格型号、数量、单价等予以公示。</w:t>
      </w:r>
    </w:p>
    <w:p w14:paraId="718260E6">
      <w:pPr>
        <w:snapToGrid w:val="0"/>
        <w:spacing w:line="360" w:lineRule="auto"/>
        <w:ind w:firstLine="480" w:firstLineChars="200"/>
        <w:jc w:val="left"/>
        <w:rPr>
          <w:rFonts w:ascii="宋体" w:hAnsi="宋体" w:cs="宋体"/>
          <w:sz w:val="32"/>
          <w:szCs w:val="32"/>
          <w:highlight w:val="none"/>
        </w:rPr>
      </w:pPr>
      <w:r>
        <w:rPr>
          <w:rFonts w:hint="eastAsia" w:ascii="宋体" w:hAnsi="宋体" w:cs="宋体"/>
          <w:kern w:val="0"/>
          <w:sz w:val="24"/>
          <w:szCs w:val="22"/>
          <w:highlight w:val="none"/>
          <w:lang w:val="zh-CN"/>
        </w:rPr>
        <w:t>4、</w:t>
      </w:r>
      <w:r>
        <w:rPr>
          <w:rFonts w:hint="eastAsia" w:ascii="宋体" w:hAnsi="宋体" w:cs="宋体"/>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965D242">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440" w:right="1083" w:bottom="1440" w:left="1083" w:header="851" w:footer="992" w:gutter="0"/>
          <w:cols w:space="0" w:num="1"/>
          <w:titlePg/>
          <w:docGrid w:linePitch="312" w:charSpace="0"/>
        </w:sectPr>
      </w:pPr>
    </w:p>
    <w:p w14:paraId="51224B0D">
      <w:pPr>
        <w:pStyle w:val="85"/>
        <w:ind w:firstLine="460"/>
        <w:rPr>
          <w:highlight w:val="none"/>
        </w:rPr>
      </w:pPr>
    </w:p>
    <w:p w14:paraId="442B4C8A">
      <w:pPr>
        <w:pStyle w:val="695"/>
        <w:keepNext w:val="0"/>
        <w:pageBreakBefore w:val="0"/>
        <w:tabs>
          <w:tab w:val="clear" w:pos="720"/>
        </w:tabs>
        <w:snapToGrid w:val="0"/>
        <w:spacing w:before="120" w:after="120"/>
        <w:ind w:firstLine="643"/>
        <w:outlineLvl w:val="9"/>
        <w:rPr>
          <w:rFonts w:ascii="宋体" w:hAnsi="宋体" w:eastAsia="宋体" w:cs="宋体"/>
          <w:sz w:val="32"/>
          <w:szCs w:val="32"/>
          <w:highlight w:val="none"/>
        </w:rPr>
      </w:pPr>
      <w:bookmarkStart w:id="418" w:name="_Hlk101259491"/>
      <w:bookmarkEnd w:id="418"/>
      <w:r>
        <w:rPr>
          <w:rFonts w:hint="eastAsia" w:ascii="宋体" w:hAnsi="宋体" w:eastAsia="宋体" w:cs="宋体"/>
          <w:kern w:val="2"/>
          <w:sz w:val="32"/>
          <w:szCs w:val="32"/>
          <w:highlight w:val="none"/>
        </w:rPr>
        <w:t>二、</w:t>
      </w:r>
      <w:r>
        <w:rPr>
          <w:rFonts w:hint="eastAsia" w:ascii="宋体" w:hAnsi="宋体" w:eastAsia="宋体" w:cs="宋体"/>
          <w:sz w:val="32"/>
          <w:szCs w:val="32"/>
          <w:highlight w:val="none"/>
        </w:rPr>
        <w:t>中小企业声明函（如果有）</w:t>
      </w:r>
    </w:p>
    <w:p w14:paraId="5373A948">
      <w:pPr>
        <w:widowControl/>
        <w:spacing w:line="360" w:lineRule="auto"/>
        <w:ind w:firstLine="120" w:firstLineChars="50"/>
        <w:jc w:val="left"/>
        <w:rPr>
          <w:rFonts w:ascii="宋体" w:hAnsi="宋体" w:cs="宋体"/>
          <w:b/>
          <w:sz w:val="24"/>
          <w:highlight w:val="none"/>
        </w:rPr>
      </w:pPr>
      <w:r>
        <w:rPr>
          <w:rFonts w:hint="eastAsia" w:ascii="宋体" w:hAnsi="宋体" w:cs="宋体"/>
          <w:b/>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666F4C74">
      <w:pPr>
        <w:pStyle w:val="695"/>
        <w:keepNext w:val="0"/>
        <w:pageBreakBefore w:val="0"/>
        <w:tabs>
          <w:tab w:val="clear" w:pos="720"/>
        </w:tabs>
        <w:snapToGrid w:val="0"/>
        <w:spacing w:before="120" w:after="120"/>
        <w:ind w:firstLine="643"/>
        <w:outlineLvl w:val="9"/>
        <w:rPr>
          <w:rFonts w:ascii="宋体" w:hAnsi="宋体" w:eastAsia="宋体" w:cs="宋体"/>
          <w:b w:val="0"/>
          <w:sz w:val="32"/>
          <w:szCs w:val="32"/>
          <w:highlight w:val="none"/>
        </w:rPr>
      </w:pPr>
    </w:p>
    <w:p w14:paraId="2EABBE9F">
      <w:pPr>
        <w:pStyle w:val="695"/>
        <w:keepNext w:val="0"/>
        <w:pageBreakBefore w:val="0"/>
        <w:tabs>
          <w:tab w:val="clear" w:pos="720"/>
        </w:tabs>
        <w:snapToGrid w:val="0"/>
        <w:spacing w:before="120" w:after="120"/>
        <w:ind w:firstLine="643"/>
        <w:outlineLvl w:val="9"/>
        <w:rPr>
          <w:rFonts w:ascii="宋体" w:hAnsi="宋体" w:eastAsia="宋体" w:cs="宋体"/>
          <w:sz w:val="32"/>
          <w:szCs w:val="32"/>
          <w:highlight w:val="none"/>
        </w:rPr>
      </w:pPr>
      <w:r>
        <w:rPr>
          <w:rFonts w:hint="eastAsia" w:ascii="宋体" w:hAnsi="宋体" w:eastAsia="宋体" w:cs="宋体"/>
          <w:kern w:val="2"/>
          <w:sz w:val="32"/>
          <w:szCs w:val="32"/>
          <w:highlight w:val="none"/>
        </w:rPr>
        <w:t>三、关于符合本国产品标准的声明函</w:t>
      </w:r>
      <w:r>
        <w:rPr>
          <w:rFonts w:hint="eastAsia" w:ascii="宋体" w:hAnsi="宋体" w:eastAsia="宋体" w:cs="宋体"/>
          <w:sz w:val="32"/>
          <w:szCs w:val="32"/>
          <w:highlight w:val="none"/>
        </w:rPr>
        <w:t>（如果有）</w:t>
      </w:r>
    </w:p>
    <w:p w14:paraId="5A3FB127">
      <w:pPr>
        <w:tabs>
          <w:tab w:val="left" w:pos="9040"/>
        </w:tabs>
        <w:spacing w:line="360" w:lineRule="auto"/>
        <w:ind w:right="-170"/>
        <w:rPr>
          <w:rFonts w:ascii="宋体" w:hAnsi="宋体" w:cs="宋体"/>
          <w:b/>
          <w:kern w:val="0"/>
          <w:sz w:val="36"/>
          <w:szCs w:val="36"/>
          <w:highlight w:val="none"/>
        </w:rPr>
      </w:pPr>
      <w:r>
        <w:rPr>
          <w:rFonts w:hint="eastAsia" w:ascii="宋体" w:hAnsi="宋体" w:cs="宋体"/>
          <w:b/>
          <w:sz w:val="24"/>
          <w:highlight w:val="none"/>
        </w:rPr>
        <w:t>[1.政府采购活动中既有本国产品又有非本国产品参与竞争的，依法对本国产品的报价给予20%的价格扣除，用扣除后的价格参与评审。评审活动应贯彻落实对本国产品的评审价格扣除优惠；注：须提供《关于符合本国产品标准的声明函》或财政部会同有关部门规定的有关证明文件，声明函格式详见招标文件附件（附件8）；供应商提供虚假《声明函》、虚假证明文件谋取中标、成交的，依照《中华人民共和国政府采购法》等法律法规规定追究相应责任。</w:t>
      </w:r>
    </w:p>
    <w:p w14:paraId="0EFA038F">
      <w:pPr>
        <w:widowControl/>
        <w:spacing w:line="360" w:lineRule="auto"/>
        <w:ind w:firstLine="120" w:firstLineChars="50"/>
        <w:jc w:val="left"/>
        <w:rPr>
          <w:rFonts w:ascii="宋体" w:hAnsi="宋体" w:cs="宋体"/>
          <w:b/>
          <w:sz w:val="24"/>
          <w:highlight w:val="none"/>
        </w:rPr>
        <w:sectPr>
          <w:headerReference r:id="rId18" w:type="first"/>
          <w:footerReference r:id="rId20" w:type="first"/>
          <w:headerReference r:id="rId17" w:type="default"/>
          <w:footerReference r:id="rId19" w:type="default"/>
          <w:pgSz w:w="11906" w:h="16838"/>
          <w:pgMar w:top="1440" w:right="1080" w:bottom="1440" w:left="1080" w:header="851" w:footer="992" w:gutter="0"/>
          <w:cols w:space="720" w:num="1"/>
          <w:titlePg/>
          <w:docGrid w:linePitch="312" w:charSpace="0"/>
        </w:sectPr>
      </w:pPr>
      <w:r>
        <w:rPr>
          <w:rFonts w:hint="eastAsia" w:ascii="宋体" w:hAnsi="宋体" w:cs="宋体"/>
          <w:b/>
          <w:sz w:val="24"/>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对于多产品，除提供《关于符合本国产品标准的声明函》或财政部会同有关部门规定的有关证明文件以外，还须要供应商在投标响应文件中承诺成本之和达到80%（</w:t>
      </w:r>
      <w:r>
        <w:rPr>
          <w:rFonts w:hint="eastAsia" w:ascii="宋体" w:hAnsi="宋体" w:cs="宋体"/>
          <w:b/>
          <w:sz w:val="24"/>
          <w:highlight w:val="none"/>
          <w:lang w:eastAsia="zh-CN"/>
        </w:rPr>
        <w:t>提供承诺成本之和达到80%的承诺书，格式自拟</w:t>
      </w:r>
      <w:r>
        <w:rPr>
          <w:rFonts w:hint="eastAsia" w:ascii="宋体" w:hAnsi="宋体" w:cs="宋体"/>
          <w:b/>
          <w:sz w:val="24"/>
          <w:highlight w:val="none"/>
        </w:rPr>
        <w:t>）。无承诺或者承诺占比无法达标则不享受政策。）（承诺书格式自拟）]</w:t>
      </w:r>
    </w:p>
    <w:p w14:paraId="32E4549C">
      <w:pPr>
        <w:pStyle w:val="3"/>
        <w:rPr>
          <w:rFonts w:cs="宋体"/>
          <w:highlight w:val="none"/>
        </w:rPr>
      </w:pPr>
      <w:bookmarkStart w:id="419" w:name="_Toc465665161"/>
      <w:bookmarkEnd w:id="419"/>
      <w:bookmarkStart w:id="420" w:name="_Toc13368"/>
      <w:r>
        <w:rPr>
          <w:rFonts w:hint="eastAsia" w:cs="宋体"/>
          <w:highlight w:val="none"/>
        </w:rPr>
        <w:t>附件</w:t>
      </w:r>
      <w:bookmarkEnd w:id="420"/>
    </w:p>
    <w:p w14:paraId="6B2DE0BC">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4E7F0767">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残疾人福利性单位声明函</w:t>
      </w:r>
    </w:p>
    <w:p w14:paraId="5F6AB9B4">
      <w:pPr>
        <w:spacing w:line="360" w:lineRule="auto"/>
        <w:rPr>
          <w:rFonts w:ascii="宋体" w:hAnsi="宋体" w:cs="宋体"/>
          <w:b/>
          <w:spacing w:val="6"/>
          <w:sz w:val="30"/>
          <w:szCs w:val="30"/>
          <w:highlight w:val="none"/>
        </w:rPr>
      </w:pPr>
    </w:p>
    <w:p w14:paraId="2879B708">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highlight w:val="none"/>
          <w:u w:val="single"/>
        </w:rPr>
        <w:t>浙江海洋大学</w:t>
      </w:r>
      <w:r>
        <w:rPr>
          <w:rFonts w:hint="eastAsia" w:ascii="宋体" w:hAnsi="宋体" w:cs="宋体"/>
          <w:sz w:val="24"/>
          <w:highlight w:val="none"/>
        </w:rPr>
        <w:t>_单位的_</w:t>
      </w:r>
      <w:r>
        <w:rPr>
          <w:rFonts w:hint="eastAsia" w:ascii="宋体" w:hAnsi="宋体" w:cs="宋体"/>
          <w:sz w:val="24"/>
          <w:highlight w:val="none"/>
          <w:u w:val="single"/>
          <w:lang w:eastAsia="zh-CN"/>
        </w:rPr>
        <w:t>比萨学院实验室设备采购</w:t>
      </w:r>
      <w:r>
        <w:rPr>
          <w:rFonts w:hint="eastAsia" w:ascii="宋体" w:hAnsi="宋体" w:cs="宋体"/>
          <w:sz w:val="24"/>
          <w:highlight w:val="none"/>
        </w:rPr>
        <w:t>__项目采购活动提供本单位制造的货物（由本单位承担工程/提供服务），或者提供其他残疾人福利性单位制造的货物（不包括使用非残疾人福利性单位注册商标的货物）。</w:t>
      </w:r>
    </w:p>
    <w:p w14:paraId="1C8C2E73">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95717D5">
      <w:pPr>
        <w:spacing w:line="360" w:lineRule="auto"/>
        <w:ind w:firstLine="480" w:firstLineChars="200"/>
        <w:rPr>
          <w:rFonts w:ascii="宋体" w:hAnsi="宋体" w:cs="宋体"/>
          <w:sz w:val="24"/>
          <w:highlight w:val="none"/>
        </w:rPr>
      </w:pPr>
    </w:p>
    <w:p w14:paraId="1ED3506B">
      <w:pPr>
        <w:spacing w:line="360" w:lineRule="auto"/>
        <w:ind w:firstLine="480" w:firstLineChars="200"/>
        <w:jc w:val="left"/>
        <w:rPr>
          <w:rFonts w:ascii="宋体" w:hAnsi="宋体" w:cs="宋体"/>
          <w:sz w:val="24"/>
          <w:highlight w:val="none"/>
        </w:rPr>
      </w:pPr>
    </w:p>
    <w:p w14:paraId="7163CE03">
      <w:pPr>
        <w:tabs>
          <w:tab w:val="left" w:pos="4860"/>
        </w:tabs>
        <w:spacing w:line="360" w:lineRule="auto"/>
        <w:ind w:right="1560" w:firstLine="480" w:firstLineChars="200"/>
        <w:jc w:val="left"/>
        <w:rPr>
          <w:rFonts w:ascii="宋体" w:hAnsi="宋体" w:cs="宋体"/>
          <w:sz w:val="24"/>
          <w:highlight w:val="none"/>
        </w:rPr>
      </w:pP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300A4502">
      <w:pPr>
        <w:tabs>
          <w:tab w:val="left" w:pos="4860"/>
        </w:tabs>
        <w:spacing w:line="360" w:lineRule="auto"/>
        <w:ind w:right="1560" w:firstLine="480" w:firstLineChars="200"/>
        <w:jc w:val="left"/>
        <w:rPr>
          <w:rFonts w:ascii="宋体" w:hAnsi="宋体" w:cs="宋体"/>
          <w:sz w:val="24"/>
          <w:highlight w:val="none"/>
        </w:rPr>
      </w:pPr>
      <w:r>
        <w:rPr>
          <w:rFonts w:hint="eastAsia" w:ascii="宋体" w:hAnsi="宋体" w:cs="宋体"/>
          <w:sz w:val="24"/>
          <w:highlight w:val="none"/>
        </w:rPr>
        <w:t>日  期：</w:t>
      </w:r>
    </w:p>
    <w:p w14:paraId="0EB8FAA1">
      <w:pPr>
        <w:spacing w:line="360" w:lineRule="auto"/>
        <w:ind w:firstLine="480" w:firstLineChars="200"/>
        <w:rPr>
          <w:rFonts w:ascii="宋体" w:hAnsi="宋体" w:cs="宋体"/>
          <w:sz w:val="24"/>
          <w:highlight w:val="none"/>
        </w:rPr>
      </w:pPr>
    </w:p>
    <w:p w14:paraId="55AF94D3">
      <w:pPr>
        <w:spacing w:line="360" w:lineRule="auto"/>
        <w:ind w:firstLine="420" w:firstLineChars="200"/>
        <w:rPr>
          <w:rFonts w:ascii="宋体" w:hAnsi="宋体" w:cs="宋体"/>
          <w:highlight w:val="none"/>
        </w:rPr>
      </w:pPr>
    </w:p>
    <w:p w14:paraId="15B852E4">
      <w:pPr>
        <w:spacing w:line="360" w:lineRule="auto"/>
        <w:ind w:firstLine="420" w:firstLineChars="200"/>
        <w:rPr>
          <w:rFonts w:ascii="宋体" w:hAnsi="宋体" w:cs="宋体"/>
          <w:highlight w:val="none"/>
        </w:rPr>
      </w:pPr>
    </w:p>
    <w:p w14:paraId="79084058">
      <w:pPr>
        <w:spacing w:line="360" w:lineRule="auto"/>
        <w:ind w:firstLine="420" w:firstLineChars="200"/>
        <w:rPr>
          <w:rFonts w:ascii="宋体" w:hAnsi="宋体" w:cs="宋体"/>
          <w:highlight w:val="none"/>
        </w:rPr>
      </w:pPr>
    </w:p>
    <w:p w14:paraId="7D26AF8A">
      <w:pPr>
        <w:spacing w:line="360" w:lineRule="auto"/>
        <w:ind w:firstLine="420" w:firstLineChars="200"/>
        <w:rPr>
          <w:rFonts w:ascii="宋体" w:hAnsi="宋体" w:cs="宋体"/>
          <w:highlight w:val="none"/>
        </w:rPr>
      </w:pPr>
    </w:p>
    <w:p w14:paraId="215328DD">
      <w:pPr>
        <w:spacing w:line="360" w:lineRule="auto"/>
        <w:rPr>
          <w:rFonts w:ascii="宋体" w:hAnsi="宋体" w:cs="宋体"/>
          <w:b/>
          <w:sz w:val="24"/>
          <w:highlight w:val="none"/>
        </w:rPr>
      </w:pPr>
    </w:p>
    <w:p w14:paraId="4896ED99">
      <w:pPr>
        <w:spacing w:line="360" w:lineRule="auto"/>
        <w:rPr>
          <w:rFonts w:ascii="宋体" w:hAnsi="宋体" w:cs="宋体"/>
          <w:b/>
          <w:sz w:val="24"/>
          <w:highlight w:val="none"/>
        </w:rPr>
      </w:pPr>
    </w:p>
    <w:p w14:paraId="69BE022A">
      <w:pPr>
        <w:spacing w:line="360" w:lineRule="auto"/>
        <w:rPr>
          <w:rFonts w:ascii="宋体" w:hAnsi="宋体" w:cs="宋体"/>
          <w:b/>
          <w:sz w:val="24"/>
          <w:highlight w:val="none"/>
        </w:rPr>
      </w:pPr>
    </w:p>
    <w:p w14:paraId="062CFC87">
      <w:pPr>
        <w:spacing w:line="360" w:lineRule="auto"/>
        <w:rPr>
          <w:rFonts w:ascii="宋体" w:hAnsi="宋体" w:cs="宋体"/>
          <w:b/>
          <w:sz w:val="24"/>
          <w:highlight w:val="none"/>
        </w:rPr>
      </w:pPr>
    </w:p>
    <w:p w14:paraId="13E2B45A">
      <w:pPr>
        <w:spacing w:line="360" w:lineRule="auto"/>
        <w:rPr>
          <w:rFonts w:ascii="宋体" w:hAnsi="宋体" w:cs="宋体"/>
          <w:b/>
          <w:sz w:val="24"/>
          <w:highlight w:val="none"/>
        </w:rPr>
      </w:pPr>
    </w:p>
    <w:p w14:paraId="5AB229E1">
      <w:pPr>
        <w:spacing w:line="360" w:lineRule="auto"/>
        <w:rPr>
          <w:rFonts w:ascii="宋体" w:hAnsi="宋体" w:cs="宋体"/>
          <w:b/>
          <w:sz w:val="24"/>
          <w:highlight w:val="none"/>
        </w:rPr>
      </w:pPr>
    </w:p>
    <w:p w14:paraId="45B29CD0">
      <w:pPr>
        <w:spacing w:line="360" w:lineRule="auto"/>
        <w:rPr>
          <w:rFonts w:ascii="宋体" w:hAnsi="宋体" w:cs="宋体"/>
          <w:b/>
          <w:sz w:val="24"/>
          <w:highlight w:val="none"/>
        </w:rPr>
      </w:pPr>
    </w:p>
    <w:p w14:paraId="13E2841B">
      <w:pPr>
        <w:spacing w:line="360" w:lineRule="auto"/>
        <w:rPr>
          <w:rFonts w:ascii="宋体" w:hAnsi="宋体" w:cs="宋体"/>
          <w:b/>
          <w:sz w:val="24"/>
          <w:highlight w:val="none"/>
        </w:rPr>
      </w:pPr>
    </w:p>
    <w:p w14:paraId="148B47FA">
      <w:pPr>
        <w:spacing w:line="360" w:lineRule="auto"/>
        <w:rPr>
          <w:rFonts w:ascii="宋体" w:hAnsi="宋体" w:cs="宋体"/>
          <w:b/>
          <w:sz w:val="24"/>
          <w:highlight w:val="none"/>
        </w:rPr>
      </w:pPr>
    </w:p>
    <w:p w14:paraId="3F8B16DD">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14:paraId="4F51AF65">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08FCFA90">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05DB63F4">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34DA487F">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30C4119D">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1FE0DF1B">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5D68D1E">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2B212689">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6CD65731">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48222F98">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1D3EADFB">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4EE529D5">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1F806650">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41DA08E1">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17FA0206">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2767ECDF">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3CD07DB8">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8DA1724">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5006B0CB">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6DE290D9">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343DC31D">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604F12AC">
      <w:pPr>
        <w:snapToGrid w:val="0"/>
        <w:spacing w:line="360" w:lineRule="auto"/>
        <w:rPr>
          <w:rFonts w:ascii="宋体" w:hAnsi="宋体" w:cs="宋体"/>
          <w:sz w:val="24"/>
          <w:highlight w:val="none"/>
        </w:rPr>
      </w:pPr>
      <w:r>
        <w:rPr>
          <w:rFonts w:hint="eastAsia" w:ascii="宋体" w:hAnsi="宋体" w:cs="宋体"/>
          <w:sz w:val="24"/>
          <w:highlight w:val="none"/>
        </w:rPr>
        <w:t>……</w:t>
      </w:r>
    </w:p>
    <w:p w14:paraId="15C6B2A3">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1E2DC5DA">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10A940F">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10CCA27C">
      <w:pPr>
        <w:spacing w:line="360" w:lineRule="auto"/>
        <w:rPr>
          <w:rFonts w:ascii="宋体" w:hAnsi="宋体" w:cs="宋体"/>
          <w:sz w:val="24"/>
          <w:highlight w:val="none"/>
        </w:rPr>
      </w:pPr>
      <w:r>
        <w:rPr>
          <w:rFonts w:hint="eastAsia" w:ascii="宋体" w:hAnsi="宋体" w:cs="宋体"/>
          <w:sz w:val="24"/>
          <w:highlight w:val="none"/>
        </w:rPr>
        <w:t xml:space="preserve">日期：    </w:t>
      </w:r>
    </w:p>
    <w:p w14:paraId="0B3BE9A6">
      <w:pPr>
        <w:spacing w:line="360" w:lineRule="auto"/>
        <w:rPr>
          <w:rFonts w:ascii="宋体" w:hAnsi="宋体" w:cs="宋体"/>
          <w:b/>
          <w:sz w:val="24"/>
          <w:highlight w:val="none"/>
        </w:rPr>
      </w:pPr>
    </w:p>
    <w:p w14:paraId="61C306F7">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2A8AE80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512BE85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2E7EE5A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3235131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FB5866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126E9DB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69B28808">
      <w:pPr>
        <w:widowControl/>
        <w:spacing w:line="360" w:lineRule="auto"/>
        <w:ind w:firstLine="600" w:firstLineChars="200"/>
        <w:jc w:val="left"/>
        <w:rPr>
          <w:rFonts w:ascii="宋体" w:hAnsi="宋体" w:cs="宋体"/>
          <w:sz w:val="30"/>
          <w:szCs w:val="30"/>
          <w:highlight w:val="none"/>
        </w:rPr>
      </w:pPr>
    </w:p>
    <w:p w14:paraId="5B31405E">
      <w:pPr>
        <w:spacing w:line="360" w:lineRule="auto"/>
        <w:jc w:val="center"/>
        <w:rPr>
          <w:rFonts w:ascii="宋体" w:hAnsi="宋体" w:cs="宋体"/>
          <w:b/>
          <w:spacing w:val="6"/>
          <w:sz w:val="32"/>
          <w:szCs w:val="32"/>
          <w:highlight w:val="none"/>
        </w:rPr>
      </w:pPr>
    </w:p>
    <w:p w14:paraId="594C76C1">
      <w:pPr>
        <w:spacing w:line="360" w:lineRule="auto"/>
        <w:jc w:val="center"/>
        <w:rPr>
          <w:rFonts w:ascii="宋体" w:hAnsi="宋体" w:cs="宋体"/>
          <w:b/>
          <w:spacing w:val="6"/>
          <w:sz w:val="32"/>
          <w:szCs w:val="32"/>
          <w:highlight w:val="none"/>
        </w:rPr>
      </w:pPr>
    </w:p>
    <w:p w14:paraId="29EB05FB">
      <w:pPr>
        <w:spacing w:line="360" w:lineRule="auto"/>
        <w:jc w:val="center"/>
        <w:rPr>
          <w:rFonts w:ascii="宋体" w:hAnsi="宋体" w:cs="宋体"/>
          <w:b/>
          <w:spacing w:val="6"/>
          <w:sz w:val="32"/>
          <w:szCs w:val="32"/>
          <w:highlight w:val="none"/>
        </w:rPr>
      </w:pPr>
    </w:p>
    <w:p w14:paraId="204A6DD0">
      <w:pPr>
        <w:spacing w:line="360" w:lineRule="auto"/>
        <w:jc w:val="center"/>
        <w:rPr>
          <w:rFonts w:ascii="宋体" w:hAnsi="宋体" w:cs="宋体"/>
          <w:b/>
          <w:spacing w:val="6"/>
          <w:sz w:val="32"/>
          <w:szCs w:val="32"/>
          <w:highlight w:val="none"/>
        </w:rPr>
      </w:pPr>
    </w:p>
    <w:p w14:paraId="0E7D48FA">
      <w:pPr>
        <w:spacing w:line="360" w:lineRule="auto"/>
        <w:jc w:val="center"/>
        <w:rPr>
          <w:rFonts w:ascii="宋体" w:hAnsi="宋体" w:cs="宋体"/>
          <w:b/>
          <w:spacing w:val="6"/>
          <w:sz w:val="32"/>
          <w:szCs w:val="32"/>
          <w:highlight w:val="none"/>
        </w:rPr>
      </w:pPr>
    </w:p>
    <w:p w14:paraId="5F3B1139">
      <w:pPr>
        <w:spacing w:line="360" w:lineRule="auto"/>
        <w:jc w:val="center"/>
        <w:rPr>
          <w:rFonts w:ascii="宋体" w:hAnsi="宋体" w:cs="宋体"/>
          <w:b/>
          <w:spacing w:val="6"/>
          <w:sz w:val="32"/>
          <w:szCs w:val="32"/>
          <w:highlight w:val="none"/>
        </w:rPr>
      </w:pPr>
    </w:p>
    <w:p w14:paraId="4C9C54AF">
      <w:pPr>
        <w:spacing w:line="360" w:lineRule="auto"/>
        <w:jc w:val="center"/>
        <w:rPr>
          <w:rFonts w:ascii="宋体" w:hAnsi="宋体" w:cs="宋体"/>
          <w:b/>
          <w:spacing w:val="6"/>
          <w:sz w:val="32"/>
          <w:szCs w:val="32"/>
          <w:highlight w:val="none"/>
        </w:rPr>
      </w:pPr>
    </w:p>
    <w:p w14:paraId="6A8F7798">
      <w:pPr>
        <w:spacing w:line="360" w:lineRule="auto"/>
        <w:jc w:val="center"/>
        <w:rPr>
          <w:rFonts w:ascii="宋体" w:hAnsi="宋体" w:cs="宋体"/>
          <w:b/>
          <w:spacing w:val="6"/>
          <w:sz w:val="32"/>
          <w:szCs w:val="32"/>
          <w:highlight w:val="none"/>
        </w:rPr>
      </w:pPr>
    </w:p>
    <w:p w14:paraId="58FF6ED5">
      <w:pPr>
        <w:spacing w:line="360" w:lineRule="auto"/>
        <w:jc w:val="center"/>
        <w:rPr>
          <w:rFonts w:ascii="宋体" w:hAnsi="宋体" w:cs="宋体"/>
          <w:b/>
          <w:spacing w:val="6"/>
          <w:sz w:val="32"/>
          <w:szCs w:val="32"/>
          <w:highlight w:val="none"/>
        </w:rPr>
      </w:pPr>
    </w:p>
    <w:p w14:paraId="13AB13AF">
      <w:pPr>
        <w:spacing w:line="360" w:lineRule="auto"/>
        <w:jc w:val="center"/>
        <w:rPr>
          <w:rFonts w:ascii="宋体" w:hAnsi="宋体" w:cs="宋体"/>
          <w:b/>
          <w:spacing w:val="6"/>
          <w:sz w:val="32"/>
          <w:szCs w:val="32"/>
          <w:highlight w:val="none"/>
        </w:rPr>
      </w:pPr>
    </w:p>
    <w:p w14:paraId="06CDD20A">
      <w:pPr>
        <w:spacing w:line="360" w:lineRule="auto"/>
        <w:jc w:val="center"/>
        <w:rPr>
          <w:rFonts w:ascii="宋体" w:hAnsi="宋体" w:cs="宋体"/>
          <w:b/>
          <w:spacing w:val="6"/>
          <w:sz w:val="32"/>
          <w:szCs w:val="32"/>
          <w:highlight w:val="none"/>
        </w:rPr>
      </w:pPr>
    </w:p>
    <w:p w14:paraId="3345E80C">
      <w:pPr>
        <w:spacing w:line="360" w:lineRule="auto"/>
        <w:jc w:val="center"/>
        <w:rPr>
          <w:rFonts w:ascii="宋体" w:hAnsi="宋体" w:cs="宋体"/>
          <w:b/>
          <w:spacing w:val="6"/>
          <w:sz w:val="32"/>
          <w:szCs w:val="32"/>
          <w:highlight w:val="none"/>
        </w:rPr>
      </w:pPr>
    </w:p>
    <w:p w14:paraId="2345DE28">
      <w:pPr>
        <w:spacing w:line="360" w:lineRule="auto"/>
        <w:jc w:val="left"/>
        <w:rPr>
          <w:rFonts w:ascii="宋体" w:hAnsi="宋体" w:cs="宋体"/>
          <w:b/>
          <w:spacing w:val="6"/>
          <w:sz w:val="32"/>
          <w:szCs w:val="32"/>
          <w:highlight w:val="none"/>
        </w:rPr>
      </w:pPr>
    </w:p>
    <w:p w14:paraId="524FC21E">
      <w:pPr>
        <w:spacing w:line="360" w:lineRule="auto"/>
        <w:jc w:val="left"/>
        <w:rPr>
          <w:rFonts w:ascii="宋体" w:hAnsi="宋体" w:cs="宋体"/>
          <w:b/>
          <w:spacing w:val="6"/>
          <w:sz w:val="32"/>
          <w:szCs w:val="32"/>
          <w:highlight w:val="none"/>
        </w:rPr>
      </w:pPr>
    </w:p>
    <w:p w14:paraId="1BBCFD26">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14:paraId="46189926">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0871ECCE">
      <w:pPr>
        <w:spacing w:line="360" w:lineRule="auto"/>
        <w:jc w:val="center"/>
        <w:rPr>
          <w:rFonts w:ascii="宋体" w:hAnsi="宋体" w:cs="宋体"/>
          <w:b/>
          <w:sz w:val="24"/>
          <w:highlight w:val="none"/>
        </w:rPr>
      </w:pPr>
    </w:p>
    <w:p w14:paraId="77F4FA21">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104F6872">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4FCD6687">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71B2B3A5">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8B5F1F8">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C8C1DA5">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607A09A5">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82A767B">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479D9F32">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0252FA4">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69FC8F46">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A9D70BC">
      <w:pPr>
        <w:spacing w:line="360" w:lineRule="auto"/>
        <w:rPr>
          <w:rFonts w:ascii="宋体" w:hAnsi="宋体" w:cs="宋体"/>
          <w:sz w:val="24"/>
          <w:highlight w:val="none"/>
        </w:rPr>
      </w:pPr>
      <w:r>
        <w:rPr>
          <w:rFonts w:hint="eastAsia" w:ascii="宋体" w:hAnsi="宋体" w:cs="宋体"/>
          <w:sz w:val="24"/>
          <w:highlight w:val="none"/>
        </w:rPr>
        <w:t>被投诉人2</w:t>
      </w:r>
    </w:p>
    <w:p w14:paraId="6F57A216">
      <w:pPr>
        <w:spacing w:line="360" w:lineRule="auto"/>
        <w:rPr>
          <w:rFonts w:ascii="宋体" w:hAnsi="宋体" w:cs="宋体"/>
          <w:sz w:val="24"/>
          <w:highlight w:val="none"/>
          <w:u w:val="dotted"/>
        </w:rPr>
      </w:pPr>
      <w:r>
        <w:rPr>
          <w:rFonts w:hint="eastAsia" w:ascii="宋体" w:hAnsi="宋体" w:cs="宋体"/>
          <w:sz w:val="24"/>
          <w:highlight w:val="none"/>
        </w:rPr>
        <w:t>……</w:t>
      </w:r>
    </w:p>
    <w:p w14:paraId="78203261">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8D466F5">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FA0DE04">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9070269">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5D503045">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7C9BE19C">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61214DCE">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A69C762">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3541FB73">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6221AB71">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669C463E">
      <w:pPr>
        <w:spacing w:line="360" w:lineRule="auto"/>
        <w:rPr>
          <w:rFonts w:ascii="宋体" w:hAnsi="宋体" w:cs="宋体"/>
          <w:sz w:val="24"/>
          <w:highlight w:val="none"/>
        </w:rPr>
      </w:pPr>
      <w:r>
        <w:rPr>
          <w:rFonts w:hint="eastAsia" w:ascii="宋体" w:hAnsi="宋体" w:cs="宋体"/>
          <w:sz w:val="24"/>
          <w:highlight w:val="none"/>
        </w:rPr>
        <w:t>三、质疑基本情况</w:t>
      </w:r>
    </w:p>
    <w:p w14:paraId="5D0C5437">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265222FD">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5A0CF46">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4DD71B28">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6C7B44D5">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4DB82E7B">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9F04F66">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3F3CC9A8">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06F5F96C">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539A7850">
      <w:pPr>
        <w:spacing w:line="360" w:lineRule="auto"/>
        <w:rPr>
          <w:rFonts w:ascii="宋体" w:hAnsi="宋体" w:cs="宋体"/>
          <w:sz w:val="24"/>
          <w:highlight w:val="none"/>
        </w:rPr>
      </w:pPr>
      <w:r>
        <w:rPr>
          <w:rFonts w:hint="eastAsia" w:ascii="宋体" w:hAnsi="宋体" w:cs="宋体"/>
          <w:sz w:val="24"/>
          <w:highlight w:val="none"/>
        </w:rPr>
        <w:t>投诉事项2</w:t>
      </w:r>
    </w:p>
    <w:p w14:paraId="7F9C7276">
      <w:pPr>
        <w:spacing w:line="360" w:lineRule="auto"/>
        <w:rPr>
          <w:rFonts w:ascii="宋体" w:hAnsi="宋体" w:cs="宋体"/>
          <w:sz w:val="24"/>
          <w:highlight w:val="none"/>
          <w:u w:val="dotted"/>
        </w:rPr>
      </w:pPr>
      <w:r>
        <w:rPr>
          <w:rFonts w:hint="eastAsia" w:ascii="宋体" w:hAnsi="宋体" w:cs="宋体"/>
          <w:sz w:val="24"/>
          <w:highlight w:val="none"/>
        </w:rPr>
        <w:t>……</w:t>
      </w:r>
    </w:p>
    <w:p w14:paraId="2F19C3BE">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1F61B5DD">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73559AB6">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2C9FF0EE">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6058C571">
      <w:pPr>
        <w:spacing w:line="360" w:lineRule="auto"/>
        <w:rPr>
          <w:rFonts w:ascii="宋体" w:hAnsi="宋体" w:cs="宋体"/>
          <w:sz w:val="24"/>
          <w:highlight w:val="none"/>
        </w:rPr>
      </w:pPr>
      <w:r>
        <w:rPr>
          <w:rFonts w:hint="eastAsia" w:ascii="宋体" w:hAnsi="宋体" w:cs="宋体"/>
          <w:sz w:val="24"/>
          <w:highlight w:val="none"/>
        </w:rPr>
        <w:t xml:space="preserve">日期：    </w:t>
      </w:r>
    </w:p>
    <w:p w14:paraId="15ACF529">
      <w:pPr>
        <w:spacing w:line="360" w:lineRule="auto"/>
        <w:rPr>
          <w:rFonts w:ascii="宋体" w:hAnsi="宋体" w:cs="宋体"/>
          <w:b/>
          <w:sz w:val="24"/>
          <w:highlight w:val="none"/>
        </w:rPr>
      </w:pPr>
    </w:p>
    <w:p w14:paraId="35F50237">
      <w:pPr>
        <w:spacing w:line="360" w:lineRule="auto"/>
        <w:rPr>
          <w:rFonts w:ascii="宋体" w:hAnsi="宋体" w:cs="宋体"/>
          <w:b/>
          <w:sz w:val="24"/>
          <w:highlight w:val="none"/>
        </w:rPr>
      </w:pPr>
    </w:p>
    <w:p w14:paraId="6F3106FA">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7E7B8EA6">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21951EFB">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4499DED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1889FC7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3923559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02E427A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0BE4AF67">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2FF50DD6">
      <w:pPr>
        <w:spacing w:line="360" w:lineRule="auto"/>
        <w:rPr>
          <w:rFonts w:ascii="宋体" w:hAnsi="宋体" w:cs="宋体"/>
          <w:b/>
          <w:sz w:val="24"/>
          <w:highlight w:val="none"/>
        </w:rPr>
      </w:pPr>
    </w:p>
    <w:p w14:paraId="651A4E01">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14:paraId="28B82657">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3F20DA0D">
      <w:pPr>
        <w:spacing w:line="360" w:lineRule="auto"/>
        <w:rPr>
          <w:rFonts w:ascii="宋体" w:hAnsi="宋体" w:cs="宋体"/>
          <w:sz w:val="24"/>
          <w:highlight w:val="none"/>
          <w:u w:val="single"/>
        </w:rPr>
      </w:pPr>
    </w:p>
    <w:p w14:paraId="4DB459D8">
      <w:pPr>
        <w:spacing w:line="360" w:lineRule="auto"/>
        <w:rPr>
          <w:rFonts w:ascii="宋体" w:hAnsi="宋体" w:cs="宋体"/>
          <w:sz w:val="24"/>
          <w:highlight w:val="none"/>
        </w:rPr>
      </w:pPr>
      <w:r>
        <w:rPr>
          <w:rFonts w:hint="eastAsia" w:ascii="宋体" w:hAnsi="宋体" w:cs="宋体"/>
          <w:sz w:val="24"/>
          <w:highlight w:val="none"/>
          <w:u w:val="single"/>
        </w:rPr>
        <w:t>浙江海洋大学、浙江科佳工程咨询有限公司：</w:t>
      </w:r>
    </w:p>
    <w:p w14:paraId="78B54C4D">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14:paraId="100C5DAD">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14:paraId="3A568C4B">
      <w:pPr>
        <w:spacing w:line="360" w:lineRule="auto"/>
        <w:ind w:firstLine="494"/>
        <w:rPr>
          <w:rFonts w:ascii="宋体" w:hAnsi="宋体" w:cs="宋体"/>
          <w:sz w:val="24"/>
          <w:highlight w:val="none"/>
        </w:rPr>
      </w:pPr>
    </w:p>
    <w:p w14:paraId="080BBCC7">
      <w:pPr>
        <w:spacing w:line="360" w:lineRule="auto"/>
        <w:ind w:firstLine="494"/>
        <w:rPr>
          <w:rFonts w:ascii="宋体" w:hAnsi="宋体" w:cs="宋体"/>
          <w:sz w:val="24"/>
          <w:highlight w:val="none"/>
        </w:rPr>
      </w:pPr>
    </w:p>
    <w:p w14:paraId="7485BF58">
      <w:pPr>
        <w:spacing w:line="360" w:lineRule="auto"/>
        <w:ind w:firstLine="494"/>
        <w:rPr>
          <w:rFonts w:ascii="宋体" w:hAnsi="宋体" w:cs="宋体"/>
          <w:sz w:val="24"/>
          <w:highlight w:val="none"/>
        </w:rPr>
      </w:pPr>
    </w:p>
    <w:p w14:paraId="2BEF4C33">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14:paraId="7937E8CD">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01064F10">
      <w:pPr>
        <w:rPr>
          <w:rFonts w:ascii="宋体" w:hAnsi="宋体" w:cs="宋体"/>
          <w:sz w:val="24"/>
          <w:highlight w:val="none"/>
        </w:rPr>
      </w:pPr>
      <w:r>
        <w:rPr>
          <w:rFonts w:hint="eastAsia" w:ascii="宋体" w:hAnsi="宋体" w:cs="宋体"/>
          <w:b/>
          <w:bCs/>
          <w:sz w:val="24"/>
          <w:highlight w:val="none"/>
        </w:rPr>
        <w:t>附：</w:t>
      </w:r>
    </w:p>
    <w:p w14:paraId="3AD1DFEC">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1" name="Rectangle 17"/>
                <wp:cNvGraphicFramePr/>
                <a:graphic xmlns:a="http://schemas.openxmlformats.org/drawingml/2006/main">
                  <a:graphicData uri="http://schemas.microsoft.com/office/word/2010/wordprocessingShape">
                    <wps:wsp>
                      <wps:cNvSpPr>
                        <a:spLocks noChangeArrowheads="1"/>
                      </wps:cNvSpPr>
                      <wps:spPr>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ZAPP9gAAAAKAQAADwAA&#10;AAAAAAABACAAAAAiAAAAZHJzL2Rvd25yZXYueG1sUEsBAhQAFAAAAAgAh07iQLslT6kWAgAAWgQA&#10;AA4AAAAAAAAAAQAgAAAAJwEAAGRycy9lMm9Eb2MueG1sUEsFBgAAAAAGAAYAWQEAAK8FA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2" name="Rectangle 16"/>
                <wp:cNvGraphicFramePr/>
                <a:graphic xmlns:a="http://schemas.openxmlformats.org/drawingml/2006/main">
                  <a:graphicData uri="http://schemas.microsoft.com/office/word/2010/wordprocessingShape">
                    <wps:wsp>
                      <wps:cNvSpPr>
                        <a:spLocks noChangeArrowheads="1"/>
                      </wps:cNvSpPr>
                      <wps:spPr>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YxHptgAAAAKAQAADwAA&#10;AAAAAAABACAAAAAiAAAAZHJzL2Rvd25yZXYueG1sUEsBAhQAFAAAAAgAh07iQKnJLowWAgAAWgQA&#10;AA4AAAAAAAAAAQAgAAAAJwEAAGRycy9lMm9Eb2MueG1sUEsFBgAAAAAGAAYAWQEAAK8FA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0F31085D">
      <w:pPr>
        <w:autoSpaceDE w:val="0"/>
        <w:autoSpaceDN w:val="0"/>
        <w:jc w:val="center"/>
        <w:rPr>
          <w:rFonts w:ascii="宋体" w:hAnsi="宋体" w:cs="宋体"/>
          <w:b/>
          <w:spacing w:val="6"/>
          <w:sz w:val="32"/>
          <w:szCs w:val="32"/>
          <w:highlight w:val="none"/>
        </w:rPr>
      </w:pPr>
    </w:p>
    <w:p w14:paraId="1C8A0618">
      <w:pPr>
        <w:autoSpaceDE w:val="0"/>
        <w:autoSpaceDN w:val="0"/>
        <w:jc w:val="center"/>
        <w:rPr>
          <w:rFonts w:ascii="宋体" w:hAnsi="宋体" w:cs="宋体"/>
          <w:b/>
          <w:spacing w:val="6"/>
          <w:sz w:val="32"/>
          <w:szCs w:val="32"/>
          <w:highlight w:val="none"/>
        </w:rPr>
      </w:pPr>
    </w:p>
    <w:p w14:paraId="08BBCA8F">
      <w:pPr>
        <w:autoSpaceDE w:val="0"/>
        <w:autoSpaceDN w:val="0"/>
        <w:jc w:val="center"/>
        <w:rPr>
          <w:rFonts w:ascii="宋体" w:hAnsi="宋体" w:cs="宋体"/>
          <w:b/>
          <w:spacing w:val="6"/>
          <w:sz w:val="32"/>
          <w:szCs w:val="32"/>
          <w:highlight w:val="none"/>
        </w:rPr>
      </w:pPr>
    </w:p>
    <w:p w14:paraId="41C537C9">
      <w:pPr>
        <w:autoSpaceDE w:val="0"/>
        <w:autoSpaceDN w:val="0"/>
        <w:jc w:val="center"/>
        <w:rPr>
          <w:rFonts w:ascii="宋体" w:hAnsi="宋体" w:cs="宋体"/>
          <w:b/>
          <w:spacing w:val="6"/>
          <w:sz w:val="32"/>
          <w:szCs w:val="32"/>
          <w:highlight w:val="none"/>
        </w:rPr>
      </w:pPr>
    </w:p>
    <w:p w14:paraId="25D260DE">
      <w:pPr>
        <w:autoSpaceDE w:val="0"/>
        <w:autoSpaceDN w:val="0"/>
        <w:jc w:val="center"/>
        <w:rPr>
          <w:rFonts w:ascii="宋体" w:hAnsi="宋体" w:cs="宋体"/>
          <w:b/>
          <w:spacing w:val="6"/>
          <w:sz w:val="32"/>
          <w:szCs w:val="32"/>
          <w:highlight w:val="none"/>
        </w:rPr>
      </w:pPr>
    </w:p>
    <w:p w14:paraId="61D87558">
      <w:pPr>
        <w:autoSpaceDE w:val="0"/>
        <w:autoSpaceDN w:val="0"/>
        <w:jc w:val="center"/>
        <w:rPr>
          <w:rFonts w:ascii="宋体" w:hAnsi="宋体" w:cs="宋体"/>
          <w:b/>
          <w:spacing w:val="6"/>
          <w:sz w:val="32"/>
          <w:szCs w:val="32"/>
          <w:highlight w:val="none"/>
        </w:rPr>
      </w:pPr>
    </w:p>
    <w:p w14:paraId="1624A2D0">
      <w:pPr>
        <w:autoSpaceDE w:val="0"/>
        <w:autoSpaceDN w:val="0"/>
        <w:jc w:val="center"/>
        <w:rPr>
          <w:rFonts w:ascii="宋体" w:hAnsi="宋体" w:cs="宋体"/>
          <w:b/>
          <w:spacing w:val="6"/>
          <w:sz w:val="32"/>
          <w:szCs w:val="32"/>
          <w:highlight w:val="none"/>
        </w:rPr>
      </w:pPr>
    </w:p>
    <w:p w14:paraId="0B7F1F62">
      <w:pPr>
        <w:autoSpaceDE w:val="0"/>
        <w:autoSpaceDN w:val="0"/>
        <w:jc w:val="center"/>
        <w:rPr>
          <w:rFonts w:ascii="宋体" w:hAnsi="宋体" w:cs="宋体"/>
          <w:b/>
          <w:spacing w:val="6"/>
          <w:sz w:val="32"/>
          <w:szCs w:val="32"/>
          <w:highlight w:val="none"/>
        </w:rPr>
      </w:pPr>
    </w:p>
    <w:p w14:paraId="63E5FAAE">
      <w:pPr>
        <w:autoSpaceDE w:val="0"/>
        <w:autoSpaceDN w:val="0"/>
        <w:jc w:val="center"/>
        <w:rPr>
          <w:rFonts w:ascii="宋体" w:hAnsi="宋体" w:cs="宋体"/>
          <w:b/>
          <w:spacing w:val="6"/>
          <w:sz w:val="32"/>
          <w:szCs w:val="32"/>
          <w:highlight w:val="none"/>
        </w:rPr>
      </w:pPr>
    </w:p>
    <w:p w14:paraId="277FB286">
      <w:pPr>
        <w:autoSpaceDE w:val="0"/>
        <w:autoSpaceDN w:val="0"/>
        <w:jc w:val="center"/>
        <w:rPr>
          <w:rFonts w:ascii="宋体" w:hAnsi="宋体" w:cs="宋体"/>
          <w:b/>
          <w:spacing w:val="6"/>
          <w:sz w:val="32"/>
          <w:szCs w:val="32"/>
          <w:highlight w:val="none"/>
        </w:rPr>
      </w:pPr>
    </w:p>
    <w:p w14:paraId="3EA13AEC">
      <w:pPr>
        <w:autoSpaceDE w:val="0"/>
        <w:autoSpaceDN w:val="0"/>
        <w:jc w:val="center"/>
        <w:rPr>
          <w:rFonts w:ascii="宋体" w:hAnsi="宋体" w:cs="宋体"/>
          <w:b/>
          <w:spacing w:val="6"/>
          <w:sz w:val="32"/>
          <w:szCs w:val="32"/>
          <w:highlight w:val="none"/>
        </w:rPr>
      </w:pPr>
    </w:p>
    <w:p w14:paraId="5D6B7096">
      <w:pPr>
        <w:autoSpaceDE w:val="0"/>
        <w:autoSpaceDN w:val="0"/>
        <w:jc w:val="center"/>
        <w:rPr>
          <w:rFonts w:ascii="宋体" w:hAnsi="宋体" w:cs="宋体"/>
          <w:b/>
          <w:spacing w:val="6"/>
          <w:sz w:val="32"/>
          <w:szCs w:val="32"/>
          <w:highlight w:val="none"/>
        </w:rPr>
      </w:pPr>
    </w:p>
    <w:p w14:paraId="2B23638E">
      <w:pPr>
        <w:autoSpaceDE w:val="0"/>
        <w:autoSpaceDN w:val="0"/>
        <w:jc w:val="center"/>
        <w:rPr>
          <w:rFonts w:ascii="宋体" w:hAnsi="宋体" w:cs="宋体"/>
          <w:b/>
          <w:spacing w:val="6"/>
          <w:sz w:val="32"/>
          <w:szCs w:val="32"/>
          <w:highlight w:val="none"/>
        </w:rPr>
      </w:pPr>
    </w:p>
    <w:p w14:paraId="7EA005A7">
      <w:pPr>
        <w:autoSpaceDE w:val="0"/>
        <w:autoSpaceDN w:val="0"/>
        <w:jc w:val="center"/>
        <w:rPr>
          <w:rFonts w:ascii="宋体" w:hAnsi="宋体" w:cs="宋体"/>
          <w:b/>
          <w:spacing w:val="6"/>
          <w:sz w:val="32"/>
          <w:szCs w:val="32"/>
          <w:highlight w:val="none"/>
        </w:rPr>
      </w:pPr>
    </w:p>
    <w:p w14:paraId="422063BD">
      <w:pPr>
        <w:autoSpaceDE w:val="0"/>
        <w:autoSpaceDN w:val="0"/>
        <w:jc w:val="center"/>
        <w:rPr>
          <w:rFonts w:ascii="宋体" w:hAnsi="宋体" w:cs="宋体"/>
          <w:b/>
          <w:spacing w:val="6"/>
          <w:sz w:val="32"/>
          <w:szCs w:val="32"/>
          <w:highlight w:val="none"/>
        </w:rPr>
      </w:pPr>
    </w:p>
    <w:p w14:paraId="7D26248C">
      <w:pPr>
        <w:autoSpaceDE w:val="0"/>
        <w:autoSpaceDN w:val="0"/>
        <w:jc w:val="center"/>
        <w:rPr>
          <w:rFonts w:ascii="宋体" w:hAnsi="宋体" w:cs="宋体"/>
          <w:b/>
          <w:spacing w:val="6"/>
          <w:sz w:val="32"/>
          <w:szCs w:val="32"/>
          <w:highlight w:val="none"/>
        </w:rPr>
      </w:pPr>
    </w:p>
    <w:p w14:paraId="0D358D61">
      <w:pPr>
        <w:rPr>
          <w:rFonts w:ascii="宋体" w:hAnsi="宋体" w:cs="宋体"/>
          <w:b/>
          <w:spacing w:val="6"/>
          <w:sz w:val="32"/>
          <w:szCs w:val="32"/>
          <w:highlight w:val="none"/>
        </w:rPr>
      </w:pPr>
      <w:r>
        <w:rPr>
          <w:rFonts w:hint="eastAsia" w:ascii="宋体" w:hAnsi="宋体" w:cs="宋体"/>
          <w:b/>
          <w:spacing w:val="6"/>
          <w:sz w:val="32"/>
          <w:szCs w:val="32"/>
          <w:highlight w:val="none"/>
        </w:rPr>
        <w:br w:type="page"/>
      </w:r>
    </w:p>
    <w:p w14:paraId="28CA093C">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附件5：联合协议</w:t>
      </w:r>
    </w:p>
    <w:p w14:paraId="43AE7D69">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14:paraId="7E33544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w:t>
      </w:r>
      <w:r>
        <w:rPr>
          <w:rFonts w:hint="eastAsia" w:ascii="宋体" w:hAnsi="宋体" w:cs="宋体"/>
          <w:kern w:val="0"/>
          <w:sz w:val="24"/>
          <w:highlight w:val="none"/>
          <w:lang w:val="zh-CN"/>
        </w:rPr>
        <w:t xml:space="preserve">投标。 </w:t>
      </w:r>
    </w:p>
    <w:p w14:paraId="5DE703BA">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14:paraId="00377799">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授权代表根据招标文件规定及投标内容而对采购人、采购代理机构所作的任何合法承诺，包括书面澄清及相应等均对联合投标各方产生约束力。</w:t>
      </w:r>
    </w:p>
    <w:p w14:paraId="11BA81F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三、本次联合投标中，分工如下：</w:t>
      </w:r>
    </w:p>
    <w:p w14:paraId="6F47ADD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4795ECFA">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（联合体成员2）</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46CA011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14:paraId="103A303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p>
    <w:p w14:paraId="27FF17E4">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（联合体成员X,……）</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4C285F85">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p>
    <w:p w14:paraId="0A2A4BC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14:paraId="06B68B0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14:paraId="5254FF8A">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14:paraId="3623E680">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14:paraId="03B671F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3、本协议提交采购人、采购代理机构后，联合体各方不得以任何形式对上述内容进行修改或撤销。</w:t>
      </w:r>
    </w:p>
    <w:p w14:paraId="0FF219F8">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523418FE">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163062CD">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4DE2D0BD">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3A7DF46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4B34E43C">
      <w:pPr>
        <w:autoSpaceDE w:val="0"/>
        <w:autoSpaceDN w:val="0"/>
        <w:jc w:val="center"/>
        <w:rPr>
          <w:rFonts w:ascii="宋体" w:hAnsi="宋体" w:cs="宋体"/>
          <w:b/>
          <w:spacing w:val="6"/>
          <w:sz w:val="32"/>
          <w:szCs w:val="32"/>
          <w:highlight w:val="none"/>
        </w:rPr>
      </w:pPr>
    </w:p>
    <w:p w14:paraId="4C680B6F">
      <w:pPr>
        <w:autoSpaceDE w:val="0"/>
        <w:autoSpaceDN w:val="0"/>
        <w:jc w:val="center"/>
        <w:rPr>
          <w:rFonts w:ascii="宋体" w:hAnsi="宋体" w:cs="宋体"/>
          <w:b/>
          <w:spacing w:val="6"/>
          <w:sz w:val="32"/>
          <w:szCs w:val="32"/>
          <w:highlight w:val="none"/>
        </w:rPr>
      </w:pPr>
    </w:p>
    <w:p w14:paraId="38FBB5C0">
      <w:pPr>
        <w:autoSpaceDE w:val="0"/>
        <w:autoSpaceDN w:val="0"/>
        <w:jc w:val="center"/>
        <w:rPr>
          <w:rFonts w:ascii="宋体" w:hAnsi="宋体" w:cs="宋体"/>
          <w:b/>
          <w:spacing w:val="6"/>
          <w:sz w:val="32"/>
          <w:szCs w:val="32"/>
          <w:highlight w:val="none"/>
        </w:rPr>
      </w:pPr>
    </w:p>
    <w:p w14:paraId="6DECA42A">
      <w:pPr>
        <w:autoSpaceDE w:val="0"/>
        <w:autoSpaceDN w:val="0"/>
        <w:jc w:val="center"/>
        <w:rPr>
          <w:rFonts w:ascii="宋体" w:hAnsi="宋体" w:cs="宋体"/>
          <w:b/>
          <w:spacing w:val="6"/>
          <w:sz w:val="32"/>
          <w:szCs w:val="32"/>
          <w:highlight w:val="none"/>
        </w:rPr>
      </w:pPr>
    </w:p>
    <w:p w14:paraId="2F7A3914">
      <w:pPr>
        <w:autoSpaceDE w:val="0"/>
        <w:autoSpaceDN w:val="0"/>
        <w:jc w:val="center"/>
        <w:rPr>
          <w:rFonts w:ascii="宋体" w:hAnsi="宋体" w:cs="宋体"/>
          <w:b/>
          <w:spacing w:val="6"/>
          <w:sz w:val="32"/>
          <w:szCs w:val="32"/>
          <w:highlight w:val="none"/>
        </w:rPr>
      </w:pPr>
    </w:p>
    <w:p w14:paraId="514705CC">
      <w:pPr>
        <w:autoSpaceDE w:val="0"/>
        <w:autoSpaceDN w:val="0"/>
        <w:jc w:val="center"/>
        <w:rPr>
          <w:rFonts w:ascii="宋体" w:hAnsi="宋体" w:cs="宋体"/>
          <w:b/>
          <w:spacing w:val="6"/>
          <w:sz w:val="32"/>
          <w:szCs w:val="32"/>
          <w:highlight w:val="none"/>
        </w:rPr>
      </w:pPr>
    </w:p>
    <w:p w14:paraId="5F91EC24">
      <w:pPr>
        <w:autoSpaceDE w:val="0"/>
        <w:autoSpaceDN w:val="0"/>
        <w:jc w:val="center"/>
        <w:rPr>
          <w:rFonts w:ascii="宋体" w:hAnsi="宋体" w:cs="宋体"/>
          <w:b/>
          <w:spacing w:val="6"/>
          <w:sz w:val="32"/>
          <w:szCs w:val="32"/>
          <w:highlight w:val="none"/>
        </w:rPr>
      </w:pPr>
    </w:p>
    <w:p w14:paraId="57BAA461">
      <w:pPr>
        <w:autoSpaceDE w:val="0"/>
        <w:autoSpaceDN w:val="0"/>
        <w:jc w:val="center"/>
        <w:rPr>
          <w:rFonts w:ascii="宋体" w:hAnsi="宋体" w:cs="宋体"/>
          <w:b/>
          <w:spacing w:val="6"/>
          <w:sz w:val="32"/>
          <w:szCs w:val="32"/>
          <w:highlight w:val="none"/>
        </w:rPr>
      </w:pPr>
    </w:p>
    <w:p w14:paraId="4F912547">
      <w:pPr>
        <w:autoSpaceDE w:val="0"/>
        <w:autoSpaceDN w:val="0"/>
        <w:jc w:val="center"/>
        <w:rPr>
          <w:rFonts w:ascii="宋体" w:hAnsi="宋体" w:cs="宋体"/>
          <w:b/>
          <w:spacing w:val="6"/>
          <w:sz w:val="32"/>
          <w:szCs w:val="32"/>
          <w:highlight w:val="none"/>
        </w:rPr>
      </w:pPr>
    </w:p>
    <w:p w14:paraId="7C79753C">
      <w:pPr>
        <w:autoSpaceDE w:val="0"/>
        <w:autoSpaceDN w:val="0"/>
        <w:jc w:val="center"/>
        <w:rPr>
          <w:rFonts w:ascii="宋体" w:hAnsi="宋体" w:cs="宋体"/>
          <w:b/>
          <w:spacing w:val="6"/>
          <w:sz w:val="32"/>
          <w:szCs w:val="32"/>
          <w:highlight w:val="none"/>
        </w:rPr>
      </w:pPr>
    </w:p>
    <w:p w14:paraId="051EDB0E">
      <w:pPr>
        <w:autoSpaceDE w:val="0"/>
        <w:autoSpaceDN w:val="0"/>
        <w:jc w:val="center"/>
        <w:rPr>
          <w:rFonts w:ascii="宋体" w:hAnsi="宋体" w:cs="宋体"/>
          <w:b/>
          <w:spacing w:val="6"/>
          <w:sz w:val="32"/>
          <w:szCs w:val="32"/>
          <w:highlight w:val="none"/>
        </w:rPr>
      </w:pPr>
    </w:p>
    <w:p w14:paraId="55CB44B4">
      <w:pPr>
        <w:autoSpaceDE w:val="0"/>
        <w:autoSpaceDN w:val="0"/>
        <w:jc w:val="center"/>
        <w:rPr>
          <w:rFonts w:ascii="宋体" w:hAnsi="宋体" w:cs="宋体"/>
          <w:b/>
          <w:spacing w:val="6"/>
          <w:sz w:val="32"/>
          <w:szCs w:val="32"/>
          <w:highlight w:val="none"/>
        </w:rPr>
      </w:pPr>
    </w:p>
    <w:p w14:paraId="42343B0E">
      <w:pPr>
        <w:autoSpaceDE w:val="0"/>
        <w:autoSpaceDN w:val="0"/>
        <w:jc w:val="center"/>
        <w:rPr>
          <w:rFonts w:ascii="宋体" w:hAnsi="宋体" w:cs="宋体"/>
          <w:b/>
          <w:spacing w:val="6"/>
          <w:sz w:val="32"/>
          <w:szCs w:val="32"/>
          <w:highlight w:val="none"/>
        </w:rPr>
      </w:pPr>
    </w:p>
    <w:p w14:paraId="7C094EA9">
      <w:pPr>
        <w:autoSpaceDE w:val="0"/>
        <w:autoSpaceDN w:val="0"/>
        <w:jc w:val="center"/>
        <w:rPr>
          <w:rFonts w:ascii="宋体" w:hAnsi="宋体" w:cs="宋体"/>
          <w:b/>
          <w:spacing w:val="6"/>
          <w:sz w:val="32"/>
          <w:szCs w:val="32"/>
          <w:highlight w:val="none"/>
        </w:rPr>
      </w:pPr>
    </w:p>
    <w:p w14:paraId="4D06F563">
      <w:pPr>
        <w:autoSpaceDE w:val="0"/>
        <w:autoSpaceDN w:val="0"/>
        <w:jc w:val="center"/>
        <w:rPr>
          <w:rFonts w:ascii="宋体" w:hAnsi="宋体" w:cs="宋体"/>
          <w:b/>
          <w:spacing w:val="6"/>
          <w:sz w:val="32"/>
          <w:szCs w:val="32"/>
          <w:highlight w:val="none"/>
        </w:rPr>
      </w:pPr>
    </w:p>
    <w:p w14:paraId="5F4D6A63">
      <w:pPr>
        <w:autoSpaceDE w:val="0"/>
        <w:autoSpaceDN w:val="0"/>
        <w:jc w:val="center"/>
        <w:rPr>
          <w:rFonts w:ascii="宋体" w:hAnsi="宋体" w:cs="宋体"/>
          <w:b/>
          <w:spacing w:val="6"/>
          <w:sz w:val="32"/>
          <w:szCs w:val="32"/>
          <w:highlight w:val="none"/>
        </w:rPr>
      </w:pPr>
    </w:p>
    <w:p w14:paraId="5699BFE9">
      <w:pPr>
        <w:autoSpaceDE w:val="0"/>
        <w:autoSpaceDN w:val="0"/>
        <w:jc w:val="center"/>
        <w:rPr>
          <w:rFonts w:ascii="宋体" w:hAnsi="宋体" w:cs="宋体"/>
          <w:b/>
          <w:spacing w:val="6"/>
          <w:sz w:val="32"/>
          <w:szCs w:val="32"/>
          <w:highlight w:val="none"/>
        </w:rPr>
      </w:pPr>
    </w:p>
    <w:p w14:paraId="79C7CDD4">
      <w:pPr>
        <w:autoSpaceDE w:val="0"/>
        <w:autoSpaceDN w:val="0"/>
        <w:jc w:val="center"/>
        <w:rPr>
          <w:rFonts w:ascii="宋体" w:hAnsi="宋体" w:cs="宋体"/>
          <w:b/>
          <w:spacing w:val="6"/>
          <w:sz w:val="32"/>
          <w:szCs w:val="32"/>
          <w:highlight w:val="none"/>
        </w:rPr>
      </w:pPr>
    </w:p>
    <w:p w14:paraId="094D93FA">
      <w:pPr>
        <w:autoSpaceDE w:val="0"/>
        <w:autoSpaceDN w:val="0"/>
        <w:jc w:val="center"/>
        <w:rPr>
          <w:rFonts w:ascii="宋体" w:hAnsi="宋体" w:cs="宋体"/>
          <w:b/>
          <w:spacing w:val="6"/>
          <w:sz w:val="32"/>
          <w:szCs w:val="32"/>
          <w:highlight w:val="none"/>
        </w:rPr>
      </w:pPr>
    </w:p>
    <w:p w14:paraId="057F3E28">
      <w:pPr>
        <w:autoSpaceDE w:val="0"/>
        <w:autoSpaceDN w:val="0"/>
        <w:jc w:val="center"/>
        <w:rPr>
          <w:rFonts w:ascii="宋体" w:hAnsi="宋体" w:cs="宋体"/>
          <w:b/>
          <w:spacing w:val="6"/>
          <w:sz w:val="32"/>
          <w:szCs w:val="32"/>
          <w:highlight w:val="none"/>
        </w:rPr>
      </w:pPr>
    </w:p>
    <w:p w14:paraId="78C1EAB6">
      <w:pPr>
        <w:autoSpaceDE w:val="0"/>
        <w:autoSpaceDN w:val="0"/>
        <w:jc w:val="center"/>
        <w:rPr>
          <w:rFonts w:ascii="宋体" w:hAnsi="宋体" w:cs="宋体"/>
          <w:b/>
          <w:spacing w:val="6"/>
          <w:sz w:val="32"/>
          <w:szCs w:val="32"/>
          <w:highlight w:val="none"/>
        </w:rPr>
      </w:pPr>
    </w:p>
    <w:p w14:paraId="0F6CB8F6">
      <w:pPr>
        <w:autoSpaceDE w:val="0"/>
        <w:autoSpaceDN w:val="0"/>
        <w:jc w:val="center"/>
        <w:rPr>
          <w:rFonts w:ascii="宋体" w:hAnsi="宋体" w:cs="宋体"/>
          <w:b/>
          <w:spacing w:val="6"/>
          <w:sz w:val="32"/>
          <w:szCs w:val="32"/>
          <w:highlight w:val="none"/>
        </w:rPr>
      </w:pPr>
    </w:p>
    <w:p w14:paraId="2CAC06A8">
      <w:pPr>
        <w:autoSpaceDE w:val="0"/>
        <w:autoSpaceDN w:val="0"/>
        <w:jc w:val="center"/>
        <w:rPr>
          <w:rFonts w:ascii="宋体" w:hAnsi="宋体" w:cs="宋体"/>
          <w:b/>
          <w:spacing w:val="6"/>
          <w:sz w:val="32"/>
          <w:szCs w:val="32"/>
          <w:highlight w:val="none"/>
        </w:rPr>
      </w:pPr>
    </w:p>
    <w:p w14:paraId="31EAB7BA">
      <w:pPr>
        <w:autoSpaceDE w:val="0"/>
        <w:autoSpaceDN w:val="0"/>
        <w:jc w:val="center"/>
        <w:rPr>
          <w:rFonts w:ascii="宋体" w:hAnsi="宋体" w:cs="宋体"/>
          <w:b/>
          <w:spacing w:val="6"/>
          <w:sz w:val="32"/>
          <w:szCs w:val="32"/>
          <w:highlight w:val="none"/>
        </w:rPr>
      </w:pPr>
    </w:p>
    <w:p w14:paraId="587A00E8">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AE5F29F">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附件6：分包意向协议</w:t>
      </w:r>
    </w:p>
    <w:p w14:paraId="68457B3A">
      <w:pPr>
        <w:widowControl/>
        <w:snapToGrid w:val="0"/>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14:paraId="0512921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sz w:val="24"/>
          <w:highlight w:val="none"/>
          <w:lang w:eastAsia="zh-CN"/>
        </w:rPr>
        <w:t>比萨学院实验室设备采购</w:t>
      </w:r>
      <w:r>
        <w:rPr>
          <w:rFonts w:hint="eastAsia" w:ascii="宋体" w:hAnsi="宋体" w:cs="宋体"/>
          <w:sz w:val="24"/>
          <w:highlight w:val="none"/>
        </w:rPr>
        <w:t>【招标编号：XXXXXXXX】</w:t>
      </w:r>
      <w:r>
        <w:rPr>
          <w:rFonts w:hint="eastAsia" w:ascii="宋体" w:hAnsi="宋体" w:cs="宋体"/>
          <w:kern w:val="0"/>
          <w:sz w:val="24"/>
          <w:highlight w:val="none"/>
          <w:lang w:val="zh-CN"/>
        </w:rPr>
        <w:t>的中标人，将依法采取分包方式履行合同。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14:paraId="10CBDA4A">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一、分包标的及数量</w:t>
      </w:r>
    </w:p>
    <w:p w14:paraId="2DD440CC">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hint="eastAsia"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w:t>
      </w:r>
      <w:r>
        <w:rPr>
          <w:rFonts w:hint="eastAsia" w:ascii="宋体" w:hAnsi="宋体" w:cs="宋体"/>
          <w:kern w:val="0"/>
          <w:sz w:val="24"/>
          <w:highlight w:val="none"/>
          <w:u w:val="single"/>
        </w:rPr>
        <w:t>（分包供应商1名称），</w:t>
      </w:r>
      <w:r>
        <w:rPr>
          <w:rFonts w:hint="eastAsia" w:ascii="宋体" w:hAnsi="宋体" w:cs="宋体"/>
          <w:kern w:val="0"/>
          <w:sz w:val="24"/>
          <w:highlight w:val="none"/>
          <w:lang w:val="zh-CN"/>
        </w:rPr>
        <w:t>具备承</w:t>
      </w:r>
      <w:r>
        <w:rPr>
          <w:rFonts w:hint="eastAsia" w:ascii="宋体" w:hAnsi="宋体" w:cs="宋体"/>
          <w:kern w:val="0"/>
          <w:sz w:val="24"/>
          <w:highlight w:val="none"/>
        </w:rPr>
        <w:t>担</w:t>
      </w:r>
      <w:r>
        <w:rPr>
          <w:rFonts w:hint="eastAsia" w:ascii="宋体" w:hAnsi="宋体" w:cs="宋体"/>
          <w:kern w:val="0"/>
          <w:sz w:val="24"/>
          <w:highlight w:val="none"/>
          <w:u w:val="single"/>
          <w:lang w:val="zh-CN"/>
        </w:rPr>
        <w:t>XX工作内容</w:t>
      </w:r>
      <w:r>
        <w:rPr>
          <w:rFonts w:hint="eastAsia" w:ascii="宋体" w:hAnsi="宋体" w:cs="宋体"/>
          <w:kern w:val="0"/>
          <w:sz w:val="24"/>
          <w:highlight w:val="none"/>
          <w:lang w:val="zh-CN"/>
        </w:rPr>
        <w:t>相应资质条件且不得再次分包；</w:t>
      </w:r>
    </w:p>
    <w:p w14:paraId="7AA42600">
      <w:pPr>
        <w:snapToGrid w:val="0"/>
        <w:spacing w:line="360" w:lineRule="auto"/>
        <w:ind w:firstLine="576"/>
        <w:rPr>
          <w:rFonts w:ascii="宋体" w:hAnsi="宋体" w:cs="宋体"/>
          <w:highlight w:val="none"/>
        </w:rPr>
      </w:pPr>
      <w:r>
        <w:rPr>
          <w:rFonts w:hint="eastAsia" w:ascii="宋体" w:hAnsi="宋体" w:cs="宋体"/>
          <w:highlight w:val="none"/>
        </w:rPr>
        <w:t>……</w:t>
      </w:r>
    </w:p>
    <w:p w14:paraId="3D9927A3">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14:paraId="3A4E3F0C">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rPr>
        <w:t>1、</w:t>
      </w:r>
      <w:r>
        <w:rPr>
          <w:rFonts w:hint="eastAsia" w:ascii="宋体" w:hAnsi="宋体" w:cs="宋体"/>
          <w:kern w:val="0"/>
          <w:sz w:val="24"/>
          <w:highlight w:val="none"/>
          <w:u w:val="single"/>
        </w:rPr>
        <w:t>（分包供应商X,……）提供的货物全部由小微企业制造，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12E8EC44">
      <w:pPr>
        <w:snapToGrid w:val="0"/>
        <w:spacing w:line="360" w:lineRule="auto"/>
        <w:ind w:firstLine="480" w:firstLineChars="200"/>
        <w:rPr>
          <w:rFonts w:ascii="宋体" w:hAnsi="宋体" w:cs="宋体"/>
          <w:b/>
          <w:bCs/>
          <w:kern w:val="0"/>
          <w:sz w:val="24"/>
          <w:highlight w:val="none"/>
          <w:lang w:val="zh-CN"/>
        </w:rPr>
      </w:pPr>
      <w:bookmarkStart w:id="421" w:name="_Hlk101133173"/>
      <w:bookmarkEnd w:id="421"/>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14:paraId="1A69D755">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14:paraId="052CDFCB">
      <w:pPr>
        <w:snapToGrid w:val="0"/>
        <w:spacing w:line="360" w:lineRule="auto"/>
        <w:ind w:firstLine="576"/>
        <w:rPr>
          <w:rFonts w:ascii="宋体" w:hAnsi="宋体" w:cs="宋体"/>
          <w:sz w:val="24"/>
          <w:highlight w:val="none"/>
          <w:u w:val="single"/>
        </w:rPr>
      </w:pPr>
      <w:r>
        <w:rPr>
          <w:rFonts w:hint="eastAsia" w:ascii="宋体" w:hAnsi="宋体" w:cs="宋体"/>
          <w:sz w:val="24"/>
          <w:highlight w:val="none"/>
          <w:u w:val="single"/>
        </w:rPr>
        <w:t xml:space="preserve">                                                                                  </w:t>
      </w:r>
    </w:p>
    <w:p w14:paraId="74926D33">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14:paraId="7A245E29">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u w:val="single"/>
        </w:rPr>
        <w:t xml:space="preserve">                                                                                       </w:t>
      </w:r>
    </w:p>
    <w:p w14:paraId="286BF19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14:paraId="402903AD">
      <w:pPr>
        <w:snapToGrid w:val="0"/>
        <w:spacing w:line="360" w:lineRule="auto"/>
        <w:ind w:left="573" w:leftChars="273"/>
        <w:rPr>
          <w:rFonts w:ascii="宋体" w:hAnsi="宋体" w:cs="宋体"/>
          <w:kern w:val="0"/>
          <w:sz w:val="24"/>
          <w:highlight w:val="none"/>
          <w:lang w:val="zh-CN"/>
        </w:rPr>
      </w:pPr>
      <w:r>
        <w:rPr>
          <w:rFonts w:hint="eastAsia" w:ascii="宋体" w:hAnsi="宋体" w:cs="宋体"/>
          <w:sz w:val="24"/>
          <w:highlight w:val="none"/>
          <w:u w:val="single"/>
        </w:rPr>
        <w:t xml:space="preserve">                                                                                     </w:t>
      </w:r>
    </w:p>
    <w:p w14:paraId="1BD4C89C">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14:paraId="06FBB77E">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u w:val="single"/>
        </w:rPr>
        <w:t xml:space="preserve">                                                                                     </w:t>
      </w:r>
    </w:p>
    <w:p w14:paraId="51D08210">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14:paraId="7760ED1C">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u w:val="single"/>
        </w:rPr>
        <w:t xml:space="preserve">                                                                                  </w:t>
      </w:r>
    </w:p>
    <w:p w14:paraId="7D6F59EF">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w:t>
      </w:r>
    </w:p>
    <w:p w14:paraId="3C4F9A2B">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分包供应商名称(电子签名/公章)：</w:t>
      </w:r>
    </w:p>
    <w:p w14:paraId="577A3AF1">
      <w:pPr>
        <w:snapToGrid w:val="0"/>
        <w:spacing w:line="360" w:lineRule="auto"/>
        <w:ind w:firstLine="5760" w:firstLineChars="2400"/>
        <w:rPr>
          <w:rFonts w:ascii="宋体" w:hAnsi="宋体" w:cs="宋体"/>
          <w:sz w:val="24"/>
          <w:highlight w:val="none"/>
        </w:rPr>
      </w:pPr>
      <w:r>
        <w:rPr>
          <w:rFonts w:hint="eastAsia" w:ascii="宋体" w:hAnsi="宋体" w:cs="宋体"/>
          <w:kern w:val="0"/>
          <w:sz w:val="24"/>
          <w:highlight w:val="none"/>
          <w:lang w:val="zh-CN"/>
        </w:rPr>
        <w:t>……</w:t>
      </w:r>
    </w:p>
    <w:p w14:paraId="28FAB5E7">
      <w:pPr>
        <w:snapToGrid w:val="0"/>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3864102">
      <w:pPr>
        <w:snapToGrid w:val="0"/>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22BFA10B">
      <w:pPr>
        <w:autoSpaceDE w:val="0"/>
        <w:autoSpaceDN w:val="0"/>
        <w:jc w:val="center"/>
        <w:rPr>
          <w:rFonts w:ascii="宋体" w:hAnsi="宋体" w:cs="宋体"/>
          <w:b/>
          <w:spacing w:val="6"/>
          <w:sz w:val="32"/>
          <w:szCs w:val="32"/>
          <w:highlight w:val="none"/>
        </w:rPr>
      </w:pPr>
    </w:p>
    <w:p w14:paraId="4784D4CC">
      <w:pPr>
        <w:autoSpaceDE w:val="0"/>
        <w:autoSpaceDN w:val="0"/>
        <w:jc w:val="center"/>
        <w:rPr>
          <w:rFonts w:ascii="宋体" w:hAnsi="宋体" w:cs="宋体"/>
          <w:b/>
          <w:spacing w:val="6"/>
          <w:sz w:val="32"/>
          <w:szCs w:val="32"/>
          <w:highlight w:val="none"/>
        </w:rPr>
      </w:pPr>
    </w:p>
    <w:p w14:paraId="2B64A720">
      <w:pPr>
        <w:autoSpaceDE w:val="0"/>
        <w:autoSpaceDN w:val="0"/>
        <w:jc w:val="center"/>
        <w:rPr>
          <w:rFonts w:ascii="宋体" w:hAnsi="宋体" w:cs="宋体"/>
          <w:b/>
          <w:spacing w:val="6"/>
          <w:sz w:val="32"/>
          <w:szCs w:val="32"/>
          <w:highlight w:val="none"/>
        </w:rPr>
      </w:pPr>
    </w:p>
    <w:p w14:paraId="59117067">
      <w:pPr>
        <w:autoSpaceDE w:val="0"/>
        <w:autoSpaceDN w:val="0"/>
        <w:jc w:val="center"/>
        <w:rPr>
          <w:rFonts w:ascii="宋体" w:hAnsi="宋体" w:cs="宋体"/>
          <w:b/>
          <w:spacing w:val="6"/>
          <w:sz w:val="32"/>
          <w:szCs w:val="32"/>
          <w:highlight w:val="none"/>
        </w:rPr>
      </w:pPr>
    </w:p>
    <w:p w14:paraId="65CD9A61">
      <w:pPr>
        <w:autoSpaceDE w:val="0"/>
        <w:autoSpaceDN w:val="0"/>
        <w:jc w:val="center"/>
        <w:rPr>
          <w:rFonts w:ascii="宋体" w:hAnsi="宋体" w:cs="宋体"/>
          <w:b/>
          <w:spacing w:val="6"/>
          <w:sz w:val="32"/>
          <w:szCs w:val="32"/>
          <w:highlight w:val="none"/>
        </w:rPr>
      </w:pPr>
    </w:p>
    <w:p w14:paraId="5C91FA4B">
      <w:pPr>
        <w:autoSpaceDE w:val="0"/>
        <w:autoSpaceDN w:val="0"/>
        <w:jc w:val="center"/>
        <w:rPr>
          <w:rFonts w:ascii="宋体" w:hAnsi="宋体" w:cs="宋体"/>
          <w:b/>
          <w:spacing w:val="6"/>
          <w:sz w:val="32"/>
          <w:szCs w:val="32"/>
          <w:highlight w:val="none"/>
        </w:rPr>
      </w:pPr>
    </w:p>
    <w:p w14:paraId="0D2A82EE">
      <w:pPr>
        <w:autoSpaceDE w:val="0"/>
        <w:autoSpaceDN w:val="0"/>
        <w:jc w:val="center"/>
        <w:rPr>
          <w:rFonts w:ascii="宋体" w:hAnsi="宋体" w:cs="宋体"/>
          <w:b/>
          <w:spacing w:val="6"/>
          <w:sz w:val="32"/>
          <w:szCs w:val="32"/>
          <w:highlight w:val="none"/>
        </w:rPr>
      </w:pPr>
    </w:p>
    <w:p w14:paraId="1CE619FC">
      <w:pPr>
        <w:autoSpaceDE w:val="0"/>
        <w:autoSpaceDN w:val="0"/>
        <w:jc w:val="center"/>
        <w:rPr>
          <w:rFonts w:ascii="宋体" w:hAnsi="宋体" w:cs="宋体"/>
          <w:b/>
          <w:spacing w:val="6"/>
          <w:sz w:val="32"/>
          <w:szCs w:val="32"/>
          <w:highlight w:val="none"/>
        </w:rPr>
      </w:pPr>
    </w:p>
    <w:p w14:paraId="1049A622">
      <w:pPr>
        <w:autoSpaceDE w:val="0"/>
        <w:autoSpaceDN w:val="0"/>
        <w:jc w:val="center"/>
        <w:rPr>
          <w:rFonts w:ascii="宋体" w:hAnsi="宋体" w:cs="宋体"/>
          <w:b/>
          <w:spacing w:val="6"/>
          <w:sz w:val="32"/>
          <w:szCs w:val="32"/>
          <w:highlight w:val="none"/>
        </w:rPr>
      </w:pPr>
    </w:p>
    <w:p w14:paraId="6555AD19">
      <w:pPr>
        <w:autoSpaceDE w:val="0"/>
        <w:autoSpaceDN w:val="0"/>
        <w:jc w:val="center"/>
        <w:rPr>
          <w:rFonts w:ascii="宋体" w:hAnsi="宋体" w:cs="宋体"/>
          <w:b/>
          <w:spacing w:val="6"/>
          <w:sz w:val="32"/>
          <w:szCs w:val="32"/>
          <w:highlight w:val="none"/>
        </w:rPr>
      </w:pPr>
    </w:p>
    <w:p w14:paraId="34F3E7C9">
      <w:pPr>
        <w:autoSpaceDE w:val="0"/>
        <w:autoSpaceDN w:val="0"/>
        <w:jc w:val="center"/>
        <w:rPr>
          <w:rFonts w:ascii="宋体" w:hAnsi="宋体" w:cs="宋体"/>
          <w:b/>
          <w:spacing w:val="6"/>
          <w:sz w:val="32"/>
          <w:szCs w:val="32"/>
          <w:highlight w:val="none"/>
        </w:rPr>
      </w:pPr>
    </w:p>
    <w:p w14:paraId="7199E2FE">
      <w:pPr>
        <w:autoSpaceDE w:val="0"/>
        <w:autoSpaceDN w:val="0"/>
        <w:jc w:val="center"/>
        <w:rPr>
          <w:rFonts w:ascii="宋体" w:hAnsi="宋体" w:cs="宋体"/>
          <w:b/>
          <w:spacing w:val="6"/>
          <w:sz w:val="32"/>
          <w:szCs w:val="32"/>
          <w:highlight w:val="none"/>
        </w:rPr>
      </w:pPr>
    </w:p>
    <w:p w14:paraId="0CFDBF06">
      <w:pPr>
        <w:autoSpaceDE w:val="0"/>
        <w:autoSpaceDN w:val="0"/>
        <w:jc w:val="center"/>
        <w:rPr>
          <w:rFonts w:ascii="宋体" w:hAnsi="宋体" w:cs="宋体"/>
          <w:b/>
          <w:spacing w:val="6"/>
          <w:sz w:val="32"/>
          <w:szCs w:val="32"/>
          <w:highlight w:val="none"/>
        </w:rPr>
      </w:pPr>
    </w:p>
    <w:p w14:paraId="60D57FFE">
      <w:pPr>
        <w:autoSpaceDE w:val="0"/>
        <w:autoSpaceDN w:val="0"/>
        <w:jc w:val="center"/>
        <w:rPr>
          <w:rFonts w:ascii="宋体" w:hAnsi="宋体" w:cs="宋体"/>
          <w:b/>
          <w:spacing w:val="6"/>
          <w:sz w:val="32"/>
          <w:szCs w:val="32"/>
          <w:highlight w:val="none"/>
        </w:rPr>
      </w:pPr>
    </w:p>
    <w:p w14:paraId="46752496">
      <w:pPr>
        <w:autoSpaceDE w:val="0"/>
        <w:autoSpaceDN w:val="0"/>
        <w:jc w:val="center"/>
        <w:rPr>
          <w:rFonts w:ascii="宋体" w:hAnsi="宋体" w:cs="宋体"/>
          <w:b/>
          <w:spacing w:val="6"/>
          <w:sz w:val="32"/>
          <w:szCs w:val="32"/>
          <w:highlight w:val="none"/>
        </w:rPr>
      </w:pPr>
    </w:p>
    <w:p w14:paraId="5C484939">
      <w:pPr>
        <w:autoSpaceDE w:val="0"/>
        <w:autoSpaceDN w:val="0"/>
        <w:jc w:val="center"/>
        <w:rPr>
          <w:rFonts w:ascii="宋体" w:hAnsi="宋体" w:cs="宋体"/>
          <w:b/>
          <w:spacing w:val="6"/>
          <w:sz w:val="32"/>
          <w:szCs w:val="32"/>
          <w:highlight w:val="none"/>
        </w:rPr>
      </w:pPr>
    </w:p>
    <w:p w14:paraId="35B196A1">
      <w:pPr>
        <w:autoSpaceDE w:val="0"/>
        <w:autoSpaceDN w:val="0"/>
        <w:jc w:val="center"/>
        <w:rPr>
          <w:rFonts w:ascii="宋体" w:hAnsi="宋体" w:cs="宋体"/>
          <w:b/>
          <w:spacing w:val="6"/>
          <w:sz w:val="32"/>
          <w:szCs w:val="32"/>
          <w:highlight w:val="none"/>
        </w:rPr>
      </w:pPr>
    </w:p>
    <w:p w14:paraId="4043FD81">
      <w:pPr>
        <w:autoSpaceDE w:val="0"/>
        <w:autoSpaceDN w:val="0"/>
        <w:jc w:val="center"/>
        <w:rPr>
          <w:rFonts w:ascii="宋体" w:hAnsi="宋体" w:cs="宋体"/>
          <w:b/>
          <w:spacing w:val="6"/>
          <w:sz w:val="32"/>
          <w:szCs w:val="32"/>
          <w:highlight w:val="none"/>
        </w:rPr>
      </w:pPr>
    </w:p>
    <w:p w14:paraId="32D538E9">
      <w:pPr>
        <w:autoSpaceDE w:val="0"/>
        <w:autoSpaceDN w:val="0"/>
        <w:jc w:val="center"/>
        <w:rPr>
          <w:rFonts w:ascii="宋体" w:hAnsi="宋体" w:cs="宋体"/>
          <w:b/>
          <w:spacing w:val="6"/>
          <w:sz w:val="32"/>
          <w:szCs w:val="32"/>
          <w:highlight w:val="none"/>
        </w:rPr>
      </w:pPr>
    </w:p>
    <w:p w14:paraId="46E97A95">
      <w:pPr>
        <w:autoSpaceDE w:val="0"/>
        <w:autoSpaceDN w:val="0"/>
        <w:jc w:val="center"/>
        <w:rPr>
          <w:rFonts w:ascii="宋体" w:hAnsi="宋体" w:cs="宋体"/>
          <w:b/>
          <w:spacing w:val="6"/>
          <w:sz w:val="32"/>
          <w:szCs w:val="32"/>
          <w:highlight w:val="none"/>
        </w:rPr>
      </w:pPr>
    </w:p>
    <w:p w14:paraId="08A0BA2C">
      <w:pPr>
        <w:autoSpaceDE w:val="0"/>
        <w:autoSpaceDN w:val="0"/>
        <w:jc w:val="center"/>
        <w:rPr>
          <w:rFonts w:ascii="宋体" w:hAnsi="宋体" w:cs="宋体"/>
          <w:b/>
          <w:spacing w:val="6"/>
          <w:sz w:val="32"/>
          <w:szCs w:val="32"/>
          <w:highlight w:val="none"/>
        </w:rPr>
      </w:pPr>
    </w:p>
    <w:p w14:paraId="21F25FA6">
      <w:pPr>
        <w:autoSpaceDE w:val="0"/>
        <w:autoSpaceDN w:val="0"/>
        <w:jc w:val="center"/>
        <w:rPr>
          <w:rFonts w:ascii="宋体" w:hAnsi="宋体" w:cs="宋体"/>
          <w:b/>
          <w:spacing w:val="6"/>
          <w:sz w:val="32"/>
          <w:szCs w:val="32"/>
          <w:highlight w:val="none"/>
        </w:rPr>
      </w:pPr>
    </w:p>
    <w:p w14:paraId="7A7B7A47">
      <w:pPr>
        <w:autoSpaceDE w:val="0"/>
        <w:autoSpaceDN w:val="0"/>
        <w:jc w:val="center"/>
        <w:rPr>
          <w:rFonts w:ascii="宋体" w:hAnsi="宋体" w:cs="宋体"/>
          <w:b/>
          <w:spacing w:val="6"/>
          <w:sz w:val="32"/>
          <w:szCs w:val="32"/>
          <w:highlight w:val="none"/>
        </w:rPr>
      </w:pPr>
    </w:p>
    <w:p w14:paraId="61ED396B">
      <w:pPr>
        <w:autoSpaceDE w:val="0"/>
        <w:autoSpaceDN w:val="0"/>
        <w:jc w:val="center"/>
        <w:rPr>
          <w:rFonts w:ascii="宋体" w:hAnsi="宋体" w:cs="宋体"/>
          <w:b/>
          <w:spacing w:val="6"/>
          <w:sz w:val="32"/>
          <w:szCs w:val="32"/>
          <w:highlight w:val="none"/>
        </w:rPr>
      </w:pPr>
    </w:p>
    <w:p w14:paraId="66809F4C">
      <w:pPr>
        <w:autoSpaceDE w:val="0"/>
        <w:autoSpaceDN w:val="0"/>
        <w:jc w:val="center"/>
        <w:rPr>
          <w:rFonts w:ascii="宋体" w:hAnsi="宋体" w:cs="宋体"/>
          <w:b/>
          <w:spacing w:val="6"/>
          <w:sz w:val="32"/>
          <w:szCs w:val="32"/>
          <w:highlight w:val="none"/>
        </w:rPr>
      </w:pPr>
    </w:p>
    <w:p w14:paraId="1DBB8B20">
      <w:pPr>
        <w:autoSpaceDE w:val="0"/>
        <w:autoSpaceDN w:val="0"/>
        <w:jc w:val="center"/>
        <w:rPr>
          <w:rFonts w:ascii="宋体" w:hAnsi="宋体" w:cs="宋体"/>
          <w:b/>
          <w:spacing w:val="6"/>
          <w:sz w:val="32"/>
          <w:szCs w:val="32"/>
          <w:highlight w:val="none"/>
        </w:rPr>
      </w:pPr>
    </w:p>
    <w:p w14:paraId="3AA4E30F">
      <w:pPr>
        <w:autoSpaceDE w:val="0"/>
        <w:autoSpaceDN w:val="0"/>
        <w:jc w:val="center"/>
        <w:rPr>
          <w:rFonts w:ascii="宋体" w:hAnsi="宋体" w:cs="宋体"/>
          <w:b/>
          <w:spacing w:val="6"/>
          <w:sz w:val="32"/>
          <w:szCs w:val="32"/>
          <w:highlight w:val="none"/>
        </w:rPr>
      </w:pPr>
    </w:p>
    <w:p w14:paraId="3E7F5A96">
      <w:pPr>
        <w:autoSpaceDE w:val="0"/>
        <w:autoSpaceDN w:val="0"/>
        <w:jc w:val="center"/>
        <w:rPr>
          <w:rFonts w:ascii="宋体" w:hAnsi="宋体" w:cs="宋体"/>
          <w:b/>
          <w:spacing w:val="6"/>
          <w:sz w:val="32"/>
          <w:szCs w:val="32"/>
          <w:highlight w:val="none"/>
        </w:rPr>
      </w:pPr>
    </w:p>
    <w:p w14:paraId="5265355D">
      <w:pPr>
        <w:widowControl/>
        <w:adjustRightInd/>
        <w:jc w:val="left"/>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065BDB01">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附件7：中小企业声明函</w:t>
      </w:r>
    </w:p>
    <w:p w14:paraId="42F0AA8E">
      <w:pPr>
        <w:spacing w:line="360" w:lineRule="auto"/>
        <w:jc w:val="center"/>
        <w:rPr>
          <w:rFonts w:ascii="宋体" w:hAnsi="宋体" w:cs="宋体"/>
          <w:sz w:val="24"/>
          <w:highlight w:val="none"/>
          <w:u w:val="single"/>
        </w:rPr>
      </w:pPr>
    </w:p>
    <w:p w14:paraId="3F780C4A">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中小企业声明函（货物）</w:t>
      </w:r>
    </w:p>
    <w:p w14:paraId="133D8EC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浙江海洋大学 </w:t>
      </w:r>
      <w:r>
        <w:rPr>
          <w:rFonts w:hint="eastAsia" w:ascii="宋体" w:hAnsi="宋体" w:cs="宋体"/>
          <w:sz w:val="24"/>
          <w:highlight w:val="none"/>
        </w:rPr>
        <w:t xml:space="preserve">的 </w:t>
      </w:r>
      <w:r>
        <w:rPr>
          <w:rFonts w:hint="eastAsia" w:ascii="宋体" w:hAnsi="宋体" w:cs="宋体"/>
          <w:sz w:val="24"/>
          <w:highlight w:val="none"/>
          <w:u w:val="single"/>
          <w:lang w:eastAsia="zh-CN"/>
        </w:rPr>
        <w:t>比萨学院实验室设备采购</w:t>
      </w:r>
      <w:r>
        <w:rPr>
          <w:rFonts w:hint="eastAsia" w:ascii="宋体" w:hAnsi="宋体" w:cs="宋体"/>
          <w:sz w:val="24"/>
          <w:highlight w:val="none"/>
        </w:rPr>
        <w:t xml:space="preserve"> 采购活动，提供的货物全部由符合政策要求的中小企业制造。相关企业（含联合体中的中小企业、签订分包意向协议的中小企业）的具体情况如下：</w:t>
      </w:r>
    </w:p>
    <w:p w14:paraId="35409CFD">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6D10B895">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650ED6AC">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780DA82F">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3F0850CD">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0AE184E8">
      <w:pPr>
        <w:snapToGrid w:val="0"/>
        <w:spacing w:line="360" w:lineRule="auto"/>
        <w:ind w:firstLine="5160" w:firstLineChars="215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1D1F20C0">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9F8108C">
      <w:pPr>
        <w:spacing w:line="360" w:lineRule="auto"/>
        <w:jc w:val="left"/>
        <w:rPr>
          <w:rFonts w:ascii="宋体" w:hAnsi="宋体" w:cs="宋体"/>
          <w:sz w:val="18"/>
          <w:szCs w:val="18"/>
          <w:highlight w:val="none"/>
        </w:rPr>
      </w:pPr>
      <w:r>
        <w:rPr>
          <w:rFonts w:hint="eastAsia" w:ascii="宋体" w:hAnsi="宋体" w:cs="宋体"/>
          <w:sz w:val="18"/>
          <w:szCs w:val="18"/>
          <w:highlight w:val="none"/>
        </w:rPr>
        <w:t>从业人员、营业收入、资产总额填报上一年度数据，无上一年度数据的新成立企业可不填报。</w:t>
      </w:r>
    </w:p>
    <w:p w14:paraId="2BE7BA3E">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注：</w:t>
      </w:r>
    </w:p>
    <w:p w14:paraId="4401610C">
      <w:pPr>
        <w:spacing w:line="360" w:lineRule="auto"/>
        <w:ind w:right="420" w:firstLine="480" w:firstLineChars="200"/>
        <w:rPr>
          <w:rFonts w:ascii="宋体" w:hAnsi="宋体" w:cs="宋体"/>
          <w:b/>
          <w:bCs/>
          <w:sz w:val="24"/>
          <w:highlight w:val="none"/>
        </w:rPr>
      </w:pPr>
      <w:r>
        <w:rPr>
          <w:rFonts w:hint="eastAsia" w:ascii="宋体" w:hAnsi="宋体" w:cs="宋体"/>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w:t>
      </w:r>
      <w:r>
        <w:rPr>
          <w:rFonts w:hint="eastAsia" w:ascii="宋体" w:hAnsi="宋体" w:cs="宋体"/>
          <w:b/>
          <w:bCs/>
          <w:sz w:val="24"/>
          <w:highlight w:val="none"/>
        </w:rPr>
        <w:t>④投标人提供的《中小企业声明函》中企业类型错误的，《中小企业声明函》无效，不享受中小企业扶持政策。⑤《中小企业声明函》中填写的制造商不可使用他人授权品牌或者授权他人实际生产，否则中小企业声明函无效。</w:t>
      </w:r>
    </w:p>
    <w:p w14:paraId="2170D1A6">
      <w:pPr>
        <w:spacing w:line="360" w:lineRule="auto"/>
        <w:ind w:right="420" w:firstLine="480" w:firstLineChars="200"/>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867D978">
      <w:pPr>
        <w:spacing w:line="360" w:lineRule="auto"/>
        <w:ind w:right="420" w:firstLine="482" w:firstLineChars="200"/>
        <w:rPr>
          <w:rFonts w:ascii="宋体" w:hAnsi="宋体" w:cs="宋体"/>
          <w:b/>
          <w:bCs/>
          <w:sz w:val="24"/>
          <w:highlight w:val="none"/>
        </w:rPr>
      </w:pPr>
      <w:r>
        <w:rPr>
          <w:rFonts w:hint="eastAsia" w:ascii="宋体" w:hAnsi="宋体" w:cs="宋体"/>
          <w:b/>
          <w:bCs/>
          <w:sz w:val="24"/>
          <w:highlight w:val="none"/>
        </w:rPr>
        <w:t>3、供应商填写的《中小企业声明函》中如存在数据错误，但企业类型正确的，其《中小企业声明函》有效。如存在疑义可由供应商澄清说明，供应商对填报的数据来源作出合理解释。</w:t>
      </w:r>
    </w:p>
    <w:p w14:paraId="3D3637C3">
      <w:pPr>
        <w:spacing w:line="360" w:lineRule="auto"/>
        <w:ind w:right="420" w:firstLine="482" w:firstLineChars="200"/>
        <w:rPr>
          <w:rFonts w:ascii="宋体" w:hAnsi="宋体" w:cs="宋体"/>
          <w:b/>
          <w:bCs/>
          <w:sz w:val="24"/>
          <w:highlight w:val="none"/>
        </w:rPr>
      </w:pPr>
      <w:r>
        <w:rPr>
          <w:rFonts w:hint="eastAsia" w:ascii="宋体" w:hAnsi="宋体" w:cs="宋体"/>
          <w:b/>
          <w:bCs/>
          <w:sz w:val="24"/>
          <w:highlight w:val="none"/>
        </w:rPr>
        <w:t>4、《中小企业声明函》中填写行业错误或者未填写行业的，《中小企业声明函》无效。但错填为“采购文件中明确的所属行业”等类似瑕疵的，《中小企业声明函》有效。</w:t>
      </w:r>
    </w:p>
    <w:p w14:paraId="561E233F">
      <w:pPr>
        <w:spacing w:line="360" w:lineRule="auto"/>
        <w:ind w:right="420" w:firstLine="482" w:firstLineChars="200"/>
        <w:rPr>
          <w:rFonts w:ascii="宋体" w:hAnsi="宋体" w:cs="宋体"/>
          <w:b/>
          <w:bCs/>
          <w:sz w:val="24"/>
          <w:highlight w:val="none"/>
        </w:rPr>
      </w:pPr>
      <w:r>
        <w:rPr>
          <w:rFonts w:hint="eastAsia" w:ascii="宋体" w:hAnsi="宋体" w:cs="宋体"/>
          <w:b/>
          <w:bCs/>
          <w:sz w:val="24"/>
          <w:highlight w:val="none"/>
        </w:rPr>
        <w:t>5、如果供应商声明的类型获得了本不应获得的利益（价格扣除或者资格审查通过），则属于虚假材料；反之，没有获得非法利益，则不属于虚假材料。</w:t>
      </w:r>
    </w:p>
    <w:p w14:paraId="0CBDCCC1">
      <w:pPr>
        <w:rPr>
          <w:rFonts w:ascii="宋体" w:hAnsi="宋体" w:cs="宋体"/>
          <w:b/>
          <w:sz w:val="32"/>
          <w:szCs w:val="32"/>
          <w:highlight w:val="none"/>
        </w:rPr>
      </w:pPr>
      <w:r>
        <w:rPr>
          <w:rFonts w:hint="eastAsia" w:ascii="宋体" w:hAnsi="宋体" w:cs="宋体"/>
          <w:b/>
          <w:sz w:val="32"/>
          <w:szCs w:val="32"/>
          <w:highlight w:val="none"/>
        </w:rPr>
        <w:br w:type="page"/>
      </w:r>
    </w:p>
    <w:p w14:paraId="5ECBC292">
      <w:pPr>
        <w:snapToGrid w:val="0"/>
        <w:spacing w:line="440" w:lineRule="exact"/>
        <w:jc w:val="center"/>
        <w:rPr>
          <w:rFonts w:ascii="宋体" w:hAnsi="宋体" w:cs="宋体"/>
          <w:b/>
          <w:bCs/>
          <w:sz w:val="28"/>
          <w:szCs w:val="28"/>
          <w:highlight w:val="none"/>
        </w:rPr>
      </w:pPr>
      <w:r>
        <w:rPr>
          <w:rFonts w:hint="eastAsia" w:ascii="宋体" w:hAnsi="宋体" w:cs="宋体"/>
          <w:b/>
          <w:bCs/>
          <w:sz w:val="28"/>
          <w:szCs w:val="28"/>
          <w:highlight w:val="none"/>
        </w:rPr>
        <w:t>各行业划型标准</w:t>
      </w:r>
    </w:p>
    <w:p w14:paraId="40A74CDD">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14:paraId="18887F14">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6F0B1B">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02D466">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62EA4D">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1F1F69">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216464">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420F469">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BD191DE">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9F289D">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E222B6">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E0F4FA">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074C51">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B79DCF">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1156BA">
      <w:pPr>
        <w:snapToGrid w:val="0"/>
        <w:spacing w:line="430" w:lineRule="exact"/>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44B855">
      <w:pPr>
        <w:snapToGrid w:val="0"/>
        <w:spacing w:line="430" w:lineRule="exact"/>
        <w:ind w:firstLine="480" w:firstLineChars="200"/>
        <w:rPr>
          <w:rFonts w:ascii="宋体" w:hAnsi="宋体" w:cs="宋体"/>
          <w:sz w:val="24"/>
          <w:highlight w:val="none"/>
        </w:rPr>
        <w:sectPr>
          <w:pgSz w:w="11906" w:h="16838"/>
          <w:pgMar w:top="1440" w:right="1080" w:bottom="1440" w:left="1080" w:header="851" w:footer="992" w:gutter="0"/>
          <w:cols w:space="720" w:num="1"/>
          <w:titlePg/>
          <w:docGrid w:linePitch="312" w:charSpace="0"/>
        </w:sect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14:paraId="3F114E1F">
      <w:pPr>
        <w:snapToGrid w:val="0"/>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附件8：关于符合本国产品标准的声明函</w:t>
      </w:r>
    </w:p>
    <w:p w14:paraId="318AE582">
      <w:pPr>
        <w:pStyle w:val="61"/>
        <w:adjustRightInd/>
        <w:spacing w:before="0" w:beforeAutospacing="0" w:after="0" w:afterAutospacing="0" w:line="360" w:lineRule="auto"/>
        <w:jc w:val="center"/>
        <w:rPr>
          <w:b/>
          <w:bCs/>
          <w:sz w:val="28"/>
          <w:szCs w:val="28"/>
          <w:highlight w:val="none"/>
          <w:shd w:val="clear" w:color="auto" w:fill="FFFFFF"/>
        </w:rPr>
      </w:pPr>
    </w:p>
    <w:p w14:paraId="7E1D0B6A">
      <w:pPr>
        <w:pStyle w:val="61"/>
        <w:adjustRightInd/>
        <w:spacing w:before="0" w:beforeAutospacing="0" w:after="0" w:afterAutospacing="0" w:line="360" w:lineRule="auto"/>
        <w:jc w:val="center"/>
        <w:rPr>
          <w:b/>
          <w:bCs/>
          <w:sz w:val="28"/>
          <w:szCs w:val="28"/>
          <w:highlight w:val="none"/>
          <w:shd w:val="clear" w:color="auto" w:fill="FFFFFF"/>
        </w:rPr>
      </w:pPr>
      <w:r>
        <w:rPr>
          <w:rFonts w:hint="eastAsia"/>
          <w:b/>
          <w:bCs/>
          <w:sz w:val="28"/>
          <w:szCs w:val="28"/>
          <w:highlight w:val="none"/>
          <w:shd w:val="clear" w:color="auto" w:fill="FFFFFF"/>
        </w:rPr>
        <w:t>关于符合本国产品标准的声明函</w:t>
      </w:r>
    </w:p>
    <w:p w14:paraId="3A5C47D9">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本公司（单位）郑重声明，根据《国务院办公厅关于在政府采购中实施本国产品标准及相关政策的通知》（国办发〔2025〕34号）的规定，本公司（单位）提供的以下产品属于本国产品。具体情况如下：</w:t>
      </w:r>
    </w:p>
    <w:p w14:paraId="7701D57D">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1.</w:t>
      </w:r>
      <w:r>
        <w:rPr>
          <w:rFonts w:hint="eastAsia" w:cs="宋体"/>
          <w:highlight w:val="none"/>
          <w:u w:val="single"/>
        </w:rPr>
        <w:t>（产品名称1）</w:t>
      </w:r>
      <w:r>
        <w:rPr>
          <w:rFonts w:hint="eastAsia" w:cs="宋体"/>
          <w:highlight w:val="none"/>
          <w:u w:val="single"/>
          <w:vertAlign w:val="superscript"/>
        </w:rPr>
        <w:t>1</w:t>
      </w:r>
      <w:r>
        <w:rPr>
          <w:rFonts w:hint="eastAsia" w:cs="宋体"/>
          <w:highlight w:val="none"/>
        </w:rPr>
        <w:t>，生产厂为</w:t>
      </w:r>
      <w:r>
        <w:rPr>
          <w:rFonts w:hint="eastAsia" w:cs="宋体"/>
          <w:highlight w:val="none"/>
          <w:u w:val="single"/>
        </w:rPr>
        <w:t>（厂名）</w:t>
      </w:r>
      <w:r>
        <w:rPr>
          <w:rFonts w:hint="eastAsia" w:cs="宋体"/>
          <w:highlight w:val="none"/>
          <w:u w:val="single"/>
          <w:vertAlign w:val="superscript"/>
        </w:rPr>
        <w:t>2</w:t>
      </w:r>
      <w:r>
        <w:rPr>
          <w:rFonts w:hint="eastAsia" w:cs="宋体"/>
          <w:highlight w:val="none"/>
        </w:rPr>
        <w:t>，厂址为</w:t>
      </w:r>
      <w:r>
        <w:rPr>
          <w:rFonts w:hint="eastAsia" w:cs="宋体"/>
          <w:highlight w:val="none"/>
          <w:u w:val="single"/>
        </w:rPr>
        <w:t>（生产厂址）</w:t>
      </w:r>
      <w:r>
        <w:rPr>
          <w:rFonts w:hint="eastAsia" w:cs="宋体"/>
          <w:highlight w:val="none"/>
        </w:rPr>
        <w:t>。</w:t>
      </w:r>
      <w:r>
        <w:rPr>
          <w:rFonts w:hint="eastAsia" w:cs="宋体"/>
          <w:highlight w:val="none"/>
          <w:u w:val="single"/>
        </w:rPr>
        <w:t>（产品名称1）</w:t>
      </w:r>
      <w:r>
        <w:rPr>
          <w:rFonts w:hint="eastAsia" w:cs="宋体"/>
          <w:highlight w:val="none"/>
        </w:rPr>
        <w:t>的中国境内生产的组件成本占比≥</w:t>
      </w:r>
      <w:r>
        <w:rPr>
          <w:rFonts w:hint="eastAsia" w:cs="宋体"/>
          <w:highlight w:val="none"/>
          <w:u w:val="single"/>
        </w:rPr>
        <w:t>（规定比例）</w:t>
      </w:r>
      <w:r>
        <w:rPr>
          <w:rFonts w:hint="eastAsia" w:cs="宋体"/>
          <w:highlight w:val="none"/>
          <w:u w:val="single"/>
          <w:vertAlign w:val="superscript"/>
        </w:rPr>
        <w:t>3</w:t>
      </w:r>
      <w:r>
        <w:rPr>
          <w:rFonts w:hint="eastAsia" w:cs="宋体"/>
          <w:highlight w:val="none"/>
        </w:rPr>
        <w:t>。</w:t>
      </w:r>
      <w:r>
        <w:rPr>
          <w:rFonts w:hint="eastAsia" w:cs="宋体"/>
          <w:highlight w:val="none"/>
          <w:u w:val="single"/>
        </w:rPr>
        <w:t>（产品名称1）</w:t>
      </w:r>
      <w:r>
        <w:rPr>
          <w:rFonts w:hint="eastAsia" w:cs="宋体"/>
          <w:highlight w:val="none"/>
        </w:rPr>
        <w:t>的</w:t>
      </w:r>
      <w:r>
        <w:rPr>
          <w:rFonts w:hint="eastAsia" w:cs="宋体"/>
          <w:highlight w:val="none"/>
          <w:u w:val="single"/>
        </w:rPr>
        <w:t>（关键组件）</w:t>
      </w:r>
      <w:r>
        <w:rPr>
          <w:rFonts w:hint="eastAsia" w:cs="宋体"/>
          <w:highlight w:val="none"/>
          <w:u w:val="single"/>
          <w:vertAlign w:val="superscript"/>
        </w:rPr>
        <w:t>4</w:t>
      </w:r>
      <w:r>
        <w:rPr>
          <w:rFonts w:hint="eastAsia" w:cs="宋体"/>
          <w:highlight w:val="none"/>
        </w:rPr>
        <w:t>在中国境内生产。</w:t>
      </w:r>
      <w:r>
        <w:rPr>
          <w:rFonts w:hint="eastAsia" w:cs="宋体"/>
          <w:highlight w:val="none"/>
          <w:u w:val="single"/>
        </w:rPr>
        <w:t>（产品名称1）</w:t>
      </w:r>
      <w:r>
        <w:rPr>
          <w:rFonts w:hint="eastAsia" w:cs="宋体"/>
          <w:highlight w:val="none"/>
        </w:rPr>
        <w:t>的</w:t>
      </w:r>
      <w:r>
        <w:rPr>
          <w:rFonts w:hint="eastAsia" w:cs="宋体"/>
          <w:highlight w:val="none"/>
          <w:u w:val="single"/>
        </w:rPr>
        <w:t>（关键工序）5</w:t>
      </w:r>
      <w:r>
        <w:rPr>
          <w:rFonts w:hint="eastAsia" w:cs="宋体"/>
          <w:highlight w:val="none"/>
        </w:rPr>
        <w:t>在中国境内完成。</w:t>
      </w:r>
    </w:p>
    <w:p w14:paraId="7A472C62">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2.</w:t>
      </w:r>
      <w:r>
        <w:rPr>
          <w:rFonts w:hint="eastAsia" w:cs="宋体"/>
          <w:highlight w:val="none"/>
          <w:u w:val="single"/>
        </w:rPr>
        <w:t>（产品名称2）</w:t>
      </w:r>
      <w:r>
        <w:rPr>
          <w:rFonts w:hint="eastAsia" w:cs="宋体"/>
          <w:highlight w:val="none"/>
        </w:rPr>
        <w:t>，生产厂为</w:t>
      </w:r>
      <w:r>
        <w:rPr>
          <w:rFonts w:hint="eastAsia" w:cs="宋体"/>
          <w:highlight w:val="none"/>
          <w:u w:val="single"/>
        </w:rPr>
        <w:t>（厂名）</w:t>
      </w:r>
      <w:r>
        <w:rPr>
          <w:rFonts w:hint="eastAsia" w:cs="宋体"/>
          <w:highlight w:val="none"/>
        </w:rPr>
        <w:t>，厂址为</w:t>
      </w:r>
      <w:r>
        <w:rPr>
          <w:rFonts w:hint="eastAsia" w:cs="宋体"/>
          <w:highlight w:val="none"/>
          <w:u w:val="single"/>
        </w:rPr>
        <w:t>（生产厂址）</w:t>
      </w:r>
      <w:r>
        <w:rPr>
          <w:rFonts w:hint="eastAsia" w:cs="宋体"/>
          <w:highlight w:val="none"/>
        </w:rPr>
        <w:t>。</w:t>
      </w:r>
      <w:r>
        <w:rPr>
          <w:rFonts w:hint="eastAsia" w:cs="宋体"/>
          <w:highlight w:val="none"/>
          <w:u w:val="single"/>
        </w:rPr>
        <w:t>（产品名称2）</w:t>
      </w:r>
      <w:r>
        <w:rPr>
          <w:rFonts w:hint="eastAsia" w:cs="宋体"/>
          <w:highlight w:val="none"/>
        </w:rPr>
        <w:t>的中国境内生产的组件成本占比≥</w:t>
      </w:r>
      <w:r>
        <w:rPr>
          <w:rFonts w:hint="eastAsia" w:cs="宋体"/>
          <w:highlight w:val="none"/>
          <w:u w:val="single"/>
        </w:rPr>
        <w:t>（规定比例）</w:t>
      </w:r>
      <w:r>
        <w:rPr>
          <w:rFonts w:hint="eastAsia" w:cs="宋体"/>
          <w:highlight w:val="none"/>
        </w:rPr>
        <w:t>。</w:t>
      </w:r>
      <w:r>
        <w:rPr>
          <w:rFonts w:hint="eastAsia" w:cs="宋体"/>
          <w:highlight w:val="none"/>
          <w:u w:val="single"/>
        </w:rPr>
        <w:t>（产品名称2）</w:t>
      </w:r>
      <w:r>
        <w:rPr>
          <w:rFonts w:hint="eastAsia" w:cs="宋体"/>
          <w:highlight w:val="none"/>
        </w:rPr>
        <w:t>的</w:t>
      </w:r>
      <w:r>
        <w:rPr>
          <w:rFonts w:hint="eastAsia" w:cs="宋体"/>
          <w:highlight w:val="none"/>
          <w:u w:val="single"/>
        </w:rPr>
        <w:t>（关键组件）</w:t>
      </w:r>
      <w:r>
        <w:rPr>
          <w:rFonts w:hint="eastAsia" w:cs="宋体"/>
          <w:highlight w:val="none"/>
        </w:rPr>
        <w:t>在中国境内生产。</w:t>
      </w:r>
      <w:r>
        <w:rPr>
          <w:rFonts w:hint="eastAsia" w:cs="宋体"/>
          <w:highlight w:val="none"/>
          <w:u w:val="single"/>
        </w:rPr>
        <w:t>（产品名称2）</w:t>
      </w:r>
      <w:r>
        <w:rPr>
          <w:rFonts w:hint="eastAsia" w:cs="宋体"/>
          <w:highlight w:val="none"/>
        </w:rPr>
        <w:t>的</w:t>
      </w:r>
      <w:r>
        <w:rPr>
          <w:rFonts w:hint="eastAsia" w:cs="宋体"/>
          <w:highlight w:val="none"/>
          <w:u w:val="single"/>
        </w:rPr>
        <w:t>（关键工序）</w:t>
      </w:r>
      <w:r>
        <w:rPr>
          <w:rFonts w:hint="eastAsia" w:cs="宋体"/>
          <w:highlight w:val="none"/>
        </w:rPr>
        <w:t>在中国境内完成。</w:t>
      </w:r>
    </w:p>
    <w:p w14:paraId="107885F2">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w:t>
      </w:r>
    </w:p>
    <w:p w14:paraId="31239DE6">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本公司（单位）对上述声明内容的真实性负责。如有虚假，愿承担相应法律责任。</w:t>
      </w:r>
    </w:p>
    <w:p w14:paraId="29A20FB0">
      <w:pPr>
        <w:pStyle w:val="61"/>
        <w:adjustRightInd/>
        <w:spacing w:before="0" w:beforeAutospacing="0" w:after="0" w:afterAutospacing="0" w:line="360" w:lineRule="auto"/>
        <w:ind w:firstLine="480" w:firstLineChars="200"/>
        <w:jc w:val="right"/>
        <w:rPr>
          <w:rFonts w:cs="宋体"/>
          <w:highlight w:val="none"/>
        </w:rPr>
      </w:pPr>
    </w:p>
    <w:p w14:paraId="47FD7B86">
      <w:pPr>
        <w:pStyle w:val="61"/>
        <w:adjustRightInd/>
        <w:spacing w:before="0" w:beforeAutospacing="0" w:after="0" w:afterAutospacing="0" w:line="360" w:lineRule="auto"/>
        <w:ind w:firstLine="480" w:firstLineChars="200"/>
        <w:jc w:val="right"/>
        <w:rPr>
          <w:rFonts w:cs="宋体"/>
          <w:highlight w:val="none"/>
        </w:rPr>
      </w:pPr>
      <w:r>
        <w:rPr>
          <w:rFonts w:hint="eastAsia" w:cs="宋体"/>
          <w:highlight w:val="none"/>
        </w:rPr>
        <w:t>公司（单位）名称（盖章）：　        </w:t>
      </w:r>
    </w:p>
    <w:p w14:paraId="658CD128">
      <w:pPr>
        <w:pStyle w:val="61"/>
        <w:adjustRightInd/>
        <w:spacing w:before="0" w:beforeAutospacing="0" w:after="0" w:afterAutospacing="0" w:line="360" w:lineRule="auto"/>
        <w:ind w:firstLine="480" w:firstLineChars="200"/>
        <w:jc w:val="right"/>
        <w:rPr>
          <w:rFonts w:cs="宋体"/>
          <w:highlight w:val="none"/>
        </w:rPr>
      </w:pPr>
      <w:r>
        <w:rPr>
          <w:rFonts w:hint="eastAsia" w:cs="宋体"/>
          <w:highlight w:val="none"/>
        </w:rPr>
        <w:t>日期：　     年　  月　  日         </w:t>
      </w:r>
    </w:p>
    <w:p w14:paraId="64B241E7">
      <w:pPr>
        <w:pStyle w:val="61"/>
        <w:adjustRightInd/>
        <w:spacing w:before="0" w:beforeAutospacing="0" w:after="0" w:afterAutospacing="0" w:line="360" w:lineRule="auto"/>
        <w:ind w:firstLine="480" w:firstLineChars="200"/>
        <w:rPr>
          <w:rFonts w:cs="宋体"/>
          <w:highlight w:val="none"/>
        </w:rPr>
      </w:pPr>
    </w:p>
    <w:p w14:paraId="4AA2AC6E">
      <w:pPr>
        <w:pStyle w:val="61"/>
        <w:adjustRightInd/>
        <w:spacing w:before="0" w:beforeAutospacing="0" w:after="0" w:afterAutospacing="0" w:line="360" w:lineRule="auto"/>
        <w:ind w:firstLine="480" w:firstLineChars="200"/>
        <w:rPr>
          <w:rFonts w:cs="宋体"/>
          <w:highlight w:val="none"/>
        </w:rPr>
      </w:pPr>
    </w:p>
    <w:p w14:paraId="1350038C">
      <w:pPr>
        <w:pStyle w:val="61"/>
        <w:adjustRightInd/>
        <w:spacing w:before="0" w:beforeAutospacing="0" w:after="0" w:afterAutospacing="0" w:line="360" w:lineRule="auto"/>
        <w:rPr>
          <w:rFonts w:cs="宋体"/>
          <w:highlight w:val="none"/>
        </w:rPr>
      </w:pPr>
      <w:r>
        <w:rPr>
          <w:rFonts w:hint="eastAsia" w:cs="宋体"/>
          <w:highlight w:val="none"/>
        </w:rPr>
        <w:t>注：1.产品如有型号，请在“产品名称”栏一并填写。</w:t>
      </w:r>
    </w:p>
    <w:p w14:paraId="38CA93F9">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2.生产厂名与厂址应与生产厂营业执照载明的相关信息保持一致。</w:t>
      </w:r>
    </w:p>
    <w:p w14:paraId="1560EE8F">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3.该产品的中国境内生产的组件成本占比相关要求实施前，“规定比例”栏可不填，下同。</w:t>
      </w:r>
    </w:p>
    <w:p w14:paraId="6EBF7523">
      <w:pPr>
        <w:pStyle w:val="61"/>
        <w:adjustRightInd/>
        <w:spacing w:before="0" w:beforeAutospacing="0" w:after="0" w:afterAutospacing="0" w:line="360" w:lineRule="auto"/>
        <w:ind w:firstLine="480" w:firstLineChars="200"/>
        <w:rPr>
          <w:rFonts w:cs="宋体"/>
          <w:highlight w:val="none"/>
        </w:rPr>
      </w:pPr>
      <w:r>
        <w:rPr>
          <w:rFonts w:hint="eastAsia" w:cs="宋体"/>
          <w:highlight w:val="none"/>
        </w:rPr>
        <w:t>4.该产品的关键组件要求实施前，“关键组件”栏可不填，下同。</w:t>
      </w:r>
    </w:p>
    <w:p w14:paraId="70D5B74B">
      <w:pPr>
        <w:spacing w:line="360" w:lineRule="auto"/>
        <w:ind w:firstLine="480" w:firstLineChars="200"/>
        <w:rPr>
          <w:rFonts w:ascii="宋体" w:hAnsi="宋体" w:cs="宋体"/>
          <w:sz w:val="24"/>
          <w:highlight w:val="none"/>
        </w:rPr>
      </w:pPr>
      <w:r>
        <w:rPr>
          <w:rFonts w:hint="eastAsia" w:ascii="宋体" w:hAnsi="宋体" w:cs="宋体"/>
          <w:sz w:val="24"/>
          <w:highlight w:val="none"/>
        </w:rPr>
        <w:t>5.该产品的关键工序要求实施前，“关键工序”栏可不填，下同。</w:t>
      </w:r>
    </w:p>
    <w:p w14:paraId="33780CDA">
      <w:pPr>
        <w:snapToGrid w:val="0"/>
        <w:spacing w:line="360" w:lineRule="auto"/>
        <w:jc w:val="center"/>
        <w:rPr>
          <w:rFonts w:ascii="宋体" w:hAnsi="宋体" w:cs="宋体"/>
          <w:b/>
          <w:kern w:val="0"/>
          <w:sz w:val="32"/>
          <w:szCs w:val="32"/>
          <w:highlight w:val="none"/>
        </w:rPr>
      </w:pPr>
    </w:p>
    <w:p w14:paraId="3617CDE4">
      <w:pPr>
        <w:snapToGrid w:val="0"/>
        <w:spacing w:line="430" w:lineRule="exact"/>
        <w:ind w:firstLine="480" w:firstLineChars="200"/>
        <w:rPr>
          <w:rFonts w:ascii="宋体" w:hAnsi="宋体" w:cs="宋体"/>
          <w:sz w:val="24"/>
          <w:highlight w:val="none"/>
        </w:rPr>
      </w:pPr>
    </w:p>
    <w:p w14:paraId="7AA87746">
      <w:pPr>
        <w:rPr>
          <w:rFonts w:ascii="宋体" w:hAnsi="宋体" w:cs="宋体"/>
          <w:highlight w:val="none"/>
        </w:rPr>
      </w:pPr>
    </w:p>
    <w:p w14:paraId="5E3CFCC3">
      <w:pPr>
        <w:rPr>
          <w:rFonts w:ascii="宋体" w:hAnsi="宋体" w:cs="宋体"/>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erif SC"/>
    <w:panose1 w:val="00000000000000000000"/>
    <w:charset w:val="00"/>
    <w:family w:val="roman"/>
    <w:pitch w:val="default"/>
    <w:sig w:usb0="00000000" w:usb1="00000000" w:usb2="00000000" w:usb3="00000000" w:csb0="00040001" w:csb1="00000000"/>
  </w:font>
  <w:font w:name="yyb">
    <w:altName w:val="宋体"/>
    <w:panose1 w:val="020B0200000000000000"/>
    <w:charset w:val="86"/>
    <w:family w:val="auto"/>
    <w:pitch w:val="default"/>
    <w:sig w:usb0="00000000" w:usb1="0000000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Cumberland">
    <w:altName w:val="Noto Serif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7ED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8718">
    <w:pPr>
      <w:pStyle w:val="41"/>
      <w:jc w:val="center"/>
      <w:rPr>
        <w:rFonts w:ascii="仿宋_GB2312" w:eastAsia="仿宋_GB2312"/>
      </w:rPr>
    </w:pPr>
    <w:bookmarkStart w:id="422" w:name="_Toc164085800"/>
    <w:bookmarkEnd w:id="422"/>
    <w:bookmarkStart w:id="423" w:name="_Toc131845147"/>
    <w:bookmarkEnd w:id="423"/>
    <w:bookmarkStart w:id="424" w:name="_Toc91899912"/>
    <w:bookmarkEnd w:id="424"/>
    <w:bookmarkStart w:id="425" w:name="_Toc36110187"/>
    <w:bookmarkEnd w:id="425"/>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05DB">
    <w:pPr>
      <w:pStyle w:val="41"/>
      <w:framePr w:wrap="around" w:vAnchor="text" w:hAnchor="margin" w:xAlign="right" w:y="1"/>
      <w:rPr>
        <w:rStyle w:val="76"/>
      </w:rPr>
    </w:pPr>
    <w:r>
      <w:fldChar w:fldCharType="begin"/>
    </w:r>
    <w:r>
      <w:rPr>
        <w:rStyle w:val="76"/>
      </w:rPr>
      <w:instrText xml:space="preserve">PAGE  </w:instrText>
    </w:r>
    <w:r>
      <w:fldChar w:fldCharType="end"/>
    </w:r>
  </w:p>
  <w:p w14:paraId="1B0B71C3">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C08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7CDF">
    <w:pPr>
      <w:pStyle w:val="4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F0A8642">
                          <w:pPr>
                            <w:pStyle w:val="41"/>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zHKtkuEBAADEAwAA&#10;DgAAAAAAAAABACAAAAAiAQAAZHJzL2Uyb0RvYy54bWxQSwUGAAAAAAYABgBZAQAAdQUAAAAA&#10;">
              <v:fill on="f" focussize="0,0"/>
              <v:stroke on="f" weight="1pt"/>
              <v:imagedata o:title=""/>
              <o:lock v:ext="edit" aspectratio="f"/>
              <v:textbox inset="0mm,0mm,0mm,0mm" style="mso-fit-shape-to-text:t;">
                <w:txbxContent>
                  <w:p w14:paraId="5F0A8642">
                    <w:pPr>
                      <w:pStyle w:val="4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46B8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64EAC7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862E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D9A899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F532">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E39B10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E3F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6A1589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2212">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E89">
    <w:pPr>
      <w:pStyle w:val="43"/>
      <w:pBdr>
        <w:bottom w:val="single" w:color="auto" w:sz="6" w:space="4"/>
      </w:pBdr>
      <w:jc w:val="right"/>
    </w:pPr>
    <w:r>
      <w:t></w:t>
    </w:r>
    <w:r>
      <w:rPr>
        <w:rFonts w:hint="eastAsia"/>
      </w:rPr>
      <w:t xml:space="preserve">             政府采购公开招标文件</w:t>
    </w:r>
  </w:p>
  <w:p w14:paraId="5D1F6384">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87E61">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F8BB">
    <w:pPr>
      <w:pStyle w:val="43"/>
      <w:jc w:val="right"/>
      <w:rPr>
        <w:rFonts w:ascii="仿宋_GB2312"/>
        <w:b/>
        <w:i/>
        <w:u w:val="single"/>
      </w:rPr>
    </w:pPr>
    <w:r>
      <w:t></w:t>
    </w:r>
    <w:r>
      <w:rPr>
        <w:rFonts w:hint="eastAsia"/>
      </w:rPr>
      <w:t xml:space="preserve">                                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EDE8">
    <w:pPr>
      <w:pStyle w:val="43"/>
    </w:pPr>
    <w:r>
      <w:t></w:t>
    </w:r>
    <w:r>
      <w:rPr>
        <w:rFonts w:hint="eastAsia"/>
      </w:rPr>
      <w:t xml:space="preserve">         </w:t>
    </w:r>
  </w:p>
  <w:p w14:paraId="1DD1D92F">
    <w:pPr>
      <w:pStyle w:val="43"/>
    </w:pPr>
    <w:r>
      <w:rPr>
        <w:rFonts w:hint="eastAsia"/>
      </w:rPr>
      <w:t xml:space="preserve">                                                                  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2BDC">
    <w:pPr>
      <w:pStyle w:val="43"/>
      <w:jc w:val="right"/>
      <w:rPr>
        <w:rFonts w:ascii="仿宋_GB2312"/>
        <w:b/>
        <w:i/>
        <w:u w:val="single"/>
      </w:rPr>
    </w:pPr>
    <w:r>
      <w:rPr>
        <w:rFonts w:hint="eastAsia"/>
      </w:rPr>
      <w:t xml:space="preserve">                                  政府采购公开招标文件</w:t>
    </w:r>
  </w:p>
  <w:p w14:paraId="66290214">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A587">
    <w:pPr>
      <w:pStyle w:val="43"/>
      <w:jc w:val="right"/>
    </w:pPr>
    <w:r>
      <w:rPr>
        <w:rFonts w:hint="eastAsia"/>
      </w:rPr>
      <w:t xml:space="preserve">                                                                                                        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7C90">
    <w:pPr>
      <w:pStyle w:val="43"/>
      <w:jc w:val="right"/>
      <w:rPr>
        <w:rFonts w:ascii="仿宋_GB2312"/>
        <w:b/>
        <w:i/>
        <w:iCs/>
        <w:u w:val="single"/>
      </w:rPr>
    </w:pPr>
    <w:r>
      <w:t></w:t>
    </w:r>
    <w:r>
      <w:rPr>
        <w:rFonts w:hint="eastAsia"/>
      </w:rPr>
      <w:t>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FEEB6">
    <w:pPr>
      <w:pStyle w:val="43"/>
    </w:pPr>
    <w:r>
      <w:t></w:t>
    </w:r>
    <w:r>
      <w:rPr>
        <w:rFonts w:hint="eastAsia"/>
      </w:rPr>
      <w:t xml:space="preserve">                                             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345CE"/>
    <w:multiLevelType w:val="singleLevel"/>
    <w:tmpl w:val="29A345CE"/>
    <w:lvl w:ilvl="0" w:tentative="0">
      <w:start w:val="7"/>
      <w:numFmt w:val="chineseCounting"/>
      <w:suff w:val="nothing"/>
      <w:lvlText w:val="%1、"/>
      <w:lvlJc w:val="left"/>
      <w:rPr>
        <w:rFonts w:hint="eastAsia"/>
      </w:rPr>
    </w:lvl>
  </w:abstractNum>
  <w:abstractNum w:abstractNumId="1">
    <w:nsid w:val="5E1DD1E0"/>
    <w:multiLevelType w:val="singleLevel"/>
    <w:tmpl w:val="5E1DD1E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NjM2NmU4MmEzYzg1MDY4MjMzNTY1YjQwMzhkMT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67E1"/>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4D3"/>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4B47"/>
    <w:rsid w:val="000E549A"/>
    <w:rsid w:val="000E5B7E"/>
    <w:rsid w:val="000E5FF9"/>
    <w:rsid w:val="000E6AE1"/>
    <w:rsid w:val="000E7142"/>
    <w:rsid w:val="000E7632"/>
    <w:rsid w:val="000E7737"/>
    <w:rsid w:val="000E7739"/>
    <w:rsid w:val="000E77EE"/>
    <w:rsid w:val="000F1604"/>
    <w:rsid w:val="000F287A"/>
    <w:rsid w:val="000F2940"/>
    <w:rsid w:val="000F2AB3"/>
    <w:rsid w:val="000F2EA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44D"/>
    <w:rsid w:val="00147EA7"/>
    <w:rsid w:val="0015095F"/>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8B0"/>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27A"/>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C8D"/>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683"/>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A5"/>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3F21"/>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50"/>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570"/>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7B0"/>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3864"/>
    <w:rsid w:val="004345F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1A3"/>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CCF"/>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372"/>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E7FF1"/>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12B"/>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6B4"/>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5BA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50F2"/>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957"/>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3DA"/>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A5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37F"/>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29D7"/>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3DDA"/>
    <w:rsid w:val="0082427D"/>
    <w:rsid w:val="00825441"/>
    <w:rsid w:val="00826855"/>
    <w:rsid w:val="00830052"/>
    <w:rsid w:val="008300D0"/>
    <w:rsid w:val="008308D8"/>
    <w:rsid w:val="0083104D"/>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3E0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B04"/>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886"/>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374"/>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4F0"/>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5A90"/>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BFD"/>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135"/>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B48"/>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4172"/>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271"/>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8A0"/>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231"/>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410"/>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536"/>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4971"/>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9B4"/>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2EEF"/>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6C0"/>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29A0"/>
    <w:rsid w:val="010651D9"/>
    <w:rsid w:val="011F6449"/>
    <w:rsid w:val="01236AFB"/>
    <w:rsid w:val="012B5C78"/>
    <w:rsid w:val="01546A35"/>
    <w:rsid w:val="0159497E"/>
    <w:rsid w:val="01921052"/>
    <w:rsid w:val="019F7441"/>
    <w:rsid w:val="01AE15BA"/>
    <w:rsid w:val="01B37585"/>
    <w:rsid w:val="01BB640E"/>
    <w:rsid w:val="01C725F7"/>
    <w:rsid w:val="01D55165"/>
    <w:rsid w:val="01D95F0B"/>
    <w:rsid w:val="01DF6BF8"/>
    <w:rsid w:val="01EC2C57"/>
    <w:rsid w:val="02274EC8"/>
    <w:rsid w:val="024F1E07"/>
    <w:rsid w:val="025F0711"/>
    <w:rsid w:val="026B2E25"/>
    <w:rsid w:val="026D582B"/>
    <w:rsid w:val="02824D4D"/>
    <w:rsid w:val="0283691B"/>
    <w:rsid w:val="02C0735F"/>
    <w:rsid w:val="02DC4B10"/>
    <w:rsid w:val="02DD76CE"/>
    <w:rsid w:val="02F36323"/>
    <w:rsid w:val="02F5619C"/>
    <w:rsid w:val="0326446A"/>
    <w:rsid w:val="032D5555"/>
    <w:rsid w:val="036634D2"/>
    <w:rsid w:val="039948AC"/>
    <w:rsid w:val="03DD35E4"/>
    <w:rsid w:val="03E017D2"/>
    <w:rsid w:val="04076900"/>
    <w:rsid w:val="04170614"/>
    <w:rsid w:val="041A5A3B"/>
    <w:rsid w:val="042311BA"/>
    <w:rsid w:val="042B157A"/>
    <w:rsid w:val="048F763B"/>
    <w:rsid w:val="049F330E"/>
    <w:rsid w:val="04AA775C"/>
    <w:rsid w:val="04AF1889"/>
    <w:rsid w:val="04D44FF4"/>
    <w:rsid w:val="04F66F48"/>
    <w:rsid w:val="052505E3"/>
    <w:rsid w:val="05251E14"/>
    <w:rsid w:val="05A16594"/>
    <w:rsid w:val="05A7762D"/>
    <w:rsid w:val="06020126"/>
    <w:rsid w:val="060E5941"/>
    <w:rsid w:val="06110FAF"/>
    <w:rsid w:val="06493CA7"/>
    <w:rsid w:val="065A6178"/>
    <w:rsid w:val="066F1CF3"/>
    <w:rsid w:val="06930BB8"/>
    <w:rsid w:val="07245D42"/>
    <w:rsid w:val="07264C62"/>
    <w:rsid w:val="073362A4"/>
    <w:rsid w:val="0768045D"/>
    <w:rsid w:val="0779354C"/>
    <w:rsid w:val="08016791"/>
    <w:rsid w:val="08061376"/>
    <w:rsid w:val="081A528C"/>
    <w:rsid w:val="08452D77"/>
    <w:rsid w:val="086401F8"/>
    <w:rsid w:val="08751CAA"/>
    <w:rsid w:val="087E4C40"/>
    <w:rsid w:val="08A871D0"/>
    <w:rsid w:val="08D35DAA"/>
    <w:rsid w:val="08D4742C"/>
    <w:rsid w:val="08D66AD6"/>
    <w:rsid w:val="08DA33A3"/>
    <w:rsid w:val="08E80F13"/>
    <w:rsid w:val="0912665B"/>
    <w:rsid w:val="09335624"/>
    <w:rsid w:val="0944690F"/>
    <w:rsid w:val="09535675"/>
    <w:rsid w:val="09581E0B"/>
    <w:rsid w:val="095F057D"/>
    <w:rsid w:val="09642282"/>
    <w:rsid w:val="09664528"/>
    <w:rsid w:val="09733572"/>
    <w:rsid w:val="09772C16"/>
    <w:rsid w:val="098353B5"/>
    <w:rsid w:val="09A17C56"/>
    <w:rsid w:val="09A92330"/>
    <w:rsid w:val="09B06B87"/>
    <w:rsid w:val="09C13146"/>
    <w:rsid w:val="09E04166"/>
    <w:rsid w:val="0A146C33"/>
    <w:rsid w:val="0A1C0718"/>
    <w:rsid w:val="0A3E7710"/>
    <w:rsid w:val="0A5B7E05"/>
    <w:rsid w:val="0A5B7E63"/>
    <w:rsid w:val="0AA374A5"/>
    <w:rsid w:val="0AAB7649"/>
    <w:rsid w:val="0AB90547"/>
    <w:rsid w:val="0ABA4952"/>
    <w:rsid w:val="0ABC5606"/>
    <w:rsid w:val="0AD57BB7"/>
    <w:rsid w:val="0B14342A"/>
    <w:rsid w:val="0B30404E"/>
    <w:rsid w:val="0B4C6C14"/>
    <w:rsid w:val="0B547599"/>
    <w:rsid w:val="0B631A88"/>
    <w:rsid w:val="0B683D45"/>
    <w:rsid w:val="0B7F3F11"/>
    <w:rsid w:val="0B884417"/>
    <w:rsid w:val="0BA619F3"/>
    <w:rsid w:val="0BF6188C"/>
    <w:rsid w:val="0BF73C91"/>
    <w:rsid w:val="0C105917"/>
    <w:rsid w:val="0C170175"/>
    <w:rsid w:val="0C1B5A9E"/>
    <w:rsid w:val="0C571A41"/>
    <w:rsid w:val="0C5C1171"/>
    <w:rsid w:val="0C5E1CBC"/>
    <w:rsid w:val="0C615B50"/>
    <w:rsid w:val="0C8445DA"/>
    <w:rsid w:val="0C87121B"/>
    <w:rsid w:val="0CC007F7"/>
    <w:rsid w:val="0CC617AC"/>
    <w:rsid w:val="0CDA4DFB"/>
    <w:rsid w:val="0CE618DF"/>
    <w:rsid w:val="0CFB767D"/>
    <w:rsid w:val="0CFE707A"/>
    <w:rsid w:val="0D063BDA"/>
    <w:rsid w:val="0D08375F"/>
    <w:rsid w:val="0D151C27"/>
    <w:rsid w:val="0D184CFB"/>
    <w:rsid w:val="0D441A9A"/>
    <w:rsid w:val="0D4A7419"/>
    <w:rsid w:val="0D827401"/>
    <w:rsid w:val="0D84094E"/>
    <w:rsid w:val="0D8A00E9"/>
    <w:rsid w:val="0D8D589E"/>
    <w:rsid w:val="0DA01C73"/>
    <w:rsid w:val="0DD63300"/>
    <w:rsid w:val="0DF50604"/>
    <w:rsid w:val="0DF702FE"/>
    <w:rsid w:val="0E060E51"/>
    <w:rsid w:val="0E250E55"/>
    <w:rsid w:val="0E5604B2"/>
    <w:rsid w:val="0E603C3C"/>
    <w:rsid w:val="0E6D5D79"/>
    <w:rsid w:val="0E794CFD"/>
    <w:rsid w:val="0E9D0089"/>
    <w:rsid w:val="0EB803EE"/>
    <w:rsid w:val="0EF94D4B"/>
    <w:rsid w:val="0F384BB8"/>
    <w:rsid w:val="0F4958DC"/>
    <w:rsid w:val="0F515DF7"/>
    <w:rsid w:val="0F596BA8"/>
    <w:rsid w:val="0F6248D2"/>
    <w:rsid w:val="0F693536"/>
    <w:rsid w:val="0F7B0511"/>
    <w:rsid w:val="0F7B76D9"/>
    <w:rsid w:val="0F816ACD"/>
    <w:rsid w:val="0F9832DB"/>
    <w:rsid w:val="0FAE6C29"/>
    <w:rsid w:val="0FBF3FD2"/>
    <w:rsid w:val="0FBF7FF3"/>
    <w:rsid w:val="0FF7237E"/>
    <w:rsid w:val="10091E0C"/>
    <w:rsid w:val="105D4A9C"/>
    <w:rsid w:val="10646583"/>
    <w:rsid w:val="107D4B15"/>
    <w:rsid w:val="108A3C80"/>
    <w:rsid w:val="10C26171"/>
    <w:rsid w:val="10F33360"/>
    <w:rsid w:val="10FC16EA"/>
    <w:rsid w:val="1102722C"/>
    <w:rsid w:val="110F1D40"/>
    <w:rsid w:val="11266F33"/>
    <w:rsid w:val="116457F1"/>
    <w:rsid w:val="118963A1"/>
    <w:rsid w:val="119D6F55"/>
    <w:rsid w:val="11C6522A"/>
    <w:rsid w:val="11CC7B05"/>
    <w:rsid w:val="11E104CC"/>
    <w:rsid w:val="11E20309"/>
    <w:rsid w:val="12103BCB"/>
    <w:rsid w:val="12255233"/>
    <w:rsid w:val="12530213"/>
    <w:rsid w:val="127723A9"/>
    <w:rsid w:val="12862074"/>
    <w:rsid w:val="12883966"/>
    <w:rsid w:val="129E45B4"/>
    <w:rsid w:val="12D81596"/>
    <w:rsid w:val="13072A44"/>
    <w:rsid w:val="135F4BE2"/>
    <w:rsid w:val="13693F0F"/>
    <w:rsid w:val="139B1A0A"/>
    <w:rsid w:val="139D25C7"/>
    <w:rsid w:val="13BF3CE4"/>
    <w:rsid w:val="13D034DB"/>
    <w:rsid w:val="13F4299B"/>
    <w:rsid w:val="141008D8"/>
    <w:rsid w:val="14125FE6"/>
    <w:rsid w:val="146D271E"/>
    <w:rsid w:val="1493264E"/>
    <w:rsid w:val="14982588"/>
    <w:rsid w:val="149A5AD9"/>
    <w:rsid w:val="149B4199"/>
    <w:rsid w:val="14A7619D"/>
    <w:rsid w:val="14BE16BC"/>
    <w:rsid w:val="14ED3166"/>
    <w:rsid w:val="150536C3"/>
    <w:rsid w:val="150C1963"/>
    <w:rsid w:val="151447A0"/>
    <w:rsid w:val="154A6454"/>
    <w:rsid w:val="15586F9D"/>
    <w:rsid w:val="15762120"/>
    <w:rsid w:val="16266269"/>
    <w:rsid w:val="162B4B2F"/>
    <w:rsid w:val="16A3500D"/>
    <w:rsid w:val="16A8729C"/>
    <w:rsid w:val="16B33777"/>
    <w:rsid w:val="16B34B25"/>
    <w:rsid w:val="16BC70A7"/>
    <w:rsid w:val="16C6339E"/>
    <w:rsid w:val="172F2D79"/>
    <w:rsid w:val="173C7E64"/>
    <w:rsid w:val="17557BEF"/>
    <w:rsid w:val="17D349C1"/>
    <w:rsid w:val="17E56525"/>
    <w:rsid w:val="180B7D05"/>
    <w:rsid w:val="18244F26"/>
    <w:rsid w:val="1830729E"/>
    <w:rsid w:val="1870062C"/>
    <w:rsid w:val="18817102"/>
    <w:rsid w:val="18830A15"/>
    <w:rsid w:val="18852B28"/>
    <w:rsid w:val="18884B0D"/>
    <w:rsid w:val="188B5321"/>
    <w:rsid w:val="19267830"/>
    <w:rsid w:val="196F7429"/>
    <w:rsid w:val="19932372"/>
    <w:rsid w:val="19A20DD5"/>
    <w:rsid w:val="19AE03F1"/>
    <w:rsid w:val="19CE05F3"/>
    <w:rsid w:val="1A071A03"/>
    <w:rsid w:val="1A1F16AE"/>
    <w:rsid w:val="1A3234D4"/>
    <w:rsid w:val="1A3B5C77"/>
    <w:rsid w:val="1A6734B5"/>
    <w:rsid w:val="1A703458"/>
    <w:rsid w:val="1A984BAD"/>
    <w:rsid w:val="1AB8220E"/>
    <w:rsid w:val="1AD96E04"/>
    <w:rsid w:val="1AE4166C"/>
    <w:rsid w:val="1AF06CFB"/>
    <w:rsid w:val="1AF11B8D"/>
    <w:rsid w:val="1B11359C"/>
    <w:rsid w:val="1B2A271F"/>
    <w:rsid w:val="1B530544"/>
    <w:rsid w:val="1B6D7998"/>
    <w:rsid w:val="1B713184"/>
    <w:rsid w:val="1B92499C"/>
    <w:rsid w:val="1BA209CF"/>
    <w:rsid w:val="1BA60F9E"/>
    <w:rsid w:val="1BB4777D"/>
    <w:rsid w:val="1BD75AB8"/>
    <w:rsid w:val="1C0459C2"/>
    <w:rsid w:val="1C166281"/>
    <w:rsid w:val="1C1B3B4A"/>
    <w:rsid w:val="1C7A3297"/>
    <w:rsid w:val="1C88086E"/>
    <w:rsid w:val="1D266CE1"/>
    <w:rsid w:val="1D3963AF"/>
    <w:rsid w:val="1D5058C9"/>
    <w:rsid w:val="1D6A673C"/>
    <w:rsid w:val="1D9247AE"/>
    <w:rsid w:val="1DB522C4"/>
    <w:rsid w:val="1DB567EC"/>
    <w:rsid w:val="1DF51A98"/>
    <w:rsid w:val="1E051CD9"/>
    <w:rsid w:val="1E394B99"/>
    <w:rsid w:val="1E3B4E1C"/>
    <w:rsid w:val="1E3D060F"/>
    <w:rsid w:val="1E3D1148"/>
    <w:rsid w:val="1E3F7D2E"/>
    <w:rsid w:val="1E4134E4"/>
    <w:rsid w:val="1E5062B3"/>
    <w:rsid w:val="1E523514"/>
    <w:rsid w:val="1E714A66"/>
    <w:rsid w:val="1E7159F1"/>
    <w:rsid w:val="1E802593"/>
    <w:rsid w:val="1E8219AC"/>
    <w:rsid w:val="1E8B6156"/>
    <w:rsid w:val="1EA01E32"/>
    <w:rsid w:val="1EA703CC"/>
    <w:rsid w:val="1EB7330C"/>
    <w:rsid w:val="1F0A0FF3"/>
    <w:rsid w:val="1F5771FF"/>
    <w:rsid w:val="1FD52574"/>
    <w:rsid w:val="1FE868A9"/>
    <w:rsid w:val="20034907"/>
    <w:rsid w:val="20173E4B"/>
    <w:rsid w:val="204E48BC"/>
    <w:rsid w:val="208921B3"/>
    <w:rsid w:val="20973DEB"/>
    <w:rsid w:val="20B26522"/>
    <w:rsid w:val="20B44310"/>
    <w:rsid w:val="211116EB"/>
    <w:rsid w:val="212354CB"/>
    <w:rsid w:val="216133FC"/>
    <w:rsid w:val="219F2875"/>
    <w:rsid w:val="21C052E3"/>
    <w:rsid w:val="21D56769"/>
    <w:rsid w:val="21E52EF3"/>
    <w:rsid w:val="21FB5D7B"/>
    <w:rsid w:val="22015E94"/>
    <w:rsid w:val="220B1C3D"/>
    <w:rsid w:val="221D1D20"/>
    <w:rsid w:val="22334A87"/>
    <w:rsid w:val="22736130"/>
    <w:rsid w:val="22BE6801"/>
    <w:rsid w:val="233500BF"/>
    <w:rsid w:val="23377FF7"/>
    <w:rsid w:val="23474F72"/>
    <w:rsid w:val="236B425F"/>
    <w:rsid w:val="23836192"/>
    <w:rsid w:val="23901F29"/>
    <w:rsid w:val="239C0061"/>
    <w:rsid w:val="23B908A4"/>
    <w:rsid w:val="23E95BEF"/>
    <w:rsid w:val="23FD0064"/>
    <w:rsid w:val="244948BF"/>
    <w:rsid w:val="245375B0"/>
    <w:rsid w:val="24642C0A"/>
    <w:rsid w:val="249620A6"/>
    <w:rsid w:val="24B22173"/>
    <w:rsid w:val="24B95AD9"/>
    <w:rsid w:val="24BE24DA"/>
    <w:rsid w:val="24CF5825"/>
    <w:rsid w:val="24D663E6"/>
    <w:rsid w:val="24D77F2B"/>
    <w:rsid w:val="25213DC8"/>
    <w:rsid w:val="252333DF"/>
    <w:rsid w:val="25333A00"/>
    <w:rsid w:val="2561056D"/>
    <w:rsid w:val="25862166"/>
    <w:rsid w:val="258B00E2"/>
    <w:rsid w:val="25A20B86"/>
    <w:rsid w:val="25A917A6"/>
    <w:rsid w:val="25BE27CC"/>
    <w:rsid w:val="25C84FAF"/>
    <w:rsid w:val="25E8774C"/>
    <w:rsid w:val="25F74A5C"/>
    <w:rsid w:val="2628662C"/>
    <w:rsid w:val="262D45DE"/>
    <w:rsid w:val="26871DC8"/>
    <w:rsid w:val="26A53EF9"/>
    <w:rsid w:val="26A94201"/>
    <w:rsid w:val="26AC274F"/>
    <w:rsid w:val="26BB3CAD"/>
    <w:rsid w:val="27044A29"/>
    <w:rsid w:val="271D34C8"/>
    <w:rsid w:val="276142BF"/>
    <w:rsid w:val="27783712"/>
    <w:rsid w:val="27907362"/>
    <w:rsid w:val="27A52F98"/>
    <w:rsid w:val="27F76F67"/>
    <w:rsid w:val="28333E1D"/>
    <w:rsid w:val="28454BD6"/>
    <w:rsid w:val="28455253"/>
    <w:rsid w:val="28551971"/>
    <w:rsid w:val="28594430"/>
    <w:rsid w:val="285B1C53"/>
    <w:rsid w:val="289F7086"/>
    <w:rsid w:val="28C32028"/>
    <w:rsid w:val="28CC490F"/>
    <w:rsid w:val="28DE40AA"/>
    <w:rsid w:val="28E62EBC"/>
    <w:rsid w:val="28F80D84"/>
    <w:rsid w:val="29345E77"/>
    <w:rsid w:val="294C65AD"/>
    <w:rsid w:val="296C128F"/>
    <w:rsid w:val="29806583"/>
    <w:rsid w:val="298B3C4C"/>
    <w:rsid w:val="29AE0A59"/>
    <w:rsid w:val="29F26D24"/>
    <w:rsid w:val="2A15033F"/>
    <w:rsid w:val="2A1662C1"/>
    <w:rsid w:val="2A196977"/>
    <w:rsid w:val="2A1C7367"/>
    <w:rsid w:val="2A21250D"/>
    <w:rsid w:val="2A2815FA"/>
    <w:rsid w:val="2A3C33E0"/>
    <w:rsid w:val="2A413BE1"/>
    <w:rsid w:val="2A6D6092"/>
    <w:rsid w:val="2A7D76B4"/>
    <w:rsid w:val="2AA50EFC"/>
    <w:rsid w:val="2AF7102C"/>
    <w:rsid w:val="2B437463"/>
    <w:rsid w:val="2B4F2C16"/>
    <w:rsid w:val="2B7807EE"/>
    <w:rsid w:val="2B844FB6"/>
    <w:rsid w:val="2BA50BF7"/>
    <w:rsid w:val="2BBF00EC"/>
    <w:rsid w:val="2BC37CFD"/>
    <w:rsid w:val="2BD5237F"/>
    <w:rsid w:val="2BE536CE"/>
    <w:rsid w:val="2BE758D9"/>
    <w:rsid w:val="2BEB6DE3"/>
    <w:rsid w:val="2BF346BB"/>
    <w:rsid w:val="2C09049E"/>
    <w:rsid w:val="2C0A653C"/>
    <w:rsid w:val="2C191F85"/>
    <w:rsid w:val="2C7212B2"/>
    <w:rsid w:val="2CA90990"/>
    <w:rsid w:val="2CE82D6F"/>
    <w:rsid w:val="2D077504"/>
    <w:rsid w:val="2D343236"/>
    <w:rsid w:val="2D575011"/>
    <w:rsid w:val="2DD15014"/>
    <w:rsid w:val="2DF52CAD"/>
    <w:rsid w:val="2DF71CAD"/>
    <w:rsid w:val="2DF72DE4"/>
    <w:rsid w:val="2E0220AF"/>
    <w:rsid w:val="2E023FCC"/>
    <w:rsid w:val="2E4861B8"/>
    <w:rsid w:val="2E4B082A"/>
    <w:rsid w:val="2E5D4E86"/>
    <w:rsid w:val="2E5D790B"/>
    <w:rsid w:val="2E6469D8"/>
    <w:rsid w:val="2E795B1F"/>
    <w:rsid w:val="2E7B1F74"/>
    <w:rsid w:val="2E9A3C18"/>
    <w:rsid w:val="2EBB0FEE"/>
    <w:rsid w:val="2EC63002"/>
    <w:rsid w:val="2EE15DF5"/>
    <w:rsid w:val="2F0A6B38"/>
    <w:rsid w:val="2F3E189C"/>
    <w:rsid w:val="2F683FAA"/>
    <w:rsid w:val="2F946CCB"/>
    <w:rsid w:val="2FAD2601"/>
    <w:rsid w:val="2FC846CB"/>
    <w:rsid w:val="2FD25781"/>
    <w:rsid w:val="2FDC745C"/>
    <w:rsid w:val="2FFC3EB4"/>
    <w:rsid w:val="2FFD7934"/>
    <w:rsid w:val="30676C54"/>
    <w:rsid w:val="30733ACD"/>
    <w:rsid w:val="307A0735"/>
    <w:rsid w:val="308C3862"/>
    <w:rsid w:val="309379D8"/>
    <w:rsid w:val="30A270F7"/>
    <w:rsid w:val="30A9101A"/>
    <w:rsid w:val="30DF1478"/>
    <w:rsid w:val="30EC586F"/>
    <w:rsid w:val="30EE4C7F"/>
    <w:rsid w:val="31641283"/>
    <w:rsid w:val="3184181E"/>
    <w:rsid w:val="319C6071"/>
    <w:rsid w:val="31A6555A"/>
    <w:rsid w:val="31AC537E"/>
    <w:rsid w:val="31BE4E04"/>
    <w:rsid w:val="31E3679B"/>
    <w:rsid w:val="31E732FD"/>
    <w:rsid w:val="32517576"/>
    <w:rsid w:val="327A2C6E"/>
    <w:rsid w:val="327C7B8A"/>
    <w:rsid w:val="328535BD"/>
    <w:rsid w:val="32BE5C2C"/>
    <w:rsid w:val="32CE54EA"/>
    <w:rsid w:val="32FB6478"/>
    <w:rsid w:val="33263B3F"/>
    <w:rsid w:val="33446DD8"/>
    <w:rsid w:val="336963EB"/>
    <w:rsid w:val="33816EEB"/>
    <w:rsid w:val="33EB55CD"/>
    <w:rsid w:val="33EC4C02"/>
    <w:rsid w:val="340D2360"/>
    <w:rsid w:val="3410665D"/>
    <w:rsid w:val="34211214"/>
    <w:rsid w:val="342E63AB"/>
    <w:rsid w:val="343355B7"/>
    <w:rsid w:val="34950E68"/>
    <w:rsid w:val="34986E94"/>
    <w:rsid w:val="34AF62C9"/>
    <w:rsid w:val="34CB4388"/>
    <w:rsid w:val="34F45515"/>
    <w:rsid w:val="34FA6E12"/>
    <w:rsid w:val="353613A7"/>
    <w:rsid w:val="354D7158"/>
    <w:rsid w:val="358D5588"/>
    <w:rsid w:val="35A61EB8"/>
    <w:rsid w:val="35BD4305"/>
    <w:rsid w:val="363A3B40"/>
    <w:rsid w:val="365302AE"/>
    <w:rsid w:val="36607A0A"/>
    <w:rsid w:val="366E227C"/>
    <w:rsid w:val="366F2E0D"/>
    <w:rsid w:val="36703155"/>
    <w:rsid w:val="367B6A5C"/>
    <w:rsid w:val="36A74ADA"/>
    <w:rsid w:val="36AD60D5"/>
    <w:rsid w:val="36B224F9"/>
    <w:rsid w:val="36DB7A54"/>
    <w:rsid w:val="36EC0CC9"/>
    <w:rsid w:val="373F410B"/>
    <w:rsid w:val="375325B8"/>
    <w:rsid w:val="375810A4"/>
    <w:rsid w:val="37DD4867"/>
    <w:rsid w:val="37EE7094"/>
    <w:rsid w:val="37FD070E"/>
    <w:rsid w:val="38296C89"/>
    <w:rsid w:val="382A0C93"/>
    <w:rsid w:val="383002EB"/>
    <w:rsid w:val="38586797"/>
    <w:rsid w:val="385D15DF"/>
    <w:rsid w:val="386642BF"/>
    <w:rsid w:val="38BC0149"/>
    <w:rsid w:val="38D87D1C"/>
    <w:rsid w:val="395F671A"/>
    <w:rsid w:val="39636459"/>
    <w:rsid w:val="396B7F6C"/>
    <w:rsid w:val="39B417A9"/>
    <w:rsid w:val="39DA5CA1"/>
    <w:rsid w:val="39FC5695"/>
    <w:rsid w:val="3A006D8E"/>
    <w:rsid w:val="3A117902"/>
    <w:rsid w:val="3A3000B7"/>
    <w:rsid w:val="3A3651E5"/>
    <w:rsid w:val="3A504A54"/>
    <w:rsid w:val="3A744481"/>
    <w:rsid w:val="3A7C32FC"/>
    <w:rsid w:val="3A8C7BEF"/>
    <w:rsid w:val="3A906246"/>
    <w:rsid w:val="3ABA75C9"/>
    <w:rsid w:val="3B2349B7"/>
    <w:rsid w:val="3B616CFF"/>
    <w:rsid w:val="3B6259F6"/>
    <w:rsid w:val="3B976654"/>
    <w:rsid w:val="3BC01EFC"/>
    <w:rsid w:val="3BCA786A"/>
    <w:rsid w:val="3BD31E2F"/>
    <w:rsid w:val="3BF15831"/>
    <w:rsid w:val="3C105946"/>
    <w:rsid w:val="3C1E5F76"/>
    <w:rsid w:val="3C471448"/>
    <w:rsid w:val="3C5A626A"/>
    <w:rsid w:val="3C5F759A"/>
    <w:rsid w:val="3C6C525A"/>
    <w:rsid w:val="3C9012E0"/>
    <w:rsid w:val="3CCE16FC"/>
    <w:rsid w:val="3CCE23CB"/>
    <w:rsid w:val="3CD17D17"/>
    <w:rsid w:val="3CE21B3C"/>
    <w:rsid w:val="3D26209C"/>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15781"/>
    <w:rsid w:val="3EC314F9"/>
    <w:rsid w:val="3EC33DFA"/>
    <w:rsid w:val="3ED61FDC"/>
    <w:rsid w:val="3F03223E"/>
    <w:rsid w:val="3F060E16"/>
    <w:rsid w:val="3F1D1096"/>
    <w:rsid w:val="3F2F0234"/>
    <w:rsid w:val="3F62107E"/>
    <w:rsid w:val="3F6363FE"/>
    <w:rsid w:val="3F756B8F"/>
    <w:rsid w:val="3F95482B"/>
    <w:rsid w:val="3FC574F3"/>
    <w:rsid w:val="3FFA1AFA"/>
    <w:rsid w:val="400B75FC"/>
    <w:rsid w:val="4019356B"/>
    <w:rsid w:val="404A10D6"/>
    <w:rsid w:val="40592157"/>
    <w:rsid w:val="406E1CAE"/>
    <w:rsid w:val="40A0133A"/>
    <w:rsid w:val="40C31A53"/>
    <w:rsid w:val="40D4691C"/>
    <w:rsid w:val="40FF545D"/>
    <w:rsid w:val="410067C8"/>
    <w:rsid w:val="418F0D2A"/>
    <w:rsid w:val="41D01505"/>
    <w:rsid w:val="41E547D8"/>
    <w:rsid w:val="42474939"/>
    <w:rsid w:val="424C3C57"/>
    <w:rsid w:val="42613FF3"/>
    <w:rsid w:val="42660D96"/>
    <w:rsid w:val="428667D2"/>
    <w:rsid w:val="42C763A1"/>
    <w:rsid w:val="42CD1CE0"/>
    <w:rsid w:val="42DA466A"/>
    <w:rsid w:val="42DC702D"/>
    <w:rsid w:val="42E1381E"/>
    <w:rsid w:val="42ED6459"/>
    <w:rsid w:val="42FE58DD"/>
    <w:rsid w:val="43174B3D"/>
    <w:rsid w:val="433C5D1E"/>
    <w:rsid w:val="434B790E"/>
    <w:rsid w:val="435C3CCA"/>
    <w:rsid w:val="4360274F"/>
    <w:rsid w:val="43977AB6"/>
    <w:rsid w:val="43A3342B"/>
    <w:rsid w:val="43B41D58"/>
    <w:rsid w:val="43C77C27"/>
    <w:rsid w:val="43DE09EE"/>
    <w:rsid w:val="44002FAD"/>
    <w:rsid w:val="44727EC6"/>
    <w:rsid w:val="449101DD"/>
    <w:rsid w:val="44DE1391"/>
    <w:rsid w:val="451B225C"/>
    <w:rsid w:val="452410C9"/>
    <w:rsid w:val="45317DFB"/>
    <w:rsid w:val="456D3CE4"/>
    <w:rsid w:val="4579042C"/>
    <w:rsid w:val="457F0571"/>
    <w:rsid w:val="45851176"/>
    <w:rsid w:val="45B125C3"/>
    <w:rsid w:val="45BF71F3"/>
    <w:rsid w:val="45C63B94"/>
    <w:rsid w:val="460E7DA5"/>
    <w:rsid w:val="46422483"/>
    <w:rsid w:val="4659254A"/>
    <w:rsid w:val="465B0637"/>
    <w:rsid w:val="465E3F0D"/>
    <w:rsid w:val="466A16E6"/>
    <w:rsid w:val="46893F2B"/>
    <w:rsid w:val="46AC28CE"/>
    <w:rsid w:val="46B607E9"/>
    <w:rsid w:val="46B740C0"/>
    <w:rsid w:val="46C4686E"/>
    <w:rsid w:val="47527B35"/>
    <w:rsid w:val="477B778F"/>
    <w:rsid w:val="478203EC"/>
    <w:rsid w:val="47AF4D11"/>
    <w:rsid w:val="47B025FA"/>
    <w:rsid w:val="47C95E7B"/>
    <w:rsid w:val="4809698F"/>
    <w:rsid w:val="4811697D"/>
    <w:rsid w:val="486D178C"/>
    <w:rsid w:val="487A3E25"/>
    <w:rsid w:val="488B5503"/>
    <w:rsid w:val="48937E21"/>
    <w:rsid w:val="489A0361"/>
    <w:rsid w:val="48B3438D"/>
    <w:rsid w:val="48B94FF3"/>
    <w:rsid w:val="48E37AAB"/>
    <w:rsid w:val="48FD4B4C"/>
    <w:rsid w:val="490A68E0"/>
    <w:rsid w:val="491055FE"/>
    <w:rsid w:val="4929330C"/>
    <w:rsid w:val="495F5B3E"/>
    <w:rsid w:val="496F77D7"/>
    <w:rsid w:val="497654FD"/>
    <w:rsid w:val="497E32E1"/>
    <w:rsid w:val="49920446"/>
    <w:rsid w:val="49B64211"/>
    <w:rsid w:val="49F6167F"/>
    <w:rsid w:val="4A064FA0"/>
    <w:rsid w:val="4A16615C"/>
    <w:rsid w:val="4A240D5F"/>
    <w:rsid w:val="4A4424D7"/>
    <w:rsid w:val="4AB82D0F"/>
    <w:rsid w:val="4AEB7664"/>
    <w:rsid w:val="4AFD7C19"/>
    <w:rsid w:val="4AFF7804"/>
    <w:rsid w:val="4B0567D1"/>
    <w:rsid w:val="4B236AAE"/>
    <w:rsid w:val="4B707271"/>
    <w:rsid w:val="4B9739F7"/>
    <w:rsid w:val="4B9E5C89"/>
    <w:rsid w:val="4BAF3531"/>
    <w:rsid w:val="4BE13907"/>
    <w:rsid w:val="4BEA4569"/>
    <w:rsid w:val="4BEE2503"/>
    <w:rsid w:val="4C245A30"/>
    <w:rsid w:val="4C8F5111"/>
    <w:rsid w:val="4C9D7B91"/>
    <w:rsid w:val="4CB132D9"/>
    <w:rsid w:val="4CB6685F"/>
    <w:rsid w:val="4CC367FE"/>
    <w:rsid w:val="4CE339D3"/>
    <w:rsid w:val="4CED4072"/>
    <w:rsid w:val="4D073F5E"/>
    <w:rsid w:val="4D077F3C"/>
    <w:rsid w:val="4D123355"/>
    <w:rsid w:val="4D2A3B31"/>
    <w:rsid w:val="4D312C52"/>
    <w:rsid w:val="4D3739A2"/>
    <w:rsid w:val="4D905305"/>
    <w:rsid w:val="4D964A72"/>
    <w:rsid w:val="4D9B0297"/>
    <w:rsid w:val="4D9C1254"/>
    <w:rsid w:val="4DB90697"/>
    <w:rsid w:val="4E434405"/>
    <w:rsid w:val="4E613ED8"/>
    <w:rsid w:val="4E793892"/>
    <w:rsid w:val="4E7E543D"/>
    <w:rsid w:val="4E800872"/>
    <w:rsid w:val="4EB2493B"/>
    <w:rsid w:val="4EC569ED"/>
    <w:rsid w:val="4ED50EA1"/>
    <w:rsid w:val="4EDA4BB8"/>
    <w:rsid w:val="4EEC050C"/>
    <w:rsid w:val="4EEC05F8"/>
    <w:rsid w:val="4F104EC3"/>
    <w:rsid w:val="4F204D44"/>
    <w:rsid w:val="4F47354A"/>
    <w:rsid w:val="4F911C54"/>
    <w:rsid w:val="4F97238B"/>
    <w:rsid w:val="4FDA66A3"/>
    <w:rsid w:val="4FE625E0"/>
    <w:rsid w:val="500E459E"/>
    <w:rsid w:val="5021480F"/>
    <w:rsid w:val="50962ECB"/>
    <w:rsid w:val="50A42E38"/>
    <w:rsid w:val="50A4577F"/>
    <w:rsid w:val="50B73D1F"/>
    <w:rsid w:val="50BD5BC9"/>
    <w:rsid w:val="50C11EEE"/>
    <w:rsid w:val="50E97CFC"/>
    <w:rsid w:val="50FA4028"/>
    <w:rsid w:val="510D65B7"/>
    <w:rsid w:val="511157AB"/>
    <w:rsid w:val="5142540C"/>
    <w:rsid w:val="518832C8"/>
    <w:rsid w:val="518C7E71"/>
    <w:rsid w:val="519D3C50"/>
    <w:rsid w:val="519F25B5"/>
    <w:rsid w:val="51A0432A"/>
    <w:rsid w:val="51A86090"/>
    <w:rsid w:val="51B7396D"/>
    <w:rsid w:val="51E97071"/>
    <w:rsid w:val="51F2421C"/>
    <w:rsid w:val="522E4CC3"/>
    <w:rsid w:val="5244713B"/>
    <w:rsid w:val="525A1D1D"/>
    <w:rsid w:val="52615633"/>
    <w:rsid w:val="526F4DE4"/>
    <w:rsid w:val="52977FD4"/>
    <w:rsid w:val="52A25790"/>
    <w:rsid w:val="52A96B6F"/>
    <w:rsid w:val="52B45975"/>
    <w:rsid w:val="52D94AA4"/>
    <w:rsid w:val="52EA3A62"/>
    <w:rsid w:val="52F50BB8"/>
    <w:rsid w:val="53097272"/>
    <w:rsid w:val="531D3476"/>
    <w:rsid w:val="53440FCD"/>
    <w:rsid w:val="53544462"/>
    <w:rsid w:val="538D7C3A"/>
    <w:rsid w:val="5397158E"/>
    <w:rsid w:val="53B10F70"/>
    <w:rsid w:val="54013861"/>
    <w:rsid w:val="5427219D"/>
    <w:rsid w:val="54487265"/>
    <w:rsid w:val="544D6070"/>
    <w:rsid w:val="54605E1E"/>
    <w:rsid w:val="547A48F8"/>
    <w:rsid w:val="54B3506A"/>
    <w:rsid w:val="54CA0D16"/>
    <w:rsid w:val="54D04518"/>
    <w:rsid w:val="54DD4057"/>
    <w:rsid w:val="54E7490F"/>
    <w:rsid w:val="550764A4"/>
    <w:rsid w:val="550B2BF6"/>
    <w:rsid w:val="55214EB5"/>
    <w:rsid w:val="55364EFD"/>
    <w:rsid w:val="553E061B"/>
    <w:rsid w:val="555D4828"/>
    <w:rsid w:val="556C5FEF"/>
    <w:rsid w:val="557A4C8B"/>
    <w:rsid w:val="558931E1"/>
    <w:rsid w:val="55923347"/>
    <w:rsid w:val="55925180"/>
    <w:rsid w:val="55983B1B"/>
    <w:rsid w:val="55A8376B"/>
    <w:rsid w:val="55DC29B6"/>
    <w:rsid w:val="55DD4241"/>
    <w:rsid w:val="56090AD6"/>
    <w:rsid w:val="566B6D1E"/>
    <w:rsid w:val="56D86E7D"/>
    <w:rsid w:val="56EB5639"/>
    <w:rsid w:val="57032A2C"/>
    <w:rsid w:val="570F5219"/>
    <w:rsid w:val="575A6321"/>
    <w:rsid w:val="575D12B5"/>
    <w:rsid w:val="57610A87"/>
    <w:rsid w:val="57630A95"/>
    <w:rsid w:val="577B1140"/>
    <w:rsid w:val="577B7F21"/>
    <w:rsid w:val="577F181B"/>
    <w:rsid w:val="57921984"/>
    <w:rsid w:val="579737F0"/>
    <w:rsid w:val="57AB7B30"/>
    <w:rsid w:val="57AF5251"/>
    <w:rsid w:val="57B26373"/>
    <w:rsid w:val="57B63F04"/>
    <w:rsid w:val="57CD20C2"/>
    <w:rsid w:val="57D675AB"/>
    <w:rsid w:val="57D73717"/>
    <w:rsid w:val="57D95FDD"/>
    <w:rsid w:val="58164E5B"/>
    <w:rsid w:val="58917D2F"/>
    <w:rsid w:val="5894085C"/>
    <w:rsid w:val="58AE4F0C"/>
    <w:rsid w:val="58B85899"/>
    <w:rsid w:val="58C25983"/>
    <w:rsid w:val="58E363A9"/>
    <w:rsid w:val="58ED3BB3"/>
    <w:rsid w:val="59166304"/>
    <w:rsid w:val="595E1678"/>
    <w:rsid w:val="596D5BD4"/>
    <w:rsid w:val="597E3DD8"/>
    <w:rsid w:val="59B47F65"/>
    <w:rsid w:val="59C363FA"/>
    <w:rsid w:val="59D356A1"/>
    <w:rsid w:val="59F80043"/>
    <w:rsid w:val="59FB787D"/>
    <w:rsid w:val="5A09252F"/>
    <w:rsid w:val="5A0B2778"/>
    <w:rsid w:val="5A2A7C7B"/>
    <w:rsid w:val="5A3E2560"/>
    <w:rsid w:val="5A413225"/>
    <w:rsid w:val="5A5D3B6E"/>
    <w:rsid w:val="5A637A76"/>
    <w:rsid w:val="5A6D33BA"/>
    <w:rsid w:val="5A767910"/>
    <w:rsid w:val="5A792B1F"/>
    <w:rsid w:val="5A874767"/>
    <w:rsid w:val="5AA85BE2"/>
    <w:rsid w:val="5AAD6F28"/>
    <w:rsid w:val="5AB325AA"/>
    <w:rsid w:val="5ACA36EA"/>
    <w:rsid w:val="5ACE14FA"/>
    <w:rsid w:val="5AD308BE"/>
    <w:rsid w:val="5AD63A24"/>
    <w:rsid w:val="5B2E1A1D"/>
    <w:rsid w:val="5B4041A6"/>
    <w:rsid w:val="5B556755"/>
    <w:rsid w:val="5B843A1C"/>
    <w:rsid w:val="5B873E3F"/>
    <w:rsid w:val="5B9A17D8"/>
    <w:rsid w:val="5BD963A8"/>
    <w:rsid w:val="5C02690E"/>
    <w:rsid w:val="5C11169E"/>
    <w:rsid w:val="5C196DA7"/>
    <w:rsid w:val="5C2A048C"/>
    <w:rsid w:val="5C80234E"/>
    <w:rsid w:val="5C8A680C"/>
    <w:rsid w:val="5D0336DD"/>
    <w:rsid w:val="5D0C4701"/>
    <w:rsid w:val="5D0F0395"/>
    <w:rsid w:val="5D221076"/>
    <w:rsid w:val="5D2B49E2"/>
    <w:rsid w:val="5D35760E"/>
    <w:rsid w:val="5D397964"/>
    <w:rsid w:val="5D5A391C"/>
    <w:rsid w:val="5D5F10C0"/>
    <w:rsid w:val="5D7E07CE"/>
    <w:rsid w:val="5D891B7B"/>
    <w:rsid w:val="5DAD38EE"/>
    <w:rsid w:val="5DB20C5F"/>
    <w:rsid w:val="5DB26EB1"/>
    <w:rsid w:val="5DD86807"/>
    <w:rsid w:val="5E006862"/>
    <w:rsid w:val="5E0207B9"/>
    <w:rsid w:val="5E033269"/>
    <w:rsid w:val="5E1834A1"/>
    <w:rsid w:val="5E261785"/>
    <w:rsid w:val="5E4A7017"/>
    <w:rsid w:val="5E552BBA"/>
    <w:rsid w:val="5E611C10"/>
    <w:rsid w:val="5E6B4549"/>
    <w:rsid w:val="5E745F14"/>
    <w:rsid w:val="5E7A0F3F"/>
    <w:rsid w:val="5EBB228E"/>
    <w:rsid w:val="5ED94EE3"/>
    <w:rsid w:val="5EFC7377"/>
    <w:rsid w:val="5F06174D"/>
    <w:rsid w:val="5F296CFF"/>
    <w:rsid w:val="5F3A3602"/>
    <w:rsid w:val="5F45733B"/>
    <w:rsid w:val="5F6277C6"/>
    <w:rsid w:val="5F6D0B1D"/>
    <w:rsid w:val="5F8D0B82"/>
    <w:rsid w:val="5FCC5339"/>
    <w:rsid w:val="5FE34A5B"/>
    <w:rsid w:val="5FFE1E36"/>
    <w:rsid w:val="60232584"/>
    <w:rsid w:val="604858AA"/>
    <w:rsid w:val="607330CE"/>
    <w:rsid w:val="60825176"/>
    <w:rsid w:val="609F2AC4"/>
    <w:rsid w:val="60AA3E6F"/>
    <w:rsid w:val="60FA2EE8"/>
    <w:rsid w:val="61054A27"/>
    <w:rsid w:val="610A52BC"/>
    <w:rsid w:val="611D2366"/>
    <w:rsid w:val="61421856"/>
    <w:rsid w:val="615227C4"/>
    <w:rsid w:val="61654E3F"/>
    <w:rsid w:val="617D4CA1"/>
    <w:rsid w:val="6182292A"/>
    <w:rsid w:val="619F7F92"/>
    <w:rsid w:val="61B80092"/>
    <w:rsid w:val="61D40CC4"/>
    <w:rsid w:val="61D70C94"/>
    <w:rsid w:val="61F94C26"/>
    <w:rsid w:val="62000E56"/>
    <w:rsid w:val="62062546"/>
    <w:rsid w:val="621568AF"/>
    <w:rsid w:val="624F3E49"/>
    <w:rsid w:val="62632286"/>
    <w:rsid w:val="62745016"/>
    <w:rsid w:val="62885958"/>
    <w:rsid w:val="62F40B65"/>
    <w:rsid w:val="62FC2CFE"/>
    <w:rsid w:val="63024505"/>
    <w:rsid w:val="630D4AA8"/>
    <w:rsid w:val="631C2EA1"/>
    <w:rsid w:val="635600A5"/>
    <w:rsid w:val="635B1DB5"/>
    <w:rsid w:val="63711FED"/>
    <w:rsid w:val="63844520"/>
    <w:rsid w:val="63880DDC"/>
    <w:rsid w:val="638D750D"/>
    <w:rsid w:val="63AC303E"/>
    <w:rsid w:val="63AC6CC0"/>
    <w:rsid w:val="63B6568A"/>
    <w:rsid w:val="64055776"/>
    <w:rsid w:val="64240056"/>
    <w:rsid w:val="64354398"/>
    <w:rsid w:val="643B7C00"/>
    <w:rsid w:val="643E143A"/>
    <w:rsid w:val="64491666"/>
    <w:rsid w:val="64513B18"/>
    <w:rsid w:val="648B6EEF"/>
    <w:rsid w:val="64C158BF"/>
    <w:rsid w:val="64CE2EAA"/>
    <w:rsid w:val="653C3090"/>
    <w:rsid w:val="65854376"/>
    <w:rsid w:val="658767BE"/>
    <w:rsid w:val="65892531"/>
    <w:rsid w:val="65AB2B63"/>
    <w:rsid w:val="660478F9"/>
    <w:rsid w:val="66195831"/>
    <w:rsid w:val="6621370F"/>
    <w:rsid w:val="662A2C07"/>
    <w:rsid w:val="662E75B1"/>
    <w:rsid w:val="66342C2E"/>
    <w:rsid w:val="66351FA8"/>
    <w:rsid w:val="663E784C"/>
    <w:rsid w:val="667B2536"/>
    <w:rsid w:val="668B6A45"/>
    <w:rsid w:val="66CC1A50"/>
    <w:rsid w:val="66E939DF"/>
    <w:rsid w:val="670B35FF"/>
    <w:rsid w:val="672F3F24"/>
    <w:rsid w:val="673E055F"/>
    <w:rsid w:val="67551CE3"/>
    <w:rsid w:val="67A22552"/>
    <w:rsid w:val="67AF2DF0"/>
    <w:rsid w:val="67B22DCC"/>
    <w:rsid w:val="67BE71AA"/>
    <w:rsid w:val="67D90273"/>
    <w:rsid w:val="67DE5875"/>
    <w:rsid w:val="67E55852"/>
    <w:rsid w:val="67E934CF"/>
    <w:rsid w:val="67EB1AB4"/>
    <w:rsid w:val="67FA1285"/>
    <w:rsid w:val="680D06AF"/>
    <w:rsid w:val="6850356F"/>
    <w:rsid w:val="68551F4F"/>
    <w:rsid w:val="686F108A"/>
    <w:rsid w:val="687C10C9"/>
    <w:rsid w:val="68840C16"/>
    <w:rsid w:val="68876EFB"/>
    <w:rsid w:val="68884654"/>
    <w:rsid w:val="689F444F"/>
    <w:rsid w:val="68B96DBB"/>
    <w:rsid w:val="68CA2805"/>
    <w:rsid w:val="68DF7ED9"/>
    <w:rsid w:val="68E63EB3"/>
    <w:rsid w:val="68E937A3"/>
    <w:rsid w:val="693E15D3"/>
    <w:rsid w:val="69627681"/>
    <w:rsid w:val="6977531D"/>
    <w:rsid w:val="69976406"/>
    <w:rsid w:val="69992CD3"/>
    <w:rsid w:val="69CC2BFF"/>
    <w:rsid w:val="69D56401"/>
    <w:rsid w:val="69EC54F9"/>
    <w:rsid w:val="69FD55B8"/>
    <w:rsid w:val="6A0B1C62"/>
    <w:rsid w:val="6A2406C8"/>
    <w:rsid w:val="6A294057"/>
    <w:rsid w:val="6A4D7345"/>
    <w:rsid w:val="6A5118AB"/>
    <w:rsid w:val="6A914DAB"/>
    <w:rsid w:val="6AA8559A"/>
    <w:rsid w:val="6AC30A9F"/>
    <w:rsid w:val="6ADE0BD1"/>
    <w:rsid w:val="6AE96859"/>
    <w:rsid w:val="6B147746"/>
    <w:rsid w:val="6B24787C"/>
    <w:rsid w:val="6B454EC0"/>
    <w:rsid w:val="6B573233"/>
    <w:rsid w:val="6B593D2B"/>
    <w:rsid w:val="6B5B6274"/>
    <w:rsid w:val="6B6A0DCB"/>
    <w:rsid w:val="6B8754D9"/>
    <w:rsid w:val="6B935D53"/>
    <w:rsid w:val="6C196F71"/>
    <w:rsid w:val="6C226FCB"/>
    <w:rsid w:val="6C240F7A"/>
    <w:rsid w:val="6C31226F"/>
    <w:rsid w:val="6C552F0B"/>
    <w:rsid w:val="6C8C67B7"/>
    <w:rsid w:val="6C9D744C"/>
    <w:rsid w:val="6D167928"/>
    <w:rsid w:val="6D26299B"/>
    <w:rsid w:val="6D2E6DFC"/>
    <w:rsid w:val="6D4772EC"/>
    <w:rsid w:val="6D506896"/>
    <w:rsid w:val="6D68758C"/>
    <w:rsid w:val="6D9078AF"/>
    <w:rsid w:val="6DA44BC4"/>
    <w:rsid w:val="6DAA3FEF"/>
    <w:rsid w:val="6DC0172B"/>
    <w:rsid w:val="6DCB690C"/>
    <w:rsid w:val="6DD41A5B"/>
    <w:rsid w:val="6DF43C2E"/>
    <w:rsid w:val="6DF51CA3"/>
    <w:rsid w:val="6E0E5412"/>
    <w:rsid w:val="6E2C0FAA"/>
    <w:rsid w:val="6E8335BD"/>
    <w:rsid w:val="6E8E12EF"/>
    <w:rsid w:val="6E972936"/>
    <w:rsid w:val="6EAF7707"/>
    <w:rsid w:val="6ED446C5"/>
    <w:rsid w:val="6F2A7D94"/>
    <w:rsid w:val="6F2B7F92"/>
    <w:rsid w:val="6F8331F1"/>
    <w:rsid w:val="6F944668"/>
    <w:rsid w:val="6FAE1A09"/>
    <w:rsid w:val="6FD75BF8"/>
    <w:rsid w:val="703B63C5"/>
    <w:rsid w:val="707723D0"/>
    <w:rsid w:val="70CE5958"/>
    <w:rsid w:val="70F5661B"/>
    <w:rsid w:val="7113780F"/>
    <w:rsid w:val="713559D7"/>
    <w:rsid w:val="71360107"/>
    <w:rsid w:val="713B688E"/>
    <w:rsid w:val="71D43752"/>
    <w:rsid w:val="71F1796A"/>
    <w:rsid w:val="72111FA0"/>
    <w:rsid w:val="72154626"/>
    <w:rsid w:val="72262B5D"/>
    <w:rsid w:val="72283FF7"/>
    <w:rsid w:val="722E7212"/>
    <w:rsid w:val="723A0474"/>
    <w:rsid w:val="725923E4"/>
    <w:rsid w:val="72864BF7"/>
    <w:rsid w:val="729023FC"/>
    <w:rsid w:val="731004AA"/>
    <w:rsid w:val="732B52E4"/>
    <w:rsid w:val="73495F19"/>
    <w:rsid w:val="73781BAB"/>
    <w:rsid w:val="739F35DC"/>
    <w:rsid w:val="73C0646E"/>
    <w:rsid w:val="74027161"/>
    <w:rsid w:val="74035919"/>
    <w:rsid w:val="742222F5"/>
    <w:rsid w:val="74314F69"/>
    <w:rsid w:val="74476126"/>
    <w:rsid w:val="74706664"/>
    <w:rsid w:val="747F3682"/>
    <w:rsid w:val="749C4185"/>
    <w:rsid w:val="75067759"/>
    <w:rsid w:val="75263FB5"/>
    <w:rsid w:val="752E6DCD"/>
    <w:rsid w:val="7551380D"/>
    <w:rsid w:val="75600BE5"/>
    <w:rsid w:val="7564475C"/>
    <w:rsid w:val="7583797F"/>
    <w:rsid w:val="75B95D13"/>
    <w:rsid w:val="75D20F1D"/>
    <w:rsid w:val="75DA2C18"/>
    <w:rsid w:val="75DE488F"/>
    <w:rsid w:val="75F54412"/>
    <w:rsid w:val="761D08E0"/>
    <w:rsid w:val="765406AD"/>
    <w:rsid w:val="765D347C"/>
    <w:rsid w:val="766308F1"/>
    <w:rsid w:val="76826699"/>
    <w:rsid w:val="76C87133"/>
    <w:rsid w:val="76CD08D5"/>
    <w:rsid w:val="76DB4B92"/>
    <w:rsid w:val="76FC657A"/>
    <w:rsid w:val="77052AA4"/>
    <w:rsid w:val="77136511"/>
    <w:rsid w:val="77340A39"/>
    <w:rsid w:val="77351FD0"/>
    <w:rsid w:val="77472422"/>
    <w:rsid w:val="775C1159"/>
    <w:rsid w:val="777F31F2"/>
    <w:rsid w:val="77976AA4"/>
    <w:rsid w:val="77D1700D"/>
    <w:rsid w:val="77EC04CC"/>
    <w:rsid w:val="780072A5"/>
    <w:rsid w:val="78127CBC"/>
    <w:rsid w:val="78775729"/>
    <w:rsid w:val="7899684C"/>
    <w:rsid w:val="78A42DB0"/>
    <w:rsid w:val="78A656AB"/>
    <w:rsid w:val="78B2245C"/>
    <w:rsid w:val="78DD498A"/>
    <w:rsid w:val="78E172CC"/>
    <w:rsid w:val="78EA1D1F"/>
    <w:rsid w:val="78ED0288"/>
    <w:rsid w:val="7904172F"/>
    <w:rsid w:val="790F7E27"/>
    <w:rsid w:val="79102FB2"/>
    <w:rsid w:val="79256331"/>
    <w:rsid w:val="792A231A"/>
    <w:rsid w:val="79316829"/>
    <w:rsid w:val="79481994"/>
    <w:rsid w:val="79483626"/>
    <w:rsid w:val="797E66A9"/>
    <w:rsid w:val="798518A4"/>
    <w:rsid w:val="79A97383"/>
    <w:rsid w:val="79E27E8B"/>
    <w:rsid w:val="79F850CE"/>
    <w:rsid w:val="79FD443C"/>
    <w:rsid w:val="7A0D74F1"/>
    <w:rsid w:val="7A1D1975"/>
    <w:rsid w:val="7A3E5150"/>
    <w:rsid w:val="7A4670D6"/>
    <w:rsid w:val="7A534B63"/>
    <w:rsid w:val="7A5870AD"/>
    <w:rsid w:val="7A615382"/>
    <w:rsid w:val="7A67303B"/>
    <w:rsid w:val="7A9A5250"/>
    <w:rsid w:val="7AAB1D04"/>
    <w:rsid w:val="7AAC7F07"/>
    <w:rsid w:val="7ABA4368"/>
    <w:rsid w:val="7AC34054"/>
    <w:rsid w:val="7AD05746"/>
    <w:rsid w:val="7B257FFD"/>
    <w:rsid w:val="7B343476"/>
    <w:rsid w:val="7B3665D4"/>
    <w:rsid w:val="7B5A2978"/>
    <w:rsid w:val="7B5A7E4C"/>
    <w:rsid w:val="7B667AF9"/>
    <w:rsid w:val="7B7468F8"/>
    <w:rsid w:val="7BEE0103"/>
    <w:rsid w:val="7BF70459"/>
    <w:rsid w:val="7C0A0FE4"/>
    <w:rsid w:val="7C104EE0"/>
    <w:rsid w:val="7C254906"/>
    <w:rsid w:val="7C590818"/>
    <w:rsid w:val="7C7C10F6"/>
    <w:rsid w:val="7C853BEA"/>
    <w:rsid w:val="7C881368"/>
    <w:rsid w:val="7CC145C3"/>
    <w:rsid w:val="7CE27788"/>
    <w:rsid w:val="7D0C32F1"/>
    <w:rsid w:val="7D0F408D"/>
    <w:rsid w:val="7D3B52B8"/>
    <w:rsid w:val="7D3B65D0"/>
    <w:rsid w:val="7D491C6C"/>
    <w:rsid w:val="7D496A92"/>
    <w:rsid w:val="7D4B344F"/>
    <w:rsid w:val="7D5429C0"/>
    <w:rsid w:val="7D6E6D43"/>
    <w:rsid w:val="7DB57A34"/>
    <w:rsid w:val="7DE60973"/>
    <w:rsid w:val="7DEF0916"/>
    <w:rsid w:val="7DF52174"/>
    <w:rsid w:val="7DFE34EA"/>
    <w:rsid w:val="7E0429B9"/>
    <w:rsid w:val="7E1E5218"/>
    <w:rsid w:val="7E405EBE"/>
    <w:rsid w:val="7E5E47BF"/>
    <w:rsid w:val="7E7A49CB"/>
    <w:rsid w:val="7E7F64E4"/>
    <w:rsid w:val="7E891110"/>
    <w:rsid w:val="7E9A4E1F"/>
    <w:rsid w:val="7EA7723A"/>
    <w:rsid w:val="7EE064C6"/>
    <w:rsid w:val="7EF56FBB"/>
    <w:rsid w:val="7F0768EB"/>
    <w:rsid w:val="7F143BEC"/>
    <w:rsid w:val="7F4549B0"/>
    <w:rsid w:val="7F501F51"/>
    <w:rsid w:val="7F5B0CFF"/>
    <w:rsid w:val="7F65392B"/>
    <w:rsid w:val="7F715AF2"/>
    <w:rsid w:val="7F7F5ED1"/>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qFormat="1" w:unhideWhenUsed="0" w:uiPriority="99"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qFormat="1" w:unhideWhenUsed="0" w:uiPriority="99" w:semiHidden="0" w:name="envelope return"/>
    <w:lsdException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qFormat="1" w:unhideWhenUsed="0" w:uiPriority="0" w:semiHidden="0" w:name="List"/>
    <w:lsdException w:unhideWhenUsed="0" w:uiPriority="99" w:semiHidden="0" w:name="List Bullet"/>
    <w:lsdException w:qFormat="1" w:unhideWhenUsed="0" w:uiPriority="0" w:semiHidden="0" w:name="List Number"/>
    <w:lsdException w:qFormat="1" w:unhideWhenUsed="0" w:uiPriority="0" w:semiHidden="0" w:name="List 2"/>
    <w:lsdException w:unhideWhenUsed="0" w:uiPriority="99" w:semiHidden="0" w:name="List 3"/>
    <w:lsdException w:unhideWhenUsed="0" w:uiPriority="99"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99"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99"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qFormat="1" w:unhideWhenUsed="0" w:uiPriority="0" w:semiHidden="0" w:name="HTML Address"/>
    <w:lsdException w:unhideWhenUsed="0" w:uiPriority="99" w:semiHidden="0" w:name="HTML Cite"/>
    <w:lsdException w:qFormat="1" w:unhideWhenUsed="0" w:uiPriority="0" w:semiHidden="0" w:name="HTML Code"/>
    <w:lsdException w:unhideWhenUsed="0" w:uiPriority="99" w:semiHidden="0" w:name="HTML Definition"/>
    <w:lsdException w:unhideWhenUsed="0" w:uiPriority="99" w:semiHidden="0" w:name="HTML Keyboard"/>
    <w:lsdException w:qFormat="1" w:unhideWhenUsed="0" w:uiPriority="0" w:semiHidden="0" w:name="HTML Preformatted"/>
    <w:lsdException w:qFormat="1" w:unhideWhenUsed="0" w:uiPriority="0"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6"/>
    <w:qFormat/>
    <w:uiPriority w:val="9"/>
    <w:pPr>
      <w:keepNext/>
      <w:keepLines/>
      <w:tabs>
        <w:tab w:val="left" w:pos="432"/>
      </w:tabs>
      <w:snapToGrid w:val="0"/>
      <w:spacing w:line="360" w:lineRule="auto"/>
      <w:jc w:val="center"/>
      <w:outlineLvl w:val="0"/>
    </w:pPr>
    <w:rPr>
      <w:b/>
      <w:bCs/>
      <w:kern w:val="44"/>
      <w:sz w:val="36"/>
      <w:szCs w:val="44"/>
    </w:rPr>
  </w:style>
  <w:style w:type="paragraph" w:styleId="3">
    <w:name w:val="heading 2"/>
    <w:basedOn w:val="1"/>
    <w:next w:val="1"/>
    <w:link w:val="967"/>
    <w:qFormat/>
    <w:uiPriority w:val="0"/>
    <w:pPr>
      <w:keepNext/>
      <w:keepLines/>
      <w:tabs>
        <w:tab w:val="left" w:pos="432"/>
      </w:tabs>
      <w:snapToGrid w:val="0"/>
      <w:spacing w:line="360" w:lineRule="auto"/>
      <w:jc w:val="left"/>
      <w:outlineLvl w:val="1"/>
    </w:pPr>
    <w:rPr>
      <w:rFonts w:ascii="宋体" w:hAnsi="宋体"/>
      <w:b/>
      <w:bCs/>
      <w:sz w:val="24"/>
      <w:szCs w:val="32"/>
      <w:lang w:val="zh-CN"/>
    </w:rPr>
  </w:style>
  <w:style w:type="paragraph" w:styleId="4">
    <w:name w:val="heading 3"/>
    <w:basedOn w:val="1"/>
    <w:next w:val="1"/>
    <w:link w:val="968"/>
    <w:qFormat/>
    <w:uiPriority w:val="0"/>
    <w:pPr>
      <w:keepNext/>
      <w:keepLines/>
      <w:tabs>
        <w:tab w:val="left" w:pos="900"/>
      </w:tabs>
      <w:snapToGrid w:val="0"/>
      <w:spacing w:line="360" w:lineRule="auto"/>
      <w:ind w:firstLine="482" w:firstLineChars="200"/>
      <w:jc w:val="left"/>
      <w:outlineLvl w:val="2"/>
    </w:pPr>
    <w:rPr>
      <w:rFonts w:ascii="宋体" w:hAnsi="宋体"/>
      <w:b/>
      <w:bCs/>
      <w:sz w:val="24"/>
      <w:szCs w:val="32"/>
    </w:rPr>
  </w:style>
  <w:style w:type="paragraph" w:styleId="5">
    <w:name w:val="heading 4"/>
    <w:basedOn w:val="1"/>
    <w:next w:val="1"/>
    <w:link w:val="330"/>
    <w:qFormat/>
    <w:uiPriority w:val="0"/>
    <w:pPr>
      <w:keepNext/>
      <w:keepLines/>
      <w:tabs>
        <w:tab w:val="left" w:pos="864"/>
      </w:tabs>
      <w:snapToGrid w:val="0"/>
      <w:spacing w:line="360" w:lineRule="auto"/>
      <w:outlineLvl w:val="3"/>
    </w:pPr>
    <w:rPr>
      <w:rFonts w:ascii="宋体" w:hAnsi="宋体"/>
      <w:b/>
      <w:bCs/>
      <w:sz w:val="24"/>
      <w:szCs w:val="28"/>
      <w:lang w:val="zh-CN"/>
    </w:rPr>
  </w:style>
  <w:style w:type="paragraph" w:styleId="6">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7"/>
    <w:qFormat/>
    <w:uiPriority w:val="0"/>
    <w:pPr>
      <w:widowControl/>
      <w:snapToGrid w:val="0"/>
      <w:spacing w:line="480" w:lineRule="exact"/>
      <w:ind w:firstLine="567"/>
    </w:pPr>
    <w:rPr>
      <w:rFonts w:ascii="宋体"/>
      <w:color w:val="000000"/>
      <w:kern w:val="28"/>
      <w:sz w:val="28"/>
      <w:szCs w:val="20"/>
    </w:rPr>
  </w:style>
  <w:style w:type="paragraph" w:styleId="16">
    <w:name w:val="caption"/>
    <w:basedOn w:val="1"/>
    <w:next w:val="1"/>
    <w:link w:val="233"/>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6"/>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1"/>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3"/>
    <w:qFormat/>
    <w:uiPriority w:val="0"/>
    <w:pPr>
      <w:autoSpaceDE w:val="0"/>
      <w:autoSpaceDN w:val="0"/>
      <w:spacing w:line="360" w:lineRule="auto"/>
    </w:pPr>
    <w:rPr>
      <w:rFonts w:ascii="宋体" w:hAnsi="Arial" w:cs="Arial"/>
      <w:sz w:val="24"/>
      <w:szCs w:val="21"/>
      <w:lang w:val="zh-CN"/>
    </w:rPr>
  </w:style>
  <w:style w:type="paragraph" w:customStyle="1" w:styleId="24">
    <w:name w:val="Default"/>
    <w:next w:val="25"/>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26">
    <w:name w:val="Body Text Indent"/>
    <w:basedOn w:val="1"/>
    <w:next w:val="1"/>
    <w:link w:val="268"/>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30"/>
    <w:qFormat/>
    <w:uiPriority w:val="0"/>
    <w:rPr>
      <w:rFonts w:ascii="宋体" w:hAnsi="Courier New" w:cs="Arial"/>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5"/>
    <w:qFormat/>
    <w:uiPriority w:val="0"/>
    <w:pPr>
      <w:ind w:left="100" w:leftChars="2500"/>
    </w:pPr>
    <w:rPr>
      <w:rFonts w:ascii="宋体"/>
      <w:sz w:val="24"/>
      <w:szCs w:val="21"/>
      <w:lang w:val="zh-CN"/>
    </w:rPr>
  </w:style>
  <w:style w:type="paragraph" w:styleId="38">
    <w:name w:val="Body Text Indent 2"/>
    <w:basedOn w:val="1"/>
    <w:link w:val="311"/>
    <w:qFormat/>
    <w:uiPriority w:val="0"/>
    <w:pPr>
      <w:spacing w:line="360" w:lineRule="auto"/>
      <w:ind w:firstLine="601"/>
    </w:pPr>
    <w:rPr>
      <w:rFonts w:ascii="宋体"/>
      <w:kern w:val="0"/>
      <w:sz w:val="28"/>
      <w:szCs w:val="20"/>
    </w:rPr>
  </w:style>
  <w:style w:type="paragraph" w:styleId="39">
    <w:name w:val="endnote text"/>
    <w:basedOn w:val="1"/>
    <w:link w:val="934"/>
    <w:qFormat/>
    <w:uiPriority w:val="0"/>
    <w:rPr>
      <w:lang w:val="zh-CN"/>
    </w:rPr>
  </w:style>
  <w:style w:type="paragraph" w:styleId="40">
    <w:name w:val="Balloon Text"/>
    <w:basedOn w:val="1"/>
    <w:link w:val="192"/>
    <w:qFormat/>
    <w:uiPriority w:val="0"/>
    <w:rPr>
      <w:sz w:val="18"/>
      <w:szCs w:val="18"/>
    </w:rPr>
  </w:style>
  <w:style w:type="paragraph" w:styleId="41">
    <w:name w:val="footer"/>
    <w:basedOn w:val="1"/>
    <w:link w:val="386"/>
    <w:qFormat/>
    <w:uiPriority w:val="99"/>
    <w:pPr>
      <w:tabs>
        <w:tab w:val="center" w:pos="4153"/>
        <w:tab w:val="right" w:pos="8306"/>
      </w:tabs>
      <w:snapToGrid w:val="0"/>
      <w:jc w:val="left"/>
    </w:pPr>
    <w:rPr>
      <w:sz w:val="18"/>
      <w:szCs w:val="18"/>
    </w:rPr>
  </w:style>
  <w:style w:type="paragraph" w:styleId="42">
    <w:name w:val="envelope return"/>
    <w:basedOn w:val="1"/>
    <w:qFormat/>
    <w:uiPriority w:val="99"/>
    <w:pPr>
      <w:snapToGrid w:val="0"/>
    </w:pPr>
    <w:rPr>
      <w:rFonts w:ascii="Arial" w:hAnsi="Arial"/>
    </w:rPr>
  </w:style>
  <w:style w:type="paragraph" w:styleId="43">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8"/>
    <w:qFormat/>
    <w:uiPriority w:val="0"/>
    <w:pPr>
      <w:spacing w:after="600" w:line="312" w:lineRule="atLeast"/>
      <w:jc w:val="center"/>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5"/>
    <w:link w:val="313"/>
    <w:qFormat/>
    <w:uiPriority w:val="0"/>
    <w:pPr>
      <w:adjustRightInd/>
      <w:snapToGrid/>
      <w:spacing w:before="60" w:after="60" w:line="300" w:lineRule="exact"/>
      <w:ind w:firstLine="0"/>
    </w:pPr>
    <w:rPr>
      <w:rFonts w:ascii="Calibri"/>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8"/>
    <w:qFormat/>
    <w:uiPriority w:val="0"/>
    <w:pPr>
      <w:spacing w:line="360" w:lineRule="auto"/>
      <w:ind w:firstLine="420"/>
    </w:pPr>
    <w:rPr>
      <w:sz w:val="24"/>
      <w:szCs w:val="20"/>
    </w:rPr>
  </w:style>
  <w:style w:type="paragraph" w:styleId="56">
    <w:name w:val="index 7"/>
    <w:basedOn w:val="1"/>
    <w:next w:val="1"/>
    <w:semiHidden/>
    <w:qFormat/>
    <w:uiPriority w:val="99"/>
    <w:pPr>
      <w:ind w:left="1200" w:leftChars="1200"/>
    </w:p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5"/>
    <w:qFormat/>
    <w:uiPriority w:val="0"/>
    <w:pPr>
      <w:spacing w:after="120" w:line="480" w:lineRule="auto"/>
    </w:pPr>
  </w:style>
  <w:style w:type="paragraph" w:styleId="60">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89"/>
    <w:qFormat/>
    <w:uiPriority w:val="10"/>
    <w:pPr>
      <w:widowControl/>
      <w:overflowPunct w:val="0"/>
      <w:autoSpaceDE w:val="0"/>
      <w:autoSpaceDN w:val="0"/>
      <w:jc w:val="center"/>
    </w:pPr>
    <w:rPr>
      <w:b/>
      <w:kern w:val="0"/>
      <w:sz w:val="24"/>
      <w:szCs w:val="20"/>
      <w:lang w:val="en-GB"/>
    </w:rPr>
  </w:style>
  <w:style w:type="paragraph" w:styleId="63">
    <w:name w:val="annotation subject"/>
    <w:basedOn w:val="19"/>
    <w:next w:val="19"/>
    <w:link w:val="101"/>
    <w:qFormat/>
    <w:uiPriority w:val="0"/>
    <w:rPr>
      <w:b/>
      <w:bCs/>
    </w:rPr>
  </w:style>
  <w:style w:type="paragraph" w:styleId="64">
    <w:name w:val="Body Text First Indent"/>
    <w:basedOn w:val="1"/>
    <w:link w:val="324"/>
    <w:qFormat/>
    <w:uiPriority w:val="0"/>
    <w:pPr>
      <w:ind w:firstLine="420"/>
    </w:pPr>
    <w:rPr>
      <w:rFonts w:hAnsi="Calibri"/>
      <w:szCs w:val="20"/>
    </w:rPr>
  </w:style>
  <w:style w:type="paragraph" w:styleId="65">
    <w:name w:val="Body Text First Indent 2"/>
    <w:basedOn w:val="26"/>
    <w:next w:val="1"/>
    <w:link w:val="126"/>
    <w:qFormat/>
    <w:uiPriority w:val="0"/>
    <w:pPr>
      <w:adjustRightInd/>
      <w:spacing w:after="120" w:line="240" w:lineRule="auto"/>
      <w:ind w:left="420" w:leftChars="200" w:firstLine="210"/>
    </w:pPr>
    <w:rPr>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kern w:val="0"/>
      <w:szCs w:val="21"/>
    </w:rPr>
  </w:style>
  <w:style w:type="character" w:styleId="77">
    <w:name w:val="FollowedHyperlink"/>
    <w:qFormat/>
    <w:uiPriority w:val="99"/>
    <w:rPr>
      <w:rFonts w:ascii="Arial" w:hAnsi="Arial" w:eastAsia="黑体" w:cs="Arial"/>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kern w:val="0"/>
      <w:szCs w:val="21"/>
    </w:rPr>
  </w:style>
  <w:style w:type="character" w:styleId="80">
    <w:name w:val="Hyperlink"/>
    <w:qFormat/>
    <w:uiPriority w:val="99"/>
    <w:rPr>
      <w:rFonts w:ascii="Arial" w:hAnsi="Arial" w:eastAsia="黑体" w:cs="Arial"/>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character" w:styleId="83">
    <w:name w:val="HTML Sample"/>
    <w:basedOn w:val="73"/>
    <w:qFormat/>
    <w:uiPriority w:val="0"/>
    <w:rPr>
      <w:rFonts w:ascii="Courier New" w:hAnsi="Courier New"/>
    </w:rPr>
  </w:style>
  <w:style w:type="paragraph" w:customStyle="1" w:styleId="84">
    <w:name w:val="无间隔1"/>
    <w:next w:val="16"/>
    <w:link w:val="144"/>
    <w:qFormat/>
    <w:uiPriority w:val="1"/>
    <w:rPr>
      <w:rFonts w:ascii="Times New Roman" w:hAnsi="Times New Roman" w:eastAsia="宋体" w:cs="Times New Roman"/>
      <w:sz w:val="22"/>
      <w:szCs w:val="22"/>
      <w:lang w:val="en-US" w:eastAsia="zh-CN" w:bidi="ar-SA"/>
    </w:rPr>
  </w:style>
  <w:style w:type="paragraph" w:customStyle="1" w:styleId="85">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表格非标题文字 Char"/>
    <w:link w:val="88"/>
    <w:qFormat/>
    <w:uiPriority w:val="0"/>
    <w:rPr>
      <w:rFonts w:ascii="Futura Bk" w:hAnsi="Futura Bk"/>
      <w:kern w:val="2"/>
      <w:sz w:val="18"/>
      <w:szCs w:val="21"/>
      <w:lang w:val="en-US" w:eastAsia="zh-CN" w:bidi="ar-SA"/>
    </w:rPr>
  </w:style>
  <w:style w:type="paragraph" w:customStyle="1" w:styleId="88">
    <w:name w:val="表格非标题文字"/>
    <w:link w:val="8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9">
    <w:name w:val="*正文 Char"/>
    <w:link w:val="90"/>
    <w:qFormat/>
    <w:uiPriority w:val="0"/>
    <w:rPr>
      <w:rFonts w:ascii="宋体" w:hAnsi="宋体"/>
      <w:sz w:val="24"/>
    </w:rPr>
  </w:style>
  <w:style w:type="paragraph" w:customStyle="1" w:styleId="90">
    <w:name w:val="*正文"/>
    <w:basedOn w:val="1"/>
    <w:link w:val="89"/>
    <w:qFormat/>
    <w:uiPriority w:val="0"/>
    <w:pPr>
      <w:snapToGrid w:val="0"/>
      <w:spacing w:line="360" w:lineRule="auto"/>
      <w:ind w:firstLine="482"/>
      <w:jc w:val="left"/>
    </w:pPr>
    <w:rPr>
      <w:rFonts w:ascii="宋体" w:hAnsi="宋体"/>
      <w:kern w:val="0"/>
      <w:sz w:val="24"/>
      <w:szCs w:val="20"/>
    </w:rPr>
  </w:style>
  <w:style w:type="character" w:customStyle="1" w:styleId="91">
    <w:name w:val="Char Char71"/>
    <w:semiHidden/>
    <w:qFormat/>
    <w:uiPriority w:val="0"/>
    <w:rPr>
      <w:rFonts w:eastAsia="宋体"/>
      <w:kern w:val="2"/>
      <w:sz w:val="21"/>
      <w:szCs w:val="24"/>
      <w:lang w:val="en-US" w:eastAsia="zh-CN" w:bidi="ar-SA"/>
    </w:rPr>
  </w:style>
  <w:style w:type="character" w:customStyle="1" w:styleId="92">
    <w:name w:val="Char Char6"/>
    <w:qFormat/>
    <w:uiPriority w:val="0"/>
    <w:rPr>
      <w:rFonts w:eastAsia="宋体"/>
      <w:kern w:val="2"/>
      <w:sz w:val="21"/>
      <w:szCs w:val="24"/>
      <w:lang w:val="en-US" w:eastAsia="zh-CN" w:bidi="ar-SA"/>
    </w:rPr>
  </w:style>
  <w:style w:type="character" w:customStyle="1" w:styleId="93">
    <w:name w:val="正文缩进 Char"/>
    <w:qFormat/>
    <w:uiPriority w:val="0"/>
    <w:rPr>
      <w:rFonts w:eastAsia="宋体"/>
      <w:kern w:val="2"/>
      <w:sz w:val="21"/>
      <w:lang w:val="en-US" w:eastAsia="zh-CN"/>
    </w:rPr>
  </w:style>
  <w:style w:type="character" w:customStyle="1" w:styleId="94">
    <w:name w:val="正文首行缩进 Char1"/>
    <w:qFormat/>
    <w:uiPriority w:val="0"/>
    <w:rPr>
      <w:rFonts w:ascii="宋体" w:hAnsi="Times New Roman" w:eastAsia="宋体" w:cs="Times New Roman"/>
      <w:kern w:val="2"/>
      <w:sz w:val="24"/>
      <w:szCs w:val="21"/>
      <w:lang w:val="zh-CN"/>
    </w:rPr>
  </w:style>
  <w:style w:type="character" w:customStyle="1" w:styleId="95">
    <w:name w:val="Char Char28"/>
    <w:qFormat/>
    <w:uiPriority w:val="6"/>
    <w:rPr>
      <w:rFonts w:ascii="仿宋_GB2312" w:hAnsi="仿宋_GB2312" w:eastAsia="仿宋_GB2312"/>
      <w:kern w:val="1"/>
      <w:sz w:val="28"/>
    </w:rPr>
  </w:style>
  <w:style w:type="character" w:customStyle="1" w:styleId="9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7">
    <w:name w:val="Heading 1 Char"/>
    <w:qFormat/>
    <w:uiPriority w:val="6"/>
    <w:rPr>
      <w:rFonts w:ascii="Times New Roman" w:hAnsi="Times New Roman" w:eastAsia="黑体" w:cs="Times New Roman"/>
      <w:b/>
      <w:kern w:val="0"/>
      <w:sz w:val="24"/>
      <w:szCs w:val="24"/>
    </w:rPr>
  </w:style>
  <w:style w:type="character" w:customStyle="1" w:styleId="98">
    <w:name w:val="U_正文 Char"/>
    <w:link w:val="99"/>
    <w:qFormat/>
    <w:uiPriority w:val="0"/>
    <w:rPr>
      <w:sz w:val="24"/>
      <w:szCs w:val="24"/>
    </w:rPr>
  </w:style>
  <w:style w:type="paragraph" w:customStyle="1" w:styleId="99">
    <w:name w:val="U_正文"/>
    <w:basedOn w:val="1"/>
    <w:link w:val="98"/>
    <w:qFormat/>
    <w:uiPriority w:val="0"/>
    <w:pPr>
      <w:adjustRightInd/>
      <w:spacing w:beforeLines="20" w:afterLines="20" w:line="300" w:lineRule="auto"/>
      <w:ind w:firstLine="200" w:firstLineChars="200"/>
    </w:pPr>
    <w:rPr>
      <w:kern w:val="0"/>
      <w:sz w:val="24"/>
    </w:rPr>
  </w:style>
  <w:style w:type="character" w:customStyle="1" w:styleId="100">
    <w:name w:val="HTML 地址 Char1"/>
    <w:qFormat/>
    <w:uiPriority w:val="0"/>
    <w:rPr>
      <w:rFonts w:ascii="Times New Roman" w:hAnsi="Times New Roman" w:eastAsia="宋体" w:cs="Times New Roman"/>
      <w:i/>
      <w:iCs/>
      <w:szCs w:val="24"/>
    </w:rPr>
  </w:style>
  <w:style w:type="character" w:customStyle="1" w:styleId="101">
    <w:name w:val="批注主题 字符"/>
    <w:link w:val="63"/>
    <w:qFormat/>
    <w:uiPriority w:val="0"/>
    <w:rPr>
      <w:b/>
      <w:bCs/>
      <w:kern w:val="2"/>
      <w:sz w:val="21"/>
      <w:szCs w:val="24"/>
    </w:rPr>
  </w:style>
  <w:style w:type="character" w:customStyle="1" w:styleId="102">
    <w:name w:val="Char Char51"/>
    <w:qFormat/>
    <w:uiPriority w:val="0"/>
    <w:rPr>
      <w:rFonts w:ascii="宋体" w:hAnsi="Courier New" w:eastAsia="宋体"/>
      <w:kern w:val="2"/>
      <w:sz w:val="21"/>
      <w:lang w:val="en-US" w:eastAsia="zh-CN"/>
    </w:rPr>
  </w:style>
  <w:style w:type="character" w:customStyle="1" w:styleId="103">
    <w:name w:val="表正文 Char"/>
    <w:qFormat/>
    <w:uiPriority w:val="0"/>
    <w:rPr>
      <w:rFonts w:ascii="宋体" w:eastAsia="宋体"/>
      <w:color w:val="000000"/>
      <w:kern w:val="28"/>
      <w:sz w:val="28"/>
      <w:lang w:val="en-US" w:eastAsia="zh-CN" w:bidi="ar-SA"/>
    </w:rPr>
  </w:style>
  <w:style w:type="character" w:customStyle="1" w:styleId="104">
    <w:name w:val="Char Char34"/>
    <w:qFormat/>
    <w:uiPriority w:val="6"/>
    <w:rPr>
      <w:b/>
      <w:kern w:val="1"/>
      <w:sz w:val="28"/>
      <w:szCs w:val="28"/>
    </w:rPr>
  </w:style>
  <w:style w:type="character" w:customStyle="1" w:styleId="105">
    <w:name w:val="Normal Indent Char"/>
    <w:qFormat/>
    <w:uiPriority w:val="0"/>
    <w:rPr>
      <w:rFonts w:ascii="Calibri" w:hAnsi="Calibri" w:eastAsia="宋体" w:cs="黑体"/>
      <w:kern w:val="2"/>
      <w:sz w:val="24"/>
      <w:szCs w:val="22"/>
      <w:lang w:val="en-US" w:eastAsia="zh-CN" w:bidi="ar-SA"/>
    </w:rPr>
  </w:style>
  <w:style w:type="character" w:customStyle="1" w:styleId="106">
    <w:name w:val="哈哈正文 Char"/>
    <w:link w:val="107"/>
    <w:qFormat/>
    <w:uiPriority w:val="0"/>
    <w:rPr>
      <w:rFonts w:ascii="宋体" w:hAnsi="宋体" w:eastAsia="宋体"/>
      <w:kern w:val="2"/>
      <w:sz w:val="24"/>
      <w:lang w:bidi="ar-SA"/>
    </w:rPr>
  </w:style>
  <w:style w:type="paragraph" w:customStyle="1" w:styleId="107">
    <w:name w:val="哈哈正文"/>
    <w:basedOn w:val="1"/>
    <w:link w:val="106"/>
    <w:qFormat/>
    <w:uiPriority w:val="0"/>
    <w:pPr>
      <w:adjustRightInd/>
      <w:spacing w:line="360" w:lineRule="auto"/>
      <w:ind w:firstLine="200" w:firstLineChars="200"/>
    </w:pPr>
    <w:rPr>
      <w:rFonts w:ascii="宋体" w:hAnsi="宋体"/>
      <w:sz w:val="24"/>
      <w:szCs w:val="20"/>
    </w:rPr>
  </w:style>
  <w:style w:type="character" w:customStyle="1" w:styleId="108">
    <w:name w:val="未处理的提及1"/>
    <w:qFormat/>
    <w:uiPriority w:val="0"/>
    <w:rPr>
      <w:color w:val="808080"/>
      <w:shd w:val="clear" w:color="auto" w:fill="E6E6E6"/>
    </w:rPr>
  </w:style>
  <w:style w:type="character" w:customStyle="1" w:styleId="109">
    <w:name w:val="txt"/>
    <w:qFormat/>
    <w:uiPriority w:val="0"/>
    <w:rPr>
      <w:rFonts w:ascii="仿宋_GB2312" w:eastAsia="微软雅黑"/>
      <w:b/>
      <w:kern w:val="2"/>
      <w:sz w:val="32"/>
      <w:szCs w:val="32"/>
      <w:lang w:val="en-US" w:eastAsia="zh-CN" w:bidi="ar-SA"/>
    </w:rPr>
  </w:style>
  <w:style w:type="character" w:customStyle="1" w:styleId="110">
    <w:name w:val="二级标题 Char Char"/>
    <w:qFormat/>
    <w:uiPriority w:val="0"/>
    <w:rPr>
      <w:rFonts w:ascii="宋体" w:hAnsi="宋体" w:eastAsia="宋体"/>
      <w:b/>
      <w:kern w:val="2"/>
      <w:sz w:val="24"/>
      <w:szCs w:val="24"/>
      <w:lang w:val="en-US" w:eastAsia="zh-CN" w:bidi="ar-SA"/>
    </w:rPr>
  </w:style>
  <w:style w:type="character" w:customStyle="1" w:styleId="111">
    <w:name w:val="Char Char32"/>
    <w:qFormat/>
    <w:uiPriority w:val="6"/>
    <w:rPr>
      <w:b/>
      <w:kern w:val="1"/>
      <w:sz w:val="24"/>
      <w:szCs w:val="24"/>
    </w:rPr>
  </w:style>
  <w:style w:type="character" w:customStyle="1" w:styleId="112">
    <w:name w:val="PI Char1"/>
    <w:qFormat/>
    <w:uiPriority w:val="0"/>
    <w:rPr>
      <w:rFonts w:ascii="宋体" w:hAnsi="宋体"/>
      <w:kern w:val="2"/>
      <w:sz w:val="24"/>
      <w:szCs w:val="24"/>
    </w:rPr>
  </w:style>
  <w:style w:type="character" w:customStyle="1" w:styleId="113">
    <w:name w:val="tw4winTerm"/>
    <w:qFormat/>
    <w:uiPriority w:val="0"/>
    <w:rPr>
      <w:color w:val="0000FF"/>
    </w:rPr>
  </w:style>
  <w:style w:type="character" w:customStyle="1" w:styleId="114">
    <w:name w:val="Footer Char"/>
    <w:qFormat/>
    <w:uiPriority w:val="0"/>
    <w:rPr>
      <w:rFonts w:eastAsia="宋体"/>
      <w:kern w:val="2"/>
      <w:sz w:val="18"/>
      <w:lang w:val="en-US" w:eastAsia="zh-CN" w:bidi="ar-SA"/>
    </w:rPr>
  </w:style>
  <w:style w:type="character" w:customStyle="1" w:styleId="115">
    <w:name w:val="普通文字 Char Char1"/>
    <w:qFormat/>
    <w:uiPriority w:val="0"/>
    <w:rPr>
      <w:rFonts w:ascii="宋体" w:hAnsi="Courier New"/>
      <w:kern w:val="2"/>
      <w:sz w:val="21"/>
    </w:rPr>
  </w:style>
  <w:style w:type="character" w:customStyle="1" w:styleId="116">
    <w:name w:val="Char Char101"/>
    <w:qFormat/>
    <w:uiPriority w:val="6"/>
    <w:rPr>
      <w:rFonts w:ascii="宋体" w:hAnsi="宋体"/>
      <w:kern w:val="2"/>
      <w:sz w:val="21"/>
      <w:szCs w:val="24"/>
      <w:lang w:val="en-US" w:eastAsia="zh-CN"/>
    </w:rPr>
  </w:style>
  <w:style w:type="character" w:customStyle="1" w:styleId="117">
    <w:name w:val="标题 4 Char"/>
    <w:qFormat/>
    <w:uiPriority w:val="0"/>
    <w:rPr>
      <w:rFonts w:ascii="Arial" w:hAnsi="Arial" w:eastAsia="黑体"/>
      <w:b/>
      <w:kern w:val="2"/>
      <w:sz w:val="28"/>
    </w:rPr>
  </w:style>
  <w:style w:type="character" w:customStyle="1" w:styleId="118">
    <w:name w:val="链接"/>
    <w:qFormat/>
    <w:uiPriority w:val="0"/>
    <w:rPr>
      <w:color w:val="0000FF"/>
      <w:sz w:val="21"/>
      <w:szCs w:val="21"/>
      <w:u w:val="single"/>
    </w:rPr>
  </w:style>
  <w:style w:type="character" w:customStyle="1" w:styleId="119">
    <w:name w:val="h4 Char"/>
    <w:qFormat/>
    <w:uiPriority w:val="0"/>
    <w:rPr>
      <w:rFonts w:ascii="Arial" w:hAnsi="Arial" w:eastAsia="黑体"/>
      <w:b/>
      <w:bCs/>
      <w:kern w:val="2"/>
      <w:sz w:val="28"/>
      <w:szCs w:val="28"/>
      <w:lang w:val="zh-CN" w:eastAsia="zh-CN" w:bidi="ar-SA"/>
    </w:rPr>
  </w:style>
  <w:style w:type="character" w:customStyle="1" w:styleId="120">
    <w:name w:val="5正文 Char"/>
    <w:link w:val="121"/>
    <w:qFormat/>
    <w:uiPriority w:val="0"/>
    <w:rPr>
      <w:rFonts w:ascii="仿宋_GB2312" w:hAnsi="微软雅黑" w:eastAsia="仿宋_GB2312"/>
      <w:sz w:val="28"/>
      <w:szCs w:val="21"/>
    </w:rPr>
  </w:style>
  <w:style w:type="paragraph" w:customStyle="1" w:styleId="121">
    <w:name w:val="5正文"/>
    <w:basedOn w:val="1"/>
    <w:link w:val="12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2">
    <w:name w:val="标题 3 字符"/>
    <w:qFormat/>
    <w:uiPriority w:val="9"/>
    <w:rPr>
      <w:b/>
      <w:bCs/>
      <w:kern w:val="2"/>
      <w:sz w:val="32"/>
      <w:szCs w:val="32"/>
    </w:rPr>
  </w:style>
  <w:style w:type="character" w:customStyle="1" w:styleId="123">
    <w:name w:val="样式6 Char"/>
    <w:qFormat/>
    <w:uiPriority w:val="0"/>
    <w:rPr>
      <w:rFonts w:ascii="仿宋_GB2312" w:hAnsi="宋体" w:eastAsia="仿宋_GB2312"/>
      <w:b/>
      <w:bCs/>
      <w:kern w:val="2"/>
      <w:sz w:val="24"/>
      <w:szCs w:val="24"/>
      <w:lang w:val="en-US" w:eastAsia="zh-CN" w:bidi="ar-SA"/>
    </w:rPr>
  </w:style>
  <w:style w:type="character" w:customStyle="1" w:styleId="124">
    <w:name w:val="Char Char14"/>
    <w:qFormat/>
    <w:uiPriority w:val="6"/>
    <w:rPr>
      <w:rFonts w:ascii="黑体" w:hAnsi="黑体" w:eastAsia="黑体"/>
    </w:rPr>
  </w:style>
  <w:style w:type="character" w:customStyle="1" w:styleId="125">
    <w:name w:val="Heading 2 Hidden Char"/>
    <w:qFormat/>
    <w:uiPriority w:val="0"/>
    <w:rPr>
      <w:rFonts w:ascii="仿宋_GB2312" w:eastAsia="仿宋_GB2312"/>
      <w:b/>
      <w:bCs/>
      <w:kern w:val="2"/>
      <w:sz w:val="24"/>
      <w:szCs w:val="24"/>
      <w:lang w:val="zh-CN" w:eastAsia="zh-CN" w:bidi="ar-SA"/>
    </w:rPr>
  </w:style>
  <w:style w:type="character" w:customStyle="1" w:styleId="126">
    <w:name w:val="正文首行缩进 2 字符"/>
    <w:link w:val="65"/>
    <w:qFormat/>
    <w:uiPriority w:val="0"/>
    <w:rPr>
      <w:rFonts w:ascii="宋体" w:hAnsi="宋体"/>
      <w:kern w:val="2"/>
      <w:sz w:val="21"/>
      <w:szCs w:val="24"/>
    </w:rPr>
  </w:style>
  <w:style w:type="character" w:customStyle="1" w:styleId="127">
    <w:name w:val="font11"/>
    <w:basedOn w:val="73"/>
    <w:qFormat/>
    <w:uiPriority w:val="0"/>
    <w:rPr>
      <w:rFonts w:hint="default" w:ascii="Times New Roman" w:hAnsi="Times New Roman" w:cs="Times New Roman"/>
      <w:color w:val="000000"/>
      <w:sz w:val="22"/>
      <w:szCs w:val="22"/>
      <w:u w:val="none"/>
    </w:rPr>
  </w:style>
  <w:style w:type="character" w:customStyle="1" w:styleId="128">
    <w:name w:val="表正文 Char1"/>
    <w:qFormat/>
    <w:uiPriority w:val="0"/>
    <w:rPr>
      <w:rFonts w:ascii="宋体" w:eastAsia="宋体"/>
      <w:color w:val="000000"/>
      <w:kern w:val="28"/>
      <w:sz w:val="28"/>
    </w:rPr>
  </w:style>
  <w:style w:type="character" w:customStyle="1" w:styleId="129">
    <w:name w:val="blue1"/>
    <w:basedOn w:val="73"/>
    <w:qFormat/>
    <w:uiPriority w:val="0"/>
    <w:rPr>
      <w:rFonts w:ascii="Arial" w:hAnsi="Arial" w:eastAsia="黑体" w:cs="Arial"/>
      <w:kern w:val="0"/>
      <w:szCs w:val="21"/>
    </w:rPr>
  </w:style>
  <w:style w:type="character" w:customStyle="1" w:styleId="130">
    <w:name w:val="纯文本 字符1"/>
    <w:link w:val="34"/>
    <w:qFormat/>
    <w:uiPriority w:val="0"/>
    <w:rPr>
      <w:rFonts w:ascii="宋体" w:hAnsi="Courier New" w:eastAsia="宋体" w:cs="Arial"/>
      <w:kern w:val="2"/>
      <w:sz w:val="21"/>
      <w:szCs w:val="21"/>
      <w:lang w:val="en-US" w:eastAsia="zh-CN" w:bidi="ar-SA"/>
    </w:rPr>
  </w:style>
  <w:style w:type="character" w:customStyle="1" w:styleId="131">
    <w:name w:val="标书1 Char"/>
    <w:qFormat/>
    <w:uiPriority w:val="0"/>
    <w:rPr>
      <w:rFonts w:eastAsia="宋体"/>
      <w:b/>
      <w:bCs/>
      <w:kern w:val="44"/>
      <w:sz w:val="44"/>
      <w:szCs w:val="44"/>
      <w:lang w:val="en-US" w:eastAsia="zh-CN" w:bidi="ar-SA"/>
    </w:rPr>
  </w:style>
  <w:style w:type="character" w:customStyle="1" w:styleId="132">
    <w:name w:val="样式5 Char"/>
    <w:qFormat/>
    <w:uiPriority w:val="0"/>
    <w:rPr>
      <w:rFonts w:ascii="仿宋_GB2312" w:hAnsi="仿宋" w:eastAsia="仿宋_GB2312"/>
      <w:kern w:val="2"/>
      <w:sz w:val="24"/>
      <w:szCs w:val="24"/>
    </w:rPr>
  </w:style>
  <w:style w:type="character" w:customStyle="1" w:styleId="133">
    <w:name w:val="样式4 Char"/>
    <w:qFormat/>
    <w:uiPriority w:val="0"/>
    <w:rPr>
      <w:rFonts w:ascii="仿宋_GB2312" w:hAnsi="仿宋" w:eastAsia="仿宋_GB2312"/>
      <w:b/>
      <w:kern w:val="2"/>
      <w:sz w:val="32"/>
      <w:szCs w:val="32"/>
      <w:lang w:bidi="ar-SA"/>
    </w:rPr>
  </w:style>
  <w:style w:type="character" w:customStyle="1" w:styleId="134">
    <w:name w:val="插图说明 Char"/>
    <w:qFormat/>
    <w:uiPriority w:val="0"/>
    <w:rPr>
      <w:rFonts w:eastAsia="黑体"/>
      <w:sz w:val="24"/>
      <w:lang w:val="en-US" w:eastAsia="zh-CN"/>
    </w:rPr>
  </w:style>
  <w:style w:type="character" w:customStyle="1" w:styleId="135">
    <w:name w:val="正文2 Char Char"/>
    <w:link w:val="136"/>
    <w:qFormat/>
    <w:uiPriority w:val="0"/>
    <w:rPr>
      <w:rFonts w:eastAsia="宋体"/>
      <w:kern w:val="2"/>
      <w:sz w:val="24"/>
      <w:lang w:val="en-US" w:eastAsia="zh-CN" w:bidi="ar-SA"/>
    </w:rPr>
  </w:style>
  <w:style w:type="paragraph" w:customStyle="1" w:styleId="136">
    <w:name w:val="正文2"/>
    <w:basedOn w:val="1"/>
    <w:link w:val="135"/>
    <w:qFormat/>
    <w:uiPriority w:val="0"/>
    <w:pPr>
      <w:spacing w:before="156" w:line="360" w:lineRule="auto"/>
      <w:ind w:firstLine="510" w:firstLineChars="200"/>
    </w:pPr>
    <w:rPr>
      <w:sz w:val="24"/>
      <w:szCs w:val="20"/>
    </w:rPr>
  </w:style>
  <w:style w:type="character" w:customStyle="1" w:styleId="137">
    <w:name w:val="Char Char24"/>
    <w:qFormat/>
    <w:uiPriority w:val="6"/>
    <w:rPr>
      <w:kern w:val="1"/>
      <w:sz w:val="21"/>
    </w:rPr>
  </w:style>
  <w:style w:type="character" w:customStyle="1" w:styleId="138">
    <w:name w:val="副标题 字符"/>
    <w:link w:val="49"/>
    <w:qFormat/>
    <w:uiPriority w:val="0"/>
    <w:rPr>
      <w:rFonts w:ascii="Arial" w:hAnsi="Arial" w:eastAsia="隶书"/>
      <w:b/>
      <w:bCs/>
      <w:kern w:val="28"/>
      <w:sz w:val="44"/>
      <w:szCs w:val="32"/>
      <w:lang w:val="en-US" w:eastAsia="zh-CN" w:bidi="ar-SA"/>
    </w:rPr>
  </w:style>
  <w:style w:type="character" w:customStyle="1" w:styleId="139">
    <w:name w:val="普通文字 Char1 Char"/>
    <w:qFormat/>
    <w:uiPriority w:val="0"/>
    <w:rPr>
      <w:rFonts w:ascii="宋体" w:hAnsi="Courier New" w:eastAsia="宋体"/>
      <w:kern w:val="2"/>
      <w:sz w:val="21"/>
      <w:szCs w:val="24"/>
      <w:lang w:val="en-US" w:eastAsia="zh-CN" w:bidi="ar-SA"/>
    </w:rPr>
  </w:style>
  <w:style w:type="character" w:customStyle="1" w:styleId="140">
    <w:name w:val="h3 Char1"/>
    <w:qFormat/>
    <w:uiPriority w:val="0"/>
    <w:rPr>
      <w:rFonts w:eastAsia="宋体"/>
      <w:b/>
      <w:bCs/>
      <w:kern w:val="2"/>
      <w:sz w:val="32"/>
      <w:szCs w:val="32"/>
      <w:lang w:bidi="ar-SA"/>
    </w:rPr>
  </w:style>
  <w:style w:type="character" w:customStyle="1" w:styleId="141">
    <w:name w:val="标题 Char1"/>
    <w:qFormat/>
    <w:uiPriority w:val="0"/>
    <w:rPr>
      <w:rFonts w:ascii="Cambria" w:hAnsi="Cambria" w:eastAsia="宋体" w:cs="Times New Roman"/>
      <w:b/>
      <w:bCs/>
      <w:sz w:val="32"/>
      <w:szCs w:val="32"/>
      <w:lang w:bidi="ar-SA"/>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正文文本缩进 Char1"/>
    <w:qFormat/>
    <w:uiPriority w:val="0"/>
    <w:rPr>
      <w:rFonts w:ascii="Calibri" w:hAnsi="Calibri"/>
      <w:sz w:val="28"/>
    </w:rPr>
  </w:style>
  <w:style w:type="character" w:customStyle="1" w:styleId="144">
    <w:name w:val="No Spacing Char"/>
    <w:link w:val="84"/>
    <w:qFormat/>
    <w:uiPriority w:val="1"/>
    <w:rPr>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uiPriority w:val="0"/>
    <w:rPr>
      <w:rFonts w:eastAsia="宋体"/>
      <w:kern w:val="2"/>
      <w:sz w:val="21"/>
      <w:szCs w:val="24"/>
      <w:lang w:val="en-US" w:eastAsia="zh-CN" w:bidi="ar-SA"/>
    </w:rPr>
  </w:style>
  <w:style w:type="character" w:customStyle="1" w:styleId="150">
    <w:name w:val="font41"/>
    <w:basedOn w:val="73"/>
    <w:qFormat/>
    <w:uiPriority w:val="0"/>
    <w:rPr>
      <w:rFonts w:hint="eastAsia" w:ascii="仿宋_GB2312" w:eastAsia="仿宋_GB2312" w:cs="仿宋_GB2312"/>
      <w:color w:val="000000"/>
      <w:sz w:val="22"/>
      <w:szCs w:val="22"/>
      <w:u w:val="none"/>
    </w:rPr>
  </w:style>
  <w:style w:type="character" w:customStyle="1" w:styleId="151">
    <w:name w:val="标题 6 字符"/>
    <w:link w:val="7"/>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3"/>
    <w:link w:val="174"/>
    <w:qFormat/>
    <w:uiPriority w:val="0"/>
    <w:pPr>
      <w:spacing w:before="240" w:after="240" w:line="240" w:lineRule="auto"/>
      <w:jc w:val="center"/>
    </w:pPr>
    <w:rPr>
      <w:rFonts w:ascii="Calibri" w:hAnsi="Calibri"/>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字符"/>
    <w:link w:val="37"/>
    <w:qFormat/>
    <w:uiPriority w:val="0"/>
    <w:rPr>
      <w:rFonts w:ascii="宋体"/>
      <w:kern w:val="2"/>
      <w:sz w:val="24"/>
      <w:szCs w:val="21"/>
      <w:lang w:val="zh-CN"/>
    </w:rPr>
  </w:style>
  <w:style w:type="character" w:customStyle="1" w:styleId="186">
    <w:name w:val="标题 9 字符"/>
    <w:link w:val="10"/>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0"/>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字符1"/>
    <w:link w:val="40"/>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字符2"/>
    <w:link w:val="15"/>
    <w:qFormat/>
    <w:uiPriority w:val="0"/>
    <w:rPr>
      <w:rFonts w:ascii="宋体" w:eastAsia="宋体"/>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kern w:val="2"/>
      <w:sz w:val="21"/>
      <w:szCs w:val="21"/>
      <w:lang w:val="en-US" w:eastAsia="zh-CN" w:bidi="ar-SA"/>
    </w:rPr>
  </w:style>
  <w:style w:type="character" w:customStyle="1" w:styleId="202">
    <w:name w:val="3级 Char"/>
    <w:link w:val="203"/>
    <w:qFormat/>
    <w:uiPriority w:val="0"/>
    <w:rPr>
      <w:rFonts w:ascii="宋体" w:hAnsi="宋体"/>
      <w:b/>
      <w:bCs/>
      <w:sz w:val="28"/>
    </w:rPr>
  </w:style>
  <w:style w:type="paragraph" w:customStyle="1" w:styleId="203">
    <w:name w:val="3级"/>
    <w:basedOn w:val="204"/>
    <w:link w:val="202"/>
    <w:qFormat/>
    <w:uiPriority w:val="0"/>
    <w:pPr>
      <w:ind w:left="0" w:right="466" w:firstLine="288"/>
    </w:pPr>
    <w:rPr>
      <w:rFonts w:hAnsi="宋体"/>
    </w:rPr>
  </w:style>
  <w:style w:type="paragraph" w:customStyle="1" w:styleId="204">
    <w:name w:val="样式 标题 3h33rd level3BOD 0H3l3CTHeading 3 - oldLevel 3 He..."/>
    <w:basedOn w:val="4"/>
    <w:qFormat/>
    <w:uiPriority w:val="99"/>
    <w:pPr>
      <w:keepLines w:val="0"/>
      <w:widowControl/>
      <w:tabs>
        <w:tab w:val="clear" w:pos="900"/>
      </w:tabs>
      <w:adjustRightInd/>
      <w:spacing w:before="240" w:after="240"/>
      <w:ind w:left="851" w:right="407" w:rightChars="194" w:hanging="851"/>
    </w:pPr>
    <w:rPr>
      <w:rFonts w:hAnsi="Arial"/>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字符"/>
    <w:link w:val="18"/>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3"/>
    <w:qFormat/>
    <w:uiPriority w:val="0"/>
    <w:rPr>
      <w:rFonts w:ascii="Arial" w:hAnsi="Arial" w:eastAsia="黑体" w:cs="Arial"/>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字符"/>
    <w:link w:val="31"/>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5"/>
    <w:link w:val="226"/>
    <w:qFormat/>
    <w:uiPriority w:val="0"/>
    <w:pPr>
      <w:tabs>
        <w:tab w:val="left" w:pos="851"/>
        <w:tab w:val="clear" w:pos="864"/>
      </w:tabs>
      <w:adjustRightInd/>
      <w:spacing w:line="376" w:lineRule="atLeast"/>
      <w:ind w:left="851" w:hanging="851"/>
    </w:pPr>
    <w:rPr>
      <w:rFonts w:ascii="Cambria" w:hAnsi="Cambria"/>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字符"/>
    <w:link w:val="16"/>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24"/>
    <w:qFormat/>
    <w:uiPriority w:val="0"/>
    <w:rPr>
      <w:rFonts w:ascii="仿宋_GB2312"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26"/>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2"/>
    <w:qFormat/>
    <w:uiPriority w:val="9"/>
    <w:rPr>
      <w:rFonts w:eastAsia="宋体"/>
      <w:b/>
      <w:bCs/>
      <w:kern w:val="44"/>
      <w:sz w:val="36"/>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62"/>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kern w:val="2"/>
      <w:sz w:val="28"/>
      <w:szCs w:val="21"/>
    </w:rPr>
  </w:style>
  <w:style w:type="character" w:customStyle="1" w:styleId="296">
    <w:name w:val="标题 5 字符"/>
    <w:link w:val="6"/>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0"/>
    <w:qFormat/>
    <w:uiPriority w:val="0"/>
    <w:rPr>
      <w:rFonts w:ascii="仿宋_GB2312" w:eastAsia="仿宋_GB2312"/>
      <w:kern w:val="2"/>
      <w:sz w:val="28"/>
    </w:rPr>
  </w:style>
  <w:style w:type="character" w:customStyle="1" w:styleId="302">
    <w:name w:val="文本正文 Char Char"/>
    <w:qFormat/>
    <w:uiPriority w:val="0"/>
    <w:rPr>
      <w:sz w:val="24"/>
      <w:lang w:bidi="ar-SA"/>
    </w:rPr>
  </w:style>
  <w:style w:type="character" w:customStyle="1" w:styleId="303">
    <w:name w:val="正文缩进 字符"/>
    <w:qFormat/>
    <w:uiPriority w:val="0"/>
    <w:rPr>
      <w:rFonts w:ascii="宋体" w:eastAsia="宋体"/>
      <w:color w:val="000000"/>
      <w:kern w:val="28"/>
      <w:sz w:val="28"/>
      <w:lang w:val="en-US" w:eastAsia="zh-CN" w:bidi="ar-SA"/>
    </w:rPr>
  </w:style>
  <w:style w:type="character" w:customStyle="1" w:styleId="304">
    <w:name w:val="HTML 预设格式 字符"/>
    <w:link w:val="60"/>
    <w:qFormat/>
    <w:uiPriority w:val="0"/>
    <w:rPr>
      <w:rFonts w:ascii="黑体" w:hAnsi="Courier New" w:eastAsia="黑体"/>
    </w:rPr>
  </w:style>
  <w:style w:type="character" w:customStyle="1" w:styleId="305">
    <w:name w:val="正文文本 2 字符1"/>
    <w:link w:val="59"/>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5"/>
    <w:link w:val="416"/>
    <w:qFormat/>
    <w:uiPriority w:val="0"/>
    <w:pPr>
      <w:tabs>
        <w:tab w:val="left" w:pos="2356"/>
        <w:tab w:val="clear" w:pos="864"/>
      </w:tabs>
      <w:adjustRightInd/>
      <w:ind w:left="1984" w:leftChars="75" w:hanging="708" w:firstLineChars="200"/>
    </w:pPr>
    <w:rPr>
      <w:rFonts w:ascii="微软雅黑" w:hAnsi="微软雅黑" w:eastAsia="微软雅黑"/>
    </w:rPr>
  </w:style>
  <w:style w:type="character" w:customStyle="1" w:styleId="309">
    <w:name w:val="正文非缩进 Char"/>
    <w:qFormat/>
    <w:uiPriority w:val="0"/>
    <w:rPr>
      <w:rFonts w:ascii="宋体" w:eastAsia="宋体"/>
      <w:color w:val="000000"/>
      <w:kern w:val="28"/>
      <w:sz w:val="28"/>
      <w:lang w:val="en-US" w:eastAsia="zh-CN" w:bidi="ar-SA"/>
    </w:rPr>
  </w:style>
  <w:style w:type="character" w:customStyle="1" w:styleId="310">
    <w:name w:val="标题 7 字符"/>
    <w:link w:val="8"/>
    <w:qFormat/>
    <w:uiPriority w:val="0"/>
    <w:rPr>
      <w:b/>
      <w:bCs/>
      <w:kern w:val="2"/>
      <w:sz w:val="24"/>
      <w:szCs w:val="24"/>
    </w:rPr>
  </w:style>
  <w:style w:type="character" w:customStyle="1" w:styleId="311">
    <w:name w:val="正文文本缩进 2 字符"/>
    <w:link w:val="38"/>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2"/>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color w:val="000000"/>
      <w:kern w:val="28"/>
      <w:sz w:val="28"/>
      <w:lang w:val="en-US" w:eastAsia="zh-CN" w:bidi="ar-SA"/>
    </w:rPr>
  </w:style>
  <w:style w:type="character" w:customStyle="1" w:styleId="316">
    <w:name w:val="正文缩进 Char1"/>
    <w:qFormat/>
    <w:uiPriority w:val="0"/>
    <w:rPr>
      <w:rFonts w:ascii="宋体" w:eastAsia="宋体"/>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字符"/>
    <w:link w:val="64"/>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5"/>
    <w:qFormat/>
    <w:uiPriority w:val="9"/>
    <w:rPr>
      <w:rFonts w:ascii="宋体" w:hAnsi="宋体" w:eastAsia="宋体"/>
      <w:b/>
      <w:bCs/>
      <w:kern w:val="2"/>
      <w:sz w:val="24"/>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19"/>
    <w:qFormat/>
    <w:uiPriority w:val="0"/>
    <w:rPr>
      <w:kern w:val="2"/>
      <w:sz w:val="21"/>
      <w:szCs w:val="24"/>
    </w:rPr>
  </w:style>
  <w:style w:type="character" w:customStyle="1" w:styleId="348">
    <w:name w:val="签名 字符"/>
    <w:link w:val="44"/>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basedOn w:val="73"/>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5"/>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1"/>
    <w:qFormat/>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3"/>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kern w:val="44"/>
      <w:sz w:val="44"/>
      <w:szCs w:val="44"/>
    </w:rPr>
  </w:style>
  <w:style w:type="character" w:customStyle="1" w:styleId="424">
    <w:name w:val="style36"/>
    <w:basedOn w:val="73"/>
    <w:qFormat/>
    <w:uiPriority w:val="0"/>
    <w:rPr>
      <w:rFonts w:ascii="Arial" w:hAnsi="Arial" w:eastAsia="黑体" w:cs="Arial"/>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5"/>
    <w:link w:val="431"/>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3">
    <w:name w:val="正文文本 字符"/>
    <w:link w:val="23"/>
    <w:qFormat/>
    <w:uiPriority w:val="0"/>
    <w:rPr>
      <w:rFonts w:ascii="宋体" w:hAnsi="Arial" w:eastAsia="宋体" w:cs="Arial"/>
      <w:kern w:val="2"/>
      <w:sz w:val="24"/>
      <w:szCs w:val="21"/>
      <w:lang w:val="zh-CN" w:eastAsia="zh-CN" w:bidi="ar-SA"/>
    </w:rPr>
  </w:style>
  <w:style w:type="character" w:customStyle="1" w:styleId="434">
    <w:name w:val="gray6"/>
    <w:basedOn w:val="73"/>
    <w:qFormat/>
    <w:uiPriority w:val="0"/>
    <w:rPr>
      <w:rFonts w:ascii="Arial" w:hAnsi="Arial" w:eastAsia="黑体" w:cs="Arial"/>
      <w:kern w:val="0"/>
      <w:szCs w:val="21"/>
    </w:rPr>
  </w:style>
  <w:style w:type="character" w:customStyle="1" w:styleId="435">
    <w:name w:val="hui"/>
    <w:basedOn w:val="73"/>
    <w:qFormat/>
    <w:uiPriority w:val="0"/>
    <w:rPr>
      <w:rFonts w:ascii="Arial" w:hAnsi="Arial" w:eastAsia="黑体" w:cs="Arial"/>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5"/>
    <w:qFormat/>
    <w:uiPriority w:val="0"/>
    <w:pPr>
      <w:adjustRightInd/>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3"/>
    <w:qFormat/>
    <w:uiPriority w:val="0"/>
    <w:pPr>
      <w:keepLines w:val="0"/>
      <w:widowControl/>
      <w:tabs>
        <w:tab w:val="left" w:pos="840"/>
        <w:tab w:val="clear" w:pos="432"/>
      </w:tabs>
      <w:spacing w:before="156" w:beforeLines="50" w:after="60" w:line="300" w:lineRule="auto"/>
      <w:ind w:left="840" w:hanging="420"/>
    </w:pPr>
    <w:rPr>
      <w:rFonts w:ascii="Arial Narrow" w:hAnsi="Arial Narrow"/>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3"/>
    <w:qFormat/>
    <w:uiPriority w:val="0"/>
    <w:pPr>
      <w:widowControl/>
      <w:spacing w:before="360" w:after="360" w:line="240" w:lineRule="atLeast"/>
    </w:pPr>
    <w:rPr>
      <w:rFonts w:hAnsi="Arial"/>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7"/>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3"/>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2"/>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4"/>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6"/>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6"/>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4"/>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4"/>
    <w:qFormat/>
    <w:uiPriority w:val="0"/>
    <w:pPr>
      <w:tabs>
        <w:tab w:val="left" w:pos="840"/>
      </w:tabs>
      <w:adjustRightInd/>
      <w:spacing w:before="20" w:after="20" w:line="300" w:lineRule="auto"/>
      <w:ind w:left="840" w:hanging="420"/>
    </w:pPr>
    <w:rPr>
      <w:rFonts w:ascii="Tahoma" w:hAnsi="Tahoma"/>
      <w:kern w:val="0"/>
      <w:szCs w:val="21"/>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firstLine="200" w:firstLineChars="200"/>
      <w:jc w:val="both"/>
    </w:pPr>
    <w:rPr>
      <w:rFonts w:hAnsi="Cambria"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4"/>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4"/>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kern w:val="0"/>
      <w:sz w:val="20"/>
      <w:szCs w:val="21"/>
    </w:rPr>
  </w:style>
  <w:style w:type="paragraph" w:customStyle="1" w:styleId="600">
    <w:name w:val="gjt_2"/>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pPr>
    <w:rPr>
      <w:kern w:val="0"/>
      <w:sz w:val="24"/>
      <w:szCs w:val="20"/>
    </w:rPr>
  </w:style>
  <w:style w:type="paragraph" w:customStyle="1" w:styleId="606">
    <w:name w:val="正文文字表格居中"/>
    <w:basedOn w:val="1"/>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pPr>
    <w:rPr>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pPr>
    <w:rPr>
      <w:rFonts w:eastAsia="Times New Roman"/>
      <w:kern w:val="0"/>
      <w:szCs w:val="20"/>
    </w:rPr>
  </w:style>
  <w:style w:type="paragraph" w:customStyle="1" w:styleId="613">
    <w:name w:val="标题2"/>
    <w:basedOn w:val="3"/>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rPr>
      <w:rFonts w:ascii="黑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pacing w:line="300" w:lineRule="auto"/>
    </w:pPr>
    <w:rPr>
      <w:rFonts w:ascii="Arial Narrow" w:hAnsi="Arial Narrow" w:eastAsia="仿宋_GB2312"/>
      <w:bCs w:val="0"/>
      <w:color w:val="000000"/>
      <w:kern w:val="0"/>
      <w:szCs w:val="32"/>
      <w:lang w:val="en-US"/>
    </w:rPr>
  </w:style>
  <w:style w:type="paragraph" w:customStyle="1" w:styleId="632">
    <w:name w:val="插图题注"/>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pPr>
    <w:rPr>
      <w:kern w:val="0"/>
      <w:sz w:val="24"/>
      <w:szCs w:val="20"/>
      <w:lang w:val="en-GB"/>
    </w:rPr>
  </w:style>
  <w:style w:type="paragraph" w:customStyle="1" w:styleId="641">
    <w:name w:val="正文表标题"/>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qFormat/>
    <w:uiPriority w:val="0"/>
    <w:pPr>
      <w:tabs>
        <w:tab w:val="left" w:pos="1260"/>
        <w:tab w:val="left" w:pos="1680"/>
        <w:tab w:val="left" w:pos="2100"/>
        <w:tab w:val="left" w:pos="2520"/>
      </w:tabs>
      <w:ind w:left="2520"/>
      <w:outlineLvl w:val="4"/>
    </w:pPr>
  </w:style>
  <w:style w:type="paragraph" w:customStyle="1" w:styleId="658">
    <w:name w:val="二级条标题"/>
    <w:basedOn w:val="659"/>
    <w:qFormat/>
    <w:uiPriority w:val="0"/>
    <w:pPr>
      <w:tabs>
        <w:tab w:val="left" w:pos="1260"/>
        <w:tab w:val="left" w:pos="1680"/>
        <w:tab w:val="left" w:pos="2100"/>
      </w:tabs>
      <w:ind w:left="0"/>
      <w:outlineLvl w:val="3"/>
    </w:pPr>
  </w:style>
  <w:style w:type="paragraph" w:customStyle="1" w:styleId="659">
    <w:name w:val="一级条标题"/>
    <w:basedOn w:val="660"/>
    <w:qFormat/>
    <w:uiPriority w:val="0"/>
    <w:pPr>
      <w:tabs>
        <w:tab w:val="left" w:pos="1260"/>
        <w:tab w:val="left" w:pos="1680"/>
      </w:tabs>
      <w:spacing w:before="0" w:beforeLines="0" w:after="0" w:afterLines="0"/>
      <w:ind w:left="1680"/>
      <w:outlineLvl w:val="2"/>
    </w:pPr>
  </w:style>
  <w:style w:type="paragraph" w:customStyle="1" w:styleId="660">
    <w:name w:val="章标题"/>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qFormat/>
    <w:uiPriority w:val="0"/>
    <w:pPr>
      <w:tabs>
        <w:tab w:val="left" w:pos="480"/>
      </w:tabs>
      <w:ind w:left="480" w:hanging="480"/>
    </w:pPr>
    <w:rPr>
      <w:rFonts w:ascii="Times New Roman"/>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after="100"/>
      <w:jc w:val="left"/>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line="240" w:lineRule="auto"/>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jc w:val="both"/>
    </w:pPr>
    <w:rPr>
      <w:rFonts w:hAnsi="Arial"/>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line="240" w:lineRule="auto"/>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736">
    <w:name w:val="Picture"/>
    <w:basedOn w:val="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2"/>
    <w:qFormat/>
    <w:uiPriority w:val="0"/>
    <w:pPr>
      <w:widowControl w:val="0"/>
      <w:overflowPunct/>
      <w:autoSpaceDE/>
      <w:autoSpaceDN/>
      <w:adjustRightInd/>
      <w:spacing w:before="240" w:after="60"/>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pPr>
    <w:rPr>
      <w:kern w:val="0"/>
      <w:sz w:val="24"/>
      <w:szCs w:val="20"/>
      <w:lang w:val="en-GB"/>
    </w:rPr>
  </w:style>
  <w:style w:type="paragraph" w:customStyle="1" w:styleId="780">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qFormat/>
    <w:uiPriority w:val="0"/>
    <w:pPr>
      <w:tabs>
        <w:tab w:val="clear" w:pos="900"/>
      </w:tabs>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5"/>
    <w:qFormat/>
    <w:uiPriority w:val="0"/>
    <w:pPr>
      <w:tabs>
        <w:tab w:val="left" w:pos="0"/>
        <w:tab w:val="clear" w:pos="864"/>
      </w:tabs>
      <w:ind w:left="1"/>
    </w:pPr>
    <w:rPr>
      <w:rFonts w:eastAsia="仿宋_GB2312" w:cs="Arial"/>
      <w:b w:val="0"/>
      <w:bCs w:val="0"/>
      <w:color w:val="000000"/>
      <w:kern w:val="0"/>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ind w:firstLine="0"/>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kern w:val="0"/>
      <w:sz w:val="20"/>
      <w:szCs w:val="21"/>
    </w:rPr>
  </w:style>
  <w:style w:type="paragraph" w:customStyle="1" w:styleId="873">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pacing w:before="120" w:after="60" w:line="300" w:lineRule="auto"/>
    </w:pPr>
    <w:rPr>
      <w:rFonts w:ascii="Arial Narrow" w:hAnsi="Arial Narrow" w:eastAsia="仿宋_GB2312"/>
      <w:b w:val="0"/>
      <w:bCs w:val="0"/>
      <w:color w:val="000000"/>
      <w:kern w:val="0"/>
      <w:sz w:val="28"/>
    </w:rPr>
  </w:style>
  <w:style w:type="paragraph" w:customStyle="1" w:styleId="893">
    <w:name w:val="TOC 标题11"/>
    <w:basedOn w:val="2"/>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6"/>
    <w:qFormat/>
    <w:uiPriority w:val="0"/>
    <w:pPr>
      <w:tabs>
        <w:tab w:val="left" w:pos="1080"/>
      </w:tabs>
      <w:ind w:left="1080" w:hanging="1080"/>
    </w:pPr>
  </w:style>
  <w:style w:type="paragraph" w:customStyle="1" w:styleId="899">
    <w:name w:val="数字标题1"/>
    <w:basedOn w:val="2"/>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color w:val="0000FF"/>
      <w:kern w:val="0"/>
      <w:sz w:val="20"/>
      <w:szCs w:val="21"/>
      <w:u w:val="single"/>
      <w:lang w:val="en-US" w:eastAsia="zh-CN"/>
    </w:rPr>
  </w:style>
  <w:style w:type="character" w:customStyle="1" w:styleId="931">
    <w:name w:val="正文缩进 字符1"/>
    <w:qFormat/>
    <w:uiPriority w:val="0"/>
    <w:rPr>
      <w:rFonts w:ascii="宋体" w:eastAsia="宋体"/>
      <w:color w:val="000000"/>
      <w:kern w:val="28"/>
      <w:sz w:val="28"/>
      <w:lang w:val="en-US" w:eastAsia="zh-CN" w:bidi="ar-SA"/>
    </w:rPr>
  </w:style>
  <w:style w:type="character" w:customStyle="1" w:styleId="932">
    <w:name w:val="页脚 字符1"/>
    <w:qFormat/>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字符"/>
    <w:link w:val="39"/>
    <w:qFormat/>
    <w:uiPriority w:val="0"/>
    <w:rPr>
      <w:kern w:val="2"/>
      <w:sz w:val="21"/>
      <w:szCs w:val="24"/>
      <w:lang w:val="zh-CN"/>
    </w:rPr>
  </w:style>
  <w:style w:type="character" w:customStyle="1" w:styleId="935">
    <w:name w:val="无间隔 字符"/>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kern w:val="0"/>
      <w:szCs w:val="21"/>
    </w:rPr>
  </w:style>
  <w:style w:type="character" w:customStyle="1" w:styleId="948">
    <w:name w:val="zbggtop11 style5"/>
    <w:qFormat/>
    <w:uiPriority w:val="0"/>
    <w:rPr>
      <w:rFonts w:ascii="Arial" w:hAnsi="Arial" w:eastAsia="黑体" w:cs="Arial"/>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3"/>
    <w:qFormat/>
    <w:uiPriority w:val="0"/>
    <w:rPr>
      <w:color w:val="000000"/>
      <w:shd w:val="clear" w:color="auto" w:fill="EFD200"/>
    </w:rPr>
  </w:style>
  <w:style w:type="character" w:customStyle="1" w:styleId="964">
    <w:name w:val="font71"/>
    <w:basedOn w:val="73"/>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semiHidden/>
    <w:qFormat/>
    <w:uiPriority w:val="99"/>
    <w:rPr>
      <w:rFonts w:ascii="Times New Roman" w:hAnsi="Times New Roman" w:eastAsia="宋体" w:cs="Times New Roman"/>
      <w:kern w:val="2"/>
      <w:sz w:val="21"/>
      <w:szCs w:val="24"/>
      <w:lang w:val="en-US" w:eastAsia="zh-CN" w:bidi="ar-SA"/>
    </w:rPr>
  </w:style>
  <w:style w:type="character" w:customStyle="1" w:styleId="967">
    <w:name w:val="标题 2 字符1"/>
    <w:link w:val="3"/>
    <w:qFormat/>
    <w:uiPriority w:val="0"/>
    <w:rPr>
      <w:rFonts w:ascii="宋体" w:hAnsi="宋体" w:eastAsia="宋体"/>
      <w:b/>
      <w:bCs/>
      <w:sz w:val="24"/>
      <w:szCs w:val="32"/>
      <w:lang w:val="zh-CN"/>
    </w:rPr>
  </w:style>
  <w:style w:type="character" w:customStyle="1" w:styleId="968">
    <w:name w:val="标题 3 字符1"/>
    <w:link w:val="4"/>
    <w:qFormat/>
    <w:uiPriority w:val="0"/>
    <w:rPr>
      <w:rFonts w:ascii="宋体" w:hAnsi="宋体" w:eastAsia="宋体"/>
      <w:b/>
      <w:bCs/>
      <w:sz w:val="24"/>
      <w:szCs w:val="32"/>
    </w:rPr>
  </w:style>
  <w:style w:type="paragraph" w:customStyle="1" w:styleId="969">
    <w:name w:val="TOC 72"/>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70">
    <w:name w:val="列表段落2"/>
    <w:basedOn w:val="1"/>
    <w:qFormat/>
    <w:uiPriority w:val="99"/>
    <w:pPr>
      <w:ind w:firstLine="420"/>
    </w:pPr>
    <w:rPr>
      <w:szCs w:val="22"/>
    </w:rPr>
  </w:style>
  <w:style w:type="character" w:customStyle="1" w:styleId="971">
    <w:name w:val="font201"/>
    <w:basedOn w:val="73"/>
    <w:qFormat/>
    <w:uiPriority w:val="0"/>
    <w:rPr>
      <w:rFonts w:hint="eastAsia" w:ascii="宋体" w:hAnsi="宋体" w:eastAsia="宋体" w:cs="宋体"/>
      <w:color w:val="FF0000"/>
      <w:sz w:val="16"/>
      <w:szCs w:val="16"/>
      <w:u w:val="none"/>
    </w:rPr>
  </w:style>
  <w:style w:type="character" w:customStyle="1" w:styleId="972">
    <w:name w:val="font211"/>
    <w:basedOn w:val="73"/>
    <w:qFormat/>
    <w:uiPriority w:val="0"/>
    <w:rPr>
      <w:rFonts w:hint="eastAsia" w:ascii="宋体" w:hAnsi="宋体" w:eastAsia="宋体" w:cs="宋体"/>
      <w:color w:val="000000"/>
      <w:sz w:val="22"/>
      <w:szCs w:val="22"/>
      <w:u w:val="none"/>
    </w:rPr>
  </w:style>
  <w:style w:type="paragraph" w:customStyle="1" w:styleId="973">
    <w:name w:val="图"/>
    <w:basedOn w:val="1"/>
    <w:qFormat/>
    <w:uiPriority w:val="0"/>
    <w:pPr>
      <w:keepNext/>
      <w:spacing w:before="60" w:after="60" w:line="300" w:lineRule="auto"/>
      <w:jc w:val="center"/>
    </w:pPr>
    <w:rPr>
      <w:spacing w:val="20"/>
      <w:kern w:val="0"/>
      <w:sz w:val="24"/>
      <w:szCs w:val="20"/>
    </w:rPr>
  </w:style>
  <w:style w:type="character" w:customStyle="1" w:styleId="974">
    <w:name w:val="titleb1"/>
    <w:qFormat/>
    <w:uiPriority w:val="0"/>
    <w:rPr>
      <w:b/>
      <w:bCs/>
      <w:sz w:val="18"/>
      <w:szCs w:val="18"/>
    </w:rPr>
  </w:style>
  <w:style w:type="character" w:customStyle="1" w:styleId="975">
    <w:name w:val="NormalCharacter"/>
    <w:semiHidden/>
    <w:qFormat/>
    <w:uiPriority w:val="0"/>
    <w:rPr>
      <w:rFonts w:hint="eastAsia" w:ascii="Times New Roman" w:hAnsi="Times New Roman" w:eastAsia="宋体" w:cs="Times New Roman"/>
      <w:kern w:val="2"/>
      <w:sz w:val="21"/>
      <w:lang w:val="en-US" w:eastAsia="zh-CN" w:bidi="ar-SA"/>
    </w:rPr>
  </w:style>
  <w:style w:type="paragraph" w:customStyle="1" w:styleId="976">
    <w:name w:val="_表格条文"/>
    <w:basedOn w:val="1"/>
    <w:qFormat/>
    <w:uiPriority w:val="0"/>
    <w:pPr>
      <w:spacing w:line="276" w:lineRule="auto"/>
    </w:pPr>
    <w:rPr>
      <w:rFonts w:ascii="Arial" w:hAnsi="Arial"/>
      <w:color w:val="000000"/>
      <w:sz w:val="18"/>
      <w:szCs w:val="21"/>
    </w:rPr>
  </w:style>
  <w:style w:type="paragraph" w:customStyle="1" w:styleId="977">
    <w:name w:val="正文首行缩进2字符"/>
    <w:basedOn w:val="1"/>
    <w:qFormat/>
    <w:locked/>
    <w:uiPriority w:val="0"/>
    <w:pPr>
      <w:spacing w:line="360" w:lineRule="auto"/>
      <w:ind w:firstLine="200" w:firstLineChars="200"/>
    </w:pPr>
    <w:rPr>
      <w:rFonts w:eastAsia="仿宋"/>
      <w:sz w:val="28"/>
      <w:szCs w:val="20"/>
    </w:rPr>
  </w:style>
  <w:style w:type="paragraph" w:customStyle="1" w:styleId="978">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48112</Words>
  <Characters>52717</Characters>
  <Lines>361</Lines>
  <Paragraphs>101</Paragraphs>
  <TotalTime>68</TotalTime>
  <ScaleCrop>false</ScaleCrop>
  <LinksUpToDate>false</LinksUpToDate>
  <CharactersWithSpaces>57308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2026-04-21T08:03:00Z</dcterms:created>
  <dc:creator>94044</dc:creator>
  <cp:lastModifiedBy>fr</cp:lastModifiedBy>
  <dcterms:modified xsi:type="dcterms:W3CDTF">2026-04-30T11:35:22Z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A3DA353623714EC1B559BC4962BABD59_13</vt:lpwstr>
  </property>
  <property fmtid="{D5CDD505-2E9C-101B-9397-08002B2CF9AE}" pid="5" name="KSOTemplateDocerSaveRecord">
    <vt:lpwstr>eyJoZGlkIjoiYjRkYTI5NTUzODFjYjRkODBiZDAyMDY2ZDE2ZThmYTAiLCJ1c2VySWQiOiI0NDI0NjEyMzkifQ==</vt:lpwstr>
  </property>
</Properties>
</file>